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6E3" w:rsidRPr="005936E3" w:rsidRDefault="005936E3" w:rsidP="005936E3">
      <w:pPr>
        <w:widowControl w:val="0"/>
        <w:jc w:val="right"/>
        <w:rPr>
          <w:b/>
          <w:sz w:val="2"/>
          <w:szCs w:val="40"/>
        </w:rPr>
      </w:pPr>
      <w:r w:rsidRPr="005936E3">
        <w:rPr>
          <w:b/>
          <w:sz w:val="40"/>
          <w:szCs w:val="40"/>
        </w:rPr>
        <w:t>C</w:t>
      </w:r>
    </w:p>
    <w:p w:rsidR="005936E3" w:rsidRPr="005936E3" w:rsidRDefault="005936E3" w:rsidP="005936E3">
      <w:pPr>
        <w:spacing w:line="360" w:lineRule="auto"/>
        <w:ind w:left="4592"/>
        <w:rPr>
          <w:rFonts w:ascii="Arial Black" w:hAnsi="Arial Black"/>
          <w:caps/>
          <w:sz w:val="15"/>
        </w:rPr>
      </w:pPr>
      <w:r w:rsidRPr="005936E3">
        <w:rPr>
          <w:noProof/>
        </w:rPr>
        <w:drawing>
          <wp:inline distT="0" distB="0" distL="0" distR="0" wp14:anchorId="1312F295" wp14:editId="75AFB268">
            <wp:extent cx="869950" cy="1327150"/>
            <wp:effectExtent l="0" t="0" r="6350" b="6350"/>
            <wp:docPr id="8" name="Picture 1" descr="世界知识产权组织徽标的上旋曲线令人联想到由创新创造驱动的人类进步。" title="产权组织的徽记。产权组织是世界知识产权组织的简称。"/>
            <wp:cNvGraphicFramePr/>
            <a:graphic xmlns:a="http://schemas.openxmlformats.org/drawingml/2006/main">
              <a:graphicData uri="http://schemas.openxmlformats.org/drawingml/2006/picture">
                <pic:pic xmlns:pic="http://schemas.openxmlformats.org/drawingml/2006/picture">
                  <pic:nvPicPr>
                    <pic:cNvPr id="3" name="Picture 1" descr="世界知识产权组织徽标的上旋曲线令人联想到由创新创造驱动的人类进步。" title="产权组织的徽记。产权组织是世界知识产权组织的简称。"/>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1324610"/>
                    </a:xfrm>
                    <a:prstGeom prst="rect">
                      <a:avLst/>
                    </a:prstGeom>
                    <a:noFill/>
                    <a:ln>
                      <a:noFill/>
                    </a:ln>
                  </pic:spPr>
                </pic:pic>
              </a:graphicData>
            </a:graphic>
          </wp:inline>
        </w:drawing>
      </w:r>
    </w:p>
    <w:p w:rsidR="00291047" w:rsidRPr="005936E3" w:rsidRDefault="005936E3" w:rsidP="00291047">
      <w:pPr>
        <w:pBdr>
          <w:top w:val="single" w:sz="4" w:space="10" w:color="auto"/>
        </w:pBdr>
        <w:wordWrap w:val="0"/>
        <w:spacing w:before="120"/>
        <w:jc w:val="right"/>
        <w:rPr>
          <w:rFonts w:ascii="Arial Black" w:hAnsi="Arial Black"/>
          <w:b/>
          <w:caps/>
          <w:sz w:val="15"/>
        </w:rPr>
      </w:pPr>
      <w:r w:rsidRPr="005936E3">
        <w:rPr>
          <w:rFonts w:ascii="Arial Black" w:hAnsi="Arial Black"/>
          <w:b/>
          <w:caps/>
          <w:sz w:val="15"/>
        </w:rPr>
        <w:t>mm/a/5</w:t>
      </w:r>
      <w:r w:rsidR="00291047">
        <w:rPr>
          <w:rFonts w:ascii="Arial Black" w:hAnsi="Arial Black" w:hint="eastAsia"/>
          <w:b/>
          <w:caps/>
          <w:sz w:val="15"/>
        </w:rPr>
        <w:t>3</w:t>
      </w:r>
      <w:r w:rsidRPr="005936E3">
        <w:rPr>
          <w:rFonts w:ascii="Arial Black" w:hAnsi="Arial Black"/>
          <w:b/>
          <w:caps/>
          <w:sz w:val="15"/>
        </w:rPr>
        <w:t>/</w:t>
      </w:r>
      <w:bookmarkStart w:id="0" w:name="Code"/>
      <w:bookmarkEnd w:id="0"/>
      <w:r w:rsidR="00291047">
        <w:rPr>
          <w:rFonts w:ascii="Arial Black" w:hAnsi="Arial Black" w:hint="eastAsia"/>
          <w:b/>
          <w:caps/>
          <w:sz w:val="15"/>
        </w:rPr>
        <w:t>3</w:t>
      </w:r>
    </w:p>
    <w:p w:rsidR="005936E3" w:rsidRPr="005936E3" w:rsidRDefault="005936E3" w:rsidP="005936E3">
      <w:pPr>
        <w:jc w:val="right"/>
        <w:rPr>
          <w:rFonts w:ascii="Arial Black" w:hAnsi="Arial Black"/>
          <w:b/>
          <w:caps/>
          <w:sz w:val="15"/>
          <w:szCs w:val="15"/>
        </w:rPr>
      </w:pPr>
      <w:r w:rsidRPr="005936E3">
        <w:rPr>
          <w:rFonts w:eastAsia="SimHei" w:hint="eastAsia"/>
          <w:b/>
          <w:sz w:val="15"/>
          <w:szCs w:val="15"/>
        </w:rPr>
        <w:t>原文</w:t>
      </w:r>
      <w:r w:rsidRPr="005936E3">
        <w:rPr>
          <w:rFonts w:eastAsia="SimHei" w:hint="eastAsia"/>
          <w:b/>
          <w:sz w:val="15"/>
          <w:szCs w:val="15"/>
          <w:lang w:val="pt-BR"/>
        </w:rPr>
        <w:t>：</w:t>
      </w:r>
      <w:bookmarkStart w:id="1" w:name="Original"/>
      <w:bookmarkEnd w:id="1"/>
      <w:r w:rsidRPr="005936E3">
        <w:rPr>
          <w:rFonts w:eastAsia="SimHei" w:hint="eastAsia"/>
          <w:b/>
          <w:sz w:val="15"/>
          <w:szCs w:val="15"/>
          <w:lang w:val="pt-BR"/>
        </w:rPr>
        <w:t>英</w:t>
      </w:r>
      <w:r w:rsidRPr="005936E3">
        <w:rPr>
          <w:rFonts w:eastAsia="SimHei" w:hint="eastAsia"/>
          <w:b/>
          <w:sz w:val="15"/>
          <w:szCs w:val="15"/>
        </w:rPr>
        <w:t>文</w:t>
      </w:r>
    </w:p>
    <w:p w:rsidR="005936E3" w:rsidRPr="005936E3" w:rsidRDefault="005936E3" w:rsidP="005936E3">
      <w:pPr>
        <w:spacing w:line="1680" w:lineRule="auto"/>
        <w:jc w:val="right"/>
        <w:rPr>
          <w:rFonts w:ascii="SimHei" w:eastAsia="SimHei" w:hAnsi="Arial Black"/>
          <w:b/>
          <w:caps/>
          <w:sz w:val="15"/>
          <w:szCs w:val="15"/>
        </w:rPr>
      </w:pPr>
      <w:r w:rsidRPr="005936E3">
        <w:rPr>
          <w:rFonts w:ascii="SimHei" w:eastAsia="SimHei" w:hint="eastAsia"/>
          <w:b/>
          <w:sz w:val="15"/>
          <w:szCs w:val="15"/>
        </w:rPr>
        <w:t>日期</w:t>
      </w:r>
      <w:r w:rsidRPr="005936E3">
        <w:rPr>
          <w:rFonts w:ascii="SimHei" w:eastAsia="SimHei" w:hAnsi="SimSun" w:hint="eastAsia"/>
          <w:b/>
          <w:sz w:val="15"/>
          <w:szCs w:val="15"/>
          <w:lang w:val="pt-BR"/>
        </w:rPr>
        <w:t>：</w:t>
      </w:r>
      <w:bookmarkStart w:id="2" w:name="Date"/>
      <w:bookmarkEnd w:id="2"/>
      <w:r w:rsidR="00291047">
        <w:rPr>
          <w:rFonts w:ascii="Arial Black" w:eastAsia="SimHei" w:hAnsi="Arial Black"/>
          <w:b/>
          <w:sz w:val="15"/>
          <w:szCs w:val="15"/>
          <w:lang w:val="pt-BR"/>
        </w:rPr>
        <w:t>2019</w:t>
      </w:r>
      <w:r w:rsidRPr="005936E3">
        <w:rPr>
          <w:rFonts w:ascii="SimHei" w:eastAsia="SimHei" w:hAnsi="Times New Roman" w:hint="eastAsia"/>
          <w:b/>
          <w:sz w:val="15"/>
          <w:szCs w:val="15"/>
        </w:rPr>
        <w:t>年</w:t>
      </w:r>
      <w:r w:rsidR="00291047">
        <w:rPr>
          <w:rFonts w:ascii="Arial Black" w:eastAsia="SimHei" w:hAnsi="Arial Black"/>
          <w:b/>
          <w:sz w:val="15"/>
          <w:szCs w:val="15"/>
          <w:lang w:val="pt-BR"/>
        </w:rPr>
        <w:t>1</w:t>
      </w:r>
      <w:r w:rsidR="00CE4D7B">
        <w:rPr>
          <w:rFonts w:ascii="Arial Black" w:eastAsia="SimHei" w:hAnsi="Arial Black" w:hint="eastAsia"/>
          <w:b/>
          <w:sz w:val="15"/>
          <w:szCs w:val="15"/>
          <w:lang w:val="pt-BR"/>
        </w:rPr>
        <w:t>2</w:t>
      </w:r>
      <w:r w:rsidRPr="005936E3">
        <w:rPr>
          <w:rFonts w:ascii="SimHei" w:eastAsia="SimHei" w:hAnsi="Times New Roman" w:hint="eastAsia"/>
          <w:b/>
          <w:sz w:val="15"/>
          <w:szCs w:val="15"/>
        </w:rPr>
        <w:t>月</w:t>
      </w:r>
      <w:r w:rsidR="00291047">
        <w:rPr>
          <w:rFonts w:ascii="Arial Black" w:eastAsia="SimHei" w:hAnsi="Arial Black"/>
          <w:b/>
          <w:sz w:val="15"/>
          <w:szCs w:val="15"/>
          <w:lang w:val="pt-BR"/>
        </w:rPr>
        <w:t>1</w:t>
      </w:r>
      <w:r w:rsidR="00CE4D7B">
        <w:rPr>
          <w:rFonts w:ascii="Arial Black" w:eastAsia="SimHei" w:hAnsi="Arial Black" w:hint="eastAsia"/>
          <w:b/>
          <w:sz w:val="15"/>
          <w:szCs w:val="15"/>
          <w:lang w:val="pt-BR"/>
        </w:rPr>
        <w:t>3</w:t>
      </w:r>
      <w:r w:rsidRPr="005936E3">
        <w:rPr>
          <w:rFonts w:ascii="SimHei" w:eastAsia="SimHei" w:hAnsi="Times New Roman" w:hint="eastAsia"/>
          <w:b/>
          <w:sz w:val="15"/>
          <w:szCs w:val="15"/>
        </w:rPr>
        <w:t>日</w:t>
      </w:r>
    </w:p>
    <w:p w:rsidR="005936E3" w:rsidRPr="005936E3" w:rsidRDefault="005936E3" w:rsidP="00D4124F">
      <w:pPr>
        <w:spacing w:after="600"/>
        <w:rPr>
          <w:rFonts w:ascii="SimHei" w:eastAsia="SimHei" w:hAnsi="SimHei" w:cs="Times New Roman"/>
          <w:sz w:val="28"/>
          <w:szCs w:val="22"/>
        </w:rPr>
      </w:pPr>
      <w:r w:rsidRPr="005936E3">
        <w:rPr>
          <w:rFonts w:ascii="SimHei" w:eastAsia="SimHei" w:hAnsi="SimHei" w:cs="Times New Roman" w:hint="eastAsia"/>
          <w:sz w:val="28"/>
          <w:szCs w:val="22"/>
        </w:rPr>
        <w:t>商标国际注册特别联盟（马德里联盟）</w:t>
      </w:r>
    </w:p>
    <w:p w:rsidR="008B2CC1" w:rsidRPr="00D4124F" w:rsidRDefault="005936E3" w:rsidP="00D4124F">
      <w:pPr>
        <w:spacing w:after="600"/>
        <w:rPr>
          <w:rFonts w:ascii="SimHei" w:eastAsia="SimHei" w:hAnsi="SimHei" w:cs="Times New Roman"/>
          <w:sz w:val="28"/>
          <w:szCs w:val="22"/>
        </w:rPr>
      </w:pPr>
      <w:r w:rsidRPr="00D4124F">
        <w:rPr>
          <w:rFonts w:ascii="SimHei" w:eastAsia="SimHei" w:hAnsi="SimHei" w:cs="Times New Roman" w:hint="eastAsia"/>
          <w:sz w:val="28"/>
          <w:szCs w:val="22"/>
        </w:rPr>
        <w:t>大　会</w:t>
      </w:r>
    </w:p>
    <w:p w:rsidR="008B2CC1" w:rsidRPr="009C127D" w:rsidRDefault="00291047" w:rsidP="00D4124F">
      <w:pPr>
        <w:spacing w:after="720"/>
        <w:textAlignment w:val="bottom"/>
        <w:rPr>
          <w:b/>
          <w:sz w:val="24"/>
        </w:rPr>
      </w:pPr>
      <w:r>
        <w:rPr>
          <w:rFonts w:ascii="KaiTi" w:eastAsia="KaiTi" w:hint="eastAsia"/>
          <w:b/>
          <w:sz w:val="24"/>
          <w:szCs w:val="24"/>
        </w:rPr>
        <w:t>第五十三</w:t>
      </w:r>
      <w:r w:rsidR="00B53BFF">
        <w:rPr>
          <w:rFonts w:ascii="KaiTi" w:eastAsia="KaiTi" w:hint="eastAsia"/>
          <w:b/>
          <w:sz w:val="24"/>
          <w:szCs w:val="24"/>
        </w:rPr>
        <w:t>届会议（第</w:t>
      </w:r>
      <w:r>
        <w:rPr>
          <w:rFonts w:ascii="KaiTi" w:eastAsia="KaiTi" w:hint="eastAsia"/>
          <w:sz w:val="24"/>
          <w:szCs w:val="24"/>
        </w:rPr>
        <w:t>23</w:t>
      </w:r>
      <w:r w:rsidR="00B53BFF">
        <w:rPr>
          <w:rFonts w:ascii="KaiTi" w:eastAsia="KaiTi" w:hint="eastAsia"/>
          <w:b/>
          <w:sz w:val="24"/>
          <w:szCs w:val="24"/>
        </w:rPr>
        <w:t>次</w:t>
      </w:r>
      <w:r>
        <w:rPr>
          <w:rFonts w:ascii="KaiTi" w:eastAsia="KaiTi" w:hint="eastAsia"/>
          <w:b/>
          <w:sz w:val="24"/>
          <w:szCs w:val="24"/>
        </w:rPr>
        <w:t>例会</w:t>
      </w:r>
      <w:r w:rsidR="00B53BFF">
        <w:rPr>
          <w:rFonts w:ascii="KaiTi" w:eastAsia="KaiTi" w:hint="eastAsia"/>
          <w:b/>
          <w:sz w:val="24"/>
          <w:szCs w:val="24"/>
        </w:rPr>
        <w:t>）</w:t>
      </w:r>
      <w:r w:rsidR="00D4124F">
        <w:rPr>
          <w:rFonts w:ascii="KaiTi" w:eastAsia="KaiTi"/>
          <w:b/>
          <w:sz w:val="24"/>
          <w:szCs w:val="24"/>
        </w:rPr>
        <w:br/>
      </w:r>
      <w:r w:rsidR="00B53BFF">
        <w:rPr>
          <w:rFonts w:ascii="KaiTi" w:eastAsia="KaiTi" w:hint="eastAsia"/>
          <w:sz w:val="24"/>
          <w:szCs w:val="24"/>
        </w:rPr>
        <w:t>201</w:t>
      </w:r>
      <w:r>
        <w:rPr>
          <w:rFonts w:ascii="KaiTi" w:eastAsia="KaiTi" w:hint="eastAsia"/>
          <w:sz w:val="24"/>
          <w:szCs w:val="24"/>
        </w:rPr>
        <w:t>9</w:t>
      </w:r>
      <w:r w:rsidR="00B53BFF">
        <w:rPr>
          <w:rFonts w:ascii="KaiTi" w:eastAsia="KaiTi" w:hint="eastAsia"/>
          <w:b/>
          <w:sz w:val="24"/>
          <w:szCs w:val="24"/>
        </w:rPr>
        <w:t>年</w:t>
      </w:r>
      <w:r w:rsidR="00B53BFF">
        <w:rPr>
          <w:rFonts w:ascii="KaiTi" w:eastAsia="KaiTi" w:hint="eastAsia"/>
          <w:sz w:val="24"/>
          <w:szCs w:val="24"/>
        </w:rPr>
        <w:t>9</w:t>
      </w:r>
      <w:r w:rsidR="00B53BFF">
        <w:rPr>
          <w:rFonts w:ascii="KaiTi" w:eastAsia="KaiTi" w:hint="eastAsia"/>
          <w:b/>
          <w:sz w:val="24"/>
          <w:szCs w:val="24"/>
        </w:rPr>
        <w:t>月</w:t>
      </w:r>
      <w:r>
        <w:rPr>
          <w:rFonts w:ascii="KaiTi" w:eastAsia="KaiTi" w:hint="eastAsia"/>
          <w:sz w:val="24"/>
          <w:szCs w:val="24"/>
        </w:rPr>
        <w:t>30</w:t>
      </w:r>
      <w:r w:rsidR="00B53BFF">
        <w:rPr>
          <w:rFonts w:ascii="KaiTi" w:eastAsia="KaiTi" w:hint="eastAsia"/>
          <w:b/>
          <w:sz w:val="24"/>
          <w:szCs w:val="24"/>
        </w:rPr>
        <w:t>日至</w:t>
      </w:r>
      <w:r w:rsidR="00B53BFF">
        <w:rPr>
          <w:rFonts w:ascii="KaiTi" w:eastAsia="KaiTi" w:hint="eastAsia"/>
          <w:sz w:val="24"/>
          <w:szCs w:val="24"/>
        </w:rPr>
        <w:t>10</w:t>
      </w:r>
      <w:r w:rsidR="00B53BFF">
        <w:rPr>
          <w:rFonts w:ascii="KaiTi" w:eastAsia="KaiTi" w:hint="eastAsia"/>
          <w:b/>
          <w:sz w:val="24"/>
          <w:szCs w:val="24"/>
        </w:rPr>
        <w:t>月</w:t>
      </w:r>
      <w:r>
        <w:rPr>
          <w:rFonts w:ascii="KaiTi" w:eastAsia="KaiTi" w:hint="eastAsia"/>
          <w:sz w:val="24"/>
          <w:szCs w:val="24"/>
        </w:rPr>
        <w:t>9</w:t>
      </w:r>
      <w:r w:rsidR="00B53BFF">
        <w:rPr>
          <w:rFonts w:ascii="KaiTi" w:eastAsia="KaiTi" w:hint="eastAsia"/>
          <w:b/>
          <w:sz w:val="24"/>
          <w:szCs w:val="24"/>
        </w:rPr>
        <w:t>日，日内瓦</w:t>
      </w:r>
    </w:p>
    <w:p w:rsidR="008B2CC1" w:rsidRPr="009C127D" w:rsidRDefault="00740A0C" w:rsidP="003D2030">
      <w:pPr>
        <w:spacing w:after="360"/>
        <w:rPr>
          <w:caps/>
          <w:sz w:val="24"/>
        </w:rPr>
      </w:pPr>
      <w:bookmarkStart w:id="3" w:name="TitleOfDoc"/>
      <w:bookmarkEnd w:id="3"/>
      <w:r>
        <w:rPr>
          <w:rFonts w:ascii="KaiTi" w:eastAsia="KaiTi" w:hAnsi="KaiTi" w:hint="eastAsia"/>
          <w:caps/>
          <w:sz w:val="24"/>
        </w:rPr>
        <w:t>报</w:t>
      </w:r>
      <w:r w:rsidR="00CE4D7B">
        <w:rPr>
          <w:rFonts w:ascii="KaiTi" w:eastAsia="KaiTi" w:hAnsi="KaiTi" w:hint="eastAsia"/>
          <w:caps/>
          <w:sz w:val="24"/>
        </w:rPr>
        <w:t xml:space="preserve">　</w:t>
      </w:r>
      <w:r>
        <w:rPr>
          <w:rFonts w:ascii="KaiTi" w:eastAsia="KaiTi" w:hAnsi="KaiTi" w:hint="eastAsia"/>
          <w:caps/>
          <w:sz w:val="24"/>
        </w:rPr>
        <w:t>告</w:t>
      </w:r>
    </w:p>
    <w:p w:rsidR="008B2CC1" w:rsidRPr="00E41C46" w:rsidRDefault="00CE4D7B" w:rsidP="009C127D">
      <w:pPr>
        <w:spacing w:after="960"/>
        <w:rPr>
          <w:i/>
          <w:sz w:val="21"/>
        </w:rPr>
      </w:pPr>
      <w:bookmarkStart w:id="4" w:name="Prepared"/>
      <w:bookmarkEnd w:id="4"/>
      <w:r>
        <w:rPr>
          <w:rFonts w:ascii="KaiTi" w:eastAsia="KaiTi" w:hAnsi="KaiTi" w:hint="eastAsia"/>
          <w:sz w:val="21"/>
          <w:szCs w:val="21"/>
        </w:rPr>
        <w:t>经大会通过</w:t>
      </w:r>
    </w:p>
    <w:p w:rsidR="00291047" w:rsidRPr="00291047" w:rsidRDefault="00291047" w:rsidP="00234948">
      <w:pPr>
        <w:pStyle w:val="ONUME"/>
        <w:tabs>
          <w:tab w:val="clear" w:pos="567"/>
        </w:tabs>
        <w:overflowPunct w:val="0"/>
        <w:spacing w:afterLines="50" w:after="120" w:line="340" w:lineRule="atLeast"/>
        <w:jc w:val="both"/>
        <w:rPr>
          <w:rFonts w:asciiTheme="minorEastAsia" w:eastAsiaTheme="minorEastAsia" w:hAnsiTheme="minorEastAsia"/>
          <w:sz w:val="21"/>
          <w:szCs w:val="21"/>
        </w:rPr>
      </w:pPr>
      <w:proofErr w:type="gramStart"/>
      <w:r w:rsidRPr="00291047">
        <w:rPr>
          <w:rFonts w:asciiTheme="minorEastAsia" w:eastAsiaTheme="minorEastAsia" w:hAnsiTheme="minorEastAsia" w:hint="eastAsia"/>
          <w:sz w:val="21"/>
          <w:szCs w:val="21"/>
        </w:rPr>
        <w:t>本大会</w:t>
      </w:r>
      <w:proofErr w:type="gramEnd"/>
      <w:r w:rsidRPr="00291047">
        <w:rPr>
          <w:rFonts w:asciiTheme="minorEastAsia" w:eastAsiaTheme="minorEastAsia" w:hAnsiTheme="minorEastAsia" w:hint="eastAsia"/>
          <w:sz w:val="21"/>
          <w:szCs w:val="21"/>
        </w:rPr>
        <w:t>涉及统一编排议程（文件</w:t>
      </w:r>
      <w:r w:rsidR="00F56F91">
        <w:rPr>
          <w:rFonts w:asciiTheme="minorEastAsia" w:eastAsiaTheme="minorEastAsia" w:hAnsiTheme="minorEastAsia"/>
          <w:sz w:val="21"/>
          <w:szCs w:val="21"/>
        </w:rPr>
        <w:t>A/5</w:t>
      </w:r>
      <w:r w:rsidR="00F56F91">
        <w:rPr>
          <w:rFonts w:asciiTheme="minorEastAsia" w:eastAsiaTheme="minorEastAsia" w:hAnsiTheme="minorEastAsia" w:hint="eastAsia"/>
          <w:sz w:val="21"/>
          <w:szCs w:val="21"/>
        </w:rPr>
        <w:t>9</w:t>
      </w:r>
      <w:r w:rsidR="00F56F91">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）的下列项目：第</w:t>
      </w:r>
      <w:r w:rsidRPr="00291047">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2</w:t>
      </w:r>
      <w:r w:rsidRPr="00291047">
        <w:rPr>
          <w:rFonts w:asciiTheme="minorEastAsia" w:eastAsiaTheme="minorEastAsia" w:hAnsiTheme="minorEastAsia" w:hint="eastAsia"/>
          <w:sz w:val="21"/>
          <w:szCs w:val="21"/>
        </w:rPr>
        <w:t>、</w:t>
      </w:r>
      <w:r w:rsidR="00D4124F">
        <w:rPr>
          <w:rFonts w:asciiTheme="minorEastAsia" w:eastAsiaTheme="minorEastAsia" w:hAnsiTheme="minorEastAsia" w:hint="eastAsia"/>
          <w:sz w:val="21"/>
          <w:szCs w:val="21"/>
        </w:rPr>
        <w:t>3、</w:t>
      </w:r>
      <w:r w:rsidRPr="00291047">
        <w:rPr>
          <w:rFonts w:asciiTheme="minorEastAsia" w:eastAsiaTheme="minorEastAsia" w:hAnsiTheme="minorEastAsia"/>
          <w:sz w:val="21"/>
          <w:szCs w:val="21"/>
        </w:rPr>
        <w:t>4</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5</w:t>
      </w:r>
      <w:r w:rsidRPr="00291047">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6</w:t>
      </w:r>
      <w:r w:rsidRPr="00291047">
        <w:rPr>
          <w:rFonts w:asciiTheme="minorEastAsia" w:eastAsiaTheme="minorEastAsia" w:hAnsiTheme="minorEastAsia" w:hint="eastAsia"/>
          <w:sz w:val="21"/>
          <w:szCs w:val="21"/>
        </w:rPr>
        <w:t>、</w:t>
      </w:r>
      <w:r w:rsidR="00F56F91">
        <w:rPr>
          <w:rFonts w:asciiTheme="minorEastAsia" w:eastAsiaTheme="minorEastAsia" w:hAnsiTheme="minorEastAsia" w:hint="eastAsia"/>
          <w:sz w:val="21"/>
          <w:szCs w:val="21"/>
        </w:rPr>
        <w:t>8、</w:t>
      </w:r>
      <w:r w:rsidRPr="00291047">
        <w:rPr>
          <w:rFonts w:asciiTheme="minorEastAsia" w:eastAsiaTheme="minorEastAsia" w:hAnsiTheme="minorEastAsia"/>
          <w:sz w:val="21"/>
          <w:szCs w:val="21"/>
        </w:rPr>
        <w:t>11</w:t>
      </w:r>
      <w:r w:rsidR="00F56F91">
        <w:rPr>
          <w:rFonts w:asciiTheme="minorEastAsia" w:eastAsiaTheme="minorEastAsia" w:hAnsiTheme="minorEastAsia" w:hint="eastAsia"/>
          <w:sz w:val="21"/>
          <w:szCs w:val="21"/>
        </w:rPr>
        <w:t>（</w:t>
      </w:r>
      <w:r w:rsidRPr="00291047">
        <w:rPr>
          <w:rFonts w:asciiTheme="minorEastAsia" w:eastAsiaTheme="minorEastAsia" w:hAnsiTheme="minorEastAsia"/>
          <w:sz w:val="21"/>
          <w:szCs w:val="21"/>
        </w:rPr>
        <w:t>ii</w:t>
      </w:r>
      <w:r w:rsidR="00F56F91">
        <w:rPr>
          <w:rFonts w:asciiTheme="minorEastAsia" w:eastAsiaTheme="minorEastAsia" w:hAnsiTheme="minorEastAsia" w:hint="eastAsia"/>
          <w:sz w:val="21"/>
          <w:szCs w:val="21"/>
        </w:rPr>
        <w:t>）</w:t>
      </w:r>
      <w:r w:rsidRPr="00291047">
        <w:rPr>
          <w:rFonts w:asciiTheme="minorEastAsia" w:eastAsiaTheme="minorEastAsia" w:hAnsiTheme="minorEastAsia" w:hint="eastAsia"/>
          <w:sz w:val="21"/>
          <w:szCs w:val="21"/>
        </w:rPr>
        <w:t>、1</w:t>
      </w:r>
      <w:r w:rsidR="00F56F91">
        <w:rPr>
          <w:rFonts w:asciiTheme="minorEastAsia" w:eastAsiaTheme="minorEastAsia" w:hAnsiTheme="minorEastAsia" w:hint="eastAsia"/>
          <w:sz w:val="21"/>
          <w:szCs w:val="21"/>
        </w:rPr>
        <w:t>3</w:t>
      </w:r>
      <w:r w:rsidRPr="00291047">
        <w:rPr>
          <w:rFonts w:asciiTheme="minorEastAsia" w:eastAsiaTheme="minorEastAsia" w:hAnsiTheme="minorEastAsia" w:hint="eastAsia"/>
          <w:sz w:val="21"/>
          <w:szCs w:val="21"/>
        </w:rPr>
        <w:t>、</w:t>
      </w:r>
      <w:r w:rsidR="00F56F91">
        <w:rPr>
          <w:rFonts w:asciiTheme="minorEastAsia" w:eastAsiaTheme="minorEastAsia" w:hAnsiTheme="minorEastAsia" w:hint="eastAsia"/>
          <w:sz w:val="21"/>
          <w:szCs w:val="21"/>
        </w:rPr>
        <w:t>14、</w:t>
      </w:r>
      <w:r w:rsidRPr="00291047">
        <w:rPr>
          <w:rFonts w:asciiTheme="minorEastAsia" w:eastAsiaTheme="minorEastAsia" w:hAnsiTheme="minorEastAsia" w:hint="eastAsia"/>
          <w:sz w:val="21"/>
          <w:szCs w:val="21"/>
        </w:rPr>
        <w:t>2</w:t>
      </w:r>
      <w:r w:rsidR="00F56F91">
        <w:rPr>
          <w:rFonts w:asciiTheme="minorEastAsia" w:eastAsiaTheme="minorEastAsia" w:hAnsiTheme="minorEastAsia" w:hint="eastAsia"/>
          <w:sz w:val="21"/>
          <w:szCs w:val="21"/>
        </w:rPr>
        <w:t>4、32</w:t>
      </w:r>
      <w:r w:rsidRPr="00291047">
        <w:rPr>
          <w:rFonts w:asciiTheme="minorEastAsia" w:eastAsiaTheme="minorEastAsia" w:hAnsiTheme="minorEastAsia" w:hint="eastAsia"/>
          <w:sz w:val="21"/>
          <w:szCs w:val="21"/>
        </w:rPr>
        <w:t>和3</w:t>
      </w:r>
      <w:r w:rsidR="00F56F91">
        <w:rPr>
          <w:rFonts w:asciiTheme="minorEastAsia" w:eastAsiaTheme="minorEastAsia" w:hAnsiTheme="minorEastAsia" w:hint="eastAsia"/>
          <w:sz w:val="21"/>
          <w:szCs w:val="21"/>
        </w:rPr>
        <w:t>3</w:t>
      </w:r>
      <w:r w:rsidRPr="00291047">
        <w:rPr>
          <w:rFonts w:asciiTheme="minorEastAsia" w:eastAsiaTheme="minorEastAsia" w:hAnsiTheme="minorEastAsia" w:hint="eastAsia"/>
          <w:sz w:val="21"/>
          <w:szCs w:val="21"/>
        </w:rPr>
        <w:t>项。</w:t>
      </w:r>
    </w:p>
    <w:p w:rsidR="00291047" w:rsidRPr="00291047" w:rsidRDefault="00291047" w:rsidP="00234948">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除第2</w:t>
      </w:r>
      <w:r w:rsidR="00F56F91">
        <w:rPr>
          <w:rFonts w:asciiTheme="minorEastAsia" w:eastAsiaTheme="minorEastAsia" w:hAnsiTheme="minorEastAsia" w:hint="eastAsia"/>
          <w:sz w:val="21"/>
          <w:szCs w:val="21"/>
        </w:rPr>
        <w:t>4</w:t>
      </w:r>
      <w:r w:rsidRPr="00291047">
        <w:rPr>
          <w:rFonts w:asciiTheme="minorEastAsia" w:eastAsiaTheme="minorEastAsia" w:hAnsiTheme="minorEastAsia" w:hint="eastAsia"/>
          <w:sz w:val="21"/>
          <w:szCs w:val="21"/>
        </w:rPr>
        <w:t>项外，关于上述各项的报告均载于总报告（文件A/5</w:t>
      </w:r>
      <w:r w:rsidR="00F56F91">
        <w:rPr>
          <w:rFonts w:asciiTheme="minorEastAsia" w:eastAsiaTheme="minorEastAsia" w:hAnsiTheme="minorEastAsia" w:hint="eastAsia"/>
          <w:sz w:val="21"/>
          <w:szCs w:val="21"/>
        </w:rPr>
        <w:t>9</w:t>
      </w:r>
      <w:r w:rsidRPr="00291047">
        <w:rPr>
          <w:rFonts w:asciiTheme="minorEastAsia" w:eastAsiaTheme="minorEastAsia" w:hAnsiTheme="minorEastAsia" w:hint="eastAsia"/>
          <w:sz w:val="21"/>
          <w:szCs w:val="21"/>
        </w:rPr>
        <w:t>/</w:t>
      </w:r>
      <w:r w:rsidR="00D4124F">
        <w:rPr>
          <w:rFonts w:asciiTheme="minorEastAsia" w:eastAsiaTheme="minorEastAsia" w:hAnsiTheme="minorEastAsia"/>
          <w:sz w:val="21"/>
          <w:szCs w:val="21"/>
        </w:rPr>
        <w:t>14</w:t>
      </w:r>
      <w:r w:rsidRPr="00291047">
        <w:rPr>
          <w:rFonts w:asciiTheme="minorEastAsia" w:eastAsiaTheme="minorEastAsia" w:hAnsiTheme="minorEastAsia" w:hint="eastAsia"/>
          <w:sz w:val="21"/>
          <w:szCs w:val="21"/>
        </w:rPr>
        <w:t>）。</w:t>
      </w:r>
    </w:p>
    <w:p w:rsidR="00291047" w:rsidRPr="00291047" w:rsidRDefault="00291047" w:rsidP="00234948">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关于第2</w:t>
      </w:r>
      <w:r w:rsidR="00E1658B">
        <w:rPr>
          <w:rFonts w:asciiTheme="minorEastAsia" w:eastAsiaTheme="minorEastAsia" w:hAnsiTheme="minorEastAsia" w:hint="eastAsia"/>
          <w:sz w:val="21"/>
          <w:szCs w:val="21"/>
        </w:rPr>
        <w:t>4</w:t>
      </w:r>
      <w:r w:rsidRPr="00291047">
        <w:rPr>
          <w:rFonts w:asciiTheme="minorEastAsia" w:eastAsiaTheme="minorEastAsia" w:hAnsiTheme="minorEastAsia" w:hint="eastAsia"/>
          <w:sz w:val="21"/>
          <w:szCs w:val="21"/>
        </w:rPr>
        <w:t>项的报告载于本文件。</w:t>
      </w:r>
    </w:p>
    <w:p w:rsidR="00291047" w:rsidRPr="00002E2C" w:rsidRDefault="00E41C46" w:rsidP="00002E2C">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02E2C">
        <w:rPr>
          <w:rFonts w:asciiTheme="minorEastAsia" w:eastAsiaTheme="minorEastAsia" w:hAnsiTheme="minorEastAsia" w:hint="eastAsia"/>
          <w:sz w:val="21"/>
          <w:szCs w:val="21"/>
        </w:rPr>
        <w:t>德尼·博胡苏先生（非洲知识产权组织）</w:t>
      </w:r>
      <w:r w:rsidR="00E1658B" w:rsidRPr="00002E2C">
        <w:rPr>
          <w:rFonts w:asciiTheme="minorEastAsia" w:eastAsiaTheme="minorEastAsia" w:hAnsiTheme="minorEastAsia" w:hint="eastAsia"/>
          <w:sz w:val="21"/>
          <w:szCs w:val="21"/>
        </w:rPr>
        <w:t>当选大会主席；</w:t>
      </w:r>
      <w:r w:rsidR="000A4176" w:rsidRPr="00002E2C">
        <w:rPr>
          <w:rFonts w:asciiTheme="minorEastAsia" w:eastAsiaTheme="minorEastAsia" w:hAnsiTheme="minorEastAsia" w:hint="eastAsia"/>
          <w:sz w:val="21"/>
          <w:szCs w:val="21"/>
        </w:rPr>
        <w:t>艾萨克·哈桑先生</w:t>
      </w:r>
      <w:r w:rsidRPr="00002E2C">
        <w:rPr>
          <w:rFonts w:asciiTheme="minorEastAsia" w:eastAsiaTheme="minorEastAsia" w:hAnsiTheme="minorEastAsia" w:hint="eastAsia"/>
          <w:sz w:val="21"/>
          <w:szCs w:val="21"/>
        </w:rPr>
        <w:t>（</w:t>
      </w:r>
      <w:r w:rsidR="000A4176" w:rsidRPr="00002E2C">
        <w:rPr>
          <w:rFonts w:asciiTheme="minorEastAsia" w:eastAsiaTheme="minorEastAsia" w:hAnsiTheme="minorEastAsia" w:hint="eastAsia"/>
          <w:sz w:val="21"/>
          <w:szCs w:val="21"/>
        </w:rPr>
        <w:t>肯尼亚</w:t>
      </w:r>
      <w:r w:rsidRPr="00002E2C">
        <w:rPr>
          <w:rFonts w:asciiTheme="minorEastAsia" w:eastAsiaTheme="minorEastAsia" w:hAnsiTheme="minorEastAsia" w:hint="eastAsia"/>
          <w:sz w:val="21"/>
          <w:szCs w:val="21"/>
        </w:rPr>
        <w:t>）和</w:t>
      </w:r>
      <w:r w:rsidR="000A4176" w:rsidRPr="00002E2C">
        <w:rPr>
          <w:rFonts w:asciiTheme="minorEastAsia" w:eastAsiaTheme="minorEastAsia" w:hAnsiTheme="minorEastAsia" w:hint="eastAsia"/>
          <w:sz w:val="21"/>
          <w:szCs w:val="21"/>
        </w:rPr>
        <w:t>菲利普·卡德雷先生</w:t>
      </w:r>
      <w:r w:rsidRPr="00002E2C">
        <w:rPr>
          <w:rFonts w:asciiTheme="minorEastAsia" w:eastAsiaTheme="minorEastAsia" w:hAnsiTheme="minorEastAsia" w:hint="eastAsia"/>
          <w:sz w:val="21"/>
          <w:szCs w:val="21"/>
        </w:rPr>
        <w:t>（</w:t>
      </w:r>
      <w:r w:rsidR="000A4176" w:rsidRPr="00002E2C">
        <w:rPr>
          <w:rFonts w:asciiTheme="minorEastAsia" w:eastAsiaTheme="minorEastAsia" w:hAnsiTheme="minorEastAsia" w:hint="eastAsia"/>
          <w:sz w:val="21"/>
          <w:szCs w:val="21"/>
        </w:rPr>
        <w:t>法国</w:t>
      </w:r>
      <w:r w:rsidRPr="00002E2C">
        <w:rPr>
          <w:rFonts w:asciiTheme="minorEastAsia" w:eastAsiaTheme="minorEastAsia" w:hAnsiTheme="minorEastAsia" w:hint="eastAsia"/>
          <w:sz w:val="21"/>
          <w:szCs w:val="21"/>
        </w:rPr>
        <w:t>）</w:t>
      </w:r>
      <w:r w:rsidR="00E1658B" w:rsidRPr="00002E2C">
        <w:rPr>
          <w:rFonts w:asciiTheme="minorEastAsia" w:eastAsiaTheme="minorEastAsia" w:hAnsiTheme="minorEastAsia" w:hint="eastAsia"/>
          <w:sz w:val="21"/>
          <w:szCs w:val="21"/>
        </w:rPr>
        <w:t>当选</w:t>
      </w:r>
      <w:r w:rsidR="002F6B15" w:rsidRPr="00002E2C">
        <w:rPr>
          <w:rFonts w:asciiTheme="minorEastAsia" w:eastAsiaTheme="minorEastAsia" w:hAnsiTheme="minorEastAsia" w:hint="eastAsia"/>
          <w:sz w:val="21"/>
          <w:szCs w:val="21"/>
        </w:rPr>
        <w:t>大会</w:t>
      </w:r>
      <w:r w:rsidR="00E1658B" w:rsidRPr="00002E2C">
        <w:rPr>
          <w:rFonts w:asciiTheme="minorEastAsia" w:eastAsiaTheme="minorEastAsia" w:hAnsiTheme="minorEastAsia" w:hint="eastAsia"/>
          <w:sz w:val="21"/>
          <w:szCs w:val="21"/>
        </w:rPr>
        <w:t>副主席。</w:t>
      </w:r>
    </w:p>
    <w:p w:rsidR="00291047" w:rsidRPr="00291047" w:rsidRDefault="00291047" w:rsidP="00291047">
      <w:pPr>
        <w:rPr>
          <w:rFonts w:asciiTheme="minorEastAsia" w:eastAsiaTheme="minorEastAsia" w:hAnsiTheme="minorEastAsia"/>
          <w:bCs/>
          <w:caps/>
          <w:kern w:val="32"/>
          <w:sz w:val="21"/>
          <w:szCs w:val="21"/>
        </w:rPr>
      </w:pPr>
      <w:r w:rsidRPr="00291047">
        <w:rPr>
          <w:rFonts w:asciiTheme="minorEastAsia" w:eastAsiaTheme="minorEastAsia" w:hAnsiTheme="minorEastAsia" w:hint="eastAsia"/>
          <w:b/>
          <w:sz w:val="21"/>
          <w:szCs w:val="21"/>
        </w:rPr>
        <w:br w:type="page"/>
      </w:r>
    </w:p>
    <w:p w:rsidR="00291047" w:rsidRPr="00291047" w:rsidRDefault="00291047" w:rsidP="00291047">
      <w:pPr>
        <w:keepNext/>
        <w:spacing w:beforeLines="100" w:before="240" w:line="340" w:lineRule="atLeast"/>
        <w:jc w:val="both"/>
        <w:rPr>
          <w:rFonts w:ascii="KaiTi" w:eastAsia="KaiTi" w:hAnsi="KaiTi"/>
          <w:snapToGrid w:val="0"/>
          <w:sz w:val="21"/>
          <w:szCs w:val="21"/>
        </w:rPr>
      </w:pPr>
      <w:r w:rsidRPr="00291047">
        <w:rPr>
          <w:rFonts w:ascii="KaiTi" w:eastAsia="KaiTi" w:hAnsi="KaiTi" w:hint="eastAsia"/>
          <w:snapToGrid w:val="0"/>
          <w:sz w:val="21"/>
          <w:szCs w:val="21"/>
        </w:rPr>
        <w:lastRenderedPageBreak/>
        <w:t>统一编排议程第2</w:t>
      </w:r>
      <w:r w:rsidR="00467B7A">
        <w:rPr>
          <w:rFonts w:ascii="KaiTi" w:eastAsia="KaiTi" w:hAnsi="KaiTi" w:hint="eastAsia"/>
          <w:snapToGrid w:val="0"/>
          <w:sz w:val="21"/>
          <w:szCs w:val="21"/>
        </w:rPr>
        <w:t>4</w:t>
      </w:r>
      <w:r w:rsidRPr="00291047">
        <w:rPr>
          <w:rFonts w:ascii="KaiTi" w:eastAsia="KaiTi" w:hAnsi="KaiTi" w:hint="eastAsia"/>
          <w:snapToGrid w:val="0"/>
          <w:sz w:val="21"/>
          <w:szCs w:val="21"/>
        </w:rPr>
        <w:t>项</w:t>
      </w:r>
    </w:p>
    <w:p w:rsidR="00291047" w:rsidRPr="00291047" w:rsidRDefault="00291047" w:rsidP="00291047">
      <w:pPr>
        <w:keepNext/>
        <w:spacing w:afterLines="50" w:after="120" w:line="340" w:lineRule="atLeast"/>
        <w:jc w:val="both"/>
        <w:rPr>
          <w:rFonts w:ascii="SimHei" w:eastAsia="SimHei" w:hAnsi="SimHei"/>
          <w:snapToGrid w:val="0"/>
          <w:sz w:val="21"/>
          <w:szCs w:val="21"/>
        </w:rPr>
      </w:pPr>
      <w:r w:rsidRPr="00291047">
        <w:rPr>
          <w:rFonts w:ascii="SimHei" w:eastAsia="SimHei" w:hAnsi="SimHei" w:hint="eastAsia"/>
          <w:snapToGrid w:val="0"/>
          <w:sz w:val="21"/>
          <w:szCs w:val="21"/>
        </w:rPr>
        <w:t>马德里体系</w:t>
      </w:r>
    </w:p>
    <w:p w:rsidR="00D4124F" w:rsidRDefault="00D4124F" w:rsidP="00EC6903">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主席对马德里联盟大会（下称大会）2018年10月上届会议以来加入《商标国际注册马德里协定有关议定书》（下称《马德里议定书》）的五个新缔约方</w:t>
      </w:r>
      <w:r w:rsidR="00414D9C">
        <w:rPr>
          <w:rFonts w:ascii="SimSun" w:hAnsi="SimSun" w:hint="eastAsia"/>
          <w:sz w:val="21"/>
          <w:szCs w:val="21"/>
        </w:rPr>
        <w:t>，</w:t>
      </w:r>
      <w:r w:rsidRPr="00D4124F">
        <w:rPr>
          <w:rFonts w:ascii="SimSun" w:hAnsi="SimSun" w:hint="eastAsia"/>
          <w:sz w:val="21"/>
          <w:szCs w:val="21"/>
        </w:rPr>
        <w:t>即巴西、加拿大、马拉维、马来西亚和萨摩亚表示欢迎。</w:t>
      </w:r>
    </w:p>
    <w:p w:rsidR="00D4124F" w:rsidRPr="00660161" w:rsidRDefault="00D4124F" w:rsidP="00660161">
      <w:pPr>
        <w:pStyle w:val="ONUME"/>
        <w:keepNext/>
        <w:numPr>
          <w:ilvl w:val="0"/>
          <w:numId w:val="0"/>
        </w:numPr>
        <w:overflowPunct w:val="0"/>
        <w:spacing w:beforeLines="100" w:before="240" w:afterLines="50" w:after="120" w:line="340" w:lineRule="atLeast"/>
        <w:rPr>
          <w:rFonts w:ascii="SimSun" w:hAnsi="SimSun"/>
          <w:sz w:val="21"/>
          <w:szCs w:val="21"/>
          <w:u w:val="single"/>
        </w:rPr>
      </w:pPr>
      <w:r w:rsidRPr="00660161">
        <w:rPr>
          <w:rFonts w:ascii="SimSun" w:hAnsi="SimSun" w:hint="eastAsia"/>
          <w:sz w:val="21"/>
          <w:szCs w:val="21"/>
          <w:u w:val="single"/>
        </w:rPr>
        <w:t>《商标国际注册马德里协定有关议定书实施细则》拟议修正案</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讨论依据文件MM/A/53/1进行。</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秘书处表示，文件MM/A/53/1涉及对《商标国际注册马德里协定有关议定书实施细则》（下称《实施细则》）的拟议修改。商标国际注册马德里体系法律发展工作组（下称工作组）第十七届会议</w:t>
      </w:r>
      <w:r w:rsidR="00EC6903" w:rsidRPr="00D4124F">
        <w:rPr>
          <w:rFonts w:ascii="SimSun" w:hAnsi="SimSun" w:hint="eastAsia"/>
          <w:sz w:val="21"/>
          <w:szCs w:val="21"/>
        </w:rPr>
        <w:t>建议</w:t>
      </w:r>
      <w:r w:rsidRPr="00D4124F">
        <w:rPr>
          <w:rFonts w:ascii="SimSun" w:hAnsi="SimSun" w:hint="eastAsia"/>
          <w:sz w:val="21"/>
          <w:szCs w:val="21"/>
        </w:rPr>
        <w:t>通过这些修改。拟议修正案将有助于正在开展的关于简化《实施细则》的工作，并使马德里体系能够更方便商标持有人和缔约方主管局使用。更具体地说，拟议修正案就其性质而言颇具技术性，涉及</w:t>
      </w:r>
      <w:r w:rsidR="00EC6903">
        <w:rPr>
          <w:rFonts w:ascii="SimSun" w:hAnsi="SimSun" w:hint="eastAsia"/>
          <w:sz w:val="21"/>
          <w:szCs w:val="21"/>
        </w:rPr>
        <w:t>代替</w:t>
      </w:r>
      <w:r w:rsidRPr="00D4124F">
        <w:rPr>
          <w:rFonts w:ascii="SimSun" w:hAnsi="SimSun" w:hint="eastAsia"/>
          <w:sz w:val="21"/>
          <w:szCs w:val="21"/>
        </w:rPr>
        <w:t>、所有权变更、分割、合并和续展。建议所有修正案于2020年2月1日生效，但细则21的修正案除外，建议于2021年2月1日生效。</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巴西代表团宣布，根据第10.033号总统令，《马德里议定书》已经在巴西国内和国际层面生效，即巴西已经成为马德里体系的正式成员。代表团还通知称，巴西时尚和鞋业知名公司Arezzo已经在巴西提交了第一份马德里体系下的国际申请。代表团强调，产权组织巴西办事处提供的支持对加入《马德里议定书》的整个过程至关重要，包括提供技术援助以适应知识产权局的内部制度，以及组织研讨会以提高企业、律师和学者对马德里体系的好处的认识。代表团称，它相信并希望巴西加入马德里体系将改变拉丁美洲地区的游戏规则。主要优势是保证从巴西领土进入马德里体系，这将有利于国内中小企业），特别是创新者和创造者，并且有利于大型出口企业，特别是农业企业。《马德里议定书》将作为一种战略工具，在寻求采用一种模式使巴西实现企业国际化的同时，提高竞争力并保护巴西企业及其商标，此外，还将</w:t>
      </w:r>
      <w:proofErr w:type="gramStart"/>
      <w:r w:rsidRPr="00D4124F">
        <w:rPr>
          <w:rFonts w:ascii="SimSun" w:hAnsi="SimSun" w:hint="eastAsia"/>
          <w:sz w:val="21"/>
          <w:szCs w:val="21"/>
        </w:rPr>
        <w:t>使决定</w:t>
      </w:r>
      <w:proofErr w:type="gramEnd"/>
      <w:r w:rsidRPr="00D4124F">
        <w:rPr>
          <w:rFonts w:ascii="SimSun" w:hAnsi="SimSun" w:hint="eastAsia"/>
          <w:sz w:val="21"/>
          <w:szCs w:val="21"/>
        </w:rPr>
        <w:t>对新巴西进行投资的企业受益。</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中国代表团表示，《实施细则》修正案在</w:t>
      </w:r>
      <w:r w:rsidR="00EC6903">
        <w:rPr>
          <w:rFonts w:ascii="SimSun" w:hAnsi="SimSun" w:hint="eastAsia"/>
          <w:sz w:val="21"/>
          <w:szCs w:val="21"/>
        </w:rPr>
        <w:t>代替</w:t>
      </w:r>
      <w:r w:rsidRPr="00D4124F">
        <w:rPr>
          <w:rFonts w:ascii="SimSun" w:hAnsi="SimSun" w:hint="eastAsia"/>
          <w:sz w:val="21"/>
          <w:szCs w:val="21"/>
        </w:rPr>
        <w:t>的操作方面为商标持有人和主管局提供了指导；澄清了要求记录国际注册所有权变更的多个受让人必须满足的条件；以及使</w:t>
      </w:r>
      <w:r w:rsidR="00EC6903">
        <w:rPr>
          <w:rFonts w:ascii="SimSun" w:hAnsi="SimSun" w:hint="eastAsia"/>
          <w:sz w:val="21"/>
          <w:szCs w:val="21"/>
        </w:rPr>
        <w:t>注册人</w:t>
      </w:r>
      <w:r w:rsidRPr="00D4124F">
        <w:rPr>
          <w:rFonts w:ascii="SimSun" w:hAnsi="SimSun" w:hint="eastAsia"/>
          <w:sz w:val="21"/>
          <w:szCs w:val="21"/>
        </w:rPr>
        <w:t>更加容易更新其国际注册。代表团称，它同意拟议的修改，因为它们为用户提供了更多的便利。代表团回顾说，在当年工作组会议上，各代表团就在马德里体系中引入新语言的各种备选方案进行了深入讨论，并就这种引入达成了初步协议。代表团称，它希望在工作组明年的会议上就此问题取得更多进展。</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哥伦比亚代表团回顾说，哥伦比亚加入马德里体系已有七年，该体系是吸引和便利外国国民注册商标的重要手段。代表团强调指出，在向哥伦比亚国家工业产权主管部门即哥伦比亚工商监督局提交的</w:t>
      </w:r>
      <w:r w:rsidR="00EC6903">
        <w:rPr>
          <w:rFonts w:ascii="SimSun" w:hAnsi="SimSun" w:hint="eastAsia"/>
          <w:sz w:val="21"/>
          <w:szCs w:val="21"/>
        </w:rPr>
        <w:t>显著性</w:t>
      </w:r>
      <w:r w:rsidRPr="00D4124F">
        <w:rPr>
          <w:rFonts w:ascii="SimSun" w:hAnsi="SimSun" w:hint="eastAsia"/>
          <w:sz w:val="21"/>
          <w:szCs w:val="21"/>
        </w:rPr>
        <w:t>标志注册申请总数中，有24%是领土</w:t>
      </w:r>
      <w:r w:rsidRPr="00660161">
        <w:rPr>
          <w:rFonts w:asciiTheme="minorEastAsia" w:eastAsiaTheme="minorEastAsia" w:hAnsiTheme="minorEastAsia" w:hint="eastAsia"/>
          <w:sz w:val="21"/>
          <w:szCs w:val="21"/>
        </w:rPr>
        <w:t>延伸</w:t>
      </w:r>
      <w:r w:rsidRPr="00D4124F">
        <w:rPr>
          <w:rFonts w:ascii="SimSun" w:hAnsi="SimSun" w:hint="eastAsia"/>
          <w:sz w:val="21"/>
          <w:szCs w:val="21"/>
        </w:rPr>
        <w:t>申请。在过去三年里，平均申请数量为45,000</w:t>
      </w:r>
      <w:r w:rsidR="00EC6903">
        <w:rPr>
          <w:rFonts w:ascii="SimSun" w:hAnsi="SimSun" w:hint="eastAsia"/>
          <w:sz w:val="21"/>
          <w:szCs w:val="21"/>
        </w:rPr>
        <w:t>件</w:t>
      </w:r>
      <w:r w:rsidRPr="00D4124F">
        <w:rPr>
          <w:rFonts w:ascii="SimSun" w:hAnsi="SimSun" w:hint="eastAsia"/>
          <w:sz w:val="21"/>
          <w:szCs w:val="21"/>
        </w:rPr>
        <w:t>，其中10,800</w:t>
      </w:r>
      <w:r w:rsidR="00EC6903">
        <w:rPr>
          <w:rFonts w:ascii="SimSun" w:hAnsi="SimSun" w:hint="eastAsia"/>
          <w:sz w:val="21"/>
          <w:szCs w:val="21"/>
        </w:rPr>
        <w:t>件</w:t>
      </w:r>
      <w:r w:rsidRPr="00D4124F">
        <w:rPr>
          <w:rFonts w:ascii="SimSun" w:hAnsi="SimSun" w:hint="eastAsia"/>
          <w:sz w:val="21"/>
          <w:szCs w:val="21"/>
        </w:rPr>
        <w:t>为领土延伸申请。另一方面，根据《马德里议定书》在哥伦比亚提交的指定其他缔约方的国际申请</w:t>
      </w:r>
      <w:r w:rsidR="00EC6903">
        <w:rPr>
          <w:rFonts w:ascii="SimSun" w:hAnsi="SimSun" w:hint="eastAsia"/>
          <w:sz w:val="21"/>
          <w:szCs w:val="21"/>
        </w:rPr>
        <w:t>，</w:t>
      </w:r>
      <w:r w:rsidRPr="00D4124F">
        <w:rPr>
          <w:rFonts w:ascii="SimSun" w:hAnsi="SimSun" w:hint="eastAsia"/>
          <w:sz w:val="21"/>
          <w:szCs w:val="21"/>
        </w:rPr>
        <w:t>仅占哥伦比亚人在国外提出的申请数量的0.49%，即每年不超过40项。代表团称，它意识到有必要继续宣传马德里体系及其优势，使其成为哥伦比亚企业家</w:t>
      </w:r>
      <w:r w:rsidR="00414D9C">
        <w:rPr>
          <w:rFonts w:ascii="SimSun" w:hAnsi="SimSun" w:hint="eastAsia"/>
          <w:sz w:val="21"/>
          <w:szCs w:val="21"/>
        </w:rPr>
        <w:t>尤其是中小企业的企业家在国外拓展业务的实用工具。代表团建议探索其他</w:t>
      </w:r>
      <w:r w:rsidRPr="00D4124F">
        <w:rPr>
          <w:rFonts w:ascii="SimSun" w:hAnsi="SimSun" w:hint="eastAsia"/>
          <w:sz w:val="21"/>
          <w:szCs w:val="21"/>
        </w:rPr>
        <w:t>办法，以便继续与产权组织密切合作，在国内企业家和贸易商中传播和推广《马德里议定书》。</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俄罗斯联邦代表团表示不反对文件中所载的提案。代表团表示，它欢迎工作组为扩大马德里体系的语言制度所开展的活动，这项</w:t>
      </w:r>
      <w:r w:rsidRPr="00660161">
        <w:rPr>
          <w:rFonts w:asciiTheme="minorEastAsia" w:eastAsiaTheme="minorEastAsia" w:hAnsiTheme="minorEastAsia" w:hint="eastAsia"/>
          <w:sz w:val="21"/>
          <w:szCs w:val="21"/>
        </w:rPr>
        <w:t>活动</w:t>
      </w:r>
      <w:r w:rsidRPr="00D4124F">
        <w:rPr>
          <w:rFonts w:ascii="SimSun" w:hAnsi="SimSun" w:hint="eastAsia"/>
          <w:sz w:val="21"/>
          <w:szCs w:val="21"/>
        </w:rPr>
        <w:t>也得到了俄罗斯联邦参与的一个地区集团</w:t>
      </w:r>
      <w:r w:rsidR="001774DE">
        <w:rPr>
          <w:rFonts w:ascii="SimSun" w:hAnsi="SimSun" w:hint="eastAsia"/>
          <w:sz w:val="21"/>
          <w:szCs w:val="21"/>
        </w:rPr>
        <w:t>和俄罗斯联邦</w:t>
      </w:r>
      <w:r w:rsidRPr="00D4124F">
        <w:rPr>
          <w:rFonts w:ascii="SimSun" w:hAnsi="SimSun" w:hint="eastAsia"/>
          <w:sz w:val="21"/>
          <w:szCs w:val="21"/>
        </w:rPr>
        <w:t>专业界的支持。这种扩大将有利于来自上述地区集团各国的申请人，也将有助于增加俄罗斯联邦和其他国家</w:t>
      </w:r>
      <w:r w:rsidRPr="00D4124F">
        <w:rPr>
          <w:rFonts w:ascii="SimSun" w:hAnsi="SimSun" w:hint="eastAsia"/>
          <w:sz w:val="21"/>
          <w:szCs w:val="21"/>
        </w:rPr>
        <w:lastRenderedPageBreak/>
        <w:t>马德里体系的用户数量。代表团称，俄罗斯联邦很高兴与产权组织合作，以俄文提供相关术语，并</w:t>
      </w:r>
      <w:proofErr w:type="gramStart"/>
      <w:r w:rsidRPr="00D4124F">
        <w:rPr>
          <w:rFonts w:ascii="SimSun" w:hAnsi="SimSun" w:hint="eastAsia"/>
          <w:sz w:val="21"/>
          <w:szCs w:val="21"/>
        </w:rPr>
        <w:t>回顾称</w:t>
      </w:r>
      <w:proofErr w:type="gramEnd"/>
      <w:r w:rsidRPr="00D4124F">
        <w:rPr>
          <w:rFonts w:ascii="SimSun" w:hAnsi="SimSun" w:hint="eastAsia"/>
          <w:sz w:val="21"/>
          <w:szCs w:val="21"/>
        </w:rPr>
        <w:t>当时的马德里体系商品和服务数据库有一个俄文界面，其中以俄文提供的内容已经达到80%。俄罗斯联邦准备协助继续开展这项工作，以确保整个数据库都能以俄文提供，这一目标可以在不增加太多费用的情况下实现。代表团回顾称，俄罗斯联邦的马德里体系用户是该地区最活跃的用户，并表示它同意秘书处在其研究报告中得出的结论，即扩大语言制度对于提高马德里体系的使用率至关重要，当然，用户也将从中受益。马德里体系的翻译制度应保持该体系的可持续性，同时避免产生额外支出。拥有一个更加有效的翻译制度将有助于优化支出，这可以通过使用自动翻译工具来完成。</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马来西亚代表团回顾称，马来西亚已于2019年9月27日交存了其《马德里议定书》加入书，并感谢产权组织继续提供支持和指导，使马来西亚能够为其生效完成必要的准备工作。代表团说，实施《马德里议定书》将促进对马来西亚商标所有人的国际保护，并鼓励外国商标所有人在马来西亚寻求保护。马来西亚和来自马德里体系所有缔约方的商标所有人都将从中获益，使做生意更加容易，并将促进经济增长，以实现共同繁荣。</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萨摩亚代表团感谢产权组织在其2018年加入马德里体系前后给予的支持。代表团表示，从年初至今，在《马德里议定书》生效后的六个月里，商标注册数量增加了300%以上。代表团说，它相信产权组织还将继续提供支持，并期待与所有成员共同努力，实现所有人互惠互利。</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联合王国代表团表示，联合王国继续积极参与马德里联盟，这是其</w:t>
      </w:r>
      <w:proofErr w:type="gramStart"/>
      <w:r w:rsidRPr="00D4124F">
        <w:rPr>
          <w:rFonts w:ascii="SimSun" w:hAnsi="SimSun" w:hint="eastAsia"/>
          <w:sz w:val="21"/>
          <w:szCs w:val="21"/>
        </w:rPr>
        <w:t>所有利益</w:t>
      </w:r>
      <w:proofErr w:type="gramEnd"/>
      <w:r w:rsidRPr="00D4124F">
        <w:rPr>
          <w:rFonts w:ascii="SimSun" w:hAnsi="SimSun" w:hint="eastAsia"/>
          <w:sz w:val="21"/>
          <w:szCs w:val="21"/>
        </w:rPr>
        <w:t>攸关方都高度重视的体系</w:t>
      </w:r>
      <w:r w:rsidR="00EC6903">
        <w:rPr>
          <w:rFonts w:ascii="SimSun" w:hAnsi="SimSun" w:hint="eastAsia"/>
          <w:sz w:val="21"/>
          <w:szCs w:val="21"/>
        </w:rPr>
        <w:t>。</w:t>
      </w:r>
      <w:r w:rsidRPr="00D4124F">
        <w:rPr>
          <w:rFonts w:ascii="SimSun" w:hAnsi="SimSun" w:hint="eastAsia"/>
          <w:sz w:val="21"/>
          <w:szCs w:val="21"/>
        </w:rPr>
        <w:t>此外，联合王国确保拥有</w:t>
      </w:r>
      <w:r w:rsidRPr="00660161">
        <w:rPr>
          <w:rFonts w:asciiTheme="minorEastAsia" w:eastAsiaTheme="minorEastAsia" w:hAnsiTheme="minorEastAsia" w:hint="eastAsia"/>
          <w:sz w:val="21"/>
          <w:szCs w:val="21"/>
        </w:rPr>
        <w:t>指定</w:t>
      </w:r>
      <w:r w:rsidRPr="00D4124F">
        <w:rPr>
          <w:rFonts w:ascii="SimSun" w:hAnsi="SimSun" w:hint="eastAsia"/>
          <w:sz w:val="21"/>
          <w:szCs w:val="21"/>
        </w:rPr>
        <w:t>欧洲联盟的国际注册的权利人在本国10月底脱离欧盟时不会丧失任何权利。代表团回顾说，联合王国在工作组2017年会议上提交的一份政策文件中就其希望在马德里体系中看到的未来变化阐述了明确的立场，并且表示期待与产权组织和其他马德里成员合作，在接下来的几个月中推进这些优先事项。</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塔吉克斯坦代表团代表中亚、</w:t>
      </w:r>
      <w:r w:rsidRPr="00660161">
        <w:rPr>
          <w:rFonts w:asciiTheme="minorEastAsia" w:eastAsiaTheme="minorEastAsia" w:hAnsiTheme="minorEastAsia" w:hint="eastAsia"/>
          <w:sz w:val="21"/>
          <w:szCs w:val="21"/>
        </w:rPr>
        <w:t>高加索</w:t>
      </w:r>
      <w:r w:rsidRPr="00D4124F">
        <w:rPr>
          <w:rFonts w:ascii="SimSun" w:hAnsi="SimSun" w:hint="eastAsia"/>
          <w:sz w:val="21"/>
          <w:szCs w:val="21"/>
        </w:rPr>
        <w:t>和东欧国家（CACEEC）集团发言，表示希望对扩大马德里体系语言覆盖面的前景进行全面研究。集团还对将</w:t>
      </w:r>
      <w:r w:rsidR="0096670D">
        <w:rPr>
          <w:rFonts w:ascii="SimSun" w:hAnsi="SimSun" w:hint="eastAsia"/>
          <w:sz w:val="21"/>
          <w:szCs w:val="21"/>
        </w:rPr>
        <w:t>俄文</w:t>
      </w:r>
      <w:r w:rsidRPr="00D4124F">
        <w:rPr>
          <w:rFonts w:ascii="SimSun" w:hAnsi="SimSun" w:hint="eastAsia"/>
          <w:sz w:val="21"/>
          <w:szCs w:val="21"/>
        </w:rPr>
        <w:t>作为该体系的官方语文之一表示关</w:t>
      </w:r>
      <w:r w:rsidR="0096670D">
        <w:rPr>
          <w:rFonts w:ascii="SimSun" w:hAnsi="SimSun" w:hint="eastAsia"/>
          <w:sz w:val="21"/>
          <w:szCs w:val="21"/>
        </w:rPr>
        <w:t>心</w:t>
      </w:r>
      <w:r w:rsidRPr="00D4124F">
        <w:rPr>
          <w:rFonts w:ascii="SimSun" w:hAnsi="SimSun" w:hint="eastAsia"/>
          <w:sz w:val="21"/>
          <w:szCs w:val="21"/>
        </w:rPr>
        <w:t>，</w:t>
      </w:r>
      <w:r w:rsidR="0096670D">
        <w:rPr>
          <w:rFonts w:ascii="SimSun" w:hAnsi="SimSun" w:hint="eastAsia"/>
          <w:sz w:val="21"/>
          <w:szCs w:val="21"/>
        </w:rPr>
        <w:t>这有助于</w:t>
      </w:r>
      <w:r w:rsidRPr="00D4124F">
        <w:rPr>
          <w:rFonts w:ascii="SimSun" w:hAnsi="SimSun" w:hint="eastAsia"/>
          <w:sz w:val="21"/>
          <w:szCs w:val="21"/>
        </w:rPr>
        <w:t>来自CACEEC各国的申请人更加广泛地获得产权组织服务。</w:t>
      </w:r>
    </w:p>
    <w:p w:rsidR="00D4124F" w:rsidRPr="00D27178" w:rsidRDefault="00D27178" w:rsidP="00234948">
      <w:pPr>
        <w:pStyle w:val="ONUME"/>
        <w:tabs>
          <w:tab w:val="clear" w:pos="567"/>
        </w:tabs>
        <w:spacing w:afterLines="50" w:after="120" w:line="340" w:lineRule="atLeast"/>
        <w:ind w:left="567"/>
        <w:jc w:val="both"/>
        <w:rPr>
          <w:rFonts w:ascii="SimSun" w:hAnsi="SimSun"/>
          <w:sz w:val="21"/>
          <w:szCs w:val="21"/>
        </w:rPr>
      </w:pPr>
      <w:r w:rsidRPr="00D27178">
        <w:rPr>
          <w:rFonts w:ascii="SimSun" w:hAnsi="SimSun" w:hint="eastAsia"/>
          <w:sz w:val="21"/>
          <w:szCs w:val="21"/>
        </w:rPr>
        <w:t>马德里联盟大会按文件MM/A/53/1附件中所列，通过了《商标国际注册马德里协定有关议定书实施细则》第21条、第25条、第27条之二、第30条和第40条的修正案。</w:t>
      </w:r>
    </w:p>
    <w:p w:rsidR="00D4124F" w:rsidRPr="00660161" w:rsidRDefault="00D4124F" w:rsidP="00660161">
      <w:pPr>
        <w:pStyle w:val="ONUME"/>
        <w:keepNext/>
        <w:numPr>
          <w:ilvl w:val="0"/>
          <w:numId w:val="0"/>
        </w:numPr>
        <w:overflowPunct w:val="0"/>
        <w:spacing w:beforeLines="100" w:before="240" w:afterLines="50" w:after="120" w:line="340" w:lineRule="atLeast"/>
        <w:rPr>
          <w:rFonts w:ascii="SimSun" w:hAnsi="SimSun"/>
          <w:sz w:val="21"/>
          <w:szCs w:val="21"/>
          <w:u w:val="single"/>
        </w:rPr>
      </w:pPr>
      <w:r w:rsidRPr="00660161">
        <w:rPr>
          <w:rFonts w:ascii="SimSun" w:hAnsi="SimSun" w:hint="eastAsia"/>
          <w:sz w:val="21"/>
          <w:szCs w:val="21"/>
          <w:u w:val="single"/>
        </w:rPr>
        <w:t>关于分配马德里联盟2020/2021两年期盈余的提案</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讨论依据文件MM/A/53/2进行。</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美利坚合众国代表团介绍了该文件，并表示提交该文件是为了确保马德里联盟成员有机会决定它们希望如何使用2020/2021两年期的任何盈余。代表团回顾说，根据《马德里协定》和《议定书》，任何盈余均可平等分配给每个成员。马德里联盟预计会有大量盈余，尽管存在支付能力方法，但仍然会有盈余，这将提高马德里联盟在共同</w:t>
      </w:r>
      <w:r w:rsidR="00EC6903">
        <w:rPr>
          <w:rFonts w:ascii="SimSun" w:hAnsi="SimSun" w:hint="eastAsia"/>
          <w:sz w:val="21"/>
          <w:szCs w:val="21"/>
        </w:rPr>
        <w:t>开支</w:t>
      </w:r>
      <w:r w:rsidRPr="00D4124F">
        <w:rPr>
          <w:rFonts w:ascii="SimSun" w:hAnsi="SimSun" w:hint="eastAsia"/>
          <w:sz w:val="21"/>
          <w:szCs w:val="21"/>
        </w:rPr>
        <w:t>中的支付比例，因为某些其他注册制度产生的收入不足。鉴于马德里联盟的储备</w:t>
      </w:r>
      <w:proofErr w:type="gramStart"/>
      <w:r w:rsidRPr="00D4124F">
        <w:rPr>
          <w:rFonts w:ascii="SimSun" w:hAnsi="SimSun" w:hint="eastAsia"/>
          <w:sz w:val="21"/>
          <w:szCs w:val="21"/>
        </w:rPr>
        <w:t>金超过</w:t>
      </w:r>
      <w:proofErr w:type="gramEnd"/>
      <w:r w:rsidRPr="00D4124F">
        <w:rPr>
          <w:rFonts w:ascii="SimSun" w:hAnsi="SimSun" w:hint="eastAsia"/>
          <w:sz w:val="21"/>
          <w:szCs w:val="21"/>
        </w:rPr>
        <w:t>其目标，代表团称，它认为马德里联盟决定按照文件第8段的提议，将盈余平等分配给其成员是适当的。代表团指出，瑞士代表团在文件A/59/11中提出了一项非常不同的提案，该提案将设立单一预算，除其他外，将剥夺马德里联盟成员国决定未来任何盈余分配的权利。代表团请秘书处向大会解释何时需要就分配特定两年期的盈余问题</w:t>
      </w:r>
      <w:proofErr w:type="gramStart"/>
      <w:r w:rsidRPr="00D4124F">
        <w:rPr>
          <w:rFonts w:ascii="SimSun" w:hAnsi="SimSun" w:hint="eastAsia"/>
          <w:sz w:val="21"/>
          <w:szCs w:val="21"/>
        </w:rPr>
        <w:t>作出</w:t>
      </w:r>
      <w:proofErr w:type="gramEnd"/>
      <w:r w:rsidRPr="00D4124F">
        <w:rPr>
          <w:rFonts w:ascii="SimSun" w:hAnsi="SimSun" w:hint="eastAsia"/>
          <w:sz w:val="21"/>
          <w:szCs w:val="21"/>
        </w:rPr>
        <w:t>决定。代表团称，关于这一点，它收到的信息有些不一致，考虑到马德里联盟上次有盈余可供分配已经是好几年之前的事情了，最好提醒一下</w:t>
      </w:r>
      <w:proofErr w:type="gramStart"/>
      <w:r w:rsidRPr="00D4124F">
        <w:rPr>
          <w:rFonts w:ascii="SimSun" w:hAnsi="SimSun" w:hint="eastAsia"/>
          <w:sz w:val="21"/>
          <w:szCs w:val="21"/>
        </w:rPr>
        <w:t>作出</w:t>
      </w:r>
      <w:proofErr w:type="gramEnd"/>
      <w:r w:rsidRPr="00D4124F">
        <w:rPr>
          <w:rFonts w:ascii="SimSun" w:hAnsi="SimSun" w:hint="eastAsia"/>
          <w:sz w:val="21"/>
          <w:szCs w:val="21"/>
        </w:rPr>
        <w:t>这种决定所需的时间。</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lastRenderedPageBreak/>
        <w:t>法国代表团感谢美利坚合众国代表团的提案，但指出这一提案似乎尚不成熟。代表团补充说，由于其公布的时间较晚，它无法对该提案进行详细分析，也无法审议其对</w:t>
      </w:r>
      <w:r w:rsidR="00150BB7">
        <w:rPr>
          <w:rFonts w:ascii="SimSun" w:hAnsi="SimSun" w:hint="eastAsia"/>
          <w:sz w:val="21"/>
          <w:szCs w:val="21"/>
        </w:rPr>
        <w:t>马德里</w:t>
      </w:r>
      <w:r w:rsidRPr="00D4124F">
        <w:rPr>
          <w:rFonts w:ascii="SimSun" w:hAnsi="SimSun" w:hint="eastAsia"/>
          <w:sz w:val="21"/>
          <w:szCs w:val="21"/>
        </w:rPr>
        <w:t>体系长期运作的影响，也无法审议其在涉及储备金时对产权组织一般政策的影响。代表团回顾说，为了吸引新成员并使该体系更具吸引力和更易于操作，产权组织应继续通过投资于信息和通信技术以及可能价格昂贵的技术援助的方式来实现该体系的现代化。必须开发计算机系统以保证高质量，特别是通过开发新技术和实现主管局与产权组织之间的通信现代化，确保该体系可以接受新的商标类型。俄罗斯联邦代表团提到</w:t>
      </w:r>
      <w:r w:rsidR="00150BB7">
        <w:rPr>
          <w:rFonts w:ascii="SimSun" w:hAnsi="SimSun" w:hint="eastAsia"/>
          <w:sz w:val="21"/>
          <w:szCs w:val="21"/>
        </w:rPr>
        <w:t>并</w:t>
      </w:r>
      <w:r w:rsidRPr="00D4124F">
        <w:rPr>
          <w:rFonts w:ascii="SimSun" w:hAnsi="SimSun" w:hint="eastAsia"/>
          <w:sz w:val="21"/>
          <w:szCs w:val="21"/>
        </w:rPr>
        <w:t>且有几个代表团要求逐步采用新的语言，如果这么做，将需要在人力资源、技术支持和数据库方面进行大量投资。出于所有这些原因，将马德里联盟的盈余分配给其成员似乎为时过早。代表团表示，如果要就该提案进行进一步讨论，它将要求适用《产权组织财务条例和细则》第4.7条；也就是说，盈余应计入联盟的储备基金，这样它就可以进行前面提到的投资，以保证向国际商标制度的用户提供高质量的服务。</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瑞士代表团感谢美利坚合众国代表团的提案，并表示瑞士非常重视马德里体系的顺利运作。国际局的注意力必须继续集中在商标</w:t>
      </w:r>
      <w:r w:rsidR="00150BB7" w:rsidRPr="00D4124F">
        <w:rPr>
          <w:rFonts w:ascii="SimSun" w:hAnsi="SimSun" w:hint="eastAsia"/>
          <w:sz w:val="21"/>
          <w:szCs w:val="21"/>
        </w:rPr>
        <w:t>国际</w:t>
      </w:r>
      <w:r w:rsidR="00150BB7">
        <w:rPr>
          <w:rFonts w:ascii="SimSun" w:hAnsi="SimSun" w:hint="eastAsia"/>
          <w:sz w:val="21"/>
          <w:szCs w:val="21"/>
        </w:rPr>
        <w:t>注册体系</w:t>
      </w:r>
      <w:r w:rsidRPr="00D4124F">
        <w:rPr>
          <w:rFonts w:ascii="SimSun" w:hAnsi="SimSun" w:hint="eastAsia"/>
          <w:sz w:val="21"/>
          <w:szCs w:val="21"/>
        </w:rPr>
        <w:t>的核心任务上。首先想到的项目是马德里体系的现代化，例如，开发一个新的计算机平台。这一平台的良好运作将是产权组织履行其作为全球商标服务提供商的作用的一个关键因素。对用户的吸引力与国际注册的质量密切相关，这意味着提供最短的处理时间、国际注册簿上的正确登记和适当的电子解决方案。对于马德里联盟的成员来说，这意味着确保有必要的财务资源，用于进一步开发计算机工具和系统，以满足用户和主管局的需要。代表团指出，美利坚合众国代表团在文件MM/A/53/2中提出的将2020/2021两年期的盈余平等分给马德里联盟成员国是不合适的。代表团表示，应通过对计算机系统进行必要的投资，优先改善所提供的服务，并根据《产权组织财务条例和细则》第4.7条，希望将盈余留在马德里联盟的储备基金中，这样就可以使投资成为马德里体系顺利运作所必需的保障。代表团回顾了美利坚合众国代表团就其在文件A/59/11中提出的提案所发表的评论，根据美利坚合众国代表团的说法，这将阻止马德里联盟成员</w:t>
      </w:r>
      <w:proofErr w:type="gramStart"/>
      <w:r w:rsidRPr="00D4124F">
        <w:rPr>
          <w:rFonts w:ascii="SimSun" w:hAnsi="SimSun" w:hint="eastAsia"/>
          <w:sz w:val="21"/>
          <w:szCs w:val="21"/>
        </w:rPr>
        <w:t>作出</w:t>
      </w:r>
      <w:proofErr w:type="gramEnd"/>
      <w:r w:rsidRPr="00D4124F">
        <w:rPr>
          <w:rFonts w:ascii="SimSun" w:hAnsi="SimSun" w:hint="eastAsia"/>
          <w:sz w:val="21"/>
          <w:szCs w:val="21"/>
        </w:rPr>
        <w:t>正在审议的文件中所建议的决定。代表团表示，这一评论并不准确。代表团澄清说，文件A/59/11在统一预算下提出的建议涉及计划和预算</w:t>
      </w:r>
      <w:bookmarkStart w:id="5" w:name="_GoBack"/>
      <w:bookmarkEnd w:id="5"/>
      <w:r w:rsidRPr="00D4124F">
        <w:rPr>
          <w:rFonts w:ascii="SimSun" w:hAnsi="SimSun" w:hint="eastAsia"/>
          <w:sz w:val="21"/>
          <w:szCs w:val="21"/>
        </w:rPr>
        <w:t>的列报方式，特别是其附件三。该提案不涉及受条约约束的成员义务，在本案中，就是马德里联盟。每个联盟将继续根据该联盟大会的决定</w:t>
      </w:r>
      <w:proofErr w:type="gramStart"/>
      <w:r w:rsidRPr="00D4124F">
        <w:rPr>
          <w:rFonts w:ascii="SimSun" w:hAnsi="SimSun" w:hint="eastAsia"/>
          <w:sz w:val="21"/>
          <w:szCs w:val="21"/>
        </w:rPr>
        <w:t>作出</w:t>
      </w:r>
      <w:proofErr w:type="gramEnd"/>
      <w:r w:rsidRPr="00D4124F">
        <w:rPr>
          <w:rFonts w:ascii="SimSun" w:hAnsi="SimSun" w:hint="eastAsia"/>
          <w:sz w:val="21"/>
          <w:szCs w:val="21"/>
        </w:rPr>
        <w:t>自己的决定，联盟的运作方式不会改变。代表团表示，如果有必要，它可以重新讨论议程第13项。</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意大利代表团表示，虽然注意到</w:t>
      </w:r>
      <w:r w:rsidRPr="00660161">
        <w:rPr>
          <w:rFonts w:asciiTheme="minorEastAsia" w:eastAsiaTheme="minorEastAsia" w:hAnsiTheme="minorEastAsia" w:hint="eastAsia"/>
          <w:sz w:val="21"/>
          <w:szCs w:val="21"/>
        </w:rPr>
        <w:t>美利坚合众国代表团</w:t>
      </w:r>
      <w:r w:rsidRPr="00D4124F">
        <w:rPr>
          <w:rFonts w:ascii="SimSun" w:hAnsi="SimSun" w:hint="eastAsia"/>
          <w:sz w:val="21"/>
          <w:szCs w:val="21"/>
        </w:rPr>
        <w:t>提出的提案，但出于法国和瑞士代表团已经表达过的同样理由，最好将盈余分配给储备基金。</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总干事回答了美利坚合众国代表团提出的问题，并解释说，是否存在盈余必须在财政期结束且审计员在该财政期结束的账目上签字后确定。这通常是在12月份财政期结束后的次年4月份。总干事回顾称，产权组织实行</w:t>
      </w:r>
      <w:r w:rsidR="00193706">
        <w:rPr>
          <w:rFonts w:ascii="SimSun" w:hAnsi="SimSun" w:hint="eastAsia"/>
          <w:sz w:val="21"/>
          <w:szCs w:val="21"/>
        </w:rPr>
        <w:t>的是</w:t>
      </w:r>
      <w:r w:rsidRPr="00D4124F">
        <w:rPr>
          <w:rFonts w:ascii="SimSun" w:hAnsi="SimSun" w:hint="eastAsia"/>
          <w:sz w:val="21"/>
          <w:szCs w:val="21"/>
        </w:rPr>
        <w:t>年度财务报表制</w:t>
      </w:r>
      <w:r w:rsidR="00193706">
        <w:rPr>
          <w:rFonts w:ascii="SimSun" w:hAnsi="SimSun" w:hint="eastAsia"/>
          <w:sz w:val="21"/>
          <w:szCs w:val="21"/>
        </w:rPr>
        <w:t>，和</w:t>
      </w:r>
      <w:r w:rsidRPr="00D4124F">
        <w:rPr>
          <w:rFonts w:ascii="SimSun" w:hAnsi="SimSun" w:hint="eastAsia"/>
          <w:sz w:val="21"/>
          <w:szCs w:val="21"/>
        </w:rPr>
        <w:t>两年</w:t>
      </w:r>
      <w:r w:rsidR="00193706">
        <w:rPr>
          <w:rFonts w:ascii="SimSun" w:hAnsi="SimSun" w:hint="eastAsia"/>
          <w:sz w:val="21"/>
          <w:szCs w:val="21"/>
        </w:rPr>
        <w:t>预算及</w:t>
      </w:r>
      <w:r w:rsidRPr="00D4124F">
        <w:rPr>
          <w:rFonts w:ascii="SimSun" w:hAnsi="SimSun" w:hint="eastAsia"/>
          <w:sz w:val="21"/>
          <w:szCs w:val="21"/>
        </w:rPr>
        <w:t>储备金</w:t>
      </w:r>
      <w:r w:rsidR="00193706">
        <w:rPr>
          <w:rFonts w:ascii="SimSun" w:hAnsi="SimSun" w:hint="eastAsia"/>
          <w:sz w:val="21"/>
          <w:szCs w:val="21"/>
        </w:rPr>
        <w:t>结转制</w:t>
      </w:r>
      <w:r w:rsidRPr="00D4124F">
        <w:rPr>
          <w:rFonts w:ascii="SimSun" w:hAnsi="SimSun" w:hint="eastAsia"/>
          <w:sz w:val="21"/>
          <w:szCs w:val="21"/>
        </w:rPr>
        <w:t>。马德里联盟等一些联盟的收入来自直接向市场提供服务的费用，因此，容易</w:t>
      </w:r>
      <w:r w:rsidRPr="00660161">
        <w:rPr>
          <w:rFonts w:asciiTheme="minorEastAsia" w:eastAsiaTheme="minorEastAsia" w:hAnsiTheme="minorEastAsia" w:hint="eastAsia"/>
          <w:sz w:val="21"/>
          <w:szCs w:val="21"/>
        </w:rPr>
        <w:t>受到</w:t>
      </w:r>
      <w:r w:rsidRPr="00D4124F">
        <w:rPr>
          <w:rFonts w:ascii="SimSun" w:hAnsi="SimSun" w:hint="eastAsia"/>
          <w:sz w:val="21"/>
          <w:szCs w:val="21"/>
        </w:rPr>
        <w:t>市场活动下滑的影响。如果在两年期的第一年末宣布盈余，将会使有关联盟在该两年期的第二年面临风险。回顾产权组织服务在过去10年中的发展历史将有助于理解金融危机可能对产权组织各体系造成的影响，特别是美利坚合众国银行业危机在2009年引发了全球金融危机。总干事回顾称，产权组织在《专利合作条约》（PCT）和马德里体系的收入都急剧下降，并解释说马德里体系因为涉及新的产品和服务而特别容易受到影响。新产品和新服务的商标被取消。当金融业衰退时，首当其冲的是对新产品和新服务的投资。因此，将在两年期结束后的4月份确定是否存在盈余。考虑到前面提到的脆弱性，这就是审慎的财务管理办法。总干事表示，2020/2021两年期出现盈余的可能性将在2022年4月确定，并补充说，希望到那时，成员国之间正在进行的关于产权组织财务管理的一般性对话将会得出一些结论。</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lastRenderedPageBreak/>
        <w:t>美利坚合众国代表团感谢总干事的解释，并且表示，由于马德里联盟的财务状况将在2022年4月明朗，因此，必须在2021年大会期间</w:t>
      </w:r>
      <w:proofErr w:type="gramStart"/>
      <w:r w:rsidRPr="00D4124F">
        <w:rPr>
          <w:rFonts w:ascii="SimSun" w:hAnsi="SimSun" w:hint="eastAsia"/>
          <w:sz w:val="21"/>
          <w:szCs w:val="21"/>
        </w:rPr>
        <w:t>作出</w:t>
      </w:r>
      <w:proofErr w:type="gramEnd"/>
      <w:r w:rsidRPr="00D4124F">
        <w:rPr>
          <w:rFonts w:ascii="SimSun" w:hAnsi="SimSun" w:hint="eastAsia"/>
          <w:sz w:val="21"/>
          <w:szCs w:val="21"/>
        </w:rPr>
        <w:t>决定，以避免盈余自动进入储备基金。代表团指出，显然，在必须</w:t>
      </w:r>
      <w:proofErr w:type="gramStart"/>
      <w:r w:rsidRPr="00D4124F">
        <w:rPr>
          <w:rFonts w:ascii="SimSun" w:hAnsi="SimSun" w:hint="eastAsia"/>
          <w:sz w:val="21"/>
          <w:szCs w:val="21"/>
        </w:rPr>
        <w:t>作出</w:t>
      </w:r>
      <w:proofErr w:type="gramEnd"/>
      <w:r w:rsidRPr="00D4124F">
        <w:rPr>
          <w:rFonts w:ascii="SimSun" w:hAnsi="SimSun" w:hint="eastAsia"/>
          <w:sz w:val="21"/>
          <w:szCs w:val="21"/>
        </w:rPr>
        <w:t>决定之前还有时间，而且正如法国、瑞士和意大利代表团所认识到的那样，马德里联盟需要对一些重要项目进行投资，例如新的信息和技术项目。代表团称，该提案的主要目的是强调只有马德里联盟才能做出这样的决定，马德里联盟有责任讨论其供资优先事项，如果它不决定使用盈余，盈余将进入马德里联盟的储备基金。</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总干事澄清说，如果马德里联盟大会愿意，它决定2020/2021两年期盈余分配的第一个场合将会出现在2022年9月。</w:t>
      </w:r>
    </w:p>
    <w:p w:rsidR="00D4124F" w:rsidRDefault="00D4124F" w:rsidP="00234948">
      <w:pPr>
        <w:pStyle w:val="ONUME"/>
        <w:tabs>
          <w:tab w:val="clear" w:pos="567"/>
        </w:tabs>
        <w:overflowPunct w:val="0"/>
        <w:spacing w:afterLines="50" w:after="120" w:line="340" w:lineRule="atLeast"/>
        <w:jc w:val="both"/>
        <w:rPr>
          <w:rFonts w:ascii="SimSun" w:hAnsi="SimSun"/>
          <w:sz w:val="21"/>
          <w:szCs w:val="21"/>
        </w:rPr>
      </w:pPr>
      <w:r w:rsidRPr="00D4124F">
        <w:rPr>
          <w:rFonts w:ascii="SimSun" w:hAnsi="SimSun" w:hint="eastAsia"/>
          <w:sz w:val="21"/>
          <w:szCs w:val="21"/>
        </w:rPr>
        <w:t>中国代表团感谢美利坚合众国代表团的提案。代表团称，正如总干事所解释的那样，《2020/2021两年期计划和预算》的实施情况仍然存在不确定性，现在讨论尚未产生的盈余分配还为时过早。代表团回顾称，马德里体系继续</w:t>
      </w:r>
      <w:r w:rsidRPr="00660161">
        <w:rPr>
          <w:rFonts w:asciiTheme="minorEastAsia" w:eastAsiaTheme="minorEastAsia" w:hAnsiTheme="minorEastAsia" w:hint="eastAsia"/>
          <w:sz w:val="21"/>
          <w:szCs w:val="21"/>
        </w:rPr>
        <w:t>发展</w:t>
      </w:r>
      <w:r w:rsidRPr="00D4124F">
        <w:rPr>
          <w:rFonts w:ascii="SimSun" w:hAnsi="SimSun" w:hint="eastAsia"/>
          <w:sz w:val="21"/>
          <w:szCs w:val="21"/>
        </w:rPr>
        <w:t>，并面临一系列新的挑战，例如，吸引新成员或采用新语言。马德里联盟的盈余应用于促进马德里体系的发展。盈余分配关系重大，需要所有成员谨慎对待，深入分析该提案及其对马德里体系和产权组织财务状况的影响。代表团表示，当下讨论盈余的分配问题不恰当。</w:t>
      </w:r>
    </w:p>
    <w:p w:rsidR="00660161" w:rsidRDefault="00D27178" w:rsidP="00660161">
      <w:pPr>
        <w:pStyle w:val="ONUME"/>
        <w:tabs>
          <w:tab w:val="clear" w:pos="567"/>
        </w:tabs>
        <w:spacing w:afterLines="50" w:after="120" w:line="340" w:lineRule="atLeast"/>
        <w:ind w:left="567"/>
        <w:jc w:val="both"/>
        <w:rPr>
          <w:rFonts w:ascii="SimSun" w:hAnsi="SimSun"/>
          <w:sz w:val="21"/>
          <w:szCs w:val="21"/>
        </w:rPr>
      </w:pPr>
      <w:r w:rsidRPr="00D27178">
        <w:rPr>
          <w:rFonts w:ascii="SimSun" w:hAnsi="SimSun" w:hint="eastAsia"/>
          <w:sz w:val="21"/>
          <w:szCs w:val="21"/>
        </w:rPr>
        <w:t>马德里联盟大会：</w:t>
      </w:r>
    </w:p>
    <w:p w:rsidR="00D27178" w:rsidRPr="00D27178" w:rsidRDefault="00D27178" w:rsidP="00660161">
      <w:pPr>
        <w:pStyle w:val="ONUME"/>
        <w:numPr>
          <w:ilvl w:val="0"/>
          <w:numId w:val="0"/>
        </w:numPr>
        <w:spacing w:afterLines="50" w:after="120" w:line="340" w:lineRule="atLeast"/>
        <w:ind w:left="1134"/>
        <w:jc w:val="both"/>
        <w:rPr>
          <w:rFonts w:ascii="SimSun" w:hAnsi="SimSun"/>
          <w:sz w:val="21"/>
          <w:szCs w:val="21"/>
        </w:rPr>
      </w:pPr>
      <w:r w:rsidRPr="00D27178">
        <w:rPr>
          <w:rFonts w:ascii="SimSun" w:hAnsi="SimSun" w:hint="eastAsia"/>
          <w:sz w:val="21"/>
          <w:szCs w:val="21"/>
        </w:rPr>
        <w:t>（</w:t>
      </w:r>
      <w:proofErr w:type="spellStart"/>
      <w:r w:rsidRPr="00D27178">
        <w:rPr>
          <w:rFonts w:ascii="SimSun" w:hAnsi="SimSun"/>
          <w:sz w:val="21"/>
          <w:szCs w:val="21"/>
        </w:rPr>
        <w:t>i</w:t>
      </w:r>
      <w:proofErr w:type="spellEnd"/>
      <w:r w:rsidRPr="00D27178">
        <w:rPr>
          <w:rFonts w:ascii="SimSun" w:hAnsi="SimSun" w:hint="eastAsia"/>
          <w:sz w:val="21"/>
          <w:szCs w:val="21"/>
        </w:rPr>
        <w:t>）注意到</w:t>
      </w:r>
      <w:r w:rsidRPr="00D27178">
        <w:rPr>
          <w:rFonts w:ascii="SimSun" w:hAnsi="SimSun"/>
          <w:sz w:val="21"/>
          <w:szCs w:val="21"/>
        </w:rPr>
        <w:t>“</w:t>
      </w:r>
      <w:r w:rsidRPr="00D27178">
        <w:rPr>
          <w:rFonts w:ascii="SimSun" w:hAnsi="SimSun" w:hint="eastAsia"/>
          <w:sz w:val="21"/>
          <w:szCs w:val="21"/>
        </w:rPr>
        <w:t>关于</w:t>
      </w:r>
      <w:r w:rsidRPr="00660161">
        <w:rPr>
          <w:rFonts w:asciiTheme="minorEastAsia" w:eastAsiaTheme="minorEastAsia" w:hAnsiTheme="minorEastAsia" w:hint="eastAsia"/>
          <w:sz w:val="21"/>
          <w:szCs w:val="21"/>
        </w:rPr>
        <w:t>分配</w:t>
      </w:r>
      <w:r w:rsidRPr="00D27178">
        <w:rPr>
          <w:rFonts w:ascii="SimSun" w:hAnsi="SimSun" w:hint="eastAsia"/>
          <w:sz w:val="21"/>
          <w:szCs w:val="21"/>
        </w:rPr>
        <w:t>马德里联盟</w:t>
      </w:r>
      <w:r w:rsidRPr="00D27178">
        <w:rPr>
          <w:rFonts w:ascii="SimSun" w:hAnsi="SimSun"/>
          <w:sz w:val="21"/>
          <w:szCs w:val="21"/>
        </w:rPr>
        <w:t>2020/21</w:t>
      </w:r>
      <w:r w:rsidRPr="00D27178">
        <w:rPr>
          <w:rFonts w:ascii="SimSun" w:hAnsi="SimSun" w:hint="eastAsia"/>
          <w:sz w:val="21"/>
          <w:szCs w:val="21"/>
        </w:rPr>
        <w:t>两年期盈余的提案</w:t>
      </w:r>
      <w:r w:rsidRPr="00D27178">
        <w:rPr>
          <w:rFonts w:ascii="SimSun" w:hAnsi="SimSun"/>
          <w:sz w:val="21"/>
          <w:szCs w:val="21"/>
        </w:rPr>
        <w:t>”</w:t>
      </w:r>
      <w:r w:rsidRPr="00D27178">
        <w:rPr>
          <w:rFonts w:ascii="SimSun" w:hAnsi="SimSun" w:hint="eastAsia"/>
          <w:sz w:val="21"/>
          <w:szCs w:val="21"/>
        </w:rPr>
        <w:t>（文件</w:t>
      </w:r>
      <w:r w:rsidRPr="00D27178">
        <w:rPr>
          <w:rFonts w:ascii="SimSun" w:hAnsi="SimSun"/>
          <w:sz w:val="21"/>
          <w:szCs w:val="21"/>
        </w:rPr>
        <w:t>MM/A/53/2</w:t>
      </w:r>
      <w:r w:rsidRPr="00D27178">
        <w:rPr>
          <w:rFonts w:ascii="SimSun" w:hAnsi="SimSun" w:hint="eastAsia"/>
          <w:sz w:val="21"/>
          <w:szCs w:val="21"/>
        </w:rPr>
        <w:t>）；并</w:t>
      </w:r>
      <w:r w:rsidR="00E642FA">
        <w:rPr>
          <w:rFonts w:ascii="SimSun" w:hAnsi="SimSun"/>
          <w:sz w:val="21"/>
          <w:szCs w:val="21"/>
        </w:rPr>
        <w:t>‍</w:t>
      </w:r>
      <w:r w:rsidRPr="00D27178">
        <w:rPr>
          <w:rFonts w:ascii="SimSun" w:hAnsi="SimSun" w:hint="eastAsia"/>
          <w:sz w:val="21"/>
          <w:szCs w:val="21"/>
        </w:rPr>
        <w:t>且</w:t>
      </w:r>
    </w:p>
    <w:p w:rsidR="00D27178" w:rsidRPr="00D27178" w:rsidRDefault="00D27178" w:rsidP="00660161">
      <w:pPr>
        <w:pStyle w:val="ONUME"/>
        <w:numPr>
          <w:ilvl w:val="0"/>
          <w:numId w:val="0"/>
        </w:numPr>
        <w:spacing w:afterLines="50" w:after="120" w:line="340" w:lineRule="atLeast"/>
        <w:ind w:left="1134"/>
        <w:jc w:val="both"/>
        <w:rPr>
          <w:rFonts w:ascii="SimSun" w:hAnsi="SimSun"/>
          <w:sz w:val="21"/>
          <w:szCs w:val="21"/>
        </w:rPr>
      </w:pPr>
      <w:r w:rsidRPr="00D27178">
        <w:rPr>
          <w:rFonts w:ascii="SimSun" w:hAnsi="SimSun" w:hint="eastAsia"/>
          <w:sz w:val="21"/>
          <w:szCs w:val="21"/>
        </w:rPr>
        <w:t>（</w:t>
      </w:r>
      <w:r w:rsidRPr="00D27178">
        <w:rPr>
          <w:rFonts w:ascii="SimSun" w:hAnsi="SimSun"/>
          <w:sz w:val="21"/>
          <w:szCs w:val="21"/>
        </w:rPr>
        <w:t>ii</w:t>
      </w:r>
      <w:r w:rsidRPr="00D27178">
        <w:rPr>
          <w:rFonts w:ascii="SimSun" w:hAnsi="SimSun" w:hint="eastAsia"/>
          <w:sz w:val="21"/>
          <w:szCs w:val="21"/>
        </w:rPr>
        <w:t>）决定在大会下一届会议上讨论该提案。</w:t>
      </w:r>
    </w:p>
    <w:p w:rsidR="00291047" w:rsidRPr="00291047" w:rsidRDefault="00291047" w:rsidP="00D4124F">
      <w:pPr>
        <w:spacing w:before="720" w:afterLines="50" w:after="120" w:line="340" w:lineRule="atLeast"/>
        <w:ind w:left="5534"/>
        <w:rPr>
          <w:rFonts w:ascii="KaiTi" w:eastAsia="KaiTi" w:hAnsi="KaiTi"/>
          <w:sz w:val="21"/>
          <w:szCs w:val="21"/>
        </w:rPr>
      </w:pPr>
      <w:r w:rsidRPr="00291047">
        <w:rPr>
          <w:rFonts w:ascii="KaiTi" w:eastAsia="KaiTi" w:hAnsi="KaiTi" w:hint="eastAsia"/>
          <w:sz w:val="21"/>
          <w:szCs w:val="21"/>
        </w:rPr>
        <w:t>[文件完]</w:t>
      </w:r>
    </w:p>
    <w:sectPr w:rsidR="00291047" w:rsidRPr="00291047" w:rsidSect="00174AC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69E" w:rsidRDefault="001D169E">
      <w:r>
        <w:separator/>
      </w:r>
    </w:p>
  </w:endnote>
  <w:endnote w:type="continuationSeparator" w:id="0">
    <w:p w:rsidR="001D169E" w:rsidRDefault="001D169E" w:rsidP="003B38C1">
      <w:r>
        <w:separator/>
      </w:r>
    </w:p>
    <w:p w:rsidR="001D169E" w:rsidRPr="003B38C1" w:rsidRDefault="001D169E" w:rsidP="003B38C1">
      <w:pPr>
        <w:spacing w:after="60"/>
        <w:rPr>
          <w:sz w:val="17"/>
        </w:rPr>
      </w:pPr>
      <w:r>
        <w:rPr>
          <w:sz w:val="17"/>
        </w:rPr>
        <w:t>[Endnote continued from previous page]</w:t>
      </w:r>
    </w:p>
  </w:endnote>
  <w:endnote w:type="continuationNotice" w:id="1">
    <w:p w:rsidR="001D169E" w:rsidRPr="003B38C1" w:rsidRDefault="001D16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69E" w:rsidRDefault="001D169E">
      <w:r>
        <w:separator/>
      </w:r>
    </w:p>
  </w:footnote>
  <w:footnote w:type="continuationSeparator" w:id="0">
    <w:p w:rsidR="001D169E" w:rsidRDefault="001D169E" w:rsidP="008B60B2">
      <w:r>
        <w:separator/>
      </w:r>
    </w:p>
    <w:p w:rsidR="001D169E" w:rsidRPr="00ED77FB" w:rsidRDefault="001D169E" w:rsidP="008B60B2">
      <w:pPr>
        <w:spacing w:after="60"/>
        <w:rPr>
          <w:sz w:val="17"/>
          <w:szCs w:val="17"/>
        </w:rPr>
      </w:pPr>
      <w:r w:rsidRPr="00ED77FB">
        <w:rPr>
          <w:sz w:val="17"/>
          <w:szCs w:val="17"/>
        </w:rPr>
        <w:t>[Footnote continued from previous page]</w:t>
      </w:r>
    </w:p>
  </w:footnote>
  <w:footnote w:type="continuationNotice" w:id="1">
    <w:p w:rsidR="001D169E" w:rsidRPr="00ED77FB" w:rsidRDefault="001D16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BA7CF8" w:rsidRDefault="00174ACC" w:rsidP="00477D6B">
    <w:pPr>
      <w:jc w:val="right"/>
      <w:rPr>
        <w:rFonts w:asciiTheme="majorEastAsia" w:eastAsiaTheme="majorEastAsia" w:hAnsiTheme="majorEastAsia"/>
        <w:sz w:val="20"/>
      </w:rPr>
    </w:pPr>
    <w:bookmarkStart w:id="6" w:name="Code2"/>
    <w:bookmarkEnd w:id="6"/>
    <w:r w:rsidRPr="00BA7CF8">
      <w:rPr>
        <w:rFonts w:asciiTheme="majorEastAsia" w:eastAsiaTheme="majorEastAsia" w:hAnsiTheme="majorEastAsia"/>
        <w:sz w:val="20"/>
      </w:rPr>
      <w:t>MM/A/5</w:t>
    </w:r>
    <w:r w:rsidR="008F06ED" w:rsidRPr="00BA7CF8">
      <w:rPr>
        <w:rFonts w:asciiTheme="majorEastAsia" w:eastAsiaTheme="majorEastAsia" w:hAnsiTheme="majorEastAsia"/>
        <w:sz w:val="20"/>
      </w:rPr>
      <w:t>3</w:t>
    </w:r>
    <w:r w:rsidRPr="00BA7CF8">
      <w:rPr>
        <w:rFonts w:asciiTheme="majorEastAsia" w:eastAsiaTheme="majorEastAsia" w:hAnsiTheme="majorEastAsia"/>
        <w:sz w:val="20"/>
      </w:rPr>
      <w:t>/</w:t>
    </w:r>
    <w:r w:rsidR="00CB4800" w:rsidRPr="00BA7CF8">
      <w:rPr>
        <w:rFonts w:asciiTheme="majorEastAsia" w:eastAsiaTheme="majorEastAsia" w:hAnsiTheme="majorEastAsia"/>
        <w:sz w:val="20"/>
      </w:rPr>
      <w:t>3</w:t>
    </w:r>
  </w:p>
  <w:p w:rsidR="00EC4E49" w:rsidRPr="00BA7CF8" w:rsidRDefault="00BA7CF8" w:rsidP="00477D6B">
    <w:pPr>
      <w:jc w:val="right"/>
      <w:rPr>
        <w:rFonts w:asciiTheme="majorEastAsia" w:eastAsiaTheme="majorEastAsia" w:hAnsiTheme="majorEastAsia"/>
        <w:sz w:val="20"/>
      </w:rPr>
    </w:pPr>
    <w:r>
      <w:rPr>
        <w:rFonts w:asciiTheme="majorEastAsia" w:eastAsiaTheme="majorEastAsia" w:hAnsiTheme="majorEastAsia" w:hint="eastAsia"/>
        <w:sz w:val="20"/>
      </w:rPr>
      <w:t>第</w:t>
    </w:r>
    <w:r w:rsidR="00EC4E49" w:rsidRPr="00BA7CF8">
      <w:rPr>
        <w:rFonts w:asciiTheme="majorEastAsia" w:eastAsiaTheme="majorEastAsia" w:hAnsiTheme="majorEastAsia"/>
        <w:sz w:val="20"/>
      </w:rPr>
      <w:fldChar w:fldCharType="begin"/>
    </w:r>
    <w:r w:rsidR="00EC4E49" w:rsidRPr="00BA7CF8">
      <w:rPr>
        <w:rFonts w:asciiTheme="majorEastAsia" w:eastAsiaTheme="majorEastAsia" w:hAnsiTheme="majorEastAsia"/>
        <w:sz w:val="20"/>
      </w:rPr>
      <w:instrText xml:space="preserve"> PAGE  \* MERGEFORMAT </w:instrText>
    </w:r>
    <w:r w:rsidR="00EC4E49" w:rsidRPr="00BA7CF8">
      <w:rPr>
        <w:rFonts w:asciiTheme="majorEastAsia" w:eastAsiaTheme="majorEastAsia" w:hAnsiTheme="majorEastAsia"/>
        <w:sz w:val="20"/>
      </w:rPr>
      <w:fldChar w:fldCharType="separate"/>
    </w:r>
    <w:r w:rsidR="00CE4D7B">
      <w:rPr>
        <w:rFonts w:asciiTheme="majorEastAsia" w:eastAsiaTheme="majorEastAsia" w:hAnsiTheme="majorEastAsia"/>
        <w:noProof/>
        <w:sz w:val="20"/>
      </w:rPr>
      <w:t>4</w:t>
    </w:r>
    <w:r w:rsidR="00EC4E49" w:rsidRPr="00BA7CF8">
      <w:rPr>
        <w:rFonts w:asciiTheme="majorEastAsia" w:eastAsiaTheme="majorEastAsia" w:hAnsiTheme="majorEastAsia"/>
        <w:sz w:val="20"/>
      </w:rPr>
      <w:fldChar w:fldCharType="end"/>
    </w:r>
    <w:r>
      <w:rPr>
        <w:rFonts w:asciiTheme="majorEastAsia" w:eastAsiaTheme="majorEastAsia" w:hAnsiTheme="majorEastAsia" w:hint="eastAsia"/>
        <w:sz w:val="20"/>
      </w:rPr>
      <w:t>页</w:t>
    </w:r>
  </w:p>
  <w:p w:rsidR="008A134B" w:rsidRPr="00BA7CF8" w:rsidRDefault="008A134B" w:rsidP="00477D6B">
    <w:pPr>
      <w:jc w:val="right"/>
      <w:rPr>
        <w:rFonts w:asciiTheme="majorEastAsia" w:eastAsiaTheme="majorEastAsia" w:hAnsiTheme="maj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0"/>
  </w:num>
  <w:num w:numId="5">
    <w:abstractNumId w:val="0"/>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CC"/>
    <w:rsid w:val="00002E2C"/>
    <w:rsid w:val="000136F4"/>
    <w:rsid w:val="00043CAA"/>
    <w:rsid w:val="00075432"/>
    <w:rsid w:val="000765C4"/>
    <w:rsid w:val="00086FAC"/>
    <w:rsid w:val="000968ED"/>
    <w:rsid w:val="000A4176"/>
    <w:rsid w:val="000C117A"/>
    <w:rsid w:val="000E6FDE"/>
    <w:rsid w:val="000F5E56"/>
    <w:rsid w:val="0010331B"/>
    <w:rsid w:val="001362EE"/>
    <w:rsid w:val="00150BB7"/>
    <w:rsid w:val="00156693"/>
    <w:rsid w:val="001647D5"/>
    <w:rsid w:val="00174ACC"/>
    <w:rsid w:val="001764CC"/>
    <w:rsid w:val="001774DE"/>
    <w:rsid w:val="001832A6"/>
    <w:rsid w:val="001906BD"/>
    <w:rsid w:val="00193706"/>
    <w:rsid w:val="001D169E"/>
    <w:rsid w:val="001E4E00"/>
    <w:rsid w:val="001F0D2F"/>
    <w:rsid w:val="001F4556"/>
    <w:rsid w:val="0021217E"/>
    <w:rsid w:val="00234948"/>
    <w:rsid w:val="00240EA5"/>
    <w:rsid w:val="0025137B"/>
    <w:rsid w:val="002634C4"/>
    <w:rsid w:val="00291047"/>
    <w:rsid w:val="002928D3"/>
    <w:rsid w:val="002F1FE6"/>
    <w:rsid w:val="002F4E68"/>
    <w:rsid w:val="002F6B15"/>
    <w:rsid w:val="00312F7F"/>
    <w:rsid w:val="003178BA"/>
    <w:rsid w:val="00350AE2"/>
    <w:rsid w:val="00361450"/>
    <w:rsid w:val="003673CF"/>
    <w:rsid w:val="003845C1"/>
    <w:rsid w:val="003A6F89"/>
    <w:rsid w:val="003B38C1"/>
    <w:rsid w:val="003D2030"/>
    <w:rsid w:val="003D57B0"/>
    <w:rsid w:val="00414D9C"/>
    <w:rsid w:val="00423E3E"/>
    <w:rsid w:val="00427AF4"/>
    <w:rsid w:val="004647DA"/>
    <w:rsid w:val="00467B7A"/>
    <w:rsid w:val="00474062"/>
    <w:rsid w:val="00477D6B"/>
    <w:rsid w:val="004B010E"/>
    <w:rsid w:val="005019FF"/>
    <w:rsid w:val="00513B50"/>
    <w:rsid w:val="0053057A"/>
    <w:rsid w:val="00560A29"/>
    <w:rsid w:val="005615A4"/>
    <w:rsid w:val="00590F60"/>
    <w:rsid w:val="005936E3"/>
    <w:rsid w:val="005C6649"/>
    <w:rsid w:val="00605827"/>
    <w:rsid w:val="00636366"/>
    <w:rsid w:val="00646050"/>
    <w:rsid w:val="00660161"/>
    <w:rsid w:val="006713CA"/>
    <w:rsid w:val="00676C5C"/>
    <w:rsid w:val="006E4F5F"/>
    <w:rsid w:val="00714179"/>
    <w:rsid w:val="00740A0C"/>
    <w:rsid w:val="007C42C2"/>
    <w:rsid w:val="007D1613"/>
    <w:rsid w:val="007E4C0E"/>
    <w:rsid w:val="008027D0"/>
    <w:rsid w:val="00810B41"/>
    <w:rsid w:val="00860537"/>
    <w:rsid w:val="00860AE1"/>
    <w:rsid w:val="00862B8A"/>
    <w:rsid w:val="00877718"/>
    <w:rsid w:val="008A134B"/>
    <w:rsid w:val="008B2CC1"/>
    <w:rsid w:val="008B60B2"/>
    <w:rsid w:val="008F06ED"/>
    <w:rsid w:val="0090731E"/>
    <w:rsid w:val="00916EE2"/>
    <w:rsid w:val="0096670D"/>
    <w:rsid w:val="00966A22"/>
    <w:rsid w:val="0096722F"/>
    <w:rsid w:val="00980843"/>
    <w:rsid w:val="00997648"/>
    <w:rsid w:val="009B6777"/>
    <w:rsid w:val="009C127D"/>
    <w:rsid w:val="009E2791"/>
    <w:rsid w:val="009E3F6F"/>
    <w:rsid w:val="009F499F"/>
    <w:rsid w:val="009F4A2A"/>
    <w:rsid w:val="009F7DB0"/>
    <w:rsid w:val="00A37342"/>
    <w:rsid w:val="00A42DAF"/>
    <w:rsid w:val="00A45BD8"/>
    <w:rsid w:val="00A45C48"/>
    <w:rsid w:val="00A82E82"/>
    <w:rsid w:val="00A869B7"/>
    <w:rsid w:val="00AA2DD4"/>
    <w:rsid w:val="00AC205C"/>
    <w:rsid w:val="00AF0A6B"/>
    <w:rsid w:val="00B05A69"/>
    <w:rsid w:val="00B53BFF"/>
    <w:rsid w:val="00B6047C"/>
    <w:rsid w:val="00B9734B"/>
    <w:rsid w:val="00BA30E2"/>
    <w:rsid w:val="00BA7CF8"/>
    <w:rsid w:val="00C11BFE"/>
    <w:rsid w:val="00C5068F"/>
    <w:rsid w:val="00C72E66"/>
    <w:rsid w:val="00C86D74"/>
    <w:rsid w:val="00CB4800"/>
    <w:rsid w:val="00CD04F1"/>
    <w:rsid w:val="00CD7F59"/>
    <w:rsid w:val="00CE4D7B"/>
    <w:rsid w:val="00D27178"/>
    <w:rsid w:val="00D4124F"/>
    <w:rsid w:val="00D44A0B"/>
    <w:rsid w:val="00D45252"/>
    <w:rsid w:val="00D66E37"/>
    <w:rsid w:val="00D71B4D"/>
    <w:rsid w:val="00D86F59"/>
    <w:rsid w:val="00D93D55"/>
    <w:rsid w:val="00DA47D3"/>
    <w:rsid w:val="00DC0E7C"/>
    <w:rsid w:val="00DC4C82"/>
    <w:rsid w:val="00DF023A"/>
    <w:rsid w:val="00DF383E"/>
    <w:rsid w:val="00E0432F"/>
    <w:rsid w:val="00E15015"/>
    <w:rsid w:val="00E1658B"/>
    <w:rsid w:val="00E335FE"/>
    <w:rsid w:val="00E41C46"/>
    <w:rsid w:val="00E5345A"/>
    <w:rsid w:val="00E5566B"/>
    <w:rsid w:val="00E642FA"/>
    <w:rsid w:val="00E80B9B"/>
    <w:rsid w:val="00E85557"/>
    <w:rsid w:val="00E8717D"/>
    <w:rsid w:val="00EA3CB5"/>
    <w:rsid w:val="00EA7D6E"/>
    <w:rsid w:val="00EB2210"/>
    <w:rsid w:val="00EC4E49"/>
    <w:rsid w:val="00EC6903"/>
    <w:rsid w:val="00ED77FB"/>
    <w:rsid w:val="00EE45FA"/>
    <w:rsid w:val="00F56F91"/>
    <w:rsid w:val="00F66152"/>
    <w:rsid w:val="00FB0FF0"/>
    <w:rsid w:val="00FD53CC"/>
    <w:rsid w:val="00FF7A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D8389"/>
  <w15:docId w15:val="{24C7E001-AAC5-41A8-BB96-C049351A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D4124F"/>
    <w:pPr>
      <w:keepNext/>
      <w:spacing w:after="600"/>
      <w:outlineLvl w:val="0"/>
    </w:pPr>
    <w:rPr>
      <w:rFonts w:ascii="SimHei" w:eastAsia="SimHei"/>
      <w:bCs/>
      <w:kern w:val="32"/>
      <w:sz w:val="28"/>
      <w:szCs w:val="28"/>
    </w:rPr>
  </w:style>
  <w:style w:type="paragraph" w:styleId="Heading2">
    <w:name w:val="heading 2"/>
    <w:basedOn w:val="Normal"/>
    <w:next w:val="Normal"/>
    <w:autoRedefine/>
    <w:qFormat/>
    <w:rsid w:val="00FB0FF0"/>
    <w:pPr>
      <w:keepNext/>
      <w:spacing w:before="240" w:line="480" w:lineRule="auto"/>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860AE1"/>
    <w:rPr>
      <w:rFonts w:ascii="Arial" w:eastAsia="SimSun" w:hAnsi="Arial" w:cs="Arial"/>
      <w:sz w:val="22"/>
      <w:lang w:val="en-US" w:eastAsia="zh-CN"/>
    </w:rPr>
  </w:style>
  <w:style w:type="paragraph" w:customStyle="1" w:styleId="Default">
    <w:name w:val="Default"/>
    <w:rsid w:val="00D27178"/>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78128">
      <w:bodyDiv w:val="1"/>
      <w:marLeft w:val="0"/>
      <w:marRight w:val="0"/>
      <w:marTop w:val="0"/>
      <w:marBottom w:val="0"/>
      <w:divBdr>
        <w:top w:val="none" w:sz="0" w:space="0" w:color="auto"/>
        <w:left w:val="none" w:sz="0" w:space="0" w:color="auto"/>
        <w:bottom w:val="none" w:sz="0" w:space="0" w:color="auto"/>
        <w:right w:val="none" w:sz="0" w:space="0" w:color="auto"/>
      </w:divBdr>
    </w:div>
    <w:div w:id="355614993">
      <w:bodyDiv w:val="1"/>
      <w:marLeft w:val="0"/>
      <w:marRight w:val="0"/>
      <w:marTop w:val="0"/>
      <w:marBottom w:val="0"/>
      <w:divBdr>
        <w:top w:val="none" w:sz="0" w:space="0" w:color="auto"/>
        <w:left w:val="none" w:sz="0" w:space="0" w:color="auto"/>
        <w:bottom w:val="none" w:sz="0" w:space="0" w:color="auto"/>
        <w:right w:val="none" w:sz="0" w:space="0" w:color="auto"/>
      </w:divBdr>
    </w:div>
    <w:div w:id="437872143">
      <w:bodyDiv w:val="1"/>
      <w:marLeft w:val="0"/>
      <w:marRight w:val="0"/>
      <w:marTop w:val="0"/>
      <w:marBottom w:val="0"/>
      <w:divBdr>
        <w:top w:val="none" w:sz="0" w:space="0" w:color="auto"/>
        <w:left w:val="none" w:sz="0" w:space="0" w:color="auto"/>
        <w:bottom w:val="none" w:sz="0" w:space="0" w:color="auto"/>
        <w:right w:val="none" w:sz="0" w:space="0" w:color="auto"/>
      </w:divBdr>
    </w:div>
    <w:div w:id="584534330">
      <w:bodyDiv w:val="1"/>
      <w:marLeft w:val="0"/>
      <w:marRight w:val="0"/>
      <w:marTop w:val="0"/>
      <w:marBottom w:val="0"/>
      <w:divBdr>
        <w:top w:val="none" w:sz="0" w:space="0" w:color="auto"/>
        <w:left w:val="none" w:sz="0" w:space="0" w:color="auto"/>
        <w:bottom w:val="none" w:sz="0" w:space="0" w:color="auto"/>
        <w:right w:val="none" w:sz="0" w:space="0" w:color="auto"/>
      </w:divBdr>
    </w:div>
    <w:div w:id="844832078">
      <w:bodyDiv w:val="1"/>
      <w:marLeft w:val="0"/>
      <w:marRight w:val="0"/>
      <w:marTop w:val="0"/>
      <w:marBottom w:val="0"/>
      <w:divBdr>
        <w:top w:val="none" w:sz="0" w:space="0" w:color="auto"/>
        <w:left w:val="none" w:sz="0" w:space="0" w:color="auto"/>
        <w:bottom w:val="none" w:sz="0" w:space="0" w:color="auto"/>
        <w:right w:val="none" w:sz="0" w:space="0" w:color="auto"/>
      </w:divBdr>
    </w:div>
    <w:div w:id="849872884">
      <w:bodyDiv w:val="1"/>
      <w:marLeft w:val="0"/>
      <w:marRight w:val="0"/>
      <w:marTop w:val="0"/>
      <w:marBottom w:val="0"/>
      <w:divBdr>
        <w:top w:val="none" w:sz="0" w:space="0" w:color="auto"/>
        <w:left w:val="none" w:sz="0" w:space="0" w:color="auto"/>
        <w:bottom w:val="none" w:sz="0" w:space="0" w:color="auto"/>
        <w:right w:val="none" w:sz="0" w:space="0" w:color="auto"/>
      </w:divBdr>
    </w:div>
    <w:div w:id="983511796">
      <w:bodyDiv w:val="1"/>
      <w:marLeft w:val="0"/>
      <w:marRight w:val="0"/>
      <w:marTop w:val="0"/>
      <w:marBottom w:val="0"/>
      <w:divBdr>
        <w:top w:val="none" w:sz="0" w:space="0" w:color="auto"/>
        <w:left w:val="none" w:sz="0" w:space="0" w:color="auto"/>
        <w:bottom w:val="none" w:sz="0" w:space="0" w:color="auto"/>
        <w:right w:val="none" w:sz="0" w:space="0" w:color="auto"/>
      </w:divBdr>
    </w:div>
    <w:div w:id="1084910750">
      <w:bodyDiv w:val="1"/>
      <w:marLeft w:val="0"/>
      <w:marRight w:val="0"/>
      <w:marTop w:val="0"/>
      <w:marBottom w:val="0"/>
      <w:divBdr>
        <w:top w:val="none" w:sz="0" w:space="0" w:color="auto"/>
        <w:left w:val="none" w:sz="0" w:space="0" w:color="auto"/>
        <w:bottom w:val="none" w:sz="0" w:space="0" w:color="auto"/>
        <w:right w:val="none" w:sz="0" w:space="0" w:color="auto"/>
      </w:divBdr>
    </w:div>
    <w:div w:id="1149590373">
      <w:bodyDiv w:val="1"/>
      <w:marLeft w:val="0"/>
      <w:marRight w:val="0"/>
      <w:marTop w:val="0"/>
      <w:marBottom w:val="0"/>
      <w:divBdr>
        <w:top w:val="none" w:sz="0" w:space="0" w:color="auto"/>
        <w:left w:val="none" w:sz="0" w:space="0" w:color="auto"/>
        <w:bottom w:val="none" w:sz="0" w:space="0" w:color="auto"/>
        <w:right w:val="none" w:sz="0" w:space="0" w:color="auto"/>
      </w:divBdr>
    </w:div>
    <w:div w:id="1448235886">
      <w:bodyDiv w:val="1"/>
      <w:marLeft w:val="0"/>
      <w:marRight w:val="0"/>
      <w:marTop w:val="0"/>
      <w:marBottom w:val="0"/>
      <w:divBdr>
        <w:top w:val="none" w:sz="0" w:space="0" w:color="auto"/>
        <w:left w:val="none" w:sz="0" w:space="0" w:color="auto"/>
        <w:bottom w:val="none" w:sz="0" w:space="0" w:color="auto"/>
        <w:right w:val="none" w:sz="0" w:space="0" w:color="auto"/>
      </w:divBdr>
    </w:div>
    <w:div w:id="1589269242">
      <w:bodyDiv w:val="1"/>
      <w:marLeft w:val="0"/>
      <w:marRight w:val="0"/>
      <w:marTop w:val="0"/>
      <w:marBottom w:val="0"/>
      <w:divBdr>
        <w:top w:val="none" w:sz="0" w:space="0" w:color="auto"/>
        <w:left w:val="none" w:sz="0" w:space="0" w:color="auto"/>
        <w:bottom w:val="none" w:sz="0" w:space="0" w:color="auto"/>
        <w:right w:val="none" w:sz="0" w:space="0" w:color="auto"/>
      </w:divBdr>
    </w:div>
    <w:div w:id="1767263623">
      <w:bodyDiv w:val="1"/>
      <w:marLeft w:val="0"/>
      <w:marRight w:val="0"/>
      <w:marTop w:val="0"/>
      <w:marBottom w:val="0"/>
      <w:divBdr>
        <w:top w:val="none" w:sz="0" w:space="0" w:color="auto"/>
        <w:left w:val="none" w:sz="0" w:space="0" w:color="auto"/>
        <w:bottom w:val="none" w:sz="0" w:space="0" w:color="auto"/>
        <w:right w:val="none" w:sz="0" w:space="0" w:color="auto"/>
      </w:divBdr>
    </w:div>
    <w:div w:id="20775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98B3-B761-483F-A262-B97B4F77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MM/A/53/3 Prov.</vt:lpstr>
    </vt:vector>
  </TitlesOfParts>
  <Company>WIPO</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MM/A/53/3</dc:title>
  <dc:subject>Fifty-Ninth Series of Meetings</dc:subject>
  <dc:creator>WIPO</dc:creator>
  <cp:keywords>PUBLIC</cp:keywords>
  <cp:lastModifiedBy>MA Weihai</cp:lastModifiedBy>
  <cp:revision>4</cp:revision>
  <cp:lastPrinted>2019-08-19T09:21:00Z</cp:lastPrinted>
  <dcterms:created xsi:type="dcterms:W3CDTF">2019-12-05T08:20:00Z</dcterms:created>
  <dcterms:modified xsi:type="dcterms:W3CDTF">2019-12-05T08:40:00Z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14346e04-2a12-4ab8-87c7-06c614b02aad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