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60114E" w:rsidRPr="0060114E" w:rsidTr="00687C0E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bottom w:w="170" w:type="dxa"/>
              <w:right w:w="108" w:type="dxa"/>
            </w:tcMar>
          </w:tcPr>
          <w:p w:rsidR="0060114E" w:rsidRPr="0060114E" w:rsidRDefault="0060114E" w:rsidP="0060114E">
            <w:bookmarkStart w:id="0" w:name="_GoBack"/>
            <w:bookmarkEnd w:id="0"/>
            <w:r w:rsidRPr="0060114E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188054F6" wp14:editId="0E482EB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14E" w:rsidRPr="0060114E" w:rsidRDefault="0060114E" w:rsidP="0060114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60114E" w:rsidRPr="0060114E" w:rsidRDefault="0060114E" w:rsidP="0060114E">
            <w:pPr>
              <w:jc w:val="right"/>
            </w:pPr>
            <w:r w:rsidRPr="0060114E">
              <w:rPr>
                <w:b/>
                <w:sz w:val="40"/>
                <w:szCs w:val="40"/>
              </w:rPr>
              <w:t>C</w:t>
            </w:r>
          </w:p>
        </w:tc>
      </w:tr>
      <w:tr w:rsidR="0060114E" w:rsidRPr="0060114E" w:rsidTr="00687C0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</w:tcPr>
          <w:p w:rsidR="0060114E" w:rsidRPr="0060114E" w:rsidRDefault="0060114E" w:rsidP="006011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0114E">
              <w:rPr>
                <w:rFonts w:ascii="Arial Black" w:hAnsi="Arial Black"/>
                <w:caps/>
                <w:sz w:val="15"/>
              </w:rPr>
              <w:t>mm/A/</w:t>
            </w:r>
            <w:r w:rsidRPr="0060114E">
              <w:rPr>
                <w:rFonts w:ascii="Arial Black" w:hAnsi="Arial Black" w:hint="eastAsia"/>
                <w:caps/>
                <w:sz w:val="15"/>
              </w:rPr>
              <w:t>50</w:t>
            </w:r>
            <w:r w:rsidRPr="0060114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inf/1</w:t>
            </w:r>
          </w:p>
        </w:tc>
      </w:tr>
      <w:tr w:rsidR="0060114E" w:rsidRPr="0060114E" w:rsidTr="00687C0E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114E" w:rsidRPr="0060114E" w:rsidRDefault="0060114E" w:rsidP="0060114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0114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0114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0114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0114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60114E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0114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0114E" w:rsidRPr="0060114E" w:rsidTr="00687C0E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114E" w:rsidRPr="0060114E" w:rsidRDefault="0060114E" w:rsidP="0060114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0114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0114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0114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0114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60114E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60114E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60114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 w:rsidRPr="0060114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60114E">
              <w:rPr>
                <w:rFonts w:ascii="Arial Black" w:eastAsia="SimHei" w:hAnsi="Arial Black" w:hint="eastAsia"/>
                <w:sz w:val="15"/>
                <w:szCs w:val="15"/>
              </w:rPr>
              <w:t>2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9</w:t>
            </w:r>
            <w:r w:rsidRPr="0060114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0114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>
      <w:pPr>
        <w:rPr>
          <w:rFonts w:ascii="SimHei" w:eastAsia="SimHei"/>
          <w:sz w:val="28"/>
          <w:szCs w:val="28"/>
        </w:rPr>
      </w:pPr>
      <w:r w:rsidRPr="0060114E">
        <w:rPr>
          <w:rFonts w:ascii="SimHei" w:eastAsia="SimHei" w:hint="eastAsia"/>
          <w:sz w:val="28"/>
          <w:szCs w:val="28"/>
        </w:rPr>
        <w:t>商标国际注册特别联盟（马德里联盟）</w:t>
      </w:r>
    </w:p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>
      <w:pPr>
        <w:rPr>
          <w:rFonts w:ascii="SimHei" w:eastAsia="SimHei"/>
          <w:sz w:val="28"/>
          <w:szCs w:val="28"/>
        </w:rPr>
      </w:pPr>
      <w:r w:rsidRPr="0060114E">
        <w:rPr>
          <w:rFonts w:ascii="SimHei" w:eastAsia="SimHei" w:hint="eastAsia"/>
          <w:sz w:val="28"/>
          <w:szCs w:val="28"/>
        </w:rPr>
        <w:t>大　会</w:t>
      </w:r>
    </w:p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>
      <w:pPr>
        <w:textAlignment w:val="bottom"/>
        <w:rPr>
          <w:rFonts w:ascii="KaiTi" w:eastAsia="KaiTi"/>
          <w:b/>
          <w:sz w:val="24"/>
          <w:szCs w:val="24"/>
        </w:rPr>
      </w:pPr>
      <w:r w:rsidRPr="0060114E">
        <w:rPr>
          <w:rFonts w:ascii="KaiTi" w:eastAsia="KaiTi" w:hint="eastAsia"/>
          <w:b/>
          <w:sz w:val="24"/>
          <w:szCs w:val="24"/>
        </w:rPr>
        <w:t>第五十届会议（第</w:t>
      </w:r>
      <w:r w:rsidRPr="0060114E">
        <w:rPr>
          <w:rFonts w:ascii="KaiTi" w:eastAsia="KaiTi" w:hint="eastAsia"/>
          <w:sz w:val="24"/>
          <w:szCs w:val="24"/>
        </w:rPr>
        <w:t>29</w:t>
      </w:r>
      <w:r w:rsidRPr="0060114E">
        <w:rPr>
          <w:rFonts w:ascii="KaiTi" w:eastAsia="KaiTi" w:hint="eastAsia"/>
          <w:b/>
          <w:sz w:val="24"/>
          <w:szCs w:val="24"/>
        </w:rPr>
        <w:t>次特别会议）</w:t>
      </w:r>
    </w:p>
    <w:p w:rsidR="0060114E" w:rsidRPr="0060114E" w:rsidRDefault="0060114E" w:rsidP="0060114E">
      <w:pPr>
        <w:rPr>
          <w:rFonts w:ascii="KaiTi" w:eastAsia="KaiTi"/>
          <w:b/>
          <w:sz w:val="24"/>
          <w:szCs w:val="24"/>
        </w:rPr>
      </w:pPr>
      <w:r w:rsidRPr="0060114E">
        <w:rPr>
          <w:rFonts w:ascii="KaiTi" w:eastAsia="KaiTi" w:hint="eastAsia"/>
          <w:sz w:val="24"/>
          <w:szCs w:val="24"/>
        </w:rPr>
        <w:t>2016</w:t>
      </w:r>
      <w:r w:rsidRPr="0060114E">
        <w:rPr>
          <w:rFonts w:ascii="KaiTi" w:eastAsia="KaiTi" w:hint="eastAsia"/>
          <w:b/>
          <w:sz w:val="24"/>
          <w:szCs w:val="24"/>
        </w:rPr>
        <w:t>年</w:t>
      </w:r>
      <w:r w:rsidRPr="0060114E">
        <w:rPr>
          <w:rFonts w:ascii="KaiTi" w:eastAsia="KaiTi" w:hint="eastAsia"/>
          <w:sz w:val="24"/>
          <w:szCs w:val="24"/>
        </w:rPr>
        <w:t>10</w:t>
      </w:r>
      <w:r w:rsidRPr="0060114E">
        <w:rPr>
          <w:rFonts w:ascii="KaiTi" w:eastAsia="KaiTi" w:hint="eastAsia"/>
          <w:b/>
          <w:sz w:val="24"/>
          <w:szCs w:val="24"/>
        </w:rPr>
        <w:t>月</w:t>
      </w:r>
      <w:r w:rsidRPr="0060114E">
        <w:rPr>
          <w:rFonts w:ascii="KaiTi" w:eastAsia="KaiTi" w:hint="eastAsia"/>
          <w:sz w:val="24"/>
          <w:szCs w:val="24"/>
        </w:rPr>
        <w:t>3</w:t>
      </w:r>
      <w:r w:rsidRPr="0060114E">
        <w:rPr>
          <w:rFonts w:ascii="KaiTi" w:eastAsia="KaiTi" w:hint="eastAsia"/>
          <w:b/>
          <w:sz w:val="24"/>
          <w:szCs w:val="24"/>
        </w:rPr>
        <w:t>日至</w:t>
      </w:r>
      <w:r w:rsidRPr="0060114E">
        <w:rPr>
          <w:rFonts w:ascii="KaiTi" w:eastAsia="KaiTi" w:hint="eastAsia"/>
          <w:sz w:val="24"/>
          <w:szCs w:val="24"/>
        </w:rPr>
        <w:t>11</w:t>
      </w:r>
      <w:r w:rsidRPr="0060114E">
        <w:rPr>
          <w:rFonts w:ascii="KaiTi" w:eastAsia="KaiTi" w:hint="eastAsia"/>
          <w:b/>
          <w:sz w:val="24"/>
          <w:szCs w:val="24"/>
        </w:rPr>
        <w:t>日，日内瓦</w:t>
      </w:r>
    </w:p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>
      <w:pPr>
        <w:rPr>
          <w:rFonts w:ascii="KaiTi" w:eastAsia="KaiTi" w:hAnsi="KaiTi"/>
          <w:caps/>
          <w:sz w:val="24"/>
        </w:rPr>
      </w:pPr>
      <w:bookmarkStart w:id="4" w:name="TitleOfDoc"/>
      <w:bookmarkEnd w:id="4"/>
      <w:r w:rsidRPr="0060114E">
        <w:rPr>
          <w:rFonts w:ascii="KaiTi" w:eastAsia="KaiTi" w:hAnsi="KaiTi" w:hint="eastAsia"/>
          <w:caps/>
          <w:sz w:val="24"/>
        </w:rPr>
        <w:t>马德里联盟2014/15两年期盈余</w:t>
      </w:r>
    </w:p>
    <w:p w:rsidR="0060114E" w:rsidRPr="0060114E" w:rsidRDefault="0060114E" w:rsidP="0060114E"/>
    <w:p w:rsidR="0060114E" w:rsidRPr="0060114E" w:rsidRDefault="0060114E" w:rsidP="0060114E">
      <w:pPr>
        <w:rPr>
          <w:rFonts w:ascii="KaiTi" w:eastAsia="KaiTi" w:hAnsi="KaiTi"/>
          <w:sz w:val="21"/>
          <w:szCs w:val="21"/>
        </w:rPr>
      </w:pPr>
      <w:bookmarkStart w:id="5" w:name="Prepared"/>
      <w:bookmarkEnd w:id="5"/>
      <w:r w:rsidRPr="0060114E">
        <w:rPr>
          <w:rFonts w:ascii="KaiTi" w:eastAsia="KaiTi" w:hAnsi="KaiTi" w:hint="eastAsia"/>
          <w:sz w:val="21"/>
          <w:szCs w:val="21"/>
        </w:rPr>
        <w:t>国际局编拟的文件</w:t>
      </w:r>
    </w:p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/>
    <w:p w:rsidR="0060114E" w:rsidRPr="0060114E" w:rsidRDefault="0060114E" w:rsidP="0060114E"/>
    <w:p w:rsidR="003F46E7" w:rsidRPr="0060114E" w:rsidRDefault="00B13A42" w:rsidP="0060114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60114E">
        <w:rPr>
          <w:rFonts w:ascii="SimSun" w:hAnsi="SimSun" w:hint="eastAsia"/>
          <w:sz w:val="21"/>
        </w:rPr>
        <w:t>如2014/15两年期财务管理报告（文件</w:t>
      </w:r>
      <w:r w:rsidRPr="0060114E">
        <w:rPr>
          <w:rFonts w:ascii="SimSun" w:hAnsi="SimSun"/>
          <w:sz w:val="21"/>
        </w:rPr>
        <w:t>A/56/8</w:t>
      </w:r>
      <w:r w:rsidRPr="0060114E">
        <w:rPr>
          <w:rFonts w:ascii="SimSun" w:hAnsi="SimSun" w:hint="eastAsia"/>
          <w:sz w:val="21"/>
        </w:rPr>
        <w:t>）所述，</w:t>
      </w:r>
      <w:r w:rsidR="00CA1FA3" w:rsidRPr="0060114E">
        <w:rPr>
          <w:rFonts w:ascii="SimSun" w:hAnsi="SimSun" w:hint="eastAsia"/>
          <w:sz w:val="21"/>
        </w:rPr>
        <w:t>在</w:t>
      </w:r>
      <w:r w:rsidR="00F35F85" w:rsidRPr="0060114E">
        <w:rPr>
          <w:rFonts w:ascii="SimSun" w:hAnsi="SimSun" w:hint="eastAsia"/>
          <w:sz w:val="21"/>
        </w:rPr>
        <w:t>该两年期内，马德里联盟收支相抵后的盈余为815万</w:t>
      </w:r>
      <w:r w:rsidR="0060114E">
        <w:rPr>
          <w:rFonts w:ascii="SimSun" w:hAnsi="SimSun" w:hint="eastAsia"/>
          <w:sz w:val="21"/>
        </w:rPr>
        <w:t>瑞郎</w:t>
      </w:r>
      <w:r w:rsidR="00F35F85" w:rsidRPr="0060114E">
        <w:rPr>
          <w:rFonts w:ascii="SimSun" w:hAnsi="SimSun" w:hint="eastAsia"/>
          <w:sz w:val="21"/>
        </w:rPr>
        <w:t>。</w:t>
      </w:r>
    </w:p>
    <w:p w:rsidR="003F46E7" w:rsidRPr="0060114E" w:rsidRDefault="00F35F85" w:rsidP="0060114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60114E">
        <w:rPr>
          <w:rFonts w:ascii="SimSun" w:hAnsi="SimSun" w:hint="eastAsia"/>
          <w:sz w:val="21"/>
        </w:rPr>
        <w:t>《商标国际注册马德里协定有关议定书》</w:t>
      </w:r>
      <w:r w:rsidR="004615B2" w:rsidRPr="0060114E">
        <w:rPr>
          <w:rFonts w:ascii="SimSun" w:hAnsi="SimSun" w:hint="eastAsia"/>
          <w:sz w:val="21"/>
        </w:rPr>
        <w:t>第八条第(4)款规定</w:t>
      </w:r>
      <w:r w:rsidR="0060114E">
        <w:rPr>
          <w:rFonts w:ascii="SimSun" w:hAnsi="SimSun" w:hint="eastAsia"/>
          <w:sz w:val="21"/>
        </w:rPr>
        <w:t>：</w:t>
      </w:r>
      <w:r w:rsidR="004615B2" w:rsidRPr="0060114E">
        <w:rPr>
          <w:rFonts w:ascii="SimSun" w:hAnsi="SimSun" w:hint="eastAsia"/>
          <w:sz w:val="21"/>
        </w:rPr>
        <w:t>“国际注册各项收费的年收入，除来源于第(2)款(ii)和(iii)所指的费用收入外，经扣除执行本议定书所需的各项费用开支，应由国际局负责在本议定书参加方之间平均分配。”</w:t>
      </w:r>
      <w:r w:rsidR="00A22184" w:rsidRPr="0060114E">
        <w:rPr>
          <w:rFonts w:ascii="SimSun" w:hAnsi="SimSun" w:hint="eastAsia"/>
          <w:sz w:val="21"/>
        </w:rPr>
        <w:t>世界知识产权组织</w:t>
      </w:r>
      <w:r w:rsidR="0020754F" w:rsidRPr="0060114E">
        <w:rPr>
          <w:rFonts w:ascii="SimSun" w:hAnsi="SimSun" w:hint="eastAsia"/>
          <w:sz w:val="21"/>
        </w:rPr>
        <w:t>《</w:t>
      </w:r>
      <w:r w:rsidR="004615B2" w:rsidRPr="0060114E">
        <w:rPr>
          <w:rFonts w:ascii="SimSun" w:hAnsi="SimSun" w:hint="eastAsia"/>
          <w:sz w:val="21"/>
        </w:rPr>
        <w:t>财务条例与细则</w:t>
      </w:r>
      <w:r w:rsidR="0020754F" w:rsidRPr="0060114E">
        <w:rPr>
          <w:rFonts w:ascii="SimSun" w:hAnsi="SimSun" w:hint="eastAsia"/>
          <w:sz w:val="21"/>
        </w:rPr>
        <w:t>》条例4.7规定</w:t>
      </w:r>
      <w:r w:rsidR="0060114E">
        <w:rPr>
          <w:rFonts w:ascii="SimSun" w:hAnsi="SimSun" w:hint="eastAsia"/>
          <w:sz w:val="21"/>
        </w:rPr>
        <w:t>：</w:t>
      </w:r>
      <w:r w:rsidR="0020754F" w:rsidRPr="0060114E">
        <w:rPr>
          <w:rFonts w:ascii="SimSun" w:hAnsi="SimSun" w:hint="eastAsia"/>
          <w:sz w:val="21"/>
        </w:rPr>
        <w:t>“在财政期间结束之后，如果任何联盟有收入盈余，应将此类盈余记入储备基金，大会或有关联盟的大会另有决定除外。”</w:t>
      </w:r>
    </w:p>
    <w:p w:rsidR="003F46E7" w:rsidRPr="0060114E" w:rsidRDefault="004A5FEB" w:rsidP="0060114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60114E">
        <w:rPr>
          <w:rFonts w:ascii="SimSun" w:hAnsi="SimSun" w:hint="eastAsia"/>
          <w:sz w:val="21"/>
        </w:rPr>
        <w:t>根据财务条例4.7，因此</w:t>
      </w:r>
      <w:r w:rsidR="0060114E">
        <w:rPr>
          <w:rFonts w:ascii="SimSun" w:hAnsi="SimSun" w:hint="eastAsia"/>
          <w:sz w:val="21"/>
        </w:rPr>
        <w:t>计划将</w:t>
      </w:r>
      <w:r w:rsidRPr="0060114E">
        <w:rPr>
          <w:rFonts w:ascii="SimSun" w:hAnsi="SimSun" w:hint="eastAsia"/>
          <w:sz w:val="21"/>
        </w:rPr>
        <w:t>此类盈余</w:t>
      </w:r>
      <w:r w:rsidR="00061007" w:rsidRPr="0060114E">
        <w:rPr>
          <w:rFonts w:ascii="SimSun" w:hAnsi="SimSun" w:hint="eastAsia"/>
          <w:sz w:val="21"/>
        </w:rPr>
        <w:t>保留在马德里联盟的储备金</w:t>
      </w:r>
      <w:r w:rsidR="00034705" w:rsidRPr="0060114E">
        <w:rPr>
          <w:rFonts w:ascii="SimSun" w:hAnsi="SimSun" w:hint="eastAsia"/>
          <w:sz w:val="21"/>
        </w:rPr>
        <w:t>内</w:t>
      </w:r>
      <w:r w:rsidR="00061007" w:rsidRPr="0060114E">
        <w:rPr>
          <w:rFonts w:ascii="SimSun" w:hAnsi="SimSun" w:hint="eastAsia"/>
          <w:sz w:val="21"/>
        </w:rPr>
        <w:t>，</w:t>
      </w:r>
      <w:r w:rsidR="00845BDE">
        <w:rPr>
          <w:rFonts w:ascii="SimSun" w:hAnsi="SimSun" w:hint="eastAsia"/>
          <w:sz w:val="21"/>
        </w:rPr>
        <w:t>为将于下届成员国大会上提交成员国审议的提案作预备，</w:t>
      </w:r>
      <w:r w:rsidR="009154A1">
        <w:rPr>
          <w:rFonts w:ascii="SimSun" w:hAnsi="SimSun" w:hint="eastAsia"/>
          <w:sz w:val="21"/>
        </w:rPr>
        <w:t>这些提案涉及为一些项目提供资金，</w:t>
      </w:r>
      <w:r w:rsidR="00845BDE">
        <w:rPr>
          <w:rFonts w:ascii="SimSun" w:hAnsi="SimSun" w:hint="eastAsia"/>
          <w:sz w:val="21"/>
        </w:rPr>
        <w:t>以</w:t>
      </w:r>
      <w:r w:rsidR="00913D31" w:rsidRPr="0060114E">
        <w:rPr>
          <w:rFonts w:ascii="SimSun" w:hAnsi="SimSun" w:hint="eastAsia"/>
          <w:sz w:val="21"/>
        </w:rPr>
        <w:t>支持马德里注册体系信息技术（IT）系统的继续发展和</w:t>
      </w:r>
      <w:r w:rsidR="0060114E">
        <w:rPr>
          <w:rFonts w:ascii="SimSun" w:hAnsi="SimSun" w:hint="eastAsia"/>
          <w:sz w:val="21"/>
        </w:rPr>
        <w:t>强化</w:t>
      </w:r>
      <w:r w:rsidR="00061007" w:rsidRPr="0060114E">
        <w:rPr>
          <w:rFonts w:ascii="SimSun" w:hAnsi="SimSun" w:hint="eastAsia"/>
          <w:sz w:val="21"/>
        </w:rPr>
        <w:t>。</w:t>
      </w:r>
      <w:r w:rsidR="007E6EC0" w:rsidRPr="0060114E">
        <w:rPr>
          <w:rFonts w:ascii="SimSun" w:hAnsi="SimSun" w:hint="eastAsia"/>
          <w:sz w:val="21"/>
        </w:rPr>
        <w:t>尤其是</w:t>
      </w:r>
      <w:r w:rsidR="00B858C5" w:rsidRPr="0060114E">
        <w:rPr>
          <w:rFonts w:ascii="SimSun" w:hAnsi="SimSun" w:hint="eastAsia"/>
          <w:sz w:val="21"/>
        </w:rPr>
        <w:t>，</w:t>
      </w:r>
      <w:r w:rsidR="007E6EC0" w:rsidRPr="0060114E">
        <w:rPr>
          <w:rFonts w:ascii="SimSun" w:hAnsi="SimSun" w:hint="eastAsia"/>
          <w:sz w:val="21"/>
        </w:rPr>
        <w:t>旨在调整这些IT系统，以支持对优质服务日益增长的需求</w:t>
      </w:r>
      <w:r w:rsidR="00845BDE">
        <w:rPr>
          <w:rFonts w:ascii="SimSun" w:hAnsi="SimSun" w:hint="eastAsia"/>
          <w:sz w:val="21"/>
        </w:rPr>
        <w:t>、</w:t>
      </w:r>
      <w:r w:rsidR="007E6EC0" w:rsidRPr="0060114E">
        <w:rPr>
          <w:rFonts w:ascii="SimSun" w:hAnsi="SimSun" w:hint="eastAsia"/>
          <w:sz w:val="21"/>
        </w:rPr>
        <w:t>不断变化的IT环境和《商标国际注册马德里协定及该协定有关议定书的共同实施细则》</w:t>
      </w:r>
      <w:r w:rsidR="00206603" w:rsidRPr="0060114E">
        <w:rPr>
          <w:rFonts w:ascii="SimSun" w:hAnsi="SimSun" w:hint="eastAsia"/>
          <w:sz w:val="21"/>
        </w:rPr>
        <w:t>定期修订的</w:t>
      </w:r>
      <w:r w:rsidR="00845BDE">
        <w:rPr>
          <w:rFonts w:ascii="SimSun" w:hAnsi="SimSun" w:hint="eastAsia"/>
          <w:sz w:val="21"/>
        </w:rPr>
        <w:t>多项</w:t>
      </w:r>
      <w:r w:rsidR="007E6EC0" w:rsidRPr="0060114E">
        <w:rPr>
          <w:rFonts w:ascii="SimSun" w:hAnsi="SimSun" w:hint="eastAsia"/>
          <w:sz w:val="21"/>
        </w:rPr>
        <w:t>提案</w:t>
      </w:r>
      <w:r w:rsidR="00845BDE">
        <w:rPr>
          <w:rFonts w:ascii="SimSun" w:hAnsi="SimSun" w:hint="eastAsia"/>
          <w:sz w:val="21"/>
        </w:rPr>
        <w:t>，将</w:t>
      </w:r>
      <w:r w:rsidR="00206603" w:rsidRPr="0060114E">
        <w:rPr>
          <w:rFonts w:ascii="SimSun" w:hAnsi="SimSun" w:hint="eastAsia"/>
          <w:sz w:val="21"/>
        </w:rPr>
        <w:t>根据</w:t>
      </w:r>
      <w:r w:rsidR="004E3C34" w:rsidRPr="0060114E">
        <w:rPr>
          <w:rFonts w:ascii="SimSun" w:hAnsi="SimSun" w:hint="eastAsia"/>
          <w:sz w:val="21"/>
        </w:rPr>
        <w:t>产权组织储备金政策（文件WO/PBC/23/8），</w:t>
      </w:r>
      <w:r w:rsidR="003E09FC" w:rsidRPr="0060114E">
        <w:rPr>
          <w:rFonts w:ascii="SimSun" w:hAnsi="SimSun" w:hint="eastAsia"/>
          <w:sz w:val="21"/>
        </w:rPr>
        <w:t>递交</w:t>
      </w:r>
      <w:r w:rsidR="00845BDE">
        <w:rPr>
          <w:rFonts w:ascii="SimSun" w:hAnsi="SimSun" w:hint="eastAsia"/>
          <w:sz w:val="21"/>
        </w:rPr>
        <w:t>给</w:t>
      </w:r>
      <w:r w:rsidR="004E3C34" w:rsidRPr="0060114E">
        <w:rPr>
          <w:rFonts w:ascii="SimSun" w:hAnsi="SimSun" w:hint="eastAsia"/>
          <w:sz w:val="21"/>
        </w:rPr>
        <w:t>2017年马德里联盟大会</w:t>
      </w:r>
      <w:r w:rsidR="003E09FC" w:rsidRPr="0060114E">
        <w:rPr>
          <w:rFonts w:ascii="SimSun" w:hAnsi="SimSun" w:hint="eastAsia"/>
          <w:sz w:val="21"/>
        </w:rPr>
        <w:t>。</w:t>
      </w:r>
      <w:r w:rsidR="00263971" w:rsidRPr="0060114E">
        <w:rPr>
          <w:rFonts w:ascii="SimSun" w:hAnsi="SimSun" w:hint="eastAsia"/>
          <w:sz w:val="21"/>
        </w:rPr>
        <w:t>尽管此类项目的规划和准备已经在进行</w:t>
      </w:r>
      <w:r w:rsidR="00025087" w:rsidRPr="0060114E">
        <w:rPr>
          <w:rFonts w:ascii="SimSun" w:hAnsi="SimSun" w:hint="eastAsia"/>
          <w:sz w:val="21"/>
        </w:rPr>
        <w:t>，但提案的编拟</w:t>
      </w:r>
      <w:r w:rsidR="00B858C5" w:rsidRPr="0060114E">
        <w:rPr>
          <w:rFonts w:ascii="SimSun" w:hAnsi="SimSun" w:hint="eastAsia"/>
          <w:sz w:val="21"/>
        </w:rPr>
        <w:t>将十分</w:t>
      </w:r>
      <w:r w:rsidR="00025087" w:rsidRPr="0060114E">
        <w:rPr>
          <w:rFonts w:ascii="SimSun" w:hAnsi="SimSun" w:hint="eastAsia"/>
          <w:sz w:val="21"/>
        </w:rPr>
        <w:t>全面，信息涵盖项目整个生命周期的成本</w:t>
      </w:r>
      <w:r w:rsidR="00F11C0E" w:rsidRPr="0060114E">
        <w:rPr>
          <w:rFonts w:ascii="SimSun" w:hAnsi="SimSun" w:hint="eastAsia"/>
          <w:sz w:val="21"/>
        </w:rPr>
        <w:t>、</w:t>
      </w:r>
      <w:r w:rsidR="00025087" w:rsidRPr="0060114E">
        <w:rPr>
          <w:rFonts w:ascii="SimSun" w:hAnsi="SimSun" w:hint="eastAsia"/>
          <w:sz w:val="21"/>
        </w:rPr>
        <w:t>预计收益</w:t>
      </w:r>
      <w:r w:rsidR="00A63525" w:rsidRPr="0060114E">
        <w:rPr>
          <w:rFonts w:ascii="SimSun" w:hAnsi="SimSun" w:hint="eastAsia"/>
          <w:sz w:val="21"/>
        </w:rPr>
        <w:t>（</w:t>
      </w:r>
      <w:r w:rsidR="00025087" w:rsidRPr="0060114E">
        <w:rPr>
          <w:rFonts w:ascii="SimSun" w:hAnsi="SimSun" w:hint="eastAsia"/>
          <w:sz w:val="21"/>
        </w:rPr>
        <w:t>可能既包括财务收益，也包括质量效益</w:t>
      </w:r>
      <w:r w:rsidR="00A63525" w:rsidRPr="0060114E">
        <w:rPr>
          <w:rFonts w:ascii="SimSun" w:hAnsi="SimSun" w:hint="eastAsia"/>
          <w:sz w:val="21"/>
        </w:rPr>
        <w:t>）</w:t>
      </w:r>
      <w:r w:rsidR="00F11C0E" w:rsidRPr="0060114E">
        <w:rPr>
          <w:rFonts w:ascii="SimSun" w:hAnsi="SimSun" w:hint="eastAsia"/>
          <w:sz w:val="21"/>
        </w:rPr>
        <w:t>、本组织在随后</w:t>
      </w:r>
      <w:r w:rsidR="00845BDE">
        <w:rPr>
          <w:rFonts w:ascii="SimSun" w:hAnsi="SimSun" w:hint="eastAsia"/>
          <w:sz w:val="21"/>
        </w:rPr>
        <w:t>多个</w:t>
      </w:r>
      <w:r w:rsidR="00F11C0E" w:rsidRPr="0060114E">
        <w:rPr>
          <w:rFonts w:ascii="SimSun" w:hAnsi="SimSun" w:hint="eastAsia"/>
          <w:sz w:val="21"/>
        </w:rPr>
        <w:t>两年</w:t>
      </w:r>
      <w:r w:rsidR="00845BDE">
        <w:rPr>
          <w:rFonts w:ascii="SimSun" w:hAnsi="SimSun" w:hint="eastAsia"/>
          <w:sz w:val="21"/>
        </w:rPr>
        <w:t>期</w:t>
      </w:r>
      <w:r w:rsidR="00F11C0E" w:rsidRPr="0060114E">
        <w:rPr>
          <w:rFonts w:ascii="SimSun" w:hAnsi="SimSun" w:hint="eastAsia"/>
          <w:sz w:val="21"/>
        </w:rPr>
        <w:t>经常预算中</w:t>
      </w:r>
      <w:r w:rsidR="00845BDE">
        <w:rPr>
          <w:rFonts w:ascii="SimSun" w:hAnsi="SimSun" w:hint="eastAsia"/>
          <w:sz w:val="21"/>
        </w:rPr>
        <w:t>将</w:t>
      </w:r>
      <w:r w:rsidR="00F11C0E" w:rsidRPr="0060114E">
        <w:rPr>
          <w:rFonts w:ascii="SimSun" w:hAnsi="SimSun" w:hint="eastAsia"/>
          <w:sz w:val="21"/>
        </w:rPr>
        <w:t>承诺作出预算的</w:t>
      </w:r>
      <w:r w:rsidR="00845BDE">
        <w:rPr>
          <w:rFonts w:ascii="SimSun" w:hAnsi="SimSun" w:hint="eastAsia"/>
          <w:sz w:val="21"/>
        </w:rPr>
        <w:t>重复</w:t>
      </w:r>
      <w:r w:rsidR="00F11C0E" w:rsidRPr="0060114E">
        <w:rPr>
          <w:rFonts w:ascii="SimSun" w:hAnsi="SimSun" w:hint="eastAsia"/>
          <w:sz w:val="21"/>
        </w:rPr>
        <w:t>性支出</w:t>
      </w:r>
      <w:r w:rsidR="00025087" w:rsidRPr="0060114E">
        <w:rPr>
          <w:rFonts w:ascii="SimSun" w:hAnsi="SimSun" w:hint="eastAsia"/>
          <w:sz w:val="21"/>
        </w:rPr>
        <w:t>以及对储备金现金流和流动性水平的影响。</w:t>
      </w:r>
    </w:p>
    <w:p w:rsidR="002928D3" w:rsidRPr="0060114E" w:rsidRDefault="00526420" w:rsidP="009A6AE3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60114E">
        <w:rPr>
          <w:rFonts w:ascii="KaiTi" w:eastAsia="KaiTi" w:hAnsi="KaiTi"/>
          <w:sz w:val="21"/>
        </w:rPr>
        <w:t>[</w:t>
      </w:r>
      <w:r w:rsidRPr="0060114E">
        <w:rPr>
          <w:rFonts w:ascii="KaiTi" w:eastAsia="KaiTi" w:hAnsi="KaiTi" w:hint="eastAsia"/>
          <w:sz w:val="21"/>
        </w:rPr>
        <w:t>文件完</w:t>
      </w:r>
      <w:r w:rsidR="0071715C" w:rsidRPr="0060114E">
        <w:rPr>
          <w:rFonts w:ascii="KaiTi" w:eastAsia="KaiTi" w:hAnsi="KaiTi"/>
          <w:sz w:val="21"/>
        </w:rPr>
        <w:t>]</w:t>
      </w:r>
    </w:p>
    <w:sectPr w:rsidR="002928D3" w:rsidRPr="0060114E" w:rsidSect="009A6AE3">
      <w:headerReference w:type="default" r:id="rId10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22" w:rsidRDefault="00B33022">
      <w:r>
        <w:separator/>
      </w:r>
    </w:p>
  </w:endnote>
  <w:endnote w:type="continuationSeparator" w:id="0">
    <w:p w:rsidR="00B33022" w:rsidRDefault="00B33022" w:rsidP="003B38C1">
      <w:r>
        <w:separator/>
      </w:r>
    </w:p>
    <w:p w:rsidR="00B33022" w:rsidRPr="003B38C1" w:rsidRDefault="00B330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33022" w:rsidRPr="003B38C1" w:rsidRDefault="00B330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22" w:rsidRDefault="00B33022">
      <w:r>
        <w:separator/>
      </w:r>
    </w:p>
  </w:footnote>
  <w:footnote w:type="continuationSeparator" w:id="0">
    <w:p w:rsidR="00B33022" w:rsidRDefault="00B33022" w:rsidP="008B60B2">
      <w:r>
        <w:separator/>
      </w:r>
    </w:p>
    <w:p w:rsidR="00B33022" w:rsidRPr="00ED77FB" w:rsidRDefault="00B330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33022" w:rsidRPr="00ED77FB" w:rsidRDefault="00B330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60114E" w:rsidRDefault="00DF534F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60114E">
      <w:rPr>
        <w:rFonts w:ascii="SimSun" w:hAnsi="SimSun"/>
        <w:sz w:val="21"/>
      </w:rPr>
      <w:t>MM/A/50/</w:t>
    </w:r>
    <w:r w:rsidR="003F46E7" w:rsidRPr="0060114E">
      <w:rPr>
        <w:rFonts w:ascii="SimSun" w:hAnsi="SimSun"/>
        <w:sz w:val="21"/>
      </w:rPr>
      <w:t>INF/1</w:t>
    </w:r>
  </w:p>
  <w:p w:rsidR="00EC4E49" w:rsidRPr="0060114E" w:rsidRDefault="00845BDE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60114E">
      <w:rPr>
        <w:rFonts w:ascii="SimSun" w:hAnsi="SimSun"/>
        <w:sz w:val="21"/>
      </w:rPr>
      <w:fldChar w:fldCharType="begin"/>
    </w:r>
    <w:r w:rsidR="00EC4E49" w:rsidRPr="0060114E">
      <w:rPr>
        <w:rFonts w:ascii="SimSun" w:hAnsi="SimSun"/>
        <w:sz w:val="21"/>
      </w:rPr>
      <w:instrText xml:space="preserve"> PAGE  \* MERGEFORMAT </w:instrText>
    </w:r>
    <w:r w:rsidR="00EC4E49" w:rsidRPr="0060114E">
      <w:rPr>
        <w:rFonts w:ascii="SimSun" w:hAnsi="SimSun"/>
        <w:sz w:val="21"/>
      </w:rPr>
      <w:fldChar w:fldCharType="separate"/>
    </w:r>
    <w:r w:rsidR="009A6AE3">
      <w:rPr>
        <w:rFonts w:ascii="SimSun" w:hAnsi="SimSun"/>
        <w:noProof/>
        <w:sz w:val="21"/>
      </w:rPr>
      <w:t>2</w:t>
    </w:r>
    <w:r w:rsidR="00EC4E49" w:rsidRPr="0060114E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C4E49" w:rsidRPr="0060114E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F"/>
    <w:rsid w:val="0001271D"/>
    <w:rsid w:val="00025087"/>
    <w:rsid w:val="00034705"/>
    <w:rsid w:val="00043CAA"/>
    <w:rsid w:val="00061007"/>
    <w:rsid w:val="00075432"/>
    <w:rsid w:val="000774A0"/>
    <w:rsid w:val="000968ED"/>
    <w:rsid w:val="000C50DD"/>
    <w:rsid w:val="000F0DD7"/>
    <w:rsid w:val="000F5E56"/>
    <w:rsid w:val="001362EE"/>
    <w:rsid w:val="001832A6"/>
    <w:rsid w:val="001A591E"/>
    <w:rsid w:val="001B14D3"/>
    <w:rsid w:val="001C1008"/>
    <w:rsid w:val="00206603"/>
    <w:rsid w:val="0020754F"/>
    <w:rsid w:val="0021673D"/>
    <w:rsid w:val="00230F01"/>
    <w:rsid w:val="002634C4"/>
    <w:rsid w:val="00263971"/>
    <w:rsid w:val="0028584E"/>
    <w:rsid w:val="002928D3"/>
    <w:rsid w:val="002F1FE6"/>
    <w:rsid w:val="002F4E68"/>
    <w:rsid w:val="00312F7F"/>
    <w:rsid w:val="003228B7"/>
    <w:rsid w:val="00325AB4"/>
    <w:rsid w:val="003673CF"/>
    <w:rsid w:val="003845C1"/>
    <w:rsid w:val="003A6F89"/>
    <w:rsid w:val="003B38C1"/>
    <w:rsid w:val="003E09FC"/>
    <w:rsid w:val="003F46E7"/>
    <w:rsid w:val="00423E3E"/>
    <w:rsid w:val="00427AF4"/>
    <w:rsid w:val="004400E2"/>
    <w:rsid w:val="004615B2"/>
    <w:rsid w:val="004647DA"/>
    <w:rsid w:val="00474062"/>
    <w:rsid w:val="00477D6B"/>
    <w:rsid w:val="004A5FEB"/>
    <w:rsid w:val="004D3665"/>
    <w:rsid w:val="004E3C34"/>
    <w:rsid w:val="00526420"/>
    <w:rsid w:val="0053057A"/>
    <w:rsid w:val="00560A29"/>
    <w:rsid w:val="0060114E"/>
    <w:rsid w:val="00605827"/>
    <w:rsid w:val="00646050"/>
    <w:rsid w:val="006713CA"/>
    <w:rsid w:val="00676C5C"/>
    <w:rsid w:val="006F4A9F"/>
    <w:rsid w:val="007058FB"/>
    <w:rsid w:val="0071715C"/>
    <w:rsid w:val="0072191A"/>
    <w:rsid w:val="007B6A58"/>
    <w:rsid w:val="007D0986"/>
    <w:rsid w:val="007D1613"/>
    <w:rsid w:val="007E6EC0"/>
    <w:rsid w:val="00845BDE"/>
    <w:rsid w:val="00874E9A"/>
    <w:rsid w:val="008B2CC1"/>
    <w:rsid w:val="008B60B2"/>
    <w:rsid w:val="0090731E"/>
    <w:rsid w:val="00913D31"/>
    <w:rsid w:val="009154A1"/>
    <w:rsid w:val="00916E72"/>
    <w:rsid w:val="00916EE2"/>
    <w:rsid w:val="00966A22"/>
    <w:rsid w:val="0096722F"/>
    <w:rsid w:val="00980843"/>
    <w:rsid w:val="009A6AE3"/>
    <w:rsid w:val="009E2791"/>
    <w:rsid w:val="009E3F6F"/>
    <w:rsid w:val="009F499F"/>
    <w:rsid w:val="00A031E6"/>
    <w:rsid w:val="00A22184"/>
    <w:rsid w:val="00A42DAF"/>
    <w:rsid w:val="00A45BD8"/>
    <w:rsid w:val="00A63525"/>
    <w:rsid w:val="00A85B8E"/>
    <w:rsid w:val="00AC205C"/>
    <w:rsid w:val="00B05A69"/>
    <w:rsid w:val="00B13A42"/>
    <w:rsid w:val="00B33022"/>
    <w:rsid w:val="00B858C5"/>
    <w:rsid w:val="00B9734B"/>
    <w:rsid w:val="00BC4944"/>
    <w:rsid w:val="00BE0A03"/>
    <w:rsid w:val="00C11BFE"/>
    <w:rsid w:val="00C94629"/>
    <w:rsid w:val="00CA1FA3"/>
    <w:rsid w:val="00CB3FBD"/>
    <w:rsid w:val="00CE28F0"/>
    <w:rsid w:val="00D45252"/>
    <w:rsid w:val="00D71B4D"/>
    <w:rsid w:val="00D93D55"/>
    <w:rsid w:val="00DB3A73"/>
    <w:rsid w:val="00DF534F"/>
    <w:rsid w:val="00E335FE"/>
    <w:rsid w:val="00E5021F"/>
    <w:rsid w:val="00EC4E49"/>
    <w:rsid w:val="00ED77FB"/>
    <w:rsid w:val="00EE7DD7"/>
    <w:rsid w:val="00F021A6"/>
    <w:rsid w:val="00F11C0E"/>
    <w:rsid w:val="00F15F46"/>
    <w:rsid w:val="00F305F5"/>
    <w:rsid w:val="00F35F85"/>
    <w:rsid w:val="00F66152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69D5-2E34-4232-B20E-C622BF34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50 (E).dotm</Template>
  <TotalTime>1</TotalTime>
  <Pages>1</Pages>
  <Words>641</Words>
  <Characters>112</Characters>
  <Application>Microsoft Office Word</Application>
  <DocSecurity>4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MM/A/50/INF/1</vt:lpstr>
    </vt:vector>
  </TitlesOfParts>
  <Company>WIPO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MM/A/50/INF/1</dc:title>
  <dc:subject>马德里联盟2014/15两年期盈余</dc:subject>
  <dc:creator>DORE Marie-Pierre</dc:creator>
  <cp:lastModifiedBy>DORE Marie-Pierre</cp:lastModifiedBy>
  <cp:revision>2</cp:revision>
  <cp:lastPrinted>2016-09-30T09:13:00Z</cp:lastPrinted>
  <dcterms:created xsi:type="dcterms:W3CDTF">2016-09-30T13:18:00Z</dcterms:created>
  <dcterms:modified xsi:type="dcterms:W3CDTF">2016-09-30T13:18:00Z</dcterms:modified>
</cp:coreProperties>
</file>