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615" w:rsidRPr="00AC4615" w:rsidRDefault="00AC4615" w:rsidP="00AC4615">
      <w:pPr>
        <w:widowControl w:val="0"/>
        <w:jc w:val="right"/>
        <w:rPr>
          <w:b/>
          <w:sz w:val="2"/>
          <w:szCs w:val="40"/>
        </w:rPr>
      </w:pPr>
      <w:r w:rsidRPr="00AC4615">
        <w:rPr>
          <w:rFonts w:hint="eastAsia"/>
          <w:b/>
          <w:sz w:val="40"/>
          <w:szCs w:val="40"/>
        </w:rPr>
        <w:t>C</w:t>
      </w:r>
    </w:p>
    <w:p w:rsidR="00AC4615" w:rsidRPr="00AC4615" w:rsidRDefault="00AC4615" w:rsidP="00AC4615">
      <w:pPr>
        <w:spacing w:line="360" w:lineRule="auto"/>
        <w:ind w:left="4592"/>
        <w:rPr>
          <w:rFonts w:ascii="Arial Black" w:hAnsi="Arial Black"/>
          <w:caps/>
          <w:sz w:val="15"/>
        </w:rPr>
      </w:pPr>
      <w:r w:rsidRPr="00AC4615">
        <w:rPr>
          <w:noProof/>
        </w:rPr>
        <w:drawing>
          <wp:inline distT="0" distB="0" distL="0" distR="0" wp14:anchorId="3D9EE559" wp14:editId="13D168E4">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C4615" w:rsidRPr="00AC4615" w:rsidRDefault="00AC4615" w:rsidP="006D3BE8">
      <w:pPr>
        <w:pBdr>
          <w:top w:val="single" w:sz="4" w:space="10" w:color="auto"/>
        </w:pBdr>
        <w:wordWrap w:val="0"/>
        <w:spacing w:before="120"/>
        <w:jc w:val="right"/>
        <w:rPr>
          <w:rFonts w:ascii="Arial Black" w:hAnsi="Arial Black"/>
          <w:b/>
          <w:caps/>
          <w:sz w:val="15"/>
        </w:rPr>
      </w:pPr>
      <w:bookmarkStart w:id="0" w:name="Code"/>
      <w:bookmarkEnd w:id="0"/>
      <w:r w:rsidRPr="00AC4615">
        <w:rPr>
          <w:rFonts w:ascii="Arial Black" w:hAnsi="Arial Black" w:hint="eastAsia"/>
          <w:b/>
          <w:caps/>
          <w:sz w:val="15"/>
        </w:rPr>
        <w:t>LI/A/3</w:t>
      </w:r>
      <w:r w:rsidR="006D3BE8">
        <w:rPr>
          <w:rFonts w:ascii="Arial Black" w:hAnsi="Arial Black" w:hint="eastAsia"/>
          <w:b/>
          <w:caps/>
          <w:sz w:val="15"/>
        </w:rPr>
        <w:t>6</w:t>
      </w:r>
      <w:r w:rsidRPr="00AC4615">
        <w:rPr>
          <w:rFonts w:ascii="Arial Black" w:hAnsi="Arial Black" w:hint="eastAsia"/>
          <w:b/>
          <w:caps/>
          <w:sz w:val="15"/>
        </w:rPr>
        <w:t>/2</w:t>
      </w:r>
    </w:p>
    <w:p w:rsidR="00AC4615" w:rsidRPr="00AC4615" w:rsidRDefault="00AC4615" w:rsidP="00AC4615">
      <w:pPr>
        <w:jc w:val="right"/>
        <w:rPr>
          <w:rFonts w:ascii="Arial Black" w:hAnsi="Arial Black"/>
          <w:b/>
          <w:caps/>
          <w:sz w:val="15"/>
          <w:szCs w:val="15"/>
        </w:rPr>
      </w:pPr>
      <w:r w:rsidRPr="00AC4615">
        <w:rPr>
          <w:rFonts w:eastAsia="SimHei" w:hint="eastAsia"/>
          <w:b/>
          <w:sz w:val="15"/>
          <w:szCs w:val="15"/>
        </w:rPr>
        <w:t>原文</w:t>
      </w:r>
      <w:r w:rsidRPr="00AC4615">
        <w:rPr>
          <w:rFonts w:eastAsia="SimHei" w:hint="eastAsia"/>
          <w:b/>
          <w:sz w:val="15"/>
          <w:szCs w:val="15"/>
          <w:lang w:val="pt-BR"/>
        </w:rPr>
        <w:t>：</w:t>
      </w:r>
      <w:bookmarkStart w:id="1" w:name="Original"/>
      <w:bookmarkEnd w:id="1"/>
      <w:r w:rsidRPr="00AC4615">
        <w:rPr>
          <w:rFonts w:eastAsia="SimHei" w:hint="eastAsia"/>
          <w:b/>
          <w:sz w:val="15"/>
          <w:szCs w:val="15"/>
          <w:lang w:val="pt-BR"/>
        </w:rPr>
        <w:t>英</w:t>
      </w:r>
      <w:r w:rsidRPr="00AC4615">
        <w:rPr>
          <w:rFonts w:eastAsia="SimHei" w:hint="eastAsia"/>
          <w:b/>
          <w:sz w:val="15"/>
          <w:szCs w:val="15"/>
        </w:rPr>
        <w:t>文</w:t>
      </w:r>
    </w:p>
    <w:p w:rsidR="00AC4615" w:rsidRPr="00AC4615" w:rsidRDefault="00AC4615" w:rsidP="00AC4615">
      <w:pPr>
        <w:spacing w:line="1680" w:lineRule="auto"/>
        <w:jc w:val="right"/>
        <w:rPr>
          <w:rFonts w:ascii="SimHei" w:eastAsia="SimHei" w:hAnsi="Arial Black"/>
          <w:b/>
          <w:caps/>
          <w:sz w:val="15"/>
          <w:szCs w:val="15"/>
        </w:rPr>
      </w:pPr>
      <w:r w:rsidRPr="00AC4615">
        <w:rPr>
          <w:rFonts w:ascii="SimHei" w:eastAsia="SimHei" w:hint="eastAsia"/>
          <w:b/>
          <w:sz w:val="15"/>
          <w:szCs w:val="15"/>
        </w:rPr>
        <w:t>日期</w:t>
      </w:r>
      <w:r w:rsidRPr="00AC4615">
        <w:rPr>
          <w:rFonts w:ascii="SimHei" w:eastAsia="SimHei" w:hAnsi="SimSun" w:hint="eastAsia"/>
          <w:b/>
          <w:sz w:val="15"/>
          <w:szCs w:val="15"/>
          <w:lang w:val="pt-BR"/>
        </w:rPr>
        <w:t>：</w:t>
      </w:r>
      <w:bookmarkStart w:id="2" w:name="Date"/>
      <w:bookmarkEnd w:id="2"/>
      <w:r w:rsidRPr="00AC4615">
        <w:rPr>
          <w:rFonts w:ascii="Arial Black" w:eastAsia="SimHei" w:hAnsi="Arial Black"/>
          <w:b/>
          <w:sz w:val="15"/>
          <w:szCs w:val="15"/>
          <w:lang w:val="pt-BR"/>
        </w:rPr>
        <w:t>201</w:t>
      </w:r>
      <w:r w:rsidR="006D3BE8">
        <w:rPr>
          <w:rFonts w:ascii="Arial Black" w:eastAsia="SimHei" w:hAnsi="Arial Black"/>
          <w:b/>
          <w:sz w:val="15"/>
          <w:szCs w:val="15"/>
          <w:lang w:val="pt-BR"/>
        </w:rPr>
        <w:t>9</w:t>
      </w:r>
      <w:r w:rsidRPr="00AC4615">
        <w:rPr>
          <w:rFonts w:ascii="SimHei" w:eastAsia="SimHei" w:hAnsi="Times New Roman" w:hint="eastAsia"/>
          <w:b/>
          <w:sz w:val="15"/>
          <w:szCs w:val="15"/>
        </w:rPr>
        <w:t>年</w:t>
      </w:r>
      <w:r w:rsidR="006D3BE8">
        <w:rPr>
          <w:rFonts w:ascii="Arial Black" w:eastAsia="SimHei" w:hAnsi="Arial Black"/>
          <w:b/>
          <w:sz w:val="15"/>
          <w:szCs w:val="15"/>
          <w:lang w:val="pt-BR"/>
        </w:rPr>
        <w:t>1</w:t>
      </w:r>
      <w:r w:rsidR="0016244A">
        <w:rPr>
          <w:rFonts w:ascii="Arial Black" w:eastAsia="SimHei" w:hAnsi="Arial Black" w:hint="eastAsia"/>
          <w:b/>
          <w:sz w:val="15"/>
          <w:szCs w:val="15"/>
          <w:lang w:val="pt-BR"/>
        </w:rPr>
        <w:t>2</w:t>
      </w:r>
      <w:r w:rsidRPr="00AC4615">
        <w:rPr>
          <w:rFonts w:ascii="SimHei" w:eastAsia="SimHei" w:hAnsi="Times New Roman" w:hint="eastAsia"/>
          <w:b/>
          <w:sz w:val="15"/>
          <w:szCs w:val="15"/>
        </w:rPr>
        <w:t>月</w:t>
      </w:r>
      <w:r w:rsidR="006D3BE8">
        <w:rPr>
          <w:rFonts w:ascii="Arial Black" w:eastAsia="SimHei" w:hAnsi="Arial Black"/>
          <w:b/>
          <w:sz w:val="15"/>
          <w:szCs w:val="15"/>
          <w:lang w:val="pt-BR"/>
        </w:rPr>
        <w:t>1</w:t>
      </w:r>
      <w:r w:rsidR="0016244A">
        <w:rPr>
          <w:rFonts w:ascii="Arial Black" w:eastAsia="SimHei" w:hAnsi="Arial Black" w:hint="eastAsia"/>
          <w:b/>
          <w:sz w:val="15"/>
          <w:szCs w:val="15"/>
          <w:lang w:val="pt-BR"/>
        </w:rPr>
        <w:t>3</w:t>
      </w:r>
      <w:r w:rsidRPr="00AC4615">
        <w:rPr>
          <w:rFonts w:ascii="SimHei" w:eastAsia="SimHei" w:hAnsi="Times New Roman" w:hint="eastAsia"/>
          <w:b/>
          <w:sz w:val="15"/>
          <w:szCs w:val="15"/>
        </w:rPr>
        <w:t>日</w:t>
      </w:r>
    </w:p>
    <w:p w:rsidR="00AC4615" w:rsidRPr="00AC4615" w:rsidRDefault="00AC4615" w:rsidP="00AC4615">
      <w:pPr>
        <w:spacing w:after="600"/>
        <w:rPr>
          <w:rFonts w:ascii="SimHei" w:eastAsia="SimHei"/>
          <w:sz w:val="28"/>
          <w:szCs w:val="28"/>
        </w:rPr>
      </w:pPr>
      <w:r w:rsidRPr="00AC4615">
        <w:rPr>
          <w:rFonts w:ascii="SimHei" w:eastAsia="SimHei" w:hint="eastAsia"/>
          <w:sz w:val="28"/>
          <w:szCs w:val="28"/>
        </w:rPr>
        <w:t>原产地名称保护及国际注册特别联盟（里斯本联盟）</w:t>
      </w:r>
    </w:p>
    <w:p w:rsidR="00AC4615" w:rsidRPr="00AC4615" w:rsidRDefault="00AC4615" w:rsidP="00AC4615">
      <w:pPr>
        <w:spacing w:after="600"/>
        <w:rPr>
          <w:rFonts w:ascii="SimHei" w:eastAsia="SimHei"/>
          <w:sz w:val="28"/>
          <w:szCs w:val="28"/>
        </w:rPr>
      </w:pPr>
      <w:r w:rsidRPr="00AC4615">
        <w:rPr>
          <w:rFonts w:ascii="SimHei" w:eastAsia="SimHei" w:hint="eastAsia"/>
          <w:sz w:val="28"/>
          <w:szCs w:val="28"/>
        </w:rPr>
        <w:t>大　会</w:t>
      </w:r>
    </w:p>
    <w:p w:rsidR="00AC4615" w:rsidRPr="00AC4615" w:rsidRDefault="00AC4615" w:rsidP="00AC4615">
      <w:pPr>
        <w:textAlignment w:val="bottom"/>
        <w:rPr>
          <w:rFonts w:ascii="KaiTi" w:eastAsia="KaiTi"/>
          <w:b/>
          <w:sz w:val="24"/>
          <w:szCs w:val="24"/>
        </w:rPr>
      </w:pPr>
      <w:r w:rsidRPr="00AC4615">
        <w:rPr>
          <w:rFonts w:ascii="KaiTi" w:eastAsia="KaiTi" w:hint="eastAsia"/>
          <w:b/>
          <w:sz w:val="24"/>
          <w:szCs w:val="24"/>
        </w:rPr>
        <w:t>第三十</w:t>
      </w:r>
      <w:r w:rsidR="006D3BE8">
        <w:rPr>
          <w:rFonts w:ascii="KaiTi" w:eastAsia="KaiTi" w:hint="eastAsia"/>
          <w:b/>
          <w:sz w:val="24"/>
          <w:szCs w:val="24"/>
        </w:rPr>
        <w:t>六</w:t>
      </w:r>
      <w:r w:rsidRPr="00AC4615">
        <w:rPr>
          <w:rFonts w:ascii="KaiTi" w:eastAsia="KaiTi" w:hint="eastAsia"/>
          <w:b/>
          <w:sz w:val="24"/>
          <w:szCs w:val="24"/>
        </w:rPr>
        <w:t>届会议（第</w:t>
      </w:r>
      <w:r w:rsidR="006D3BE8">
        <w:rPr>
          <w:rFonts w:ascii="KaiTi" w:eastAsia="KaiTi" w:hint="eastAsia"/>
          <w:sz w:val="24"/>
          <w:szCs w:val="24"/>
        </w:rPr>
        <w:t>2</w:t>
      </w:r>
      <w:r w:rsidRPr="00AC4615">
        <w:rPr>
          <w:rFonts w:ascii="KaiTi" w:eastAsia="KaiTi" w:hint="eastAsia"/>
          <w:sz w:val="24"/>
          <w:szCs w:val="24"/>
        </w:rPr>
        <w:t>3</w:t>
      </w:r>
      <w:r w:rsidRPr="00AC4615">
        <w:rPr>
          <w:rFonts w:ascii="KaiTi" w:eastAsia="KaiTi" w:hint="eastAsia"/>
          <w:b/>
          <w:sz w:val="24"/>
          <w:szCs w:val="24"/>
        </w:rPr>
        <w:t>次</w:t>
      </w:r>
      <w:r w:rsidR="006D3BE8">
        <w:rPr>
          <w:rFonts w:ascii="KaiTi" w:eastAsia="KaiTi" w:hint="eastAsia"/>
          <w:b/>
          <w:sz w:val="24"/>
          <w:szCs w:val="24"/>
        </w:rPr>
        <w:t>例会</w:t>
      </w:r>
      <w:r w:rsidRPr="00AC4615">
        <w:rPr>
          <w:rFonts w:ascii="KaiTi" w:eastAsia="KaiTi" w:hint="eastAsia"/>
          <w:b/>
          <w:sz w:val="24"/>
          <w:szCs w:val="24"/>
        </w:rPr>
        <w:t>）</w:t>
      </w:r>
    </w:p>
    <w:p w:rsidR="00AC4615" w:rsidRPr="00AC4615" w:rsidRDefault="00AC4615" w:rsidP="00AC4615">
      <w:pPr>
        <w:spacing w:after="720"/>
        <w:rPr>
          <w:rFonts w:ascii="KaiTi" w:eastAsia="KaiTi"/>
          <w:b/>
          <w:sz w:val="24"/>
          <w:szCs w:val="24"/>
        </w:rPr>
      </w:pPr>
      <w:r w:rsidRPr="00AC4615">
        <w:rPr>
          <w:rFonts w:ascii="KaiTi" w:eastAsia="KaiTi" w:hint="eastAsia"/>
          <w:sz w:val="24"/>
          <w:szCs w:val="24"/>
        </w:rPr>
        <w:t>201</w:t>
      </w:r>
      <w:r w:rsidR="004E7131">
        <w:rPr>
          <w:rFonts w:ascii="KaiTi" w:eastAsia="KaiTi" w:hint="eastAsia"/>
          <w:sz w:val="24"/>
          <w:szCs w:val="24"/>
        </w:rPr>
        <w:t>9</w:t>
      </w:r>
      <w:r w:rsidRPr="00AC4615">
        <w:rPr>
          <w:rFonts w:ascii="KaiTi" w:eastAsia="KaiTi" w:hint="eastAsia"/>
          <w:b/>
          <w:sz w:val="24"/>
          <w:szCs w:val="24"/>
        </w:rPr>
        <w:t>年</w:t>
      </w:r>
      <w:r w:rsidR="004E7131">
        <w:rPr>
          <w:rFonts w:ascii="KaiTi" w:eastAsia="KaiTi" w:hint="eastAsia"/>
          <w:sz w:val="24"/>
          <w:szCs w:val="24"/>
        </w:rPr>
        <w:t>9</w:t>
      </w:r>
      <w:r w:rsidRPr="00AC4615">
        <w:rPr>
          <w:rFonts w:ascii="KaiTi" w:eastAsia="KaiTi" w:hint="eastAsia"/>
          <w:b/>
          <w:sz w:val="24"/>
          <w:szCs w:val="24"/>
        </w:rPr>
        <w:t>月</w:t>
      </w:r>
      <w:r w:rsidR="004E7131" w:rsidRPr="004E7131">
        <w:rPr>
          <w:rFonts w:ascii="KaiTi" w:eastAsia="KaiTi" w:hint="eastAsia"/>
          <w:sz w:val="24"/>
          <w:szCs w:val="24"/>
        </w:rPr>
        <w:t>30</w:t>
      </w:r>
      <w:r w:rsidRPr="00AC4615">
        <w:rPr>
          <w:rFonts w:ascii="KaiTi" w:eastAsia="KaiTi" w:hint="eastAsia"/>
          <w:b/>
          <w:sz w:val="24"/>
          <w:szCs w:val="24"/>
        </w:rPr>
        <w:t>日至</w:t>
      </w:r>
      <w:r w:rsidRPr="00AC4615">
        <w:rPr>
          <w:rFonts w:ascii="KaiTi" w:eastAsia="KaiTi" w:hint="eastAsia"/>
          <w:sz w:val="24"/>
          <w:szCs w:val="24"/>
        </w:rPr>
        <w:t>10</w:t>
      </w:r>
      <w:r w:rsidRPr="00AC4615">
        <w:rPr>
          <w:rFonts w:ascii="KaiTi" w:eastAsia="KaiTi" w:hint="eastAsia"/>
          <w:b/>
          <w:sz w:val="24"/>
          <w:szCs w:val="24"/>
        </w:rPr>
        <w:t>月</w:t>
      </w:r>
      <w:r w:rsidR="004E7131">
        <w:rPr>
          <w:rFonts w:ascii="KaiTi" w:eastAsia="KaiTi" w:hint="eastAsia"/>
          <w:sz w:val="24"/>
          <w:szCs w:val="24"/>
        </w:rPr>
        <w:t>9</w:t>
      </w:r>
      <w:r w:rsidRPr="00AC4615">
        <w:rPr>
          <w:rFonts w:ascii="KaiTi" w:eastAsia="KaiTi" w:hint="eastAsia"/>
          <w:b/>
          <w:sz w:val="24"/>
          <w:szCs w:val="24"/>
        </w:rPr>
        <w:t>日，日内瓦</w:t>
      </w:r>
    </w:p>
    <w:p w:rsidR="00EC5DC2" w:rsidRPr="00AC4615" w:rsidRDefault="00EC5DC2" w:rsidP="00AC4615">
      <w:pPr>
        <w:spacing w:after="360"/>
        <w:rPr>
          <w:rFonts w:ascii="KaiTi" w:eastAsia="KaiTi" w:hAnsi="KaiTi"/>
          <w:caps/>
          <w:sz w:val="24"/>
        </w:rPr>
      </w:pPr>
      <w:bookmarkStart w:id="3" w:name="TitleOfDoc"/>
      <w:bookmarkEnd w:id="3"/>
      <w:r>
        <w:rPr>
          <w:rFonts w:ascii="KaiTi" w:eastAsia="KaiTi" w:hAnsi="KaiTi" w:hint="eastAsia"/>
          <w:caps/>
          <w:sz w:val="24"/>
        </w:rPr>
        <w:t>报</w:t>
      </w:r>
      <w:r w:rsidR="0016244A">
        <w:rPr>
          <w:rFonts w:ascii="KaiTi" w:eastAsia="KaiTi" w:hAnsi="KaiTi" w:hint="eastAsia"/>
          <w:caps/>
          <w:sz w:val="24"/>
        </w:rPr>
        <w:t xml:space="preserve">　</w:t>
      </w:r>
      <w:r>
        <w:rPr>
          <w:rFonts w:ascii="KaiTi" w:eastAsia="KaiTi" w:hAnsi="KaiTi" w:hint="eastAsia"/>
          <w:caps/>
          <w:sz w:val="24"/>
        </w:rPr>
        <w:t>告</w:t>
      </w:r>
    </w:p>
    <w:p w:rsidR="00AC4615" w:rsidRPr="00AC4615" w:rsidRDefault="0016244A" w:rsidP="00AC4615">
      <w:pPr>
        <w:spacing w:after="960"/>
        <w:rPr>
          <w:rFonts w:ascii="KaiTi" w:eastAsia="KaiTi" w:hAnsi="KaiTi"/>
          <w:sz w:val="21"/>
          <w:szCs w:val="21"/>
        </w:rPr>
      </w:pPr>
      <w:bookmarkStart w:id="4" w:name="Prepared"/>
      <w:bookmarkEnd w:id="4"/>
      <w:r>
        <w:rPr>
          <w:rFonts w:ascii="KaiTi" w:eastAsia="KaiTi" w:hAnsi="KaiTi" w:hint="eastAsia"/>
          <w:sz w:val="21"/>
          <w:szCs w:val="21"/>
        </w:rPr>
        <w:t>经大会通过</w:t>
      </w:r>
    </w:p>
    <w:p w:rsidR="006E25F8" w:rsidRPr="006E25F8" w:rsidRDefault="006E25F8" w:rsidP="006E25F8">
      <w:pPr>
        <w:numPr>
          <w:ilvl w:val="0"/>
          <w:numId w:val="5"/>
        </w:numPr>
        <w:tabs>
          <w:tab w:val="clear" w:pos="567"/>
        </w:tabs>
        <w:overflowPunct w:val="0"/>
        <w:spacing w:afterLines="50" w:after="120" w:line="340" w:lineRule="atLeast"/>
        <w:jc w:val="both"/>
        <w:rPr>
          <w:rFonts w:ascii="SimSun" w:hAnsi="SimSun"/>
          <w:sz w:val="21"/>
          <w:szCs w:val="22"/>
        </w:rPr>
      </w:pPr>
      <w:proofErr w:type="gramStart"/>
      <w:r w:rsidRPr="006E25F8">
        <w:rPr>
          <w:rFonts w:ascii="SimSun" w:hAnsi="SimSun" w:hint="eastAsia"/>
          <w:sz w:val="21"/>
          <w:szCs w:val="22"/>
        </w:rPr>
        <w:t>本大会</w:t>
      </w:r>
      <w:proofErr w:type="gramEnd"/>
      <w:r w:rsidRPr="006E25F8">
        <w:rPr>
          <w:rFonts w:ascii="SimSun" w:hAnsi="SimSun" w:hint="eastAsia"/>
          <w:sz w:val="21"/>
          <w:szCs w:val="22"/>
        </w:rPr>
        <w:t>涉及统一编排议程（文件A/5</w:t>
      </w:r>
      <w:r w:rsidR="004261A3">
        <w:rPr>
          <w:rFonts w:ascii="SimSun" w:hAnsi="SimSun" w:hint="eastAsia"/>
          <w:sz w:val="21"/>
          <w:szCs w:val="22"/>
        </w:rPr>
        <w:t>9</w:t>
      </w:r>
      <w:r w:rsidRPr="006E25F8">
        <w:rPr>
          <w:rFonts w:ascii="SimSun" w:hAnsi="SimSun" w:hint="eastAsia"/>
          <w:sz w:val="21"/>
          <w:szCs w:val="22"/>
        </w:rPr>
        <w:t>/1）的下列项目：第</w:t>
      </w:r>
      <w:r w:rsidRPr="006E25F8">
        <w:rPr>
          <w:rFonts w:ascii="SimSun" w:hAnsi="SimSun"/>
          <w:sz w:val="21"/>
          <w:szCs w:val="22"/>
        </w:rPr>
        <w:t>1</w:t>
      </w:r>
      <w:r w:rsidRPr="006E25F8">
        <w:rPr>
          <w:rFonts w:ascii="SimSun" w:hAnsi="SimSun" w:hint="eastAsia"/>
          <w:sz w:val="21"/>
          <w:szCs w:val="22"/>
        </w:rPr>
        <w:t>、2、</w:t>
      </w:r>
      <w:r w:rsidRPr="006E25F8">
        <w:rPr>
          <w:rFonts w:ascii="SimSun" w:hAnsi="SimSun"/>
          <w:sz w:val="21"/>
          <w:szCs w:val="22"/>
        </w:rPr>
        <w:t>3</w:t>
      </w:r>
      <w:r w:rsidRPr="006E25F8">
        <w:rPr>
          <w:rFonts w:ascii="SimSun" w:hAnsi="SimSun" w:hint="eastAsia"/>
          <w:sz w:val="21"/>
          <w:szCs w:val="22"/>
        </w:rPr>
        <w:t>、</w:t>
      </w:r>
      <w:r w:rsidRPr="006E25F8">
        <w:rPr>
          <w:rFonts w:ascii="SimSun" w:hAnsi="SimSun"/>
          <w:sz w:val="21"/>
          <w:szCs w:val="22"/>
        </w:rPr>
        <w:t>4</w:t>
      </w:r>
      <w:r w:rsidRPr="006E25F8">
        <w:rPr>
          <w:rFonts w:ascii="SimSun" w:hAnsi="SimSun" w:hint="eastAsia"/>
          <w:sz w:val="21"/>
          <w:szCs w:val="22"/>
        </w:rPr>
        <w:t>、</w:t>
      </w:r>
      <w:r w:rsidRPr="006E25F8">
        <w:rPr>
          <w:rFonts w:ascii="SimSun" w:hAnsi="SimSun"/>
          <w:sz w:val="21"/>
          <w:szCs w:val="22"/>
        </w:rPr>
        <w:t>5</w:t>
      </w:r>
      <w:r w:rsidRPr="006E25F8">
        <w:rPr>
          <w:rFonts w:ascii="SimSun" w:hAnsi="SimSun" w:hint="eastAsia"/>
          <w:sz w:val="21"/>
          <w:szCs w:val="22"/>
        </w:rPr>
        <w:t>、</w:t>
      </w:r>
      <w:r w:rsidRPr="006E25F8">
        <w:rPr>
          <w:rFonts w:ascii="SimSun" w:hAnsi="SimSun"/>
          <w:sz w:val="21"/>
          <w:szCs w:val="22"/>
        </w:rPr>
        <w:t>6</w:t>
      </w:r>
      <w:r w:rsidRPr="006E25F8">
        <w:rPr>
          <w:rFonts w:ascii="SimSun" w:hAnsi="SimSun" w:hint="eastAsia"/>
          <w:sz w:val="21"/>
          <w:szCs w:val="22"/>
        </w:rPr>
        <w:t>、</w:t>
      </w:r>
      <w:r w:rsidR="004261A3">
        <w:rPr>
          <w:rFonts w:ascii="SimSun" w:hAnsi="SimSun" w:hint="eastAsia"/>
          <w:sz w:val="21"/>
          <w:szCs w:val="22"/>
        </w:rPr>
        <w:t>8</w:t>
      </w:r>
      <w:r w:rsidRPr="006E25F8">
        <w:rPr>
          <w:rFonts w:ascii="SimSun" w:hAnsi="SimSun" w:hint="eastAsia"/>
          <w:sz w:val="21"/>
          <w:szCs w:val="22"/>
        </w:rPr>
        <w:t>、</w:t>
      </w:r>
      <w:r w:rsidR="004261A3">
        <w:rPr>
          <w:rFonts w:ascii="SimSun" w:hAnsi="SimSun" w:hint="eastAsia"/>
          <w:sz w:val="21"/>
          <w:szCs w:val="22"/>
        </w:rPr>
        <w:t>11（ii）、1</w:t>
      </w:r>
      <w:r w:rsidRPr="006E25F8">
        <w:rPr>
          <w:rFonts w:ascii="SimSun" w:hAnsi="SimSun" w:hint="eastAsia"/>
          <w:sz w:val="21"/>
          <w:szCs w:val="22"/>
        </w:rPr>
        <w:t>3、</w:t>
      </w:r>
      <w:r w:rsidR="004261A3">
        <w:rPr>
          <w:rFonts w:ascii="SimSun" w:hAnsi="SimSun" w:hint="eastAsia"/>
          <w:sz w:val="21"/>
          <w:szCs w:val="22"/>
        </w:rPr>
        <w:t>14、25、</w:t>
      </w:r>
      <w:r w:rsidRPr="006E25F8">
        <w:rPr>
          <w:rFonts w:ascii="SimSun" w:hAnsi="SimSun"/>
          <w:sz w:val="21"/>
          <w:szCs w:val="22"/>
        </w:rPr>
        <w:t>3</w:t>
      </w:r>
      <w:r w:rsidR="004261A3">
        <w:rPr>
          <w:rFonts w:ascii="SimSun" w:hAnsi="SimSun" w:hint="eastAsia"/>
          <w:sz w:val="21"/>
          <w:szCs w:val="22"/>
        </w:rPr>
        <w:t>2</w:t>
      </w:r>
      <w:r w:rsidRPr="006E25F8">
        <w:rPr>
          <w:rFonts w:ascii="SimSun" w:hAnsi="SimSun" w:hint="eastAsia"/>
          <w:sz w:val="21"/>
          <w:szCs w:val="22"/>
        </w:rPr>
        <w:t>和</w:t>
      </w:r>
      <w:r w:rsidRPr="006E25F8">
        <w:rPr>
          <w:rFonts w:ascii="SimSun" w:hAnsi="SimSun"/>
          <w:sz w:val="21"/>
          <w:szCs w:val="22"/>
        </w:rPr>
        <w:t>3</w:t>
      </w:r>
      <w:r w:rsidR="004261A3">
        <w:rPr>
          <w:rFonts w:ascii="SimSun" w:hAnsi="SimSun" w:hint="eastAsia"/>
          <w:sz w:val="21"/>
          <w:szCs w:val="22"/>
        </w:rPr>
        <w:t>3</w:t>
      </w:r>
      <w:r w:rsidRPr="006E25F8">
        <w:rPr>
          <w:rFonts w:ascii="SimSun" w:hAnsi="SimSun" w:hint="eastAsia"/>
          <w:sz w:val="21"/>
          <w:szCs w:val="22"/>
        </w:rPr>
        <w:t>项。</w:t>
      </w:r>
    </w:p>
    <w:p w:rsidR="006E25F8" w:rsidRPr="006E25F8" w:rsidRDefault="006E25F8" w:rsidP="006E25F8">
      <w:pPr>
        <w:numPr>
          <w:ilvl w:val="0"/>
          <w:numId w:val="5"/>
        </w:numPr>
        <w:tabs>
          <w:tab w:val="clear" w:pos="567"/>
        </w:tabs>
        <w:overflowPunct w:val="0"/>
        <w:spacing w:afterLines="50" w:after="120" w:line="340" w:lineRule="atLeast"/>
        <w:jc w:val="both"/>
        <w:rPr>
          <w:rFonts w:ascii="SimSun" w:hAnsi="SimSun"/>
          <w:sz w:val="21"/>
          <w:szCs w:val="22"/>
        </w:rPr>
      </w:pPr>
      <w:r w:rsidRPr="006E25F8">
        <w:rPr>
          <w:rFonts w:ascii="SimSun" w:hAnsi="SimSun" w:hint="eastAsia"/>
          <w:sz w:val="21"/>
          <w:szCs w:val="22"/>
        </w:rPr>
        <w:t>除第</w:t>
      </w:r>
      <w:r w:rsidRPr="006E25F8">
        <w:rPr>
          <w:rFonts w:ascii="SimSun" w:hAnsi="SimSun"/>
          <w:sz w:val="21"/>
          <w:szCs w:val="22"/>
        </w:rPr>
        <w:t>2</w:t>
      </w:r>
      <w:r w:rsidR="00FB7AD8">
        <w:rPr>
          <w:rFonts w:ascii="SimSun" w:hAnsi="SimSun" w:hint="eastAsia"/>
          <w:sz w:val="21"/>
          <w:szCs w:val="22"/>
        </w:rPr>
        <w:t>5</w:t>
      </w:r>
      <w:r w:rsidRPr="006E25F8">
        <w:rPr>
          <w:rFonts w:ascii="SimSun" w:hAnsi="SimSun" w:hint="eastAsia"/>
          <w:sz w:val="21"/>
          <w:szCs w:val="22"/>
        </w:rPr>
        <w:t>项外，关于上述各项的报告均载于总报告（文件A/5</w:t>
      </w:r>
      <w:r w:rsidR="00FB7AD8">
        <w:rPr>
          <w:rFonts w:ascii="SimSun" w:hAnsi="SimSun" w:hint="eastAsia"/>
          <w:sz w:val="21"/>
          <w:szCs w:val="22"/>
        </w:rPr>
        <w:t>9</w:t>
      </w:r>
      <w:r w:rsidRPr="006E25F8">
        <w:rPr>
          <w:rFonts w:ascii="SimSun" w:hAnsi="SimSun" w:hint="eastAsia"/>
          <w:sz w:val="21"/>
          <w:szCs w:val="22"/>
        </w:rPr>
        <w:t>/</w:t>
      </w:r>
      <w:r w:rsidR="00B74D5C">
        <w:rPr>
          <w:rFonts w:ascii="SimSun" w:hAnsi="SimSun" w:hint="eastAsia"/>
          <w:sz w:val="21"/>
          <w:szCs w:val="22"/>
        </w:rPr>
        <w:t>14</w:t>
      </w:r>
      <w:bookmarkStart w:id="5" w:name="_GoBack"/>
      <w:bookmarkEnd w:id="5"/>
      <w:r w:rsidRPr="006E25F8">
        <w:rPr>
          <w:rFonts w:ascii="SimSun" w:hAnsi="SimSun" w:hint="eastAsia"/>
          <w:sz w:val="21"/>
          <w:szCs w:val="22"/>
        </w:rPr>
        <w:t>）。</w:t>
      </w:r>
    </w:p>
    <w:p w:rsidR="006E25F8" w:rsidRPr="006E25F8" w:rsidRDefault="006E25F8" w:rsidP="006E25F8">
      <w:pPr>
        <w:numPr>
          <w:ilvl w:val="0"/>
          <w:numId w:val="5"/>
        </w:numPr>
        <w:tabs>
          <w:tab w:val="clear" w:pos="567"/>
        </w:tabs>
        <w:overflowPunct w:val="0"/>
        <w:spacing w:afterLines="50" w:after="120" w:line="340" w:lineRule="atLeast"/>
        <w:jc w:val="both"/>
        <w:rPr>
          <w:rFonts w:ascii="SimSun" w:hAnsi="SimSun"/>
          <w:sz w:val="21"/>
          <w:szCs w:val="22"/>
        </w:rPr>
      </w:pPr>
      <w:r w:rsidRPr="006E25F8">
        <w:rPr>
          <w:rFonts w:ascii="SimSun" w:hAnsi="SimSun" w:hint="eastAsia"/>
          <w:sz w:val="21"/>
          <w:szCs w:val="22"/>
        </w:rPr>
        <w:t>关于第</w:t>
      </w:r>
      <w:r w:rsidRPr="006E25F8">
        <w:rPr>
          <w:rFonts w:ascii="SimSun" w:hAnsi="SimSun"/>
          <w:sz w:val="21"/>
          <w:szCs w:val="22"/>
        </w:rPr>
        <w:t>2</w:t>
      </w:r>
      <w:r w:rsidR="00043352">
        <w:rPr>
          <w:rFonts w:ascii="SimSun" w:hAnsi="SimSun" w:hint="eastAsia"/>
          <w:sz w:val="21"/>
          <w:szCs w:val="22"/>
        </w:rPr>
        <w:t>5</w:t>
      </w:r>
      <w:r w:rsidRPr="006E25F8">
        <w:rPr>
          <w:rFonts w:ascii="SimSun" w:hAnsi="SimSun" w:hint="eastAsia"/>
          <w:sz w:val="21"/>
          <w:szCs w:val="22"/>
        </w:rPr>
        <w:t>项的报告载于本文件。</w:t>
      </w:r>
    </w:p>
    <w:p w:rsidR="00963AB7" w:rsidRDefault="0086160D" w:rsidP="006E25F8">
      <w:pPr>
        <w:numPr>
          <w:ilvl w:val="0"/>
          <w:numId w:val="5"/>
        </w:numPr>
        <w:tabs>
          <w:tab w:val="clear" w:pos="567"/>
        </w:tabs>
        <w:overflowPunct w:val="0"/>
        <w:spacing w:afterLines="50" w:after="120" w:line="340" w:lineRule="atLeast"/>
        <w:jc w:val="both"/>
        <w:rPr>
          <w:rFonts w:ascii="SimSun" w:hAnsi="SimSun"/>
          <w:sz w:val="21"/>
          <w:szCs w:val="22"/>
        </w:rPr>
      </w:pPr>
      <w:r>
        <w:rPr>
          <w:rFonts w:hint="eastAsia"/>
          <w:sz w:val="21"/>
          <w:szCs w:val="21"/>
        </w:rPr>
        <w:t>礼萨·德赫加尼</w:t>
      </w:r>
      <w:r>
        <w:rPr>
          <w:rFonts w:ascii="SimSun" w:hAnsi="SimSun" w:hint="eastAsia"/>
          <w:sz w:val="21"/>
          <w:szCs w:val="22"/>
        </w:rPr>
        <w:t>先生（伊朗（伊斯兰共和国）</w:t>
      </w:r>
      <w:r w:rsidR="006E25F8" w:rsidRPr="006E25F8">
        <w:rPr>
          <w:rFonts w:ascii="SimSun" w:hAnsi="SimSun" w:hint="eastAsia"/>
          <w:sz w:val="21"/>
          <w:szCs w:val="22"/>
        </w:rPr>
        <w:t>）当选大会主席；</w:t>
      </w:r>
      <w:r w:rsidRPr="00BF6576">
        <w:rPr>
          <w:rFonts w:ascii="SimSun" w:hAnsi="SimSun" w:hint="eastAsia"/>
          <w:sz w:val="21"/>
        </w:rPr>
        <w:t>菲利普</w:t>
      </w:r>
      <w:r>
        <w:rPr>
          <w:rFonts w:ascii="SimSun" w:hAnsi="SimSun" w:hint="eastAsia"/>
          <w:sz w:val="21"/>
        </w:rPr>
        <w:t>·</w:t>
      </w:r>
      <w:r w:rsidRPr="00BF6576">
        <w:rPr>
          <w:rFonts w:ascii="SimSun" w:hAnsi="SimSun" w:hint="eastAsia"/>
          <w:sz w:val="21"/>
        </w:rPr>
        <w:t>卡德雷</w:t>
      </w:r>
      <w:r w:rsidR="006E25F8" w:rsidRPr="006E25F8">
        <w:rPr>
          <w:rFonts w:ascii="SimSun" w:hAnsi="SimSun" w:hint="eastAsia"/>
          <w:sz w:val="21"/>
          <w:szCs w:val="22"/>
        </w:rPr>
        <w:t>先生（</w:t>
      </w:r>
      <w:r>
        <w:rPr>
          <w:rFonts w:ascii="SimSun" w:hAnsi="SimSun" w:hint="eastAsia"/>
          <w:sz w:val="21"/>
          <w:szCs w:val="22"/>
        </w:rPr>
        <w:t>法国</w:t>
      </w:r>
      <w:r w:rsidR="006E25F8" w:rsidRPr="006E25F8">
        <w:rPr>
          <w:rFonts w:ascii="SimSun" w:hAnsi="SimSun" w:hint="eastAsia"/>
          <w:sz w:val="21"/>
          <w:szCs w:val="22"/>
        </w:rPr>
        <w:t>）和</w:t>
      </w:r>
      <w:r>
        <w:rPr>
          <w:rFonts w:hint="eastAsia"/>
          <w:sz w:val="21"/>
          <w:szCs w:val="21"/>
        </w:rPr>
        <w:t>拉伊·梅洛尼·加西亚</w:t>
      </w:r>
      <w:r>
        <w:rPr>
          <w:rFonts w:ascii="SimSun" w:hAnsi="SimSun" w:hint="eastAsia"/>
          <w:sz w:val="21"/>
          <w:szCs w:val="22"/>
        </w:rPr>
        <w:t>先生（秘鲁</w:t>
      </w:r>
      <w:r w:rsidR="006E25F8" w:rsidRPr="006E25F8">
        <w:rPr>
          <w:rFonts w:ascii="SimSun" w:hAnsi="SimSun" w:hint="eastAsia"/>
          <w:sz w:val="21"/>
          <w:szCs w:val="22"/>
        </w:rPr>
        <w:t>）当选大会副主席。</w:t>
      </w:r>
    </w:p>
    <w:p w:rsidR="00AF16CB" w:rsidRPr="0052401F" w:rsidRDefault="00963AB7" w:rsidP="0052401F">
      <w:pPr>
        <w:rPr>
          <w:rFonts w:ascii="SimSun" w:hAnsi="SimSun"/>
          <w:sz w:val="21"/>
          <w:szCs w:val="22"/>
        </w:rPr>
      </w:pPr>
      <w:r>
        <w:rPr>
          <w:rFonts w:ascii="SimSun" w:hAnsi="SimSun"/>
          <w:sz w:val="21"/>
          <w:szCs w:val="22"/>
        </w:rPr>
        <w:br w:type="page"/>
      </w:r>
      <w:r w:rsidR="00AF16CB" w:rsidRPr="00526670">
        <w:rPr>
          <w:rFonts w:ascii="KaiTi" w:eastAsia="KaiTi" w:hAnsi="KaiTi" w:hint="eastAsia"/>
          <w:snapToGrid w:val="0"/>
          <w:sz w:val="21"/>
        </w:rPr>
        <w:lastRenderedPageBreak/>
        <w:t>统一编排议程第2</w:t>
      </w:r>
      <w:r w:rsidR="00D372C5">
        <w:rPr>
          <w:rFonts w:ascii="KaiTi" w:eastAsia="KaiTi" w:hAnsi="KaiTi" w:hint="eastAsia"/>
          <w:snapToGrid w:val="0"/>
          <w:sz w:val="21"/>
        </w:rPr>
        <w:t>5</w:t>
      </w:r>
      <w:r w:rsidR="00AF16CB" w:rsidRPr="00526670">
        <w:rPr>
          <w:rFonts w:ascii="KaiTi" w:eastAsia="KaiTi" w:hAnsi="KaiTi" w:hint="eastAsia"/>
          <w:snapToGrid w:val="0"/>
          <w:sz w:val="21"/>
        </w:rPr>
        <w:t>项</w:t>
      </w:r>
    </w:p>
    <w:p w:rsidR="00AF16CB" w:rsidRPr="00526670" w:rsidRDefault="00AF16CB" w:rsidP="00AF16CB">
      <w:pPr>
        <w:keepNext/>
        <w:spacing w:afterLines="50" w:after="120" w:line="340" w:lineRule="atLeast"/>
        <w:jc w:val="both"/>
        <w:rPr>
          <w:rFonts w:ascii="SimHei" w:eastAsia="SimHei" w:hAnsi="SimHei"/>
          <w:snapToGrid w:val="0"/>
          <w:sz w:val="21"/>
        </w:rPr>
      </w:pPr>
      <w:r>
        <w:rPr>
          <w:rFonts w:ascii="SimHei" w:eastAsia="SimHei" w:hAnsi="SimHei" w:hint="eastAsia"/>
          <w:snapToGrid w:val="0"/>
          <w:sz w:val="21"/>
        </w:rPr>
        <w:t>里斯本</w:t>
      </w:r>
      <w:r w:rsidRPr="00526670">
        <w:rPr>
          <w:rFonts w:ascii="SimHei" w:eastAsia="SimHei" w:hAnsi="SimHei" w:hint="eastAsia"/>
          <w:snapToGrid w:val="0"/>
          <w:sz w:val="21"/>
        </w:rPr>
        <w:t>体系</w:t>
      </w:r>
    </w:p>
    <w:p w:rsidR="00934C0F"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sz w:val="21"/>
          <w:szCs w:val="21"/>
        </w:rPr>
        <w:t>里斯本联盟大会主席回顾了里斯本体系自2018年里斯本联盟大会</w:t>
      </w:r>
      <w:r w:rsidR="00940EE1">
        <w:rPr>
          <w:rFonts w:ascii="SimSun" w:hAnsi="SimSun" w:hint="eastAsia"/>
          <w:sz w:val="21"/>
          <w:szCs w:val="21"/>
        </w:rPr>
        <w:t>上届</w:t>
      </w:r>
      <w:r w:rsidRPr="00ED4072">
        <w:rPr>
          <w:rFonts w:ascii="SimSun" w:hAnsi="SimSun"/>
          <w:sz w:val="21"/>
          <w:szCs w:val="21"/>
        </w:rPr>
        <w:t>会议</w:t>
      </w:r>
      <w:r w:rsidR="0044604C" w:rsidRPr="00ED4072">
        <w:rPr>
          <w:rFonts w:ascii="SimSun" w:hAnsi="SimSun" w:hint="eastAsia"/>
          <w:sz w:val="21"/>
          <w:szCs w:val="21"/>
        </w:rPr>
        <w:t>召开</w:t>
      </w:r>
      <w:r w:rsidRPr="00ED4072">
        <w:rPr>
          <w:rFonts w:ascii="SimSun" w:hAnsi="SimSun" w:hint="eastAsia"/>
          <w:sz w:val="21"/>
          <w:szCs w:val="21"/>
        </w:rPr>
        <w:t>以</w:t>
      </w:r>
      <w:r w:rsidRPr="00ED4072">
        <w:rPr>
          <w:rFonts w:ascii="SimSun" w:hAnsi="SimSun"/>
          <w:sz w:val="21"/>
          <w:szCs w:val="21"/>
        </w:rPr>
        <w:t>来取得的一些重要</w:t>
      </w:r>
      <w:r w:rsidRPr="009F011F">
        <w:rPr>
          <w:rFonts w:ascii="SimSun" w:hAnsi="SimSun"/>
          <w:sz w:val="21"/>
          <w:szCs w:val="21"/>
        </w:rPr>
        <w:t>发展</w:t>
      </w:r>
      <w:r w:rsidRPr="00ED4072">
        <w:rPr>
          <w:rFonts w:ascii="SimSun" w:hAnsi="SimSun"/>
          <w:sz w:val="21"/>
          <w:szCs w:val="21"/>
        </w:rPr>
        <w:t>。主席欢迎阿尔巴尼亚</w:t>
      </w:r>
      <w:r w:rsidRPr="00ED4072">
        <w:rPr>
          <w:rFonts w:ascii="SimSun" w:hAnsi="SimSun" w:hint="eastAsia"/>
          <w:sz w:val="21"/>
          <w:szCs w:val="21"/>
        </w:rPr>
        <w:t>在</w:t>
      </w:r>
      <w:r w:rsidRPr="00ED4072">
        <w:rPr>
          <w:rFonts w:ascii="SimSun" w:hAnsi="SimSun"/>
          <w:sz w:val="21"/>
          <w:szCs w:val="21"/>
        </w:rPr>
        <w:t>2019年2月加入《里斯本协定》</w:t>
      </w:r>
      <w:r w:rsidRPr="00ED4072">
        <w:rPr>
          <w:rFonts w:ascii="SimSun" w:hAnsi="SimSun" w:hint="eastAsia"/>
          <w:sz w:val="21"/>
          <w:szCs w:val="21"/>
        </w:rPr>
        <w:t>之后作</w:t>
      </w:r>
      <w:r w:rsidRPr="00ED4072">
        <w:rPr>
          <w:rFonts w:ascii="SimSun" w:hAnsi="SimSun"/>
          <w:sz w:val="21"/>
          <w:szCs w:val="21"/>
        </w:rPr>
        <w:t>为</w:t>
      </w:r>
      <w:r w:rsidRPr="00ED4072">
        <w:rPr>
          <w:rFonts w:ascii="SimSun" w:hAnsi="SimSun" w:hint="eastAsia"/>
          <w:sz w:val="21"/>
          <w:szCs w:val="21"/>
        </w:rPr>
        <w:t>新</w:t>
      </w:r>
      <w:r w:rsidRPr="00ED4072">
        <w:rPr>
          <w:rFonts w:ascii="SimSun" w:hAnsi="SimSun"/>
          <w:sz w:val="21"/>
          <w:szCs w:val="21"/>
        </w:rPr>
        <w:t>的缔约方出席</w:t>
      </w:r>
      <w:r w:rsidRPr="00ED4072">
        <w:rPr>
          <w:rFonts w:ascii="SimSun" w:hAnsi="SimSun" w:hint="eastAsia"/>
          <w:sz w:val="21"/>
          <w:szCs w:val="21"/>
        </w:rPr>
        <w:t>里斯本</w:t>
      </w:r>
      <w:r w:rsidRPr="00ED4072">
        <w:rPr>
          <w:rFonts w:ascii="SimSun" w:hAnsi="SimSun"/>
          <w:sz w:val="21"/>
          <w:szCs w:val="21"/>
        </w:rPr>
        <w:t>联盟大会，</w:t>
      </w:r>
      <w:r w:rsidRPr="00ED4072">
        <w:rPr>
          <w:rFonts w:ascii="SimSun" w:hAnsi="SimSun" w:hint="eastAsia"/>
          <w:sz w:val="21"/>
          <w:szCs w:val="21"/>
        </w:rPr>
        <w:t>它</w:t>
      </w:r>
      <w:r w:rsidRPr="00ED4072">
        <w:rPr>
          <w:rFonts w:ascii="SimSun" w:hAnsi="SimSun"/>
          <w:sz w:val="21"/>
          <w:szCs w:val="21"/>
        </w:rPr>
        <w:t>的加入使里斯本缔约方总数达到29个。主席还指出，到目前为止，阿尔巴尼亚、柬埔寨、科特迪瓦和萨摩亚交存了《里斯本协定日内瓦文本》的加入书，朝鲜民主主义人民共和国也宣布在本届大会期间交存加入书。主席最后指出，因此</w:t>
      </w:r>
      <w:r w:rsidRPr="00ED4072">
        <w:rPr>
          <w:rFonts w:ascii="SimSun" w:hAnsi="SimSun" w:hint="eastAsia"/>
          <w:sz w:val="21"/>
          <w:szCs w:val="21"/>
        </w:rPr>
        <w:t>，</w:t>
      </w:r>
      <w:r w:rsidRPr="00ED4072">
        <w:rPr>
          <w:rFonts w:ascii="SimSun" w:hAnsi="SimSun"/>
          <w:sz w:val="21"/>
          <w:szCs w:val="21"/>
        </w:rPr>
        <w:t>可合理预期《里斯本协定日内瓦文本》将在今年年底之前生效。</w:t>
      </w:r>
    </w:p>
    <w:p w:rsidR="00934C0F" w:rsidRPr="00ED4072" w:rsidRDefault="00934C0F" w:rsidP="00D47DD0">
      <w:pPr>
        <w:keepNext/>
        <w:overflowPunct w:val="0"/>
        <w:spacing w:afterLines="50" w:after="120" w:line="340" w:lineRule="atLeast"/>
        <w:jc w:val="both"/>
        <w:rPr>
          <w:sz w:val="21"/>
          <w:szCs w:val="21"/>
          <w:u w:val="single"/>
        </w:rPr>
      </w:pPr>
      <w:r w:rsidRPr="00ED4072">
        <w:rPr>
          <w:sz w:val="21"/>
          <w:szCs w:val="21"/>
          <w:u w:val="single"/>
          <w:lang w:val="zh-CN"/>
        </w:rPr>
        <w:t>里斯本</w:t>
      </w:r>
      <w:r w:rsidRPr="00ED4072">
        <w:rPr>
          <w:rFonts w:ascii="SimSun" w:hAnsi="SimSun"/>
          <w:sz w:val="21"/>
          <w:szCs w:val="21"/>
          <w:u w:val="single"/>
        </w:rPr>
        <w:t>体系</w:t>
      </w:r>
      <w:r w:rsidRPr="00ED4072">
        <w:rPr>
          <w:sz w:val="21"/>
          <w:szCs w:val="21"/>
          <w:u w:val="single"/>
          <w:lang w:val="zh-CN"/>
        </w:rPr>
        <w:t>发展问题工作组的报告</w:t>
      </w:r>
    </w:p>
    <w:p w:rsidR="006562F8" w:rsidRPr="00ED4072" w:rsidRDefault="00C37288"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讨论依据文件LI/A/</w:t>
      </w:r>
      <w:r w:rsidR="006562F8" w:rsidRPr="00ED4072">
        <w:rPr>
          <w:rFonts w:ascii="SimSun" w:hAnsi="SimSun" w:hint="eastAsia"/>
          <w:sz w:val="21"/>
          <w:szCs w:val="21"/>
        </w:rPr>
        <w:t>36/1进行。</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sz w:val="21"/>
          <w:szCs w:val="21"/>
        </w:rPr>
        <w:t>秘书处介绍了正在审议的文件，回顾里斯本联盟大会已于2017年延长了里斯本工作组的任务授权，以便</w:t>
      </w:r>
      <w:r w:rsidRPr="009F011F">
        <w:rPr>
          <w:rFonts w:ascii="SimSun" w:hAnsi="SimSun"/>
          <w:sz w:val="21"/>
          <w:szCs w:val="21"/>
        </w:rPr>
        <w:t>进一步</w:t>
      </w:r>
      <w:r w:rsidRPr="00ED4072">
        <w:rPr>
          <w:rFonts w:ascii="SimSun" w:hAnsi="SimSun"/>
          <w:sz w:val="21"/>
          <w:szCs w:val="21"/>
        </w:rPr>
        <w:t>讨论里斯本体系的发展问题，包括有关其财务可持续性的解决方案。里斯本体系发展问题工作组于2019年5月27日和28日举行了第二届会议。文件LI/A/36/1反映了工作组第二届会议的讨论结果。</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匈牙利代表团指出，原产地名称和地理标志的国际保护是匈牙利的关键优先事项。在此方面，匈牙利代表团欢迎与里斯本体系有关的积极发展，特别是新提交的申请、最近加入《日内瓦文本》的国家以及阿尔巴尼亚加入最初的《里斯本协定》。代表团还满意地注意到，发展中国家国际注册所占份额在八年内翻了一番，并于2018年增至13%。这一增长相当可观，显示了里斯本体系的潜力，并且证明对原产地名称和地理标志的保护在发展中国家变得越来越重要。作为欧洲联盟的成员国，匈牙利期待欧洲联盟在今年年底之前加入《日内瓦文本》。代表团表示，匈牙利相信，欧洲联盟的加入将为里斯本体系的运作提供新的动力，并将为《日内瓦文本》生效后加入或批准该文本铺平道路。代表团回顾匈牙利是2015年5月20日签署《日内瓦文本》的15个国家之一，并表示决心尽快批准该文本，并且</w:t>
      </w:r>
      <w:r w:rsidRPr="00ED4072">
        <w:rPr>
          <w:rFonts w:ascii="SimSun" w:hAnsi="SimSun"/>
          <w:sz w:val="21"/>
          <w:szCs w:val="21"/>
        </w:rPr>
        <w:t>已经</w:t>
      </w:r>
      <w:r w:rsidRPr="00ED4072">
        <w:rPr>
          <w:rFonts w:ascii="SimSun" w:hAnsi="SimSun" w:hint="eastAsia"/>
          <w:sz w:val="21"/>
          <w:szCs w:val="21"/>
        </w:rPr>
        <w:t>为此启动</w:t>
      </w:r>
      <w:r w:rsidRPr="00ED4072">
        <w:rPr>
          <w:rFonts w:ascii="SimSun" w:hAnsi="SimSun"/>
          <w:sz w:val="21"/>
          <w:szCs w:val="21"/>
        </w:rPr>
        <w:t>了</w:t>
      </w:r>
      <w:r w:rsidRPr="00ED4072">
        <w:rPr>
          <w:rFonts w:ascii="SimSun" w:hAnsi="SimSun" w:hint="eastAsia"/>
          <w:sz w:val="21"/>
          <w:szCs w:val="21"/>
        </w:rPr>
        <w:t>必要的立法程序。代表团回顾，里斯本体系发展问题工作组在2019年5月的第二届会议上强调了推广活动对增加里斯本体系成员数量的重要性。在此方面，代表团欢迎加强和</w:t>
      </w:r>
      <w:r w:rsidRPr="00ED4072">
        <w:rPr>
          <w:rFonts w:ascii="SimSun" w:hAnsi="SimSun"/>
          <w:sz w:val="21"/>
          <w:szCs w:val="21"/>
        </w:rPr>
        <w:t>聚焦</w:t>
      </w:r>
      <w:r w:rsidRPr="00ED4072">
        <w:rPr>
          <w:rFonts w:ascii="SimSun" w:hAnsi="SimSun" w:hint="eastAsia"/>
          <w:sz w:val="21"/>
          <w:szCs w:val="21"/>
        </w:rPr>
        <w:t>宣传世界知识产权组织（产权组织）关于原产地名称和地理标志的</w:t>
      </w:r>
      <w:r w:rsidRPr="00ED4072">
        <w:rPr>
          <w:rFonts w:ascii="SimSun" w:hAnsi="SimSun"/>
          <w:sz w:val="21"/>
          <w:szCs w:val="21"/>
        </w:rPr>
        <w:t>工作</w:t>
      </w:r>
      <w:r w:rsidRPr="00ED4072">
        <w:rPr>
          <w:rFonts w:ascii="SimSun" w:hAnsi="SimSun" w:hint="eastAsia"/>
          <w:sz w:val="21"/>
          <w:szCs w:val="21"/>
        </w:rPr>
        <w:t>，并随时准备就此问题与里斯本其他成员及秘书处开展合作。代表团进一步澄清，匈牙利也愿意</w:t>
      </w:r>
      <w:r w:rsidRPr="00ED4072">
        <w:rPr>
          <w:rFonts w:ascii="SimSun" w:hAnsi="SimSun"/>
          <w:sz w:val="21"/>
          <w:szCs w:val="21"/>
        </w:rPr>
        <w:t>同</w:t>
      </w:r>
      <w:r w:rsidRPr="00ED4072">
        <w:rPr>
          <w:rFonts w:ascii="SimSun" w:hAnsi="SimSun" w:hint="eastAsia"/>
          <w:sz w:val="21"/>
          <w:szCs w:val="21"/>
        </w:rPr>
        <w:t>未加入《里斯本协定》的产权组织成员国开展</w:t>
      </w:r>
      <w:r w:rsidRPr="00ED4072">
        <w:rPr>
          <w:rFonts w:ascii="SimSun" w:hAnsi="SimSun"/>
          <w:sz w:val="21"/>
          <w:szCs w:val="21"/>
        </w:rPr>
        <w:t>合作</w:t>
      </w:r>
      <w:r w:rsidRPr="00ED4072">
        <w:rPr>
          <w:rFonts w:ascii="SimSun" w:hAnsi="SimSun" w:hint="eastAsia"/>
          <w:sz w:val="21"/>
          <w:szCs w:val="21"/>
        </w:rPr>
        <w:t>，因此高兴地宣布，印度尼西亚知识产权局即知识产权总局（DGIP）代表团将于2019年10月7日访问匈牙利司法部和匈牙利知识产权局（HIPO），就各自国家的地理标志保护问题举行双边会议。代表团表示，匈牙利期待这种专业对话，这是促进国家、地区和国际地理标志保护体系的难得机会。代表团回顾里斯本联盟的财务可持续性问题多年来一直是产权组织会议议程之</w:t>
      </w:r>
      <w:r w:rsidRPr="00ED4072">
        <w:rPr>
          <w:rFonts w:ascii="SimSun" w:hAnsi="SimSun"/>
          <w:sz w:val="21"/>
          <w:szCs w:val="21"/>
        </w:rPr>
        <w:t>一</w:t>
      </w:r>
      <w:r w:rsidRPr="00ED4072">
        <w:rPr>
          <w:rFonts w:ascii="SimSun" w:hAnsi="SimSun" w:hint="eastAsia"/>
          <w:sz w:val="21"/>
          <w:szCs w:val="21"/>
        </w:rPr>
        <w:t>，就此问题，代表团依然认为应该找到兼顾各方的合理解决方案，以确保里斯本体系的</w:t>
      </w:r>
      <w:r w:rsidRPr="00ED4072">
        <w:rPr>
          <w:rFonts w:ascii="SimSun" w:hAnsi="SimSun"/>
          <w:sz w:val="21"/>
          <w:szCs w:val="21"/>
        </w:rPr>
        <w:t>长期</w:t>
      </w:r>
      <w:r w:rsidRPr="00ED4072">
        <w:rPr>
          <w:rFonts w:ascii="SimSun" w:hAnsi="SimSun" w:hint="eastAsia"/>
          <w:sz w:val="21"/>
          <w:szCs w:val="21"/>
        </w:rPr>
        <w:t>财务可行性。尽管匈牙利也希望看到里斯本体系在不久的将来成为一个具备自我可持续性、运作良好的全球注册体系，但代表团提醒说，所有可能的未来措施都必须尊重各联盟和预算计划长期推行的财务支持原则和支付能力原则，以及各联盟之间开展行政合作的必要性。代表团总结说，它依然相信即将生效的《日内瓦文本》和未来成员国数量的增长将对里斯本联盟的财务状况产生积极影响。因此，在目前看来，似乎没有必要采用临时解决方案。</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伊朗（伊斯兰共和国）代表团回顾，长期以来，伊朗（伊斯兰共和国）一直是里斯本体系的推动者，极其重视通过里斯本体系保护国家原产地名称和地理标志。此外，代表团认为，地理标志的保护在实现可持续发展目标和国际贸易增长方面发挥了重要作用。代表团对一</w:t>
      </w:r>
      <w:r w:rsidRPr="00ED4072">
        <w:rPr>
          <w:rFonts w:ascii="SimSun" w:hAnsi="SimSun"/>
          <w:sz w:val="21"/>
          <w:szCs w:val="21"/>
        </w:rPr>
        <w:t>些国家</w:t>
      </w:r>
      <w:r w:rsidRPr="00ED4072">
        <w:rPr>
          <w:rFonts w:ascii="SimSun" w:hAnsi="SimSun" w:hint="eastAsia"/>
          <w:sz w:val="21"/>
          <w:szCs w:val="21"/>
        </w:rPr>
        <w:t>新近加入《日内瓦</w:t>
      </w:r>
      <w:r w:rsidRPr="00ED4072">
        <w:rPr>
          <w:rFonts w:ascii="SimSun" w:hAnsi="SimSun" w:hint="eastAsia"/>
          <w:sz w:val="21"/>
          <w:szCs w:val="21"/>
        </w:rPr>
        <w:lastRenderedPageBreak/>
        <w:t>文本》和《里斯本协定》表示满意，并期待《日内瓦文本》生效，这将对里斯本体系的财务可持续性做出积极贡献。代表团回顾指出，里斯本体系的财务可持续性无法与其他全球注册体系相比，并表示，它决心为找到兼顾各方的合理解决方案做出贡献，以确保里斯本体系的财务可持续性。在此方面，代表团赞扬里斯本联盟成员为确保该体系的自我可持续性而为考虑不同备选方案做出</w:t>
      </w:r>
      <w:r w:rsidRPr="00ED4072">
        <w:rPr>
          <w:rFonts w:ascii="SimSun" w:hAnsi="SimSun"/>
          <w:sz w:val="21"/>
          <w:szCs w:val="21"/>
        </w:rPr>
        <w:t>的努力</w:t>
      </w:r>
      <w:r w:rsidRPr="00ED4072">
        <w:rPr>
          <w:rFonts w:ascii="SimSun" w:hAnsi="SimSun" w:hint="eastAsia"/>
          <w:sz w:val="21"/>
          <w:szCs w:val="21"/>
        </w:rPr>
        <w:t>；</w:t>
      </w:r>
      <w:r w:rsidR="00C47D4D" w:rsidRPr="00ED4072">
        <w:rPr>
          <w:rFonts w:ascii="SimSun" w:hAnsi="SimSun" w:hint="eastAsia"/>
          <w:sz w:val="21"/>
          <w:szCs w:val="21"/>
        </w:rPr>
        <w:t>它</w:t>
      </w:r>
      <w:r w:rsidRPr="00ED4072">
        <w:rPr>
          <w:rFonts w:ascii="SimSun" w:hAnsi="SimSun" w:hint="eastAsia"/>
          <w:sz w:val="21"/>
          <w:szCs w:val="21"/>
        </w:rPr>
        <w:t>们将继续本着同样的精神工作，同时尊重里斯本体系的固有性质和相关协定的法律规定。最后，代表团认为，开展推广活动和提供高质量知识产权保护服务仍然是产权组织的主要职能。在此方面，代表团期待看到里斯本联盟与产权组织管理的其他联盟处于平等地位，以完成其任务。</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sz w:val="21"/>
          <w:szCs w:val="21"/>
        </w:rPr>
        <w:t>在欢迎《里斯本协定》和《日内瓦文本》新</w:t>
      </w:r>
      <w:r w:rsidRPr="00ED4072">
        <w:rPr>
          <w:rFonts w:ascii="SimSun" w:hAnsi="SimSun" w:hint="eastAsia"/>
          <w:sz w:val="21"/>
          <w:szCs w:val="21"/>
        </w:rPr>
        <w:t>增</w:t>
      </w:r>
      <w:r w:rsidRPr="00ED4072">
        <w:rPr>
          <w:rFonts w:ascii="SimSun" w:hAnsi="SimSun"/>
          <w:sz w:val="21"/>
          <w:szCs w:val="21"/>
        </w:rPr>
        <w:t>缔约方</w:t>
      </w:r>
      <w:r w:rsidRPr="00ED4072">
        <w:rPr>
          <w:rFonts w:ascii="SimSun" w:hAnsi="SimSun" w:hint="eastAsia"/>
          <w:sz w:val="21"/>
          <w:szCs w:val="21"/>
        </w:rPr>
        <w:t>之</w:t>
      </w:r>
      <w:r w:rsidRPr="00ED4072">
        <w:rPr>
          <w:rFonts w:ascii="SimSun" w:hAnsi="SimSun"/>
          <w:sz w:val="21"/>
          <w:szCs w:val="21"/>
        </w:rPr>
        <w:t>后，</w:t>
      </w:r>
      <w:proofErr w:type="spellStart"/>
      <w:r w:rsidRPr="00ED4072">
        <w:rPr>
          <w:rFonts w:ascii="SimSun" w:hAnsi="SimSun"/>
          <w:sz w:val="21"/>
          <w:szCs w:val="21"/>
        </w:rPr>
        <w:t>oriGIn</w:t>
      </w:r>
      <w:proofErr w:type="spellEnd"/>
      <w:r w:rsidRPr="00ED4072">
        <w:rPr>
          <w:rFonts w:ascii="SimSun" w:hAnsi="SimSun"/>
          <w:sz w:val="21"/>
          <w:szCs w:val="21"/>
        </w:rPr>
        <w:t>的代表再次请所有产权组织成员国考虑加入《里斯本协定日内瓦文本》的可能性，因为该文书为真正建立一个保护地理标志和原产地名称的国际体系创造了一个</w:t>
      </w:r>
      <w:r w:rsidRPr="00ED4072">
        <w:rPr>
          <w:rFonts w:ascii="SimSun" w:hAnsi="SimSun" w:hint="eastAsia"/>
          <w:sz w:val="21"/>
          <w:szCs w:val="21"/>
        </w:rPr>
        <w:t>难得</w:t>
      </w:r>
      <w:r w:rsidRPr="00ED4072">
        <w:rPr>
          <w:rFonts w:ascii="SimSun" w:hAnsi="SimSun"/>
          <w:sz w:val="21"/>
          <w:szCs w:val="21"/>
        </w:rPr>
        <w:t>的机会。该代表指出，地理标志为社会发展和可持续发展提供了巨大的机会，并指出世界各地的生产团体亟需技术援助和最佳做法交流。在此方面，该代表高兴地宣布，</w:t>
      </w:r>
      <w:proofErr w:type="spellStart"/>
      <w:r w:rsidRPr="00ED4072">
        <w:rPr>
          <w:rFonts w:ascii="SimSun" w:hAnsi="SimSun"/>
          <w:sz w:val="21"/>
          <w:szCs w:val="21"/>
        </w:rPr>
        <w:t>oriGIn</w:t>
      </w:r>
      <w:proofErr w:type="spellEnd"/>
      <w:r w:rsidRPr="00ED4072">
        <w:rPr>
          <w:rFonts w:ascii="SimSun" w:hAnsi="SimSun"/>
          <w:sz w:val="21"/>
          <w:szCs w:val="21"/>
        </w:rPr>
        <w:t>和秘鲁国家保护竞争与知识产权局（INDECOPI）最近签署了一项协议，</w:t>
      </w:r>
      <w:r w:rsidRPr="00ED4072">
        <w:rPr>
          <w:rFonts w:ascii="SimSun" w:hAnsi="SimSun" w:hint="eastAsia"/>
          <w:sz w:val="21"/>
          <w:szCs w:val="21"/>
        </w:rPr>
        <w:t>设</w:t>
      </w:r>
      <w:r w:rsidRPr="00ED4072">
        <w:rPr>
          <w:rFonts w:ascii="SimSun" w:hAnsi="SimSun"/>
          <w:sz w:val="21"/>
          <w:szCs w:val="21"/>
        </w:rPr>
        <w:t>立</w:t>
      </w:r>
      <w:proofErr w:type="spellStart"/>
      <w:r w:rsidRPr="00ED4072">
        <w:rPr>
          <w:rFonts w:ascii="SimSun" w:hAnsi="SimSun"/>
          <w:sz w:val="21"/>
          <w:szCs w:val="21"/>
        </w:rPr>
        <w:t>oriGIn</w:t>
      </w:r>
      <w:proofErr w:type="spellEnd"/>
      <w:r w:rsidRPr="00ED4072">
        <w:rPr>
          <w:rFonts w:ascii="SimSun" w:hAnsi="SimSun"/>
          <w:sz w:val="21"/>
          <w:szCs w:val="21"/>
        </w:rPr>
        <w:t>秘鲁办事处。根据这项协议，秘鲁将可以利用</w:t>
      </w:r>
      <w:proofErr w:type="spellStart"/>
      <w:r w:rsidRPr="00ED4072">
        <w:rPr>
          <w:rFonts w:ascii="SimSun" w:hAnsi="SimSun"/>
          <w:sz w:val="21"/>
          <w:szCs w:val="21"/>
        </w:rPr>
        <w:t>oriGIn</w:t>
      </w:r>
      <w:proofErr w:type="spellEnd"/>
      <w:r w:rsidRPr="00ED4072">
        <w:rPr>
          <w:rFonts w:ascii="SimSun" w:hAnsi="SimSun"/>
          <w:sz w:val="21"/>
          <w:szCs w:val="21"/>
        </w:rPr>
        <w:t>网络获得多个领域的技术援助，</w:t>
      </w:r>
      <w:r w:rsidRPr="00ED4072">
        <w:rPr>
          <w:rFonts w:ascii="SimSun" w:hAnsi="SimSun" w:hint="eastAsia"/>
          <w:sz w:val="21"/>
          <w:szCs w:val="21"/>
        </w:rPr>
        <w:t>例如</w:t>
      </w:r>
      <w:r w:rsidRPr="00ED4072">
        <w:rPr>
          <w:rFonts w:ascii="SimSun" w:hAnsi="SimSun"/>
          <w:sz w:val="21"/>
          <w:szCs w:val="21"/>
        </w:rPr>
        <w:t>，</w:t>
      </w:r>
      <w:r w:rsidRPr="00ED4072">
        <w:rPr>
          <w:rFonts w:ascii="SimSun" w:hAnsi="SimSun" w:hint="eastAsia"/>
          <w:sz w:val="21"/>
          <w:szCs w:val="21"/>
        </w:rPr>
        <w:t>设立</w:t>
      </w:r>
      <w:r w:rsidRPr="00ED4072">
        <w:rPr>
          <w:rFonts w:ascii="SimSun" w:hAnsi="SimSun"/>
          <w:sz w:val="21"/>
          <w:szCs w:val="21"/>
        </w:rPr>
        <w:t>生产</w:t>
      </w:r>
      <w:r w:rsidRPr="00ED4072">
        <w:rPr>
          <w:rFonts w:ascii="SimSun" w:hAnsi="SimSun" w:hint="eastAsia"/>
          <w:sz w:val="21"/>
          <w:szCs w:val="21"/>
        </w:rPr>
        <w:t>团体</w:t>
      </w:r>
      <w:r w:rsidRPr="00ED4072">
        <w:rPr>
          <w:rFonts w:ascii="SimSun" w:hAnsi="SimSun"/>
          <w:sz w:val="21"/>
          <w:szCs w:val="21"/>
        </w:rPr>
        <w:t>，实施控制和认证机制，以及</w:t>
      </w:r>
      <w:r w:rsidRPr="00ED4072">
        <w:rPr>
          <w:rFonts w:ascii="SimSun" w:hAnsi="SimSun" w:hint="eastAsia"/>
          <w:sz w:val="21"/>
          <w:szCs w:val="21"/>
        </w:rPr>
        <w:t>考虑</w:t>
      </w:r>
      <w:r w:rsidRPr="00ED4072">
        <w:rPr>
          <w:rFonts w:ascii="SimSun" w:hAnsi="SimSun"/>
          <w:sz w:val="21"/>
          <w:szCs w:val="21"/>
        </w:rPr>
        <w:t>将地理标志战略纳入可持续发展目标的可能性</w:t>
      </w:r>
      <w:r w:rsidRPr="00ED4072">
        <w:rPr>
          <w:rFonts w:ascii="SimSun" w:hAnsi="SimSun" w:hint="eastAsia"/>
          <w:sz w:val="21"/>
          <w:szCs w:val="21"/>
        </w:rPr>
        <w:t>问题</w:t>
      </w:r>
      <w:r w:rsidRPr="00ED4072">
        <w:rPr>
          <w:rFonts w:ascii="SimSun" w:hAnsi="SimSun"/>
          <w:sz w:val="21"/>
          <w:szCs w:val="21"/>
        </w:rPr>
        <w:t>。</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欧洲联盟代表团表示，欧洲联盟极其重视在欧洲联盟之外保护</w:t>
      </w:r>
      <w:r w:rsidRPr="00ED4072">
        <w:rPr>
          <w:rFonts w:ascii="SimSun" w:hAnsi="SimSun"/>
          <w:sz w:val="21"/>
          <w:szCs w:val="21"/>
        </w:rPr>
        <w:t>其成员国</w:t>
      </w:r>
      <w:r w:rsidRPr="00ED4072">
        <w:rPr>
          <w:rFonts w:ascii="SimSun" w:hAnsi="SimSun" w:hint="eastAsia"/>
          <w:sz w:val="21"/>
          <w:szCs w:val="21"/>
        </w:rPr>
        <w:t>产品的地理名称问题，特别是通过里斯本体系提供保护。代表团表示，保护地理标志有可能为可持续发展、文化遗产保护和专门产品的国际贸易提供支持。代表团表示，希望看到里斯本联盟获得成功</w:t>
      </w:r>
      <w:r w:rsidR="00C47D4D" w:rsidRPr="00ED4072">
        <w:rPr>
          <w:rFonts w:ascii="SimSun" w:hAnsi="SimSun" w:hint="eastAsia"/>
          <w:sz w:val="21"/>
          <w:szCs w:val="21"/>
        </w:rPr>
        <w:t>并</w:t>
      </w:r>
      <w:r w:rsidRPr="00ED4072">
        <w:rPr>
          <w:rFonts w:ascii="SimSun" w:hAnsi="SimSun" w:hint="eastAsia"/>
          <w:sz w:val="21"/>
          <w:szCs w:val="21"/>
        </w:rPr>
        <w:t>能够生存下</w:t>
      </w:r>
      <w:r w:rsidRPr="00ED4072">
        <w:rPr>
          <w:rFonts w:ascii="SimSun" w:hAnsi="SimSun"/>
          <w:sz w:val="21"/>
          <w:szCs w:val="21"/>
        </w:rPr>
        <w:t>去</w:t>
      </w:r>
      <w:r w:rsidRPr="00ED4072">
        <w:rPr>
          <w:rFonts w:ascii="SimSun" w:hAnsi="SimSun" w:hint="eastAsia"/>
          <w:sz w:val="21"/>
          <w:szCs w:val="21"/>
        </w:rPr>
        <w:t>，特别是通过新成员的加入，并表示欧洲联盟将于不久后成为《里斯本协定日内瓦文本》的缔约方，并且</w:t>
      </w:r>
      <w:r w:rsidRPr="00ED4072">
        <w:rPr>
          <w:rFonts w:ascii="SimSun" w:hAnsi="SimSun"/>
          <w:sz w:val="21"/>
          <w:szCs w:val="21"/>
        </w:rPr>
        <w:t>会很快完</w:t>
      </w:r>
      <w:r w:rsidRPr="00ED4072">
        <w:rPr>
          <w:rFonts w:ascii="SimSun" w:hAnsi="SimSun" w:hint="eastAsia"/>
          <w:sz w:val="21"/>
          <w:szCs w:val="21"/>
        </w:rPr>
        <w:t>成</w:t>
      </w:r>
      <w:r w:rsidRPr="00ED4072">
        <w:rPr>
          <w:rFonts w:ascii="SimSun" w:hAnsi="SimSun"/>
          <w:sz w:val="21"/>
          <w:szCs w:val="21"/>
        </w:rPr>
        <w:t>通过必要法案的立法程序。</w:t>
      </w:r>
      <w:r w:rsidRPr="00ED4072">
        <w:rPr>
          <w:rFonts w:ascii="SimSun" w:hAnsi="SimSun" w:hint="eastAsia"/>
          <w:sz w:val="21"/>
          <w:szCs w:val="21"/>
        </w:rPr>
        <w:t>因此，代表团相信，欧洲联盟将能够在今年年底之前交存其《日内瓦文本》加入书。代表团表示，欧洲联盟及其成员国赞赏里斯本联盟成员为确保里斯本联盟的长期财务可行性及防止未来出现任何预算赤字所做的工作和努力。代表团特别欢迎里斯本体系发展问题工作组提出的众多观点，也认可在找到合适的解决方案方面所取得的进展。此外，代表团表示，欧洲联盟及其成员国相信可以找到一种解决方案，向联盟提供财政支持，同时确保各知识产权领域长期推行的团结和平等对待原则得到充分的尊重。代表团认为，可以为里斯本联盟找到一种长期的财务模式，该模式将确保该联盟的财务可持续性，并为产权组织所有成员国所接受。在此方面，代表团强调了将里斯本联盟与产权组织管理的所有其他联盟置于平等地位的重要性。作为确保里斯本联盟具有长期生存能力的一种手段，代表团重申必须大力重点推广包括《日内瓦文本》在</w:t>
      </w:r>
      <w:r w:rsidRPr="00ED4072">
        <w:rPr>
          <w:rFonts w:ascii="SimSun" w:hAnsi="SimSun"/>
          <w:sz w:val="21"/>
          <w:szCs w:val="21"/>
        </w:rPr>
        <w:t>内的</w:t>
      </w:r>
      <w:r w:rsidRPr="00ED4072">
        <w:rPr>
          <w:rFonts w:ascii="SimSun" w:hAnsi="SimSun" w:hint="eastAsia"/>
          <w:sz w:val="21"/>
          <w:szCs w:val="21"/>
        </w:rPr>
        <w:t>里斯本体系，这将突出地理标志的发展潜力，以期吸引新的缔约方。</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秘鲁代表团表示，由于公共机关的领导，秘鲁持续推进强化其知识产权体系的国家进程。更具体地说，秘鲁正在为此设计一项国家知识产权战略。该战略一经通过，将成为公司、发明者、创造者、艺术家、当地生产者、农村社区和整个社会的里程碑。代表团指出，该战略的支柱之一是加强原产地名称和地理标志保护。关于在2018年大会期间举办的秘鲁展，代表团指出，秘鲁原产地名称主要适用于农产品，这些农产品不仅是商业产品，还象征并表达秘鲁小型社区的传统知识和文化。在已承认的10个原产地名称之外，秘鲁又确定了15个潜在的新原产地名称。为了帮助保护这些新的原产地名称，秘鲁一直在与几个产权组织成员合作，包括里斯本联盟的成员。在此方面，代表团高兴地宣布与非政府组织</w:t>
      </w:r>
      <w:proofErr w:type="spellStart"/>
      <w:r w:rsidRPr="00ED4072">
        <w:rPr>
          <w:rFonts w:ascii="SimSun" w:hAnsi="SimSun" w:hint="eastAsia"/>
          <w:sz w:val="21"/>
          <w:szCs w:val="21"/>
        </w:rPr>
        <w:t>oriGIn</w:t>
      </w:r>
      <w:proofErr w:type="spellEnd"/>
      <w:r w:rsidRPr="00ED4072">
        <w:rPr>
          <w:rFonts w:ascii="SimSun" w:hAnsi="SimSun" w:hint="eastAsia"/>
          <w:sz w:val="21"/>
          <w:szCs w:val="21"/>
        </w:rPr>
        <w:t>签署谅解备忘录，并在秘鲁国家保护竞争与知识产权局内设立常设办事处，以促进秘鲁承认新的原产地名称，并在拉丁美洲地区推广原产地名称和地理标志。秘鲁已经能够根据《里斯本协定》确保对各种原产地名称实施国际保护，这反过来促进了小型企业的发展，并保护了秘鲁当地的传统和文化。关于《里斯本协定日内瓦文本》，代表团表示，秘鲁在加入该重要国际文书方面取得了重大进展。</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lastRenderedPageBreak/>
        <w:t>以色列代表团感谢秘书处和里斯本联盟所有成员在过去一年中为寻找解决里斯本联盟财务可持续性问题的可能方案所做的工作。在此方面，代表团重申其立场，即所有联盟都应在财务上具有可持续性，其成员应对联盟的财务状况负责。代表团认为，工作组应继续讨论包括审查费用表在内的适当措施，以确保里斯本联盟长期的财务可持续性。</w:t>
      </w:r>
    </w:p>
    <w:p w:rsidR="009A35CC"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sz w:val="21"/>
          <w:szCs w:val="21"/>
        </w:rPr>
        <w:t>美利坚合众国代表团回顾其参加了2019年5月27日和28日在日内瓦举办的里斯本体系发展问题工作组第二届会议，并回顾工作组召开该会议是为了制定一项计划，以确保里斯本联盟的财务可持续性。在此方面，代表团回顾说，里斯本体系过去主要依靠《专利合作条约》（PCT）提供资金。代表团认为，必须在《日内瓦文本》生效前适当解决《日内瓦文本》的合法性和里斯本联盟的</w:t>
      </w:r>
      <w:r w:rsidRPr="00ED4072">
        <w:rPr>
          <w:rFonts w:ascii="SimSun" w:hAnsi="SimSun" w:hint="eastAsia"/>
          <w:sz w:val="21"/>
          <w:szCs w:val="21"/>
        </w:rPr>
        <w:t>财务</w:t>
      </w:r>
      <w:r w:rsidRPr="00ED4072">
        <w:rPr>
          <w:rFonts w:ascii="SimSun" w:hAnsi="SimSun"/>
          <w:sz w:val="21"/>
          <w:szCs w:val="21"/>
        </w:rPr>
        <w:t>状况</w:t>
      </w:r>
      <w:r w:rsidRPr="00ED4072">
        <w:rPr>
          <w:rFonts w:ascii="SimSun" w:hAnsi="SimSun" w:hint="eastAsia"/>
          <w:sz w:val="21"/>
          <w:szCs w:val="21"/>
        </w:rPr>
        <w:t>问题</w:t>
      </w:r>
      <w:r w:rsidRPr="00ED4072">
        <w:rPr>
          <w:rFonts w:ascii="SimSun" w:hAnsi="SimSun"/>
          <w:sz w:val="21"/>
          <w:szCs w:val="21"/>
        </w:rPr>
        <w:t>。如前几次所述，代表团重申，缔结《日内瓦文本》的外交会议存在根本</w:t>
      </w:r>
      <w:r w:rsidRPr="00ED4072">
        <w:rPr>
          <w:rFonts w:ascii="SimSun" w:hAnsi="SimSun" w:hint="eastAsia"/>
          <w:sz w:val="21"/>
          <w:szCs w:val="21"/>
        </w:rPr>
        <w:t>性</w:t>
      </w:r>
      <w:r w:rsidRPr="00ED4072">
        <w:rPr>
          <w:rFonts w:ascii="SimSun" w:hAnsi="SimSun"/>
          <w:sz w:val="21"/>
          <w:szCs w:val="21"/>
        </w:rPr>
        <w:t>缺陷，因为</w:t>
      </w:r>
      <w:r w:rsidRPr="00ED4072">
        <w:rPr>
          <w:rFonts w:ascii="SimSun" w:hAnsi="SimSun" w:hint="eastAsia"/>
          <w:sz w:val="21"/>
          <w:szCs w:val="21"/>
        </w:rPr>
        <w:t>虽然</w:t>
      </w:r>
      <w:r w:rsidRPr="00ED4072">
        <w:rPr>
          <w:rFonts w:ascii="SimSun" w:hAnsi="SimSun"/>
          <w:sz w:val="21"/>
          <w:szCs w:val="21"/>
        </w:rPr>
        <w:t>进行了谈判，但多数产权组织成</w:t>
      </w:r>
      <w:r w:rsidRPr="00ED4072">
        <w:rPr>
          <w:rFonts w:ascii="SimSun" w:hAnsi="SimSun" w:hint="eastAsia"/>
          <w:sz w:val="21"/>
          <w:szCs w:val="21"/>
        </w:rPr>
        <w:t>员国并未就其条款提</w:t>
      </w:r>
      <w:r w:rsidRPr="00ED4072">
        <w:rPr>
          <w:rFonts w:ascii="SimSun" w:hAnsi="SimSun"/>
          <w:sz w:val="21"/>
          <w:szCs w:val="21"/>
        </w:rPr>
        <w:t>出</w:t>
      </w:r>
      <w:r w:rsidRPr="00ED4072">
        <w:rPr>
          <w:rFonts w:ascii="SimSun" w:hAnsi="SimSun" w:hint="eastAsia"/>
          <w:sz w:val="21"/>
          <w:szCs w:val="21"/>
        </w:rPr>
        <w:t>重要意见</w:t>
      </w:r>
      <w:r w:rsidRPr="00ED4072">
        <w:rPr>
          <w:rFonts w:ascii="SimSun" w:hAnsi="SimSun"/>
          <w:sz w:val="21"/>
          <w:szCs w:val="21"/>
        </w:rPr>
        <w:t>。因此，《里斯本协定日内瓦文本》不可被自动视为产权组织管理的条约。代表团敦促产权组织在这方面做出肯定的决策。代表团</w:t>
      </w:r>
      <w:r w:rsidR="004A5614" w:rsidRPr="00ED4072">
        <w:rPr>
          <w:rFonts w:ascii="SimSun" w:hAnsi="SimSun" w:hint="eastAsia"/>
          <w:sz w:val="21"/>
          <w:szCs w:val="21"/>
        </w:rPr>
        <w:t>指出</w:t>
      </w:r>
      <w:r w:rsidRPr="00ED4072">
        <w:rPr>
          <w:rFonts w:ascii="SimSun" w:hAnsi="SimSun" w:hint="eastAsia"/>
          <w:sz w:val="21"/>
          <w:szCs w:val="21"/>
        </w:rPr>
        <w:t>，</w:t>
      </w:r>
      <w:r w:rsidRPr="00ED4072">
        <w:rPr>
          <w:rFonts w:ascii="SimSun" w:hAnsi="SimSun"/>
          <w:sz w:val="21"/>
          <w:szCs w:val="21"/>
        </w:rPr>
        <w:t>里斯本联盟认为单凭促进其他产权组织成员加入《日内瓦文本》就可解决财务状况，</w:t>
      </w:r>
      <w:r w:rsidR="004A5614" w:rsidRPr="00ED4072">
        <w:rPr>
          <w:rFonts w:ascii="SimSun" w:hAnsi="SimSun" w:hint="eastAsia"/>
          <w:sz w:val="21"/>
          <w:szCs w:val="21"/>
        </w:rPr>
        <w:t>但代表团认为这样的结果不太可能实现</w:t>
      </w:r>
      <w:r w:rsidRPr="00ED4072">
        <w:rPr>
          <w:rFonts w:ascii="SimSun" w:hAnsi="SimSun"/>
          <w:sz w:val="21"/>
          <w:szCs w:val="21"/>
        </w:rPr>
        <w:t>，</w:t>
      </w:r>
      <w:r w:rsidR="004A5614" w:rsidRPr="00ED4072">
        <w:rPr>
          <w:rFonts w:ascii="SimSun" w:hAnsi="SimSun" w:hint="eastAsia"/>
          <w:sz w:val="21"/>
          <w:szCs w:val="21"/>
        </w:rPr>
        <w:t>因为</w:t>
      </w:r>
      <w:r w:rsidRPr="00ED4072">
        <w:rPr>
          <w:rFonts w:ascii="SimSun" w:hAnsi="SimSun"/>
          <w:sz w:val="21"/>
          <w:szCs w:val="21"/>
        </w:rPr>
        <w:t>《日内瓦文本》的一些规定极其有利于现有的里斯本成员，而忽略了潜在缔约方的利益。关于工作组于2019年5月做出的评估《日内瓦文本》生效对里斯本联盟财务状况影响的决定，代表团认为，《日内瓦文本》生效后的这种影响分析，只是推迟了联盟</w:t>
      </w:r>
      <w:r w:rsidRPr="00ED4072">
        <w:rPr>
          <w:rFonts w:ascii="SimSun" w:hAnsi="SimSun" w:hint="eastAsia"/>
          <w:sz w:val="21"/>
          <w:szCs w:val="21"/>
        </w:rPr>
        <w:t>财务</w:t>
      </w:r>
      <w:r w:rsidRPr="00ED4072">
        <w:rPr>
          <w:rFonts w:ascii="SimSun" w:hAnsi="SimSun"/>
          <w:sz w:val="21"/>
          <w:szCs w:val="21"/>
        </w:rPr>
        <w:t>状况可持续性问题的解决。代表团重申，产权组织自身无法利用其</w:t>
      </w:r>
      <w:r w:rsidRPr="00ED4072">
        <w:rPr>
          <w:rFonts w:ascii="SimSun" w:hAnsi="SimSun" w:hint="eastAsia"/>
          <w:sz w:val="21"/>
          <w:szCs w:val="21"/>
        </w:rPr>
        <w:t>他</w:t>
      </w:r>
      <w:r w:rsidRPr="00ED4072">
        <w:rPr>
          <w:rFonts w:ascii="SimSun" w:hAnsi="SimSun"/>
          <w:sz w:val="21"/>
          <w:szCs w:val="21"/>
        </w:rPr>
        <w:t>注册体系的资金推广《日内瓦文本》，但里斯本体系的实施战略包括“组织并参与旨在扩大里斯本体系（包括《日内瓦文本》）的地理覆盖区域及其使用的提高认识和宣传活动”。因此，代表团仍</w:t>
      </w:r>
      <w:r w:rsidRPr="00ED4072">
        <w:rPr>
          <w:rFonts w:ascii="SimSun" w:hAnsi="SimSun" w:hint="eastAsia"/>
          <w:sz w:val="21"/>
          <w:szCs w:val="21"/>
        </w:rPr>
        <w:t>然</w:t>
      </w:r>
      <w:r w:rsidRPr="00ED4072">
        <w:rPr>
          <w:rFonts w:ascii="SimSun" w:hAnsi="SimSun"/>
          <w:sz w:val="21"/>
          <w:szCs w:val="21"/>
        </w:rPr>
        <w:t>关切的是，此类技术援助将不适当地调用其他联盟的资源，以试图增加里斯本联盟的成员数量。此外，代表团担心，这种技术援助将错失鼓励进一步使用商标体系保护与独特产品相关知识产权的机会。虽然实施战略包含关于“指出通过商标</w:t>
      </w:r>
      <w:r w:rsidRPr="00ED4072">
        <w:rPr>
          <w:rFonts w:ascii="SimSun" w:hAnsi="SimSun" w:hint="eastAsia"/>
          <w:sz w:val="21"/>
          <w:szCs w:val="21"/>
        </w:rPr>
        <w:t>体系</w:t>
      </w:r>
      <w:r w:rsidRPr="00ED4072">
        <w:rPr>
          <w:rFonts w:ascii="SimSun" w:hAnsi="SimSun"/>
          <w:sz w:val="21"/>
          <w:szCs w:val="21"/>
        </w:rPr>
        <w:t>为地理标志提供保护</w:t>
      </w:r>
      <w:r w:rsidRPr="00ED4072">
        <w:rPr>
          <w:rFonts w:ascii="SimSun" w:hAnsi="SimSun" w:hint="eastAsia"/>
          <w:sz w:val="21"/>
          <w:szCs w:val="21"/>
        </w:rPr>
        <w:t>的</w:t>
      </w:r>
      <w:r w:rsidRPr="00ED4072">
        <w:rPr>
          <w:rFonts w:ascii="SimSun" w:hAnsi="SimSun"/>
          <w:sz w:val="21"/>
          <w:szCs w:val="21"/>
        </w:rPr>
        <w:t>备选方案”的措辞，但代表团仍</w:t>
      </w:r>
      <w:r w:rsidRPr="00ED4072">
        <w:rPr>
          <w:rFonts w:ascii="SimSun" w:hAnsi="SimSun" w:hint="eastAsia"/>
          <w:sz w:val="21"/>
          <w:szCs w:val="21"/>
        </w:rPr>
        <w:t>然</w:t>
      </w:r>
      <w:r w:rsidRPr="00ED4072">
        <w:rPr>
          <w:rFonts w:ascii="SimSun" w:hAnsi="SimSun"/>
          <w:sz w:val="21"/>
          <w:szCs w:val="21"/>
        </w:rPr>
        <w:t>关切的是，</w:t>
      </w:r>
      <w:r w:rsidRPr="00ED4072">
        <w:rPr>
          <w:rFonts w:ascii="SimSun" w:hAnsi="SimSun" w:hint="eastAsia"/>
          <w:sz w:val="21"/>
          <w:szCs w:val="21"/>
        </w:rPr>
        <w:t>对</w:t>
      </w:r>
      <w:r w:rsidRPr="00ED4072">
        <w:rPr>
          <w:rFonts w:ascii="SimSun" w:hAnsi="SimSun"/>
          <w:sz w:val="21"/>
          <w:szCs w:val="21"/>
        </w:rPr>
        <w:t>商标体系这种程度的参与不足以提供真正兼顾各方的观点。代表团总结说，产权组织所有成员都应该聚集在一起，弥合商标体系和里斯本体系之间的差异，以满足所有独特产品生产者的需求。</w:t>
      </w:r>
    </w:p>
    <w:p w:rsidR="00934C0F" w:rsidRPr="00ED4072" w:rsidRDefault="00934C0F"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ED4072">
        <w:rPr>
          <w:rFonts w:ascii="SimSun" w:hAnsi="SimSun" w:hint="eastAsia"/>
          <w:sz w:val="21"/>
          <w:szCs w:val="21"/>
        </w:rPr>
        <w:t>葡萄牙代表团认为，对于任何公司、地区或国家的商业战略来说，利用基于原产地的优质产品所承载的文化遗产和附加值至关重要，并指出原产地名称和地理标志的数量正在不断增加。代表团指出，这些商品的经济潜力也成为实现社会和文化发展的工具，对世界各地的社会和区域增长具有明显的好处。在这方面，里斯本体系发挥了非常有益的作用，该问题对各成员国的重要性要求发展里斯本体系仍是产权组织的优先事项。代表团欢迎过去几年在里斯本体系成员国数量增长方面取得的积极进展，并赞扬欧洲联盟为在今年年底前加入里斯本体系所做的积极努力。代表团认为，欧洲联盟的加入将促使更多国家加入《日内瓦文本》。代表团重申，需要保证有效推广里斯本体系，以提高对其优势和好处的认识，从而有可能实现成员数量的大幅增长。代表团赞扬里斯本联盟成员在过去几年中的开放态度，努力在适当考虑产权组织内部长期推行的所有知识产权权利的团结和平等对待原则的情况下，找到解决方案，以确保里斯本体系在短期和长期的财务可持续性。代表团指出，任何解决方案都必须考虑到产权组织的</w:t>
      </w:r>
      <w:r w:rsidRPr="00ED4072">
        <w:rPr>
          <w:rFonts w:ascii="SimSun" w:hAnsi="SimSun"/>
          <w:sz w:val="21"/>
          <w:szCs w:val="21"/>
        </w:rPr>
        <w:t>总体目标，即</w:t>
      </w:r>
      <w:r w:rsidRPr="00ED4072">
        <w:rPr>
          <w:rFonts w:ascii="SimSun" w:hAnsi="SimSun" w:hint="eastAsia"/>
          <w:sz w:val="21"/>
          <w:szCs w:val="21"/>
        </w:rPr>
        <w:t>促进对所有知识产权权利的保护，没有例外。此外，代表团认为，最终就里斯本联盟财务可持续性问题找到的任何解决方案都不应扩大各联盟之间的差异，同时应尊重联盟间的“支付能力”原则。代表团补充说，应保留目前的财务方法，对该方法的任何改变都会产生不公正的影响，从而使里斯本联盟的财务状况更加糟糕。代表团表示坚信《日内瓦文本》将有助于通过吸引新成员和增加注册数量的</w:t>
      </w:r>
      <w:r w:rsidRPr="00ED4072">
        <w:rPr>
          <w:rFonts w:ascii="SimSun" w:hAnsi="SimSun"/>
          <w:sz w:val="21"/>
          <w:szCs w:val="21"/>
        </w:rPr>
        <w:t>方式</w:t>
      </w:r>
      <w:r w:rsidRPr="00ED4072">
        <w:rPr>
          <w:rFonts w:ascii="SimSun" w:hAnsi="SimSun" w:hint="eastAsia"/>
          <w:sz w:val="21"/>
          <w:szCs w:val="21"/>
        </w:rPr>
        <w:t>来提高里斯本联盟的收入。最后，代表团表示愿意继续有效参与今后关于里斯本联盟财务可持续性问题的讨论，并提出建设性意见。</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lastRenderedPageBreak/>
        <w:t>法国代表团注意到某些</w:t>
      </w:r>
      <w:r w:rsidR="00B16AE1">
        <w:rPr>
          <w:rFonts w:ascii="SimSun" w:hAnsi="SimSun" w:hint="eastAsia"/>
          <w:sz w:val="21"/>
          <w:szCs w:val="21"/>
        </w:rPr>
        <w:t>论据</w:t>
      </w:r>
      <w:r w:rsidRPr="0086160D">
        <w:rPr>
          <w:rFonts w:ascii="SimSun" w:hAnsi="SimSun" w:hint="eastAsia"/>
          <w:sz w:val="21"/>
          <w:szCs w:val="21"/>
        </w:rPr>
        <w:t>在质疑里斯本联盟的地位，前几届会议也曾提及这些</w:t>
      </w:r>
      <w:r w:rsidR="00B16AE1">
        <w:rPr>
          <w:rFonts w:ascii="SimSun" w:hAnsi="SimSun" w:hint="eastAsia"/>
          <w:sz w:val="21"/>
          <w:szCs w:val="21"/>
        </w:rPr>
        <w:t>论据</w:t>
      </w:r>
      <w:r w:rsidRPr="0086160D">
        <w:rPr>
          <w:rFonts w:ascii="SimSun" w:hAnsi="SimSun" w:hint="eastAsia"/>
          <w:sz w:val="21"/>
          <w:szCs w:val="21"/>
        </w:rPr>
        <w:t>。代表团特别指出了其中一个代表团提出的要求，即里斯本联盟不应被视为特别联盟，产权组织无需保证为其提供必要的行政服务。代表团回顾说，正如它在2015年、2016年、2017年和2018年10月所做的一样，法国无法支持这一请求，因为1967年《建立世界知识产权组织公约》（《产权组织公约》）第四条第</w:t>
      </w:r>
      <w:r w:rsidR="00F20A23">
        <w:rPr>
          <w:rFonts w:ascii="SimSun" w:hAnsi="SimSun" w:hint="eastAsia"/>
          <w:sz w:val="21"/>
          <w:szCs w:val="21"/>
        </w:rPr>
        <w:t>（</w:t>
      </w:r>
      <w:r w:rsidRPr="0086160D">
        <w:rPr>
          <w:rFonts w:ascii="SimSun" w:hAnsi="SimSun" w:hint="eastAsia"/>
          <w:sz w:val="21"/>
          <w:szCs w:val="21"/>
        </w:rPr>
        <w:t>ii</w:t>
      </w:r>
      <w:r w:rsidR="00F20A23">
        <w:rPr>
          <w:rFonts w:ascii="SimSun" w:hAnsi="SimSun" w:hint="eastAsia"/>
          <w:sz w:val="21"/>
          <w:szCs w:val="21"/>
        </w:rPr>
        <w:t>）</w:t>
      </w:r>
      <w:r w:rsidRPr="0086160D">
        <w:rPr>
          <w:rFonts w:ascii="SimSun" w:hAnsi="SimSun" w:hint="eastAsia"/>
          <w:sz w:val="21"/>
          <w:szCs w:val="21"/>
        </w:rPr>
        <w:t>项中明确规定，产权组织应确保为巴黎联盟下设立的特别联盟提供行政服务。代表团回顾，《保护工业产权巴黎公约》（《巴黎公约》）第</w:t>
      </w:r>
      <w:r w:rsidR="00C870D7">
        <w:rPr>
          <w:rFonts w:ascii="SimSun" w:hAnsi="SimSun" w:hint="eastAsia"/>
          <w:sz w:val="21"/>
          <w:szCs w:val="21"/>
        </w:rPr>
        <w:t>一</w:t>
      </w:r>
      <w:r w:rsidRPr="0086160D">
        <w:rPr>
          <w:rFonts w:ascii="SimSun" w:hAnsi="SimSun" w:hint="eastAsia"/>
          <w:sz w:val="21"/>
          <w:szCs w:val="21"/>
        </w:rPr>
        <w:t>条规定，保护货源标记和原产地名称。代表团补充说，《里斯本协定》第</w:t>
      </w:r>
      <w:r w:rsidR="00C870D7">
        <w:rPr>
          <w:rFonts w:ascii="SimSun" w:hAnsi="SimSun" w:hint="eastAsia"/>
          <w:sz w:val="21"/>
          <w:szCs w:val="21"/>
        </w:rPr>
        <w:t>一</w:t>
      </w:r>
      <w:r w:rsidRPr="0086160D">
        <w:rPr>
          <w:rFonts w:ascii="SimSun" w:hAnsi="SimSun" w:hint="eastAsia"/>
          <w:sz w:val="21"/>
          <w:szCs w:val="21"/>
        </w:rPr>
        <w:t>条明确指出，里斯本联盟是在巴黎联盟框架下成立的，没有给人留下任何怀疑的余地。因此，里斯本联盟是一个特别联盟，这一点毫无疑问，产权组织应确保为其提供必要的行政服务。法国代表团回顾，2015年5月，根据《产权组织公约》以及产权组织大会的决定，在产权组织的主持下组织了一场外交会议。代表团还回顾，根据里斯本联盟成员国的意愿，外交会议以《里斯本协定日内瓦文本》的形式对《里斯本协定》进行了修订。这种修订的目标之一与马德里联盟（产权组织的另一联盟）条约修订期间实现的目标之一相同，后者的修订使非洲地区知识产权组织（ARIPO）和欧洲联盟等国际组织得以加入。代表团指出，对一个联盟不构成问题的事情，应该不会对另一个联盟构成问题。法国代表团进一步指出，观察员充分参与了《里斯本协定日内瓦文本》的起草工作，即使国际法没有在这方面赋予</w:t>
      </w:r>
      <w:r w:rsidR="00C870D7">
        <w:rPr>
          <w:rFonts w:ascii="SimSun" w:hAnsi="SimSun" w:hint="eastAsia"/>
          <w:sz w:val="21"/>
          <w:szCs w:val="21"/>
        </w:rPr>
        <w:t>它</w:t>
      </w:r>
      <w:r w:rsidRPr="0086160D">
        <w:rPr>
          <w:rFonts w:ascii="SimSun" w:hAnsi="SimSun" w:hint="eastAsia"/>
          <w:sz w:val="21"/>
          <w:szCs w:val="21"/>
        </w:rPr>
        <w:t>们任何投票权。法国代表团请提出这一请求的代表团参考各工作组的会议纪要和2015年外交会议的会议纪要。法国代表团指出，《日内瓦文本》第</w:t>
      </w:r>
      <w:r w:rsidR="00C870D7">
        <w:rPr>
          <w:rFonts w:ascii="SimSun" w:hAnsi="SimSun" w:hint="eastAsia"/>
          <w:sz w:val="21"/>
          <w:szCs w:val="21"/>
        </w:rPr>
        <w:t>二十一</w:t>
      </w:r>
      <w:r w:rsidRPr="0086160D">
        <w:rPr>
          <w:rFonts w:ascii="SimSun" w:hAnsi="SimSun" w:hint="eastAsia"/>
          <w:sz w:val="21"/>
          <w:szCs w:val="21"/>
        </w:rPr>
        <w:t>条明确规定，《日内瓦文本》的缔约方与《里斯本协定》的缔约国属于同一特别联盟。代表团还注意到，《日内瓦文本》第</w:t>
      </w:r>
      <w:r w:rsidR="00C870D7">
        <w:rPr>
          <w:rFonts w:ascii="SimSun" w:hAnsi="SimSun" w:hint="eastAsia"/>
          <w:sz w:val="21"/>
          <w:szCs w:val="21"/>
        </w:rPr>
        <w:t>二十二</w:t>
      </w:r>
      <w:r w:rsidRPr="0086160D">
        <w:rPr>
          <w:rFonts w:ascii="SimSun" w:hAnsi="SimSun" w:hint="eastAsia"/>
          <w:sz w:val="21"/>
          <w:szCs w:val="21"/>
        </w:rPr>
        <w:t>条第</w:t>
      </w:r>
      <w:r w:rsidR="00C870D7">
        <w:rPr>
          <w:rFonts w:ascii="SimSun" w:hAnsi="SimSun" w:hint="eastAsia"/>
          <w:sz w:val="21"/>
          <w:szCs w:val="21"/>
        </w:rPr>
        <w:t>一</w:t>
      </w:r>
      <w:r w:rsidRPr="0086160D">
        <w:rPr>
          <w:rFonts w:ascii="SimSun" w:hAnsi="SimSun" w:hint="eastAsia"/>
          <w:sz w:val="21"/>
          <w:szCs w:val="21"/>
        </w:rPr>
        <w:t>款明确说明，《日内瓦文本》的缔约方与里斯本联盟的成员国为同</w:t>
      </w:r>
      <w:proofErr w:type="gramStart"/>
      <w:r w:rsidRPr="0086160D">
        <w:rPr>
          <w:rFonts w:ascii="SimSun" w:hAnsi="SimSun" w:hint="eastAsia"/>
          <w:sz w:val="21"/>
          <w:szCs w:val="21"/>
        </w:rPr>
        <w:t>一大会</w:t>
      </w:r>
      <w:proofErr w:type="gramEnd"/>
      <w:r w:rsidRPr="0086160D">
        <w:rPr>
          <w:rFonts w:ascii="SimSun" w:hAnsi="SimSun" w:hint="eastAsia"/>
          <w:sz w:val="21"/>
          <w:szCs w:val="21"/>
        </w:rPr>
        <w:t>的成员。法国代表团表示，因此，毫无疑问，里斯本联盟成员国已明确将《日内瓦文本》作为对《里斯本协定》的一种修订予以通过。代表团表示，因此，《日内瓦文本》显然属于《维也纳条约法公约》第三十条的制度范围；与之相反的说法意味着无视国际法和《维也纳公约》。代表团接着表示，从国际法的角度来看，里斯本联盟的地位没有任何变化，这是无可争辩的，正如通过《马德里议定书》并未创造新的马德里联盟</w:t>
      </w:r>
      <w:r w:rsidR="008C6966">
        <w:rPr>
          <w:rFonts w:ascii="SimSun" w:hAnsi="SimSun" w:hint="eastAsia"/>
          <w:sz w:val="21"/>
          <w:szCs w:val="21"/>
        </w:rPr>
        <w:t>一样</w:t>
      </w:r>
      <w:r w:rsidRPr="0086160D">
        <w:rPr>
          <w:rFonts w:ascii="SimSun" w:hAnsi="SimSun" w:hint="eastAsia"/>
          <w:sz w:val="21"/>
          <w:szCs w:val="21"/>
        </w:rPr>
        <w:t>。代表团最后重申，里斯本联盟是并将继续是一个由产权组织管理的特别联盟。最后，法国代表团表示，里斯本联盟的财务可持续性取决于《日内瓦文本》的快速生效，并且在任何情况下，都不能用作改变产权组织的方法或运作原则的理由。</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朝鲜民主主义人民共和国代表团感谢产权组织为其加入《里斯本协定日内瓦文本》提供的援助，特别是最近组织的一场全国研讨会。代表团指出，朝鲜民主主义人民共和国在里斯本体系下注册了六个原产地名称，并表示该国已经为许多与其地理原产地有独特联系的知名产品启动了国家注册程序。代表团期待为向产权组织成员国推广里斯本体系提供支持。</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捷克共和国代表团完全赞同欧洲联盟代表团所作的发言。代表团回顾说，捷克一直是里斯本联盟的长期成员，它非常清楚经由里斯本体系所实现的原产地名称和地理标志保护的好处。代表团相信，这种形式的知识产权保护给发达国家和发展中国家的生产者和消费者带来了巨大的好处。为此，代表团表示，捷克非常重视里斯本体系的生存能力及其吸引新成员的能力。代表团对欧洲联盟已经宣布加入表示全力支持，并欢迎柬埔寨、科特迪瓦、阿尔巴尼亚、萨摩亚和朝鲜民主主义人民共和国加入《日内瓦文本》。代表团表示，捷克共和国正准备在不久的将来采取同样的步骤。代表团赞赏里斯本联盟成员为防止联盟未来出现任何预算赤字并确保联盟的长期财务可持续性所做的努力。代表团深信，里斯本体系发展问题工作组已经取得了重大进展，很快就会找到可以普遍接受的解决方案。在谈及下一个两年期预算问题时，代表团表示关切的是，《计划和预算》草案附件三仍有一项对分配方法的修改，这将对里斯本联盟的财务状况产生负面影响。代表团回顾说，计划和预算委员会（PBC）并不支持这种修改。代表团表示，没有理由支持对分配方法进行这样的修改，因此，这是不可接受的。代</w:t>
      </w:r>
      <w:r w:rsidRPr="0086160D">
        <w:rPr>
          <w:rFonts w:ascii="SimSun" w:hAnsi="SimSun" w:hint="eastAsia"/>
          <w:sz w:val="21"/>
          <w:szCs w:val="21"/>
        </w:rPr>
        <w:lastRenderedPageBreak/>
        <w:t>表团认为，这种做法违背了知识产权所有领域长期奉行的团结和平等对待原则。代表团强调，里斯本体系具有吸引力的先决条件之一在于充分认识到里斯本体系的优势及其对使用者的好处。代表团表示支持通过一切可以利用的手段对里斯本体系进行广泛和有针对性的推广。</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塞尔维亚代表团对最近加入《里斯本协定》和《日内瓦文本》的国家表示欢迎。代表团认为，保护地理标志非常重要，对塞尔维亚而言，成为可靠和稳定的地理标志国际保护体系一部分具有重要意义。代表团表示，这样的体系将保证其销往国外的农业等产品的附加值。为此，代表团支持匈牙利代表团关于里斯本联盟财务可持续性的发言。代表团认为，没有理由改变已经持续了十多年的现行财务方法。代表团认为，没有任何修改能够证明转向新的财务方法是合理的。</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俄罗斯联邦代表团告知里斯本联盟成员国，俄罗斯联邦于2019年7月颁布了一项关于地理标志的法律，其目的是促进和保护地区品牌。代表团认为，这项法律将提供新的机会，因为它是加入里斯本体系道路上的第一步。代表团申明，俄罗斯认为没有必要改变里斯本联盟的财务制度，因为这可能不仅会降低里斯本体系对现有成员的吸引力，还会降低对未来成员的吸引力。</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日本代表团对有机会以观察员身份参与里斯本体系发展问题工作组会议表示感谢。代表团认为，为了确保里斯本体系的透明度，应允许产权组织所有成员国参加里斯本联盟今后的大会和工作组会议。代表团要求里斯本联盟创造机会，征求观察员和所有产权组织其他成员国的意见，并在做出重要决定时考虑这些意见，以确保里斯本体系的透明度。代表团回顾了产权组织成员国于2017年大会上通过的关于《2018/19两年期计划和预算》的决定，根据该决定，每个联盟都应具有足够的收入来支付自己的开支。代表团承认，里斯本体系发展问题工作组已经讨论了里斯本联盟的财务可持续性问题。代表团希望里斯本联盟的成员能够推进关于该问题的讨论，得出更加具体的解决方案，并尽快予以实施。</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澳大利亚代表团重申鼓励里斯本联盟成员建立一个持久、稳健的财务可持续性框架。代表团指出，为了使里斯本体系能够自给自足，似乎有必要增加资金来源，这些资金来源可以包括维持费等。代表团回顾，其他供资条约提供了一系列的机制，包括支持这些体系管理的维持费。代表团表示，维持费把合理间隔的下游付款定在一个不会让用户闻之却步的水平上，能够有利于对该体系的初次接触。代表团认为，如果这些费用可以定期支付，则可以让受益人承担维持里斯本体系的大部分费用。代表团鼓励产权组织确保以平等的方式推广保护地理标志的各</w:t>
      </w:r>
      <w:r w:rsidR="00E63498">
        <w:rPr>
          <w:rFonts w:ascii="SimSun" w:hAnsi="SimSun" w:hint="eastAsia"/>
          <w:sz w:val="21"/>
          <w:szCs w:val="21"/>
        </w:rPr>
        <w:t>个</w:t>
      </w:r>
      <w:r w:rsidRPr="0086160D">
        <w:rPr>
          <w:rFonts w:ascii="SimSun" w:hAnsi="SimSun" w:hint="eastAsia"/>
          <w:sz w:val="21"/>
          <w:szCs w:val="21"/>
        </w:rPr>
        <w:t>国际体系。</w:t>
      </w:r>
    </w:p>
    <w:p w:rsidR="009A35CC"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美利坚合众国代表团支持日本代表团的意见。关于法国代表团表达的意见，美国代表团指出，产权组织总干事已经对这一争论做出答复，指出《产权组织公约》第四条第</w:t>
      </w:r>
      <w:r w:rsidR="00F20A23">
        <w:rPr>
          <w:rFonts w:ascii="SimSun" w:hAnsi="SimSun" w:hint="eastAsia"/>
          <w:sz w:val="21"/>
          <w:szCs w:val="21"/>
        </w:rPr>
        <w:t>（</w:t>
      </w:r>
      <w:r w:rsidRPr="0086160D">
        <w:rPr>
          <w:rFonts w:ascii="SimSun" w:hAnsi="SimSun" w:hint="eastAsia"/>
          <w:sz w:val="21"/>
          <w:szCs w:val="21"/>
        </w:rPr>
        <w:t>iii</w:t>
      </w:r>
      <w:r w:rsidR="00F20A23">
        <w:rPr>
          <w:rFonts w:ascii="SimSun" w:hAnsi="SimSun" w:hint="eastAsia"/>
          <w:sz w:val="21"/>
          <w:szCs w:val="21"/>
        </w:rPr>
        <w:t>）</w:t>
      </w:r>
      <w:r w:rsidRPr="0086160D">
        <w:rPr>
          <w:rFonts w:ascii="SimSun" w:hAnsi="SimSun" w:hint="eastAsia"/>
          <w:sz w:val="21"/>
          <w:szCs w:val="21"/>
        </w:rPr>
        <w:t>项是否适用是政治问题。代表团认为，根据《产权组织公约》，产权组织大会应决定是否管理一项新的协定，并且认为这需要四分之三的赞成票。因此，代表团表示不接受产权组织约190个成员国中的28个就可以决定哪些协定可以被视为产权组织协定。</w:t>
      </w:r>
    </w:p>
    <w:p w:rsidR="00934C0F" w:rsidRDefault="0086160D" w:rsidP="00ED4072">
      <w:pPr>
        <w:numPr>
          <w:ilvl w:val="0"/>
          <w:numId w:val="5"/>
        </w:numPr>
        <w:tabs>
          <w:tab w:val="clear" w:pos="567"/>
        </w:tabs>
        <w:overflowPunct w:val="0"/>
        <w:spacing w:afterLines="50" w:after="120" w:line="340" w:lineRule="atLeast"/>
        <w:jc w:val="both"/>
        <w:textAlignment w:val="bottom"/>
        <w:rPr>
          <w:rFonts w:ascii="SimSun" w:hAnsi="SimSun"/>
          <w:sz w:val="21"/>
          <w:szCs w:val="21"/>
        </w:rPr>
      </w:pPr>
      <w:r w:rsidRPr="0086160D">
        <w:rPr>
          <w:rFonts w:ascii="SimSun" w:hAnsi="SimSun" w:hint="eastAsia"/>
          <w:sz w:val="21"/>
          <w:szCs w:val="21"/>
        </w:rPr>
        <w:t>知识生态国际（KEI）的代表指出，里斯本体系的支付挑战与地理标志是共有财产而不是像商标或专利那样属于私有财产的事实有关。他认为，在讨论如何为该体系提供资金时，这是一个值得考虑的有趣因素，因为该因素使里斯本体系与众不同。</w:t>
      </w:r>
    </w:p>
    <w:p w:rsidR="00AF16CB" w:rsidRPr="00ED4072" w:rsidRDefault="00AF16CB" w:rsidP="00ED4072">
      <w:pPr>
        <w:numPr>
          <w:ilvl w:val="0"/>
          <w:numId w:val="5"/>
        </w:numPr>
        <w:tabs>
          <w:tab w:val="clear" w:pos="567"/>
        </w:tabs>
        <w:overflowPunct w:val="0"/>
        <w:spacing w:afterLines="50" w:after="120" w:line="340" w:lineRule="atLeast"/>
        <w:ind w:left="567"/>
        <w:jc w:val="both"/>
        <w:textAlignment w:val="bottom"/>
        <w:rPr>
          <w:rFonts w:ascii="SimSun" w:hAnsi="SimSun"/>
          <w:sz w:val="21"/>
          <w:szCs w:val="21"/>
        </w:rPr>
      </w:pPr>
      <w:r w:rsidRPr="00ED4072">
        <w:rPr>
          <w:rFonts w:ascii="SimSun" w:hAnsi="SimSun" w:hint="eastAsia"/>
          <w:sz w:val="21"/>
          <w:szCs w:val="21"/>
        </w:rPr>
        <w:t>里斯本联盟大会</w:t>
      </w:r>
      <w:r w:rsidR="00E63498">
        <w:rPr>
          <w:rFonts w:ascii="SimSun" w:hAnsi="SimSun" w:hint="eastAsia"/>
          <w:sz w:val="21"/>
          <w:szCs w:val="21"/>
        </w:rPr>
        <w:t>注意到“</w:t>
      </w:r>
      <w:r w:rsidRPr="00ED4072">
        <w:rPr>
          <w:rFonts w:ascii="SimSun" w:hAnsi="SimSun" w:hint="eastAsia"/>
          <w:sz w:val="21"/>
          <w:szCs w:val="21"/>
        </w:rPr>
        <w:t>里斯本</w:t>
      </w:r>
      <w:r w:rsidR="00E63498">
        <w:rPr>
          <w:rFonts w:ascii="SimSun" w:hAnsi="SimSun" w:hint="eastAsia"/>
          <w:sz w:val="21"/>
          <w:szCs w:val="21"/>
        </w:rPr>
        <w:t>体系发展问题工作组的报告”</w:t>
      </w:r>
      <w:r w:rsidR="00354BD3">
        <w:rPr>
          <w:rFonts w:ascii="SimSun" w:hAnsi="SimSun" w:hint="eastAsia"/>
          <w:sz w:val="21"/>
          <w:szCs w:val="21"/>
        </w:rPr>
        <w:t>（文件LI/A/36/1）</w:t>
      </w:r>
      <w:r w:rsidR="00E63498">
        <w:rPr>
          <w:rFonts w:ascii="SimSun" w:hAnsi="SimSun" w:hint="eastAsia"/>
          <w:sz w:val="21"/>
          <w:szCs w:val="21"/>
        </w:rPr>
        <w:t>。</w:t>
      </w:r>
    </w:p>
    <w:p w:rsidR="00FC1D2E" w:rsidRPr="00AC4615" w:rsidRDefault="00AC4615" w:rsidP="00D47DD0">
      <w:pPr>
        <w:spacing w:before="720" w:afterLines="50" w:after="120" w:line="340" w:lineRule="atLeast"/>
        <w:ind w:left="5534"/>
      </w:pPr>
      <w:r w:rsidRPr="00AC4615">
        <w:rPr>
          <w:rFonts w:ascii="KaiTi" w:eastAsia="KaiTi" w:hAnsi="KaiTi"/>
          <w:sz w:val="21"/>
          <w:szCs w:val="21"/>
        </w:rPr>
        <w:t>[</w:t>
      </w:r>
      <w:r w:rsidRPr="00AC4615">
        <w:rPr>
          <w:rFonts w:ascii="KaiTi" w:eastAsia="KaiTi" w:hAnsi="KaiTi" w:hint="eastAsia"/>
          <w:sz w:val="21"/>
          <w:szCs w:val="21"/>
        </w:rPr>
        <w:t>文件完</w:t>
      </w:r>
      <w:r w:rsidRPr="00AC4615">
        <w:rPr>
          <w:rFonts w:ascii="KaiTi" w:eastAsia="KaiTi" w:hAnsi="KaiTi"/>
          <w:sz w:val="21"/>
          <w:szCs w:val="21"/>
        </w:rPr>
        <w:t>]</w:t>
      </w:r>
    </w:p>
    <w:sectPr w:rsidR="00FC1D2E" w:rsidRPr="00AC4615" w:rsidSect="000765C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31" w:rsidRDefault="00750131">
      <w:r>
        <w:separator/>
      </w:r>
    </w:p>
  </w:endnote>
  <w:endnote w:type="continuationSeparator" w:id="0">
    <w:p w:rsidR="00750131" w:rsidRDefault="00750131" w:rsidP="003B38C1">
      <w:r>
        <w:separator/>
      </w:r>
    </w:p>
    <w:p w:rsidR="00750131" w:rsidRPr="003B38C1" w:rsidRDefault="00750131" w:rsidP="003B38C1">
      <w:pPr>
        <w:spacing w:after="60"/>
        <w:rPr>
          <w:sz w:val="17"/>
        </w:rPr>
      </w:pPr>
      <w:r>
        <w:rPr>
          <w:sz w:val="17"/>
        </w:rPr>
        <w:t>[Endnote continued from previous page]</w:t>
      </w:r>
    </w:p>
  </w:endnote>
  <w:endnote w:type="continuationNotice" w:id="1">
    <w:p w:rsidR="00750131" w:rsidRPr="003B38C1" w:rsidRDefault="007501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31" w:rsidRDefault="00750131">
      <w:r>
        <w:separator/>
      </w:r>
    </w:p>
  </w:footnote>
  <w:footnote w:type="continuationSeparator" w:id="0">
    <w:p w:rsidR="00750131" w:rsidRDefault="00750131" w:rsidP="008B60B2">
      <w:r>
        <w:separator/>
      </w:r>
    </w:p>
    <w:p w:rsidR="00750131" w:rsidRPr="00ED77FB" w:rsidRDefault="00750131" w:rsidP="008B60B2">
      <w:pPr>
        <w:spacing w:after="60"/>
        <w:rPr>
          <w:sz w:val="17"/>
          <w:szCs w:val="17"/>
        </w:rPr>
      </w:pPr>
      <w:r w:rsidRPr="00ED77FB">
        <w:rPr>
          <w:sz w:val="17"/>
          <w:szCs w:val="17"/>
        </w:rPr>
        <w:t>[Footnote continued from previous page]</w:t>
      </w:r>
    </w:p>
  </w:footnote>
  <w:footnote w:type="continuationNotice" w:id="1">
    <w:p w:rsidR="00750131" w:rsidRPr="00ED77FB" w:rsidRDefault="007501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9D1016" w:rsidRDefault="00FC1D2E" w:rsidP="00477D6B">
    <w:pPr>
      <w:jc w:val="right"/>
      <w:rPr>
        <w:rFonts w:asciiTheme="minorEastAsia" w:eastAsiaTheme="minorEastAsia" w:hAnsiTheme="minorEastAsia"/>
        <w:sz w:val="20"/>
      </w:rPr>
    </w:pPr>
    <w:bookmarkStart w:id="6" w:name="Code2"/>
    <w:bookmarkEnd w:id="6"/>
    <w:r w:rsidRPr="009D1016">
      <w:rPr>
        <w:rFonts w:asciiTheme="minorEastAsia" w:eastAsiaTheme="minorEastAsia" w:hAnsiTheme="minorEastAsia"/>
        <w:sz w:val="20"/>
        <w:lang w:val="fr-CH"/>
      </w:rPr>
      <w:t>LI/A/3</w:t>
    </w:r>
    <w:r w:rsidR="008D668B" w:rsidRPr="009D1016">
      <w:rPr>
        <w:rFonts w:asciiTheme="minorEastAsia" w:eastAsiaTheme="minorEastAsia" w:hAnsiTheme="minorEastAsia"/>
        <w:sz w:val="20"/>
        <w:lang w:val="fr-CH"/>
      </w:rPr>
      <w:t>6</w:t>
    </w:r>
    <w:r w:rsidRPr="009D1016">
      <w:rPr>
        <w:rFonts w:asciiTheme="minorEastAsia" w:eastAsiaTheme="minorEastAsia" w:hAnsiTheme="minorEastAsia"/>
        <w:sz w:val="20"/>
        <w:lang w:val="fr-CH"/>
      </w:rPr>
      <w:t>/</w:t>
    </w:r>
    <w:r w:rsidR="008D668B" w:rsidRPr="009D1016">
      <w:rPr>
        <w:rFonts w:asciiTheme="minorEastAsia" w:eastAsiaTheme="minorEastAsia" w:hAnsiTheme="minorEastAsia"/>
        <w:sz w:val="20"/>
        <w:lang w:val="fr-CH"/>
      </w:rPr>
      <w:t>2</w:t>
    </w:r>
  </w:p>
  <w:p w:rsidR="009A35CC" w:rsidRDefault="001C6DF5" w:rsidP="00477D6B">
    <w:pPr>
      <w:jc w:val="right"/>
      <w:rPr>
        <w:rFonts w:asciiTheme="minorEastAsia" w:eastAsiaTheme="minorEastAsia" w:hAnsiTheme="minorEastAsia"/>
        <w:sz w:val="20"/>
      </w:rPr>
    </w:pPr>
    <w:r>
      <w:rPr>
        <w:rFonts w:asciiTheme="minorEastAsia" w:eastAsiaTheme="minorEastAsia" w:hAnsiTheme="minorEastAsia" w:hint="eastAsia"/>
        <w:sz w:val="20"/>
      </w:rPr>
      <w:t>第</w:t>
    </w:r>
    <w:r w:rsidR="00EC4E49" w:rsidRPr="009D1016">
      <w:rPr>
        <w:rFonts w:asciiTheme="minorEastAsia" w:eastAsiaTheme="minorEastAsia" w:hAnsiTheme="minorEastAsia"/>
        <w:sz w:val="20"/>
      </w:rPr>
      <w:fldChar w:fldCharType="begin"/>
    </w:r>
    <w:r w:rsidR="00EC4E49" w:rsidRPr="009D1016">
      <w:rPr>
        <w:rFonts w:asciiTheme="minorEastAsia" w:eastAsiaTheme="minorEastAsia" w:hAnsiTheme="minorEastAsia"/>
        <w:sz w:val="20"/>
      </w:rPr>
      <w:instrText xml:space="preserve"> PAGE  \* MERGEFORMAT </w:instrText>
    </w:r>
    <w:r w:rsidR="00EC4E49" w:rsidRPr="009D1016">
      <w:rPr>
        <w:rFonts w:asciiTheme="minorEastAsia" w:eastAsiaTheme="minorEastAsia" w:hAnsiTheme="minorEastAsia"/>
        <w:sz w:val="20"/>
      </w:rPr>
      <w:fldChar w:fldCharType="separate"/>
    </w:r>
    <w:r w:rsidR="0016244A">
      <w:rPr>
        <w:rFonts w:asciiTheme="minorEastAsia" w:eastAsiaTheme="minorEastAsia" w:hAnsiTheme="minorEastAsia"/>
        <w:noProof/>
        <w:sz w:val="20"/>
      </w:rPr>
      <w:t>3</w:t>
    </w:r>
    <w:r w:rsidR="00EC4E49" w:rsidRPr="009D1016">
      <w:rPr>
        <w:rFonts w:asciiTheme="minorEastAsia" w:eastAsiaTheme="minorEastAsia" w:hAnsiTheme="minorEastAsia"/>
        <w:sz w:val="20"/>
      </w:rPr>
      <w:fldChar w:fldCharType="end"/>
    </w:r>
    <w:r>
      <w:rPr>
        <w:rFonts w:asciiTheme="minorEastAsia" w:eastAsiaTheme="minorEastAsia" w:hAnsiTheme="minorEastAsia" w:hint="eastAsia"/>
        <w:sz w:val="20"/>
      </w:rPr>
      <w:t>页</w:t>
    </w:r>
  </w:p>
  <w:p w:rsidR="005B400F" w:rsidRPr="009D1016" w:rsidRDefault="005B400F" w:rsidP="0052401F">
    <w:pPr>
      <w:jc w:val="right"/>
      <w:rPr>
        <w:rFonts w:asciiTheme="minorEastAsia" w:eastAsiaTheme="minorEastAsia" w:hAnsiTheme="min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D5031A"/>
    <w:multiLevelType w:val="hybridMultilevel"/>
    <w:tmpl w:val="3752A93A"/>
    <w:lvl w:ilvl="0" w:tplc="B712C1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FBF2361"/>
    <w:multiLevelType w:val="hybridMultilevel"/>
    <w:tmpl w:val="9F2CD6CC"/>
    <w:lvl w:ilvl="0" w:tplc="C694C3A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2E"/>
    <w:rsid w:val="0000023F"/>
    <w:rsid w:val="00015ED4"/>
    <w:rsid w:val="00043352"/>
    <w:rsid w:val="00043CAA"/>
    <w:rsid w:val="00046B2B"/>
    <w:rsid w:val="00075432"/>
    <w:rsid w:val="000765C4"/>
    <w:rsid w:val="00087FC9"/>
    <w:rsid w:val="000968ED"/>
    <w:rsid w:val="000B6CE6"/>
    <w:rsid w:val="000C117A"/>
    <w:rsid w:val="000E6FDE"/>
    <w:rsid w:val="000F5E56"/>
    <w:rsid w:val="0010331B"/>
    <w:rsid w:val="001362EE"/>
    <w:rsid w:val="00156693"/>
    <w:rsid w:val="0016244A"/>
    <w:rsid w:val="001647D5"/>
    <w:rsid w:val="001825FD"/>
    <w:rsid w:val="001832A6"/>
    <w:rsid w:val="001C6DF5"/>
    <w:rsid w:val="001E4E00"/>
    <w:rsid w:val="0021217E"/>
    <w:rsid w:val="002634C4"/>
    <w:rsid w:val="00271369"/>
    <w:rsid w:val="002928D3"/>
    <w:rsid w:val="002F1FE6"/>
    <w:rsid w:val="002F4E68"/>
    <w:rsid w:val="00312F7F"/>
    <w:rsid w:val="003178BA"/>
    <w:rsid w:val="003225BC"/>
    <w:rsid w:val="00350AE2"/>
    <w:rsid w:val="003544D4"/>
    <w:rsid w:val="00354BD3"/>
    <w:rsid w:val="00361450"/>
    <w:rsid w:val="003673CF"/>
    <w:rsid w:val="003845C1"/>
    <w:rsid w:val="003A6F89"/>
    <w:rsid w:val="003B38C1"/>
    <w:rsid w:val="003D2030"/>
    <w:rsid w:val="003D57B0"/>
    <w:rsid w:val="00423495"/>
    <w:rsid w:val="00423E3E"/>
    <w:rsid w:val="004261A3"/>
    <w:rsid w:val="00427AF4"/>
    <w:rsid w:val="0044604C"/>
    <w:rsid w:val="004647DA"/>
    <w:rsid w:val="00471531"/>
    <w:rsid w:val="00474062"/>
    <w:rsid w:val="00477D6B"/>
    <w:rsid w:val="004A5614"/>
    <w:rsid w:val="004E7131"/>
    <w:rsid w:val="005019FF"/>
    <w:rsid w:val="0052401F"/>
    <w:rsid w:val="0053057A"/>
    <w:rsid w:val="00560A29"/>
    <w:rsid w:val="005A2A00"/>
    <w:rsid w:val="005B400F"/>
    <w:rsid w:val="005C39C6"/>
    <w:rsid w:val="005C6649"/>
    <w:rsid w:val="00605827"/>
    <w:rsid w:val="00620FAF"/>
    <w:rsid w:val="00646050"/>
    <w:rsid w:val="006562F8"/>
    <w:rsid w:val="00657139"/>
    <w:rsid w:val="006713CA"/>
    <w:rsid w:val="00676C5C"/>
    <w:rsid w:val="00682B02"/>
    <w:rsid w:val="006D3BE8"/>
    <w:rsid w:val="006E25F8"/>
    <w:rsid w:val="006E4F5F"/>
    <w:rsid w:val="00750131"/>
    <w:rsid w:val="00764C22"/>
    <w:rsid w:val="00781DB8"/>
    <w:rsid w:val="007A76E4"/>
    <w:rsid w:val="007D1613"/>
    <w:rsid w:val="007E4C0E"/>
    <w:rsid w:val="00847FE6"/>
    <w:rsid w:val="00860537"/>
    <w:rsid w:val="0086160D"/>
    <w:rsid w:val="0086318E"/>
    <w:rsid w:val="00877718"/>
    <w:rsid w:val="008A134B"/>
    <w:rsid w:val="008B2CC1"/>
    <w:rsid w:val="008B60B2"/>
    <w:rsid w:val="008C23EC"/>
    <w:rsid w:val="008C6966"/>
    <w:rsid w:val="008D668B"/>
    <w:rsid w:val="0090731E"/>
    <w:rsid w:val="00916EE2"/>
    <w:rsid w:val="00934C0F"/>
    <w:rsid w:val="00940EE1"/>
    <w:rsid w:val="00963AB7"/>
    <w:rsid w:val="00966A22"/>
    <w:rsid w:val="0096722F"/>
    <w:rsid w:val="00980843"/>
    <w:rsid w:val="0098108B"/>
    <w:rsid w:val="009A35CC"/>
    <w:rsid w:val="009B6777"/>
    <w:rsid w:val="009C127D"/>
    <w:rsid w:val="009D1016"/>
    <w:rsid w:val="009E2791"/>
    <w:rsid w:val="009E3F6F"/>
    <w:rsid w:val="009F011F"/>
    <w:rsid w:val="009F499F"/>
    <w:rsid w:val="009F7DB0"/>
    <w:rsid w:val="00A369A9"/>
    <w:rsid w:val="00A37342"/>
    <w:rsid w:val="00A42DAF"/>
    <w:rsid w:val="00A45BD8"/>
    <w:rsid w:val="00A5683A"/>
    <w:rsid w:val="00A60917"/>
    <w:rsid w:val="00A869B7"/>
    <w:rsid w:val="00A93CD3"/>
    <w:rsid w:val="00AA2DD4"/>
    <w:rsid w:val="00AC205C"/>
    <w:rsid w:val="00AC4615"/>
    <w:rsid w:val="00AF0A6B"/>
    <w:rsid w:val="00AF16CB"/>
    <w:rsid w:val="00AF287F"/>
    <w:rsid w:val="00B05A69"/>
    <w:rsid w:val="00B16337"/>
    <w:rsid w:val="00B16AE1"/>
    <w:rsid w:val="00B74D5C"/>
    <w:rsid w:val="00B9734B"/>
    <w:rsid w:val="00BA30E2"/>
    <w:rsid w:val="00BC0165"/>
    <w:rsid w:val="00C11BFE"/>
    <w:rsid w:val="00C35023"/>
    <w:rsid w:val="00C37288"/>
    <w:rsid w:val="00C47D4D"/>
    <w:rsid w:val="00C5068F"/>
    <w:rsid w:val="00C86D74"/>
    <w:rsid w:val="00C870D7"/>
    <w:rsid w:val="00C8785E"/>
    <w:rsid w:val="00CD04F1"/>
    <w:rsid w:val="00CD7F59"/>
    <w:rsid w:val="00CE163E"/>
    <w:rsid w:val="00CF591C"/>
    <w:rsid w:val="00D20A22"/>
    <w:rsid w:val="00D372C5"/>
    <w:rsid w:val="00D44A0B"/>
    <w:rsid w:val="00D45252"/>
    <w:rsid w:val="00D47DD0"/>
    <w:rsid w:val="00D66E37"/>
    <w:rsid w:val="00D71B4D"/>
    <w:rsid w:val="00D93D55"/>
    <w:rsid w:val="00DC0E7C"/>
    <w:rsid w:val="00DC44C6"/>
    <w:rsid w:val="00DF023A"/>
    <w:rsid w:val="00DF383E"/>
    <w:rsid w:val="00E15015"/>
    <w:rsid w:val="00E335FE"/>
    <w:rsid w:val="00E5566B"/>
    <w:rsid w:val="00E63498"/>
    <w:rsid w:val="00E85557"/>
    <w:rsid w:val="00EA7D6E"/>
    <w:rsid w:val="00EB2210"/>
    <w:rsid w:val="00EC4E49"/>
    <w:rsid w:val="00EC5DC2"/>
    <w:rsid w:val="00ED4072"/>
    <w:rsid w:val="00ED77FB"/>
    <w:rsid w:val="00EE45FA"/>
    <w:rsid w:val="00F20A23"/>
    <w:rsid w:val="00F66152"/>
    <w:rsid w:val="00F74E18"/>
    <w:rsid w:val="00F83A4E"/>
    <w:rsid w:val="00FB7AD8"/>
    <w:rsid w:val="00FC1D2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7C854A8-9CC6-41CF-997B-B2B91D98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23495"/>
    <w:pPr>
      <w:keepNext/>
      <w:spacing w:before="240" w:line="480" w:lineRule="auto"/>
      <w:outlineLvl w:val="1"/>
    </w:pPr>
    <w:rPr>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271369"/>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AC4615"/>
    <w:rPr>
      <w:rFonts w:ascii="Arial" w:eastAsia="SimSun" w:hAnsi="Arial" w:cs="Arial"/>
      <w:sz w:val="18"/>
      <w:lang w:val="en-US" w:eastAsia="zh-CN"/>
    </w:rPr>
  </w:style>
  <w:style w:type="character" w:styleId="FootnoteReference">
    <w:name w:val="footnote reference"/>
    <w:basedOn w:val="DefaultParagraphFont"/>
    <w:uiPriority w:val="99"/>
    <w:rsid w:val="00AC4615"/>
    <w:rPr>
      <w:vertAlign w:val="superscript"/>
    </w:rPr>
  </w:style>
  <w:style w:type="paragraph" w:customStyle="1" w:styleId="Default">
    <w:name w:val="Default"/>
    <w:rsid w:val="00AC4615"/>
    <w:pPr>
      <w:autoSpaceDE w:val="0"/>
      <w:autoSpaceDN w:val="0"/>
      <w:adjustRightInd w:val="0"/>
    </w:pPr>
    <w:rPr>
      <w:rFonts w:ascii="Arial" w:hAnsi="Arial" w:cs="Arial"/>
      <w:color w:val="000000"/>
      <w:sz w:val="24"/>
      <w:szCs w:val="24"/>
      <w:lang w:val="en-US" w:eastAsia="en-US"/>
    </w:rPr>
  </w:style>
  <w:style w:type="character" w:customStyle="1" w:styleId="ONUMEChar">
    <w:name w:val="ONUM E Char"/>
    <w:basedOn w:val="BodyTextChar"/>
    <w:link w:val="ONUME"/>
    <w:rsid w:val="00934C0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E889B-1199-44A5-B7FF-30BAD106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8083</Words>
  <Characters>216</Characters>
  <Application>Microsoft Office Word</Application>
  <DocSecurity>0</DocSecurity>
  <Lines>1</Lines>
  <Paragraphs>16</Paragraphs>
  <ScaleCrop>false</ScaleCrop>
  <HeadingPairs>
    <vt:vector size="2" baseType="variant">
      <vt:variant>
        <vt:lpstr>Title</vt:lpstr>
      </vt:variant>
      <vt:variant>
        <vt:i4>1</vt:i4>
      </vt:variant>
    </vt:vector>
  </HeadingPairs>
  <TitlesOfParts>
    <vt:vector size="1" baseType="lpstr">
      <vt:lpstr>LI/A/36/</vt:lpstr>
    </vt:vector>
  </TitlesOfParts>
  <Company>WIPO</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LI/A/36/2</dc:title>
  <dc:subject>Fifty-Ninth Series of Meetings</dc:subject>
  <dc:creator>WIPO</dc:creator>
  <cp:keywords>PUBLIC</cp:keywords>
  <cp:lastModifiedBy>MA Weihai</cp:lastModifiedBy>
  <cp:revision>3</cp:revision>
  <cp:lastPrinted>2019-08-06T13:00:00Z</cp:lastPrinted>
  <dcterms:created xsi:type="dcterms:W3CDTF">2019-12-05T08:18:00Z</dcterms:created>
  <dcterms:modified xsi:type="dcterms:W3CDTF">2019-12-05T08:19:00Z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43e435e6-bcfc-4648-b866-1693891f7416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