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A0294" w:rsidRPr="00EA0294" w:rsidTr="00DF1416">
        <w:trPr>
          <w:trHeight w:val="1977"/>
        </w:trPr>
        <w:tc>
          <w:tcPr>
            <w:tcW w:w="4594" w:type="dxa"/>
            <w:tcBorders>
              <w:top w:val="nil"/>
              <w:left w:val="nil"/>
              <w:bottom w:val="single" w:sz="4" w:space="0" w:color="auto"/>
              <w:right w:val="nil"/>
            </w:tcBorders>
            <w:tcMar>
              <w:left w:w="108" w:type="dxa"/>
              <w:bottom w:w="170" w:type="dxa"/>
              <w:right w:w="108" w:type="dxa"/>
            </w:tcMar>
          </w:tcPr>
          <w:p w:rsidR="00EA0294" w:rsidRPr="00EA0294" w:rsidRDefault="00EA0294" w:rsidP="00EA0294">
            <w:r w:rsidRPr="00EA0294">
              <w:rPr>
                <w:rFonts w:hint="eastAsia"/>
                <w:noProof/>
              </w:rPr>
              <w:drawing>
                <wp:anchor distT="0" distB="0" distL="114300" distR="114300" simplePos="0" relativeHeight="251659264" behindDoc="1" locked="0" layoutInCell="0" allowOverlap="1" wp14:anchorId="65881306" wp14:editId="304EC54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A0294" w:rsidRPr="00EA0294" w:rsidRDefault="00EA0294" w:rsidP="00EA0294"/>
        </w:tc>
        <w:tc>
          <w:tcPr>
            <w:tcW w:w="425" w:type="dxa"/>
            <w:tcBorders>
              <w:top w:val="nil"/>
              <w:left w:val="nil"/>
              <w:bottom w:val="single" w:sz="4" w:space="0" w:color="auto"/>
              <w:right w:val="nil"/>
            </w:tcBorders>
            <w:tcMar>
              <w:top w:w="0" w:type="dxa"/>
            </w:tcMar>
          </w:tcPr>
          <w:p w:rsidR="00EA0294" w:rsidRPr="00EA0294" w:rsidRDefault="00EA0294" w:rsidP="00EA0294">
            <w:pPr>
              <w:jc w:val="right"/>
            </w:pPr>
            <w:r w:rsidRPr="00EA0294">
              <w:rPr>
                <w:rFonts w:hint="eastAsia"/>
                <w:b/>
                <w:sz w:val="40"/>
                <w:szCs w:val="40"/>
              </w:rPr>
              <w:t>C</w:t>
            </w:r>
          </w:p>
        </w:tc>
      </w:tr>
      <w:tr w:rsidR="00EA0294" w:rsidRPr="00EA0294" w:rsidTr="00DF141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EA0294" w:rsidRPr="00EA0294" w:rsidRDefault="00EA0294" w:rsidP="00442687">
            <w:pPr>
              <w:jc w:val="right"/>
              <w:rPr>
                <w:rFonts w:ascii="Arial Black" w:hAnsi="Arial Black"/>
                <w:caps/>
                <w:sz w:val="15"/>
              </w:rPr>
            </w:pPr>
            <w:r w:rsidRPr="00EA0294">
              <w:rPr>
                <w:rFonts w:ascii="Arial Black" w:hAnsi="Arial Black" w:hint="eastAsia"/>
                <w:caps/>
                <w:sz w:val="15"/>
              </w:rPr>
              <w:t>LI/A/3</w:t>
            </w:r>
            <w:r>
              <w:rPr>
                <w:rFonts w:ascii="Arial Black" w:hAnsi="Arial Black" w:hint="eastAsia"/>
                <w:caps/>
                <w:sz w:val="15"/>
              </w:rPr>
              <w:t>3</w:t>
            </w:r>
            <w:r w:rsidRPr="00EA0294">
              <w:rPr>
                <w:rFonts w:ascii="Arial Black" w:hAnsi="Arial Black" w:hint="eastAsia"/>
                <w:caps/>
                <w:sz w:val="15"/>
              </w:rPr>
              <w:t>/</w:t>
            </w:r>
            <w:bookmarkStart w:id="0" w:name="Code"/>
            <w:bookmarkEnd w:id="0"/>
            <w:r w:rsidR="00F06EFD">
              <w:rPr>
                <w:rFonts w:ascii="Arial Black" w:hAnsi="Arial Black" w:hint="eastAsia"/>
                <w:caps/>
                <w:sz w:val="15"/>
              </w:rPr>
              <w:t>3</w:t>
            </w:r>
          </w:p>
        </w:tc>
      </w:tr>
      <w:tr w:rsidR="00EA0294" w:rsidRPr="00EA0294" w:rsidTr="00DF1416">
        <w:trPr>
          <w:trHeight w:hRule="exact" w:val="170"/>
        </w:trPr>
        <w:tc>
          <w:tcPr>
            <w:tcW w:w="9356" w:type="dxa"/>
            <w:gridSpan w:val="3"/>
            <w:noWrap/>
            <w:tcMar>
              <w:top w:w="0" w:type="dxa"/>
              <w:left w:w="0" w:type="dxa"/>
              <w:bottom w:w="0" w:type="dxa"/>
              <w:right w:w="0" w:type="dxa"/>
            </w:tcMar>
            <w:vAlign w:val="bottom"/>
          </w:tcPr>
          <w:p w:rsidR="00EA0294" w:rsidRPr="00EA0294" w:rsidRDefault="00EA0294" w:rsidP="00EA0294">
            <w:pPr>
              <w:jc w:val="right"/>
              <w:rPr>
                <w:rFonts w:ascii="Arial Black" w:hAnsi="Arial Black"/>
                <w:b/>
                <w:caps/>
                <w:sz w:val="15"/>
                <w:szCs w:val="15"/>
              </w:rPr>
            </w:pPr>
            <w:r w:rsidRPr="00EA0294">
              <w:rPr>
                <w:rFonts w:eastAsia="SimHei" w:hint="eastAsia"/>
                <w:b/>
                <w:sz w:val="15"/>
                <w:szCs w:val="15"/>
              </w:rPr>
              <w:t>原</w:t>
            </w:r>
            <w:r w:rsidRPr="00EA0294">
              <w:rPr>
                <w:rFonts w:eastAsia="SimHei" w:hint="eastAsia"/>
                <w:b/>
                <w:sz w:val="15"/>
                <w:szCs w:val="15"/>
                <w:lang w:val="pt-BR"/>
              </w:rPr>
              <w:t xml:space="preserve"> </w:t>
            </w:r>
            <w:r w:rsidRPr="00EA0294">
              <w:rPr>
                <w:rFonts w:eastAsia="SimHei" w:hint="eastAsia"/>
                <w:b/>
                <w:sz w:val="15"/>
                <w:szCs w:val="15"/>
              </w:rPr>
              <w:t>文</w:t>
            </w:r>
            <w:r w:rsidRPr="00EA0294">
              <w:rPr>
                <w:rFonts w:eastAsia="SimHei" w:hint="eastAsia"/>
                <w:b/>
                <w:sz w:val="15"/>
                <w:szCs w:val="15"/>
                <w:lang w:val="pt-BR"/>
              </w:rPr>
              <w:t>：</w:t>
            </w:r>
            <w:bookmarkStart w:id="1" w:name="Language"/>
            <w:bookmarkEnd w:id="1"/>
            <w:r w:rsidRPr="00EA0294">
              <w:rPr>
                <w:rFonts w:eastAsia="SimHei" w:hint="eastAsia"/>
                <w:b/>
                <w:sz w:val="15"/>
                <w:szCs w:val="15"/>
                <w:lang w:val="pt-BR"/>
              </w:rPr>
              <w:t>英</w:t>
            </w:r>
            <w:r w:rsidRPr="00EA0294">
              <w:rPr>
                <w:rFonts w:eastAsia="SimHei" w:hint="eastAsia"/>
                <w:b/>
                <w:sz w:val="15"/>
                <w:szCs w:val="15"/>
              </w:rPr>
              <w:t>文</w:t>
            </w:r>
          </w:p>
        </w:tc>
      </w:tr>
      <w:tr w:rsidR="00EA0294" w:rsidRPr="00EA0294" w:rsidTr="00DF1416">
        <w:trPr>
          <w:trHeight w:hRule="exact" w:val="198"/>
        </w:trPr>
        <w:tc>
          <w:tcPr>
            <w:tcW w:w="9356" w:type="dxa"/>
            <w:gridSpan w:val="3"/>
            <w:tcMar>
              <w:top w:w="0" w:type="dxa"/>
              <w:left w:w="0" w:type="dxa"/>
              <w:bottom w:w="0" w:type="dxa"/>
              <w:right w:w="0" w:type="dxa"/>
            </w:tcMar>
            <w:vAlign w:val="bottom"/>
          </w:tcPr>
          <w:p w:rsidR="00EA0294" w:rsidRPr="00EA0294" w:rsidRDefault="00EA0294" w:rsidP="00442687">
            <w:pPr>
              <w:jc w:val="right"/>
              <w:rPr>
                <w:rFonts w:ascii="SimHei" w:eastAsia="SimHei" w:hAnsi="Arial Black"/>
                <w:b/>
                <w:caps/>
                <w:sz w:val="15"/>
                <w:szCs w:val="15"/>
              </w:rPr>
            </w:pPr>
            <w:r w:rsidRPr="00EA0294">
              <w:rPr>
                <w:rFonts w:ascii="SimHei" w:eastAsia="SimHei" w:hint="eastAsia"/>
                <w:b/>
                <w:sz w:val="15"/>
                <w:szCs w:val="15"/>
              </w:rPr>
              <w:t>日</w:t>
            </w:r>
            <w:r w:rsidRPr="00EA0294">
              <w:rPr>
                <w:rFonts w:ascii="SimHei" w:eastAsia="SimHei" w:hint="eastAsia"/>
                <w:b/>
                <w:sz w:val="15"/>
                <w:szCs w:val="15"/>
                <w:lang w:val="pt-BR"/>
              </w:rPr>
              <w:t xml:space="preserve"> </w:t>
            </w:r>
            <w:r w:rsidRPr="00EA0294">
              <w:rPr>
                <w:rFonts w:ascii="SimHei" w:eastAsia="SimHei" w:hint="eastAsia"/>
                <w:b/>
                <w:sz w:val="15"/>
                <w:szCs w:val="15"/>
              </w:rPr>
              <w:t>期</w:t>
            </w:r>
            <w:r w:rsidRPr="00EA0294">
              <w:rPr>
                <w:rFonts w:ascii="SimHei" w:eastAsia="SimHei" w:hAnsi="SimSun" w:hint="eastAsia"/>
                <w:b/>
                <w:sz w:val="15"/>
                <w:szCs w:val="15"/>
                <w:lang w:val="pt-BR"/>
              </w:rPr>
              <w:t>：</w:t>
            </w:r>
            <w:bookmarkStart w:id="2" w:name="Date"/>
            <w:bookmarkEnd w:id="2"/>
            <w:r w:rsidRPr="00EA0294">
              <w:rPr>
                <w:rFonts w:ascii="Arial Black" w:eastAsia="SimHei" w:hAnsi="Arial Black" w:hint="eastAsia"/>
                <w:b/>
                <w:sz w:val="15"/>
                <w:szCs w:val="15"/>
                <w:lang w:val="pt-BR"/>
              </w:rPr>
              <w:t>2016</w:t>
            </w:r>
            <w:r w:rsidRPr="00EA0294">
              <w:rPr>
                <w:rFonts w:ascii="SimHei" w:eastAsia="SimHei" w:hAnsi="Times New Roman" w:hint="eastAsia"/>
                <w:b/>
                <w:sz w:val="15"/>
                <w:szCs w:val="15"/>
              </w:rPr>
              <w:t>年</w:t>
            </w:r>
            <w:r w:rsidR="00F06EFD">
              <w:rPr>
                <w:rFonts w:ascii="Arial Black" w:eastAsia="SimHei" w:hAnsi="Arial Black" w:hint="eastAsia"/>
                <w:b/>
                <w:sz w:val="15"/>
                <w:szCs w:val="15"/>
                <w:lang w:val="pt-BR"/>
              </w:rPr>
              <w:t>1</w:t>
            </w:r>
            <w:r w:rsidR="00442687">
              <w:rPr>
                <w:rFonts w:ascii="Arial Black" w:eastAsia="SimHei" w:hAnsi="Arial Black" w:hint="eastAsia"/>
                <w:b/>
                <w:sz w:val="15"/>
                <w:szCs w:val="15"/>
                <w:lang w:val="pt-BR"/>
              </w:rPr>
              <w:t>2</w:t>
            </w:r>
            <w:r w:rsidRPr="00EA0294">
              <w:rPr>
                <w:rFonts w:ascii="SimHei" w:eastAsia="SimHei" w:hAnsi="Times New Roman" w:hint="eastAsia"/>
                <w:b/>
                <w:sz w:val="15"/>
                <w:szCs w:val="15"/>
              </w:rPr>
              <w:t>月</w:t>
            </w:r>
            <w:r w:rsidR="00F06EFD">
              <w:rPr>
                <w:rFonts w:ascii="Arial Black" w:eastAsia="SimHei" w:hAnsi="Arial Black" w:hint="eastAsia"/>
                <w:b/>
                <w:sz w:val="15"/>
                <w:szCs w:val="15"/>
              </w:rPr>
              <w:t>1</w:t>
            </w:r>
            <w:r w:rsidR="00442687">
              <w:rPr>
                <w:rFonts w:ascii="Arial Black" w:eastAsia="SimHei" w:hAnsi="Arial Black" w:hint="eastAsia"/>
                <w:b/>
                <w:sz w:val="15"/>
                <w:szCs w:val="15"/>
              </w:rPr>
              <w:t>6</w:t>
            </w:r>
            <w:r w:rsidRPr="00EA0294">
              <w:rPr>
                <w:rFonts w:ascii="SimHei" w:eastAsia="SimHei" w:hAnsi="Times New Roman" w:hint="eastAsia"/>
                <w:b/>
                <w:sz w:val="15"/>
                <w:szCs w:val="15"/>
              </w:rPr>
              <w:t>日</w:t>
            </w:r>
            <w:r w:rsidRPr="00EA0294">
              <w:rPr>
                <w:rFonts w:ascii="SimHei" w:eastAsia="SimHei" w:hAnsi="Arial Black" w:hint="eastAsia"/>
                <w:b/>
                <w:caps/>
                <w:sz w:val="15"/>
                <w:szCs w:val="15"/>
              </w:rPr>
              <w:t xml:space="preserve">  </w:t>
            </w:r>
          </w:p>
        </w:tc>
      </w:tr>
    </w:tbl>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F12D1F">
      <w:pPr>
        <w:rPr>
          <w:rFonts w:ascii="SimHei" w:eastAsia="SimHei"/>
          <w:sz w:val="28"/>
          <w:szCs w:val="28"/>
        </w:rPr>
      </w:pPr>
      <w:r w:rsidRPr="00EA0294">
        <w:rPr>
          <w:rFonts w:ascii="SimHei" w:eastAsia="SimHei" w:hint="eastAsia"/>
          <w:sz w:val="28"/>
          <w:szCs w:val="28"/>
        </w:rPr>
        <w:t>原产地名称保护及国际注册特别联盟</w:t>
      </w:r>
      <w:r w:rsidR="00F12D1F">
        <w:rPr>
          <w:rFonts w:ascii="SimHei" w:eastAsia="SimHei" w:hint="eastAsia"/>
          <w:sz w:val="28"/>
          <w:szCs w:val="28"/>
        </w:rPr>
        <w:t>（</w:t>
      </w:r>
      <w:r w:rsidRPr="00EA0294">
        <w:rPr>
          <w:rFonts w:ascii="SimHei" w:eastAsia="SimHei" w:hint="eastAsia"/>
          <w:sz w:val="28"/>
          <w:szCs w:val="28"/>
        </w:rPr>
        <w:t>里斯本联盟</w:t>
      </w:r>
      <w:r w:rsidR="00F12D1F">
        <w:rPr>
          <w:rFonts w:ascii="SimHei" w:eastAsia="SimHei" w:hint="eastAsia"/>
          <w:sz w:val="28"/>
          <w:szCs w:val="28"/>
        </w:rPr>
        <w:t>）</w:t>
      </w:r>
    </w:p>
    <w:p w:rsidR="00EA0294" w:rsidRPr="00EA0294" w:rsidRDefault="00EA0294" w:rsidP="00EA0294"/>
    <w:p w:rsidR="00EA0294" w:rsidRPr="00EA0294" w:rsidRDefault="00EA0294" w:rsidP="00EA0294"/>
    <w:p w:rsidR="00EA0294" w:rsidRPr="00EA0294" w:rsidRDefault="00EA0294" w:rsidP="00EA0294">
      <w:pPr>
        <w:rPr>
          <w:rFonts w:ascii="SimHei" w:eastAsia="SimHei"/>
          <w:sz w:val="28"/>
          <w:szCs w:val="28"/>
        </w:rPr>
      </w:pPr>
      <w:r w:rsidRPr="00EA0294">
        <w:rPr>
          <w:rFonts w:ascii="SimHei" w:eastAsia="SimHei" w:hint="eastAsia"/>
          <w:sz w:val="28"/>
          <w:szCs w:val="28"/>
        </w:rPr>
        <w:t>大　会</w:t>
      </w:r>
    </w:p>
    <w:p w:rsidR="00EA0294" w:rsidRPr="00EA0294" w:rsidRDefault="00EA0294" w:rsidP="00EA0294"/>
    <w:p w:rsidR="00EA0294" w:rsidRPr="00EA0294" w:rsidRDefault="00EA0294" w:rsidP="00EA0294"/>
    <w:p w:rsidR="00EA0294" w:rsidRPr="00EA0294" w:rsidRDefault="00EA0294" w:rsidP="00EA0294">
      <w:pPr>
        <w:textAlignment w:val="bottom"/>
        <w:rPr>
          <w:rFonts w:ascii="KaiTi" w:eastAsia="KaiTi"/>
          <w:b/>
          <w:sz w:val="24"/>
          <w:szCs w:val="24"/>
        </w:rPr>
      </w:pPr>
      <w:r w:rsidRPr="00EA0294">
        <w:rPr>
          <w:rFonts w:ascii="KaiTi" w:eastAsia="KaiTi" w:hint="eastAsia"/>
          <w:b/>
          <w:sz w:val="24"/>
          <w:szCs w:val="24"/>
        </w:rPr>
        <w:t>第三十</w:t>
      </w:r>
      <w:r w:rsidR="00F12D1F">
        <w:rPr>
          <w:rFonts w:ascii="KaiTi" w:eastAsia="KaiTi" w:hint="eastAsia"/>
          <w:b/>
          <w:sz w:val="24"/>
          <w:szCs w:val="24"/>
        </w:rPr>
        <w:t>三</w:t>
      </w:r>
      <w:r w:rsidRPr="00EA0294">
        <w:rPr>
          <w:rFonts w:ascii="KaiTi" w:eastAsia="KaiTi" w:hint="eastAsia"/>
          <w:b/>
          <w:sz w:val="24"/>
          <w:szCs w:val="24"/>
        </w:rPr>
        <w:t>届会议</w:t>
      </w:r>
      <w:r w:rsidR="00F12D1F">
        <w:rPr>
          <w:rFonts w:ascii="KaiTi" w:eastAsia="KaiTi" w:hint="eastAsia"/>
          <w:b/>
          <w:sz w:val="24"/>
          <w:szCs w:val="24"/>
        </w:rPr>
        <w:t>（</w:t>
      </w:r>
      <w:r w:rsidRPr="00EA0294">
        <w:rPr>
          <w:rFonts w:ascii="KaiTi" w:eastAsia="KaiTi" w:hint="eastAsia"/>
          <w:b/>
          <w:sz w:val="24"/>
          <w:szCs w:val="24"/>
        </w:rPr>
        <w:t>第</w:t>
      </w:r>
      <w:r w:rsidRPr="00EA0294">
        <w:rPr>
          <w:rFonts w:ascii="KaiTi" w:eastAsia="KaiTi" w:hint="eastAsia"/>
          <w:sz w:val="24"/>
          <w:szCs w:val="24"/>
        </w:rPr>
        <w:t>1</w:t>
      </w:r>
      <w:r w:rsidR="00F12D1F">
        <w:rPr>
          <w:rFonts w:ascii="KaiTi" w:eastAsia="KaiTi" w:hint="eastAsia"/>
          <w:sz w:val="24"/>
          <w:szCs w:val="24"/>
        </w:rPr>
        <w:t>2</w:t>
      </w:r>
      <w:r w:rsidRPr="00EA0294">
        <w:rPr>
          <w:rFonts w:ascii="KaiTi" w:eastAsia="KaiTi" w:hint="eastAsia"/>
          <w:b/>
          <w:sz w:val="24"/>
          <w:szCs w:val="24"/>
        </w:rPr>
        <w:t>次</w:t>
      </w:r>
      <w:r w:rsidR="00F12D1F">
        <w:rPr>
          <w:rFonts w:ascii="KaiTi" w:eastAsia="KaiTi" w:hint="eastAsia"/>
          <w:b/>
          <w:sz w:val="24"/>
          <w:szCs w:val="24"/>
        </w:rPr>
        <w:t>特别会议）</w:t>
      </w:r>
    </w:p>
    <w:p w:rsidR="00EA0294" w:rsidRPr="00EA0294" w:rsidRDefault="00EA0294" w:rsidP="00EA0294">
      <w:pPr>
        <w:rPr>
          <w:rFonts w:ascii="KaiTi" w:eastAsia="KaiTi"/>
          <w:b/>
          <w:sz w:val="24"/>
          <w:szCs w:val="24"/>
        </w:rPr>
      </w:pPr>
      <w:r w:rsidRPr="00EA0294">
        <w:rPr>
          <w:rFonts w:ascii="KaiTi" w:eastAsia="KaiTi" w:hint="eastAsia"/>
          <w:sz w:val="24"/>
          <w:szCs w:val="24"/>
        </w:rPr>
        <w:t>201</w:t>
      </w:r>
      <w:r w:rsidR="00F12D1F">
        <w:rPr>
          <w:rFonts w:ascii="KaiTi" w:eastAsia="KaiTi" w:hint="eastAsia"/>
          <w:sz w:val="24"/>
          <w:szCs w:val="24"/>
        </w:rPr>
        <w:t>6</w:t>
      </w:r>
      <w:r w:rsidRPr="00EA0294">
        <w:rPr>
          <w:rFonts w:ascii="KaiTi" w:eastAsia="KaiTi" w:hint="eastAsia"/>
          <w:b/>
          <w:sz w:val="24"/>
          <w:szCs w:val="24"/>
        </w:rPr>
        <w:t>年</w:t>
      </w:r>
      <w:r w:rsidRPr="00EA0294">
        <w:rPr>
          <w:rFonts w:ascii="KaiTi" w:eastAsia="KaiTi" w:hint="eastAsia"/>
          <w:sz w:val="24"/>
          <w:szCs w:val="24"/>
        </w:rPr>
        <w:t>10</w:t>
      </w:r>
      <w:r w:rsidRPr="00EA0294">
        <w:rPr>
          <w:rFonts w:ascii="KaiTi" w:eastAsia="KaiTi" w:hint="eastAsia"/>
          <w:b/>
          <w:sz w:val="24"/>
          <w:szCs w:val="24"/>
        </w:rPr>
        <w:t>月</w:t>
      </w:r>
      <w:r w:rsidR="00F12D1F">
        <w:rPr>
          <w:rFonts w:ascii="KaiTi" w:eastAsia="KaiTi" w:hint="eastAsia"/>
          <w:sz w:val="24"/>
          <w:szCs w:val="24"/>
        </w:rPr>
        <w:t>3</w:t>
      </w:r>
      <w:r w:rsidRPr="00EA0294">
        <w:rPr>
          <w:rFonts w:ascii="KaiTi" w:eastAsia="KaiTi" w:hint="eastAsia"/>
          <w:b/>
          <w:sz w:val="24"/>
          <w:szCs w:val="24"/>
        </w:rPr>
        <w:t>日至</w:t>
      </w:r>
      <w:r w:rsidRPr="00EA0294">
        <w:rPr>
          <w:rFonts w:ascii="KaiTi" w:eastAsia="KaiTi" w:hint="eastAsia"/>
          <w:sz w:val="24"/>
          <w:szCs w:val="24"/>
        </w:rPr>
        <w:t>1</w:t>
      </w:r>
      <w:r w:rsidR="00F12D1F">
        <w:rPr>
          <w:rFonts w:ascii="KaiTi" w:eastAsia="KaiTi" w:hint="eastAsia"/>
          <w:sz w:val="24"/>
          <w:szCs w:val="24"/>
        </w:rPr>
        <w:t>1</w:t>
      </w:r>
      <w:r w:rsidRPr="00EA0294">
        <w:rPr>
          <w:rFonts w:ascii="KaiTi" w:eastAsia="KaiTi" w:hint="eastAsia"/>
          <w:b/>
          <w:sz w:val="24"/>
          <w:szCs w:val="24"/>
        </w:rPr>
        <w:t>日，日内瓦</w:t>
      </w:r>
    </w:p>
    <w:p w:rsidR="00EA0294" w:rsidRPr="00EA0294" w:rsidRDefault="00EA0294" w:rsidP="00EA0294"/>
    <w:p w:rsidR="00EA0294" w:rsidRPr="00EA0294" w:rsidRDefault="00EA0294" w:rsidP="00EA0294"/>
    <w:p w:rsidR="00EA0294" w:rsidRPr="00EA0294" w:rsidRDefault="00EA0294" w:rsidP="00EA0294"/>
    <w:p w:rsidR="00EA0294" w:rsidRPr="00EA0294" w:rsidRDefault="00F06EFD" w:rsidP="00EA0294">
      <w:pPr>
        <w:rPr>
          <w:rFonts w:ascii="KaiTi" w:eastAsia="KaiTi" w:hAnsi="KaiTi"/>
          <w:caps/>
          <w:sz w:val="24"/>
        </w:rPr>
      </w:pPr>
      <w:bookmarkStart w:id="3" w:name="TitleOfDoc"/>
      <w:bookmarkEnd w:id="3"/>
      <w:r>
        <w:rPr>
          <w:rFonts w:ascii="KaiTi" w:eastAsia="KaiTi" w:hAnsi="KaiTi" w:hint="eastAsia"/>
          <w:caps/>
          <w:sz w:val="24"/>
        </w:rPr>
        <w:t>报</w:t>
      </w:r>
      <w:r w:rsidR="00442687">
        <w:rPr>
          <w:rFonts w:ascii="KaiTi" w:eastAsia="KaiTi" w:hAnsi="KaiTi" w:hint="eastAsia"/>
          <w:caps/>
          <w:sz w:val="24"/>
        </w:rPr>
        <w:t xml:space="preserve">　</w:t>
      </w:r>
      <w:r>
        <w:rPr>
          <w:rFonts w:ascii="KaiTi" w:eastAsia="KaiTi" w:hAnsi="KaiTi" w:hint="eastAsia"/>
          <w:caps/>
          <w:sz w:val="24"/>
        </w:rPr>
        <w:t>告</w:t>
      </w:r>
    </w:p>
    <w:p w:rsidR="00EA0294" w:rsidRPr="00EA0294" w:rsidRDefault="00EA0294" w:rsidP="00EA0294"/>
    <w:p w:rsidR="00EA0294" w:rsidRPr="00EA0294" w:rsidRDefault="00442687" w:rsidP="00EA0294">
      <w:pPr>
        <w:rPr>
          <w:rFonts w:ascii="KaiTi" w:eastAsia="KaiTi" w:hAnsi="KaiTi"/>
          <w:sz w:val="21"/>
          <w:szCs w:val="21"/>
        </w:rPr>
      </w:pPr>
      <w:bookmarkStart w:id="4" w:name="Prepared"/>
      <w:bookmarkEnd w:id="4"/>
      <w:r>
        <w:rPr>
          <w:rFonts w:ascii="KaiTi" w:eastAsia="KaiTi" w:hAnsi="KaiTi" w:hint="eastAsia"/>
          <w:sz w:val="21"/>
          <w:szCs w:val="21"/>
        </w:rPr>
        <w:t>经大会通过</w:t>
      </w:r>
    </w:p>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EA0294"/>
    <w:p w:rsidR="00F06EFD" w:rsidRPr="00526670" w:rsidRDefault="00F06EFD" w:rsidP="00F06EFD">
      <w:pPr>
        <w:numPr>
          <w:ilvl w:val="0"/>
          <w:numId w:val="37"/>
        </w:numPr>
        <w:overflowPunct w:val="0"/>
        <w:spacing w:afterLines="50" w:after="120" w:line="340" w:lineRule="atLeast"/>
        <w:ind w:left="0" w:firstLine="0"/>
        <w:jc w:val="both"/>
        <w:rPr>
          <w:rFonts w:ascii="SimSun" w:hAnsi="SimSun"/>
          <w:sz w:val="21"/>
        </w:rPr>
      </w:pPr>
      <w:proofErr w:type="gramStart"/>
      <w:r w:rsidRPr="00526670">
        <w:rPr>
          <w:rFonts w:ascii="SimSun" w:hAnsi="SimSun" w:hint="eastAsia"/>
          <w:sz w:val="21"/>
        </w:rPr>
        <w:t>本大会</w:t>
      </w:r>
      <w:proofErr w:type="gramEnd"/>
      <w:r w:rsidRPr="00526670">
        <w:rPr>
          <w:rFonts w:ascii="SimSun" w:hAnsi="SimSun" w:hint="eastAsia"/>
          <w:sz w:val="21"/>
        </w:rPr>
        <w:t>涉及统一编排议程</w:t>
      </w:r>
      <w:r>
        <w:rPr>
          <w:rFonts w:ascii="SimSun" w:hAnsi="SimSun" w:hint="eastAsia"/>
          <w:sz w:val="21"/>
        </w:rPr>
        <w:t>（</w:t>
      </w:r>
      <w:r w:rsidRPr="00526670">
        <w:rPr>
          <w:rFonts w:ascii="SimSun" w:hAnsi="SimSun" w:hint="eastAsia"/>
          <w:sz w:val="21"/>
        </w:rPr>
        <w:t>文件A/5</w:t>
      </w:r>
      <w:r>
        <w:rPr>
          <w:rFonts w:ascii="SimSun" w:hAnsi="SimSun" w:hint="eastAsia"/>
          <w:sz w:val="21"/>
        </w:rPr>
        <w:t>6</w:t>
      </w:r>
      <w:r w:rsidRPr="00526670">
        <w:rPr>
          <w:rFonts w:ascii="SimSun" w:hAnsi="SimSun" w:hint="eastAsia"/>
          <w:sz w:val="21"/>
        </w:rPr>
        <w:t>/1</w:t>
      </w:r>
      <w:r>
        <w:rPr>
          <w:rFonts w:ascii="SimSun" w:hAnsi="SimSun" w:hint="eastAsia"/>
          <w:sz w:val="21"/>
        </w:rPr>
        <w:t>）</w:t>
      </w:r>
      <w:r w:rsidRPr="00526670">
        <w:rPr>
          <w:rFonts w:ascii="SimSun" w:hAnsi="SimSun" w:hint="eastAsia"/>
          <w:sz w:val="21"/>
        </w:rPr>
        <w:t>的下列项目：第</w:t>
      </w:r>
      <w:r w:rsidRPr="00F06EFD">
        <w:rPr>
          <w:rFonts w:ascii="SimSun" w:hAnsi="SimSun"/>
          <w:sz w:val="21"/>
        </w:rPr>
        <w:t>1</w:t>
      </w:r>
      <w:r>
        <w:rPr>
          <w:rFonts w:ascii="SimSun" w:hAnsi="SimSun" w:hint="eastAsia"/>
          <w:sz w:val="21"/>
        </w:rPr>
        <w:t>、</w:t>
      </w:r>
      <w:r w:rsidR="00791AA1">
        <w:rPr>
          <w:rFonts w:ascii="SimSun" w:hAnsi="SimSun" w:hint="eastAsia"/>
          <w:sz w:val="21"/>
        </w:rPr>
        <w:t>2、</w:t>
      </w:r>
      <w:r w:rsidRPr="00F06EFD">
        <w:rPr>
          <w:rFonts w:ascii="SimSun" w:hAnsi="SimSun"/>
          <w:sz w:val="21"/>
        </w:rPr>
        <w:t>3</w:t>
      </w:r>
      <w:r>
        <w:rPr>
          <w:rFonts w:ascii="SimSun" w:hAnsi="SimSun" w:hint="eastAsia"/>
          <w:sz w:val="21"/>
        </w:rPr>
        <w:t>、</w:t>
      </w:r>
      <w:r w:rsidRPr="00F06EFD">
        <w:rPr>
          <w:rFonts w:ascii="SimSun" w:hAnsi="SimSun"/>
          <w:sz w:val="21"/>
        </w:rPr>
        <w:t>4</w:t>
      </w:r>
      <w:r>
        <w:rPr>
          <w:rFonts w:ascii="SimSun" w:hAnsi="SimSun" w:hint="eastAsia"/>
          <w:sz w:val="21"/>
        </w:rPr>
        <w:t>、</w:t>
      </w:r>
      <w:r w:rsidRPr="00F06EFD">
        <w:rPr>
          <w:rFonts w:ascii="SimSun" w:hAnsi="SimSun"/>
          <w:sz w:val="21"/>
        </w:rPr>
        <w:t>5</w:t>
      </w:r>
      <w:r>
        <w:rPr>
          <w:rFonts w:ascii="SimSun" w:hAnsi="SimSun" w:hint="eastAsia"/>
          <w:sz w:val="21"/>
        </w:rPr>
        <w:t>、</w:t>
      </w:r>
      <w:r w:rsidRPr="00F06EFD">
        <w:rPr>
          <w:rFonts w:ascii="SimSun" w:hAnsi="SimSun"/>
          <w:sz w:val="21"/>
        </w:rPr>
        <w:t>6</w:t>
      </w:r>
      <w:r>
        <w:rPr>
          <w:rFonts w:ascii="SimSun" w:hAnsi="SimSun" w:hint="eastAsia"/>
          <w:sz w:val="21"/>
        </w:rPr>
        <w:t>、</w:t>
      </w:r>
      <w:r w:rsidRPr="00F06EFD">
        <w:rPr>
          <w:rFonts w:ascii="SimSun" w:hAnsi="SimSun"/>
          <w:sz w:val="21"/>
        </w:rPr>
        <w:t>9(ii)</w:t>
      </w:r>
      <w:r>
        <w:rPr>
          <w:rFonts w:ascii="SimSun" w:hAnsi="SimSun" w:hint="eastAsia"/>
          <w:sz w:val="21"/>
        </w:rPr>
        <w:t>、</w:t>
      </w:r>
      <w:r w:rsidRPr="00F06EFD">
        <w:rPr>
          <w:rFonts w:ascii="SimSun" w:hAnsi="SimSun"/>
          <w:sz w:val="21"/>
        </w:rPr>
        <w:t>10</w:t>
      </w:r>
      <w:r>
        <w:rPr>
          <w:rFonts w:ascii="SimSun" w:hAnsi="SimSun" w:hint="eastAsia"/>
          <w:sz w:val="21"/>
        </w:rPr>
        <w:t>、</w:t>
      </w:r>
      <w:r w:rsidRPr="00F06EFD">
        <w:rPr>
          <w:rFonts w:ascii="SimSun" w:hAnsi="SimSun"/>
          <w:sz w:val="21"/>
        </w:rPr>
        <w:t>22</w:t>
      </w:r>
      <w:r>
        <w:rPr>
          <w:rFonts w:ascii="SimSun" w:hAnsi="SimSun" w:hint="eastAsia"/>
          <w:sz w:val="21"/>
        </w:rPr>
        <w:t>、</w:t>
      </w:r>
      <w:r w:rsidRPr="00F06EFD">
        <w:rPr>
          <w:rFonts w:ascii="SimSun" w:hAnsi="SimSun"/>
          <w:sz w:val="21"/>
        </w:rPr>
        <w:t>30</w:t>
      </w:r>
      <w:r>
        <w:rPr>
          <w:rFonts w:ascii="SimSun" w:hAnsi="SimSun" w:hint="eastAsia"/>
          <w:sz w:val="21"/>
        </w:rPr>
        <w:t>和</w:t>
      </w:r>
      <w:r w:rsidRPr="00F06EFD">
        <w:rPr>
          <w:rFonts w:ascii="SimSun" w:hAnsi="SimSun"/>
          <w:sz w:val="21"/>
        </w:rPr>
        <w:t>31</w:t>
      </w:r>
      <w:r w:rsidRPr="00526670">
        <w:rPr>
          <w:rFonts w:ascii="SimSun" w:hAnsi="SimSun" w:hint="eastAsia"/>
          <w:sz w:val="21"/>
        </w:rPr>
        <w:t>项。</w:t>
      </w:r>
    </w:p>
    <w:p w:rsidR="00F06EFD" w:rsidRPr="00526670" w:rsidRDefault="00F06EFD" w:rsidP="00F06EFD">
      <w:pPr>
        <w:numPr>
          <w:ilvl w:val="0"/>
          <w:numId w:val="37"/>
        </w:numPr>
        <w:overflowPunct w:val="0"/>
        <w:spacing w:afterLines="50" w:after="120" w:line="340" w:lineRule="atLeast"/>
        <w:ind w:left="0" w:firstLine="0"/>
        <w:jc w:val="both"/>
        <w:rPr>
          <w:rFonts w:ascii="SimSun" w:hAnsi="SimSun"/>
          <w:sz w:val="21"/>
        </w:rPr>
      </w:pPr>
      <w:r w:rsidRPr="00526670">
        <w:rPr>
          <w:rFonts w:ascii="SimSun" w:hAnsi="SimSun" w:hint="eastAsia"/>
          <w:sz w:val="21"/>
        </w:rPr>
        <w:t>除第</w:t>
      </w:r>
      <w:r w:rsidRPr="00526670">
        <w:rPr>
          <w:rFonts w:ascii="SimSun" w:hAnsi="SimSun"/>
          <w:sz w:val="21"/>
        </w:rPr>
        <w:t>2</w:t>
      </w:r>
      <w:r>
        <w:rPr>
          <w:rFonts w:ascii="SimSun" w:hAnsi="SimSun" w:hint="eastAsia"/>
          <w:sz w:val="21"/>
        </w:rPr>
        <w:t>2</w:t>
      </w:r>
      <w:r w:rsidRPr="00526670">
        <w:rPr>
          <w:rFonts w:ascii="SimSun" w:hAnsi="SimSun" w:hint="eastAsia"/>
          <w:sz w:val="21"/>
        </w:rPr>
        <w:t>项外，关于上述各项的报告均载于总报告</w:t>
      </w:r>
      <w:r>
        <w:rPr>
          <w:rFonts w:ascii="SimSun" w:hAnsi="SimSun" w:hint="eastAsia"/>
          <w:sz w:val="21"/>
        </w:rPr>
        <w:t>（</w:t>
      </w:r>
      <w:r w:rsidRPr="00526670">
        <w:rPr>
          <w:rFonts w:ascii="SimSun" w:hAnsi="SimSun" w:hint="eastAsia"/>
          <w:sz w:val="21"/>
        </w:rPr>
        <w:t>文件A/5</w:t>
      </w:r>
      <w:r>
        <w:rPr>
          <w:rFonts w:ascii="SimSun" w:hAnsi="SimSun" w:hint="eastAsia"/>
          <w:sz w:val="21"/>
        </w:rPr>
        <w:t>6</w:t>
      </w:r>
      <w:r w:rsidRPr="00526670">
        <w:rPr>
          <w:rFonts w:ascii="SimSun" w:hAnsi="SimSun" w:hint="eastAsia"/>
          <w:sz w:val="21"/>
        </w:rPr>
        <w:t>/1</w:t>
      </w:r>
      <w:r>
        <w:rPr>
          <w:rFonts w:ascii="SimSun" w:hAnsi="SimSun" w:hint="eastAsia"/>
          <w:sz w:val="21"/>
        </w:rPr>
        <w:t>7</w:t>
      </w:r>
      <w:bookmarkStart w:id="5" w:name="_GoBack"/>
      <w:bookmarkEnd w:id="5"/>
      <w:r>
        <w:rPr>
          <w:rFonts w:ascii="SimSun" w:hAnsi="SimSun" w:hint="eastAsia"/>
          <w:sz w:val="21"/>
        </w:rPr>
        <w:t>）</w:t>
      </w:r>
      <w:r w:rsidRPr="00526670">
        <w:rPr>
          <w:rFonts w:ascii="SimSun" w:hAnsi="SimSun" w:hint="eastAsia"/>
          <w:sz w:val="21"/>
        </w:rPr>
        <w:t>。</w:t>
      </w:r>
    </w:p>
    <w:p w:rsidR="00F06EFD" w:rsidRPr="00526670" w:rsidRDefault="00F06EFD" w:rsidP="00F06EFD">
      <w:pPr>
        <w:numPr>
          <w:ilvl w:val="0"/>
          <w:numId w:val="37"/>
        </w:numPr>
        <w:overflowPunct w:val="0"/>
        <w:spacing w:afterLines="50" w:after="120" w:line="340" w:lineRule="atLeast"/>
        <w:ind w:left="0" w:firstLine="0"/>
        <w:jc w:val="both"/>
        <w:rPr>
          <w:rFonts w:ascii="SimSun" w:hAnsi="SimSun"/>
          <w:sz w:val="21"/>
        </w:rPr>
      </w:pPr>
      <w:r w:rsidRPr="00526670">
        <w:rPr>
          <w:rFonts w:ascii="SimSun" w:hAnsi="SimSun" w:hint="eastAsia"/>
          <w:sz w:val="21"/>
        </w:rPr>
        <w:t>关于第</w:t>
      </w:r>
      <w:r w:rsidRPr="00526670">
        <w:rPr>
          <w:rFonts w:ascii="SimSun" w:hAnsi="SimSun"/>
          <w:sz w:val="21"/>
        </w:rPr>
        <w:t>2</w:t>
      </w:r>
      <w:r>
        <w:rPr>
          <w:rFonts w:ascii="SimSun" w:hAnsi="SimSun" w:hint="eastAsia"/>
          <w:sz w:val="21"/>
        </w:rPr>
        <w:t>2</w:t>
      </w:r>
      <w:r w:rsidRPr="00526670">
        <w:rPr>
          <w:rFonts w:ascii="SimSun" w:hAnsi="SimSun" w:hint="eastAsia"/>
          <w:sz w:val="21"/>
        </w:rPr>
        <w:t>项的报告载于本文件。</w:t>
      </w:r>
    </w:p>
    <w:p w:rsidR="00F06EFD" w:rsidRPr="00526670" w:rsidRDefault="00791AA1" w:rsidP="00791AA1">
      <w:pPr>
        <w:numPr>
          <w:ilvl w:val="0"/>
          <w:numId w:val="37"/>
        </w:numPr>
        <w:overflowPunct w:val="0"/>
        <w:spacing w:afterLines="50" w:after="120" w:line="340" w:lineRule="atLeast"/>
        <w:ind w:left="0" w:firstLine="0"/>
        <w:jc w:val="both"/>
        <w:rPr>
          <w:rFonts w:ascii="SimSun" w:hAnsi="SimSun"/>
          <w:sz w:val="21"/>
        </w:rPr>
      </w:pPr>
      <w:r w:rsidRPr="00791AA1">
        <w:rPr>
          <w:rFonts w:ascii="SimSun" w:hAnsi="SimSun" w:hint="eastAsia"/>
          <w:sz w:val="21"/>
        </w:rPr>
        <w:t>若昂·皮纳·德莫赖斯先生</w:t>
      </w:r>
      <w:r>
        <w:rPr>
          <w:rFonts w:ascii="SimSun" w:hAnsi="SimSun" w:hint="eastAsia"/>
          <w:sz w:val="21"/>
        </w:rPr>
        <w:t>（葡萄牙）当选</w:t>
      </w:r>
      <w:r w:rsidR="00F06EFD" w:rsidRPr="00526670">
        <w:rPr>
          <w:rFonts w:ascii="SimSun" w:hAnsi="SimSun" w:hint="eastAsia"/>
          <w:sz w:val="21"/>
        </w:rPr>
        <w:t>大会</w:t>
      </w:r>
      <w:r>
        <w:rPr>
          <w:rFonts w:ascii="SimSun" w:hAnsi="SimSun" w:hint="eastAsia"/>
          <w:sz w:val="21"/>
        </w:rPr>
        <w:t>代理主席</w:t>
      </w:r>
      <w:r w:rsidR="00F06EFD" w:rsidRPr="00526670">
        <w:rPr>
          <w:rFonts w:ascii="SimSun" w:hAnsi="SimSun" w:hint="eastAsia"/>
          <w:sz w:val="21"/>
        </w:rPr>
        <w:t>。</w:t>
      </w:r>
    </w:p>
    <w:p w:rsidR="00F06EFD" w:rsidRPr="00526670" w:rsidRDefault="00F06EFD" w:rsidP="00F06EFD">
      <w:pPr>
        <w:rPr>
          <w:rFonts w:ascii="SimHei" w:eastAsia="SimHei" w:hAnsi="SimHei"/>
          <w:bCs/>
          <w:caps/>
          <w:kern w:val="32"/>
          <w:sz w:val="21"/>
          <w:szCs w:val="32"/>
        </w:rPr>
      </w:pPr>
      <w:r w:rsidRPr="00526670">
        <w:rPr>
          <w:rFonts w:ascii="SimHei" w:eastAsia="SimHei" w:hAnsi="SimHei"/>
          <w:b/>
          <w:sz w:val="21"/>
        </w:rPr>
        <w:br w:type="page"/>
      </w:r>
    </w:p>
    <w:p w:rsidR="00F06EFD" w:rsidRPr="00526670" w:rsidRDefault="00F06EFD" w:rsidP="00F06EFD">
      <w:pPr>
        <w:keepNext/>
        <w:spacing w:beforeLines="100" w:before="240" w:line="340" w:lineRule="atLeast"/>
        <w:jc w:val="both"/>
        <w:rPr>
          <w:rFonts w:ascii="KaiTi" w:eastAsia="KaiTi" w:hAnsi="KaiTi"/>
          <w:snapToGrid w:val="0"/>
          <w:sz w:val="21"/>
        </w:rPr>
      </w:pPr>
      <w:r w:rsidRPr="00526670">
        <w:rPr>
          <w:rFonts w:ascii="KaiTi" w:eastAsia="KaiTi" w:hAnsi="KaiTi" w:hint="eastAsia"/>
          <w:snapToGrid w:val="0"/>
          <w:sz w:val="21"/>
        </w:rPr>
        <w:lastRenderedPageBreak/>
        <w:t>统一编排议程第2</w:t>
      </w:r>
      <w:r>
        <w:rPr>
          <w:rFonts w:ascii="KaiTi" w:eastAsia="KaiTi" w:hAnsi="KaiTi" w:hint="eastAsia"/>
          <w:snapToGrid w:val="0"/>
          <w:sz w:val="21"/>
        </w:rPr>
        <w:t>2</w:t>
      </w:r>
      <w:r w:rsidRPr="00526670">
        <w:rPr>
          <w:rFonts w:ascii="KaiTi" w:eastAsia="KaiTi" w:hAnsi="KaiTi" w:hint="eastAsia"/>
          <w:snapToGrid w:val="0"/>
          <w:sz w:val="21"/>
        </w:rPr>
        <w:t>项</w:t>
      </w:r>
    </w:p>
    <w:p w:rsidR="00F06EFD" w:rsidRPr="00526670" w:rsidRDefault="00F06EFD" w:rsidP="00F06EFD">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里斯本</w:t>
      </w:r>
      <w:r w:rsidRPr="00526670">
        <w:rPr>
          <w:rFonts w:ascii="SimHei" w:eastAsia="SimHei" w:hAnsi="SimHei" w:hint="eastAsia"/>
          <w:snapToGrid w:val="0"/>
          <w:sz w:val="21"/>
        </w:rPr>
        <w:t>体系</w:t>
      </w:r>
    </w:p>
    <w:p w:rsidR="00F06EFD" w:rsidRDefault="00F06EFD" w:rsidP="00F06EFD">
      <w:pPr>
        <w:numPr>
          <w:ilvl w:val="0"/>
          <w:numId w:val="37"/>
        </w:numPr>
        <w:overflowPunct w:val="0"/>
        <w:spacing w:afterLines="50" w:after="120" w:line="340" w:lineRule="atLeast"/>
        <w:ind w:left="0" w:firstLine="0"/>
        <w:jc w:val="both"/>
        <w:rPr>
          <w:rFonts w:ascii="SimSun" w:hAnsi="SimSun"/>
          <w:sz w:val="21"/>
          <w:szCs w:val="21"/>
        </w:rPr>
      </w:pPr>
      <w:r w:rsidRPr="00526670">
        <w:rPr>
          <w:rFonts w:ascii="SimSun" w:hAnsi="SimSun" w:hint="eastAsia"/>
          <w:sz w:val="21"/>
          <w:szCs w:val="21"/>
        </w:rPr>
        <w:t>讨论依据</w:t>
      </w:r>
      <w:r w:rsidRPr="00526670">
        <w:rPr>
          <w:rFonts w:ascii="SimSun" w:hAnsi="SimSun" w:hint="eastAsia"/>
          <w:sz w:val="21"/>
        </w:rPr>
        <w:t>文件</w:t>
      </w:r>
      <w:r w:rsidRPr="00526670">
        <w:rPr>
          <w:rFonts w:ascii="SimSun" w:hAnsi="SimSun"/>
          <w:sz w:val="21"/>
        </w:rPr>
        <w:t>LI/A</w:t>
      </w:r>
      <w:r>
        <w:rPr>
          <w:rFonts w:ascii="SimSun" w:hAnsi="SimSun"/>
          <w:sz w:val="21"/>
        </w:rPr>
        <w:t>/3</w:t>
      </w:r>
      <w:r>
        <w:rPr>
          <w:rFonts w:ascii="SimSun" w:hAnsi="SimSun" w:hint="eastAsia"/>
          <w:sz w:val="21"/>
        </w:rPr>
        <w:t>3</w:t>
      </w:r>
      <w:r>
        <w:rPr>
          <w:rFonts w:ascii="SimSun" w:hAnsi="SimSun"/>
          <w:sz w:val="21"/>
        </w:rPr>
        <w:t>/1</w:t>
      </w:r>
      <w:r>
        <w:rPr>
          <w:rFonts w:ascii="SimSun" w:hAnsi="SimSun" w:hint="eastAsia"/>
          <w:sz w:val="21"/>
        </w:rPr>
        <w:t>和</w:t>
      </w:r>
      <w:r w:rsidRPr="00526670">
        <w:rPr>
          <w:rFonts w:ascii="SimSun" w:hAnsi="SimSun"/>
          <w:sz w:val="21"/>
        </w:rPr>
        <w:t>LI/A/3</w:t>
      </w:r>
      <w:r>
        <w:rPr>
          <w:rFonts w:ascii="SimSun" w:hAnsi="SimSun" w:hint="eastAsia"/>
          <w:sz w:val="21"/>
        </w:rPr>
        <w:t>3</w:t>
      </w:r>
      <w:r w:rsidRPr="00526670">
        <w:rPr>
          <w:rFonts w:ascii="SimSun" w:hAnsi="SimSun"/>
          <w:sz w:val="21"/>
        </w:rPr>
        <w:t>/</w:t>
      </w:r>
      <w:r>
        <w:rPr>
          <w:rFonts w:ascii="SimSun" w:hAnsi="SimSun" w:hint="eastAsia"/>
          <w:sz w:val="21"/>
        </w:rPr>
        <w:t>2</w:t>
      </w:r>
      <w:r w:rsidRPr="00526670">
        <w:rPr>
          <w:rFonts w:ascii="SimSun" w:hAnsi="SimSun" w:hint="eastAsia"/>
          <w:sz w:val="21"/>
          <w:szCs w:val="21"/>
        </w:rPr>
        <w:t>进行。</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里斯本联盟大会代理主席回顾了自去年里斯本联盟大会上届会议以来关于里斯本体系的一些发展情况。他首先指出，继哥斯达黎加于2015年10月13日、摩尔多瓦共和国于2016年4月11日签署《里斯本协定日内瓦文本》后，该文本签署总数已增加至15个。其次，他指出，自2015年上届里斯本联盟大会</w:t>
      </w:r>
      <w:r w:rsidRPr="00791AA1">
        <w:rPr>
          <w:rFonts w:ascii="SimSun" w:hAnsi="SimSun" w:hint="eastAsia"/>
          <w:sz w:val="21"/>
        </w:rPr>
        <w:t>以来</w:t>
      </w:r>
      <w:r w:rsidRPr="00791AA1">
        <w:rPr>
          <w:rFonts w:ascii="SimSun" w:hAnsi="SimSun" w:hint="eastAsia"/>
          <w:sz w:val="21"/>
          <w:szCs w:val="21"/>
        </w:rPr>
        <w:t>，已有50项新的国际申请提交到里斯本体系，34项申请来自意大利，16项申请来自伊朗（伊斯兰共和国），使得里斯本体系下的国际注册总数达到1,060项，其中954项已生效。在这方面，他强调，自2009年以来，注册增长率约为14%，来自发展中国家的原产地名称注册份额已从2009年底的7%上升到2015年的10%。他指出，这些数字证实，里斯本成员国</w:t>
      </w:r>
      <w:r w:rsidR="00025CD9">
        <w:rPr>
          <w:rFonts w:ascii="SimSun" w:hAnsi="SimSun" w:hint="eastAsia"/>
          <w:sz w:val="21"/>
          <w:szCs w:val="21"/>
        </w:rPr>
        <w:t>对</w:t>
      </w:r>
      <w:r w:rsidR="00025CD9" w:rsidRPr="00791AA1">
        <w:rPr>
          <w:rFonts w:ascii="SimSun" w:hAnsi="SimSun" w:hint="eastAsia"/>
          <w:sz w:val="21"/>
          <w:szCs w:val="21"/>
        </w:rPr>
        <w:t>里斯本体系内</w:t>
      </w:r>
      <w:r w:rsidRPr="00791AA1">
        <w:rPr>
          <w:rFonts w:ascii="SimSun" w:hAnsi="SimSun" w:hint="eastAsia"/>
          <w:sz w:val="21"/>
          <w:szCs w:val="21"/>
        </w:rPr>
        <w:t>的兴趣被重新激起。谈到议程中包括的两份文件，他指出，第一份文件是“关于里斯本联盟的财务事项”（文件LI/A/33/1），另一份文件则包括“关于里斯本联盟财务事项的提案”（文件LI/A/33/2）。他指出，两份文件将一起讨论，因为它们都涉及里斯本联盟的财务事项，并指出，这些文件反映了里斯本成员国开展的工作，以执行里斯本联盟大会上届会议上达成的任务授权。代理主席邀请制定里斯本协定和里斯本协定日内瓦文本共同实施细则工作组（下称“工作组”）主席介绍题为“关于里斯本</w:t>
      </w:r>
      <w:r w:rsidRPr="00791AA1">
        <w:rPr>
          <w:rFonts w:ascii="SimSun" w:hAnsi="SimSun" w:hint="eastAsia"/>
          <w:sz w:val="21"/>
        </w:rPr>
        <w:t>联盟</w:t>
      </w:r>
      <w:r w:rsidRPr="00791AA1">
        <w:rPr>
          <w:rFonts w:ascii="SimSun" w:hAnsi="SimSun" w:hint="eastAsia"/>
          <w:sz w:val="21"/>
          <w:szCs w:val="21"/>
        </w:rPr>
        <w:t>财务事项的提案”（文件LI/A/33/2）。</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工作组主席回顾，其提案分为两部分。第一部分提到消除里斯本联盟2016/17两年期预计赤字的拟议措施。主席建议里斯本联盟大会注意关于确认支付补助金的发言，并依据2015年里斯本联盟大会的决定，将这些补助金看作2016/17两年期消除里斯本联盟的两年期</w:t>
      </w:r>
      <w:r w:rsidR="00994F67" w:rsidRPr="00791AA1">
        <w:rPr>
          <w:rFonts w:ascii="SimSun" w:hAnsi="SimSun" w:hint="eastAsia"/>
          <w:sz w:val="21"/>
          <w:szCs w:val="21"/>
        </w:rPr>
        <w:t>预计</w:t>
      </w:r>
      <w:r w:rsidRPr="00791AA1">
        <w:rPr>
          <w:rFonts w:ascii="SimSun" w:hAnsi="SimSun" w:hint="eastAsia"/>
          <w:sz w:val="21"/>
          <w:szCs w:val="21"/>
        </w:rPr>
        <w:t>赤字的措施。提案的第二部分是关于里斯本</w:t>
      </w:r>
      <w:r w:rsidRPr="00791AA1">
        <w:rPr>
          <w:rFonts w:ascii="SimSun" w:hAnsi="SimSun" w:hint="eastAsia"/>
          <w:sz w:val="21"/>
        </w:rPr>
        <w:t>联盟</w:t>
      </w:r>
      <w:r w:rsidRPr="00791AA1">
        <w:rPr>
          <w:rFonts w:ascii="SimSun" w:hAnsi="SimSun" w:hint="eastAsia"/>
          <w:sz w:val="21"/>
          <w:szCs w:val="21"/>
        </w:rPr>
        <w:t>长期财务可持续性的提案。根据里斯本联盟成员之间进行的讨论，工作组主席建议里斯本联盟大会决定，对里斯本体系、包括《里斯本协定日内瓦文本》的推广活动予以强调。他还建议里斯本联盟成员继续在单一会费制度的框架内审议建立会费制度，包括计算此种会费的方法，以及监测里斯本费用表。为继续进行此类讨论，他指出，里斯本联盟成员有兴趣利用工作组下届会议和非正式会议。</w:t>
      </w:r>
    </w:p>
    <w:p w:rsidR="00791AA1" w:rsidRPr="00D84CC5" w:rsidRDefault="00C62FA8" w:rsidP="00791AA1">
      <w:pPr>
        <w:numPr>
          <w:ilvl w:val="0"/>
          <w:numId w:val="37"/>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斯洛伐克代表团代表欧洲联盟及其成员国发言，表示它</w:t>
      </w:r>
      <w:r w:rsidR="00791AA1" w:rsidRPr="00D84CC5">
        <w:rPr>
          <w:rFonts w:ascii="SimSun" w:hAnsi="SimSun" w:hint="eastAsia"/>
          <w:sz w:val="21"/>
          <w:szCs w:val="21"/>
        </w:rPr>
        <w:t>充分注意到里斯本成员努力采取措施消除里斯本联盟2016/17两年期预计赤字，还根据上届里斯本联盟大会的决定，审议了里斯本联盟的长期财务活力。在这方面，代表团欢迎在工作组会议以及分别于6月、7月和8月在日内瓦召开的那些会议期间所取得的进展，并呼吁关于里斯本联盟财务支持的新想法，同时也确保充分尊重知识产权每一领域的团结和平等待遇原则。代表团进一步强调了对里斯本体系包括日内瓦文本进行有力、集中推广的重要性，这将突出地理标志的发展潜力，以吸引新的缔约方。关于2016年成员国大会可能通过一些措施以消除本两年期WIPO计划与预算中描述的里斯本联盟预计赤字，代表团指出，欧洲联盟及其成员国已经注意到，在工作组会议期间，一些里斯本联盟成员宣布准备自愿缴款，以消除本两年期里斯本联盟的预计赤字。作为总结，代表团强调了应当将里斯本联盟与WIPO管理的所有其他联盟平等对待的重要性。</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意大利代表团支持斯洛伐克代表团代表欧洲联盟及其成员国所表达的立场，并忆及，2015年WIPO大会决定，里斯本联盟将采取一切可能的措施消除2016/17两年期的预计赤字。在这方面，代表团指出，意大利准备根据《巴黎公约》缴纳其应缴的部分，并</w:t>
      </w:r>
      <w:proofErr w:type="gramStart"/>
      <w:r w:rsidRPr="00791AA1">
        <w:rPr>
          <w:rFonts w:ascii="SimSun" w:hAnsi="SimSun" w:hint="eastAsia"/>
          <w:sz w:val="21"/>
          <w:szCs w:val="21"/>
        </w:rPr>
        <w:t>仍充分</w:t>
      </w:r>
      <w:proofErr w:type="gramEnd"/>
      <w:r w:rsidRPr="00791AA1">
        <w:rPr>
          <w:rFonts w:ascii="SimSun" w:hAnsi="SimSun" w:hint="eastAsia"/>
          <w:sz w:val="21"/>
          <w:szCs w:val="21"/>
        </w:rPr>
        <w:t>致力于提供其积极、具体的支持，为里斯本体系的长期财务可持续性找到解决方案。代表团继续说，在国家层面，他们将继续推广里斯本体系，以鼓励进一步的意大利申请，并忆及，在过去三年间，意大利提交了100项里斯本体系</w:t>
      </w:r>
      <w:r w:rsidRPr="00791AA1">
        <w:rPr>
          <w:rFonts w:ascii="SimSun" w:hAnsi="SimSun" w:hint="eastAsia"/>
          <w:sz w:val="21"/>
          <w:szCs w:val="21"/>
        </w:rPr>
        <w:lastRenderedPageBreak/>
        <w:t>下的申请。关于国际推广活动，代表团重申由国际局、里斯本</w:t>
      </w:r>
      <w:proofErr w:type="gramStart"/>
      <w:r w:rsidRPr="00791AA1">
        <w:rPr>
          <w:rFonts w:ascii="SimSun" w:hAnsi="SimSun" w:hint="eastAsia"/>
          <w:sz w:val="21"/>
          <w:szCs w:val="21"/>
        </w:rPr>
        <w:t>注册部</w:t>
      </w:r>
      <w:proofErr w:type="gramEnd"/>
      <w:r w:rsidRPr="00791AA1">
        <w:rPr>
          <w:rFonts w:ascii="SimSun" w:hAnsi="SimSun" w:hint="eastAsia"/>
          <w:sz w:val="21"/>
          <w:szCs w:val="21"/>
        </w:rPr>
        <w:t>和WIPO驻外办事处赞助的推广活动的重要性。在这方面，代表团提到《WIPO公约》第3条，该条规定，WIPO致力于“通过国家之间的合作并在适当情况下与其他国际组织配合，促进世界范围内的知识产权保护”以及“保证各联盟之间的行政合作”。谈到当天上午早些时候展示的PCT推广短片，代表团认为也可以做些类似的事情来推广里斯本体系。因此，代表团表示，对于不远的将来将要执行的计划，希望能得到更多信息。对于文件A/56/10提到的2016</w:t>
      </w:r>
      <w:r w:rsidR="00C62FA8">
        <w:rPr>
          <w:rFonts w:ascii="SimSun" w:hAnsi="SimSun" w:hint="eastAsia"/>
          <w:sz w:val="21"/>
          <w:szCs w:val="21"/>
        </w:rPr>
        <w:t>–</w:t>
      </w:r>
      <w:r w:rsidRPr="00791AA1">
        <w:rPr>
          <w:rFonts w:ascii="SimSun" w:hAnsi="SimSun" w:hint="eastAsia"/>
          <w:sz w:val="21"/>
          <w:szCs w:val="21"/>
        </w:rPr>
        <w:t>2021年战略计划，代表团重申，《里斯本协定》和《日内瓦文本》都完全应当被纳入战略计划。作为总结，代表团表示，意大利坚信，WIPO及所有相关方的密切协作和共同努力能使《里斯本协定》和《日内瓦文本》对潜在的新成员更具吸引力，这将继而为发展中国家构建一个机会，因为里</w:t>
      </w:r>
      <w:r w:rsidR="00D0571C">
        <w:rPr>
          <w:rFonts w:ascii="SimSun" w:hAnsi="SimSun" w:hint="eastAsia"/>
          <w:sz w:val="21"/>
          <w:szCs w:val="21"/>
        </w:rPr>
        <w:t>斯本体系能够帮助它们保护与其领土有关的产品，并在全球市场中找到</w:t>
      </w:r>
      <w:r w:rsidRPr="00791AA1">
        <w:rPr>
          <w:rFonts w:ascii="SimSun" w:hAnsi="SimSun" w:hint="eastAsia"/>
          <w:sz w:val="21"/>
          <w:szCs w:val="21"/>
        </w:rPr>
        <w:t>自己的位置。</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墨西哥代表团重申其致力于找到解决方案，以确保《里斯本协定》的长期财务可持续性，并欢迎供审议的文件，这些文件对工作组和今年举办的会议中产生的结果作了详细总结。为了处理2016/17两年期的财务赤字，基于墨西哥在2015年成员国大会期间所作的政治承诺，代表团表示，其将继续分解步骤，以便能够进行自愿捐款。为此，墨西哥愿意向里斯本体系，以及向更广泛意义上的WIPO，给出其坚定承诺的积极信号。关于里斯本体系的长期财务可持续性，代表团支持工作组的结论，特别是有关推广里斯本体系、将其作为吸引新缔约方和鼓励额外注册方式的结论。此外，墨西哥将继续与里斯本联盟成员密切合作，以监督和监测收费制度。代表团重申其充分致力于与里斯本联盟</w:t>
      </w:r>
      <w:r w:rsidRPr="00791AA1">
        <w:rPr>
          <w:rFonts w:ascii="SimSun" w:hAnsi="SimSun" w:hint="eastAsia"/>
          <w:sz w:val="21"/>
        </w:rPr>
        <w:t>其他</w:t>
      </w:r>
      <w:r w:rsidRPr="00791AA1">
        <w:rPr>
          <w:rFonts w:ascii="SimSun" w:hAnsi="SimSun" w:hint="eastAsia"/>
          <w:sz w:val="21"/>
          <w:szCs w:val="21"/>
        </w:rPr>
        <w:t>成员一起寻找最好的方法来运用一种机制，以市场条件为基础更新费用，这将帮助提高里斯本联盟的收入，并确保其可</w:t>
      </w:r>
      <w:r w:rsidR="00D0571C">
        <w:rPr>
          <w:rFonts w:ascii="SimSun" w:hAnsi="SimSun" w:hint="eastAsia"/>
          <w:sz w:val="21"/>
          <w:szCs w:val="21"/>
        </w:rPr>
        <w:t>持续性。为此，它们</w:t>
      </w:r>
      <w:r w:rsidRPr="00791AA1">
        <w:rPr>
          <w:rFonts w:ascii="SimSun" w:hAnsi="SimSun" w:hint="eastAsia"/>
          <w:sz w:val="21"/>
          <w:szCs w:val="21"/>
        </w:rPr>
        <w:t>必须确保，要创设的任何</w:t>
      </w:r>
      <w:proofErr w:type="gramStart"/>
      <w:r w:rsidRPr="00791AA1">
        <w:rPr>
          <w:rFonts w:ascii="SimSun" w:hAnsi="SimSun" w:hint="eastAsia"/>
          <w:sz w:val="21"/>
          <w:szCs w:val="21"/>
        </w:rPr>
        <w:t>新费用</w:t>
      </w:r>
      <w:proofErr w:type="gramEnd"/>
      <w:r w:rsidRPr="00791AA1">
        <w:rPr>
          <w:rFonts w:ascii="SimSun" w:hAnsi="SimSun" w:hint="eastAsia"/>
          <w:sz w:val="21"/>
          <w:szCs w:val="21"/>
        </w:rPr>
        <w:t>或者要提高的任何费用对于用户来说不能过于沉重和难以实现，因为这将最终打击他们使用里斯本体系的积极性，继而损害注册的水平和该体系的可持续性。</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法国代表团表示支持此前代表团所作的发言，并表示其非常依附于里斯本体系的良好管理来促进原产地名称保护，以及其尤其致力于实现平衡的预算。因此，代表团欢迎里斯本工作组和非正式会议的结论，这些结论提供了一个机会，一方面来检验里斯本体系的长期财务可持续性，另一方面来解决本两年期的财务赤字。本着这种精神，法国代表团认可继续讨论里斯本联盟活力问题的重要性，并敦促继续召开工作组和非正式会议，以便在接下来几个月为这一问题找到令人满意、充分适合的解决方案。此外，代表团重申其承诺，即根据《里斯本协定》第十一条，通过缴纳特别补助金的方式，加入对该联盟当前赤字的重新吸收。最后，因为其充分了解里斯本联盟自身的利益、可能有兴趣成为里斯本联盟成员的国家的利益，以及全世界该体系用户的利益，代表团敦促秘书处加强其推广活动，因为这些活动与里斯本体系包括《日内瓦文本》都是相关的。</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捷克共和国赞同此前代表团所作的发言，并指出其高度重视里斯本联盟。此外，代表团表示其坚信，使里斯本</w:t>
      </w:r>
      <w:r w:rsidR="00D0571C">
        <w:rPr>
          <w:rFonts w:ascii="SimSun" w:hAnsi="SimSun" w:hint="eastAsia"/>
          <w:sz w:val="21"/>
          <w:szCs w:val="21"/>
        </w:rPr>
        <w:t>体系现代化的《里斯本协定日内瓦文本》将有助于里斯本体系的地理扩张</w:t>
      </w:r>
      <w:r w:rsidRPr="00791AA1">
        <w:rPr>
          <w:rFonts w:ascii="SimSun" w:hAnsi="SimSun" w:hint="eastAsia"/>
          <w:sz w:val="21"/>
          <w:szCs w:val="21"/>
        </w:rPr>
        <w:t>和财务可持续性。在这方面，代表团认为，为吸引新的缔约方，里斯本成员自身和秘书处都有必要加强对里斯本体系的推广。代表团表示其充分支持工作组主席提出的提案，即载于文件LI/A/33/2的“关于里斯本联盟财务事项的提案”，因为其相信该提案的所有内容都代表了对里斯本联盟财务可持续性的最好的选择方案。最后，代表团确认，根据2015年里斯本联盟大会的决定，其准备缴纳适当的财务捐款，以消除本两年期的赤字。</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格鲁吉亚代表团赞同此前代表团所作的发言。</w:t>
      </w:r>
      <w:r w:rsidR="00D0571C">
        <w:rPr>
          <w:rFonts w:ascii="SimSun" w:hAnsi="SimSun" w:hint="eastAsia"/>
          <w:sz w:val="21"/>
          <w:szCs w:val="21"/>
        </w:rPr>
        <w:t>它</w:t>
      </w:r>
      <w:r w:rsidRPr="00791AA1">
        <w:rPr>
          <w:rFonts w:ascii="SimSun" w:hAnsi="SimSun" w:hint="eastAsia"/>
          <w:sz w:val="21"/>
          <w:szCs w:val="21"/>
        </w:rPr>
        <w:t>欢迎</w:t>
      </w:r>
      <w:r w:rsidR="00D0571C">
        <w:rPr>
          <w:rFonts w:ascii="SimSun" w:hAnsi="SimSun" w:hint="eastAsia"/>
          <w:sz w:val="21"/>
          <w:szCs w:val="21"/>
        </w:rPr>
        <w:t>已</w:t>
      </w:r>
      <w:r w:rsidRPr="00791AA1">
        <w:rPr>
          <w:rFonts w:ascii="SimSun" w:hAnsi="SimSun" w:hint="eastAsia"/>
          <w:sz w:val="21"/>
          <w:szCs w:val="21"/>
        </w:rPr>
        <w:t>开展的工作，以</w:t>
      </w:r>
      <w:r w:rsidR="00D0571C">
        <w:rPr>
          <w:rFonts w:ascii="SimSun" w:hAnsi="SimSun" w:hint="eastAsia"/>
          <w:sz w:val="21"/>
          <w:szCs w:val="21"/>
        </w:rPr>
        <w:t>处理</w:t>
      </w:r>
      <w:r w:rsidRPr="00791AA1">
        <w:rPr>
          <w:rFonts w:ascii="SimSun" w:hAnsi="SimSun" w:hint="eastAsia"/>
          <w:sz w:val="21"/>
          <w:szCs w:val="21"/>
        </w:rPr>
        <w:t>里斯本联盟的财务可持续性。代表团支持在工作组</w:t>
      </w:r>
      <w:r w:rsidRPr="00791AA1">
        <w:rPr>
          <w:rFonts w:ascii="SimSun" w:hAnsi="SimSun" w:hint="eastAsia"/>
          <w:sz w:val="21"/>
        </w:rPr>
        <w:t>框架</w:t>
      </w:r>
      <w:r w:rsidRPr="00791AA1">
        <w:rPr>
          <w:rFonts w:ascii="SimSun" w:hAnsi="SimSun" w:hint="eastAsia"/>
          <w:sz w:val="21"/>
          <w:szCs w:val="21"/>
        </w:rPr>
        <w:t>内继续进行讨论，以尽快找到具体的解决方案。最后，代表团强调了与财务可持续性有关的讨论的复杂性。</w:t>
      </w:r>
      <w:r w:rsidR="00D0571C">
        <w:rPr>
          <w:rFonts w:ascii="SimSun" w:hAnsi="SimSun" w:hint="eastAsia"/>
          <w:sz w:val="21"/>
          <w:szCs w:val="21"/>
        </w:rPr>
        <w:t>它表示</w:t>
      </w:r>
      <w:r w:rsidRPr="00791AA1">
        <w:rPr>
          <w:rFonts w:ascii="SimSun" w:hAnsi="SimSun" w:hint="eastAsia"/>
          <w:sz w:val="21"/>
          <w:szCs w:val="21"/>
        </w:rPr>
        <w:t>将根据第十一条履行其财务承诺。</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以色列代表团重申，每一个收费供资联盟，包括里斯本联盟，都应当自给自足。代表团表</w:t>
      </w:r>
      <w:r w:rsidR="00885754">
        <w:rPr>
          <w:rFonts w:ascii="SimSun" w:hAnsi="SimSun" w:hint="eastAsia"/>
          <w:sz w:val="21"/>
          <w:szCs w:val="21"/>
        </w:rPr>
        <w:t>示，作为里斯本联盟成员，以色列准备好</w:t>
      </w:r>
      <w:r w:rsidR="000F520E">
        <w:rPr>
          <w:rFonts w:ascii="SimSun" w:hAnsi="SimSun" w:hint="eastAsia"/>
          <w:sz w:val="21"/>
          <w:szCs w:val="21"/>
        </w:rPr>
        <w:t>为</w:t>
      </w:r>
      <w:r w:rsidR="00885754">
        <w:rPr>
          <w:rFonts w:ascii="SimSun" w:hAnsi="SimSun" w:hint="eastAsia"/>
          <w:sz w:val="21"/>
          <w:szCs w:val="21"/>
        </w:rPr>
        <w:t>弥补里斯本预算赤字</w:t>
      </w:r>
      <w:proofErr w:type="gramStart"/>
      <w:r w:rsidR="000F520E">
        <w:rPr>
          <w:rFonts w:ascii="SimSun" w:hAnsi="SimSun" w:hint="eastAsia"/>
          <w:sz w:val="21"/>
          <w:szCs w:val="21"/>
        </w:rPr>
        <w:t>作出</w:t>
      </w:r>
      <w:proofErr w:type="gramEnd"/>
      <w:r w:rsidR="000F520E">
        <w:rPr>
          <w:rFonts w:ascii="SimSun" w:hAnsi="SimSun" w:hint="eastAsia"/>
          <w:sz w:val="21"/>
          <w:szCs w:val="21"/>
        </w:rPr>
        <w:t>自己的贡献</w:t>
      </w:r>
      <w:r w:rsidR="00885754">
        <w:rPr>
          <w:rFonts w:ascii="SimSun" w:hAnsi="SimSun" w:hint="eastAsia"/>
          <w:sz w:val="21"/>
          <w:szCs w:val="21"/>
        </w:rPr>
        <w:t>。代表团指出，计算自愿捐款数额</w:t>
      </w:r>
      <w:r w:rsidRPr="00791AA1">
        <w:rPr>
          <w:rFonts w:ascii="SimSun" w:hAnsi="SimSun" w:hint="eastAsia"/>
          <w:sz w:val="21"/>
          <w:szCs w:val="21"/>
        </w:rPr>
        <w:t>时应考虑到里斯本体系下的以色列注册数量和巴黎联盟等级。</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伊朗（伊斯兰共和国）代表团支持斯洛伐克代表团代表欧洲联盟及其成员国所作的发言，</w:t>
      </w:r>
      <w:r w:rsidR="00885754">
        <w:rPr>
          <w:rFonts w:ascii="SimSun" w:hAnsi="SimSun" w:hint="eastAsia"/>
          <w:sz w:val="21"/>
          <w:szCs w:val="21"/>
        </w:rPr>
        <w:t>也支持</w:t>
      </w:r>
      <w:r w:rsidRPr="00791AA1">
        <w:rPr>
          <w:rFonts w:ascii="SimSun" w:hAnsi="SimSun" w:hint="eastAsia"/>
          <w:sz w:val="21"/>
          <w:szCs w:val="21"/>
        </w:rPr>
        <w:t>墨西哥、法国、意大利、捷克共和国和格鲁吉亚</w:t>
      </w:r>
      <w:r w:rsidR="00885754">
        <w:rPr>
          <w:rFonts w:ascii="SimSun" w:hAnsi="SimSun" w:hint="eastAsia"/>
          <w:sz w:val="21"/>
          <w:szCs w:val="21"/>
        </w:rPr>
        <w:t>等</w:t>
      </w:r>
      <w:r w:rsidRPr="00791AA1">
        <w:rPr>
          <w:rFonts w:ascii="SimSun" w:hAnsi="SimSun" w:hint="eastAsia"/>
          <w:sz w:val="21"/>
          <w:szCs w:val="21"/>
        </w:rPr>
        <w:t>代表团所作的发言。</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葡萄牙代表团支持斯洛伐克代表团代表欧洲联盟及其成员国所作的发言，以及墨西哥、法国、意大利、捷克共和国和格鲁吉亚</w:t>
      </w:r>
      <w:r w:rsidR="00E32B88">
        <w:rPr>
          <w:rFonts w:ascii="SimSun" w:hAnsi="SimSun" w:hint="eastAsia"/>
          <w:sz w:val="21"/>
          <w:szCs w:val="21"/>
        </w:rPr>
        <w:t>等</w:t>
      </w:r>
      <w:r w:rsidRPr="00791AA1">
        <w:rPr>
          <w:rFonts w:ascii="SimSun" w:hAnsi="SimSun" w:hint="eastAsia"/>
          <w:sz w:val="21"/>
          <w:szCs w:val="21"/>
        </w:rPr>
        <w:t>代表团所作的发言。代表团欢迎制定里斯本协定和里斯本协定日内瓦文本共同实施细则工作组所</w:t>
      </w:r>
      <w:r w:rsidRPr="00791AA1">
        <w:rPr>
          <w:rFonts w:ascii="SimSun" w:hAnsi="SimSun" w:hint="eastAsia"/>
          <w:sz w:val="21"/>
        </w:rPr>
        <w:t>取得</w:t>
      </w:r>
      <w:r w:rsidRPr="00791AA1">
        <w:rPr>
          <w:rFonts w:ascii="SimSun" w:hAnsi="SimSun" w:hint="eastAsia"/>
          <w:sz w:val="21"/>
          <w:szCs w:val="21"/>
        </w:rPr>
        <w:t>的进展，以基于所有知识产权的团结和平等待遇原则，改善长期和短期内的财务状况。关于2016/17两年期赤字，葡萄牙代表团表示</w:t>
      </w:r>
      <w:r w:rsidR="00E32B88">
        <w:rPr>
          <w:rFonts w:ascii="SimSun" w:hAnsi="SimSun" w:hint="eastAsia"/>
          <w:sz w:val="21"/>
          <w:szCs w:val="21"/>
        </w:rPr>
        <w:t>已</w:t>
      </w:r>
      <w:r w:rsidRPr="00791AA1">
        <w:rPr>
          <w:rFonts w:ascii="SimSun" w:hAnsi="SimSun" w:hint="eastAsia"/>
          <w:sz w:val="21"/>
          <w:szCs w:val="21"/>
        </w:rPr>
        <w:t>积极参与了工作组讨论，</w:t>
      </w:r>
      <w:r w:rsidR="00E32B88">
        <w:rPr>
          <w:rFonts w:ascii="SimSun" w:hAnsi="SimSun" w:hint="eastAsia"/>
          <w:sz w:val="21"/>
          <w:szCs w:val="21"/>
        </w:rPr>
        <w:t>并将履行其作为</w:t>
      </w:r>
      <w:r w:rsidRPr="00791AA1">
        <w:rPr>
          <w:rFonts w:ascii="SimSun" w:hAnsi="SimSun" w:hint="eastAsia"/>
          <w:sz w:val="21"/>
          <w:szCs w:val="21"/>
        </w:rPr>
        <w:t>里斯本成员</w:t>
      </w:r>
      <w:r w:rsidR="00E32B88">
        <w:rPr>
          <w:rFonts w:ascii="SimSun" w:hAnsi="SimSun" w:hint="eastAsia"/>
          <w:sz w:val="21"/>
          <w:szCs w:val="21"/>
        </w:rPr>
        <w:t>的</w:t>
      </w:r>
      <w:r w:rsidRPr="00791AA1">
        <w:rPr>
          <w:rFonts w:ascii="SimSun" w:hAnsi="SimSun" w:hint="eastAsia"/>
          <w:sz w:val="21"/>
          <w:szCs w:val="21"/>
        </w:rPr>
        <w:t>责任。在这一背景下，代表团保证将参与联合努力，以</w:t>
      </w:r>
      <w:r w:rsidR="00646862">
        <w:rPr>
          <w:rFonts w:ascii="SimSun" w:hAnsi="SimSun" w:hint="eastAsia"/>
          <w:sz w:val="21"/>
          <w:szCs w:val="21"/>
        </w:rPr>
        <w:t>弥补</w:t>
      </w:r>
      <w:r w:rsidRPr="00791AA1">
        <w:rPr>
          <w:rFonts w:ascii="SimSun" w:hAnsi="SimSun" w:hint="eastAsia"/>
          <w:sz w:val="21"/>
          <w:szCs w:val="21"/>
        </w:rPr>
        <w:t>两年期</w:t>
      </w:r>
      <w:r w:rsidR="00646862">
        <w:rPr>
          <w:rFonts w:ascii="SimSun" w:hAnsi="SimSun" w:hint="eastAsia"/>
          <w:sz w:val="21"/>
          <w:szCs w:val="21"/>
        </w:rPr>
        <w:t>预计</w:t>
      </w:r>
      <w:r w:rsidRPr="00791AA1">
        <w:rPr>
          <w:rFonts w:ascii="SimSun" w:hAnsi="SimSun" w:hint="eastAsia"/>
          <w:sz w:val="21"/>
          <w:szCs w:val="21"/>
        </w:rPr>
        <w:t>赤字，正如《里斯本协定》第十一条第</w:t>
      </w:r>
      <w:r w:rsidR="00652AC2">
        <w:rPr>
          <w:rFonts w:ascii="SimSun" w:hAnsi="SimSun" w:hint="eastAsia"/>
          <w:sz w:val="21"/>
          <w:szCs w:val="21"/>
        </w:rPr>
        <w:t>(三)款</w:t>
      </w:r>
      <w:r w:rsidRPr="00791AA1">
        <w:rPr>
          <w:rFonts w:ascii="SimSun" w:hAnsi="SimSun" w:hint="eastAsia"/>
          <w:sz w:val="21"/>
          <w:szCs w:val="21"/>
        </w:rPr>
        <w:t>第3项所规定的那样。</w:t>
      </w:r>
      <w:r w:rsidR="00615167">
        <w:rPr>
          <w:rFonts w:ascii="SimSun" w:hAnsi="SimSun" w:hint="eastAsia"/>
          <w:sz w:val="21"/>
          <w:szCs w:val="21"/>
        </w:rPr>
        <w:t>提及</w:t>
      </w:r>
      <w:r w:rsidRPr="00791AA1">
        <w:rPr>
          <w:rFonts w:ascii="SimSun" w:hAnsi="SimSun" w:hint="eastAsia"/>
          <w:sz w:val="21"/>
          <w:szCs w:val="21"/>
        </w:rPr>
        <w:t>长期赤字</w:t>
      </w:r>
      <w:r w:rsidR="00615167">
        <w:rPr>
          <w:rFonts w:ascii="SimSun" w:hAnsi="SimSun" w:hint="eastAsia"/>
          <w:sz w:val="21"/>
          <w:szCs w:val="21"/>
        </w:rPr>
        <w:t>时</w:t>
      </w:r>
      <w:r w:rsidRPr="00791AA1">
        <w:rPr>
          <w:rFonts w:ascii="SimSun" w:hAnsi="SimSun" w:hint="eastAsia"/>
          <w:sz w:val="21"/>
          <w:szCs w:val="21"/>
        </w:rPr>
        <w:t>，代表团</w:t>
      </w:r>
      <w:r w:rsidR="00615167">
        <w:rPr>
          <w:rFonts w:ascii="SimSun" w:hAnsi="SimSun" w:hint="eastAsia"/>
          <w:sz w:val="21"/>
          <w:szCs w:val="21"/>
        </w:rPr>
        <w:t>称</w:t>
      </w:r>
      <w:r w:rsidRPr="00791AA1">
        <w:rPr>
          <w:rFonts w:ascii="SimSun" w:hAnsi="SimSun" w:hint="eastAsia"/>
          <w:sz w:val="21"/>
          <w:szCs w:val="21"/>
        </w:rPr>
        <w:t>将继续讨论可能的解决方案，以避免系统性使用特殊机制来解决赤字。关于可能的解决方案，代表团</w:t>
      </w:r>
      <w:r w:rsidR="00615167">
        <w:rPr>
          <w:rFonts w:ascii="SimSun" w:hAnsi="SimSun" w:hint="eastAsia"/>
          <w:sz w:val="21"/>
          <w:szCs w:val="21"/>
        </w:rPr>
        <w:t>表示，将继续评估各种方案，同时牢记地理标志的特殊属性</w:t>
      </w:r>
      <w:r w:rsidRPr="00791AA1">
        <w:rPr>
          <w:rFonts w:ascii="SimSun" w:hAnsi="SimSun" w:hint="eastAsia"/>
          <w:sz w:val="21"/>
          <w:szCs w:val="21"/>
        </w:rPr>
        <w:t>。因此，</w:t>
      </w:r>
      <w:r w:rsidR="00615167">
        <w:rPr>
          <w:rFonts w:ascii="SimSun" w:hAnsi="SimSun" w:hint="eastAsia"/>
          <w:sz w:val="21"/>
          <w:szCs w:val="21"/>
        </w:rPr>
        <w:t>它</w:t>
      </w:r>
      <w:r w:rsidRPr="00791AA1">
        <w:rPr>
          <w:rFonts w:ascii="SimSun" w:hAnsi="SimSun" w:hint="eastAsia"/>
          <w:sz w:val="21"/>
          <w:szCs w:val="21"/>
        </w:rPr>
        <w:t>将继续讨论可能的方法，以计算各自的捐款数额以及可能对费用进行审查。代表团坚决支持对里斯本体系的推广，以扩展成员和用户量，因为</w:t>
      </w:r>
      <w:r w:rsidR="00615167">
        <w:rPr>
          <w:rFonts w:ascii="SimSun" w:hAnsi="SimSun" w:hint="eastAsia"/>
          <w:sz w:val="21"/>
          <w:szCs w:val="21"/>
        </w:rPr>
        <w:t>它</w:t>
      </w:r>
      <w:r w:rsidRPr="00791AA1">
        <w:rPr>
          <w:rFonts w:ascii="SimSun" w:hAnsi="SimSun" w:hint="eastAsia"/>
          <w:sz w:val="21"/>
          <w:szCs w:val="21"/>
        </w:rPr>
        <w:t>相信，进一步的推广还将有助于改善财务状况，并对收入水平产生积极影响。最后，代表团表示，这些推广活动不仅应由里斯本成员国开展，也应由WIPO开展。</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黑山代表团表示支持斯洛伐克代表团代表欧洲联盟及其成员国，以及意大利、墨西哥、法国、捷克共和国、格鲁吉亚和葡萄牙</w:t>
      </w:r>
      <w:r w:rsidR="00615167">
        <w:rPr>
          <w:rFonts w:ascii="SimSun" w:hAnsi="SimSun" w:hint="eastAsia"/>
          <w:sz w:val="21"/>
          <w:szCs w:val="21"/>
        </w:rPr>
        <w:t>等</w:t>
      </w:r>
      <w:r w:rsidRPr="00791AA1">
        <w:rPr>
          <w:rFonts w:ascii="SimSun" w:hAnsi="SimSun" w:hint="eastAsia"/>
          <w:sz w:val="21"/>
          <w:szCs w:val="21"/>
        </w:rPr>
        <w:t>代表团所持的立场。代表团忆及，里斯本联盟是WIPO管理的一个特别联盟，根据《WIPO</w:t>
      </w:r>
      <w:r w:rsidR="00615167">
        <w:rPr>
          <w:rFonts w:ascii="SimSun" w:hAnsi="SimSun" w:hint="eastAsia"/>
          <w:sz w:val="21"/>
          <w:szCs w:val="21"/>
        </w:rPr>
        <w:t>公约》第4</w:t>
      </w:r>
      <w:r w:rsidRPr="00791AA1">
        <w:rPr>
          <w:rFonts w:ascii="SimSun" w:hAnsi="SimSun" w:hint="eastAsia"/>
          <w:sz w:val="21"/>
          <w:szCs w:val="21"/>
        </w:rPr>
        <w:t>条第(ii)款，其与其他联盟应当是平等的。黑山代表团表示已准备好</w:t>
      </w:r>
      <w:r w:rsidR="00615167">
        <w:rPr>
          <w:rFonts w:ascii="SimSun" w:hAnsi="SimSun" w:hint="eastAsia"/>
          <w:sz w:val="21"/>
          <w:szCs w:val="21"/>
        </w:rPr>
        <w:t>对</w:t>
      </w:r>
      <w:r w:rsidRPr="00791AA1">
        <w:rPr>
          <w:rFonts w:ascii="SimSun" w:hAnsi="SimSun" w:hint="eastAsia"/>
          <w:sz w:val="21"/>
          <w:szCs w:val="21"/>
        </w:rPr>
        <w:t>里斯本联盟</w:t>
      </w:r>
      <w:r w:rsidR="00615167">
        <w:rPr>
          <w:rFonts w:ascii="SimSun" w:hAnsi="SimSun" w:hint="eastAsia"/>
          <w:sz w:val="21"/>
          <w:szCs w:val="21"/>
        </w:rPr>
        <w:t>予以支持</w:t>
      </w:r>
      <w:r w:rsidRPr="00791AA1">
        <w:rPr>
          <w:rFonts w:ascii="SimSun" w:hAnsi="SimSun" w:hint="eastAsia"/>
          <w:sz w:val="21"/>
          <w:szCs w:val="21"/>
        </w:rPr>
        <w:t>。在这方面，代表团说，</w:t>
      </w:r>
      <w:r w:rsidR="00615167">
        <w:rPr>
          <w:rFonts w:ascii="SimSun" w:hAnsi="SimSun" w:hint="eastAsia"/>
          <w:sz w:val="21"/>
          <w:szCs w:val="21"/>
        </w:rPr>
        <w:t>将根据《里斯本协定》第十一条，编拟</w:t>
      </w:r>
      <w:r w:rsidRPr="00791AA1">
        <w:rPr>
          <w:rFonts w:ascii="SimSun" w:hAnsi="SimSun" w:hint="eastAsia"/>
          <w:sz w:val="21"/>
          <w:szCs w:val="21"/>
        </w:rPr>
        <w:t>一</w:t>
      </w:r>
      <w:r w:rsidR="00615167">
        <w:rPr>
          <w:rFonts w:ascii="SimSun" w:hAnsi="SimSun" w:hint="eastAsia"/>
          <w:sz w:val="21"/>
          <w:szCs w:val="21"/>
        </w:rPr>
        <w:t>项</w:t>
      </w:r>
      <w:r w:rsidRPr="00791AA1">
        <w:rPr>
          <w:rFonts w:ascii="SimSun" w:hAnsi="SimSun" w:hint="eastAsia"/>
          <w:sz w:val="21"/>
          <w:szCs w:val="21"/>
        </w:rPr>
        <w:t>关于补助金的提案，并提交给其政府进行审议和通过。</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斯洛伐克代表团以其本国名义发言，支持此前发言人，并强调有必要开展进一步推广来促进里斯本体系的活力，以</w:t>
      </w:r>
      <w:r w:rsidRPr="00791AA1">
        <w:rPr>
          <w:rFonts w:ascii="SimSun" w:hAnsi="SimSun" w:hint="eastAsia"/>
          <w:sz w:val="21"/>
        </w:rPr>
        <w:t>吸引</w:t>
      </w:r>
      <w:r w:rsidRPr="00791AA1">
        <w:rPr>
          <w:rFonts w:ascii="SimSun" w:hAnsi="SimSun" w:hint="eastAsia"/>
          <w:sz w:val="21"/>
          <w:szCs w:val="21"/>
        </w:rPr>
        <w:t>新的缔约方并进一步发展该体系。</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匈牙利代表团赞同斯洛伐克代表团代表欧洲联盟及其成员国所作的发言，以及意大利、墨西哥、法国和捷克共和国等代表团所作的发言。关于里斯本体系的财务可持续性，代表团支持里斯本工作组主席的提案。</w:t>
      </w:r>
      <w:r w:rsidRPr="00791AA1">
        <w:rPr>
          <w:rFonts w:ascii="SimSun" w:hAnsi="SimSun" w:hint="eastAsia"/>
          <w:sz w:val="21"/>
        </w:rPr>
        <w:t>代表团</w:t>
      </w:r>
      <w:r w:rsidRPr="00791AA1">
        <w:rPr>
          <w:rFonts w:ascii="SimSun" w:hAnsi="SimSun" w:hint="eastAsia"/>
          <w:sz w:val="21"/>
          <w:szCs w:val="21"/>
        </w:rPr>
        <w:t>表示</w:t>
      </w:r>
      <w:r w:rsidR="009E60F5">
        <w:rPr>
          <w:rFonts w:ascii="SimSun" w:hAnsi="SimSun" w:hint="eastAsia"/>
          <w:sz w:val="21"/>
          <w:szCs w:val="21"/>
        </w:rPr>
        <w:t>，</w:t>
      </w:r>
      <w:r w:rsidRPr="00791AA1">
        <w:rPr>
          <w:rFonts w:ascii="SimSun" w:hAnsi="SimSun" w:hint="eastAsia"/>
          <w:sz w:val="21"/>
          <w:szCs w:val="21"/>
        </w:rPr>
        <w:t>欢迎里斯本联盟许多成员国提供的自愿捐款，并仍将致力于找到合理、平衡的解决方案，以确保里斯本体系的长期财务可持续性。代表团强调对于当前的里斯本体系、包括《日内瓦文本》加强推广的重要性，以吸引新的缔约方。</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塞尔维亚代表团指出，其充分支持工作组主席编拟的“关于里斯本联盟财务事项的提案”。代表团支持更好地推广里斯本体系的倡议，以吸引新的缔约方。在这方面，代表团呼吁WIPO加强推广地理标志和里斯本体系的活动。代表团指出，</w:t>
      </w:r>
      <w:r w:rsidR="00F2293D" w:rsidRPr="00791AA1">
        <w:rPr>
          <w:rFonts w:ascii="SimSun" w:hAnsi="SimSun" w:hint="eastAsia"/>
          <w:sz w:val="21"/>
          <w:szCs w:val="21"/>
        </w:rPr>
        <w:t>除其他外，</w:t>
      </w:r>
      <w:r w:rsidRPr="00791AA1">
        <w:rPr>
          <w:rFonts w:ascii="SimSun" w:hAnsi="SimSun" w:hint="eastAsia"/>
          <w:sz w:val="21"/>
          <w:szCs w:val="21"/>
        </w:rPr>
        <w:t>这些活动</w:t>
      </w:r>
      <w:r w:rsidR="009E60F5">
        <w:rPr>
          <w:rFonts w:ascii="SimSun" w:hAnsi="SimSun" w:hint="eastAsia"/>
          <w:sz w:val="21"/>
          <w:szCs w:val="21"/>
        </w:rPr>
        <w:t>应</w:t>
      </w:r>
      <w:r w:rsidRPr="00791AA1">
        <w:rPr>
          <w:rFonts w:ascii="SimSun" w:hAnsi="SimSun" w:hint="eastAsia"/>
          <w:sz w:val="21"/>
          <w:szCs w:val="21"/>
        </w:rPr>
        <w:t>包括在WIPO</w:t>
      </w:r>
      <w:r w:rsidR="009E60F5">
        <w:rPr>
          <w:rFonts w:ascii="SimSun" w:hAnsi="SimSun" w:hint="eastAsia"/>
          <w:sz w:val="21"/>
          <w:szCs w:val="21"/>
        </w:rPr>
        <w:t>网站上进一步提高</w:t>
      </w:r>
      <w:r w:rsidRPr="00791AA1">
        <w:rPr>
          <w:rFonts w:ascii="SimSun" w:hAnsi="SimSun" w:hint="eastAsia"/>
          <w:sz w:val="21"/>
          <w:szCs w:val="21"/>
        </w:rPr>
        <w:t>地理标志和里斯本体系</w:t>
      </w:r>
      <w:r w:rsidR="009E60F5">
        <w:rPr>
          <w:rFonts w:ascii="SimSun" w:hAnsi="SimSun" w:hint="eastAsia"/>
          <w:sz w:val="21"/>
          <w:szCs w:val="21"/>
        </w:rPr>
        <w:t>的可见度</w:t>
      </w:r>
      <w:r w:rsidRPr="00791AA1">
        <w:rPr>
          <w:rFonts w:ascii="SimSun" w:hAnsi="SimSun" w:hint="eastAsia"/>
          <w:sz w:val="21"/>
          <w:szCs w:val="21"/>
        </w:rPr>
        <w:t>。关于里斯本体系的可持续性，代表团强调，地理标志不能与其他知识产权进行比较。代表团说，每个国家的地理标志的数量都相对较小，但是对国家经济来说却很重要。因此，代表团认为应当解决里斯本体系的财务可持续性问题，并以团结原则作为指导原则。塞尔维亚代表团</w:t>
      </w:r>
      <w:r w:rsidR="00EB555D">
        <w:rPr>
          <w:rFonts w:ascii="SimSun" w:hAnsi="SimSun" w:hint="eastAsia"/>
          <w:sz w:val="21"/>
          <w:szCs w:val="21"/>
        </w:rPr>
        <w:t>表示</w:t>
      </w:r>
      <w:r w:rsidRPr="00791AA1">
        <w:rPr>
          <w:rFonts w:ascii="SimSun" w:hAnsi="SimSun" w:hint="eastAsia"/>
          <w:sz w:val="21"/>
          <w:szCs w:val="21"/>
        </w:rPr>
        <w:t>将积极参与里斯本联盟及其工作组的未来工作。</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日本代表团表示赞赏文件LI/A/33/2中关于解决里斯本联盟财务可持续性的提案。但代表团说此种方案并不具体。代表团表示，希望里斯本联盟成员能够推进对该问题的讨论，以使该提案更加具体，在不远的将来能够落实。关于第8段第</w:t>
      </w:r>
      <w:r w:rsidR="00EB555D">
        <w:rPr>
          <w:rFonts w:ascii="SimSun" w:hAnsi="SimSun" w:hint="eastAsia"/>
          <w:sz w:val="21"/>
          <w:szCs w:val="21"/>
        </w:rPr>
        <w:t>2点</w:t>
      </w:r>
      <w:r w:rsidRPr="00791AA1">
        <w:rPr>
          <w:rFonts w:ascii="SimSun" w:hAnsi="SimSun" w:hint="eastAsia"/>
          <w:sz w:val="21"/>
          <w:szCs w:val="21"/>
        </w:rPr>
        <w:t>，代表团要求澄清“在单一会费制度框架内建立会费制度”的含义。代表团对</w:t>
      </w:r>
      <w:r w:rsidR="00EB555D">
        <w:rPr>
          <w:rFonts w:ascii="SimSun" w:hAnsi="SimSun" w:hint="eastAsia"/>
          <w:sz w:val="21"/>
          <w:szCs w:val="21"/>
        </w:rPr>
        <w:t>这点</w:t>
      </w:r>
      <w:r w:rsidRPr="00791AA1">
        <w:rPr>
          <w:rFonts w:ascii="SimSun" w:hAnsi="SimSun" w:hint="eastAsia"/>
          <w:sz w:val="21"/>
          <w:szCs w:val="21"/>
        </w:rPr>
        <w:t>将对现行单一会费制度产生的影响表示关注。代表团表示，不同意在财务公正和透明的时代，将单一会费制度的资金转移到里斯本联盟。</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美利坚合众国代表团说，其赞赏里斯本联盟采取措施、为该联盟的短期和长期财务状况探索解决</w:t>
      </w:r>
      <w:r w:rsidR="00EB555D">
        <w:rPr>
          <w:rFonts w:ascii="SimSun" w:hAnsi="SimSun" w:hint="eastAsia"/>
          <w:sz w:val="21"/>
          <w:szCs w:val="21"/>
        </w:rPr>
        <w:t>方案。代表团注意到计划进行捐款的里斯本成员所作的发言。代表团称</w:t>
      </w:r>
      <w:r w:rsidRPr="00791AA1">
        <w:rPr>
          <w:rFonts w:ascii="SimSun" w:hAnsi="SimSun" w:hint="eastAsia"/>
          <w:sz w:val="21"/>
          <w:szCs w:val="21"/>
        </w:rPr>
        <w:t>其听到很多里斯本成员关于加强推广该体系的呼</w:t>
      </w:r>
      <w:r w:rsidR="00EB555D">
        <w:rPr>
          <w:rFonts w:ascii="SimSun" w:hAnsi="SimSun" w:hint="eastAsia"/>
          <w:sz w:val="21"/>
          <w:szCs w:val="21"/>
        </w:rPr>
        <w:t>声</w:t>
      </w:r>
      <w:r w:rsidRPr="00791AA1">
        <w:rPr>
          <w:rFonts w:ascii="SimSun" w:hAnsi="SimSun" w:hint="eastAsia"/>
          <w:sz w:val="21"/>
          <w:szCs w:val="21"/>
        </w:rPr>
        <w:t>，</w:t>
      </w:r>
      <w:r w:rsidR="00EB555D">
        <w:rPr>
          <w:rFonts w:ascii="SimSun" w:hAnsi="SimSun" w:hint="eastAsia"/>
          <w:sz w:val="21"/>
          <w:szCs w:val="21"/>
        </w:rPr>
        <w:t>也听到许多</w:t>
      </w:r>
      <w:r w:rsidRPr="00791AA1">
        <w:rPr>
          <w:rFonts w:ascii="SimSun" w:hAnsi="SimSun" w:hint="eastAsia"/>
          <w:sz w:val="21"/>
          <w:szCs w:val="21"/>
        </w:rPr>
        <w:t>关于更多推广有助于解决财务问题的发言。代表团表示，如果该条约</w:t>
      </w:r>
      <w:r w:rsidR="00EB555D">
        <w:rPr>
          <w:rFonts w:ascii="SimSun" w:hAnsi="SimSun" w:hint="eastAsia"/>
          <w:sz w:val="21"/>
          <w:szCs w:val="21"/>
        </w:rPr>
        <w:t>当初</w:t>
      </w:r>
      <w:r w:rsidRPr="00791AA1">
        <w:rPr>
          <w:rFonts w:ascii="SimSun" w:hAnsi="SimSun" w:hint="eastAsia"/>
          <w:sz w:val="21"/>
          <w:szCs w:val="21"/>
        </w:rPr>
        <w:t>是以真正吸引额外成员的方式制定的，那么</w:t>
      </w:r>
      <w:r w:rsidR="00EB555D">
        <w:rPr>
          <w:rFonts w:ascii="SimSun" w:hAnsi="SimSun" w:hint="eastAsia"/>
          <w:sz w:val="21"/>
          <w:szCs w:val="21"/>
        </w:rPr>
        <w:t>它本来</w:t>
      </w:r>
      <w:r w:rsidRPr="00791AA1">
        <w:rPr>
          <w:rFonts w:ascii="SimSun" w:hAnsi="SimSun" w:hint="eastAsia"/>
          <w:sz w:val="21"/>
          <w:szCs w:val="21"/>
        </w:rPr>
        <w:t>能够理解这种角度。然而，代表团认为，没有WIPO全部成员参与而对体系进行修改，将导致这一结果，即可能因为这种非包容性的方法，使得该体系的吸引力很有限。代表团坚信，在</w:t>
      </w:r>
      <w:r w:rsidR="00EB555D">
        <w:rPr>
          <w:rFonts w:ascii="SimSun" w:hAnsi="SimSun" w:hint="eastAsia"/>
          <w:sz w:val="21"/>
          <w:szCs w:val="21"/>
        </w:rPr>
        <w:t>对</w:t>
      </w:r>
      <w:r w:rsidR="00EB555D" w:rsidRPr="00791AA1">
        <w:rPr>
          <w:rFonts w:ascii="SimSun" w:hAnsi="SimSun" w:hint="eastAsia"/>
          <w:sz w:val="21"/>
          <w:szCs w:val="21"/>
        </w:rPr>
        <w:t>地理标志体系</w:t>
      </w:r>
      <w:r w:rsidR="00EB555D">
        <w:rPr>
          <w:rFonts w:ascii="SimSun" w:hAnsi="SimSun" w:hint="eastAsia"/>
          <w:sz w:val="21"/>
          <w:szCs w:val="21"/>
        </w:rPr>
        <w:t>进行</w:t>
      </w:r>
      <w:r w:rsidRPr="00791AA1">
        <w:rPr>
          <w:rFonts w:ascii="SimSun" w:hAnsi="SimSun" w:hint="eastAsia"/>
          <w:sz w:val="21"/>
          <w:szCs w:val="21"/>
        </w:rPr>
        <w:t>内部和外部推广方面，无论是通过技术援助活动、在WIPO网站上，还是在委员会讨论、尤其是在商标、外观设计和地理标志常设委员会（SCT）讨论中推广，WIPO</w:t>
      </w:r>
      <w:r w:rsidR="00EB555D">
        <w:rPr>
          <w:rFonts w:ascii="SimSun" w:hAnsi="SimSun" w:hint="eastAsia"/>
          <w:sz w:val="21"/>
          <w:szCs w:val="21"/>
        </w:rPr>
        <w:t>都有必要采取一种兼顾各方</w:t>
      </w:r>
      <w:r w:rsidRPr="00791AA1">
        <w:rPr>
          <w:rFonts w:ascii="SimSun" w:hAnsi="SimSun" w:hint="eastAsia"/>
          <w:sz w:val="21"/>
          <w:szCs w:val="21"/>
        </w:rPr>
        <w:t>的方法，并因此鼓励</w:t>
      </w:r>
      <w:r w:rsidR="00EB555D">
        <w:rPr>
          <w:rFonts w:ascii="SimSun" w:hAnsi="SimSun" w:hint="eastAsia"/>
          <w:sz w:val="21"/>
          <w:szCs w:val="21"/>
        </w:rPr>
        <w:t>兼顾各方</w:t>
      </w:r>
      <w:r w:rsidRPr="00791AA1">
        <w:rPr>
          <w:rFonts w:ascii="SimSun" w:hAnsi="SimSun" w:hint="eastAsia"/>
          <w:sz w:val="21"/>
          <w:szCs w:val="21"/>
        </w:rPr>
        <w:t>的讨论。代表团认为，如果对于那些对国际地理标志保护感兴趣的人来说，里斯本体系必须作为一种选择方案提出，那么其将必须作为全面、平衡讨论的一部分。关于会费制度，代表团说，单一会费制度并不</w:t>
      </w:r>
      <w:r w:rsidR="00EB555D">
        <w:rPr>
          <w:rFonts w:ascii="SimSun" w:hAnsi="SimSun" w:hint="eastAsia"/>
          <w:sz w:val="21"/>
          <w:szCs w:val="21"/>
        </w:rPr>
        <w:t>为</w:t>
      </w:r>
      <w:r w:rsidRPr="00791AA1">
        <w:rPr>
          <w:rFonts w:ascii="SimSun" w:hAnsi="SimSun" w:hint="eastAsia"/>
          <w:sz w:val="21"/>
          <w:szCs w:val="21"/>
        </w:rPr>
        <w:t>收费供资联盟</w:t>
      </w:r>
      <w:r w:rsidR="00EB555D">
        <w:rPr>
          <w:rFonts w:ascii="SimSun" w:hAnsi="SimSun" w:hint="eastAsia"/>
          <w:sz w:val="21"/>
          <w:szCs w:val="21"/>
        </w:rPr>
        <w:t>供资</w:t>
      </w:r>
      <w:r w:rsidRPr="00791AA1">
        <w:rPr>
          <w:rFonts w:ascii="SimSun" w:hAnsi="SimSun" w:hint="eastAsia"/>
          <w:sz w:val="21"/>
          <w:szCs w:val="21"/>
        </w:rPr>
        <w:t>，即PCT、马德里、海牙和里斯本</w:t>
      </w:r>
      <w:r w:rsidR="00EB555D">
        <w:rPr>
          <w:rFonts w:ascii="SimSun" w:hAnsi="SimSun" w:hint="eastAsia"/>
          <w:sz w:val="21"/>
          <w:szCs w:val="21"/>
        </w:rPr>
        <w:t>各联盟</w:t>
      </w:r>
      <w:r w:rsidRPr="00791AA1">
        <w:rPr>
          <w:rFonts w:ascii="SimSun" w:hAnsi="SimSun" w:hint="eastAsia"/>
          <w:sz w:val="21"/>
          <w:szCs w:val="21"/>
        </w:rPr>
        <w:t>，而是</w:t>
      </w:r>
      <w:r w:rsidR="00EB555D">
        <w:rPr>
          <w:rFonts w:ascii="SimSun" w:hAnsi="SimSun" w:hint="eastAsia"/>
          <w:sz w:val="21"/>
          <w:szCs w:val="21"/>
        </w:rPr>
        <w:t>为</w:t>
      </w:r>
      <w:proofErr w:type="gramStart"/>
      <w:r w:rsidRPr="00791AA1">
        <w:rPr>
          <w:rFonts w:ascii="SimSun" w:hAnsi="SimSun" w:hint="eastAsia"/>
          <w:sz w:val="21"/>
          <w:szCs w:val="21"/>
        </w:rPr>
        <w:t>洛迦</w:t>
      </w:r>
      <w:proofErr w:type="gramEnd"/>
      <w:r w:rsidRPr="00791AA1">
        <w:rPr>
          <w:rFonts w:ascii="SimSun" w:hAnsi="SimSun" w:hint="eastAsia"/>
          <w:sz w:val="21"/>
          <w:szCs w:val="21"/>
        </w:rPr>
        <w:t>诺、尼斯、布达佩斯等其他联盟</w:t>
      </w:r>
      <w:r w:rsidR="00EB555D">
        <w:rPr>
          <w:rFonts w:ascii="SimSun" w:hAnsi="SimSun" w:hint="eastAsia"/>
          <w:sz w:val="21"/>
          <w:szCs w:val="21"/>
        </w:rPr>
        <w:t>供资</w:t>
      </w:r>
      <w:r w:rsidRPr="00791AA1">
        <w:rPr>
          <w:rFonts w:ascii="SimSun" w:hAnsi="SimSun" w:hint="eastAsia"/>
          <w:sz w:val="21"/>
          <w:szCs w:val="21"/>
        </w:rPr>
        <w:t>。这一制度的理由最初是为了管理方便，以及促进发展中国家加入一些联盟。对于会费供资联盟来说</w:t>
      </w:r>
      <w:r w:rsidR="00EB555D">
        <w:rPr>
          <w:rFonts w:ascii="SimSun" w:hAnsi="SimSun" w:hint="eastAsia"/>
          <w:sz w:val="21"/>
          <w:szCs w:val="21"/>
        </w:rPr>
        <w:t>，</w:t>
      </w:r>
      <w:r w:rsidRPr="00791AA1">
        <w:rPr>
          <w:rFonts w:ascii="SimSun" w:hAnsi="SimSun" w:hint="eastAsia"/>
          <w:sz w:val="21"/>
          <w:szCs w:val="21"/>
        </w:rPr>
        <w:t>这样的理由是适用的，但是并没有理由从其他收费供资注册体系向里斯本联盟转移资金。代表团说，里斯本联盟财务受《里斯本协定》自己管理，第十一条要求在必要的情况下，里斯本成员应捐款支助其运转。代表团</w:t>
      </w:r>
      <w:r w:rsidR="00EB555D">
        <w:rPr>
          <w:rFonts w:ascii="SimSun" w:hAnsi="SimSun" w:hint="eastAsia"/>
          <w:sz w:val="21"/>
          <w:szCs w:val="21"/>
        </w:rPr>
        <w:t>指出，</w:t>
      </w:r>
      <w:r w:rsidRPr="00791AA1">
        <w:rPr>
          <w:rFonts w:ascii="SimSun" w:hAnsi="SimSun" w:hint="eastAsia"/>
          <w:sz w:val="21"/>
          <w:szCs w:val="21"/>
        </w:rPr>
        <w:t>这些捐款</w:t>
      </w:r>
      <w:r w:rsidR="00EB555D">
        <w:rPr>
          <w:rFonts w:ascii="SimSun" w:hAnsi="SimSun" w:hint="eastAsia"/>
          <w:sz w:val="21"/>
          <w:szCs w:val="21"/>
        </w:rPr>
        <w:t>显然</w:t>
      </w:r>
      <w:r w:rsidRPr="00791AA1">
        <w:rPr>
          <w:rFonts w:ascii="SimSun" w:hAnsi="SimSun" w:hint="eastAsia"/>
          <w:sz w:val="21"/>
          <w:szCs w:val="21"/>
        </w:rPr>
        <w:t>与单一会费制的会费是不同的。因此，代表团说，对在单一会费制度的框架内审议建立会费制度的里斯本联盟提案，其感到困惑。代表团指出，总干事和秘书处多次</w:t>
      </w:r>
      <w:r w:rsidR="00EB555D">
        <w:rPr>
          <w:rFonts w:ascii="SimSun" w:hAnsi="SimSun" w:hint="eastAsia"/>
          <w:sz w:val="21"/>
          <w:szCs w:val="21"/>
        </w:rPr>
        <w:t>指出</w:t>
      </w:r>
      <w:r w:rsidRPr="00791AA1">
        <w:rPr>
          <w:rFonts w:ascii="SimSun" w:hAnsi="SimSun" w:hint="eastAsia"/>
          <w:sz w:val="21"/>
          <w:szCs w:val="21"/>
        </w:rPr>
        <w:t>，适用于会费供资联盟的单一会费制度并不适用于资助收费供资联盟。在这方面，代表团引用文件WO/PBC/24/16 Rev.第16段：“如果成员国同意援引里斯本协定的规定来分摊并收取会费，要注意区别里斯本协定第十一条第</w:t>
      </w:r>
      <w:r w:rsidR="00652AC2">
        <w:rPr>
          <w:rFonts w:ascii="SimSun" w:hAnsi="SimSun" w:hint="eastAsia"/>
          <w:sz w:val="21"/>
          <w:szCs w:val="21"/>
        </w:rPr>
        <w:t>(三)款</w:t>
      </w:r>
      <w:r w:rsidRPr="00791AA1">
        <w:rPr>
          <w:rFonts w:ascii="SimSun" w:hAnsi="SimSun" w:hint="eastAsia"/>
          <w:sz w:val="21"/>
          <w:szCs w:val="21"/>
        </w:rPr>
        <w:t>第5项规定的‘［里斯本］联盟各国的会费’和现行的单一会费制。由于里斯本联盟不是一个会费供资联盟，而是一个收费供资联盟，因此成员国需要知道，根据第十一条向里斯本联盟成员分摊并收取会费，与根据单一会费制缴纳分摊会费不是同一个问题，也没有关联”。因此，代表团不理解为什么里斯本成员要在一个不相关制度的框架内审议建立会费制度。</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哥斯达黎加代表团强调了确保原</w:t>
      </w:r>
      <w:r w:rsidR="00673AE9">
        <w:rPr>
          <w:rFonts w:ascii="SimSun" w:hAnsi="SimSun" w:hint="eastAsia"/>
          <w:sz w:val="21"/>
          <w:szCs w:val="21"/>
        </w:rPr>
        <w:t>产地名称和地理标志保护、促进社会发展的重要性。代表团说，这就是它</w:t>
      </w:r>
      <w:r w:rsidRPr="00791AA1">
        <w:rPr>
          <w:rFonts w:ascii="SimSun" w:hAnsi="SimSun" w:hint="eastAsia"/>
          <w:sz w:val="21"/>
          <w:szCs w:val="21"/>
        </w:rPr>
        <w:t>特别支持工作组主席所提提案的原因。代表团希望里斯本联盟不要采取难以接驳或不成比例地影响到特定里斯本成员的措施。哥斯达黎加代表团要求WIPO采取措施，以有效推广该体系，使其更具吸引力，</w:t>
      </w:r>
      <w:r w:rsidR="00673AE9">
        <w:rPr>
          <w:rFonts w:ascii="SimSun" w:hAnsi="SimSun" w:hint="eastAsia"/>
          <w:sz w:val="21"/>
          <w:szCs w:val="21"/>
        </w:rPr>
        <w:t>从而</w:t>
      </w:r>
      <w:r w:rsidRPr="00791AA1">
        <w:rPr>
          <w:rFonts w:ascii="SimSun" w:hAnsi="SimSun" w:hint="eastAsia"/>
          <w:sz w:val="21"/>
          <w:szCs w:val="21"/>
        </w:rPr>
        <w:t>向新成员收取收入。</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朝鲜民主主义人民共和国代表团支持法国、葡萄牙、捷克共和国及其他积极支持里斯本联盟的国家所作的</w:t>
      </w:r>
      <w:r w:rsidRPr="00791AA1">
        <w:rPr>
          <w:rFonts w:ascii="SimSun" w:hAnsi="SimSun" w:hint="eastAsia"/>
          <w:sz w:val="21"/>
        </w:rPr>
        <w:t>发言</w:t>
      </w:r>
      <w:r w:rsidRPr="00791AA1">
        <w:rPr>
          <w:rFonts w:ascii="SimSun" w:hAnsi="SimSun" w:hint="eastAsia"/>
          <w:sz w:val="21"/>
          <w:szCs w:val="21"/>
        </w:rPr>
        <w:t>。</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大韩民国代表团表示感谢里斯本联盟成员努力寻找关于财务问题的解决方案。代表团强调，重要的是，不仅要消除两年期</w:t>
      </w:r>
      <w:r w:rsidR="00096B99" w:rsidRPr="00791AA1">
        <w:rPr>
          <w:rFonts w:ascii="SimSun" w:hAnsi="SimSun" w:hint="eastAsia"/>
          <w:sz w:val="21"/>
          <w:szCs w:val="21"/>
        </w:rPr>
        <w:t>预计</w:t>
      </w:r>
      <w:r w:rsidRPr="00791AA1">
        <w:rPr>
          <w:rFonts w:ascii="SimSun" w:hAnsi="SimSun" w:hint="eastAsia"/>
          <w:sz w:val="21"/>
          <w:szCs w:val="21"/>
        </w:rPr>
        <w:t>赤字，还要实现里斯本联盟的长期财务可持续性。代表团指出，</w:t>
      </w:r>
      <w:r w:rsidR="00096B99">
        <w:rPr>
          <w:rFonts w:ascii="SimSun" w:hAnsi="SimSun" w:hint="eastAsia"/>
          <w:sz w:val="21"/>
          <w:szCs w:val="21"/>
        </w:rPr>
        <w:t>和</w:t>
      </w:r>
      <w:r w:rsidRPr="00791AA1">
        <w:rPr>
          <w:rFonts w:ascii="SimSun" w:hAnsi="SimSun" w:hint="eastAsia"/>
          <w:sz w:val="21"/>
          <w:szCs w:val="21"/>
        </w:rPr>
        <w:t>其他收费供资联盟</w:t>
      </w:r>
      <w:r w:rsidR="00096B99">
        <w:rPr>
          <w:rFonts w:ascii="SimSun" w:hAnsi="SimSun" w:hint="eastAsia"/>
          <w:sz w:val="21"/>
          <w:szCs w:val="21"/>
        </w:rPr>
        <w:t>一样</w:t>
      </w:r>
      <w:r w:rsidRPr="00791AA1">
        <w:rPr>
          <w:rFonts w:ascii="SimSun" w:hAnsi="SimSun" w:hint="eastAsia"/>
          <w:sz w:val="21"/>
          <w:szCs w:val="21"/>
        </w:rPr>
        <w:t>，里斯本联盟正在面临向共同支出进行捐款</w:t>
      </w:r>
      <w:r w:rsidR="00096B99">
        <w:rPr>
          <w:rFonts w:ascii="SimSun" w:hAnsi="SimSun" w:hint="eastAsia"/>
          <w:sz w:val="21"/>
          <w:szCs w:val="21"/>
        </w:rPr>
        <w:t>的问题</w:t>
      </w:r>
      <w:r w:rsidRPr="00791AA1">
        <w:rPr>
          <w:rFonts w:ascii="SimSun" w:hAnsi="SimSun" w:hint="eastAsia"/>
          <w:sz w:val="21"/>
          <w:szCs w:val="21"/>
        </w:rPr>
        <w:t>。但是，代表团认为，里斯本联盟提出的</w:t>
      </w:r>
      <w:r w:rsidRPr="00791AA1">
        <w:rPr>
          <w:rFonts w:ascii="SimSun" w:hAnsi="SimSun" w:hint="eastAsia"/>
          <w:sz w:val="21"/>
        </w:rPr>
        <w:t>措施</w:t>
      </w:r>
      <w:r w:rsidRPr="00791AA1">
        <w:rPr>
          <w:rFonts w:ascii="SimSun" w:hAnsi="SimSun" w:hint="eastAsia"/>
          <w:sz w:val="21"/>
          <w:szCs w:val="21"/>
        </w:rPr>
        <w:t>还不足以克服2016/17两年期赤字和</w:t>
      </w:r>
      <w:r w:rsidR="00096B99">
        <w:rPr>
          <w:rFonts w:ascii="SimSun" w:hAnsi="SimSun" w:hint="eastAsia"/>
          <w:sz w:val="21"/>
          <w:szCs w:val="21"/>
        </w:rPr>
        <w:t>实现</w:t>
      </w:r>
      <w:r w:rsidRPr="00791AA1">
        <w:rPr>
          <w:rFonts w:ascii="SimSun" w:hAnsi="SimSun" w:hint="eastAsia"/>
          <w:sz w:val="21"/>
          <w:szCs w:val="21"/>
        </w:rPr>
        <w:t>财务可持续性。因此</w:t>
      </w:r>
      <w:r w:rsidR="00096B99">
        <w:rPr>
          <w:rFonts w:ascii="SimSun" w:hAnsi="SimSun" w:hint="eastAsia"/>
          <w:sz w:val="21"/>
          <w:szCs w:val="21"/>
        </w:rPr>
        <w:t>，</w:t>
      </w:r>
      <w:r w:rsidRPr="00791AA1">
        <w:rPr>
          <w:rFonts w:ascii="SimSun" w:hAnsi="SimSun" w:hint="eastAsia"/>
          <w:sz w:val="21"/>
          <w:szCs w:val="21"/>
        </w:rPr>
        <w:t>代表团认为，有必要采取充分措施来解决这一局面。代表团要求里斯本联盟成员以负责任的方式，努力尝试解决其财务</w:t>
      </w:r>
      <w:r w:rsidR="00096B99">
        <w:rPr>
          <w:rFonts w:ascii="SimSun" w:hAnsi="SimSun" w:hint="eastAsia"/>
          <w:sz w:val="21"/>
          <w:szCs w:val="21"/>
        </w:rPr>
        <w:t>问</w:t>
      </w:r>
      <w:r w:rsidR="00096B99">
        <w:rPr>
          <w:rFonts w:ascii="SimSun" w:hAnsi="SimSun"/>
          <w:sz w:val="21"/>
          <w:szCs w:val="21"/>
        </w:rPr>
        <w:t>‍</w:t>
      </w:r>
      <w:r w:rsidR="00096B99">
        <w:rPr>
          <w:rFonts w:ascii="SimSun" w:hAnsi="SimSun" w:hint="eastAsia"/>
          <w:sz w:val="21"/>
          <w:szCs w:val="21"/>
        </w:rPr>
        <w:t>题</w:t>
      </w:r>
      <w:r w:rsidRPr="00791AA1">
        <w:rPr>
          <w:rFonts w:ascii="SimSun" w:hAnsi="SimSun" w:hint="eastAsia"/>
          <w:sz w:val="21"/>
          <w:szCs w:val="21"/>
        </w:rPr>
        <w:t>。</w:t>
      </w:r>
    </w:p>
    <w:p w:rsidR="00791AA1" w:rsidRP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保加利亚代表团赞同斯洛伐克代表团代表欧洲联盟及其成员国所作的发言，以及意大利、墨西哥、法国、捷克共和国、格鲁吉亚、葡萄牙、伊朗（伊斯兰共和国）、黑山、斯洛伐克、匈牙利、塞尔维亚和</w:t>
      </w:r>
      <w:r w:rsidRPr="00791AA1">
        <w:rPr>
          <w:rFonts w:ascii="SimSun" w:hAnsi="SimSun" w:hint="eastAsia"/>
          <w:sz w:val="21"/>
        </w:rPr>
        <w:t>哥斯达黎加代表团</w:t>
      </w:r>
      <w:r w:rsidRPr="00791AA1">
        <w:rPr>
          <w:rFonts w:ascii="SimSun" w:hAnsi="SimSun" w:hint="eastAsia"/>
          <w:sz w:val="21"/>
          <w:szCs w:val="21"/>
        </w:rPr>
        <w:t>所作的发言。代表团认为，采取措施消除预算赤字并为短期和长期问题找到财务解决方案，对</w:t>
      </w:r>
      <w:proofErr w:type="gramStart"/>
      <w:r w:rsidRPr="00791AA1">
        <w:rPr>
          <w:rFonts w:ascii="SimSun" w:hAnsi="SimSun" w:hint="eastAsia"/>
          <w:sz w:val="21"/>
          <w:szCs w:val="21"/>
        </w:rPr>
        <w:t>所有利益方</w:t>
      </w:r>
      <w:proofErr w:type="gramEnd"/>
      <w:r w:rsidRPr="00791AA1">
        <w:rPr>
          <w:rFonts w:ascii="SimSun" w:hAnsi="SimSun" w:hint="eastAsia"/>
          <w:sz w:val="21"/>
          <w:szCs w:val="21"/>
        </w:rPr>
        <w:t>都是有益的。代表团</w:t>
      </w:r>
      <w:r w:rsidR="00FF0974">
        <w:rPr>
          <w:rFonts w:ascii="SimSun" w:hAnsi="SimSun" w:hint="eastAsia"/>
          <w:sz w:val="21"/>
          <w:szCs w:val="21"/>
        </w:rPr>
        <w:t>称，</w:t>
      </w:r>
      <w:r w:rsidRPr="00791AA1">
        <w:rPr>
          <w:rFonts w:ascii="SimSun" w:hAnsi="SimSun" w:hint="eastAsia"/>
          <w:sz w:val="21"/>
          <w:szCs w:val="21"/>
        </w:rPr>
        <w:t>已采取必要措施，以保障来自国家预算的必要财务资源，并确保该国有能力资助2016/17两年期的赤字。代表团</w:t>
      </w:r>
      <w:r w:rsidR="00FF0974">
        <w:rPr>
          <w:rFonts w:ascii="SimSun" w:hAnsi="SimSun" w:hint="eastAsia"/>
          <w:sz w:val="21"/>
          <w:szCs w:val="21"/>
        </w:rPr>
        <w:t>表示倾向于成员国的会费参照依据</w:t>
      </w:r>
      <w:r w:rsidRPr="00791AA1">
        <w:rPr>
          <w:rFonts w:ascii="SimSun" w:hAnsi="SimSun" w:hint="eastAsia"/>
          <w:sz w:val="21"/>
          <w:szCs w:val="21"/>
        </w:rPr>
        <w:t>巴黎联盟的会费等级标准。与此同时，代表团认为，应当继续进行讨论，为确保里斯本联盟的财务可持续性</w:t>
      </w:r>
      <w:r w:rsidR="00DB73C6">
        <w:rPr>
          <w:rFonts w:ascii="SimSun" w:hAnsi="SimSun" w:hint="eastAsia"/>
          <w:sz w:val="21"/>
          <w:szCs w:val="21"/>
        </w:rPr>
        <w:t>寻找长效</w:t>
      </w:r>
      <w:r w:rsidRPr="00791AA1">
        <w:rPr>
          <w:rFonts w:ascii="SimSun" w:hAnsi="SimSun" w:hint="eastAsia"/>
          <w:sz w:val="21"/>
          <w:szCs w:val="21"/>
        </w:rPr>
        <w:t>解决方案，以确定任何可能的措施。</w:t>
      </w:r>
    </w:p>
    <w:p w:rsidR="00791AA1" w:rsidRDefault="00791AA1" w:rsidP="00791AA1">
      <w:pPr>
        <w:numPr>
          <w:ilvl w:val="0"/>
          <w:numId w:val="37"/>
        </w:numPr>
        <w:overflowPunct w:val="0"/>
        <w:spacing w:afterLines="50" w:after="120" w:line="340" w:lineRule="atLeast"/>
        <w:ind w:left="0" w:firstLine="0"/>
        <w:jc w:val="both"/>
        <w:rPr>
          <w:rFonts w:ascii="SimSun" w:hAnsi="SimSun"/>
          <w:sz w:val="21"/>
          <w:szCs w:val="21"/>
        </w:rPr>
      </w:pPr>
      <w:r w:rsidRPr="00791AA1">
        <w:rPr>
          <w:rFonts w:ascii="SimSun" w:hAnsi="SimSun" w:hint="eastAsia"/>
          <w:sz w:val="21"/>
          <w:szCs w:val="21"/>
        </w:rPr>
        <w:t>瑞士代表团表示其感谢法国、意大利、捷克共和国和格鲁吉亚代表团的财务承诺。代表团鼓励在联盟内对于待审议的财务事项进行进一步讨论。</w:t>
      </w:r>
    </w:p>
    <w:p w:rsidR="00791AA1" w:rsidRPr="00791AA1" w:rsidRDefault="00791AA1" w:rsidP="00791AA1">
      <w:pPr>
        <w:numPr>
          <w:ilvl w:val="0"/>
          <w:numId w:val="37"/>
        </w:numPr>
        <w:overflowPunct w:val="0"/>
        <w:spacing w:afterLines="50" w:after="120" w:line="340" w:lineRule="atLeast"/>
        <w:ind w:left="567" w:firstLine="0"/>
        <w:jc w:val="both"/>
        <w:rPr>
          <w:rFonts w:ascii="SimSun" w:hAnsi="SimSun"/>
          <w:sz w:val="21"/>
          <w:szCs w:val="21"/>
        </w:rPr>
      </w:pPr>
      <w:r w:rsidRPr="00791AA1">
        <w:rPr>
          <w:rFonts w:ascii="SimSun" w:hAnsi="SimSun" w:hint="eastAsia"/>
          <w:sz w:val="21"/>
          <w:szCs w:val="21"/>
        </w:rPr>
        <w:t>里斯本联盟大会：</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(i)</w:t>
      </w:r>
      <w:r w:rsidRPr="00791AA1">
        <w:rPr>
          <w:rFonts w:ascii="SimSun" w:hAnsi="SimSun" w:hint="eastAsia"/>
          <w:sz w:val="21"/>
          <w:szCs w:val="21"/>
        </w:rPr>
        <w:tab/>
        <w:t>注意到文件LI/A/33/1（关于里斯本联盟的财务事项）和文件LI/A/33/2（关于里斯本联盟财务事项的提案）；</w:t>
      </w:r>
    </w:p>
    <w:p w:rsidR="00791AA1" w:rsidRPr="00791AA1" w:rsidRDefault="00791AA1" w:rsidP="00791AA1">
      <w:pPr>
        <w:keepNext/>
        <w:overflowPunct w:val="0"/>
        <w:spacing w:beforeLines="100" w:before="240" w:afterLines="50" w:after="120" w:line="340" w:lineRule="atLeast"/>
        <w:ind w:left="1134"/>
        <w:jc w:val="both"/>
        <w:rPr>
          <w:rFonts w:ascii="SimSun" w:hAnsi="SimSun"/>
          <w:sz w:val="21"/>
          <w:szCs w:val="21"/>
          <w:u w:val="single"/>
        </w:rPr>
      </w:pPr>
      <w:r w:rsidRPr="00791AA1">
        <w:rPr>
          <w:rFonts w:ascii="SimSun" w:hAnsi="SimSun" w:hint="eastAsia"/>
          <w:sz w:val="21"/>
          <w:szCs w:val="21"/>
          <w:u w:val="single"/>
        </w:rPr>
        <w:t>关于里斯本联盟2016/17两年期预计赤字</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(ii)</w:t>
      </w:r>
      <w:r w:rsidRPr="00791AA1">
        <w:rPr>
          <w:rFonts w:ascii="SimSun" w:hAnsi="SimSun" w:hint="eastAsia"/>
          <w:sz w:val="21"/>
          <w:szCs w:val="21"/>
        </w:rPr>
        <w:tab/>
        <w:t>注意到里斯本联盟成员所作的声明和文件LI/A/33/2附件中所述的关于《里斯本协定》第十一条第(三)款第3项所规定补助金的补充信息，以及各代表团在本届里斯本联盟大会上就此种补助金所作的声明，注意到现阶段所收补助金为一百万瑞郎；</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(iii)</w:t>
      </w:r>
      <w:r w:rsidRPr="00791AA1">
        <w:rPr>
          <w:rFonts w:ascii="SimSun" w:hAnsi="SimSun" w:hint="eastAsia"/>
          <w:sz w:val="21"/>
          <w:szCs w:val="21"/>
        </w:rPr>
        <w:tab/>
        <w:t>同意，缴纳上文第(</w:t>
      </w:r>
      <w:r>
        <w:rPr>
          <w:rFonts w:ascii="SimSun" w:hAnsi="SimSun" w:hint="eastAsia"/>
          <w:sz w:val="21"/>
          <w:szCs w:val="21"/>
        </w:rPr>
        <w:t>i</w:t>
      </w:r>
      <w:r w:rsidRPr="00791AA1">
        <w:rPr>
          <w:rFonts w:ascii="SimSun" w:hAnsi="SimSun" w:hint="eastAsia"/>
          <w:sz w:val="21"/>
          <w:szCs w:val="21"/>
        </w:rPr>
        <w:t>i)项所述的《里斯本协定》第十一条第(三)款第3项所规定的补助金，将构成根据2015年成员国大会上所作的决定，消除里斯本联盟两年期预计赤字的措施（见文件LI/A/32/5第73段第(i)项和第(ii)项，以及A/55/13第231段第(ii)项和第(iii)项及第235段）；并</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(iv)</w:t>
      </w:r>
      <w:r w:rsidRPr="00791AA1">
        <w:rPr>
          <w:rFonts w:ascii="SimSun" w:hAnsi="SimSun" w:hint="eastAsia"/>
          <w:sz w:val="21"/>
          <w:szCs w:val="21"/>
        </w:rPr>
        <w:tab/>
        <w:t>要求秘书处采取必要行政措施，接收里斯本成员将缴纳的《里斯本协定》第十一条第(三)款第3项所规定的补助金；</w:t>
      </w:r>
    </w:p>
    <w:p w:rsidR="00791AA1" w:rsidRPr="00791AA1" w:rsidRDefault="00791AA1" w:rsidP="00791AA1">
      <w:pPr>
        <w:keepNext/>
        <w:overflowPunct w:val="0"/>
        <w:spacing w:beforeLines="100" w:before="240" w:afterLines="50" w:after="120" w:line="340" w:lineRule="atLeast"/>
        <w:ind w:left="1134"/>
        <w:jc w:val="both"/>
        <w:rPr>
          <w:rFonts w:ascii="SimSun" w:hAnsi="SimSun"/>
          <w:sz w:val="21"/>
          <w:szCs w:val="21"/>
          <w:u w:val="single"/>
        </w:rPr>
      </w:pPr>
      <w:r w:rsidRPr="00791AA1">
        <w:rPr>
          <w:rFonts w:ascii="SimSun" w:hAnsi="SimSun" w:hint="eastAsia"/>
          <w:sz w:val="21"/>
          <w:szCs w:val="21"/>
          <w:u w:val="single"/>
        </w:rPr>
        <w:t>关于里斯本联盟财务可持续性</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(v)</w:t>
      </w:r>
      <w:r w:rsidRPr="00791AA1">
        <w:rPr>
          <w:rFonts w:ascii="SimSun" w:hAnsi="SimSun" w:hint="eastAsia"/>
          <w:sz w:val="21"/>
          <w:szCs w:val="21"/>
        </w:rPr>
        <w:tab/>
        <w:t>决定强调里斯本体系、包括《原产地名称和地理标志里斯本协定日内瓦文本》的推广活动；</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(vi)</w:t>
      </w:r>
      <w:r w:rsidRPr="00791AA1">
        <w:rPr>
          <w:rFonts w:ascii="SimSun" w:hAnsi="SimSun" w:hint="eastAsia"/>
          <w:sz w:val="21"/>
          <w:szCs w:val="21"/>
        </w:rPr>
        <w:tab/>
        <w:t>决定继续在单一会费制度的框架内审议建立会费制度以及计算此种会费的方法；</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(vii)</w:t>
      </w:r>
      <w:r w:rsidRPr="00791AA1">
        <w:rPr>
          <w:rFonts w:ascii="SimSun" w:hAnsi="SimSun" w:hint="eastAsia"/>
          <w:sz w:val="21"/>
          <w:szCs w:val="21"/>
        </w:rPr>
        <w:tab/>
        <w:t>决定继续监测里斯本费用表的情况，以期进行审查，最终在未来予以提高；并</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(viii)</w:t>
      </w:r>
      <w:r w:rsidRPr="00791AA1">
        <w:rPr>
          <w:rFonts w:ascii="SimSun" w:hAnsi="SimSun" w:hint="eastAsia"/>
          <w:sz w:val="21"/>
          <w:szCs w:val="21"/>
        </w:rPr>
        <w:tab/>
        <w:t>决定利用里斯本工作组的下次会议和工作组主席可能要求秘书处组织的非正式会议，进一步讨论里斯本联盟的财务可持续性，特别是上文第(vi)项和第(vii)项所述的项</w:t>
      </w:r>
      <w:r>
        <w:rPr>
          <w:rFonts w:ascii="SimSun" w:hAnsi="SimSun"/>
          <w:sz w:val="21"/>
          <w:szCs w:val="21"/>
        </w:rPr>
        <w:t>‍</w:t>
      </w:r>
      <w:r w:rsidRPr="00791AA1">
        <w:rPr>
          <w:rFonts w:ascii="SimSun" w:hAnsi="SimSun" w:hint="eastAsia"/>
          <w:sz w:val="21"/>
          <w:szCs w:val="21"/>
        </w:rPr>
        <w:t>目。</w:t>
      </w:r>
    </w:p>
    <w:p w:rsidR="00623A7C" w:rsidRDefault="00623A7C" w:rsidP="00623A7C">
      <w:pPr>
        <w:pStyle w:val="ONUME"/>
        <w:numPr>
          <w:ilvl w:val="0"/>
          <w:numId w:val="0"/>
        </w:numPr>
        <w:overflowPunct w:val="0"/>
        <w:spacing w:afterLines="50" w:after="120" w:line="340" w:lineRule="atLeast"/>
        <w:ind w:left="5534"/>
        <w:jc w:val="both"/>
        <w:rPr>
          <w:rFonts w:ascii="KaiTi" w:eastAsia="KaiTi" w:hAnsi="KaiTi"/>
          <w:sz w:val="21"/>
          <w:szCs w:val="22"/>
        </w:rPr>
      </w:pPr>
    </w:p>
    <w:p w:rsidR="002928D3" w:rsidRPr="00020416" w:rsidRDefault="001B15E3" w:rsidP="001B15E3">
      <w:pPr>
        <w:pStyle w:val="Endofdocument-Annex"/>
        <w:spacing w:afterLines="50" w:after="120" w:line="340" w:lineRule="atLeast"/>
        <w:jc w:val="both"/>
        <w:rPr>
          <w:rFonts w:ascii="KaiTi" w:eastAsia="KaiTi" w:hAnsi="KaiTi"/>
          <w:sz w:val="21"/>
          <w:szCs w:val="21"/>
        </w:rPr>
      </w:pPr>
      <w:r w:rsidRPr="00020416">
        <w:rPr>
          <w:rFonts w:ascii="SimSun" w:hAnsi="SimSun"/>
          <w:szCs w:val="22"/>
        </w:rPr>
        <w:t>[</w:t>
      </w:r>
      <w:r w:rsidRPr="00F12D1F">
        <w:rPr>
          <w:rFonts w:ascii="KaiTi" w:eastAsia="KaiTi" w:hAnsi="KaiTi" w:hint="eastAsia"/>
          <w:sz w:val="21"/>
          <w:szCs w:val="22"/>
        </w:rPr>
        <w:t>文件完</w:t>
      </w:r>
      <w:r w:rsidRPr="00020416">
        <w:rPr>
          <w:rFonts w:ascii="SimSun" w:hAnsi="SimSun"/>
          <w:szCs w:val="22"/>
        </w:rPr>
        <w:t>]</w:t>
      </w:r>
    </w:p>
    <w:sectPr w:rsidR="002928D3" w:rsidRPr="00020416" w:rsidSect="00020416">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A9" w:rsidRDefault="00F06EA9">
      <w:r>
        <w:separator/>
      </w:r>
    </w:p>
  </w:endnote>
  <w:endnote w:type="continuationSeparator" w:id="0">
    <w:p w:rsidR="00F06EA9" w:rsidRDefault="00F06EA9" w:rsidP="003B38C1">
      <w:r>
        <w:separator/>
      </w:r>
    </w:p>
    <w:p w:rsidR="00F06EA9" w:rsidRPr="003B38C1" w:rsidRDefault="00F06EA9" w:rsidP="003B38C1">
      <w:pPr>
        <w:spacing w:after="60"/>
        <w:rPr>
          <w:sz w:val="17"/>
        </w:rPr>
      </w:pPr>
      <w:r>
        <w:rPr>
          <w:sz w:val="17"/>
        </w:rPr>
        <w:t>[Endnote continued from previous page]</w:t>
      </w:r>
    </w:p>
  </w:endnote>
  <w:endnote w:type="continuationNotice" w:id="1">
    <w:p w:rsidR="00F06EA9" w:rsidRPr="003B38C1" w:rsidRDefault="00F06E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A9" w:rsidRDefault="00F06EA9">
      <w:r>
        <w:separator/>
      </w:r>
    </w:p>
  </w:footnote>
  <w:footnote w:type="continuationSeparator" w:id="0">
    <w:p w:rsidR="00F06EA9" w:rsidRDefault="00F06EA9" w:rsidP="008B60B2">
      <w:r>
        <w:separator/>
      </w:r>
    </w:p>
    <w:p w:rsidR="00F06EA9" w:rsidRPr="00ED77FB" w:rsidRDefault="00F06EA9" w:rsidP="008B60B2">
      <w:pPr>
        <w:spacing w:after="60"/>
        <w:rPr>
          <w:sz w:val="17"/>
          <w:szCs w:val="17"/>
        </w:rPr>
      </w:pPr>
      <w:r w:rsidRPr="00ED77FB">
        <w:rPr>
          <w:sz w:val="17"/>
          <w:szCs w:val="17"/>
        </w:rPr>
        <w:t>[Footnote continued from previous page]</w:t>
      </w:r>
    </w:p>
  </w:footnote>
  <w:footnote w:type="continuationNotice" w:id="1">
    <w:p w:rsidR="00F06EA9" w:rsidRPr="00ED77FB" w:rsidRDefault="00F06EA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86807"/>
      <w:docPartObj>
        <w:docPartGallery w:val="Page Numbers (Top of Page)"/>
        <w:docPartUnique/>
      </w:docPartObj>
    </w:sdtPr>
    <w:sdtEndPr>
      <w:rPr>
        <w:noProof/>
      </w:rPr>
    </w:sdtEndPr>
    <w:sdtContent>
      <w:p w:rsidR="00020416" w:rsidRPr="00F12D1F" w:rsidRDefault="00020416">
        <w:pPr>
          <w:pStyle w:val="aa"/>
          <w:jc w:val="right"/>
          <w:rPr>
            <w:rFonts w:ascii="SimSun" w:hAnsi="SimSun"/>
            <w:sz w:val="21"/>
          </w:rPr>
        </w:pPr>
        <w:r w:rsidRPr="00F12D1F">
          <w:rPr>
            <w:rFonts w:ascii="SimSun" w:hAnsi="SimSun"/>
            <w:sz w:val="21"/>
          </w:rPr>
          <w:t>LI/A/33/</w:t>
        </w:r>
        <w:r w:rsidR="00F06EFD">
          <w:rPr>
            <w:rFonts w:ascii="SimSun" w:hAnsi="SimSun" w:hint="eastAsia"/>
            <w:sz w:val="21"/>
          </w:rPr>
          <w:t>3</w:t>
        </w:r>
      </w:p>
      <w:p w:rsidR="00020416" w:rsidRPr="00F12D1F" w:rsidRDefault="00020416">
        <w:pPr>
          <w:pStyle w:val="aa"/>
          <w:jc w:val="right"/>
          <w:rPr>
            <w:rFonts w:ascii="SimSun" w:hAnsi="SimSun"/>
            <w:noProof/>
            <w:sz w:val="21"/>
          </w:rPr>
        </w:pPr>
        <w:r>
          <w:rPr>
            <w:rFonts w:ascii="SimSun" w:hAnsi="SimSun" w:hint="eastAsia"/>
            <w:sz w:val="21"/>
          </w:rPr>
          <w:t>第</w:t>
        </w:r>
        <w:r w:rsidRPr="00F12D1F">
          <w:rPr>
            <w:rFonts w:ascii="SimSun" w:hAnsi="SimSun"/>
            <w:sz w:val="21"/>
          </w:rPr>
          <w:fldChar w:fldCharType="begin"/>
        </w:r>
        <w:r w:rsidRPr="00F12D1F">
          <w:rPr>
            <w:rFonts w:ascii="SimSun" w:hAnsi="SimSun"/>
            <w:sz w:val="21"/>
          </w:rPr>
          <w:instrText xml:space="preserve"> PAGE   \* MERGEFORMAT </w:instrText>
        </w:r>
        <w:r w:rsidRPr="00F12D1F">
          <w:rPr>
            <w:rFonts w:ascii="SimSun" w:hAnsi="SimSun"/>
            <w:sz w:val="21"/>
          </w:rPr>
          <w:fldChar w:fldCharType="separate"/>
        </w:r>
        <w:r w:rsidR="00F83AEC">
          <w:rPr>
            <w:rFonts w:ascii="SimSun" w:hAnsi="SimSun"/>
            <w:noProof/>
            <w:sz w:val="21"/>
          </w:rPr>
          <w:t>6</w:t>
        </w:r>
        <w:r w:rsidRPr="00F12D1F">
          <w:rPr>
            <w:rFonts w:ascii="SimSun" w:hAnsi="SimSun"/>
            <w:noProof/>
            <w:sz w:val="21"/>
          </w:rPr>
          <w:fldChar w:fldCharType="end"/>
        </w:r>
        <w:r>
          <w:rPr>
            <w:rFonts w:ascii="SimSun" w:hAnsi="SimSun" w:hint="eastAsia"/>
            <w:noProof/>
            <w:sz w:val="21"/>
          </w:rPr>
          <w:t>页</w:t>
        </w:r>
      </w:p>
      <w:p w:rsidR="00020416" w:rsidRPr="00F12D1F" w:rsidRDefault="00F83AEC">
        <w:pPr>
          <w:pStyle w:val="aa"/>
          <w:jc w:val="right"/>
          <w:rPr>
            <w:rFonts w:ascii="SimSun" w:hAnsi="SimSun"/>
            <w:sz w:val="21"/>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1598AA8C"/>
    <w:lvl w:ilvl="0" w:tplc="B1EE782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2A18"/>
    <w:multiLevelType w:val="hybridMultilevel"/>
    <w:tmpl w:val="2FF40E90"/>
    <w:lvl w:ilvl="0" w:tplc="04090001">
      <w:start w:val="1"/>
      <w:numFmt w:val="bullet"/>
      <w:lvlText w:val=""/>
      <w:lvlJc w:val="left"/>
      <w:pPr>
        <w:ind w:left="69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3">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35E72"/>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D4ED7"/>
    <w:multiLevelType w:val="hybridMultilevel"/>
    <w:tmpl w:val="840E70C6"/>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9">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F2361"/>
    <w:multiLevelType w:val="hybridMultilevel"/>
    <w:tmpl w:val="9F2CD6CC"/>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6"/>
  </w:num>
  <w:num w:numId="3">
    <w:abstractNumId w:val="0"/>
  </w:num>
  <w:num w:numId="4">
    <w:abstractNumId w:val="19"/>
  </w:num>
  <w:num w:numId="5">
    <w:abstractNumId w:val="4"/>
  </w:num>
  <w:num w:numId="6">
    <w:abstractNumId w:val="8"/>
  </w:num>
  <w:num w:numId="7">
    <w:abstractNumId w:val="7"/>
  </w:num>
  <w:num w:numId="8">
    <w:abstractNumId w:val="28"/>
  </w:num>
  <w:num w:numId="9">
    <w:abstractNumId w:val="6"/>
  </w:num>
  <w:num w:numId="10">
    <w:abstractNumId w:val="2"/>
  </w:num>
  <w:num w:numId="11">
    <w:abstractNumId w:val="26"/>
  </w:num>
  <w:num w:numId="12">
    <w:abstractNumId w:val="22"/>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5"/>
  </w:num>
  <w:num w:numId="16">
    <w:abstractNumId w:val="21"/>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3"/>
  </w:num>
  <w:num w:numId="24">
    <w:abstractNumId w:val="20"/>
  </w:num>
  <w:num w:numId="25">
    <w:abstractNumId w:val="30"/>
  </w:num>
  <w:num w:numId="26">
    <w:abstractNumId w:val="15"/>
  </w:num>
  <w:num w:numId="27">
    <w:abstractNumId w:val="14"/>
  </w:num>
  <w:num w:numId="28">
    <w:abstractNumId w:val="29"/>
  </w:num>
  <w:num w:numId="29">
    <w:abstractNumId w:val="31"/>
  </w:num>
  <w:num w:numId="30">
    <w:abstractNumId w:val="17"/>
  </w:num>
  <w:num w:numId="31">
    <w:abstractNumId w:val="18"/>
  </w:num>
  <w:num w:numId="32">
    <w:abstractNumId w:val="9"/>
  </w:num>
  <w:num w:numId="33">
    <w:abstractNumId w:val="13"/>
  </w:num>
  <w:num w:numId="34">
    <w:abstractNumId w:val="24"/>
  </w:num>
  <w:num w:numId="35">
    <w:abstractNumId w:val="4"/>
  </w:num>
  <w:num w:numId="36">
    <w:abstractNumId w:val="4"/>
  </w:num>
  <w:num w:numId="37">
    <w:abstractNumId w:val="3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4C01"/>
    <w:rsid w:val="00012377"/>
    <w:rsid w:val="00020416"/>
    <w:rsid w:val="00023478"/>
    <w:rsid w:val="00025CD9"/>
    <w:rsid w:val="00035466"/>
    <w:rsid w:val="00035E6A"/>
    <w:rsid w:val="000376C4"/>
    <w:rsid w:val="00041445"/>
    <w:rsid w:val="00042BA6"/>
    <w:rsid w:val="00043CAA"/>
    <w:rsid w:val="00045F57"/>
    <w:rsid w:val="00057564"/>
    <w:rsid w:val="00066D55"/>
    <w:rsid w:val="00075432"/>
    <w:rsid w:val="00077867"/>
    <w:rsid w:val="00082836"/>
    <w:rsid w:val="00084376"/>
    <w:rsid w:val="000968ED"/>
    <w:rsid w:val="00096B99"/>
    <w:rsid w:val="000A13E9"/>
    <w:rsid w:val="000A3B23"/>
    <w:rsid w:val="000A5B5B"/>
    <w:rsid w:val="000B3177"/>
    <w:rsid w:val="000B34F6"/>
    <w:rsid w:val="000D5CD3"/>
    <w:rsid w:val="000F520E"/>
    <w:rsid w:val="000F5E56"/>
    <w:rsid w:val="000F7BE9"/>
    <w:rsid w:val="00101373"/>
    <w:rsid w:val="001020EE"/>
    <w:rsid w:val="00102ABA"/>
    <w:rsid w:val="00105F7B"/>
    <w:rsid w:val="0010624A"/>
    <w:rsid w:val="00127BE1"/>
    <w:rsid w:val="00133F1D"/>
    <w:rsid w:val="001362EE"/>
    <w:rsid w:val="00146183"/>
    <w:rsid w:val="00173B71"/>
    <w:rsid w:val="00181C6A"/>
    <w:rsid w:val="001832A6"/>
    <w:rsid w:val="001879CD"/>
    <w:rsid w:val="00197487"/>
    <w:rsid w:val="001A0E16"/>
    <w:rsid w:val="001B0811"/>
    <w:rsid w:val="001B15E3"/>
    <w:rsid w:val="001E110E"/>
    <w:rsid w:val="001F1156"/>
    <w:rsid w:val="001F312A"/>
    <w:rsid w:val="00201766"/>
    <w:rsid w:val="00234DCC"/>
    <w:rsid w:val="00244071"/>
    <w:rsid w:val="00244D0A"/>
    <w:rsid w:val="002518BC"/>
    <w:rsid w:val="00257678"/>
    <w:rsid w:val="00262B88"/>
    <w:rsid w:val="002634C4"/>
    <w:rsid w:val="002818B0"/>
    <w:rsid w:val="00281A06"/>
    <w:rsid w:val="00284F62"/>
    <w:rsid w:val="00291913"/>
    <w:rsid w:val="002928D3"/>
    <w:rsid w:val="002954F9"/>
    <w:rsid w:val="002A661C"/>
    <w:rsid w:val="002A7E97"/>
    <w:rsid w:val="002B0141"/>
    <w:rsid w:val="002B02CC"/>
    <w:rsid w:val="002C236F"/>
    <w:rsid w:val="002D2015"/>
    <w:rsid w:val="002D5D6E"/>
    <w:rsid w:val="002E403E"/>
    <w:rsid w:val="002E5BEA"/>
    <w:rsid w:val="002E61A5"/>
    <w:rsid w:val="002F1FE6"/>
    <w:rsid w:val="002F4E68"/>
    <w:rsid w:val="00305B9D"/>
    <w:rsid w:val="00306338"/>
    <w:rsid w:val="00306BD3"/>
    <w:rsid w:val="00312F7F"/>
    <w:rsid w:val="00320659"/>
    <w:rsid w:val="003228B7"/>
    <w:rsid w:val="00335537"/>
    <w:rsid w:val="00345EB6"/>
    <w:rsid w:val="003673CF"/>
    <w:rsid w:val="003845C1"/>
    <w:rsid w:val="00394C1D"/>
    <w:rsid w:val="003A6F89"/>
    <w:rsid w:val="003B1C12"/>
    <w:rsid w:val="003B38C1"/>
    <w:rsid w:val="003B5A52"/>
    <w:rsid w:val="003C0C49"/>
    <w:rsid w:val="003D3031"/>
    <w:rsid w:val="003E551C"/>
    <w:rsid w:val="003F2FC0"/>
    <w:rsid w:val="003F69EA"/>
    <w:rsid w:val="00414BDF"/>
    <w:rsid w:val="00423E3E"/>
    <w:rsid w:val="00424059"/>
    <w:rsid w:val="00427AF4"/>
    <w:rsid w:val="004400E2"/>
    <w:rsid w:val="00442687"/>
    <w:rsid w:val="00442FCC"/>
    <w:rsid w:val="004647DA"/>
    <w:rsid w:val="00474062"/>
    <w:rsid w:val="00477D6B"/>
    <w:rsid w:val="00481EE0"/>
    <w:rsid w:val="0048442F"/>
    <w:rsid w:val="00490192"/>
    <w:rsid w:val="0049267B"/>
    <w:rsid w:val="004A7D83"/>
    <w:rsid w:val="004B0A65"/>
    <w:rsid w:val="004B3B8C"/>
    <w:rsid w:val="004C6C18"/>
    <w:rsid w:val="004D3574"/>
    <w:rsid w:val="004D38D9"/>
    <w:rsid w:val="004E7CFF"/>
    <w:rsid w:val="00506ED5"/>
    <w:rsid w:val="00507E62"/>
    <w:rsid w:val="00511392"/>
    <w:rsid w:val="0051392C"/>
    <w:rsid w:val="0051799B"/>
    <w:rsid w:val="0053057A"/>
    <w:rsid w:val="005315A9"/>
    <w:rsid w:val="00536FEE"/>
    <w:rsid w:val="00560A29"/>
    <w:rsid w:val="00581306"/>
    <w:rsid w:val="00585963"/>
    <w:rsid w:val="00585C0C"/>
    <w:rsid w:val="005B3204"/>
    <w:rsid w:val="005B7363"/>
    <w:rsid w:val="005C53A5"/>
    <w:rsid w:val="005D2E8D"/>
    <w:rsid w:val="005E3F28"/>
    <w:rsid w:val="005E7A29"/>
    <w:rsid w:val="00602321"/>
    <w:rsid w:val="00602D16"/>
    <w:rsid w:val="00604B3D"/>
    <w:rsid w:val="00605827"/>
    <w:rsid w:val="00615167"/>
    <w:rsid w:val="006200B7"/>
    <w:rsid w:val="00623A7C"/>
    <w:rsid w:val="00634A32"/>
    <w:rsid w:val="00646050"/>
    <w:rsid w:val="00646862"/>
    <w:rsid w:val="00646B74"/>
    <w:rsid w:val="006475E0"/>
    <w:rsid w:val="00652AC2"/>
    <w:rsid w:val="00664227"/>
    <w:rsid w:val="00664EA2"/>
    <w:rsid w:val="00670529"/>
    <w:rsid w:val="006713CA"/>
    <w:rsid w:val="00673AE9"/>
    <w:rsid w:val="00676C5C"/>
    <w:rsid w:val="00683BF5"/>
    <w:rsid w:val="00684C24"/>
    <w:rsid w:val="00686840"/>
    <w:rsid w:val="00691862"/>
    <w:rsid w:val="006941C1"/>
    <w:rsid w:val="006A37FA"/>
    <w:rsid w:val="006A41E9"/>
    <w:rsid w:val="006A7859"/>
    <w:rsid w:val="006C62C8"/>
    <w:rsid w:val="006D0CF0"/>
    <w:rsid w:val="006E26D6"/>
    <w:rsid w:val="006F1E70"/>
    <w:rsid w:val="007058FB"/>
    <w:rsid w:val="00710904"/>
    <w:rsid w:val="00710D99"/>
    <w:rsid w:val="00712486"/>
    <w:rsid w:val="007325CD"/>
    <w:rsid w:val="00734C05"/>
    <w:rsid w:val="00736DC7"/>
    <w:rsid w:val="00747149"/>
    <w:rsid w:val="00791AA1"/>
    <w:rsid w:val="007A045E"/>
    <w:rsid w:val="007A4A3B"/>
    <w:rsid w:val="007A56C0"/>
    <w:rsid w:val="007A58C7"/>
    <w:rsid w:val="007B0838"/>
    <w:rsid w:val="007B6A58"/>
    <w:rsid w:val="007C75CD"/>
    <w:rsid w:val="007D1613"/>
    <w:rsid w:val="007D16E8"/>
    <w:rsid w:val="007D2DC8"/>
    <w:rsid w:val="007D5BA3"/>
    <w:rsid w:val="007F1249"/>
    <w:rsid w:val="00800288"/>
    <w:rsid w:val="00813B7B"/>
    <w:rsid w:val="0081630E"/>
    <w:rsid w:val="00826BA7"/>
    <w:rsid w:val="0084346F"/>
    <w:rsid w:val="00846F47"/>
    <w:rsid w:val="0085527A"/>
    <w:rsid w:val="00860345"/>
    <w:rsid w:val="0086619E"/>
    <w:rsid w:val="00877A02"/>
    <w:rsid w:val="00881363"/>
    <w:rsid w:val="00885754"/>
    <w:rsid w:val="00891161"/>
    <w:rsid w:val="00893F75"/>
    <w:rsid w:val="00897370"/>
    <w:rsid w:val="008A3E48"/>
    <w:rsid w:val="008A5210"/>
    <w:rsid w:val="008A5BD9"/>
    <w:rsid w:val="008B1840"/>
    <w:rsid w:val="008B2CC1"/>
    <w:rsid w:val="008B60B2"/>
    <w:rsid w:val="008C33B5"/>
    <w:rsid w:val="008D20FD"/>
    <w:rsid w:val="008D5950"/>
    <w:rsid w:val="008E0257"/>
    <w:rsid w:val="008E0C27"/>
    <w:rsid w:val="008F0A22"/>
    <w:rsid w:val="008F47C3"/>
    <w:rsid w:val="0090731E"/>
    <w:rsid w:val="00916EE2"/>
    <w:rsid w:val="009171F0"/>
    <w:rsid w:val="0094735C"/>
    <w:rsid w:val="00955707"/>
    <w:rsid w:val="00961F04"/>
    <w:rsid w:val="009648D3"/>
    <w:rsid w:val="00966A22"/>
    <w:rsid w:val="0096722F"/>
    <w:rsid w:val="00980843"/>
    <w:rsid w:val="009836F7"/>
    <w:rsid w:val="00994F67"/>
    <w:rsid w:val="009C205B"/>
    <w:rsid w:val="009C432F"/>
    <w:rsid w:val="009E0B3B"/>
    <w:rsid w:val="009E2791"/>
    <w:rsid w:val="009E3F6F"/>
    <w:rsid w:val="009E5174"/>
    <w:rsid w:val="009E5710"/>
    <w:rsid w:val="009E60F5"/>
    <w:rsid w:val="009E7591"/>
    <w:rsid w:val="009F499F"/>
    <w:rsid w:val="00A07491"/>
    <w:rsid w:val="00A140BF"/>
    <w:rsid w:val="00A141BA"/>
    <w:rsid w:val="00A30D07"/>
    <w:rsid w:val="00A30F03"/>
    <w:rsid w:val="00A40D5B"/>
    <w:rsid w:val="00A42DAF"/>
    <w:rsid w:val="00A4456A"/>
    <w:rsid w:val="00A45BD8"/>
    <w:rsid w:val="00A85B8E"/>
    <w:rsid w:val="00AA1B26"/>
    <w:rsid w:val="00AA440C"/>
    <w:rsid w:val="00AC09B1"/>
    <w:rsid w:val="00AC205C"/>
    <w:rsid w:val="00AD0175"/>
    <w:rsid w:val="00AD01AD"/>
    <w:rsid w:val="00AE3F5A"/>
    <w:rsid w:val="00B02909"/>
    <w:rsid w:val="00B0396B"/>
    <w:rsid w:val="00B05A69"/>
    <w:rsid w:val="00B14184"/>
    <w:rsid w:val="00B1573A"/>
    <w:rsid w:val="00B2126C"/>
    <w:rsid w:val="00B338B6"/>
    <w:rsid w:val="00B35FB8"/>
    <w:rsid w:val="00B36837"/>
    <w:rsid w:val="00B52235"/>
    <w:rsid w:val="00B703B3"/>
    <w:rsid w:val="00B7043D"/>
    <w:rsid w:val="00B92981"/>
    <w:rsid w:val="00B93E5C"/>
    <w:rsid w:val="00B9734B"/>
    <w:rsid w:val="00B97F1D"/>
    <w:rsid w:val="00BA56E1"/>
    <w:rsid w:val="00BB07DB"/>
    <w:rsid w:val="00BC4BA0"/>
    <w:rsid w:val="00BD0C8D"/>
    <w:rsid w:val="00BE4D83"/>
    <w:rsid w:val="00C11BFE"/>
    <w:rsid w:val="00C128C1"/>
    <w:rsid w:val="00C12D8A"/>
    <w:rsid w:val="00C1357D"/>
    <w:rsid w:val="00C41F9A"/>
    <w:rsid w:val="00C47886"/>
    <w:rsid w:val="00C613B2"/>
    <w:rsid w:val="00C62FA8"/>
    <w:rsid w:val="00C63D91"/>
    <w:rsid w:val="00C63F20"/>
    <w:rsid w:val="00C75B64"/>
    <w:rsid w:val="00C76CD9"/>
    <w:rsid w:val="00C847C0"/>
    <w:rsid w:val="00C856B1"/>
    <w:rsid w:val="00C904CE"/>
    <w:rsid w:val="00C94629"/>
    <w:rsid w:val="00CB4460"/>
    <w:rsid w:val="00CC6841"/>
    <w:rsid w:val="00CE0386"/>
    <w:rsid w:val="00CE5DEF"/>
    <w:rsid w:val="00CF3374"/>
    <w:rsid w:val="00CF5981"/>
    <w:rsid w:val="00D0571C"/>
    <w:rsid w:val="00D13F33"/>
    <w:rsid w:val="00D17E1B"/>
    <w:rsid w:val="00D21E3F"/>
    <w:rsid w:val="00D25DD5"/>
    <w:rsid w:val="00D30A71"/>
    <w:rsid w:val="00D45252"/>
    <w:rsid w:val="00D462A6"/>
    <w:rsid w:val="00D47AF0"/>
    <w:rsid w:val="00D51946"/>
    <w:rsid w:val="00D548EA"/>
    <w:rsid w:val="00D60D6D"/>
    <w:rsid w:val="00D71B4D"/>
    <w:rsid w:val="00D84CC5"/>
    <w:rsid w:val="00D93D55"/>
    <w:rsid w:val="00DA5393"/>
    <w:rsid w:val="00DA6DAE"/>
    <w:rsid w:val="00DA79B8"/>
    <w:rsid w:val="00DB73C6"/>
    <w:rsid w:val="00DC24D7"/>
    <w:rsid w:val="00DD5818"/>
    <w:rsid w:val="00DD7A35"/>
    <w:rsid w:val="00E12088"/>
    <w:rsid w:val="00E156E9"/>
    <w:rsid w:val="00E32B88"/>
    <w:rsid w:val="00E335FE"/>
    <w:rsid w:val="00E360CA"/>
    <w:rsid w:val="00E43F92"/>
    <w:rsid w:val="00E45AB5"/>
    <w:rsid w:val="00E46835"/>
    <w:rsid w:val="00E5021F"/>
    <w:rsid w:val="00E51A3C"/>
    <w:rsid w:val="00E570EE"/>
    <w:rsid w:val="00E77852"/>
    <w:rsid w:val="00E8758A"/>
    <w:rsid w:val="00E9234D"/>
    <w:rsid w:val="00EA0294"/>
    <w:rsid w:val="00EB555D"/>
    <w:rsid w:val="00EC446F"/>
    <w:rsid w:val="00EC4E49"/>
    <w:rsid w:val="00ED77FB"/>
    <w:rsid w:val="00EE0AD5"/>
    <w:rsid w:val="00EE730F"/>
    <w:rsid w:val="00EF6AA9"/>
    <w:rsid w:val="00F021A6"/>
    <w:rsid w:val="00F06EA9"/>
    <w:rsid w:val="00F06EFD"/>
    <w:rsid w:val="00F12D1F"/>
    <w:rsid w:val="00F2169B"/>
    <w:rsid w:val="00F2293D"/>
    <w:rsid w:val="00F251A0"/>
    <w:rsid w:val="00F3313F"/>
    <w:rsid w:val="00F45345"/>
    <w:rsid w:val="00F502CC"/>
    <w:rsid w:val="00F519D5"/>
    <w:rsid w:val="00F61BDF"/>
    <w:rsid w:val="00F66152"/>
    <w:rsid w:val="00F76EC5"/>
    <w:rsid w:val="00F83AEC"/>
    <w:rsid w:val="00F9165C"/>
    <w:rsid w:val="00F91B1D"/>
    <w:rsid w:val="00F9681A"/>
    <w:rsid w:val="00FC08D3"/>
    <w:rsid w:val="00FC1E96"/>
    <w:rsid w:val="00FC3D1F"/>
    <w:rsid w:val="00FF0282"/>
    <w:rsid w:val="00FF0974"/>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07786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07786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5543-35C3-4630-A869-69452F45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7089</Words>
  <Characters>453</Characters>
  <Application>Microsoft Office Word</Application>
  <DocSecurity>0</DocSecurity>
  <Lines>3</Lines>
  <Paragraphs>15</Paragraphs>
  <ScaleCrop>false</ScaleCrop>
  <HeadingPairs>
    <vt:vector size="2" baseType="variant">
      <vt:variant>
        <vt:lpstr>Title</vt:lpstr>
      </vt:variant>
      <vt:variant>
        <vt:i4>1</vt:i4>
      </vt:variant>
    </vt:vector>
  </HeadingPairs>
  <TitlesOfParts>
    <vt:vector size="1" baseType="lpstr">
      <vt:lpstr>LI/A/33/1</vt:lpstr>
    </vt:vector>
  </TitlesOfParts>
  <Company>WIPO</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LI/A/33/3</dc:title>
  <dc:subject>报告</dc:subject>
  <dc:creator/>
  <cp:lastModifiedBy>Yanmei Li</cp:lastModifiedBy>
  <cp:revision>6</cp:revision>
  <cp:lastPrinted>2016-10-25T12:13:00Z</cp:lastPrinted>
  <dcterms:created xsi:type="dcterms:W3CDTF">2016-12-09T08:30:00Z</dcterms:created>
  <dcterms:modified xsi:type="dcterms:W3CDTF">2016-12-12T16:15:00Z</dcterms:modified>
</cp:coreProperties>
</file>