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FA" w:rsidRPr="00E25E6A" w:rsidRDefault="008B13FA" w:rsidP="008B13FA">
      <w:pPr>
        <w:jc w:val="right"/>
        <w:rPr>
          <w:rFonts w:ascii="Arial Black" w:hAnsi="Arial Black"/>
          <w:caps/>
          <w:sz w:val="15"/>
        </w:rPr>
      </w:pPr>
      <w:r w:rsidRPr="005D1032">
        <w:rPr>
          <w:rFonts w:eastAsiaTheme="minorEastAsia" w:cs="Times New Roman"/>
          <w:noProof/>
        </w:rPr>
        <w:drawing>
          <wp:inline distT="0" distB="0" distL="0" distR="0" wp14:anchorId="78B0633F" wp14:editId="21DC5BE1">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8B13FA" w:rsidRPr="00E25E6A" w:rsidRDefault="008B13FA" w:rsidP="008B13F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b</w:t>
      </w:r>
      <w:r>
        <w:rPr>
          <w:rFonts w:ascii="Arial Black" w:hAnsi="Arial Black"/>
          <w:b/>
          <w:caps/>
          <w:sz w:val="15"/>
        </w:rPr>
        <w:t>tap</w:t>
      </w:r>
      <w:r w:rsidRPr="00E25E6A">
        <w:rPr>
          <w:rFonts w:ascii="Arial Black" w:hAnsi="Arial Black" w:hint="eastAsia"/>
          <w:b/>
          <w:caps/>
          <w:sz w:val="15"/>
        </w:rPr>
        <w:t>/</w:t>
      </w:r>
      <w:r w:rsidRPr="00E25E6A">
        <w:rPr>
          <w:rFonts w:ascii="Arial Black" w:hAnsi="Arial Black"/>
          <w:b/>
          <w:caps/>
          <w:sz w:val="15"/>
        </w:rPr>
        <w:t>A</w:t>
      </w:r>
      <w:r w:rsidRPr="00E25E6A">
        <w:rPr>
          <w:rFonts w:ascii="Arial Black" w:hAnsi="Arial Black" w:hint="eastAsia"/>
          <w:b/>
          <w:caps/>
          <w:sz w:val="15"/>
        </w:rPr>
        <w:t>/</w:t>
      </w:r>
      <w:r>
        <w:rPr>
          <w:rFonts w:ascii="Arial Black" w:hAnsi="Arial Black" w:hint="eastAsia"/>
          <w:b/>
          <w:caps/>
          <w:sz w:val="15"/>
        </w:rPr>
        <w:t>2</w:t>
      </w:r>
      <w:r w:rsidRPr="00E25E6A">
        <w:rPr>
          <w:rFonts w:ascii="Arial Black" w:hAnsi="Arial Black"/>
          <w:b/>
          <w:caps/>
          <w:sz w:val="15"/>
        </w:rPr>
        <w:t>/</w:t>
      </w:r>
      <w:bookmarkStart w:id="0" w:name="Code"/>
      <w:r>
        <w:rPr>
          <w:rFonts w:ascii="Arial Black" w:hAnsi="Arial Black" w:hint="eastAsia"/>
          <w:b/>
          <w:caps/>
          <w:sz w:val="15"/>
        </w:rPr>
        <w:t>2</w:t>
      </w:r>
    </w:p>
    <w:bookmarkEnd w:id="0"/>
    <w:p w:rsidR="008B13FA" w:rsidRPr="00E25E6A" w:rsidRDefault="008B13FA" w:rsidP="008B13FA">
      <w:pPr>
        <w:jc w:val="right"/>
        <w:rPr>
          <w:rFonts w:ascii="Arial Black" w:hAnsi="Arial Black"/>
          <w:b/>
          <w:caps/>
          <w:sz w:val="15"/>
          <w:szCs w:val="15"/>
        </w:rPr>
      </w:pPr>
      <w:r w:rsidRPr="00E25E6A">
        <w:rPr>
          <w:rFonts w:eastAsia="SimHei" w:hint="eastAsia"/>
          <w:b/>
          <w:sz w:val="15"/>
          <w:szCs w:val="15"/>
        </w:rPr>
        <w:t>原</w:t>
      </w:r>
      <w:r w:rsidRPr="00E25E6A">
        <w:rPr>
          <w:rFonts w:eastAsia="SimHei" w:hint="eastAsia"/>
          <w:b/>
          <w:sz w:val="15"/>
          <w:szCs w:val="15"/>
        </w:rPr>
        <w:t xml:space="preserve"> </w:t>
      </w:r>
      <w:r w:rsidRPr="00E25E6A">
        <w:rPr>
          <w:rFonts w:eastAsia="SimHei" w:hint="eastAsia"/>
          <w:b/>
          <w:sz w:val="15"/>
          <w:szCs w:val="15"/>
        </w:rPr>
        <w:t>文</w:t>
      </w:r>
      <w:r w:rsidRPr="00E25E6A">
        <w:rPr>
          <w:rFonts w:eastAsia="SimHei" w:hint="eastAsia"/>
          <w:b/>
          <w:sz w:val="15"/>
          <w:szCs w:val="15"/>
          <w:lang w:val="pt-BR"/>
        </w:rPr>
        <w:t>：</w:t>
      </w:r>
      <w:bookmarkStart w:id="1" w:name="Original"/>
      <w:r w:rsidRPr="00E25E6A">
        <w:rPr>
          <w:rFonts w:eastAsia="SimHei" w:hint="eastAsia"/>
          <w:b/>
          <w:sz w:val="15"/>
          <w:szCs w:val="15"/>
          <w:lang w:val="pt-BR"/>
        </w:rPr>
        <w:t>英</w:t>
      </w:r>
      <w:r w:rsidRPr="00E25E6A">
        <w:rPr>
          <w:rFonts w:eastAsia="SimHei" w:hint="eastAsia"/>
          <w:b/>
          <w:sz w:val="15"/>
          <w:szCs w:val="15"/>
        </w:rPr>
        <w:t>文</w:t>
      </w:r>
    </w:p>
    <w:bookmarkEnd w:id="1"/>
    <w:p w:rsidR="008B13FA" w:rsidRPr="00E25E6A" w:rsidRDefault="008B13FA" w:rsidP="008B13FA">
      <w:pPr>
        <w:spacing w:line="1680" w:lineRule="auto"/>
        <w:jc w:val="right"/>
        <w:rPr>
          <w:rFonts w:ascii="SimHei" w:eastAsia="SimHei" w:hAnsi="Arial Black"/>
          <w:b/>
          <w:caps/>
          <w:sz w:val="15"/>
          <w:szCs w:val="15"/>
        </w:rPr>
      </w:pPr>
      <w:r w:rsidRPr="00E25E6A">
        <w:rPr>
          <w:rFonts w:ascii="SimHei" w:eastAsia="SimHei" w:hint="eastAsia"/>
          <w:b/>
          <w:sz w:val="15"/>
          <w:szCs w:val="15"/>
        </w:rPr>
        <w:t>日 期</w:t>
      </w:r>
      <w:r w:rsidRPr="00E25E6A">
        <w:rPr>
          <w:rFonts w:ascii="SimHei" w:eastAsia="SimHei" w:hAnsi="SimSun" w:hint="eastAsia"/>
          <w:b/>
          <w:sz w:val="15"/>
          <w:szCs w:val="15"/>
          <w:lang w:val="pt-BR"/>
        </w:rPr>
        <w:t>：</w:t>
      </w:r>
      <w:bookmarkStart w:id="2" w:name="Date"/>
      <w:r w:rsidRPr="00E25E6A">
        <w:rPr>
          <w:rFonts w:ascii="Arial Black" w:eastAsia="SimHei" w:hAnsi="Arial Black"/>
          <w:b/>
          <w:sz w:val="15"/>
          <w:szCs w:val="15"/>
          <w:lang w:val="pt-BR"/>
        </w:rPr>
        <w:t>20</w:t>
      </w:r>
      <w:r>
        <w:rPr>
          <w:rFonts w:ascii="Arial Black" w:eastAsia="SimHei" w:hAnsi="Arial Black" w:hint="eastAsia"/>
          <w:b/>
          <w:sz w:val="15"/>
          <w:szCs w:val="15"/>
          <w:lang w:val="pt-BR"/>
        </w:rPr>
        <w:t>21</w:t>
      </w:r>
      <w:r w:rsidRPr="00E25E6A">
        <w:rPr>
          <w:rFonts w:ascii="SimHei" w:eastAsia="SimHei" w:hAnsi="Times New Roman" w:hint="eastAsia"/>
          <w:b/>
          <w:sz w:val="15"/>
          <w:szCs w:val="15"/>
        </w:rPr>
        <w:t>年</w:t>
      </w:r>
      <w:r>
        <w:rPr>
          <w:rFonts w:ascii="Arial Black" w:eastAsia="SimHei" w:hAnsi="Arial Black"/>
          <w:b/>
          <w:sz w:val="15"/>
          <w:szCs w:val="15"/>
          <w:lang w:val="pt-BR"/>
        </w:rPr>
        <w:t>1</w:t>
      </w:r>
      <w:r w:rsidR="009C37E0">
        <w:rPr>
          <w:rFonts w:ascii="Arial Black" w:eastAsia="SimHei" w:hAnsi="Arial Black" w:hint="eastAsia"/>
          <w:b/>
          <w:sz w:val="15"/>
          <w:szCs w:val="15"/>
          <w:lang w:val="pt-BR"/>
        </w:rPr>
        <w:t>2</w:t>
      </w:r>
      <w:r w:rsidRPr="00E25E6A">
        <w:rPr>
          <w:rFonts w:ascii="SimHei" w:eastAsia="SimHei" w:hAnsi="Times New Roman" w:hint="eastAsia"/>
          <w:b/>
          <w:sz w:val="15"/>
          <w:szCs w:val="15"/>
        </w:rPr>
        <w:t>月</w:t>
      </w:r>
      <w:r w:rsidR="009C37E0">
        <w:rPr>
          <w:rFonts w:ascii="Arial Black" w:eastAsia="SimHei" w:hAnsi="Arial Black" w:hint="eastAsia"/>
          <w:b/>
          <w:sz w:val="15"/>
          <w:szCs w:val="15"/>
          <w:lang w:val="pt-BR"/>
        </w:rPr>
        <w:t>17</w:t>
      </w:r>
      <w:r w:rsidRPr="00E25E6A">
        <w:rPr>
          <w:rFonts w:ascii="SimHei" w:eastAsia="SimHei" w:hAnsi="Times New Roman" w:hint="eastAsia"/>
          <w:b/>
          <w:sz w:val="15"/>
          <w:szCs w:val="15"/>
        </w:rPr>
        <w:t>日</w:t>
      </w:r>
    </w:p>
    <w:bookmarkEnd w:id="2"/>
    <w:p w:rsidR="008B13FA" w:rsidRPr="00E25E6A" w:rsidRDefault="008B13FA" w:rsidP="008B13FA">
      <w:pPr>
        <w:spacing w:after="600"/>
        <w:rPr>
          <w:rFonts w:ascii="SimHei" w:eastAsia="SimHei" w:hAnsi="SimHei" w:cs="Times New Roman"/>
          <w:sz w:val="28"/>
          <w:szCs w:val="28"/>
        </w:rPr>
      </w:pPr>
      <w:r w:rsidRPr="00877462">
        <w:rPr>
          <w:rFonts w:ascii="SimHei" w:eastAsia="SimHei" w:hAnsi="SimHei" w:cs="Times New Roman" w:hint="eastAsia"/>
          <w:sz w:val="28"/>
          <w:szCs w:val="28"/>
        </w:rPr>
        <w:t>视听表演北京条约</w:t>
      </w:r>
    </w:p>
    <w:p w:rsidR="008B13FA" w:rsidRPr="00E25E6A" w:rsidRDefault="008B13FA" w:rsidP="008B13FA">
      <w:pPr>
        <w:spacing w:after="600"/>
        <w:rPr>
          <w:rFonts w:ascii="SimHei" w:eastAsia="SimHei"/>
          <w:sz w:val="28"/>
          <w:szCs w:val="28"/>
        </w:rPr>
      </w:pPr>
      <w:r w:rsidRPr="00E25E6A">
        <w:rPr>
          <w:rFonts w:ascii="SimHei" w:eastAsia="SimHei" w:hint="eastAsia"/>
          <w:sz w:val="28"/>
          <w:szCs w:val="28"/>
        </w:rPr>
        <w:t>大　会</w:t>
      </w:r>
    </w:p>
    <w:p w:rsidR="008B13FA" w:rsidRPr="00E25E6A" w:rsidRDefault="008B13FA" w:rsidP="008B13FA">
      <w:pPr>
        <w:spacing w:after="720"/>
        <w:textAlignment w:val="bottom"/>
        <w:rPr>
          <w:rFonts w:ascii="KaiTi" w:eastAsia="KaiTi"/>
          <w:b/>
          <w:sz w:val="24"/>
          <w:szCs w:val="24"/>
        </w:rPr>
      </w:pPr>
      <w:r w:rsidRPr="00E25E6A">
        <w:rPr>
          <w:rFonts w:ascii="KaiTi" w:eastAsia="KaiTi" w:hint="eastAsia"/>
          <w:b/>
          <w:sz w:val="24"/>
          <w:szCs w:val="24"/>
        </w:rPr>
        <w:t>第</w:t>
      </w:r>
      <w:r>
        <w:rPr>
          <w:rFonts w:ascii="KaiTi" w:eastAsia="KaiTi" w:hint="eastAsia"/>
          <w:b/>
          <w:sz w:val="24"/>
          <w:szCs w:val="24"/>
        </w:rPr>
        <w:t>二</w:t>
      </w:r>
      <w:r w:rsidRPr="00E25E6A">
        <w:rPr>
          <w:rFonts w:ascii="KaiTi" w:eastAsia="KaiTi" w:hint="eastAsia"/>
          <w:b/>
          <w:sz w:val="24"/>
          <w:szCs w:val="24"/>
        </w:rPr>
        <w:t>届会议（第</w:t>
      </w:r>
      <w:r>
        <w:rPr>
          <w:rFonts w:ascii="KaiTi" w:eastAsia="KaiTi" w:hint="eastAsia"/>
          <w:sz w:val="24"/>
          <w:szCs w:val="24"/>
        </w:rPr>
        <w:t>2</w:t>
      </w:r>
      <w:r w:rsidRPr="00E25E6A">
        <w:rPr>
          <w:rFonts w:ascii="KaiTi" w:eastAsia="KaiTi" w:hint="eastAsia"/>
          <w:b/>
          <w:sz w:val="24"/>
          <w:szCs w:val="24"/>
        </w:rPr>
        <w:t>次例会）</w:t>
      </w:r>
      <w:r w:rsidRPr="00E25E6A">
        <w:rPr>
          <w:rFonts w:ascii="KaiTi" w:eastAsia="KaiTi"/>
          <w:b/>
          <w:sz w:val="24"/>
          <w:szCs w:val="24"/>
        </w:rPr>
        <w:br/>
      </w:r>
      <w:r w:rsidRPr="00E25E6A">
        <w:rPr>
          <w:rFonts w:ascii="KaiTi" w:eastAsia="KaiTi" w:hint="eastAsia"/>
          <w:sz w:val="24"/>
          <w:szCs w:val="24"/>
        </w:rPr>
        <w:t>20</w:t>
      </w:r>
      <w:r>
        <w:rPr>
          <w:rFonts w:ascii="KaiTi" w:eastAsia="KaiTi" w:hint="eastAsia"/>
          <w:sz w:val="24"/>
          <w:szCs w:val="24"/>
        </w:rPr>
        <w:t>21</w:t>
      </w:r>
      <w:r w:rsidRPr="00E25E6A">
        <w:rPr>
          <w:rFonts w:ascii="KaiTi" w:eastAsia="KaiTi" w:hint="eastAsia"/>
          <w:b/>
          <w:sz w:val="24"/>
          <w:szCs w:val="24"/>
        </w:rPr>
        <w:t>年</w:t>
      </w:r>
      <w:r>
        <w:rPr>
          <w:rFonts w:ascii="KaiTi" w:eastAsia="KaiTi" w:hint="eastAsia"/>
          <w:sz w:val="24"/>
          <w:szCs w:val="24"/>
        </w:rPr>
        <w:t>10</w:t>
      </w:r>
      <w:r w:rsidRPr="00E25E6A">
        <w:rPr>
          <w:rFonts w:ascii="KaiTi" w:eastAsia="KaiTi" w:hint="eastAsia"/>
          <w:b/>
          <w:sz w:val="24"/>
          <w:szCs w:val="24"/>
        </w:rPr>
        <w:t>月</w:t>
      </w:r>
      <w:r>
        <w:rPr>
          <w:rFonts w:ascii="KaiTi" w:eastAsia="KaiTi" w:hint="eastAsia"/>
          <w:sz w:val="24"/>
          <w:szCs w:val="24"/>
        </w:rPr>
        <w:t>4</w:t>
      </w:r>
      <w:r w:rsidRPr="00E25E6A">
        <w:rPr>
          <w:rFonts w:ascii="KaiTi" w:eastAsia="KaiTi" w:hint="eastAsia"/>
          <w:b/>
          <w:sz w:val="24"/>
          <w:szCs w:val="24"/>
        </w:rPr>
        <w:t>日至</w:t>
      </w:r>
      <w:r>
        <w:rPr>
          <w:rFonts w:ascii="KaiTi" w:eastAsia="KaiTi" w:hint="eastAsia"/>
          <w:sz w:val="24"/>
          <w:szCs w:val="24"/>
        </w:rPr>
        <w:t>8</w:t>
      </w:r>
      <w:r w:rsidRPr="00E25E6A">
        <w:rPr>
          <w:rFonts w:ascii="KaiTi" w:eastAsia="KaiTi" w:hint="eastAsia"/>
          <w:b/>
          <w:sz w:val="24"/>
          <w:szCs w:val="24"/>
        </w:rPr>
        <w:t>日，日内瓦</w:t>
      </w:r>
    </w:p>
    <w:p w:rsidR="008B13FA" w:rsidRPr="00E25E6A" w:rsidRDefault="008B13FA" w:rsidP="008B13FA">
      <w:pPr>
        <w:spacing w:after="360"/>
        <w:rPr>
          <w:rFonts w:ascii="KaiTi" w:hAnsi="KaiTi"/>
          <w:b/>
          <w:sz w:val="24"/>
          <w:szCs w:val="24"/>
        </w:rPr>
      </w:pPr>
      <w:bookmarkStart w:id="3" w:name="TitleOfDoc"/>
      <w:r>
        <w:rPr>
          <w:rFonts w:ascii="KaiTi" w:eastAsia="KaiTi" w:hAnsi="KaiTi" w:hint="eastAsia"/>
          <w:bCs/>
          <w:sz w:val="24"/>
          <w:szCs w:val="24"/>
        </w:rPr>
        <w:t>报</w:t>
      </w:r>
      <w:r w:rsidR="009C37E0">
        <w:rPr>
          <w:rFonts w:ascii="KaiTi" w:eastAsia="KaiTi" w:hAnsi="KaiTi" w:hint="eastAsia"/>
          <w:bCs/>
          <w:sz w:val="24"/>
          <w:szCs w:val="24"/>
        </w:rPr>
        <w:t xml:space="preserve">　</w:t>
      </w:r>
      <w:r>
        <w:rPr>
          <w:rFonts w:ascii="KaiTi" w:eastAsia="KaiTi" w:hAnsi="KaiTi" w:hint="eastAsia"/>
          <w:bCs/>
          <w:sz w:val="24"/>
          <w:szCs w:val="24"/>
        </w:rPr>
        <w:t>告</w:t>
      </w:r>
    </w:p>
    <w:p w:rsidR="009C37E0" w:rsidRPr="00E25E6A" w:rsidRDefault="009C37E0" w:rsidP="008B13FA">
      <w:pPr>
        <w:spacing w:after="960"/>
        <w:rPr>
          <w:rFonts w:ascii="KaiTi" w:hAnsi="KaiTi"/>
          <w:sz w:val="21"/>
          <w:szCs w:val="21"/>
        </w:rPr>
      </w:pPr>
      <w:bookmarkStart w:id="4" w:name="Prepared"/>
      <w:bookmarkEnd w:id="3"/>
      <w:r>
        <w:rPr>
          <w:rFonts w:ascii="KaiTi" w:eastAsia="KaiTi" w:hAnsi="KaiTi" w:hint="eastAsia"/>
          <w:sz w:val="21"/>
          <w:szCs w:val="21"/>
        </w:rPr>
        <w:t>经大会通过</w:t>
      </w:r>
    </w:p>
    <w:bookmarkEnd w:id="4"/>
    <w:p w:rsidR="008C109A" w:rsidRPr="00DE5FB2" w:rsidRDefault="008B13FA" w:rsidP="00DE5FB2">
      <w:pPr>
        <w:pStyle w:val="ONUME"/>
        <w:tabs>
          <w:tab w:val="clear" w:pos="567"/>
        </w:tabs>
        <w:spacing w:afterLines="50" w:after="120" w:line="340" w:lineRule="atLeast"/>
        <w:jc w:val="both"/>
        <w:rPr>
          <w:rFonts w:ascii="SimSun" w:hAnsi="SimSun"/>
          <w:sz w:val="21"/>
        </w:rPr>
      </w:pPr>
      <w:proofErr w:type="gramStart"/>
      <w:r w:rsidRPr="00DE5FB2">
        <w:rPr>
          <w:rFonts w:ascii="SimSun" w:hAnsi="SimSun" w:hint="eastAsia"/>
          <w:sz w:val="21"/>
        </w:rPr>
        <w:t>本大会</w:t>
      </w:r>
      <w:proofErr w:type="gramEnd"/>
      <w:r w:rsidRPr="00DE5FB2">
        <w:rPr>
          <w:rFonts w:ascii="SimSun" w:hAnsi="SimSun" w:hint="eastAsia"/>
          <w:sz w:val="21"/>
        </w:rPr>
        <w:t>涉及统一编排议程（文件A/6</w:t>
      </w:r>
      <w:r w:rsidRPr="00DE5FB2">
        <w:rPr>
          <w:rFonts w:ascii="SimSun" w:hAnsi="SimSun"/>
          <w:sz w:val="21"/>
        </w:rPr>
        <w:t>2</w:t>
      </w:r>
      <w:r w:rsidRPr="00DE5FB2">
        <w:rPr>
          <w:rFonts w:ascii="SimSun" w:hAnsi="SimSun" w:hint="eastAsia"/>
          <w:sz w:val="21"/>
        </w:rPr>
        <w:t>/1）的下列项目：第</w:t>
      </w:r>
      <w:r w:rsidRPr="00DE5FB2">
        <w:rPr>
          <w:rFonts w:ascii="SimSun" w:hAnsi="SimSun"/>
          <w:sz w:val="21"/>
        </w:rPr>
        <w:t>1</w:t>
      </w:r>
      <w:r w:rsidR="00DE5FB2">
        <w:rPr>
          <w:rFonts w:ascii="SimSun" w:hAnsi="SimSun"/>
          <w:sz w:val="21"/>
        </w:rPr>
        <w:t>、</w:t>
      </w:r>
      <w:r w:rsidRPr="00DE5FB2">
        <w:rPr>
          <w:rFonts w:ascii="SimSun" w:hAnsi="SimSun"/>
          <w:sz w:val="21"/>
        </w:rPr>
        <w:t>2</w:t>
      </w:r>
      <w:r w:rsidR="00DE5FB2">
        <w:rPr>
          <w:rFonts w:ascii="SimSun" w:hAnsi="SimSun"/>
          <w:sz w:val="21"/>
        </w:rPr>
        <w:t>、</w:t>
      </w:r>
      <w:r w:rsidRPr="00DE5FB2">
        <w:rPr>
          <w:rFonts w:ascii="SimSun" w:hAnsi="SimSun"/>
          <w:sz w:val="21"/>
        </w:rPr>
        <w:t>3</w:t>
      </w:r>
      <w:r w:rsidR="00DE5FB2">
        <w:rPr>
          <w:rFonts w:ascii="SimSun" w:hAnsi="SimSun"/>
          <w:sz w:val="21"/>
        </w:rPr>
        <w:t>、</w:t>
      </w:r>
      <w:r w:rsidRPr="00DE5FB2">
        <w:rPr>
          <w:rFonts w:ascii="SimSun" w:hAnsi="SimSun"/>
          <w:sz w:val="21"/>
        </w:rPr>
        <w:t>4</w:t>
      </w:r>
      <w:r w:rsidR="00DE5FB2">
        <w:rPr>
          <w:rFonts w:ascii="SimSun" w:hAnsi="SimSun"/>
          <w:sz w:val="21"/>
        </w:rPr>
        <w:t>、</w:t>
      </w:r>
      <w:r w:rsidRPr="00DE5FB2">
        <w:rPr>
          <w:rFonts w:ascii="SimSun" w:hAnsi="SimSun"/>
          <w:sz w:val="21"/>
        </w:rPr>
        <w:t>5</w:t>
      </w:r>
      <w:r w:rsidR="00DE5FB2">
        <w:rPr>
          <w:rFonts w:ascii="SimSun" w:hAnsi="SimSun"/>
          <w:sz w:val="21"/>
        </w:rPr>
        <w:t>、</w:t>
      </w:r>
      <w:r w:rsidRPr="00DE5FB2">
        <w:rPr>
          <w:rFonts w:ascii="SimSun" w:hAnsi="SimSun"/>
          <w:sz w:val="21"/>
        </w:rPr>
        <w:t>6</w:t>
      </w:r>
      <w:r w:rsidR="00DE5FB2">
        <w:rPr>
          <w:rFonts w:ascii="SimSun" w:hAnsi="SimSun"/>
          <w:sz w:val="21"/>
        </w:rPr>
        <w:t>、</w:t>
      </w:r>
      <w:r w:rsidRPr="00DE5FB2">
        <w:rPr>
          <w:rFonts w:ascii="SimSun" w:hAnsi="SimSun"/>
          <w:sz w:val="21"/>
        </w:rPr>
        <w:t>10(ii)</w:t>
      </w:r>
      <w:r w:rsidR="00DE5FB2">
        <w:rPr>
          <w:rFonts w:ascii="SimSun" w:hAnsi="SimSun"/>
          <w:sz w:val="21"/>
        </w:rPr>
        <w:t>、</w:t>
      </w:r>
      <w:r w:rsidRPr="00DE5FB2">
        <w:rPr>
          <w:rFonts w:ascii="SimSun" w:hAnsi="SimSun"/>
          <w:sz w:val="21"/>
        </w:rPr>
        <w:t>11</w:t>
      </w:r>
      <w:r w:rsidR="00DE5FB2">
        <w:rPr>
          <w:rFonts w:ascii="SimSun" w:hAnsi="SimSun"/>
          <w:sz w:val="21"/>
        </w:rPr>
        <w:t>、</w:t>
      </w:r>
      <w:r w:rsidRPr="00DE5FB2">
        <w:rPr>
          <w:rFonts w:ascii="SimSun" w:hAnsi="SimSun"/>
          <w:sz w:val="21"/>
        </w:rPr>
        <w:t>12</w:t>
      </w:r>
      <w:r w:rsidR="00DE5FB2">
        <w:rPr>
          <w:rFonts w:ascii="SimSun" w:hAnsi="SimSun"/>
          <w:sz w:val="21"/>
        </w:rPr>
        <w:t>、</w:t>
      </w:r>
      <w:r w:rsidRPr="00DE5FB2">
        <w:rPr>
          <w:rFonts w:ascii="SimSun" w:hAnsi="SimSun"/>
          <w:sz w:val="21"/>
        </w:rPr>
        <w:t>29</w:t>
      </w:r>
      <w:r w:rsidR="00DE5FB2">
        <w:rPr>
          <w:rFonts w:ascii="SimSun" w:hAnsi="SimSun"/>
          <w:sz w:val="21"/>
        </w:rPr>
        <w:t>、</w:t>
      </w:r>
      <w:r w:rsidRPr="00DE5FB2">
        <w:rPr>
          <w:rFonts w:ascii="SimSun" w:hAnsi="SimSun"/>
          <w:sz w:val="21"/>
        </w:rPr>
        <w:t>32</w:t>
      </w:r>
      <w:r w:rsidR="00DE5FB2">
        <w:rPr>
          <w:rFonts w:ascii="SimSun" w:hAnsi="SimSun" w:hint="eastAsia"/>
          <w:sz w:val="21"/>
        </w:rPr>
        <w:t>和</w:t>
      </w:r>
      <w:r w:rsidRPr="00DE5FB2">
        <w:rPr>
          <w:rFonts w:ascii="SimSun" w:hAnsi="SimSun"/>
          <w:sz w:val="21"/>
        </w:rPr>
        <w:t>33</w:t>
      </w:r>
      <w:r w:rsidRPr="00DE5FB2">
        <w:rPr>
          <w:rFonts w:ascii="SimSun" w:hAnsi="SimSun" w:hint="eastAsia"/>
          <w:sz w:val="21"/>
        </w:rPr>
        <w:t>项。</w:t>
      </w:r>
    </w:p>
    <w:p w:rsidR="008C109A" w:rsidRPr="00DE5FB2" w:rsidRDefault="008B13FA" w:rsidP="00DE5FB2">
      <w:pPr>
        <w:pStyle w:val="ONUME"/>
        <w:tabs>
          <w:tab w:val="clear" w:pos="567"/>
        </w:tabs>
        <w:spacing w:afterLines="50" w:after="120" w:line="340" w:lineRule="atLeast"/>
        <w:jc w:val="both"/>
        <w:rPr>
          <w:rFonts w:ascii="SimSun" w:hAnsi="SimSun"/>
          <w:sz w:val="21"/>
        </w:rPr>
      </w:pPr>
      <w:r w:rsidRPr="00DE5FB2">
        <w:rPr>
          <w:rFonts w:ascii="SimSun" w:hAnsi="SimSun" w:hint="eastAsia"/>
          <w:sz w:val="21"/>
        </w:rPr>
        <w:t>除第</w:t>
      </w:r>
      <w:r w:rsidRPr="00DE5FB2">
        <w:rPr>
          <w:rFonts w:ascii="SimSun" w:hAnsi="SimSun"/>
          <w:sz w:val="21"/>
        </w:rPr>
        <w:t>29</w:t>
      </w:r>
      <w:r w:rsidRPr="00DE5FB2">
        <w:rPr>
          <w:rFonts w:ascii="SimSun" w:hAnsi="SimSun" w:hint="eastAsia"/>
          <w:sz w:val="21"/>
        </w:rPr>
        <w:t>项外，关于上述各项的报告均载于总报告（文件</w:t>
      </w:r>
      <w:r w:rsidRPr="00DE5FB2">
        <w:rPr>
          <w:rFonts w:ascii="SimSun" w:hAnsi="SimSun"/>
          <w:sz w:val="21"/>
        </w:rPr>
        <w:t>A/62/13</w:t>
      </w:r>
      <w:r w:rsidRPr="00DE5FB2">
        <w:rPr>
          <w:rFonts w:ascii="SimSun" w:hAnsi="SimSun" w:hint="eastAsia"/>
          <w:sz w:val="21"/>
        </w:rPr>
        <w:t>）。</w:t>
      </w:r>
    </w:p>
    <w:p w:rsidR="008C109A" w:rsidRPr="00DE5FB2" w:rsidRDefault="008B13FA" w:rsidP="00DE5FB2">
      <w:pPr>
        <w:pStyle w:val="ONUME"/>
        <w:tabs>
          <w:tab w:val="clear" w:pos="567"/>
        </w:tabs>
        <w:spacing w:afterLines="50" w:after="120" w:line="340" w:lineRule="atLeast"/>
        <w:jc w:val="both"/>
        <w:rPr>
          <w:rFonts w:ascii="SimSun" w:hAnsi="SimSun"/>
          <w:sz w:val="21"/>
        </w:rPr>
      </w:pPr>
      <w:r w:rsidRPr="00DE5FB2">
        <w:rPr>
          <w:rFonts w:ascii="SimSun" w:hAnsi="SimSun" w:hint="eastAsia"/>
          <w:sz w:val="21"/>
        </w:rPr>
        <w:t>关于第</w:t>
      </w:r>
      <w:r w:rsidRPr="00DE5FB2">
        <w:rPr>
          <w:rFonts w:ascii="SimSun" w:hAnsi="SimSun"/>
          <w:sz w:val="21"/>
        </w:rPr>
        <w:t>29</w:t>
      </w:r>
      <w:r w:rsidRPr="00DE5FB2">
        <w:rPr>
          <w:rFonts w:ascii="SimSun" w:hAnsi="SimSun" w:hint="eastAsia"/>
          <w:sz w:val="21"/>
        </w:rPr>
        <w:t>项的报告载于本文件。</w:t>
      </w:r>
    </w:p>
    <w:p w:rsidR="008C109A" w:rsidRPr="00DE5FB2" w:rsidRDefault="008B13FA" w:rsidP="00DE5FB2">
      <w:pPr>
        <w:pStyle w:val="ONUME"/>
        <w:tabs>
          <w:tab w:val="clear" w:pos="567"/>
        </w:tabs>
        <w:spacing w:afterLines="50" w:after="120" w:line="340" w:lineRule="atLeast"/>
        <w:jc w:val="both"/>
        <w:rPr>
          <w:rFonts w:ascii="SimSun" w:hAnsi="SimSun"/>
          <w:sz w:val="21"/>
        </w:rPr>
      </w:pPr>
      <w:r w:rsidRPr="00DE5FB2">
        <w:rPr>
          <w:rFonts w:ascii="SimSun" w:hAnsi="SimSun" w:hint="eastAsia"/>
          <w:sz w:val="21"/>
        </w:rPr>
        <w:t>玛丽亚·加芙列拉·坎波韦德女士（厄瓜多尔）</w:t>
      </w:r>
      <w:r w:rsidR="007E1919">
        <w:rPr>
          <w:rFonts w:ascii="SimSun" w:hAnsi="SimSun" w:hint="eastAsia"/>
          <w:sz w:val="21"/>
        </w:rPr>
        <w:t>当选</w:t>
      </w:r>
      <w:r w:rsidR="007E1919" w:rsidRPr="00DE5FB2">
        <w:rPr>
          <w:rFonts w:ascii="SimSun" w:hAnsi="SimSun" w:hint="eastAsia"/>
          <w:sz w:val="21"/>
        </w:rPr>
        <w:t>大会主席</w:t>
      </w:r>
      <w:r w:rsidRPr="00DE5FB2">
        <w:rPr>
          <w:rFonts w:ascii="SimSun" w:hAnsi="SimSun" w:hint="eastAsia"/>
          <w:sz w:val="21"/>
        </w:rPr>
        <w:t>。</w:t>
      </w:r>
    </w:p>
    <w:p w:rsidR="008C109A" w:rsidRPr="009B152B" w:rsidRDefault="008C109A" w:rsidP="008C109A">
      <w:pPr>
        <w:spacing w:after="220"/>
        <w:rPr>
          <w:rFonts w:ascii="SimSun" w:hAnsi="SimSun"/>
          <w:sz w:val="21"/>
        </w:rPr>
      </w:pPr>
      <w:r w:rsidRPr="009B152B">
        <w:rPr>
          <w:rFonts w:ascii="SimSun" w:hAnsi="SimSun"/>
          <w:sz w:val="21"/>
        </w:rPr>
        <w:br w:type="page"/>
      </w:r>
    </w:p>
    <w:p w:rsidR="008B13FA" w:rsidRPr="008B13FA" w:rsidRDefault="008B13FA" w:rsidP="008B13FA">
      <w:pPr>
        <w:keepNext/>
        <w:spacing w:beforeLines="100" w:before="240" w:line="340" w:lineRule="atLeast"/>
        <w:jc w:val="both"/>
        <w:rPr>
          <w:rFonts w:ascii="KaiTi" w:eastAsia="KaiTi" w:hAnsi="KaiTi" w:cs="SimSun"/>
          <w:sz w:val="21"/>
          <w:szCs w:val="21"/>
        </w:rPr>
      </w:pPr>
      <w:r w:rsidRPr="008B13FA">
        <w:rPr>
          <w:rFonts w:ascii="KaiTi" w:eastAsia="KaiTi" w:hAnsi="KaiTi" w:cs="SimSun"/>
          <w:sz w:val="21"/>
          <w:szCs w:val="21"/>
        </w:rPr>
        <w:lastRenderedPageBreak/>
        <w:t>统一编排议程第29项</w:t>
      </w:r>
    </w:p>
    <w:p w:rsidR="008B13FA" w:rsidRPr="008B13FA" w:rsidRDefault="008B13FA" w:rsidP="008B13FA">
      <w:pPr>
        <w:keepNext/>
        <w:spacing w:afterLines="50" w:after="120" w:line="340" w:lineRule="atLeast"/>
        <w:jc w:val="both"/>
        <w:rPr>
          <w:rFonts w:ascii="SimHei" w:eastAsia="SimHei"/>
          <w:sz w:val="21"/>
          <w:szCs w:val="21"/>
        </w:rPr>
      </w:pPr>
      <w:r w:rsidRPr="008B13FA">
        <w:rPr>
          <w:rFonts w:ascii="SimHei" w:eastAsia="SimHei" w:hint="eastAsia"/>
          <w:sz w:val="21"/>
          <w:szCs w:val="21"/>
        </w:rPr>
        <w:t>视听表演北京条约（北京条约）</w:t>
      </w:r>
    </w:p>
    <w:p w:rsidR="008B13FA" w:rsidRDefault="008B13FA" w:rsidP="00DE5FB2">
      <w:pPr>
        <w:numPr>
          <w:ilvl w:val="0"/>
          <w:numId w:val="5"/>
        </w:numPr>
        <w:tabs>
          <w:tab w:val="clear" w:pos="567"/>
        </w:tabs>
        <w:overflowPunct w:val="0"/>
        <w:spacing w:afterLines="50" w:after="120" w:line="340" w:lineRule="atLeast"/>
        <w:jc w:val="both"/>
        <w:rPr>
          <w:rFonts w:ascii="SimSun" w:hAnsi="SimSun"/>
          <w:sz w:val="21"/>
          <w:szCs w:val="22"/>
        </w:rPr>
      </w:pPr>
      <w:r w:rsidRPr="008B13FA">
        <w:rPr>
          <w:rFonts w:ascii="SimSun" w:hAnsi="SimSun"/>
          <w:sz w:val="21"/>
          <w:szCs w:val="22"/>
        </w:rPr>
        <w:t>讨论依据文件</w:t>
      </w:r>
      <w:hyperlink r:id="rId9" w:history="1">
        <w:r w:rsidRPr="007E1919">
          <w:rPr>
            <w:rStyle w:val="Hyperlink"/>
            <w:rFonts w:ascii="SimSun" w:hAnsi="SimSun"/>
            <w:color w:val="auto"/>
            <w:sz w:val="21"/>
            <w:szCs w:val="22"/>
            <w:u w:val="none"/>
          </w:rPr>
          <w:t>BTAP/A/2/1 Rev.</w:t>
        </w:r>
      </w:hyperlink>
      <w:r w:rsidRPr="008B13FA">
        <w:rPr>
          <w:rFonts w:ascii="SimSun" w:hAnsi="SimSun"/>
          <w:sz w:val="21"/>
          <w:szCs w:val="22"/>
        </w:rPr>
        <w:t>进行。</w:t>
      </w:r>
    </w:p>
    <w:p w:rsidR="003953CC" w:rsidRPr="009B152B" w:rsidRDefault="003953CC" w:rsidP="009B152B">
      <w:pPr>
        <w:numPr>
          <w:ilvl w:val="0"/>
          <w:numId w:val="5"/>
        </w:numPr>
        <w:tabs>
          <w:tab w:val="clear" w:pos="567"/>
        </w:tabs>
        <w:overflowPunct w:val="0"/>
        <w:spacing w:afterLines="50" w:after="120" w:line="340" w:lineRule="atLeast"/>
        <w:jc w:val="both"/>
        <w:rPr>
          <w:rFonts w:ascii="SimSun" w:hAnsi="SimSun"/>
          <w:sz w:val="21"/>
        </w:rPr>
      </w:pPr>
      <w:r w:rsidRPr="003953CC">
        <w:rPr>
          <w:rFonts w:ascii="SimSun" w:hAnsi="SimSun" w:hint="eastAsia"/>
          <w:sz w:val="21"/>
          <w:szCs w:val="22"/>
        </w:rPr>
        <w:t>主席感谢所有成员选举她为北京条约大会主席，并</w:t>
      </w:r>
      <w:proofErr w:type="gramStart"/>
      <w:r w:rsidRPr="003953CC">
        <w:rPr>
          <w:rFonts w:ascii="SimSun" w:hAnsi="SimSun" w:hint="eastAsia"/>
          <w:sz w:val="21"/>
          <w:szCs w:val="22"/>
        </w:rPr>
        <w:t>欢迎自</w:t>
      </w:r>
      <w:proofErr w:type="gramEnd"/>
      <w:r w:rsidRPr="003953CC">
        <w:rPr>
          <w:rFonts w:ascii="SimSun" w:hAnsi="SimSun" w:hint="eastAsia"/>
          <w:sz w:val="21"/>
          <w:szCs w:val="22"/>
        </w:rPr>
        <w:t>2020年9月大会上届会议以来新加入条约的缔约</w:t>
      </w:r>
      <w:r>
        <w:rPr>
          <w:rFonts w:ascii="SimSun" w:hAnsi="SimSun" w:hint="eastAsia"/>
          <w:sz w:val="21"/>
          <w:szCs w:val="22"/>
        </w:rPr>
        <w:t>方</w:t>
      </w:r>
      <w:r w:rsidRPr="003953CC">
        <w:rPr>
          <w:rFonts w:ascii="SimSun" w:hAnsi="SimSun" w:hint="eastAsia"/>
          <w:sz w:val="21"/>
          <w:szCs w:val="22"/>
        </w:rPr>
        <w:t>。新的</w:t>
      </w:r>
      <w:r w:rsidR="00647402">
        <w:rPr>
          <w:rFonts w:ascii="SimSun" w:hAnsi="SimSun" w:hint="eastAsia"/>
          <w:sz w:val="21"/>
          <w:szCs w:val="22"/>
        </w:rPr>
        <w:t>条约</w:t>
      </w:r>
      <w:bookmarkStart w:id="5" w:name="_GoBack"/>
      <w:bookmarkEnd w:id="5"/>
      <w:r w:rsidRPr="003953CC">
        <w:rPr>
          <w:rFonts w:ascii="SimSun" w:hAnsi="SimSun" w:hint="eastAsia"/>
          <w:sz w:val="21"/>
          <w:szCs w:val="22"/>
        </w:rPr>
        <w:t>成员国是亚美尼亚、科摩罗、哥斯达黎加、厄瓜多尔、基里巴斯、列支敦士登、菲律宾、圣多美和普林西比以及多哥。缔约方总数为43个。</w:t>
      </w:r>
    </w:p>
    <w:p w:rsidR="003953CC" w:rsidRPr="009B152B" w:rsidRDefault="003953CC" w:rsidP="009B152B">
      <w:pPr>
        <w:numPr>
          <w:ilvl w:val="0"/>
          <w:numId w:val="5"/>
        </w:numPr>
        <w:tabs>
          <w:tab w:val="clear" w:pos="567"/>
        </w:tabs>
        <w:overflowPunct w:val="0"/>
        <w:spacing w:afterLines="50" w:after="120" w:line="340" w:lineRule="atLeast"/>
        <w:jc w:val="both"/>
        <w:rPr>
          <w:rFonts w:ascii="SimSun" w:hAnsi="SimSun"/>
          <w:sz w:val="21"/>
        </w:rPr>
      </w:pPr>
      <w:r w:rsidRPr="003953CC">
        <w:rPr>
          <w:rFonts w:ascii="SimSun" w:hAnsi="SimSun" w:hint="eastAsia"/>
          <w:sz w:val="21"/>
          <w:szCs w:val="22"/>
        </w:rPr>
        <w:t>秘书处强调了文件BTAP/A/2/1 Rev</w:t>
      </w:r>
      <w:r>
        <w:rPr>
          <w:rFonts w:ascii="SimSun" w:hAnsi="SimSun"/>
          <w:sz w:val="21"/>
          <w:szCs w:val="22"/>
        </w:rPr>
        <w:t>.</w:t>
      </w:r>
      <w:r w:rsidRPr="003953CC">
        <w:rPr>
          <w:rFonts w:ascii="SimSun" w:hAnsi="SimSun" w:hint="eastAsia"/>
          <w:sz w:val="21"/>
          <w:szCs w:val="22"/>
        </w:rPr>
        <w:t>中概述的一些重要方面。对《视听表演北京条约》(《北京条约》)的加入继续增加，该条约目前有43个缔约方，包括2020年9月以来的</w:t>
      </w:r>
      <w:r>
        <w:rPr>
          <w:rFonts w:ascii="SimSun" w:hAnsi="SimSun" w:hint="eastAsia"/>
          <w:sz w:val="21"/>
          <w:szCs w:val="22"/>
        </w:rPr>
        <w:t>9</w:t>
      </w:r>
      <w:r w:rsidRPr="003953CC">
        <w:rPr>
          <w:rFonts w:ascii="SimSun" w:hAnsi="SimSun" w:hint="eastAsia"/>
          <w:sz w:val="21"/>
          <w:szCs w:val="22"/>
        </w:rPr>
        <w:t>个新成员国。自上次向</w:t>
      </w:r>
      <w:r>
        <w:rPr>
          <w:rFonts w:ascii="SimSun" w:hAnsi="SimSun" w:hint="eastAsia"/>
          <w:sz w:val="21"/>
          <w:szCs w:val="22"/>
        </w:rPr>
        <w:t>产权组织</w:t>
      </w:r>
      <w:r w:rsidRPr="003953CC">
        <w:rPr>
          <w:rFonts w:ascii="SimSun" w:hAnsi="SimSun" w:hint="eastAsia"/>
          <w:sz w:val="21"/>
          <w:szCs w:val="22"/>
        </w:rPr>
        <w:t>大会提交报告以来，秘书处组织或参与了10次关于该条约的虚拟会议，使成员国能够在大流行病的情况下进行讨论。</w:t>
      </w:r>
    </w:p>
    <w:p w:rsidR="003953CC" w:rsidRPr="009B152B" w:rsidRDefault="003953CC" w:rsidP="009B152B">
      <w:pPr>
        <w:numPr>
          <w:ilvl w:val="0"/>
          <w:numId w:val="5"/>
        </w:numPr>
        <w:tabs>
          <w:tab w:val="clear" w:pos="567"/>
        </w:tabs>
        <w:overflowPunct w:val="0"/>
        <w:spacing w:afterLines="50" w:after="120" w:line="340" w:lineRule="atLeast"/>
        <w:jc w:val="both"/>
        <w:rPr>
          <w:rFonts w:ascii="SimSun" w:hAnsi="SimSun"/>
          <w:sz w:val="21"/>
        </w:rPr>
      </w:pPr>
      <w:r w:rsidRPr="003953CC">
        <w:rPr>
          <w:rFonts w:ascii="SimSun" w:hAnsi="SimSun" w:hint="eastAsia"/>
          <w:sz w:val="21"/>
          <w:szCs w:val="22"/>
        </w:rPr>
        <w:t>巴拿马代表团报告说，该国政府已承诺加强该国的知识产权制度，自2019年8月以来，文化部一直在努力完成其使命，其中一个方面是促进和保护文化权利，包括版权。在其具体目标中，该部已着手批准《北京条约》。代表团告诉成员们，2021年10月5日星期二，巴拿马国民</w:t>
      </w:r>
      <w:r>
        <w:rPr>
          <w:rFonts w:ascii="SimSun" w:hAnsi="SimSun" w:hint="eastAsia"/>
          <w:sz w:val="21"/>
          <w:szCs w:val="22"/>
        </w:rPr>
        <w:t>大会</w:t>
      </w:r>
      <w:r w:rsidRPr="003953CC">
        <w:rPr>
          <w:rFonts w:ascii="SimSun" w:hAnsi="SimSun" w:hint="eastAsia"/>
          <w:sz w:val="21"/>
          <w:szCs w:val="22"/>
        </w:rPr>
        <w:t>批准了</w:t>
      </w:r>
      <w:r>
        <w:rPr>
          <w:rFonts w:ascii="SimSun" w:hAnsi="SimSun" w:hint="eastAsia"/>
          <w:sz w:val="21"/>
          <w:szCs w:val="22"/>
        </w:rPr>
        <w:t>批准</w:t>
      </w:r>
      <w:r w:rsidRPr="003953CC">
        <w:rPr>
          <w:rFonts w:ascii="SimSun" w:hAnsi="SimSun" w:hint="eastAsia"/>
          <w:sz w:val="21"/>
          <w:szCs w:val="22"/>
        </w:rPr>
        <w:t>《北京条约》。预计该条约将由总统批准，并在随后几天内交存到</w:t>
      </w:r>
      <w:r>
        <w:rPr>
          <w:rFonts w:ascii="SimSun" w:hAnsi="SimSun" w:hint="eastAsia"/>
          <w:sz w:val="21"/>
          <w:szCs w:val="22"/>
        </w:rPr>
        <w:t>产权组织</w:t>
      </w:r>
      <w:r w:rsidRPr="003953CC">
        <w:rPr>
          <w:rFonts w:ascii="SimSun" w:hAnsi="SimSun" w:hint="eastAsia"/>
          <w:sz w:val="21"/>
          <w:szCs w:val="22"/>
        </w:rPr>
        <w:t>。</w:t>
      </w:r>
      <w:r>
        <w:rPr>
          <w:rFonts w:ascii="SimSun" w:hAnsi="SimSun" w:hint="eastAsia"/>
          <w:sz w:val="21"/>
          <w:szCs w:val="22"/>
        </w:rPr>
        <w:t>代表团</w:t>
      </w:r>
      <w:r w:rsidRPr="003953CC">
        <w:rPr>
          <w:rFonts w:ascii="SimSun" w:hAnsi="SimSun" w:hint="eastAsia"/>
          <w:sz w:val="21"/>
          <w:szCs w:val="22"/>
        </w:rPr>
        <w:t>指出，批准该条约清楚地证明了巴拿马对保护文化和承认知识产权的重视。对于演员和其他视听表演者来说，该条约是一个不仅可以加强法律框架，而且可以维护《世界人权公约》第27条第2款的文书。</w:t>
      </w:r>
      <w:r>
        <w:rPr>
          <w:rFonts w:ascii="SimSun" w:hAnsi="SimSun" w:hint="eastAsia"/>
          <w:sz w:val="21"/>
          <w:szCs w:val="22"/>
        </w:rPr>
        <w:t>代表团</w:t>
      </w:r>
      <w:r w:rsidRPr="003953CC">
        <w:rPr>
          <w:rFonts w:ascii="SimSun" w:hAnsi="SimSun" w:hint="eastAsia"/>
          <w:sz w:val="21"/>
          <w:szCs w:val="22"/>
        </w:rPr>
        <w:t>认为，该条约的实施将促进对视听部门的更多投资，并将保护民间文学艺术。鉴于</w:t>
      </w:r>
      <w:r>
        <w:rPr>
          <w:rFonts w:ascii="SimSun" w:hAnsi="SimSun" w:hint="eastAsia"/>
          <w:sz w:val="21"/>
          <w:szCs w:val="22"/>
        </w:rPr>
        <w:t>2019冠状病毒病</w:t>
      </w:r>
      <w:r w:rsidRPr="003953CC">
        <w:rPr>
          <w:rFonts w:ascii="SimSun" w:hAnsi="SimSun" w:hint="eastAsia"/>
          <w:sz w:val="21"/>
          <w:szCs w:val="22"/>
        </w:rPr>
        <w:t>对艺术和文化部门造成的不利经济影响，它也是改善参与视听产品的演员和其他表演者生计的重要工具。</w:t>
      </w:r>
    </w:p>
    <w:p w:rsidR="003953CC" w:rsidRPr="009B152B" w:rsidRDefault="003953CC" w:rsidP="009B152B">
      <w:pPr>
        <w:numPr>
          <w:ilvl w:val="0"/>
          <w:numId w:val="5"/>
        </w:numPr>
        <w:tabs>
          <w:tab w:val="clear" w:pos="567"/>
        </w:tabs>
        <w:overflowPunct w:val="0"/>
        <w:spacing w:afterLines="50" w:after="120" w:line="340" w:lineRule="atLeast"/>
        <w:jc w:val="both"/>
        <w:rPr>
          <w:rFonts w:ascii="SimSun" w:hAnsi="SimSun"/>
          <w:sz w:val="21"/>
        </w:rPr>
      </w:pPr>
      <w:r w:rsidRPr="003953CC">
        <w:rPr>
          <w:rFonts w:ascii="SimSun" w:hAnsi="SimSun" w:hint="eastAsia"/>
          <w:sz w:val="21"/>
          <w:szCs w:val="22"/>
        </w:rPr>
        <w:t>哥伦比亚代表团指出，它有批准《北京条约》的坚定意图。2021年，哥伦比亚政府向国会提交了《北京条约》，并将很快得到批准。在国内，有一个实体正在帮助实施《北京条约》，并且有一部2003年的法律承认视听表演者及其权利。其目的是确保视听表演者获得公平的报酬。鉴于哥伦比亚的情况，</w:t>
      </w:r>
      <w:r>
        <w:rPr>
          <w:rFonts w:ascii="SimSun" w:hAnsi="SimSun" w:hint="eastAsia"/>
          <w:sz w:val="21"/>
          <w:szCs w:val="22"/>
        </w:rPr>
        <w:t>代表团</w:t>
      </w:r>
      <w:r w:rsidRPr="003953CC">
        <w:rPr>
          <w:rFonts w:ascii="SimSun" w:hAnsi="SimSun" w:hint="eastAsia"/>
          <w:sz w:val="21"/>
          <w:szCs w:val="22"/>
        </w:rPr>
        <w:t>希望能够尽快交存批准书。</w:t>
      </w:r>
    </w:p>
    <w:p w:rsidR="003953CC" w:rsidRPr="009B152B" w:rsidRDefault="003953CC" w:rsidP="009B152B">
      <w:pPr>
        <w:numPr>
          <w:ilvl w:val="0"/>
          <w:numId w:val="5"/>
        </w:numPr>
        <w:tabs>
          <w:tab w:val="clear" w:pos="567"/>
        </w:tabs>
        <w:overflowPunct w:val="0"/>
        <w:spacing w:afterLines="50" w:after="120" w:line="340" w:lineRule="atLeast"/>
        <w:jc w:val="both"/>
        <w:rPr>
          <w:rFonts w:ascii="SimSun" w:hAnsi="SimSun"/>
          <w:sz w:val="21"/>
        </w:rPr>
      </w:pPr>
      <w:r w:rsidRPr="003953CC">
        <w:rPr>
          <w:rFonts w:ascii="SimSun" w:hAnsi="SimSun" w:hint="eastAsia"/>
          <w:sz w:val="21"/>
          <w:szCs w:val="22"/>
        </w:rPr>
        <w:t>大韩民国代表团对截至2021年9月已有43个成员国批准或加入《北京条约》表示高兴。认识到在国际层面保护</w:t>
      </w:r>
      <w:r w:rsidR="00BA1EEF">
        <w:rPr>
          <w:rFonts w:ascii="SimSun" w:hAnsi="SimSun" w:hint="eastAsia"/>
          <w:sz w:val="21"/>
          <w:szCs w:val="22"/>
        </w:rPr>
        <w:t>视听</w:t>
      </w:r>
      <w:r w:rsidRPr="003953CC">
        <w:rPr>
          <w:rFonts w:ascii="SimSun" w:hAnsi="SimSun" w:hint="eastAsia"/>
          <w:sz w:val="21"/>
          <w:szCs w:val="22"/>
        </w:rPr>
        <w:t>表演者权利的重要性，大韩民国于2020年4月加入了《北京条约》，该条约于2020年7月对该国生效。作为该条约的缔约国，代表团表示，它将继续努力有效执行《北京条约》。此外，</w:t>
      </w:r>
      <w:r>
        <w:rPr>
          <w:rFonts w:ascii="SimSun" w:hAnsi="SimSun" w:hint="eastAsia"/>
          <w:sz w:val="21"/>
          <w:szCs w:val="22"/>
        </w:rPr>
        <w:t>代表团</w:t>
      </w:r>
      <w:r w:rsidRPr="003953CC">
        <w:rPr>
          <w:rFonts w:ascii="SimSun" w:hAnsi="SimSun" w:hint="eastAsia"/>
          <w:sz w:val="21"/>
          <w:szCs w:val="22"/>
        </w:rPr>
        <w:t>承诺，将进一步促进与其他成员国的合作，将与它们密切合作，有效地执行该条约。</w:t>
      </w:r>
    </w:p>
    <w:p w:rsidR="003953CC" w:rsidRPr="009B152B" w:rsidRDefault="003953CC" w:rsidP="009B152B">
      <w:pPr>
        <w:numPr>
          <w:ilvl w:val="0"/>
          <w:numId w:val="5"/>
        </w:numPr>
        <w:tabs>
          <w:tab w:val="clear" w:pos="567"/>
        </w:tabs>
        <w:overflowPunct w:val="0"/>
        <w:spacing w:afterLines="50" w:after="120" w:line="340" w:lineRule="atLeast"/>
        <w:jc w:val="both"/>
        <w:rPr>
          <w:rFonts w:ascii="SimSun" w:hAnsi="SimSun"/>
          <w:sz w:val="21"/>
        </w:rPr>
      </w:pPr>
      <w:r w:rsidRPr="003953CC">
        <w:rPr>
          <w:rFonts w:ascii="SimSun" w:hAnsi="SimSun" w:hint="eastAsia"/>
          <w:sz w:val="21"/>
          <w:szCs w:val="22"/>
        </w:rPr>
        <w:t>中国代表团提醒大会，《北京条约》已于一年半前生效，在</w:t>
      </w:r>
      <w:r w:rsidR="009B152B">
        <w:rPr>
          <w:rFonts w:ascii="SimSun" w:hAnsi="SimSun" w:hint="eastAsia"/>
          <w:sz w:val="21"/>
          <w:szCs w:val="22"/>
        </w:rPr>
        <w:t>产权组织</w:t>
      </w:r>
      <w:r w:rsidRPr="003953CC">
        <w:rPr>
          <w:rFonts w:ascii="SimSun" w:hAnsi="SimSun" w:hint="eastAsia"/>
          <w:sz w:val="21"/>
          <w:szCs w:val="22"/>
        </w:rPr>
        <w:t>及其成员国的努力下，条约的缔约</w:t>
      </w:r>
      <w:proofErr w:type="gramStart"/>
      <w:r w:rsidRPr="003953CC">
        <w:rPr>
          <w:rFonts w:ascii="SimSun" w:hAnsi="SimSun" w:hint="eastAsia"/>
          <w:sz w:val="21"/>
          <w:szCs w:val="22"/>
        </w:rPr>
        <w:t>方数量</w:t>
      </w:r>
      <w:proofErr w:type="gramEnd"/>
      <w:r w:rsidRPr="003953CC">
        <w:rPr>
          <w:rFonts w:ascii="SimSun" w:hAnsi="SimSun" w:hint="eastAsia"/>
          <w:sz w:val="21"/>
          <w:szCs w:val="22"/>
        </w:rPr>
        <w:t>已达43个。视听表演和生活体验使经济更具活力。繁荣和发展也有赖于强有力的版权保护制度，包括对受益于《北京条约》的表演者的有效保护。</w:t>
      </w:r>
      <w:r>
        <w:rPr>
          <w:rFonts w:ascii="SimSun" w:hAnsi="SimSun" w:hint="eastAsia"/>
          <w:sz w:val="21"/>
          <w:szCs w:val="22"/>
        </w:rPr>
        <w:t>代表团</w:t>
      </w:r>
      <w:r w:rsidRPr="003953CC">
        <w:rPr>
          <w:rFonts w:ascii="SimSun" w:hAnsi="SimSun" w:hint="eastAsia"/>
          <w:sz w:val="21"/>
          <w:szCs w:val="22"/>
        </w:rPr>
        <w:t>期待更多成员国批准条约。</w:t>
      </w:r>
      <w:r>
        <w:rPr>
          <w:rFonts w:ascii="SimSun" w:hAnsi="SimSun" w:hint="eastAsia"/>
          <w:sz w:val="21"/>
          <w:szCs w:val="22"/>
        </w:rPr>
        <w:t>代表团</w:t>
      </w:r>
      <w:r w:rsidRPr="003953CC">
        <w:rPr>
          <w:rFonts w:ascii="SimSun" w:hAnsi="SimSun" w:hint="eastAsia"/>
          <w:sz w:val="21"/>
          <w:szCs w:val="22"/>
        </w:rPr>
        <w:t>表示，它将与</w:t>
      </w:r>
      <w:r w:rsidR="009B152B">
        <w:rPr>
          <w:rFonts w:ascii="SimSun" w:hAnsi="SimSun" w:hint="eastAsia"/>
          <w:sz w:val="21"/>
          <w:szCs w:val="22"/>
        </w:rPr>
        <w:t>产权组织</w:t>
      </w:r>
      <w:r w:rsidRPr="003953CC">
        <w:rPr>
          <w:rFonts w:ascii="SimSun" w:hAnsi="SimSun" w:hint="eastAsia"/>
          <w:sz w:val="21"/>
          <w:szCs w:val="22"/>
        </w:rPr>
        <w:t>和成员国进一步沟通和合作，为条约做出更多贡献。</w:t>
      </w:r>
    </w:p>
    <w:p w:rsidR="003953CC" w:rsidRPr="009B152B" w:rsidRDefault="003953CC" w:rsidP="009B152B">
      <w:pPr>
        <w:numPr>
          <w:ilvl w:val="0"/>
          <w:numId w:val="5"/>
        </w:numPr>
        <w:tabs>
          <w:tab w:val="clear" w:pos="567"/>
        </w:tabs>
        <w:overflowPunct w:val="0"/>
        <w:spacing w:afterLines="50" w:after="120" w:line="340" w:lineRule="atLeast"/>
        <w:jc w:val="both"/>
        <w:rPr>
          <w:rFonts w:ascii="SimSun" w:hAnsi="SimSun"/>
          <w:sz w:val="21"/>
        </w:rPr>
      </w:pPr>
      <w:r w:rsidRPr="003953CC">
        <w:rPr>
          <w:rFonts w:ascii="SimSun" w:hAnsi="SimSun" w:hint="eastAsia"/>
          <w:sz w:val="21"/>
          <w:szCs w:val="22"/>
        </w:rPr>
        <w:t>拉丁美洲知识产权学院（ELAPI）的代表指出，它对《北京条约》的生效表示欢迎，条约最终承认了视听表演者的公平报酬。这些权利人很脆弱，而且由于数字技术的发展，</w:t>
      </w:r>
      <w:r w:rsidR="00FF1E8F">
        <w:rPr>
          <w:rFonts w:ascii="SimSun" w:hAnsi="SimSun" w:hint="eastAsia"/>
          <w:sz w:val="21"/>
          <w:szCs w:val="22"/>
        </w:rPr>
        <w:t>他（她）们</w:t>
      </w:r>
      <w:r w:rsidRPr="003953CC">
        <w:rPr>
          <w:rFonts w:ascii="SimSun" w:hAnsi="SimSun" w:hint="eastAsia"/>
          <w:sz w:val="21"/>
          <w:szCs w:val="22"/>
        </w:rPr>
        <w:t>的作品已经开始跨越国界。因此，处理数字鸿沟问题就更加重要了。演员是视听表演的化身，</w:t>
      </w:r>
      <w:r w:rsidR="00FF1E8F">
        <w:rPr>
          <w:rFonts w:ascii="SimSun" w:hAnsi="SimSun" w:hint="eastAsia"/>
          <w:sz w:val="21"/>
          <w:szCs w:val="22"/>
        </w:rPr>
        <w:t>他（她）们</w:t>
      </w:r>
      <w:r w:rsidRPr="003953CC">
        <w:rPr>
          <w:rFonts w:ascii="SimSun" w:hAnsi="SimSun" w:hint="eastAsia"/>
          <w:sz w:val="21"/>
          <w:szCs w:val="22"/>
        </w:rPr>
        <w:t>必须应对</w:t>
      </w:r>
      <w:r w:rsidR="009B152B">
        <w:rPr>
          <w:rFonts w:ascii="SimSun" w:hAnsi="SimSun" w:hint="eastAsia"/>
          <w:sz w:val="21"/>
          <w:szCs w:val="22"/>
        </w:rPr>
        <w:t>2019冠状病毒病</w:t>
      </w:r>
      <w:r w:rsidRPr="003953CC">
        <w:rPr>
          <w:rFonts w:ascii="SimSun" w:hAnsi="SimSun" w:hint="eastAsia"/>
          <w:sz w:val="21"/>
          <w:szCs w:val="22"/>
        </w:rPr>
        <w:t>大流行带来的不确定性。该部门是</w:t>
      </w:r>
      <w:r w:rsidR="009B152B">
        <w:rPr>
          <w:rFonts w:ascii="SimSun" w:hAnsi="SimSun" w:hint="eastAsia"/>
          <w:sz w:val="21"/>
          <w:szCs w:val="22"/>
        </w:rPr>
        <w:t>2019冠状病毒</w:t>
      </w:r>
      <w:proofErr w:type="gramStart"/>
      <w:r w:rsidR="009B152B">
        <w:rPr>
          <w:rFonts w:ascii="SimSun" w:hAnsi="SimSun" w:hint="eastAsia"/>
          <w:sz w:val="21"/>
          <w:szCs w:val="22"/>
        </w:rPr>
        <w:t>病</w:t>
      </w:r>
      <w:r w:rsidRPr="003953CC">
        <w:rPr>
          <w:rFonts w:ascii="SimSun" w:hAnsi="SimSun" w:hint="eastAsia"/>
          <w:sz w:val="21"/>
          <w:szCs w:val="22"/>
        </w:rPr>
        <w:t>打击</w:t>
      </w:r>
      <w:proofErr w:type="gramEnd"/>
      <w:r w:rsidRPr="003953CC">
        <w:rPr>
          <w:rFonts w:ascii="SimSun" w:hAnsi="SimSun" w:hint="eastAsia"/>
          <w:sz w:val="21"/>
          <w:szCs w:val="22"/>
        </w:rPr>
        <w:t>最严重的部门之一，但</w:t>
      </w:r>
      <w:r w:rsidR="00FF1E8F">
        <w:rPr>
          <w:rFonts w:ascii="SimSun" w:hAnsi="SimSun" w:hint="eastAsia"/>
          <w:sz w:val="21"/>
          <w:szCs w:val="22"/>
        </w:rPr>
        <w:t>他（她）们</w:t>
      </w:r>
      <w:r w:rsidRPr="003953CC">
        <w:rPr>
          <w:rFonts w:ascii="SimSun" w:hAnsi="SimSun" w:hint="eastAsia"/>
          <w:sz w:val="21"/>
          <w:szCs w:val="22"/>
        </w:rPr>
        <w:t>没有得到足够的国家支持。ELAPI说，知识产权领域比以往任何时候都更加重要，各国必须加入《北京条约》，使视听表演者能够适当地参与其作品所创造的经济财富。该代表呼吁拉丁美洲国家批准该条约，指出拉丁美洲的特点</w:t>
      </w:r>
      <w:r w:rsidR="009B152B">
        <w:rPr>
          <w:rFonts w:ascii="SimSun" w:hAnsi="SimSun" w:hint="eastAsia"/>
          <w:sz w:val="21"/>
          <w:szCs w:val="22"/>
        </w:rPr>
        <w:t>应</w:t>
      </w:r>
      <w:r w:rsidRPr="003953CC">
        <w:rPr>
          <w:rFonts w:ascii="SimSun" w:hAnsi="SimSun" w:hint="eastAsia"/>
          <w:sz w:val="21"/>
          <w:szCs w:val="22"/>
        </w:rPr>
        <w:t>是对</w:t>
      </w:r>
      <w:r w:rsidR="00BA1EEF">
        <w:rPr>
          <w:rFonts w:ascii="SimSun" w:hAnsi="SimSun" w:hint="eastAsia"/>
          <w:sz w:val="21"/>
          <w:szCs w:val="22"/>
        </w:rPr>
        <w:t>视听</w:t>
      </w:r>
      <w:r w:rsidRPr="003953CC">
        <w:rPr>
          <w:rFonts w:ascii="SimSun" w:hAnsi="SimSun" w:hint="eastAsia"/>
          <w:sz w:val="21"/>
          <w:szCs w:val="22"/>
        </w:rPr>
        <w:t>表演者的保护程度很高，但在许多立法中，这些类型的表演者的权利没有得到适当程度的承认。ELAPI承诺为此目的向大会提供支持。</w:t>
      </w:r>
    </w:p>
    <w:p w:rsidR="003953CC" w:rsidRPr="009B152B" w:rsidRDefault="003953CC" w:rsidP="009B152B">
      <w:pPr>
        <w:numPr>
          <w:ilvl w:val="0"/>
          <w:numId w:val="5"/>
        </w:numPr>
        <w:tabs>
          <w:tab w:val="clear" w:pos="567"/>
        </w:tabs>
        <w:overflowPunct w:val="0"/>
        <w:spacing w:afterLines="50" w:after="120" w:line="340" w:lineRule="atLeast"/>
        <w:jc w:val="both"/>
        <w:rPr>
          <w:rFonts w:ascii="SimSun" w:hAnsi="SimSun"/>
          <w:sz w:val="21"/>
        </w:rPr>
      </w:pPr>
      <w:r w:rsidRPr="003953CC">
        <w:rPr>
          <w:rFonts w:ascii="SimSun" w:hAnsi="SimSun" w:hint="eastAsia"/>
          <w:sz w:val="21"/>
          <w:szCs w:val="22"/>
        </w:rPr>
        <w:t>日本代表团对《北京条约》的缔约</w:t>
      </w:r>
      <w:proofErr w:type="gramStart"/>
      <w:r w:rsidRPr="003953CC">
        <w:rPr>
          <w:rFonts w:ascii="SimSun" w:hAnsi="SimSun" w:hint="eastAsia"/>
          <w:sz w:val="21"/>
          <w:szCs w:val="22"/>
        </w:rPr>
        <w:t>方数量</w:t>
      </w:r>
      <w:proofErr w:type="gramEnd"/>
      <w:r w:rsidRPr="003953CC">
        <w:rPr>
          <w:rFonts w:ascii="SimSun" w:hAnsi="SimSun" w:hint="eastAsia"/>
          <w:sz w:val="21"/>
          <w:szCs w:val="22"/>
        </w:rPr>
        <w:t>不断增加感到高兴。该条约对于为视听表演者提供适当的权利非常重要。</w:t>
      </w:r>
      <w:r>
        <w:rPr>
          <w:rFonts w:ascii="SimSun" w:hAnsi="SimSun" w:hint="eastAsia"/>
          <w:sz w:val="21"/>
          <w:szCs w:val="22"/>
        </w:rPr>
        <w:t>代表团</w:t>
      </w:r>
      <w:r w:rsidRPr="003953CC">
        <w:rPr>
          <w:rFonts w:ascii="SimSun" w:hAnsi="SimSun" w:hint="eastAsia"/>
          <w:sz w:val="21"/>
          <w:szCs w:val="22"/>
        </w:rPr>
        <w:t>希望有更多的成员国加入该条约，使视听表演权得到保护。</w:t>
      </w:r>
    </w:p>
    <w:p w:rsidR="008B13FA" w:rsidRPr="008B13FA" w:rsidRDefault="008B13FA" w:rsidP="00DE5FB2">
      <w:pPr>
        <w:numPr>
          <w:ilvl w:val="0"/>
          <w:numId w:val="5"/>
        </w:numPr>
        <w:tabs>
          <w:tab w:val="clear" w:pos="567"/>
        </w:tabs>
        <w:overflowPunct w:val="0"/>
        <w:spacing w:afterLines="50" w:after="120" w:line="340" w:lineRule="atLeast"/>
        <w:ind w:left="567"/>
        <w:jc w:val="both"/>
        <w:rPr>
          <w:rFonts w:ascii="SimSun" w:hAnsi="SimSun"/>
          <w:sz w:val="21"/>
          <w:szCs w:val="22"/>
        </w:rPr>
      </w:pPr>
      <w:r w:rsidRPr="008B13FA">
        <w:rPr>
          <w:rFonts w:ascii="SimSun" w:hAnsi="SimSun" w:hint="eastAsia"/>
          <w:sz w:val="21"/>
          <w:szCs w:val="22"/>
        </w:rPr>
        <w:t>北京条约大会注意到“《北京条约》现状”（文件BTAP/A/2/1 Rev.）。</w:t>
      </w:r>
    </w:p>
    <w:p w:rsidR="002928D3" w:rsidRPr="00DE5FB2" w:rsidRDefault="008B13FA" w:rsidP="00DE5FB2">
      <w:pPr>
        <w:spacing w:before="720" w:afterLines="50" w:after="120" w:line="340" w:lineRule="atLeast"/>
        <w:ind w:left="5534"/>
        <w:rPr>
          <w:rFonts w:ascii="KaiTi" w:eastAsia="KaiTi" w:hAnsi="KaiTi"/>
          <w:sz w:val="21"/>
        </w:rPr>
      </w:pPr>
      <w:r w:rsidRPr="00DE5FB2">
        <w:rPr>
          <w:rFonts w:ascii="KaiTi" w:eastAsia="KaiTi" w:hAnsi="KaiTi" w:hint="eastAsia"/>
          <w:sz w:val="21"/>
        </w:rPr>
        <w:t>[文件完</w:t>
      </w:r>
      <w:r w:rsidRPr="00DE5FB2">
        <w:rPr>
          <w:rFonts w:ascii="KaiTi" w:eastAsia="KaiTi" w:hAnsi="KaiTi"/>
          <w:sz w:val="21"/>
        </w:rPr>
        <w:t>]</w:t>
      </w:r>
    </w:p>
    <w:sectPr w:rsidR="002928D3" w:rsidRPr="00DE5FB2" w:rsidSect="008C109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09A" w:rsidRDefault="008C109A">
      <w:r>
        <w:separator/>
      </w:r>
    </w:p>
  </w:endnote>
  <w:endnote w:type="continuationSeparator" w:id="0">
    <w:p w:rsidR="008C109A" w:rsidRDefault="008C109A" w:rsidP="003B38C1">
      <w:r>
        <w:separator/>
      </w:r>
    </w:p>
    <w:p w:rsidR="008C109A" w:rsidRPr="003B38C1" w:rsidRDefault="008C109A" w:rsidP="003B38C1">
      <w:pPr>
        <w:spacing w:after="60"/>
        <w:rPr>
          <w:sz w:val="17"/>
        </w:rPr>
      </w:pPr>
      <w:r>
        <w:rPr>
          <w:sz w:val="17"/>
        </w:rPr>
        <w:t>[Endnote continued from previous page]</w:t>
      </w:r>
    </w:p>
  </w:endnote>
  <w:endnote w:type="continuationNotice" w:id="1">
    <w:p w:rsidR="008C109A" w:rsidRPr="003B38C1" w:rsidRDefault="008C10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 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09A" w:rsidRDefault="008C109A">
      <w:r>
        <w:separator/>
      </w:r>
    </w:p>
  </w:footnote>
  <w:footnote w:type="continuationSeparator" w:id="0">
    <w:p w:rsidR="008C109A" w:rsidRDefault="008C109A" w:rsidP="008B60B2">
      <w:r>
        <w:separator/>
      </w:r>
    </w:p>
    <w:p w:rsidR="008C109A" w:rsidRPr="00ED77FB" w:rsidRDefault="008C109A" w:rsidP="008B60B2">
      <w:pPr>
        <w:spacing w:after="60"/>
        <w:rPr>
          <w:sz w:val="17"/>
          <w:szCs w:val="17"/>
        </w:rPr>
      </w:pPr>
      <w:r w:rsidRPr="00ED77FB">
        <w:rPr>
          <w:sz w:val="17"/>
          <w:szCs w:val="17"/>
        </w:rPr>
        <w:t>[Footnote continued from previous page]</w:t>
      </w:r>
    </w:p>
  </w:footnote>
  <w:footnote w:type="continuationNotice" w:id="1">
    <w:p w:rsidR="008C109A" w:rsidRPr="00ED77FB" w:rsidRDefault="008C109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DE5FB2" w:rsidRDefault="008C109A" w:rsidP="00477D6B">
    <w:pPr>
      <w:jc w:val="right"/>
      <w:rPr>
        <w:rFonts w:asciiTheme="minorEastAsia" w:eastAsiaTheme="minorEastAsia" w:hAnsiTheme="minorEastAsia"/>
        <w:sz w:val="21"/>
      </w:rPr>
    </w:pPr>
    <w:bookmarkStart w:id="6" w:name="Code2"/>
    <w:r w:rsidRPr="00DE5FB2">
      <w:rPr>
        <w:rFonts w:asciiTheme="minorEastAsia" w:eastAsiaTheme="minorEastAsia" w:hAnsiTheme="minorEastAsia"/>
        <w:sz w:val="21"/>
      </w:rPr>
      <w:t>BTAP/A/2/2</w:t>
    </w:r>
  </w:p>
  <w:bookmarkEnd w:id="6"/>
  <w:p w:rsidR="00B50B99" w:rsidRPr="00DE5FB2" w:rsidRDefault="00DE5FB2" w:rsidP="00DE5FB2">
    <w:pPr>
      <w:spacing w:afterLines="100" w:after="240"/>
      <w:jc w:val="right"/>
      <w:rPr>
        <w:rFonts w:asciiTheme="minorEastAsia" w:eastAsiaTheme="minorEastAsia" w:hAnsiTheme="minorEastAsia"/>
        <w:sz w:val="21"/>
      </w:rPr>
    </w:pPr>
    <w:r>
      <w:rPr>
        <w:rFonts w:asciiTheme="minorEastAsia" w:eastAsiaTheme="minorEastAsia" w:hAnsiTheme="minorEastAsia" w:hint="eastAsia"/>
        <w:sz w:val="21"/>
      </w:rPr>
      <w:t>第</w:t>
    </w:r>
    <w:r w:rsidR="00EC4E49" w:rsidRPr="00DE5FB2">
      <w:rPr>
        <w:rFonts w:asciiTheme="minorEastAsia" w:eastAsiaTheme="minorEastAsia" w:hAnsiTheme="minorEastAsia"/>
        <w:sz w:val="21"/>
      </w:rPr>
      <w:fldChar w:fldCharType="begin"/>
    </w:r>
    <w:r w:rsidR="00EC4E49" w:rsidRPr="00DE5FB2">
      <w:rPr>
        <w:rFonts w:asciiTheme="minorEastAsia" w:eastAsiaTheme="minorEastAsia" w:hAnsiTheme="minorEastAsia"/>
        <w:sz w:val="21"/>
      </w:rPr>
      <w:instrText xml:space="preserve"> PAGE  \* MERGEFORMAT </w:instrText>
    </w:r>
    <w:r w:rsidR="00EC4E49" w:rsidRPr="00DE5FB2">
      <w:rPr>
        <w:rFonts w:asciiTheme="minorEastAsia" w:eastAsiaTheme="minorEastAsia" w:hAnsiTheme="minorEastAsia"/>
        <w:sz w:val="21"/>
      </w:rPr>
      <w:fldChar w:fldCharType="separate"/>
    </w:r>
    <w:r w:rsidR="00647402">
      <w:rPr>
        <w:rFonts w:asciiTheme="minorEastAsia" w:eastAsiaTheme="minorEastAsia" w:hAnsiTheme="minorEastAsia"/>
        <w:noProof/>
        <w:sz w:val="21"/>
      </w:rPr>
      <w:t>2</w:t>
    </w:r>
    <w:r w:rsidR="00EC4E49" w:rsidRPr="00DE5FB2">
      <w:rPr>
        <w:rFonts w:asciiTheme="minorEastAsia" w:eastAsiaTheme="minorEastAsia" w:hAnsiTheme="minorEastAsia"/>
        <w:sz w:val="21"/>
      </w:rPr>
      <w:fldChar w:fldCharType="end"/>
    </w:r>
    <w:r>
      <w:rPr>
        <w:rFonts w:asciiTheme="minorEastAsia" w:eastAsiaTheme="minorEastAsia" w:hAnsiTheme="minorEastAsia"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02F4887C"/>
    <w:lvl w:ilvl="0">
      <w:start w:val="1"/>
      <w:numFmt w:val="decimal"/>
      <w:lvlRestart w:val="0"/>
      <w:pStyle w:val="ONUME"/>
      <w:lvlText w:val="%1."/>
      <w:lvlJc w:val="left"/>
      <w:pPr>
        <w:tabs>
          <w:tab w:val="num" w:pos="567"/>
        </w:tabs>
        <w:ind w:left="0" w:firstLine="0"/>
      </w:pPr>
      <w:rPr>
        <w:rFonts w:ascii="SimSun" w:eastAsia="SimSun" w:hAnsi="SimSu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9A"/>
    <w:rsid w:val="0001647B"/>
    <w:rsid w:val="00043CAA"/>
    <w:rsid w:val="00066ACE"/>
    <w:rsid w:val="00075432"/>
    <w:rsid w:val="000968ED"/>
    <w:rsid w:val="000F5E56"/>
    <w:rsid w:val="001024FE"/>
    <w:rsid w:val="00116784"/>
    <w:rsid w:val="001362EE"/>
    <w:rsid w:val="00142868"/>
    <w:rsid w:val="001832A6"/>
    <w:rsid w:val="00187011"/>
    <w:rsid w:val="001C6808"/>
    <w:rsid w:val="002121FA"/>
    <w:rsid w:val="0021279E"/>
    <w:rsid w:val="002605FC"/>
    <w:rsid w:val="00260A02"/>
    <w:rsid w:val="002634C4"/>
    <w:rsid w:val="002928D3"/>
    <w:rsid w:val="002F1FE6"/>
    <w:rsid w:val="002F4E68"/>
    <w:rsid w:val="00312F7F"/>
    <w:rsid w:val="003228B7"/>
    <w:rsid w:val="003508A3"/>
    <w:rsid w:val="003673CF"/>
    <w:rsid w:val="003845C1"/>
    <w:rsid w:val="003953CC"/>
    <w:rsid w:val="003A6F89"/>
    <w:rsid w:val="003B38C1"/>
    <w:rsid w:val="00423E3E"/>
    <w:rsid w:val="00427AF4"/>
    <w:rsid w:val="004400E2"/>
    <w:rsid w:val="00461632"/>
    <w:rsid w:val="004647DA"/>
    <w:rsid w:val="0047254A"/>
    <w:rsid w:val="00474062"/>
    <w:rsid w:val="00477D6B"/>
    <w:rsid w:val="00490DBC"/>
    <w:rsid w:val="004D39C4"/>
    <w:rsid w:val="0051664F"/>
    <w:rsid w:val="0053057A"/>
    <w:rsid w:val="00531601"/>
    <w:rsid w:val="00560A29"/>
    <w:rsid w:val="00594D27"/>
    <w:rsid w:val="00601760"/>
    <w:rsid w:val="00605827"/>
    <w:rsid w:val="00615A5D"/>
    <w:rsid w:val="00646050"/>
    <w:rsid w:val="00647402"/>
    <w:rsid w:val="006713CA"/>
    <w:rsid w:val="00676C5C"/>
    <w:rsid w:val="00694080"/>
    <w:rsid w:val="00695558"/>
    <w:rsid w:val="006D5E0F"/>
    <w:rsid w:val="006F4469"/>
    <w:rsid w:val="007058FB"/>
    <w:rsid w:val="00714D72"/>
    <w:rsid w:val="007B6A58"/>
    <w:rsid w:val="007D1613"/>
    <w:rsid w:val="007E1919"/>
    <w:rsid w:val="00833CE0"/>
    <w:rsid w:val="00873EE5"/>
    <w:rsid w:val="008B13FA"/>
    <w:rsid w:val="008B2CC1"/>
    <w:rsid w:val="008B4B5E"/>
    <w:rsid w:val="008B60B2"/>
    <w:rsid w:val="008C109A"/>
    <w:rsid w:val="0090731E"/>
    <w:rsid w:val="00916EE2"/>
    <w:rsid w:val="00966A22"/>
    <w:rsid w:val="0096722F"/>
    <w:rsid w:val="00980843"/>
    <w:rsid w:val="009B152B"/>
    <w:rsid w:val="009C37E0"/>
    <w:rsid w:val="009E2791"/>
    <w:rsid w:val="009E3F6F"/>
    <w:rsid w:val="009F3BF9"/>
    <w:rsid w:val="009F499F"/>
    <w:rsid w:val="00A42DAF"/>
    <w:rsid w:val="00A45BD8"/>
    <w:rsid w:val="00A778BF"/>
    <w:rsid w:val="00A85B8E"/>
    <w:rsid w:val="00AC205C"/>
    <w:rsid w:val="00AF5C73"/>
    <w:rsid w:val="00B05A69"/>
    <w:rsid w:val="00B40598"/>
    <w:rsid w:val="00B50B99"/>
    <w:rsid w:val="00B62CD9"/>
    <w:rsid w:val="00B87E57"/>
    <w:rsid w:val="00B9734B"/>
    <w:rsid w:val="00BA1EEF"/>
    <w:rsid w:val="00C11BFE"/>
    <w:rsid w:val="00C47617"/>
    <w:rsid w:val="00C94629"/>
    <w:rsid w:val="00CC5BFC"/>
    <w:rsid w:val="00CE65D4"/>
    <w:rsid w:val="00D45252"/>
    <w:rsid w:val="00D71B4D"/>
    <w:rsid w:val="00D93D55"/>
    <w:rsid w:val="00DE5FB2"/>
    <w:rsid w:val="00E161A2"/>
    <w:rsid w:val="00E335FE"/>
    <w:rsid w:val="00E5021F"/>
    <w:rsid w:val="00E671A6"/>
    <w:rsid w:val="00EC4E49"/>
    <w:rsid w:val="00ED449E"/>
    <w:rsid w:val="00ED77FB"/>
    <w:rsid w:val="00F021A6"/>
    <w:rsid w:val="00F11D94"/>
    <w:rsid w:val="00F66152"/>
    <w:rsid w:val="00FF1E8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A9D24B1-272F-4131-B6BF-E73D21F8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7E1919"/>
    <w:rPr>
      <w:color w:val="0000FF" w:themeColor="hyperlink"/>
      <w:u w:val="single"/>
    </w:rPr>
  </w:style>
  <w:style w:type="paragraph" w:styleId="BalloonText">
    <w:name w:val="Balloon Text"/>
    <w:basedOn w:val="Normal"/>
    <w:link w:val="BalloonTextChar"/>
    <w:semiHidden/>
    <w:unhideWhenUsed/>
    <w:rsid w:val="0021279E"/>
    <w:rPr>
      <w:sz w:val="18"/>
      <w:szCs w:val="18"/>
    </w:rPr>
  </w:style>
  <w:style w:type="character" w:customStyle="1" w:styleId="BalloonTextChar">
    <w:name w:val="Balloon Text Char"/>
    <w:basedOn w:val="DefaultParagraphFont"/>
    <w:link w:val="BalloonText"/>
    <w:semiHidden/>
    <w:rsid w:val="0021279E"/>
    <w:rPr>
      <w:rFonts w:ascii="Arial" w:eastAsia="SimSun" w:hAnsi="Arial" w:cs="Arial"/>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about-wipo/zh/assemblies/2021/a_62/doc_details.jsp?doc_id=5519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BTAP_A_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9527E-466E-45A4-8ECC-C4025052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BTAP_A_2 (E)</Template>
  <TotalTime>1</TotalTime>
  <Pages>3</Pages>
  <Words>1731</Words>
  <Characters>258</Characters>
  <Application>Microsoft Office Word</Application>
  <DocSecurity>0</DocSecurity>
  <Lines>7</Lines>
  <Paragraphs>19</Paragraphs>
  <ScaleCrop>false</ScaleCrop>
  <HeadingPairs>
    <vt:vector size="2" baseType="variant">
      <vt:variant>
        <vt:lpstr>Title</vt:lpstr>
      </vt:variant>
      <vt:variant>
        <vt:i4>1</vt:i4>
      </vt:variant>
    </vt:vector>
  </HeadingPairs>
  <TitlesOfParts>
    <vt:vector size="1" baseType="lpstr">
      <vt:lpstr>BTAP/A/2/2 Prov.</vt:lpstr>
    </vt:vector>
  </TitlesOfParts>
  <Company>WIPO</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BTAP/A/2/2</dc:title>
  <dc:subject>报告</dc:subject>
  <dc:creator>WIPO</dc:creator>
  <cp:keywords>PUBLIC</cp:keywords>
  <cp:lastModifiedBy>MA Weihai</cp:lastModifiedBy>
  <cp:revision>4</cp:revision>
  <cp:lastPrinted>2021-09-07T08:52:00Z</cp:lastPrinted>
  <dcterms:created xsi:type="dcterms:W3CDTF">2021-12-08T20:03:00Z</dcterms:created>
  <dcterms:modified xsi:type="dcterms:W3CDTF">2021-12-15T14:18:00Z</dcterms:modified>
  <cp:category>Beijing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52eea7b8-4f11-4308-a7b6-a0375fe43a01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