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3E70E" w14:textId="77777777" w:rsidR="00DD48DE" w:rsidRPr="00DD48DE" w:rsidRDefault="00DD48DE" w:rsidP="00DD48DE">
      <w:pPr>
        <w:jc w:val="right"/>
        <w:rPr>
          <w:rFonts w:ascii="Arial Black" w:hAnsi="Arial Black"/>
          <w:caps/>
          <w:sz w:val="15"/>
          <w:lang w:eastAsia="zh-CN"/>
        </w:rPr>
      </w:pPr>
      <w:r w:rsidRPr="00DD48DE">
        <w:rPr>
          <w:rFonts w:hint="eastAsia"/>
          <w:noProof/>
          <w:lang w:eastAsia="zh-CN"/>
        </w:rPr>
        <w:drawing>
          <wp:inline distT="0" distB="0" distL="0" distR="0" wp14:anchorId="0BBB3C39" wp14:editId="29020CE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343B982" w14:textId="41CBDC4C" w:rsidR="00DD48DE" w:rsidRPr="00DD48DE" w:rsidRDefault="00DD48DE" w:rsidP="00DD48DE">
      <w:pPr>
        <w:pBdr>
          <w:top w:val="single" w:sz="4" w:space="10" w:color="auto"/>
        </w:pBdr>
        <w:wordWrap w:val="0"/>
        <w:spacing w:before="120"/>
        <w:jc w:val="right"/>
        <w:rPr>
          <w:rFonts w:ascii="Arial Black" w:hAnsi="Arial Black"/>
          <w:b/>
          <w:caps/>
          <w:sz w:val="15"/>
          <w:lang w:eastAsia="zh-CN"/>
        </w:rPr>
      </w:pPr>
      <w:r w:rsidRPr="00DD48DE">
        <w:rPr>
          <w:rFonts w:ascii="Arial Black" w:hAnsi="Arial Black" w:hint="eastAsia"/>
          <w:b/>
          <w:caps/>
          <w:sz w:val="15"/>
          <w:lang w:eastAsia="zh-CN"/>
        </w:rPr>
        <w:t>A/6</w:t>
      </w:r>
      <w:r w:rsidR="005A6BD9">
        <w:rPr>
          <w:rFonts w:ascii="Arial Black" w:hAnsi="Arial Black" w:hint="eastAsia"/>
          <w:b/>
          <w:caps/>
          <w:sz w:val="15"/>
          <w:lang w:eastAsia="zh-CN"/>
        </w:rPr>
        <w:t>7</w:t>
      </w:r>
      <w:r w:rsidRPr="00DD48DE">
        <w:rPr>
          <w:rFonts w:ascii="Arial Black" w:hAnsi="Arial Black" w:hint="eastAsia"/>
          <w:b/>
          <w:caps/>
          <w:sz w:val="15"/>
          <w:lang w:eastAsia="zh-CN"/>
        </w:rPr>
        <w:t>/</w:t>
      </w:r>
      <w:bookmarkStart w:id="0" w:name="Code"/>
      <w:r>
        <w:rPr>
          <w:rFonts w:ascii="Arial Black" w:hAnsi="Arial Black" w:hint="eastAsia"/>
          <w:b/>
          <w:caps/>
          <w:sz w:val="15"/>
          <w:lang w:eastAsia="zh-CN"/>
        </w:rPr>
        <w:t>inf/1</w:t>
      </w:r>
    </w:p>
    <w:bookmarkEnd w:id="0"/>
    <w:p w14:paraId="68309D9F" w14:textId="77777777" w:rsidR="00DD48DE" w:rsidRPr="00DD48DE" w:rsidRDefault="00DD48DE" w:rsidP="00DD48DE">
      <w:pPr>
        <w:jc w:val="right"/>
        <w:rPr>
          <w:rFonts w:ascii="Arial Black" w:hAnsi="Arial Black"/>
          <w:b/>
          <w:caps/>
          <w:sz w:val="15"/>
          <w:szCs w:val="15"/>
          <w:lang w:eastAsia="zh-CN"/>
        </w:rPr>
      </w:pPr>
      <w:r w:rsidRPr="00DD48DE">
        <w:rPr>
          <w:rFonts w:eastAsia="SimHei" w:hint="eastAsia"/>
          <w:b/>
          <w:sz w:val="15"/>
          <w:szCs w:val="15"/>
          <w:lang w:eastAsia="zh-CN"/>
        </w:rPr>
        <w:t>原文</w:t>
      </w:r>
      <w:r w:rsidRPr="00704CAE">
        <w:rPr>
          <w:rFonts w:eastAsia="SimHei" w:hint="eastAsia"/>
          <w:b/>
          <w:sz w:val="15"/>
          <w:szCs w:val="15"/>
          <w:lang w:eastAsia="zh-CN"/>
        </w:rPr>
        <w:t>：</w:t>
      </w:r>
      <w:bookmarkStart w:id="1" w:name="Original"/>
      <w:r w:rsidRPr="00DD48DE">
        <w:rPr>
          <w:rFonts w:eastAsia="SimHei" w:hint="eastAsia"/>
          <w:b/>
          <w:sz w:val="15"/>
          <w:szCs w:val="15"/>
          <w:lang w:val="pt-BR" w:eastAsia="zh-CN"/>
        </w:rPr>
        <w:t>英</w:t>
      </w:r>
      <w:r w:rsidRPr="00DD48DE">
        <w:rPr>
          <w:rFonts w:eastAsia="SimHei" w:hint="eastAsia"/>
          <w:b/>
          <w:sz w:val="15"/>
          <w:szCs w:val="15"/>
          <w:lang w:eastAsia="zh-CN"/>
        </w:rPr>
        <w:t>文</w:t>
      </w:r>
      <w:bookmarkEnd w:id="1"/>
    </w:p>
    <w:p w14:paraId="2C1BBE18" w14:textId="2ADD6D0C" w:rsidR="00DD48DE" w:rsidRPr="00DD48DE" w:rsidRDefault="00DD48DE" w:rsidP="00DD48DE">
      <w:pPr>
        <w:spacing w:line="1680" w:lineRule="auto"/>
        <w:jc w:val="right"/>
        <w:rPr>
          <w:rFonts w:ascii="STXihei" w:eastAsia="SimHei" w:hAnsi="Arial Black"/>
          <w:b/>
          <w:caps/>
          <w:sz w:val="15"/>
          <w:szCs w:val="15"/>
          <w:lang w:eastAsia="zh-CN"/>
        </w:rPr>
      </w:pPr>
      <w:r w:rsidRPr="00DD48DE">
        <w:rPr>
          <w:rFonts w:ascii="STXihei" w:eastAsia="SimHei" w:hint="eastAsia"/>
          <w:b/>
          <w:sz w:val="15"/>
          <w:szCs w:val="15"/>
          <w:lang w:eastAsia="zh-CN"/>
        </w:rPr>
        <w:t>日期</w:t>
      </w:r>
      <w:r w:rsidRPr="00704CAE">
        <w:rPr>
          <w:rFonts w:ascii="STXihei" w:eastAsia="SimHei" w:hint="eastAsia"/>
          <w:b/>
          <w:sz w:val="15"/>
          <w:szCs w:val="15"/>
          <w:lang w:eastAsia="zh-CN"/>
        </w:rPr>
        <w:t>：</w:t>
      </w:r>
      <w:bookmarkStart w:id="2" w:name="Date"/>
      <w:r w:rsidRPr="00704CAE">
        <w:rPr>
          <w:rFonts w:ascii="Arial Black" w:eastAsia="SimHei" w:hAnsi="Arial Black" w:hint="eastAsia"/>
          <w:b/>
          <w:sz w:val="15"/>
          <w:szCs w:val="15"/>
          <w:lang w:eastAsia="zh-CN"/>
        </w:rPr>
        <w:t>202</w:t>
      </w:r>
      <w:r w:rsidR="007811B3">
        <w:rPr>
          <w:rFonts w:ascii="Arial Black" w:eastAsia="SimHei" w:hAnsi="Arial Black" w:hint="eastAsia"/>
          <w:b/>
          <w:sz w:val="15"/>
          <w:szCs w:val="15"/>
          <w:lang w:eastAsia="zh-CN"/>
        </w:rPr>
        <w:t>6</w:t>
      </w:r>
      <w:r w:rsidRPr="00DD48DE">
        <w:rPr>
          <w:rFonts w:ascii="STXihei" w:eastAsia="SimHei" w:hAnsi="Times New Roman" w:hint="eastAsia"/>
          <w:b/>
          <w:sz w:val="15"/>
          <w:szCs w:val="15"/>
          <w:lang w:eastAsia="zh-CN"/>
        </w:rPr>
        <w:t>年</w:t>
      </w:r>
      <w:r w:rsidR="00E15C16">
        <w:rPr>
          <w:rFonts w:ascii="Arial Black" w:eastAsia="SimHei" w:hAnsi="Arial Black" w:hint="eastAsia"/>
          <w:b/>
          <w:sz w:val="15"/>
          <w:szCs w:val="15"/>
          <w:lang w:eastAsia="zh-CN"/>
        </w:rPr>
        <w:t>2</w:t>
      </w:r>
      <w:r w:rsidRPr="00DD48DE">
        <w:rPr>
          <w:rFonts w:ascii="STXihei" w:eastAsia="SimHei" w:hAnsi="Times New Roman" w:hint="eastAsia"/>
          <w:b/>
          <w:sz w:val="15"/>
          <w:szCs w:val="15"/>
          <w:lang w:eastAsia="zh-CN"/>
        </w:rPr>
        <w:t>月</w:t>
      </w:r>
      <w:r w:rsidR="00E15C16">
        <w:rPr>
          <w:rFonts w:ascii="Arial Black" w:eastAsia="SimHei" w:hAnsi="Arial Black" w:hint="eastAsia"/>
          <w:b/>
          <w:sz w:val="15"/>
          <w:szCs w:val="15"/>
          <w:lang w:eastAsia="zh-CN"/>
        </w:rPr>
        <w:t>1</w:t>
      </w:r>
      <w:r w:rsidR="007811B3">
        <w:rPr>
          <w:rFonts w:ascii="Arial Black" w:eastAsia="SimHei" w:hAnsi="Arial Black" w:hint="eastAsia"/>
          <w:b/>
          <w:sz w:val="15"/>
          <w:szCs w:val="15"/>
          <w:lang w:eastAsia="zh-CN"/>
        </w:rPr>
        <w:t>7</w:t>
      </w:r>
      <w:r w:rsidRPr="00DD48DE">
        <w:rPr>
          <w:rFonts w:ascii="STXihei" w:eastAsia="SimHei" w:hAnsi="Times New Roman" w:hint="eastAsia"/>
          <w:b/>
          <w:sz w:val="15"/>
          <w:szCs w:val="15"/>
          <w:lang w:eastAsia="zh-CN"/>
        </w:rPr>
        <w:t>日</w:t>
      </w:r>
      <w:bookmarkEnd w:id="2"/>
    </w:p>
    <w:p w14:paraId="3F5876AF" w14:textId="77777777" w:rsidR="00DD48DE" w:rsidRPr="007811B3" w:rsidRDefault="00DD48DE" w:rsidP="00DD48DE">
      <w:pPr>
        <w:spacing w:after="600"/>
        <w:rPr>
          <w:rFonts w:ascii="SimHei" w:eastAsia="SimHei"/>
          <w:sz w:val="28"/>
          <w:szCs w:val="28"/>
          <w:lang w:eastAsia="zh-CN"/>
        </w:rPr>
      </w:pPr>
      <w:r w:rsidRPr="007811B3">
        <w:rPr>
          <w:rFonts w:ascii="SimHei" w:eastAsia="SimHei" w:hint="eastAsia"/>
          <w:sz w:val="28"/>
          <w:szCs w:val="28"/>
          <w:lang w:eastAsia="zh-CN"/>
        </w:rPr>
        <w:t>世界知识产权组织成员国大会</w:t>
      </w:r>
    </w:p>
    <w:p w14:paraId="3FCDFADB" w14:textId="612467C8" w:rsidR="00DD48DE" w:rsidRPr="00DD48DE" w:rsidRDefault="00DD48DE" w:rsidP="00DD48DE">
      <w:pPr>
        <w:spacing w:after="720"/>
        <w:textAlignment w:val="bottom"/>
        <w:rPr>
          <w:rFonts w:ascii="KaiTi" w:eastAsia="KaiTi" w:hAnsi="KaiTi"/>
          <w:b/>
          <w:sz w:val="24"/>
          <w:szCs w:val="24"/>
          <w:lang w:eastAsia="zh-CN"/>
        </w:rPr>
      </w:pPr>
      <w:r w:rsidRPr="00DD48DE">
        <w:rPr>
          <w:rFonts w:ascii="KaiTi" w:eastAsia="KaiTi" w:hAnsi="KaiTi" w:hint="eastAsia"/>
          <w:b/>
          <w:sz w:val="24"/>
          <w:szCs w:val="24"/>
          <w:lang w:eastAsia="zh-CN"/>
        </w:rPr>
        <w:t>第六十</w:t>
      </w:r>
      <w:r w:rsidR="005A6BD9">
        <w:rPr>
          <w:rFonts w:ascii="KaiTi" w:eastAsia="KaiTi" w:hAnsi="KaiTi" w:hint="eastAsia"/>
          <w:b/>
          <w:sz w:val="24"/>
          <w:szCs w:val="24"/>
          <w:lang w:eastAsia="zh-CN"/>
        </w:rPr>
        <w:t>七</w:t>
      </w:r>
      <w:r w:rsidRPr="00DD48DE">
        <w:rPr>
          <w:rFonts w:ascii="KaiTi" w:eastAsia="KaiTi" w:hAnsi="KaiTi" w:hint="eastAsia"/>
          <w:b/>
          <w:sz w:val="24"/>
          <w:szCs w:val="24"/>
          <w:lang w:eastAsia="zh-CN"/>
        </w:rPr>
        <w:t>届系列会议</w:t>
      </w:r>
      <w:r w:rsidRPr="00DD48DE">
        <w:rPr>
          <w:rFonts w:ascii="KaiTi" w:eastAsia="KaiTi" w:hAnsi="KaiTi" w:hint="eastAsia"/>
          <w:b/>
          <w:sz w:val="24"/>
          <w:szCs w:val="24"/>
          <w:lang w:eastAsia="zh-CN"/>
        </w:rPr>
        <w:br/>
      </w:r>
      <w:r w:rsidRPr="00DD48DE">
        <w:rPr>
          <w:rFonts w:ascii="KaiTi" w:eastAsia="KaiTi" w:hAnsi="KaiTi" w:hint="eastAsia"/>
          <w:sz w:val="24"/>
          <w:szCs w:val="24"/>
          <w:lang w:eastAsia="zh-CN"/>
        </w:rPr>
        <w:t>202</w:t>
      </w:r>
      <w:r w:rsidR="007811B3">
        <w:rPr>
          <w:rFonts w:ascii="KaiTi" w:eastAsia="KaiTi" w:hAnsi="KaiTi" w:hint="eastAsia"/>
          <w:sz w:val="24"/>
          <w:szCs w:val="24"/>
          <w:lang w:eastAsia="zh-CN"/>
        </w:rPr>
        <w:t>6</w:t>
      </w:r>
      <w:r w:rsidRPr="00DD48DE">
        <w:rPr>
          <w:rFonts w:ascii="KaiTi" w:eastAsia="KaiTi" w:hAnsi="KaiTi" w:hint="eastAsia"/>
          <w:b/>
          <w:sz w:val="24"/>
          <w:szCs w:val="24"/>
          <w:lang w:eastAsia="zh-CN"/>
        </w:rPr>
        <w:t>年</w:t>
      </w:r>
      <w:r w:rsidR="005A6BD9">
        <w:rPr>
          <w:rFonts w:ascii="KaiTi" w:eastAsia="KaiTi" w:hAnsi="KaiTi" w:hint="eastAsia"/>
          <w:sz w:val="24"/>
          <w:szCs w:val="24"/>
          <w:lang w:eastAsia="zh-CN"/>
        </w:rPr>
        <w:t>4</w:t>
      </w:r>
      <w:r w:rsidRPr="00DD48DE">
        <w:rPr>
          <w:rFonts w:ascii="KaiTi" w:eastAsia="KaiTi" w:hAnsi="KaiTi" w:hint="eastAsia"/>
          <w:b/>
          <w:sz w:val="24"/>
          <w:szCs w:val="24"/>
          <w:lang w:eastAsia="zh-CN"/>
        </w:rPr>
        <w:t>月</w:t>
      </w:r>
      <w:r w:rsidR="005A6BD9">
        <w:rPr>
          <w:rFonts w:ascii="KaiTi" w:eastAsia="KaiTi" w:hAnsi="KaiTi" w:hint="eastAsia"/>
          <w:sz w:val="24"/>
          <w:szCs w:val="24"/>
          <w:lang w:eastAsia="zh-CN"/>
        </w:rPr>
        <w:t>21</w:t>
      </w:r>
      <w:r w:rsidRPr="00DD48DE">
        <w:rPr>
          <w:rFonts w:ascii="KaiTi" w:eastAsia="KaiTi" w:hAnsi="KaiTi" w:hint="eastAsia"/>
          <w:b/>
          <w:sz w:val="24"/>
          <w:szCs w:val="24"/>
          <w:lang w:eastAsia="zh-CN"/>
        </w:rPr>
        <w:t>日，日内瓦</w:t>
      </w:r>
    </w:p>
    <w:p w14:paraId="5C1D70E2" w14:textId="543426D9" w:rsidR="00DD48DE" w:rsidRPr="00DD48DE" w:rsidRDefault="00DD48DE" w:rsidP="00DD48DE">
      <w:pPr>
        <w:spacing w:after="360"/>
        <w:rPr>
          <w:rFonts w:ascii="KaiTi" w:eastAsia="KaiTi" w:hAnsi="KaiTi"/>
          <w:sz w:val="24"/>
          <w:szCs w:val="32"/>
          <w:lang w:eastAsia="zh-CN"/>
        </w:rPr>
      </w:pPr>
      <w:bookmarkStart w:id="3" w:name="TitleOfDoc"/>
      <w:r>
        <w:rPr>
          <w:rFonts w:ascii="KaiTi" w:eastAsia="KaiTi" w:hAnsi="KaiTi" w:hint="eastAsia"/>
          <w:sz w:val="24"/>
          <w:szCs w:val="32"/>
          <w:lang w:eastAsia="zh-CN"/>
        </w:rPr>
        <w:t>一般信息</w:t>
      </w:r>
    </w:p>
    <w:p w14:paraId="70807952" w14:textId="40B0A845" w:rsidR="00DD48DE" w:rsidRPr="00C123D9" w:rsidRDefault="00DD48DE" w:rsidP="00DD48DE">
      <w:pPr>
        <w:spacing w:after="960"/>
        <w:rPr>
          <w:rFonts w:ascii="KaiTi" w:eastAsia="KaiTi" w:hAnsi="KaiTi"/>
          <w:lang w:eastAsia="zh-CN"/>
        </w:rPr>
      </w:pPr>
      <w:bookmarkStart w:id="4" w:name="Prepared"/>
      <w:bookmarkEnd w:id="3"/>
      <w:r w:rsidRPr="00C123D9">
        <w:rPr>
          <w:rFonts w:ascii="KaiTi" w:eastAsia="KaiTi" w:hAnsi="KaiTi" w:hint="eastAsia"/>
          <w:lang w:eastAsia="zh-CN"/>
        </w:rPr>
        <w:t>秘书处备忘录</w:t>
      </w:r>
    </w:p>
    <w:bookmarkEnd w:id="4"/>
    <w:p w14:paraId="101585E4" w14:textId="00DA211D" w:rsidR="009D6B43" w:rsidRPr="00C123D9"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2"/>
          <w:lang w:eastAsia="zh-CN"/>
        </w:rPr>
      </w:pPr>
      <w:r w:rsidRPr="00C123D9">
        <w:rPr>
          <w:rFonts w:ascii="SimSun" w:eastAsia="SimSun" w:hAnsi="SimSun" w:cs="Microsoft YaHei" w:hint="eastAsia"/>
          <w:sz w:val="22"/>
          <w:lang w:eastAsia="zh-CN"/>
        </w:rPr>
        <w:t>本文件涉及将于</w:t>
      </w:r>
      <w:r w:rsidRPr="00C123D9">
        <w:rPr>
          <w:rFonts w:ascii="SimSun" w:eastAsia="SimSun" w:hAnsi="SimSun" w:cs="Arial" w:hint="eastAsia"/>
          <w:sz w:val="22"/>
          <w:lang w:eastAsia="zh-CN"/>
        </w:rPr>
        <w:t>202</w:t>
      </w:r>
      <w:r w:rsidR="00B273A6">
        <w:rPr>
          <w:rFonts w:ascii="SimSun" w:eastAsia="SimSun" w:hAnsi="SimSun" w:cs="Arial" w:hint="eastAsia"/>
          <w:sz w:val="22"/>
          <w:lang w:eastAsia="zh-CN"/>
        </w:rPr>
        <w:t>6</w:t>
      </w:r>
      <w:r w:rsidRPr="00C123D9">
        <w:rPr>
          <w:rFonts w:ascii="SimSun" w:eastAsia="SimSun" w:hAnsi="SimSun" w:cs="Microsoft YaHei" w:hint="eastAsia"/>
          <w:sz w:val="22"/>
          <w:lang w:eastAsia="zh-CN"/>
        </w:rPr>
        <w:t>年</w:t>
      </w:r>
      <w:r w:rsidR="005A6BD9">
        <w:rPr>
          <w:rFonts w:ascii="SimSun" w:eastAsia="SimSun" w:hAnsi="SimSun" w:cs="Microsoft YaHei" w:hint="eastAsia"/>
          <w:sz w:val="22"/>
          <w:lang w:eastAsia="zh-CN"/>
        </w:rPr>
        <w:t>4</w:t>
      </w:r>
      <w:r w:rsidRPr="00C123D9">
        <w:rPr>
          <w:rFonts w:ascii="SimSun" w:eastAsia="SimSun" w:hAnsi="SimSun" w:cs="Microsoft YaHei" w:hint="eastAsia"/>
          <w:sz w:val="22"/>
          <w:lang w:eastAsia="zh-CN"/>
        </w:rPr>
        <w:t>月</w:t>
      </w:r>
      <w:r w:rsidR="005A6BD9">
        <w:rPr>
          <w:rFonts w:ascii="SimSun" w:eastAsia="SimSun" w:hAnsi="SimSun" w:cs="Microsoft YaHei" w:hint="eastAsia"/>
          <w:sz w:val="22"/>
          <w:lang w:eastAsia="zh-CN"/>
        </w:rPr>
        <w:t>21</w:t>
      </w:r>
      <w:r w:rsidRPr="00C123D9">
        <w:rPr>
          <w:rFonts w:ascii="SimSun" w:eastAsia="SimSun" w:hAnsi="SimSun" w:cs="Microsoft YaHei" w:hint="eastAsia"/>
          <w:sz w:val="22"/>
          <w:lang w:eastAsia="zh-CN"/>
        </w:rPr>
        <w:t>日举行</w:t>
      </w:r>
      <w:r w:rsidR="007811B3" w:rsidRPr="007811B3">
        <w:rPr>
          <w:rFonts w:ascii="SimSun" w:eastAsia="SimSun" w:hAnsi="SimSun" w:cs="Microsoft YaHei" w:hint="eastAsia"/>
          <w:sz w:val="22"/>
          <w:lang w:eastAsia="zh-CN"/>
        </w:rPr>
        <w:t>特别会议</w:t>
      </w:r>
      <w:r w:rsidRPr="00C123D9">
        <w:rPr>
          <w:rFonts w:ascii="SimSun" w:eastAsia="SimSun" w:hAnsi="SimSun" w:cs="Microsoft YaHei" w:hint="eastAsia"/>
          <w:sz w:val="22"/>
          <w:lang w:eastAsia="zh-CN"/>
        </w:rPr>
        <w:t>的产权组织及产权组织管理的各联盟的下列</w:t>
      </w:r>
      <w:r w:rsidR="005A6BD9">
        <w:rPr>
          <w:rFonts w:ascii="SimSun" w:eastAsia="SimSun" w:hAnsi="SimSun" w:cs="Microsoft YaHei" w:hint="eastAsia"/>
          <w:sz w:val="22"/>
          <w:lang w:eastAsia="zh-CN"/>
        </w:rPr>
        <w:t>3</w:t>
      </w:r>
      <w:r w:rsidRPr="00C123D9">
        <w:rPr>
          <w:rFonts w:ascii="SimSun" w:eastAsia="SimSun" w:hAnsi="SimSun" w:cs="Microsoft YaHei" w:hint="eastAsia"/>
          <w:sz w:val="22"/>
          <w:lang w:eastAsia="zh-CN"/>
        </w:rPr>
        <w:t>个大会的会议：</w:t>
      </w:r>
    </w:p>
    <w:p w14:paraId="1BE2BDDB" w14:textId="1A3F96D7" w:rsidR="00853017" w:rsidRPr="00C123D9" w:rsidRDefault="00DD48DE" w:rsidP="00853017">
      <w:pPr>
        <w:tabs>
          <w:tab w:val="right" w:pos="1134"/>
          <w:tab w:val="left" w:pos="1418"/>
        </w:tabs>
        <w:spacing w:afterLines="50" w:after="120" w:line="340" w:lineRule="atLeast"/>
        <w:ind w:leftChars="300" w:left="1452" w:hangingChars="360" w:hanging="792"/>
        <w:contextualSpacing/>
        <w:jc w:val="both"/>
        <w:rPr>
          <w:lang w:eastAsia="zh-CN"/>
        </w:rPr>
      </w:pPr>
      <w:r w:rsidRPr="00C123D9">
        <w:rPr>
          <w:rFonts w:hint="eastAsia"/>
          <w:lang w:eastAsia="zh-CN"/>
        </w:rPr>
        <w:tab/>
        <w:t>(1)</w:t>
      </w:r>
      <w:r w:rsidRPr="00C123D9">
        <w:rPr>
          <w:rFonts w:hint="eastAsia"/>
          <w:lang w:eastAsia="zh-CN"/>
        </w:rPr>
        <w:tab/>
      </w:r>
      <w:r w:rsidR="00853017" w:rsidRPr="00C123D9">
        <w:rPr>
          <w:rFonts w:hint="eastAsia"/>
          <w:lang w:eastAsia="zh-CN"/>
        </w:rPr>
        <w:t>产权组织大会第</w:t>
      </w:r>
      <w:r w:rsidR="005A6BD9">
        <w:rPr>
          <w:rFonts w:hint="eastAsia"/>
          <w:lang w:eastAsia="zh-CN"/>
        </w:rPr>
        <w:t>五十九</w:t>
      </w:r>
      <w:r w:rsidR="00853017" w:rsidRPr="00C123D9">
        <w:rPr>
          <w:rFonts w:hint="eastAsia"/>
          <w:lang w:eastAsia="zh-CN"/>
        </w:rPr>
        <w:t>届会议（第</w:t>
      </w:r>
      <w:r w:rsidR="00B273A6">
        <w:rPr>
          <w:rFonts w:hint="eastAsia"/>
          <w:lang w:eastAsia="zh-CN"/>
        </w:rPr>
        <w:t>3</w:t>
      </w:r>
      <w:r w:rsidR="005A6BD9">
        <w:rPr>
          <w:rFonts w:hint="eastAsia"/>
          <w:lang w:eastAsia="zh-CN"/>
        </w:rPr>
        <w:t>2</w:t>
      </w:r>
      <w:r w:rsidR="00853017" w:rsidRPr="00C123D9">
        <w:rPr>
          <w:rFonts w:hint="eastAsia"/>
          <w:lang w:eastAsia="zh-CN"/>
        </w:rPr>
        <w:t>次</w:t>
      </w:r>
      <w:r w:rsidR="00B273A6">
        <w:rPr>
          <w:rFonts w:hint="eastAsia"/>
          <w:lang w:eastAsia="zh-CN"/>
        </w:rPr>
        <w:t>特别会议</w:t>
      </w:r>
      <w:r w:rsidR="00853017" w:rsidRPr="00C123D9">
        <w:rPr>
          <w:rFonts w:hint="eastAsia"/>
          <w:lang w:eastAsia="zh-CN"/>
        </w:rPr>
        <w:t>）</w:t>
      </w:r>
    </w:p>
    <w:p w14:paraId="0DAAE2F5" w14:textId="296DA96E"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lang w:eastAsia="zh-CN"/>
        </w:rPr>
      </w:pPr>
      <w:r w:rsidRPr="00C123D9">
        <w:rPr>
          <w:rFonts w:hint="eastAsia"/>
          <w:lang w:eastAsia="zh-CN"/>
        </w:rPr>
        <w:tab/>
        <w:t>(</w:t>
      </w:r>
      <w:r w:rsidR="00917973">
        <w:rPr>
          <w:rFonts w:hint="eastAsia"/>
          <w:lang w:eastAsia="zh-CN"/>
        </w:rPr>
        <w:t>2</w:t>
      </w:r>
      <w:r w:rsidRPr="00C123D9">
        <w:rPr>
          <w:rFonts w:hint="eastAsia"/>
          <w:lang w:eastAsia="zh-CN"/>
        </w:rPr>
        <w:t>)</w:t>
      </w:r>
      <w:r w:rsidRPr="00C123D9">
        <w:rPr>
          <w:rFonts w:hint="eastAsia"/>
          <w:lang w:eastAsia="zh-CN"/>
        </w:rPr>
        <w:tab/>
        <w:t>巴黎联盟大会第六十</w:t>
      </w:r>
      <w:r w:rsidR="005A6BD9">
        <w:rPr>
          <w:rFonts w:hint="eastAsia"/>
          <w:lang w:eastAsia="zh-CN"/>
        </w:rPr>
        <w:t>二</w:t>
      </w:r>
      <w:r w:rsidRPr="00C123D9">
        <w:rPr>
          <w:rFonts w:hint="eastAsia"/>
          <w:lang w:eastAsia="zh-CN"/>
        </w:rPr>
        <w:t>届会议（第</w:t>
      </w:r>
      <w:r w:rsidR="00E2653C">
        <w:rPr>
          <w:rFonts w:hint="eastAsia"/>
          <w:lang w:eastAsia="zh-CN"/>
        </w:rPr>
        <w:t>3</w:t>
      </w:r>
      <w:r w:rsidR="005A6BD9">
        <w:rPr>
          <w:rFonts w:hint="eastAsia"/>
          <w:lang w:eastAsia="zh-CN"/>
        </w:rPr>
        <w:t>5</w:t>
      </w:r>
      <w:r w:rsidRPr="00C123D9">
        <w:rPr>
          <w:rFonts w:hint="eastAsia"/>
          <w:lang w:eastAsia="zh-CN"/>
        </w:rPr>
        <w:t>次</w:t>
      </w:r>
      <w:r w:rsidR="00B273A6">
        <w:rPr>
          <w:rFonts w:hint="eastAsia"/>
          <w:lang w:eastAsia="zh-CN"/>
        </w:rPr>
        <w:t>特别会议</w:t>
      </w:r>
      <w:r w:rsidRPr="00C123D9">
        <w:rPr>
          <w:rFonts w:hint="eastAsia"/>
          <w:lang w:eastAsia="zh-CN"/>
        </w:rPr>
        <w:t>）</w:t>
      </w:r>
    </w:p>
    <w:p w14:paraId="5B0424E0" w14:textId="61CC0D9A" w:rsidR="00853017" w:rsidRPr="00C123D9" w:rsidRDefault="00853017" w:rsidP="00853017">
      <w:pPr>
        <w:tabs>
          <w:tab w:val="right" w:pos="1134"/>
          <w:tab w:val="left" w:pos="1418"/>
        </w:tabs>
        <w:spacing w:afterLines="50" w:after="120" w:line="340" w:lineRule="atLeast"/>
        <w:ind w:leftChars="300" w:left="1452" w:hangingChars="360" w:hanging="792"/>
        <w:contextualSpacing/>
        <w:jc w:val="both"/>
        <w:rPr>
          <w:lang w:eastAsia="zh-CN"/>
        </w:rPr>
      </w:pPr>
      <w:r w:rsidRPr="00C123D9">
        <w:rPr>
          <w:rFonts w:hint="eastAsia"/>
          <w:lang w:eastAsia="zh-CN"/>
        </w:rPr>
        <w:tab/>
        <w:t>(</w:t>
      </w:r>
      <w:r w:rsidR="00917973">
        <w:rPr>
          <w:rFonts w:hint="eastAsia"/>
          <w:lang w:eastAsia="zh-CN"/>
        </w:rPr>
        <w:t>3</w:t>
      </w:r>
      <w:r w:rsidRPr="00C123D9">
        <w:rPr>
          <w:rFonts w:hint="eastAsia"/>
          <w:lang w:eastAsia="zh-CN"/>
        </w:rPr>
        <w:t>)</w:t>
      </w:r>
      <w:r w:rsidRPr="00C123D9">
        <w:rPr>
          <w:rFonts w:hint="eastAsia"/>
          <w:lang w:eastAsia="zh-CN"/>
        </w:rPr>
        <w:tab/>
        <w:t>伯尔尼联盟大会第五十</w:t>
      </w:r>
      <w:r w:rsidR="005A6BD9">
        <w:rPr>
          <w:rFonts w:hint="eastAsia"/>
          <w:lang w:eastAsia="zh-CN"/>
        </w:rPr>
        <w:t>六</w:t>
      </w:r>
      <w:r w:rsidRPr="00C123D9">
        <w:rPr>
          <w:rFonts w:hint="eastAsia"/>
          <w:lang w:eastAsia="zh-CN"/>
        </w:rPr>
        <w:t>届会议（第</w:t>
      </w:r>
      <w:r w:rsidR="005A6BD9">
        <w:rPr>
          <w:rFonts w:hint="eastAsia"/>
          <w:lang w:eastAsia="zh-CN"/>
        </w:rPr>
        <w:t>29</w:t>
      </w:r>
      <w:r w:rsidRPr="00C123D9">
        <w:rPr>
          <w:rFonts w:hint="eastAsia"/>
          <w:lang w:eastAsia="zh-CN"/>
        </w:rPr>
        <w:t>次</w:t>
      </w:r>
      <w:r w:rsidR="00B273A6">
        <w:rPr>
          <w:rFonts w:hint="eastAsia"/>
          <w:lang w:eastAsia="zh-CN"/>
        </w:rPr>
        <w:t>特别会议</w:t>
      </w:r>
      <w:r w:rsidRPr="00C123D9">
        <w:rPr>
          <w:rFonts w:hint="eastAsia"/>
          <w:lang w:eastAsia="zh-CN"/>
        </w:rPr>
        <w:t>）</w:t>
      </w:r>
    </w:p>
    <w:p w14:paraId="778A8E2F" w14:textId="20AB8AFB" w:rsidR="009D6B43" w:rsidRPr="00C123D9" w:rsidRDefault="009D6B43" w:rsidP="000522F5">
      <w:pPr>
        <w:pStyle w:val="Heading1"/>
        <w:keepNext w:val="0"/>
        <w:spacing w:beforeLines="100" w:afterLines="50" w:after="120" w:line="340" w:lineRule="atLeast"/>
        <w:rPr>
          <w:b w:val="0"/>
          <w:caps w:val="0"/>
          <w:szCs w:val="22"/>
          <w:u w:val="single"/>
          <w:lang w:eastAsia="zh-CN"/>
        </w:rPr>
      </w:pPr>
      <w:r w:rsidRPr="00C123D9">
        <w:rPr>
          <w:rFonts w:hint="eastAsia"/>
          <w:szCs w:val="22"/>
          <w:lang w:eastAsia="zh-CN"/>
        </w:rPr>
        <w:br w:type="page"/>
      </w:r>
      <w:r w:rsidR="00DD48DE" w:rsidRPr="00C123D9">
        <w:rPr>
          <w:rFonts w:hint="eastAsia"/>
          <w:b w:val="0"/>
          <w:caps w:val="0"/>
          <w:szCs w:val="22"/>
          <w:u w:val="single"/>
          <w:lang w:eastAsia="zh-CN"/>
        </w:rPr>
        <w:lastRenderedPageBreak/>
        <w:t>成　员</w:t>
      </w:r>
    </w:p>
    <w:p w14:paraId="197DA9F9" w14:textId="5FD85EC8" w:rsidR="009D6B43" w:rsidRPr="00C123D9"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2"/>
          <w:lang w:eastAsia="zh-CN"/>
        </w:rPr>
      </w:pPr>
      <w:r w:rsidRPr="00C123D9">
        <w:rPr>
          <w:rFonts w:ascii="SimSun" w:eastAsia="SimSun" w:hAnsi="SimSun" w:cs="Microsoft YaHei" w:hint="eastAsia"/>
          <w:sz w:val="22"/>
          <w:lang w:eastAsia="zh-CN"/>
        </w:rPr>
        <w:t>成员国</w:t>
      </w:r>
      <w:r w:rsidR="005A6BD9">
        <w:rPr>
          <w:rFonts w:ascii="SimSun" w:eastAsia="SimSun" w:hAnsi="SimSun" w:cs="Microsoft YaHei" w:hint="eastAsia"/>
          <w:sz w:val="22"/>
          <w:lang w:eastAsia="zh-CN"/>
        </w:rPr>
        <w:t>3</w:t>
      </w:r>
      <w:r w:rsidRPr="00C123D9">
        <w:rPr>
          <w:rFonts w:ascii="SimSun" w:eastAsia="SimSun" w:hAnsi="SimSun" w:cs="Microsoft YaHei" w:hint="eastAsia"/>
          <w:sz w:val="22"/>
          <w:lang w:eastAsia="zh-CN"/>
        </w:rPr>
        <w:t>个</w:t>
      </w:r>
      <w:r w:rsidR="005A6BD9">
        <w:rPr>
          <w:rFonts w:ascii="SimSun" w:eastAsia="SimSun" w:hAnsi="SimSun" w:cs="Microsoft YaHei" w:hint="eastAsia"/>
          <w:sz w:val="22"/>
          <w:lang w:eastAsia="zh-CN"/>
        </w:rPr>
        <w:t>有关</w:t>
      </w:r>
      <w:r w:rsidRPr="00C123D9">
        <w:rPr>
          <w:rFonts w:ascii="SimSun" w:eastAsia="SimSun" w:hAnsi="SimSun" w:cs="Microsoft YaHei" w:hint="eastAsia"/>
          <w:sz w:val="22"/>
          <w:lang w:eastAsia="zh-CN"/>
        </w:rPr>
        <w:t>大会中每个大会的成员如下：</w:t>
      </w:r>
    </w:p>
    <w:p w14:paraId="04EE638B" w14:textId="3DB1DAB5" w:rsidR="009D6B43" w:rsidRPr="00C123D9" w:rsidRDefault="009D6B43" w:rsidP="000522F5">
      <w:pPr>
        <w:overflowPunct w:val="0"/>
        <w:spacing w:afterLines="50" w:after="120" w:line="340" w:lineRule="atLeast"/>
        <w:ind w:leftChars="300" w:left="1320" w:hangingChars="300" w:hanging="660"/>
        <w:jc w:val="both"/>
        <w:rPr>
          <w:lang w:eastAsia="zh-CN"/>
        </w:rPr>
      </w:pPr>
      <w:r w:rsidRPr="00C123D9">
        <w:rPr>
          <w:rFonts w:hint="eastAsia"/>
          <w:lang w:eastAsia="zh-CN"/>
        </w:rPr>
        <w:t>(1)</w:t>
      </w:r>
      <w:r w:rsidRPr="00C123D9">
        <w:rPr>
          <w:rFonts w:hint="eastAsia"/>
          <w:lang w:eastAsia="zh-CN"/>
        </w:rPr>
        <w:tab/>
      </w:r>
      <w:r w:rsidR="00DD48DE" w:rsidRPr="00C123D9">
        <w:rPr>
          <w:rFonts w:cs="Microsoft YaHei" w:hint="eastAsia"/>
          <w:u w:val="single"/>
          <w:lang w:eastAsia="zh-CN"/>
        </w:rPr>
        <w:t>产权组织大会</w:t>
      </w:r>
      <w:r w:rsidR="00236839" w:rsidRPr="00C123D9">
        <w:rPr>
          <w:rFonts w:cs="Microsoft YaHei" w:hint="eastAsia"/>
          <w:lang w:eastAsia="zh-CN"/>
        </w:rPr>
        <w:t>：</w:t>
      </w:r>
      <w:r w:rsidR="001131C1" w:rsidRPr="001131C1">
        <w:rPr>
          <w:rFonts w:cs="Microsoft YaHei" w:hint="eastAsia"/>
          <w:lang w:eastAsia="zh-CN"/>
        </w:rPr>
        <w:t>阿尔巴尼亚、阿尔及利亚、阿富汗、阿根廷、阿拉伯联合酋长国、阿拉伯叙利亚共和国、阿曼、阿塞拜疆、埃及、埃塞俄比亚、爱尔兰、爱沙尼亚、安道尔、安哥拉、安提瓜和巴布达、奥地利、澳大利亚、巴巴多斯、巴布亚新几内亚、巴哈马、巴基斯坦、巴拉圭、巴林、巴拿马、巴西、白俄罗斯、保加利亚、北马其顿、贝宁、比利时、秘鲁、冰岛、波兰、波斯尼亚和黑塞哥维那、伯利兹、博茨瓦纳、不丹、布基纳法索、布隆迪、朝鲜民主主义人民共和国、赤道几内亚、大韩民国、丹麦、德国、多哥、多米尼加、多米尼克、多民族玻利维亚国、俄罗斯联邦、厄瓜多尔、法国、菲律宾、斐济、芬兰、佛得角、冈比亚、刚果、刚果民主共和国、哥伦比亚、哥斯达黎加、格林纳达、格鲁吉亚、古巴、圭亚那、哈萨克斯坦、海地、荷兰王国、黑山、洪都拉斯、基里巴斯、吉布提、吉尔吉斯斯坦、几内亚、几内亚比绍、加拿大、加纳、加蓬、柬埔寨、捷克共和国、津巴布韦、喀麦隆、卡塔尔、科摩罗、科特迪瓦、科威特、克罗地亚、肯尼亚、库克群岛、拉脱维亚、莱索托、老挝人民民主共和国、黎巴嫩、立陶宛、利比里亚、利比亚、联合王国、列支敦士登、卢森堡、卢旺达、罗马教廷、罗马尼亚、马达加斯加、马尔代夫、马耳他、马拉维、马来西亚、马里、毛里求斯、毛里塔尼亚、美利坚合众国、蒙古、孟加拉国、密克罗尼西亚联邦、摩尔多瓦共和国、摩洛哥、摩纳哥、莫桑比克、墨西哥、纳米比亚、南非、瑙鲁、尼加拉瓜、尼泊尔、尼日尔、尼日利亚、纽埃、挪威、葡萄牙、日本、瑞典、瑞士、萨尔瓦多、萨摩亚、塞尔维亚、塞拉利昂、塞内加尔、塞浦路斯、塞舌尔、沙特阿拉伯、圣多美和普林西比、圣基茨和尼维斯、圣卢西亚、圣马力诺、圣文森特和格林纳丁斯、斯里兰卡、斯洛伐克、斯洛文尼亚、斯威士兰、苏丹、苏里南、所罗门群岛、塔吉克斯坦、泰国、坦桑尼亚联合共和国、汤加、特立尼达和多巴哥、突尼斯、图瓦卢、土耳其、土库曼斯坦、瓦努阿图、危地马拉、委内瑞拉玻利瓦尔共和国、文莱达鲁萨兰国、乌干达、乌克兰、乌拉圭、乌兹别克斯坦、西班牙、希腊、新加坡、新西兰、匈牙利、牙买加、亚美尼亚、也门、伊拉克、伊朗伊斯兰共和国、以色列、意大利、印度、印度尼西亚、约旦、越南、赞比亚、乍得、智利、中非共和国、中国</w:t>
      </w:r>
      <w:r w:rsidR="007D35D6" w:rsidRPr="00C123D9">
        <w:rPr>
          <w:rFonts w:hint="eastAsia"/>
          <w:lang w:eastAsia="zh-CN"/>
        </w:rPr>
        <w:t>（</w:t>
      </w:r>
      <w:r w:rsidRPr="00C123D9">
        <w:rPr>
          <w:rFonts w:hint="eastAsia"/>
          <w:lang w:eastAsia="zh-CN"/>
        </w:rPr>
        <w:t>18</w:t>
      </w:r>
      <w:r w:rsidR="001131C1">
        <w:rPr>
          <w:rFonts w:hint="eastAsia"/>
          <w:lang w:eastAsia="zh-CN"/>
        </w:rPr>
        <w:t>9</w:t>
      </w:r>
      <w:r w:rsidR="00CD699A" w:rsidRPr="00C123D9">
        <w:rPr>
          <w:rFonts w:hint="eastAsia"/>
          <w:lang w:eastAsia="zh-CN"/>
        </w:rPr>
        <w:t>个</w:t>
      </w:r>
      <w:r w:rsidR="00AB71E2" w:rsidRPr="00C123D9">
        <w:rPr>
          <w:rFonts w:hint="eastAsia"/>
          <w:lang w:eastAsia="zh-CN"/>
        </w:rPr>
        <w:t>）</w:t>
      </w:r>
      <w:r w:rsidR="00CD699A" w:rsidRPr="00C123D9">
        <w:rPr>
          <w:rFonts w:hint="eastAsia"/>
          <w:lang w:eastAsia="zh-CN"/>
        </w:rPr>
        <w:t>。</w:t>
      </w:r>
    </w:p>
    <w:p w14:paraId="745671AB" w14:textId="50C52701" w:rsidR="009D6B43" w:rsidRPr="00C123D9" w:rsidRDefault="009D6B43" w:rsidP="000522F5">
      <w:pPr>
        <w:overflowPunct w:val="0"/>
        <w:spacing w:afterLines="50" w:after="120" w:line="340" w:lineRule="atLeast"/>
        <w:ind w:leftChars="300" w:left="1320" w:hangingChars="300" w:hanging="660"/>
        <w:jc w:val="both"/>
        <w:rPr>
          <w:lang w:eastAsia="zh-CN"/>
        </w:rPr>
      </w:pPr>
      <w:r w:rsidRPr="00C123D9">
        <w:rPr>
          <w:rFonts w:hint="eastAsia"/>
          <w:lang w:eastAsia="zh-CN"/>
        </w:rPr>
        <w:t>(</w:t>
      </w:r>
      <w:r w:rsidR="005A6BD9">
        <w:rPr>
          <w:rFonts w:hint="eastAsia"/>
          <w:lang w:eastAsia="zh-CN"/>
        </w:rPr>
        <w:t>2</w:t>
      </w:r>
      <w:r w:rsidRPr="00C123D9">
        <w:rPr>
          <w:rFonts w:hint="eastAsia"/>
          <w:lang w:eastAsia="zh-CN"/>
        </w:rPr>
        <w:t>)</w:t>
      </w:r>
      <w:r w:rsidRPr="00C123D9">
        <w:rPr>
          <w:rFonts w:hint="eastAsia"/>
          <w:lang w:eastAsia="zh-CN"/>
        </w:rPr>
        <w:tab/>
      </w:r>
      <w:r w:rsidR="00DD48DE" w:rsidRPr="00C123D9">
        <w:rPr>
          <w:rFonts w:hint="eastAsia"/>
          <w:u w:val="single"/>
          <w:lang w:eastAsia="zh-CN"/>
        </w:rPr>
        <w:t>巴黎联盟大会</w:t>
      </w:r>
      <w:r w:rsidR="00236839" w:rsidRPr="00C123D9">
        <w:rPr>
          <w:rFonts w:hint="eastAsia"/>
          <w:lang w:eastAsia="zh-CN"/>
        </w:rPr>
        <w:t>：</w:t>
      </w:r>
      <w:r w:rsidR="00C35E1F" w:rsidRPr="00C123D9">
        <w:rPr>
          <w:rFonts w:hint="eastAsia"/>
          <w:lang w:eastAsia="zh-CN"/>
        </w:rPr>
        <w:t>阿</w:t>
      </w:r>
      <w:bookmarkStart w:id="5" w:name="_Hlk202433079"/>
      <w:r w:rsidR="00C35E1F" w:rsidRPr="00C123D9">
        <w:rPr>
          <w:rFonts w:hint="eastAsia"/>
          <w:lang w:eastAsia="zh-CN"/>
        </w:rPr>
        <w:t>尔巴尼亚、阿尔及利亚、阿富汗、阿根廷、阿拉伯联合酋长国、阿拉伯叙利亚共和国、阿曼、阿塞拜疆、埃及、</w:t>
      </w:r>
      <w:r w:rsidR="00340B1D" w:rsidRPr="00340B1D">
        <w:rPr>
          <w:rFonts w:hint="eastAsia"/>
          <w:lang w:eastAsia="zh-CN"/>
        </w:rPr>
        <w:t>埃塞俄比亚</w:t>
      </w:r>
      <w:r w:rsidR="00340B1D">
        <w:rPr>
          <w:rFonts w:hint="eastAsia"/>
          <w:lang w:eastAsia="zh-CN"/>
        </w:rPr>
        <w:t>、</w:t>
      </w:r>
      <w:r w:rsidR="00C35E1F" w:rsidRPr="00C123D9">
        <w:rPr>
          <w:rFonts w:hint="eastAsia"/>
          <w:lang w:eastAsia="zh-CN"/>
        </w:rPr>
        <w:t>爱尔兰、爱沙尼亚、安道尔、安哥拉、安提瓜和巴布达、奥地利、澳大利亚、巴巴多斯、巴布亚新几内亚、巴哈马、巴基斯坦、巴拉圭、巴林</w:t>
      </w:r>
      <w:bookmarkEnd w:id="5"/>
      <w:r w:rsidR="00C35E1F" w:rsidRPr="00C123D9">
        <w:rPr>
          <w:rFonts w:hint="eastAsia"/>
          <w:lang w:eastAsia="zh-CN"/>
        </w:rPr>
        <w:t>、巴拿马、巴西、白俄罗斯、保加利亚、北马其顿、贝宁、比利时、秘鲁、冰岛、波兰、波斯尼亚和黑塞哥维那、伯利兹、博茨瓦纳、不丹、布基纳法索、布隆迪、朝鲜民主主义人民共和国、赤道几内亚、大韩民国、丹麦、德国、多哥、多米尼克、多民族玻利维亚国、俄罗斯联邦、厄瓜多尔、法国、菲律宾、斐济、芬兰、佛得角、冈比亚、刚果、刚果民主共和国、哥伦比亚、哥斯达黎加、格林纳达、格鲁吉亚、古巴、圭亚那、哈萨克斯坦、海地、荷兰王国、黑山、洪都拉斯、基里巴斯、吉布提、吉尔吉斯斯坦、几内亚、几内亚比绍、加拿大、加纳、加蓬、柬埔寨、 捷克共和国、津巴布韦、喀麦隆、卡塔尔、科摩罗、科特迪瓦、科威特、克罗地亚、肯尼亚、拉脱维亚、莱索托、老挝人民民主</w:t>
      </w:r>
      <w:r w:rsidR="00C35E1F" w:rsidRPr="00C123D9">
        <w:rPr>
          <w:rFonts w:hint="eastAsia"/>
          <w:lang w:eastAsia="zh-CN"/>
        </w:rPr>
        <w:lastRenderedPageBreak/>
        <w:t>共和国、黎巴嫩、立陶宛、利比里亚、利比亚、联合王国、列支敦士登、卢森堡、卢旺达、罗马教廷、罗马尼亚、马达加斯加、马耳他、马拉维、马来西亚、马里、毛里求斯、毛里塔尼亚、美利坚合众国、蒙古、孟加拉国、摩尔多瓦共和国、摩洛哥、摩纳哥、莫桑比克、墨西哥、纳米比亚、南非、尼加拉瓜、尼泊尔、尼日尔、挪威、葡萄牙、日本、瑞典、瑞士、萨尔瓦多、萨摩亚、塞尔维亚、塞拉利昂、塞内加尔、塞浦路斯、塞舌尔、沙特阿拉伯、圣多美和普林西比、圣基茨和尼维斯、圣卢西亚、圣马力诺、圣文森特和格林纳丁斯、斯里兰卡、斯洛伐克、斯洛文尼亚、斯威士兰、苏丹、苏里南、塔吉克斯坦、泰国、坦桑尼亚联合共和国、汤加、特立尼达和多巴哥、突尼斯、土耳其、土库曼斯坦、危地马拉、委内瑞拉玻利瓦尔共和国、文莱达鲁萨兰国、乌干达、乌克兰、乌拉圭、乌兹别克斯坦、西班牙、希腊、新加坡、新西兰、匈牙利、牙买加、亚美尼亚、也门、伊拉克、伊朗伊斯兰共和国、以色列、意大利、印度、印度尼西亚、约旦、越南、赞比亚、乍得、智利、中非共和国、中国</w:t>
      </w:r>
      <w:r w:rsidR="007D35D6" w:rsidRPr="000E2ADD">
        <w:rPr>
          <w:rStyle w:val="numb1Char"/>
          <w:rFonts w:hint="eastAsia"/>
          <w:sz w:val="22"/>
          <w:lang w:val="fr-CH" w:eastAsia="zh-CN"/>
        </w:rPr>
        <w:t>（</w:t>
      </w:r>
      <w:r w:rsidRPr="000E2ADD">
        <w:rPr>
          <w:rStyle w:val="numb1Char"/>
          <w:rFonts w:hint="eastAsia"/>
          <w:sz w:val="22"/>
          <w:lang w:val="fr-CH" w:eastAsia="zh-CN"/>
        </w:rPr>
        <w:t>17</w:t>
      </w:r>
      <w:r w:rsidR="00340B1D" w:rsidRPr="000E2ADD">
        <w:rPr>
          <w:rStyle w:val="numb1Char"/>
          <w:rFonts w:hint="eastAsia"/>
          <w:sz w:val="22"/>
          <w:lang w:val="fr-CH" w:eastAsia="zh-CN"/>
        </w:rPr>
        <w:t>9</w:t>
      </w:r>
      <w:r w:rsidR="00CD699A" w:rsidRPr="00C123D9">
        <w:rPr>
          <w:rFonts w:hint="eastAsia"/>
          <w:lang w:eastAsia="zh-CN"/>
        </w:rPr>
        <w:t>个</w:t>
      </w:r>
      <w:r w:rsidR="00AB71E2" w:rsidRPr="000E2ADD">
        <w:rPr>
          <w:rStyle w:val="numb1Char"/>
          <w:rFonts w:hint="eastAsia"/>
          <w:sz w:val="22"/>
          <w:lang w:val="fr-CH" w:eastAsia="zh-CN"/>
        </w:rPr>
        <w:t>）</w:t>
      </w:r>
      <w:r w:rsidR="00CD699A" w:rsidRPr="00C123D9">
        <w:rPr>
          <w:rStyle w:val="numb1Char"/>
          <w:rFonts w:hint="eastAsia"/>
          <w:sz w:val="22"/>
          <w:lang w:eastAsia="zh-CN"/>
        </w:rPr>
        <w:t>。</w:t>
      </w:r>
    </w:p>
    <w:p w14:paraId="36B54C56" w14:textId="6EA93875" w:rsidR="009D6B43" w:rsidRPr="00C123D9" w:rsidRDefault="009D6B43" w:rsidP="000522F5">
      <w:pPr>
        <w:overflowPunct w:val="0"/>
        <w:spacing w:afterLines="50" w:after="120" w:line="340" w:lineRule="atLeast"/>
        <w:ind w:leftChars="300" w:left="1320" w:hangingChars="300" w:hanging="660"/>
        <w:jc w:val="both"/>
        <w:rPr>
          <w:lang w:eastAsia="zh-CN"/>
        </w:rPr>
      </w:pPr>
      <w:r w:rsidRPr="00C123D9">
        <w:rPr>
          <w:rFonts w:hint="eastAsia"/>
          <w:lang w:eastAsia="zh-CN"/>
        </w:rPr>
        <w:t>(</w:t>
      </w:r>
      <w:r w:rsidR="005A6BD9">
        <w:rPr>
          <w:rFonts w:hint="eastAsia"/>
          <w:lang w:eastAsia="zh-CN"/>
        </w:rPr>
        <w:t>3</w:t>
      </w:r>
      <w:r w:rsidRPr="00C123D9">
        <w:rPr>
          <w:rFonts w:hint="eastAsia"/>
          <w:lang w:eastAsia="zh-CN"/>
        </w:rPr>
        <w:t>)</w:t>
      </w:r>
      <w:r w:rsidRPr="00C123D9">
        <w:rPr>
          <w:rFonts w:hint="eastAsia"/>
          <w:lang w:eastAsia="zh-CN"/>
        </w:rPr>
        <w:tab/>
      </w:r>
      <w:r w:rsidR="00DD48DE" w:rsidRPr="00C123D9">
        <w:rPr>
          <w:rFonts w:cs="Microsoft YaHei" w:hint="eastAsia"/>
          <w:u w:val="single"/>
          <w:lang w:eastAsia="zh-CN"/>
        </w:rPr>
        <w:t>伯尔尼联盟大会</w:t>
      </w:r>
      <w:r w:rsidR="00236839" w:rsidRPr="00C123D9">
        <w:rPr>
          <w:rFonts w:cs="Microsoft YaHei" w:hint="eastAsia"/>
          <w:lang w:eastAsia="zh-CN"/>
        </w:rPr>
        <w:t>：</w:t>
      </w:r>
      <w:r w:rsidR="00876E84" w:rsidRPr="00876E84">
        <w:rPr>
          <w:rFonts w:cs="Microsoft YaHei" w:hint="eastAsia"/>
          <w:lang w:eastAsia="zh-CN"/>
        </w:rPr>
        <w:t>阿尔巴尼亚、阿尔及利亚、阿富汗、阿根廷、阿拉伯联合酋长国、阿拉伯叙利亚共和国、阿曼、阿塞拜疆、埃及、爱尔兰、爱沙尼亚、安道尔、安提瓜和巴布达、奥地利、澳大利亚、巴巴多斯、巴哈马、巴基斯坦、巴拉圭、巴林、巴拿马、巴西、白俄罗斯、保加利亚、北马其顿、贝宁、比利时、秘鲁、冰岛、波兰、波斯尼亚和黑塞哥维那、伯利兹、博茨瓦纳、不丹、布基纳法索、布隆迪、朝鲜民主主义人民共和国、赤道几内亚、大韩民国、丹麦、德国、多哥、多米尼加、多米尼克、多民族玻利维亚国、俄罗斯联邦、厄瓜多尔、法国、菲律宾、斐济、芬兰、佛得角、冈比亚、刚果、刚果民主共和国、哥伦比亚、哥斯达黎加、格林纳达、格鲁吉亚、古巴、圭亚那、哈萨克斯坦、海地、荷兰王国、黑山、洪都拉斯、基里巴斯、吉布提、吉尔吉斯斯坦、几内亚、几内亚比绍、加拿大、加纳、加蓬、柬埔寨、捷克共和国、津巴布韦、喀麦隆、卡塔尔、科摩罗、科特迪瓦、科威特、克罗地亚、肯尼亚、库克群岛、拉脱维亚、莱索托、老挝人民民主共和国、立陶宛、利比里亚、利比亚、联合王国、列支敦士登、卢森堡、卢旺达、罗马教廷、罗马尼亚、马尔代夫、马耳他、马拉维、马来西亚、马里、毛里求斯、毛里塔尼亚、美利坚合众国、蒙古、孟加拉国、密克罗尼西亚联邦、摩尔多瓦共和国、摩洛哥、摩纳哥、莫桑比克、墨西哥、纳米比亚、南非、瑙鲁、尼加拉瓜、尼泊尔、尼日尔、尼日利亚、纽埃、挪威、葡萄牙、日本、瑞典、瑞士、萨尔瓦多、萨摩亚、塞尔维亚、塞内加尔、塞浦路斯、沙特阿拉伯、圣多美和普林西比、圣基茨和尼维斯、圣卢西亚、圣马力诺、圣文森特和格林纳丁斯、斯里兰卡、斯洛伐克、斯洛文尼亚、斯威士兰、苏丹、苏里南、所罗门群岛、塔吉克斯坦、泰国、坦桑尼亚联合共和国、汤加、特立尼达和多巴哥、突尼斯、图瓦卢、土耳其、土库曼斯坦、瓦努阿图、危地马拉、委内瑞拉玻利瓦尔共和国、文莱达鲁萨兰国、乌干达、乌克兰、乌拉圭、乌兹别克斯坦、西班牙、希腊、新加坡、新西兰、匈牙利、牙买加、亚美尼亚、也门、以色列、意大利、印度、印度尼西亚、约旦、越南、赞比亚、乍得、智利、中非共和国、中国</w:t>
      </w:r>
      <w:r w:rsidR="007D35D6" w:rsidRPr="00010C64">
        <w:rPr>
          <w:rStyle w:val="numb1Char"/>
          <w:rFonts w:hint="eastAsia"/>
          <w:sz w:val="22"/>
          <w:lang w:val="fr-CH" w:eastAsia="zh-CN"/>
        </w:rPr>
        <w:t>（</w:t>
      </w:r>
      <w:r w:rsidRPr="00010C64">
        <w:rPr>
          <w:rStyle w:val="numb1Char"/>
          <w:rFonts w:hint="eastAsia"/>
          <w:sz w:val="22"/>
          <w:lang w:val="fr-CH" w:eastAsia="zh-CN"/>
        </w:rPr>
        <w:t>1</w:t>
      </w:r>
      <w:r w:rsidR="00876E84" w:rsidRPr="00010C64">
        <w:rPr>
          <w:rStyle w:val="numb1Char"/>
          <w:rFonts w:hint="eastAsia"/>
          <w:sz w:val="22"/>
          <w:lang w:val="fr-CH" w:eastAsia="zh-CN"/>
        </w:rPr>
        <w:t>80</w:t>
      </w:r>
      <w:r w:rsidR="00CD699A" w:rsidRPr="00C123D9">
        <w:rPr>
          <w:rFonts w:hint="eastAsia"/>
          <w:lang w:eastAsia="zh-CN"/>
        </w:rPr>
        <w:t>个</w:t>
      </w:r>
      <w:r w:rsidR="00AB71E2" w:rsidRPr="00010C64">
        <w:rPr>
          <w:rStyle w:val="numb1Char"/>
          <w:rFonts w:hint="eastAsia"/>
          <w:sz w:val="22"/>
          <w:lang w:val="fr-CH" w:eastAsia="zh-CN"/>
        </w:rPr>
        <w:t>）</w:t>
      </w:r>
      <w:r w:rsidR="00CD699A" w:rsidRPr="00C123D9">
        <w:rPr>
          <w:rStyle w:val="numb1Char"/>
          <w:rFonts w:hint="eastAsia"/>
          <w:sz w:val="22"/>
          <w:lang w:eastAsia="zh-CN"/>
        </w:rPr>
        <w:t>。</w:t>
      </w:r>
    </w:p>
    <w:p w14:paraId="6655BBD7" w14:textId="21687696" w:rsidR="009D6B43" w:rsidRPr="00C123D9" w:rsidRDefault="00DD48DE" w:rsidP="005A6BD9">
      <w:pPr>
        <w:pStyle w:val="Heading1"/>
        <w:spacing w:beforeLines="100" w:afterLines="50" w:after="120" w:line="340" w:lineRule="atLeast"/>
        <w:rPr>
          <w:b w:val="0"/>
          <w:caps w:val="0"/>
          <w:szCs w:val="22"/>
          <w:u w:val="single"/>
          <w:lang w:eastAsia="zh-CN"/>
        </w:rPr>
      </w:pPr>
      <w:r w:rsidRPr="00C123D9">
        <w:rPr>
          <w:rFonts w:hint="eastAsia"/>
          <w:b w:val="0"/>
          <w:caps w:val="0"/>
          <w:szCs w:val="22"/>
          <w:u w:val="single"/>
          <w:lang w:eastAsia="zh-CN"/>
        </w:rPr>
        <w:lastRenderedPageBreak/>
        <w:t>观察员</w:t>
      </w:r>
    </w:p>
    <w:p w14:paraId="021427C3" w14:textId="1FA59014" w:rsidR="009D6B43" w:rsidRPr="00C123D9"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2"/>
          <w:lang w:eastAsia="zh-CN"/>
        </w:rPr>
      </w:pPr>
      <w:bookmarkStart w:id="6" w:name="_Ref350766703"/>
      <w:r w:rsidRPr="00C123D9">
        <w:rPr>
          <w:rFonts w:ascii="SimSun" w:eastAsia="SimSun" w:hAnsi="SimSun" w:cs="Microsoft YaHei" w:hint="eastAsia"/>
          <w:sz w:val="22"/>
          <w:lang w:eastAsia="zh-CN"/>
        </w:rPr>
        <w:t>非上文第</w:t>
      </w:r>
      <w:r w:rsidRPr="00C123D9">
        <w:rPr>
          <w:rFonts w:ascii="SimSun" w:eastAsia="SimSun" w:hAnsi="SimSun" w:cs="Arial" w:hint="eastAsia"/>
          <w:sz w:val="22"/>
          <w:lang w:eastAsia="zh-CN"/>
        </w:rPr>
        <w:t>1</w:t>
      </w:r>
      <w:r w:rsidRPr="00C123D9">
        <w:rPr>
          <w:rFonts w:ascii="SimSun" w:eastAsia="SimSun" w:hAnsi="SimSun" w:cs="Microsoft YaHei" w:hint="eastAsia"/>
          <w:sz w:val="22"/>
          <w:lang w:eastAsia="zh-CN"/>
        </w:rPr>
        <w:t>段第</w:t>
      </w:r>
      <w:r w:rsidRPr="00C123D9">
        <w:rPr>
          <w:rFonts w:ascii="SimSun" w:eastAsia="SimSun" w:hAnsi="SimSun" w:cs="Arial" w:hint="eastAsia"/>
          <w:sz w:val="22"/>
          <w:lang w:eastAsia="zh-CN"/>
        </w:rPr>
        <w:t>1</w:t>
      </w:r>
      <w:r w:rsidR="009F65C9">
        <w:rPr>
          <w:rFonts w:ascii="SimSun" w:eastAsia="SimSun" w:hAnsi="SimSun" w:cs="Arial" w:hint="eastAsia"/>
          <w:sz w:val="22"/>
          <w:lang w:eastAsia="zh-CN"/>
        </w:rPr>
        <w:t>、2、</w:t>
      </w:r>
      <w:r w:rsidRPr="00C123D9">
        <w:rPr>
          <w:rFonts w:ascii="SimSun" w:eastAsia="SimSun" w:hAnsi="SimSun" w:cs="Arial" w:hint="eastAsia"/>
          <w:sz w:val="22"/>
          <w:lang w:eastAsia="zh-CN"/>
        </w:rPr>
        <w:t>3</w:t>
      </w:r>
      <w:r w:rsidRPr="00C123D9">
        <w:rPr>
          <w:rFonts w:ascii="SimSun" w:eastAsia="SimSun" w:hAnsi="SimSun" w:cs="Microsoft YaHei" w:hint="eastAsia"/>
          <w:sz w:val="22"/>
          <w:lang w:eastAsia="zh-CN"/>
        </w:rPr>
        <w:t>项中所述各大会中任何一个的成员，但为产权组织成员国会议成员的任何国家</w:t>
      </w:r>
      <w:r w:rsidR="009F65C9">
        <w:rPr>
          <w:rStyle w:val="FootnoteReference"/>
          <w:rFonts w:ascii="SimSun" w:eastAsia="SimSun" w:hAnsi="SimSun" w:cs="Microsoft YaHei" w:hint="eastAsia"/>
          <w:sz w:val="22"/>
          <w:lang w:eastAsia="zh-CN"/>
        </w:rPr>
        <w:footnoteReference w:id="2"/>
      </w:r>
      <w:r w:rsidRPr="00C123D9">
        <w:rPr>
          <w:rFonts w:ascii="SimSun" w:eastAsia="SimSun" w:hAnsi="SimSun" w:cs="Microsoft YaHei" w:hint="eastAsia"/>
          <w:sz w:val="22"/>
          <w:lang w:eastAsia="zh-CN"/>
        </w:rPr>
        <w:t>，可以派代表作为观察员出席</w:t>
      </w:r>
      <w:r w:rsidR="009F65C9">
        <w:rPr>
          <w:rFonts w:ascii="SimSun" w:eastAsia="SimSun" w:hAnsi="SimSun" w:cs="Microsoft YaHei" w:hint="eastAsia"/>
          <w:sz w:val="22"/>
          <w:lang w:eastAsia="zh-CN"/>
        </w:rPr>
        <w:t>上述</w:t>
      </w:r>
      <w:r w:rsidRPr="00C123D9">
        <w:rPr>
          <w:rFonts w:ascii="SimSun" w:eastAsia="SimSun" w:hAnsi="SimSun" w:cs="Microsoft YaHei" w:hint="eastAsia"/>
          <w:sz w:val="22"/>
          <w:lang w:eastAsia="zh-CN"/>
        </w:rPr>
        <w:t>大会。同样，非上文第</w:t>
      </w:r>
      <w:r w:rsidRPr="00C123D9">
        <w:rPr>
          <w:rFonts w:ascii="SimSun" w:eastAsia="SimSun" w:hAnsi="SimSun" w:cs="Arial" w:hint="eastAsia"/>
          <w:sz w:val="22"/>
          <w:lang w:eastAsia="zh-CN"/>
        </w:rPr>
        <w:t>1</w:t>
      </w:r>
      <w:r w:rsidRPr="00C123D9">
        <w:rPr>
          <w:rFonts w:ascii="SimSun" w:eastAsia="SimSun" w:hAnsi="SimSun" w:cs="Microsoft YaHei" w:hint="eastAsia"/>
          <w:sz w:val="22"/>
          <w:lang w:eastAsia="zh-CN"/>
        </w:rPr>
        <w:t>段中所述各大会中任何一个的成员，但为联合国或任何联合国专门机构</w:t>
      </w:r>
      <w:r w:rsidR="009F65C9">
        <w:rPr>
          <w:rFonts w:ascii="SimSun" w:eastAsia="SimSun" w:hAnsi="SimSun" w:cs="Microsoft YaHei" w:hint="eastAsia"/>
          <w:sz w:val="22"/>
          <w:lang w:eastAsia="zh-CN"/>
        </w:rPr>
        <w:t>（产权组织除外）</w:t>
      </w:r>
      <w:r w:rsidRPr="00C123D9">
        <w:rPr>
          <w:rFonts w:ascii="SimSun" w:eastAsia="SimSun" w:hAnsi="SimSun" w:cs="Microsoft YaHei" w:hint="eastAsia"/>
          <w:sz w:val="22"/>
          <w:lang w:eastAsia="zh-CN"/>
        </w:rPr>
        <w:t>成员的任何国家，可以派代表作为观察员出席各大会。</w:t>
      </w:r>
      <w:bookmarkEnd w:id="6"/>
    </w:p>
    <w:p w14:paraId="5A461298" w14:textId="09D731FE" w:rsidR="009D6B43" w:rsidRPr="001F7872" w:rsidRDefault="00DD48DE" w:rsidP="00CA38BB">
      <w:pPr>
        <w:pStyle w:val="numb0"/>
        <w:numPr>
          <w:ilvl w:val="0"/>
          <w:numId w:val="12"/>
        </w:numPr>
        <w:overflowPunct w:val="0"/>
        <w:spacing w:afterLines="50" w:after="120" w:line="340" w:lineRule="atLeast"/>
        <w:ind w:left="0" w:right="0" w:firstLine="0"/>
        <w:jc w:val="both"/>
        <w:rPr>
          <w:rFonts w:ascii="SimSun" w:eastAsia="SimSun" w:hAnsi="SimSun" w:cs="Arial"/>
          <w:sz w:val="22"/>
          <w:lang w:eastAsia="zh-CN"/>
        </w:rPr>
      </w:pPr>
      <w:r w:rsidRPr="001F7872">
        <w:rPr>
          <w:rFonts w:ascii="SimSun" w:eastAsia="SimSun" w:hAnsi="SimSun" w:cs="Microsoft YaHei" w:hint="eastAsia"/>
          <w:sz w:val="22"/>
          <w:lang w:eastAsia="zh-CN"/>
        </w:rPr>
        <w:t>已邀请下列其他观察员出席上文第</w:t>
      </w:r>
      <w:r w:rsidRPr="001F7872">
        <w:rPr>
          <w:rFonts w:ascii="SimSun" w:eastAsia="SimSun" w:hAnsi="SimSun" w:hint="eastAsia"/>
          <w:sz w:val="22"/>
          <w:lang w:eastAsia="zh-CN"/>
        </w:rPr>
        <w:t>1</w:t>
      </w:r>
      <w:r w:rsidRPr="001F7872">
        <w:rPr>
          <w:rFonts w:ascii="SimSun" w:eastAsia="SimSun" w:hAnsi="SimSun" w:cs="Microsoft YaHei" w:hint="eastAsia"/>
          <w:sz w:val="22"/>
          <w:lang w:eastAsia="zh-CN"/>
        </w:rPr>
        <w:t>段所述全部</w:t>
      </w:r>
      <w:r w:rsidR="00775A51">
        <w:rPr>
          <w:rFonts w:ascii="SimSun" w:eastAsia="SimSun" w:hAnsi="SimSun" w:cs="Microsoft YaHei" w:hint="eastAsia"/>
          <w:sz w:val="22"/>
          <w:lang w:eastAsia="zh-CN"/>
        </w:rPr>
        <w:t>3</w:t>
      </w:r>
      <w:r w:rsidRPr="001F7872">
        <w:rPr>
          <w:rFonts w:ascii="SimSun" w:eastAsia="SimSun" w:hAnsi="SimSun" w:cs="Microsoft YaHei" w:hint="eastAsia"/>
          <w:sz w:val="22"/>
          <w:lang w:eastAsia="zh-CN"/>
        </w:rPr>
        <w:t>个大会</w:t>
      </w:r>
      <w:r w:rsidR="00960935" w:rsidRPr="001F7872">
        <w:rPr>
          <w:rFonts w:ascii="SimSun" w:eastAsia="SimSun" w:hAnsi="SimSun" w:cs="SimSun" w:hint="eastAsia"/>
          <w:sz w:val="22"/>
          <w:lang w:eastAsia="zh-CN"/>
        </w:rPr>
        <w:t>的</w:t>
      </w:r>
      <w:r w:rsidR="00960935" w:rsidRPr="001F7872">
        <w:rPr>
          <w:rFonts w:ascii="SimSun" w:eastAsia="SimSun" w:hAnsi="SimSun" w:cs="Microsoft YaHei" w:hint="eastAsia"/>
          <w:sz w:val="22"/>
          <w:lang w:eastAsia="zh-CN"/>
        </w:rPr>
        <w:t>会议</w:t>
      </w:r>
      <w:r w:rsidRPr="001F7872">
        <w:rPr>
          <w:rFonts w:ascii="SimSun" w:eastAsia="SimSun" w:hAnsi="SimSun" w:cs="Microsoft YaHei" w:hint="eastAsia"/>
          <w:sz w:val="22"/>
          <w:lang w:eastAsia="zh-CN"/>
        </w:rPr>
        <w:t>：</w:t>
      </w:r>
    </w:p>
    <w:p w14:paraId="4D2EB05D" w14:textId="22EAFF1E" w:rsidR="009D6B43" w:rsidRPr="00C123D9" w:rsidRDefault="009D6B43" w:rsidP="00684BF6">
      <w:pPr>
        <w:overflowPunct w:val="0"/>
        <w:spacing w:afterLines="50" w:after="120" w:line="340" w:lineRule="atLeast"/>
        <w:ind w:leftChars="500" w:left="1760" w:hangingChars="300" w:hanging="660"/>
        <w:jc w:val="both"/>
        <w:rPr>
          <w:lang w:eastAsia="zh-CN"/>
        </w:rPr>
      </w:pPr>
      <w:r w:rsidRPr="00C123D9">
        <w:rPr>
          <w:rFonts w:hint="eastAsia"/>
          <w:lang w:eastAsia="zh-CN"/>
        </w:rPr>
        <w:t>(i)</w:t>
      </w:r>
      <w:r w:rsidRPr="00C123D9">
        <w:rPr>
          <w:rFonts w:hint="eastAsia"/>
          <w:lang w:eastAsia="zh-CN"/>
        </w:rPr>
        <w:tab/>
      </w:r>
      <w:r w:rsidR="000829C5" w:rsidRPr="00C123D9">
        <w:rPr>
          <w:rFonts w:cs="SimSun" w:hint="eastAsia"/>
          <w:lang w:eastAsia="zh-CN"/>
        </w:rPr>
        <w:t>巴勒斯坦</w:t>
      </w:r>
      <w:r w:rsidR="00CD699A" w:rsidRPr="00C123D9">
        <w:rPr>
          <w:rFonts w:hint="eastAsia"/>
          <w:lang w:eastAsia="zh-CN"/>
        </w:rPr>
        <w:t>；</w:t>
      </w:r>
    </w:p>
    <w:p w14:paraId="1330B3B5" w14:textId="590E858B" w:rsidR="009D6B43" w:rsidRPr="00C123D9" w:rsidRDefault="009D6B43" w:rsidP="00684BF6">
      <w:pPr>
        <w:overflowPunct w:val="0"/>
        <w:spacing w:afterLines="50" w:after="120" w:line="340" w:lineRule="atLeast"/>
        <w:ind w:leftChars="500" w:left="1760" w:hangingChars="300" w:hanging="660"/>
        <w:jc w:val="both"/>
        <w:rPr>
          <w:lang w:eastAsia="zh-CN"/>
        </w:rPr>
      </w:pPr>
      <w:r w:rsidRPr="00C123D9">
        <w:rPr>
          <w:rFonts w:hint="eastAsia"/>
          <w:lang w:eastAsia="zh-CN"/>
        </w:rPr>
        <w:t>(ii)</w:t>
      </w:r>
      <w:r w:rsidRPr="00C123D9">
        <w:rPr>
          <w:rFonts w:hint="eastAsia"/>
          <w:lang w:eastAsia="zh-CN"/>
        </w:rPr>
        <w:tab/>
      </w:r>
      <w:r w:rsidR="00236839" w:rsidRPr="00C123D9">
        <w:rPr>
          <w:rFonts w:cs="Microsoft YaHei" w:hint="eastAsia"/>
          <w:lang w:eastAsia="zh-CN"/>
        </w:rPr>
        <w:t>联合国系统的组织：</w:t>
      </w:r>
      <w:r w:rsidR="00FD1E4F" w:rsidRPr="00C123D9">
        <w:rPr>
          <w:rFonts w:cs="Microsoft YaHei" w:hint="eastAsia"/>
          <w:lang w:eastAsia="zh-CN"/>
        </w:rPr>
        <w:t>联合国</w:t>
      </w:r>
      <w:r w:rsidR="00A07B46" w:rsidRPr="00C123D9">
        <w:rPr>
          <w:rFonts w:hint="eastAsia"/>
          <w:lang w:eastAsia="zh-CN"/>
        </w:rPr>
        <w:t>、</w:t>
      </w:r>
      <w:r w:rsidR="00DF13D5" w:rsidRPr="00C123D9">
        <w:rPr>
          <w:rFonts w:cs="Microsoft YaHei" w:hint="eastAsia"/>
          <w:lang w:eastAsia="zh-CN"/>
        </w:rPr>
        <w:t>国际电信联盟（国际电联）、国际复兴开发银行（IBRD）、国际海事组织（海事组织）、国际货币基金组织（基金组织）、国际金融公司（金融公司）、国际开发协会（开发协会）、国际劳工组织（劳工组织）、国际民用航空组织（民航组织）、国际农业发展基金（农发基金）、国际原子能机构（原子能机构）、联合国工业发展组织（工发组织）、联合国教育、科学及文化组织（教科文组织）、联合国粮食及农业组织（粮农组织）、世界气象组织（气象组织）、世界卫生组织（世卫组织）、万国邮政联盟（万国邮联）</w:t>
      </w:r>
      <w:r w:rsidR="007D35D6" w:rsidRPr="00C123D9">
        <w:rPr>
          <w:rFonts w:hint="eastAsia"/>
          <w:lang w:eastAsia="zh-CN"/>
        </w:rPr>
        <w:t>（</w:t>
      </w:r>
      <w:r w:rsidRPr="00C123D9">
        <w:rPr>
          <w:rFonts w:hint="eastAsia"/>
          <w:lang w:eastAsia="zh-CN"/>
        </w:rPr>
        <w:t>17</w:t>
      </w:r>
      <w:r w:rsidR="00CD699A" w:rsidRPr="00C123D9">
        <w:rPr>
          <w:rFonts w:hint="eastAsia"/>
          <w:lang w:eastAsia="zh-CN"/>
        </w:rPr>
        <w:t>个</w:t>
      </w:r>
      <w:r w:rsidR="00AB71E2" w:rsidRPr="00C123D9">
        <w:rPr>
          <w:rFonts w:hint="eastAsia"/>
          <w:lang w:eastAsia="zh-CN"/>
        </w:rPr>
        <w:t>）</w:t>
      </w:r>
      <w:r w:rsidR="00CD699A" w:rsidRPr="00C123D9">
        <w:rPr>
          <w:rFonts w:hint="eastAsia"/>
          <w:lang w:eastAsia="zh-CN"/>
        </w:rPr>
        <w:t>；</w:t>
      </w:r>
    </w:p>
    <w:p w14:paraId="4E6AEB03" w14:textId="311E7F26" w:rsidR="009D6B43" w:rsidRPr="00C123D9" w:rsidRDefault="009D6B43" w:rsidP="00684BF6">
      <w:pPr>
        <w:overflowPunct w:val="0"/>
        <w:spacing w:afterLines="50" w:after="120" w:line="340" w:lineRule="atLeast"/>
        <w:ind w:leftChars="500" w:left="1760" w:hangingChars="300" w:hanging="660"/>
        <w:jc w:val="both"/>
        <w:rPr>
          <w:lang w:eastAsia="zh-CN"/>
        </w:rPr>
      </w:pPr>
      <w:r w:rsidRPr="00C123D9">
        <w:rPr>
          <w:rFonts w:hint="eastAsia"/>
          <w:lang w:eastAsia="zh-CN"/>
        </w:rPr>
        <w:t>(iii)</w:t>
      </w:r>
      <w:r w:rsidRPr="00C123D9">
        <w:rPr>
          <w:rFonts w:hint="eastAsia"/>
          <w:lang w:eastAsia="zh-CN"/>
        </w:rPr>
        <w:tab/>
      </w:r>
      <w:r w:rsidR="00236839" w:rsidRPr="00C123D9">
        <w:rPr>
          <w:rFonts w:cs="Microsoft YaHei" w:hint="eastAsia"/>
          <w:lang w:eastAsia="zh-CN"/>
        </w:rPr>
        <w:t>知识产权组织：</w:t>
      </w:r>
      <w:r w:rsidR="00D1276F" w:rsidRPr="00C123D9">
        <w:rPr>
          <w:rFonts w:cs="Microsoft YaHei" w:hint="eastAsia"/>
          <w:lang w:eastAsia="zh-CN"/>
        </w:rPr>
        <w:t>阿拉伯国家广播联盟（阿广联）、保护工业产权国家间理事会（ICPIP）、北欧专利局（NPI）、比荷卢知识产权组织（BOIP）、非洲地区知识产权组织（ARIPO）、非洲知识产权组织（OAPI）、国际植物新品种保护联盟（UPOV）、海湾阿拉伯国家合作委员会专利局（海合会专利局）、欧亚专利组织（EAPO）、欧洲专利组织（EPO）、维谢格拉德专利局（VPI）</w:t>
      </w:r>
      <w:r w:rsidR="007D35D6" w:rsidRPr="00C123D9">
        <w:rPr>
          <w:rFonts w:hint="eastAsia"/>
          <w:lang w:eastAsia="zh-CN"/>
        </w:rPr>
        <w:t>（</w:t>
      </w:r>
      <w:r w:rsidRPr="00C123D9">
        <w:rPr>
          <w:rFonts w:hint="eastAsia"/>
          <w:lang w:eastAsia="zh-CN"/>
        </w:rPr>
        <w:t>11</w:t>
      </w:r>
      <w:r w:rsidR="00CD699A" w:rsidRPr="00C123D9">
        <w:rPr>
          <w:rFonts w:hint="eastAsia"/>
          <w:lang w:eastAsia="zh-CN"/>
        </w:rPr>
        <w:t>个</w:t>
      </w:r>
      <w:r w:rsidR="00AB71E2" w:rsidRPr="00C123D9">
        <w:rPr>
          <w:rFonts w:hint="eastAsia"/>
          <w:lang w:eastAsia="zh-CN"/>
        </w:rPr>
        <w:t>）</w:t>
      </w:r>
      <w:r w:rsidR="00CD699A" w:rsidRPr="00C123D9">
        <w:rPr>
          <w:rFonts w:hint="eastAsia"/>
          <w:lang w:eastAsia="zh-CN"/>
        </w:rPr>
        <w:t>；</w:t>
      </w:r>
    </w:p>
    <w:p w14:paraId="76C6BE22" w14:textId="7B1746F9" w:rsidR="009D6B43" w:rsidRPr="00C123D9" w:rsidRDefault="009D6B43" w:rsidP="00684BF6">
      <w:pPr>
        <w:overflowPunct w:val="0"/>
        <w:spacing w:afterLines="50" w:after="120" w:line="340" w:lineRule="atLeast"/>
        <w:ind w:leftChars="500" w:left="1760" w:hangingChars="300" w:hanging="660"/>
        <w:jc w:val="both"/>
        <w:rPr>
          <w:lang w:eastAsia="zh-CN"/>
        </w:rPr>
      </w:pPr>
      <w:r w:rsidRPr="00C123D9">
        <w:rPr>
          <w:rFonts w:hint="eastAsia"/>
          <w:lang w:eastAsia="zh-CN"/>
        </w:rPr>
        <w:t>(iv)</w:t>
      </w:r>
      <w:r w:rsidRPr="00C123D9">
        <w:rPr>
          <w:rFonts w:hint="eastAsia"/>
          <w:lang w:eastAsia="zh-CN"/>
        </w:rPr>
        <w:tab/>
      </w:r>
      <w:r w:rsidR="00236839" w:rsidRPr="00C123D9">
        <w:rPr>
          <w:rFonts w:cs="Microsoft YaHei" w:hint="eastAsia"/>
          <w:lang w:eastAsia="zh-CN"/>
        </w:rPr>
        <w:t>其他政府间组织：</w:t>
      </w:r>
      <w:r w:rsidR="00DF13D5" w:rsidRPr="00C123D9">
        <w:rPr>
          <w:rFonts w:cs="Microsoft YaHei" w:hint="eastAsia"/>
          <w:lang w:eastAsia="zh-CN"/>
        </w:rPr>
        <w:t>阿拉伯工业发展和采矿组织（工矿组织）、阿拉伯国家联盟（阿盟）、阿拉伯科学研究理事会联合会（科研联）、阿拉伯联盟教育、文化及科学组织（阿盟教文科组织）、安第斯共同体总秘书处、大湖国家经济共同体（大湖经共体）、东加勒比国家组织（东加组织）、东南亚国家联盟（东盟）、独立国家联合体（独联体）、法语国家国际组织（OIF）、非洲、加勒比和太平洋国家集团（非加太集团）、非洲联盟（非盟）、非洲区域技术中心（非洲技术中心）、共同语言资源和技术基础设施欧洲研究基础设施联合体（CLARIN ERIC）、国际橄榄油理事会（IOOC）、国际葡萄和葡萄酒事务处（IWO）、国际统一私法协会（统法协会）、国际刑事警察组织（国际刑警组织）、海牙国际私法会议（HCCH）、加勒比共同体（加共体）、拉丁美洲和加勒比地区图书推广中心（图书推广中心）、拉丁美洲技术信息网（RITLA）、拉丁美洲经济体系（拉美经济体系）、拉丁美洲数据处理管理机构会议（CALAI）、拉丁美洲一体化协会（拉美一体协）、</w:t>
      </w:r>
      <w:r w:rsidR="00E42616" w:rsidRPr="00E42616">
        <w:rPr>
          <w:rFonts w:cs="Microsoft YaHei" w:hint="eastAsia"/>
          <w:lang w:eastAsia="zh-CN"/>
        </w:rPr>
        <w:t>联合实施国际热核聚变实验堆计划国际聚变能组织</w:t>
      </w:r>
      <w:r w:rsidR="00DF13D5" w:rsidRPr="00C123D9">
        <w:rPr>
          <w:rFonts w:cs="Microsoft YaHei" w:hint="eastAsia"/>
          <w:lang w:eastAsia="zh-CN"/>
        </w:rPr>
        <w:t>（ITER组织）、美洲国家组织（美洲组织）、南部非洲发展共同体（南共体）、南方中心、欧盟委员会（EC）、欧亚经济委员会（EEC）、欧洲公法组织（EPLO）、欧洲委员会（CE）、欧洲音像观察处、欧洲自由贸易联盟（欧贸联）、葡萄牙语国家共同体（葡共体）、世界贸易组织</w:t>
      </w:r>
      <w:r w:rsidR="00DF13D5" w:rsidRPr="00C123D9">
        <w:rPr>
          <w:rFonts w:cs="Microsoft YaHei" w:hint="eastAsia"/>
          <w:lang w:eastAsia="zh-CN"/>
        </w:rPr>
        <w:lastRenderedPageBreak/>
        <w:t>（世贸组织）、西非经济货币联盟（西非经货联）、亚洲–非洲法律协商组织（亚非法协）、伊比利亚国际纳米技术实验室（INL）、伊比利亚美洲总秘书处（伊美秘书处）、伊斯兰合作组织（伊合组织）、伊斯兰世界教育、科学和文化组织（伊斯兰教科文组织）、英联邦技术合作基金（技合基金）、英联邦秘书处、英联邦学术组织（学术组织）、中部非洲经济和货币共同体（中非经货共同体）、中美洲经济一体化秘书处（常设秘书处）</w:t>
      </w:r>
      <w:r w:rsidR="007D35D6" w:rsidRPr="00C123D9">
        <w:rPr>
          <w:rFonts w:hint="eastAsia"/>
          <w:lang w:eastAsia="zh-CN"/>
        </w:rPr>
        <w:t>（</w:t>
      </w:r>
      <w:r w:rsidRPr="00C123D9">
        <w:rPr>
          <w:rFonts w:hint="eastAsia"/>
          <w:lang w:eastAsia="zh-CN"/>
        </w:rPr>
        <w:t>48</w:t>
      </w:r>
      <w:r w:rsidR="00CD699A" w:rsidRPr="00C123D9">
        <w:rPr>
          <w:rFonts w:hint="eastAsia"/>
          <w:lang w:eastAsia="zh-CN"/>
        </w:rPr>
        <w:t>个</w:t>
      </w:r>
      <w:r w:rsidR="00AB71E2" w:rsidRPr="00C123D9">
        <w:rPr>
          <w:rFonts w:hint="eastAsia"/>
          <w:lang w:eastAsia="zh-CN"/>
        </w:rPr>
        <w:t>）</w:t>
      </w:r>
      <w:r w:rsidR="00CD699A" w:rsidRPr="00C123D9">
        <w:rPr>
          <w:rFonts w:hint="eastAsia"/>
          <w:lang w:eastAsia="zh-CN"/>
        </w:rPr>
        <w:t>；</w:t>
      </w:r>
    </w:p>
    <w:p w14:paraId="41791BB5" w14:textId="6EE78FE5" w:rsidR="009D6B43" w:rsidRPr="00C123D9" w:rsidRDefault="009D6B43" w:rsidP="00684BF6">
      <w:pPr>
        <w:overflowPunct w:val="0"/>
        <w:spacing w:afterLines="50" w:after="120" w:line="340" w:lineRule="atLeast"/>
        <w:ind w:leftChars="500" w:left="1760" w:hangingChars="300" w:hanging="660"/>
        <w:jc w:val="both"/>
        <w:rPr>
          <w:lang w:eastAsia="zh-CN"/>
        </w:rPr>
      </w:pPr>
      <w:r w:rsidRPr="00C123D9">
        <w:rPr>
          <w:rFonts w:hint="eastAsia"/>
          <w:lang w:eastAsia="zh-CN"/>
        </w:rPr>
        <w:t>(v)</w:t>
      </w:r>
      <w:r w:rsidRPr="00C123D9">
        <w:rPr>
          <w:rFonts w:hint="eastAsia"/>
          <w:lang w:eastAsia="zh-CN"/>
        </w:rPr>
        <w:tab/>
      </w:r>
      <w:r w:rsidR="00960935" w:rsidRPr="00C123D9">
        <w:rPr>
          <w:rFonts w:cs="Microsoft YaHei" w:hint="eastAsia"/>
          <w:lang w:eastAsia="zh-CN"/>
        </w:rPr>
        <w:t>在产权组织和产权组织管理的各联盟享有观察员地位的所有非政府组织，名单见附件。</w:t>
      </w:r>
    </w:p>
    <w:p w14:paraId="74DCB777" w14:textId="34FD2716" w:rsidR="009D6B43" w:rsidRPr="00A36235" w:rsidRDefault="00DD48DE" w:rsidP="000522F5">
      <w:pPr>
        <w:pStyle w:val="Heading1"/>
        <w:spacing w:beforeLines="100" w:afterLines="50" w:after="120" w:line="340" w:lineRule="atLeast"/>
        <w:rPr>
          <w:b w:val="0"/>
          <w:caps w:val="0"/>
          <w:szCs w:val="22"/>
          <w:u w:val="single"/>
          <w:lang w:val="pt-PT" w:eastAsia="zh-CN"/>
        </w:rPr>
      </w:pPr>
      <w:r w:rsidRPr="00C123D9">
        <w:rPr>
          <w:rFonts w:hint="eastAsia"/>
          <w:b w:val="0"/>
          <w:caps w:val="0"/>
          <w:szCs w:val="22"/>
          <w:u w:val="single"/>
          <w:lang w:eastAsia="zh-CN"/>
        </w:rPr>
        <w:t>议事规则</w:t>
      </w:r>
    </w:p>
    <w:p w14:paraId="527756E0" w14:textId="4553336E" w:rsidR="009D6B43" w:rsidRPr="0055679D" w:rsidRDefault="00DD48DE" w:rsidP="00D1276F">
      <w:pPr>
        <w:pStyle w:val="numb0"/>
        <w:keepNext/>
        <w:numPr>
          <w:ilvl w:val="0"/>
          <w:numId w:val="12"/>
        </w:numPr>
        <w:overflowPunct w:val="0"/>
        <w:spacing w:afterLines="50" w:after="120" w:line="340" w:lineRule="atLeast"/>
        <w:ind w:left="0" w:right="0" w:firstLine="0"/>
        <w:jc w:val="both"/>
        <w:rPr>
          <w:rStyle w:val="Hyperlink"/>
          <w:rFonts w:ascii="SimSun" w:eastAsia="SimSun" w:hAnsi="SimSun"/>
          <w:color w:val="auto"/>
          <w:sz w:val="22"/>
          <w:u w:val="none"/>
          <w:lang w:val="pt-PT" w:eastAsia="zh-CN"/>
        </w:rPr>
      </w:pPr>
      <w:r w:rsidRPr="0055679D">
        <w:rPr>
          <w:rFonts w:ascii="SimSun" w:eastAsia="SimSun" w:hAnsi="SimSun" w:hint="eastAsia"/>
          <w:sz w:val="22"/>
          <w:lang w:eastAsia="zh-CN"/>
        </w:rPr>
        <w:t>产权组织成员国及产权组织管理的各联盟的各大会和其他机构的程序应遵守的规则</w:t>
      </w:r>
      <w:r w:rsidRPr="0055679D">
        <w:rPr>
          <w:rFonts w:ascii="SimSun" w:eastAsia="SimSun" w:hAnsi="SimSun" w:hint="eastAsia"/>
          <w:sz w:val="22"/>
          <w:lang w:val="pt-PT" w:eastAsia="zh-CN"/>
        </w:rPr>
        <w:t>，</w:t>
      </w:r>
      <w:r w:rsidRPr="0055679D">
        <w:rPr>
          <w:rFonts w:ascii="SimSun" w:eastAsia="SimSun" w:hAnsi="SimSun" w:hint="eastAsia"/>
          <w:sz w:val="22"/>
          <w:lang w:eastAsia="zh-CN"/>
        </w:rPr>
        <w:t>载于建立产权组织和各联盟的条约、《产权组织总议事规则》和《特别议事规则》中</w:t>
      </w:r>
      <w:r w:rsidRPr="0055679D">
        <w:rPr>
          <w:rFonts w:ascii="SimSun" w:eastAsia="SimSun" w:hAnsi="SimSun" w:hint="eastAsia"/>
          <w:sz w:val="22"/>
          <w:lang w:val="pt-PT" w:eastAsia="zh-CN"/>
        </w:rPr>
        <w:t>，</w:t>
      </w:r>
      <w:r w:rsidRPr="0055679D">
        <w:rPr>
          <w:rFonts w:ascii="SimSun" w:eastAsia="SimSun" w:hAnsi="SimSun" w:hint="eastAsia"/>
          <w:sz w:val="22"/>
          <w:lang w:eastAsia="zh-CN"/>
        </w:rPr>
        <w:t>分别可在产权组织网站上查阅</w:t>
      </w:r>
      <w:r w:rsidRPr="0055679D">
        <w:rPr>
          <w:rFonts w:ascii="SimSun" w:eastAsia="SimSun" w:hAnsi="SimSun" w:hint="eastAsia"/>
          <w:sz w:val="22"/>
          <w:lang w:val="pt-PT" w:eastAsia="zh-CN"/>
        </w:rPr>
        <w:t>：</w:t>
      </w:r>
      <w:hyperlink r:id="rId14" w:history="1">
        <w:r w:rsidR="007A724D" w:rsidRPr="006865D7">
          <w:rPr>
            <w:rStyle w:val="Hyperlink"/>
            <w:rFonts w:ascii="SimSun" w:eastAsia="SimSun" w:hAnsi="SimSun" w:hint="eastAsia"/>
            <w:sz w:val="22"/>
            <w:lang w:val="pt-PT" w:eastAsia="zh-CN"/>
          </w:rPr>
          <w:t>https://www.wipo.int/policy/zh/rules_of_procedure.html</w:t>
        </w:r>
      </w:hyperlink>
      <w:r w:rsidRPr="0055679D">
        <w:rPr>
          <w:rFonts w:ascii="SimSun" w:eastAsia="SimSun" w:hAnsi="SimSun" w:hint="eastAsia"/>
          <w:sz w:val="22"/>
          <w:lang w:eastAsia="zh-CN"/>
        </w:rPr>
        <w:t>和</w:t>
      </w:r>
      <w:hyperlink r:id="rId15" w:history="1">
        <w:r w:rsidR="00AF6BEA" w:rsidRPr="009B50AD">
          <w:rPr>
            <w:rStyle w:val="Hyperlink"/>
            <w:rFonts w:ascii="SimSun" w:eastAsia="SimSun" w:hAnsi="SimSun"/>
            <w:sz w:val="22"/>
            <w:lang w:val="pt-PT" w:eastAsia="zh-CN"/>
          </w:rPr>
          <w:t>https://www.</w:t>
        </w:r>
        <w:r w:rsidR="00AF6BEA" w:rsidRPr="009B50AD">
          <w:rPr>
            <w:rStyle w:val="Hyperlink"/>
            <w:rFonts w:eastAsia="SimSun"/>
            <w:sz w:val="22"/>
            <w:lang w:val="pt-PT" w:eastAsia="zh-CN"/>
          </w:rPr>
          <w:t>‌</w:t>
        </w:r>
        <w:r w:rsidR="00AF6BEA" w:rsidRPr="009B50AD">
          <w:rPr>
            <w:rStyle w:val="Hyperlink"/>
            <w:rFonts w:ascii="SimSun" w:eastAsia="SimSun" w:hAnsi="SimSun"/>
            <w:sz w:val="22"/>
            <w:lang w:val="pt-PT" w:eastAsia="zh-CN"/>
          </w:rPr>
          <w:t>wipo.int/export/sites/www/treaties/z</w:t>
        </w:r>
        <w:r w:rsidR="00AF6BEA" w:rsidRPr="009B50AD">
          <w:rPr>
            <w:rStyle w:val="Hyperlink"/>
            <w:rFonts w:ascii="SimSun" w:eastAsia="SimSun" w:hAnsi="SimSun" w:hint="eastAsia"/>
            <w:sz w:val="22"/>
            <w:lang w:val="pt-PT" w:eastAsia="zh-CN"/>
          </w:rPr>
          <w:t>h</w:t>
        </w:r>
        <w:r w:rsidR="00AF6BEA" w:rsidRPr="009B50AD">
          <w:rPr>
            <w:rStyle w:val="Hyperlink"/>
            <w:rFonts w:ascii="SimSun" w:eastAsia="SimSun" w:hAnsi="SimSun"/>
            <w:sz w:val="22"/>
            <w:lang w:val="pt-PT" w:eastAsia="zh-CN"/>
          </w:rPr>
          <w:t>/docs/pdf/special_rules.pdf</w:t>
        </w:r>
      </w:hyperlink>
      <w:r w:rsidRPr="0055679D">
        <w:rPr>
          <w:rFonts w:ascii="SimSun" w:eastAsia="SimSun" w:hAnsi="SimSun" w:hint="eastAsia"/>
          <w:sz w:val="22"/>
          <w:lang w:eastAsia="zh-CN"/>
        </w:rPr>
        <w:t>。</w:t>
      </w:r>
    </w:p>
    <w:p w14:paraId="6560197E" w14:textId="704E68F6" w:rsidR="009D6B43" w:rsidRPr="00C123D9" w:rsidRDefault="00DD48DE" w:rsidP="00E821BD">
      <w:pPr>
        <w:pStyle w:val="EndofDocument"/>
        <w:overflowPunct w:val="0"/>
        <w:spacing w:before="720" w:afterLines="50" w:after="120" w:line="340" w:lineRule="atLeast"/>
        <w:ind w:left="5534"/>
        <w:jc w:val="left"/>
        <w:rPr>
          <w:rFonts w:ascii="SimSun" w:eastAsia="SimSun" w:hAnsi="SimSun"/>
          <w:sz w:val="22"/>
          <w:lang w:eastAsia="zh-CN"/>
        </w:rPr>
      </w:pPr>
      <w:r w:rsidRPr="00C123D9">
        <w:rPr>
          <w:rFonts w:ascii="KaiTi" w:eastAsia="KaiTi" w:hAnsi="KaiTi" w:cs="Arial" w:hint="eastAsia"/>
          <w:sz w:val="22"/>
          <w:lang w:eastAsia="zh-CN"/>
        </w:rPr>
        <w:t>[</w:t>
      </w:r>
      <w:r w:rsidRPr="00C123D9">
        <w:rPr>
          <w:rFonts w:ascii="KaiTi" w:eastAsia="KaiTi" w:hAnsi="KaiTi" w:cs="Microsoft YaHei" w:hint="eastAsia"/>
          <w:sz w:val="22"/>
          <w:lang w:eastAsia="zh-CN"/>
        </w:rPr>
        <w:t>后接附件</w:t>
      </w:r>
      <w:r w:rsidRPr="00C123D9">
        <w:rPr>
          <w:rFonts w:ascii="KaiTi" w:eastAsia="KaiTi" w:hAnsi="KaiTi" w:cs="Arial" w:hint="eastAsia"/>
          <w:sz w:val="22"/>
          <w:lang w:eastAsia="zh-CN"/>
        </w:rPr>
        <w:t>]</w:t>
      </w:r>
    </w:p>
    <w:sectPr w:rsidR="009D6B43" w:rsidRPr="00C123D9" w:rsidSect="009D6B43">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A9E77" w14:textId="77777777" w:rsidR="00F476DA" w:rsidRDefault="00F476DA">
      <w:r>
        <w:separator/>
      </w:r>
    </w:p>
  </w:endnote>
  <w:endnote w:type="continuationSeparator" w:id="0">
    <w:p w14:paraId="14F15B2F" w14:textId="77777777" w:rsidR="00F476DA" w:rsidRDefault="00F476DA" w:rsidP="003B38C1">
      <w:r>
        <w:separator/>
      </w:r>
    </w:p>
    <w:p w14:paraId="0A43D07A" w14:textId="77777777" w:rsidR="00F476DA" w:rsidRPr="00010C64" w:rsidRDefault="00F476DA" w:rsidP="003B38C1">
      <w:pPr>
        <w:spacing w:after="60"/>
        <w:rPr>
          <w:sz w:val="17"/>
          <w:lang w:val="en-US"/>
        </w:rPr>
      </w:pPr>
      <w:r w:rsidRPr="00010C64">
        <w:rPr>
          <w:sz w:val="17"/>
          <w:lang w:val="en-US"/>
        </w:rPr>
        <w:t>[Endnote continued from previous page]</w:t>
      </w:r>
    </w:p>
  </w:endnote>
  <w:endnote w:type="continuationNotice" w:id="1">
    <w:p w14:paraId="5DBF2B51" w14:textId="77777777" w:rsidR="00F476DA" w:rsidRPr="00010C64" w:rsidRDefault="00F476DA" w:rsidP="003B38C1">
      <w:pPr>
        <w:spacing w:before="60"/>
        <w:jc w:val="right"/>
        <w:rPr>
          <w:sz w:val="17"/>
          <w:szCs w:val="17"/>
          <w:lang w:val="en-US"/>
        </w:rPr>
      </w:pPr>
      <w:r w:rsidRPr="00010C64">
        <w:rPr>
          <w:sz w:val="17"/>
          <w:szCs w:val="17"/>
          <w:lang w:val="en-US"/>
        </w:rPr>
        <w:t xml:space="preserve">[Endnote </w:t>
      </w:r>
      <w:proofErr w:type="gramStart"/>
      <w:r w:rsidRPr="00010C64">
        <w:rPr>
          <w:sz w:val="17"/>
          <w:szCs w:val="17"/>
          <w:lang w:val="en-US"/>
        </w:rPr>
        <w:t>continued on</w:t>
      </w:r>
      <w:proofErr w:type="gramEnd"/>
      <w:r w:rsidRPr="00010C64">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FEAF5" w14:textId="77777777" w:rsidR="00F476DA" w:rsidRDefault="00F476DA">
      <w:r>
        <w:separator/>
      </w:r>
    </w:p>
  </w:footnote>
  <w:footnote w:type="continuationSeparator" w:id="0">
    <w:p w14:paraId="07B7F076" w14:textId="77777777" w:rsidR="00F476DA" w:rsidRDefault="00F476DA" w:rsidP="008B60B2">
      <w:r>
        <w:separator/>
      </w:r>
    </w:p>
    <w:p w14:paraId="36909664" w14:textId="77777777" w:rsidR="00F476DA" w:rsidRPr="00010C64" w:rsidRDefault="00F476DA" w:rsidP="008B60B2">
      <w:pPr>
        <w:spacing w:after="60"/>
        <w:rPr>
          <w:sz w:val="17"/>
          <w:szCs w:val="17"/>
          <w:lang w:val="en-US"/>
        </w:rPr>
      </w:pPr>
      <w:r w:rsidRPr="00010C64">
        <w:rPr>
          <w:sz w:val="17"/>
          <w:szCs w:val="17"/>
          <w:lang w:val="en-US"/>
        </w:rPr>
        <w:t>[Footnote continued from previous page]</w:t>
      </w:r>
    </w:p>
  </w:footnote>
  <w:footnote w:type="continuationNotice" w:id="1">
    <w:p w14:paraId="13E4C211" w14:textId="77777777" w:rsidR="00F476DA" w:rsidRPr="00010C64" w:rsidRDefault="00F476DA" w:rsidP="008B60B2">
      <w:pPr>
        <w:spacing w:before="60"/>
        <w:jc w:val="right"/>
        <w:rPr>
          <w:sz w:val="17"/>
          <w:szCs w:val="17"/>
          <w:lang w:val="en-US"/>
        </w:rPr>
      </w:pPr>
      <w:r w:rsidRPr="00010C64">
        <w:rPr>
          <w:sz w:val="17"/>
          <w:szCs w:val="17"/>
          <w:lang w:val="en-US"/>
        </w:rPr>
        <w:t xml:space="preserve">[Footnote </w:t>
      </w:r>
      <w:proofErr w:type="gramStart"/>
      <w:r w:rsidRPr="00010C64">
        <w:rPr>
          <w:sz w:val="17"/>
          <w:szCs w:val="17"/>
          <w:lang w:val="en-US"/>
        </w:rPr>
        <w:t>continued on</w:t>
      </w:r>
      <w:proofErr w:type="gramEnd"/>
      <w:r w:rsidRPr="00010C64">
        <w:rPr>
          <w:sz w:val="17"/>
          <w:szCs w:val="17"/>
          <w:lang w:val="en-US"/>
        </w:rPr>
        <w:t xml:space="preserve"> next page]</w:t>
      </w:r>
    </w:p>
  </w:footnote>
  <w:footnote w:id="2">
    <w:p w14:paraId="4A1A5131" w14:textId="12B5E018" w:rsidR="009F65C9" w:rsidRPr="009F65C9" w:rsidRDefault="009F65C9">
      <w:pPr>
        <w:pStyle w:val="FootnoteText"/>
        <w:rPr>
          <w:lang w:eastAsia="zh-CN"/>
        </w:rPr>
      </w:pPr>
      <w:r w:rsidRPr="009F65C9">
        <w:rPr>
          <w:rStyle w:val="FootnoteReference"/>
          <w:rFonts w:hint="eastAsia"/>
          <w:lang w:eastAsia="zh-CN"/>
        </w:rPr>
        <w:footnoteRef/>
      </w:r>
      <w:r w:rsidRPr="009F65C9">
        <w:rPr>
          <w:rFonts w:hint="eastAsia"/>
          <w:lang w:eastAsia="zh-CN"/>
        </w:rPr>
        <w:t xml:space="preserve"> </w:t>
      </w:r>
      <w:r>
        <w:rPr>
          <w:rFonts w:hint="eastAsia"/>
          <w:lang w:eastAsia="zh-CN"/>
        </w:rPr>
        <w:tab/>
      </w:r>
      <w:r w:rsidRPr="009F65C9">
        <w:rPr>
          <w:rFonts w:hint="eastAsia"/>
          <w:lang w:eastAsia="zh-CN"/>
        </w:rPr>
        <w:t>东帝汶、厄立特里亚、马绍尔群岛、缅甸、索马里</w:t>
      </w:r>
      <w:r>
        <w:rPr>
          <w:rFonts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BDAA" w14:textId="7B020BF9" w:rsidR="00EC4E49" w:rsidRPr="006D609C" w:rsidRDefault="009D6B43" w:rsidP="00706D6E">
    <w:pPr>
      <w:wordWrap w:val="0"/>
      <w:jc w:val="right"/>
      <w:rPr>
        <w:sz w:val="21"/>
      </w:rPr>
    </w:pPr>
    <w:bookmarkStart w:id="7" w:name="Code2"/>
    <w:bookmarkEnd w:id="7"/>
    <w:r w:rsidRPr="006D609C">
      <w:rPr>
        <w:sz w:val="21"/>
      </w:rPr>
      <w:t>A/6</w:t>
    </w:r>
    <w:r w:rsidR="005A6BD9">
      <w:rPr>
        <w:rFonts w:hint="eastAsia"/>
        <w:sz w:val="21"/>
      </w:rPr>
      <w:t>7</w:t>
    </w:r>
    <w:r w:rsidRPr="006D609C">
      <w:rPr>
        <w:sz w:val="21"/>
      </w:rPr>
      <w:t>/INF/1</w:t>
    </w:r>
  </w:p>
  <w:p w14:paraId="0086DF60" w14:textId="6DD2CDFE" w:rsidR="00B50B99" w:rsidRPr="006D609C" w:rsidRDefault="000522F5" w:rsidP="000522F5">
    <w:pPr>
      <w:spacing w:afterLines="100" w:after="240"/>
      <w:jc w:val="right"/>
      <w:rPr>
        <w:sz w:val="21"/>
      </w:rPr>
    </w:pPr>
    <w:proofErr w:type="gramStart"/>
    <w:r>
      <w:rPr>
        <w:rFonts w:hint="eastAsia"/>
        <w:sz w:val="21"/>
      </w:rPr>
      <w:t>第</w:t>
    </w:r>
    <w:proofErr w:type="gramEnd"/>
    <w:r w:rsidR="00EC4E49" w:rsidRPr="006D609C">
      <w:rPr>
        <w:sz w:val="21"/>
      </w:rPr>
      <w:fldChar w:fldCharType="begin"/>
    </w:r>
    <w:r w:rsidR="00EC4E49" w:rsidRPr="006D609C">
      <w:rPr>
        <w:sz w:val="21"/>
      </w:rPr>
      <w:instrText xml:space="preserve"> PAGE  \* MERGEFORMAT </w:instrText>
    </w:r>
    <w:r w:rsidR="00EC4E49" w:rsidRPr="006D609C">
      <w:rPr>
        <w:sz w:val="21"/>
      </w:rPr>
      <w:fldChar w:fldCharType="separate"/>
    </w:r>
    <w:r w:rsidR="00E671A6" w:rsidRPr="006D609C">
      <w:rPr>
        <w:noProof/>
        <w:sz w:val="21"/>
      </w:rPr>
      <w:t>2</w:t>
    </w:r>
    <w:r w:rsidR="00EC4E49" w:rsidRPr="006D609C">
      <w:rPr>
        <w:sz w:val="21"/>
      </w:rPr>
      <w:fldChar w:fldCharType="end"/>
    </w:r>
    <w:r>
      <w:rPr>
        <w:rFonts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F67746"/>
    <w:multiLevelType w:val="hybridMultilevel"/>
    <w:tmpl w:val="0C8CD20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800D1C"/>
    <w:multiLevelType w:val="hybridMultilevel"/>
    <w:tmpl w:val="9FD4F764"/>
    <w:lvl w:ilvl="0" w:tplc="4576482E">
      <w:start w:val="1"/>
      <w:numFmt w:val="decimal"/>
      <w:lvlText w:val="%1."/>
      <w:lvlJc w:val="left"/>
      <w:pPr>
        <w:ind w:left="570" w:hanging="5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15:restartNumberingAfterBreak="0">
    <w:nsid w:val="75E4034E"/>
    <w:multiLevelType w:val="hybridMultilevel"/>
    <w:tmpl w:val="2AD6C4E6"/>
    <w:lvl w:ilvl="0" w:tplc="F7F0561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0116900">
    <w:abstractNumId w:val="3"/>
  </w:num>
  <w:num w:numId="2" w16cid:durableId="180895070">
    <w:abstractNumId w:val="5"/>
  </w:num>
  <w:num w:numId="3" w16cid:durableId="1356350649">
    <w:abstractNumId w:val="0"/>
  </w:num>
  <w:num w:numId="4" w16cid:durableId="1151099335">
    <w:abstractNumId w:val="8"/>
  </w:num>
  <w:num w:numId="5" w16cid:durableId="797770133">
    <w:abstractNumId w:val="1"/>
  </w:num>
  <w:num w:numId="6" w16cid:durableId="878471050">
    <w:abstractNumId w:val="4"/>
  </w:num>
  <w:num w:numId="7" w16cid:durableId="524945740">
    <w:abstractNumId w:val="10"/>
  </w:num>
  <w:num w:numId="8" w16cid:durableId="1309743919">
    <w:abstractNumId w:val="6"/>
  </w:num>
  <w:num w:numId="9" w16cid:durableId="518011830">
    <w:abstractNumId w:val="2"/>
  </w:num>
  <w:num w:numId="10" w16cid:durableId="1951431940">
    <w:abstractNumId w:val="11"/>
  </w:num>
  <w:num w:numId="11" w16cid:durableId="145903549">
    <w:abstractNumId w:val="7"/>
  </w:num>
  <w:num w:numId="12" w16cid:durableId="3691833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43"/>
    <w:rsid w:val="00010C64"/>
    <w:rsid w:val="0001647B"/>
    <w:rsid w:val="00043CAA"/>
    <w:rsid w:val="000522F5"/>
    <w:rsid w:val="0006464C"/>
    <w:rsid w:val="00075432"/>
    <w:rsid w:val="000829C5"/>
    <w:rsid w:val="000968ED"/>
    <w:rsid w:val="000C22C6"/>
    <w:rsid w:val="000E2ADD"/>
    <w:rsid w:val="000F5E56"/>
    <w:rsid w:val="000F61A2"/>
    <w:rsid w:val="001024FE"/>
    <w:rsid w:val="001131C1"/>
    <w:rsid w:val="00124096"/>
    <w:rsid w:val="0012529C"/>
    <w:rsid w:val="001362EE"/>
    <w:rsid w:val="00142868"/>
    <w:rsid w:val="00147D1F"/>
    <w:rsid w:val="001527B3"/>
    <w:rsid w:val="001832A6"/>
    <w:rsid w:val="00194FEE"/>
    <w:rsid w:val="001C6808"/>
    <w:rsid w:val="001C7C75"/>
    <w:rsid w:val="001D61F9"/>
    <w:rsid w:val="001F7872"/>
    <w:rsid w:val="0020285E"/>
    <w:rsid w:val="00205290"/>
    <w:rsid w:val="002121FA"/>
    <w:rsid w:val="00224EE0"/>
    <w:rsid w:val="00226C5B"/>
    <w:rsid w:val="00236839"/>
    <w:rsid w:val="002463A8"/>
    <w:rsid w:val="00252B04"/>
    <w:rsid w:val="002634C4"/>
    <w:rsid w:val="002928D3"/>
    <w:rsid w:val="002A56BA"/>
    <w:rsid w:val="002C4D0A"/>
    <w:rsid w:val="002E4EBF"/>
    <w:rsid w:val="002F1FE6"/>
    <w:rsid w:val="002F4E68"/>
    <w:rsid w:val="002F7634"/>
    <w:rsid w:val="00312F7F"/>
    <w:rsid w:val="00315A24"/>
    <w:rsid w:val="003228B7"/>
    <w:rsid w:val="00340B1D"/>
    <w:rsid w:val="00346FCF"/>
    <w:rsid w:val="003508A3"/>
    <w:rsid w:val="00352278"/>
    <w:rsid w:val="00362481"/>
    <w:rsid w:val="003673CF"/>
    <w:rsid w:val="003845C1"/>
    <w:rsid w:val="00385366"/>
    <w:rsid w:val="003A4124"/>
    <w:rsid w:val="003A6197"/>
    <w:rsid w:val="003A6F89"/>
    <w:rsid w:val="003B38C1"/>
    <w:rsid w:val="003D352A"/>
    <w:rsid w:val="003D7344"/>
    <w:rsid w:val="003F6C9F"/>
    <w:rsid w:val="00407AF4"/>
    <w:rsid w:val="004103F7"/>
    <w:rsid w:val="00412A52"/>
    <w:rsid w:val="00423E3E"/>
    <w:rsid w:val="00427AF4"/>
    <w:rsid w:val="004400E2"/>
    <w:rsid w:val="00446A93"/>
    <w:rsid w:val="00461632"/>
    <w:rsid w:val="004647DA"/>
    <w:rsid w:val="00470DCC"/>
    <w:rsid w:val="00474062"/>
    <w:rsid w:val="004745F9"/>
    <w:rsid w:val="00477D6B"/>
    <w:rsid w:val="004D39C4"/>
    <w:rsid w:val="004D6BBB"/>
    <w:rsid w:val="0053057A"/>
    <w:rsid w:val="0055679D"/>
    <w:rsid w:val="0055759B"/>
    <w:rsid w:val="00560A29"/>
    <w:rsid w:val="00566805"/>
    <w:rsid w:val="005732D1"/>
    <w:rsid w:val="00594D27"/>
    <w:rsid w:val="00595033"/>
    <w:rsid w:val="005A6BD9"/>
    <w:rsid w:val="005C7AA3"/>
    <w:rsid w:val="005E066F"/>
    <w:rsid w:val="005E28F2"/>
    <w:rsid w:val="005E462E"/>
    <w:rsid w:val="005F10BC"/>
    <w:rsid w:val="00601760"/>
    <w:rsid w:val="00605827"/>
    <w:rsid w:val="00646050"/>
    <w:rsid w:val="006713CA"/>
    <w:rsid w:val="00676C5C"/>
    <w:rsid w:val="00684BF6"/>
    <w:rsid w:val="006865D7"/>
    <w:rsid w:val="00687470"/>
    <w:rsid w:val="00695558"/>
    <w:rsid w:val="006D5E0F"/>
    <w:rsid w:val="006D609C"/>
    <w:rsid w:val="00704CAE"/>
    <w:rsid w:val="007058FB"/>
    <w:rsid w:val="00706D6E"/>
    <w:rsid w:val="00711C18"/>
    <w:rsid w:val="007257C9"/>
    <w:rsid w:val="007435EC"/>
    <w:rsid w:val="00750524"/>
    <w:rsid w:val="00773C89"/>
    <w:rsid w:val="00775A51"/>
    <w:rsid w:val="007811B3"/>
    <w:rsid w:val="007A16D7"/>
    <w:rsid w:val="007A705C"/>
    <w:rsid w:val="007A724D"/>
    <w:rsid w:val="007B1C45"/>
    <w:rsid w:val="007B337F"/>
    <w:rsid w:val="007B6A58"/>
    <w:rsid w:val="007D1613"/>
    <w:rsid w:val="007D35D6"/>
    <w:rsid w:val="007E0940"/>
    <w:rsid w:val="00813C5E"/>
    <w:rsid w:val="008417FC"/>
    <w:rsid w:val="00844F33"/>
    <w:rsid w:val="00853017"/>
    <w:rsid w:val="00855816"/>
    <w:rsid w:val="0086188A"/>
    <w:rsid w:val="00873EE5"/>
    <w:rsid w:val="00876E84"/>
    <w:rsid w:val="00883C30"/>
    <w:rsid w:val="008B2616"/>
    <w:rsid w:val="008B2CC1"/>
    <w:rsid w:val="008B4B5E"/>
    <w:rsid w:val="008B60B2"/>
    <w:rsid w:val="008D3B93"/>
    <w:rsid w:val="0090731E"/>
    <w:rsid w:val="009165BB"/>
    <w:rsid w:val="00916EE2"/>
    <w:rsid w:val="00917973"/>
    <w:rsid w:val="00960935"/>
    <w:rsid w:val="00966A22"/>
    <w:rsid w:val="0096722F"/>
    <w:rsid w:val="00980843"/>
    <w:rsid w:val="009867E1"/>
    <w:rsid w:val="00993E4F"/>
    <w:rsid w:val="009A653B"/>
    <w:rsid w:val="009C58CF"/>
    <w:rsid w:val="009C65C2"/>
    <w:rsid w:val="009C6C00"/>
    <w:rsid w:val="009D6B43"/>
    <w:rsid w:val="009E2791"/>
    <w:rsid w:val="009E3F6F"/>
    <w:rsid w:val="009E5EEA"/>
    <w:rsid w:val="009F3BF9"/>
    <w:rsid w:val="009F499F"/>
    <w:rsid w:val="009F65C9"/>
    <w:rsid w:val="00A07B46"/>
    <w:rsid w:val="00A11883"/>
    <w:rsid w:val="00A36235"/>
    <w:rsid w:val="00A42DAF"/>
    <w:rsid w:val="00A45BD8"/>
    <w:rsid w:val="00A476CC"/>
    <w:rsid w:val="00A52193"/>
    <w:rsid w:val="00A73B1A"/>
    <w:rsid w:val="00A778BF"/>
    <w:rsid w:val="00A83C02"/>
    <w:rsid w:val="00A85B8E"/>
    <w:rsid w:val="00AB71E2"/>
    <w:rsid w:val="00AC205C"/>
    <w:rsid w:val="00AC7A4B"/>
    <w:rsid w:val="00AD5560"/>
    <w:rsid w:val="00AD7BD4"/>
    <w:rsid w:val="00AE291A"/>
    <w:rsid w:val="00AF5C73"/>
    <w:rsid w:val="00AF6BEA"/>
    <w:rsid w:val="00B0576A"/>
    <w:rsid w:val="00B05A69"/>
    <w:rsid w:val="00B273A6"/>
    <w:rsid w:val="00B33EC2"/>
    <w:rsid w:val="00B40598"/>
    <w:rsid w:val="00B50B99"/>
    <w:rsid w:val="00B524EF"/>
    <w:rsid w:val="00B62CD9"/>
    <w:rsid w:val="00B6400F"/>
    <w:rsid w:val="00B64A61"/>
    <w:rsid w:val="00B9734B"/>
    <w:rsid w:val="00BE329A"/>
    <w:rsid w:val="00C11BFE"/>
    <w:rsid w:val="00C123D9"/>
    <w:rsid w:val="00C341FF"/>
    <w:rsid w:val="00C35E1F"/>
    <w:rsid w:val="00C61925"/>
    <w:rsid w:val="00C6406B"/>
    <w:rsid w:val="00C67D7E"/>
    <w:rsid w:val="00C835BA"/>
    <w:rsid w:val="00C94629"/>
    <w:rsid w:val="00CA38BB"/>
    <w:rsid w:val="00CC4664"/>
    <w:rsid w:val="00CD5193"/>
    <w:rsid w:val="00CD699A"/>
    <w:rsid w:val="00CE65D4"/>
    <w:rsid w:val="00D1276F"/>
    <w:rsid w:val="00D15F37"/>
    <w:rsid w:val="00D37EF0"/>
    <w:rsid w:val="00D434C0"/>
    <w:rsid w:val="00D45252"/>
    <w:rsid w:val="00D61C29"/>
    <w:rsid w:val="00D71B4D"/>
    <w:rsid w:val="00D93D55"/>
    <w:rsid w:val="00D94738"/>
    <w:rsid w:val="00DD48DE"/>
    <w:rsid w:val="00DF13D5"/>
    <w:rsid w:val="00DF7CAB"/>
    <w:rsid w:val="00E05A2F"/>
    <w:rsid w:val="00E06D20"/>
    <w:rsid w:val="00E15C16"/>
    <w:rsid w:val="00E161A2"/>
    <w:rsid w:val="00E25F8F"/>
    <w:rsid w:val="00E2653C"/>
    <w:rsid w:val="00E335FE"/>
    <w:rsid w:val="00E42616"/>
    <w:rsid w:val="00E5021F"/>
    <w:rsid w:val="00E50EB9"/>
    <w:rsid w:val="00E671A6"/>
    <w:rsid w:val="00E821BD"/>
    <w:rsid w:val="00E86EC8"/>
    <w:rsid w:val="00E9154F"/>
    <w:rsid w:val="00EA19F3"/>
    <w:rsid w:val="00EC4E49"/>
    <w:rsid w:val="00EC55EA"/>
    <w:rsid w:val="00ED76D2"/>
    <w:rsid w:val="00ED77FB"/>
    <w:rsid w:val="00EE23F6"/>
    <w:rsid w:val="00EE383E"/>
    <w:rsid w:val="00F01EA9"/>
    <w:rsid w:val="00F021A6"/>
    <w:rsid w:val="00F11D94"/>
    <w:rsid w:val="00F15886"/>
    <w:rsid w:val="00F301AE"/>
    <w:rsid w:val="00F476DA"/>
    <w:rsid w:val="00F614A4"/>
    <w:rsid w:val="00F66152"/>
    <w:rsid w:val="00FB7A3F"/>
    <w:rsid w:val="00FD1E4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1B5C4"/>
  <w15:docId w15:val="{0762FD68-11F7-44CF-A3BB-57047ADC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Sun" w:eastAsia="SimSun" w:hAnsi="SimSun" w:cs="Times New Roman"/>
        <w:sz w:val="22"/>
        <w:szCs w:val="22"/>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9D6B43"/>
    <w:pPr>
      <w:keepNext/>
      <w:keepLines/>
      <w:spacing w:before="240" w:after="60"/>
      <w:outlineLvl w:val="4"/>
    </w:pPr>
    <w:rPr>
      <w:rFonts w:cs="SimSu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9D6B43"/>
    <w:rPr>
      <w:rFonts w:ascii="Arial" w:eastAsia="SimSun" w:hAnsi="Arial" w:cs="SimSun"/>
      <w:i/>
      <w:sz w:val="22"/>
      <w:lang w:val="en-US" w:eastAsia="zh-CN"/>
    </w:rPr>
  </w:style>
  <w:style w:type="paragraph" w:styleId="BalloonText">
    <w:name w:val="Balloon Text"/>
    <w:basedOn w:val="Normal"/>
    <w:link w:val="BalloonTextChar"/>
    <w:rsid w:val="009D6B43"/>
    <w:rPr>
      <w:rFonts w:ascii="Tahoma" w:hAnsi="Tahoma" w:cs="Tahoma"/>
      <w:sz w:val="16"/>
      <w:szCs w:val="16"/>
    </w:rPr>
  </w:style>
  <w:style w:type="character" w:customStyle="1" w:styleId="BalloonTextChar">
    <w:name w:val="Balloon Text Char"/>
    <w:basedOn w:val="DefaultParagraphFont"/>
    <w:link w:val="BalloonText"/>
    <w:rsid w:val="009D6B43"/>
    <w:rPr>
      <w:rFonts w:ascii="Tahoma" w:eastAsia="SimSun" w:hAnsi="Tahoma" w:cs="Tahoma"/>
      <w:sz w:val="16"/>
      <w:szCs w:val="16"/>
      <w:lang w:val="en-US" w:eastAsia="zh-CN"/>
    </w:rPr>
  </w:style>
  <w:style w:type="paragraph" w:styleId="NoSpacing">
    <w:name w:val="No Spacing"/>
    <w:uiPriority w:val="1"/>
    <w:qFormat/>
    <w:rsid w:val="009D6B43"/>
    <w:rPr>
      <w:rFonts w:ascii="Arial" w:hAnsi="Arial" w:cs="Arial"/>
      <w:lang w:val="en-US" w:eastAsia="zh-CN"/>
    </w:rPr>
  </w:style>
  <w:style w:type="character" w:styleId="EndnoteReference">
    <w:name w:val="endnote reference"/>
    <w:semiHidden/>
    <w:rsid w:val="009D6B43"/>
    <w:rPr>
      <w:vertAlign w:val="superscript"/>
    </w:rPr>
  </w:style>
  <w:style w:type="character" w:styleId="FootnoteReference">
    <w:name w:val="footnote reference"/>
    <w:semiHidden/>
    <w:rsid w:val="009D6B43"/>
    <w:rPr>
      <w:vertAlign w:val="superscript"/>
    </w:rPr>
  </w:style>
  <w:style w:type="paragraph" w:customStyle="1" w:styleId="DecisionInvitationPara">
    <w:name w:val="Decision Invitation Para."/>
    <w:basedOn w:val="Normal"/>
    <w:rsid w:val="009D6B43"/>
    <w:pPr>
      <w:ind w:left="5534"/>
    </w:pPr>
    <w:rPr>
      <w:rFonts w:eastAsia="Times New Roman"/>
      <w:i/>
      <w:lang w:eastAsia="en-US"/>
    </w:rPr>
  </w:style>
  <w:style w:type="paragraph" w:customStyle="1" w:styleId="numb0">
    <w:name w:val="numb0"/>
    <w:basedOn w:val="Normal"/>
    <w:link w:val="numb0Char"/>
    <w:rsid w:val="009D6B43"/>
    <w:pPr>
      <w:ind w:right="96"/>
    </w:pPr>
    <w:rPr>
      <w:rFonts w:ascii="Times New Roman" w:eastAsia="Times New Roman" w:hAnsi="Times New Roman"/>
      <w:sz w:val="24"/>
      <w:lang w:eastAsia="en-US"/>
    </w:rPr>
  </w:style>
  <w:style w:type="paragraph" w:customStyle="1" w:styleId="numb1">
    <w:name w:val="numb1"/>
    <w:basedOn w:val="Normal"/>
    <w:link w:val="numb1Char"/>
    <w:rsid w:val="009D6B43"/>
    <w:pPr>
      <w:tabs>
        <w:tab w:val="right" w:pos="851"/>
      </w:tabs>
      <w:ind w:left="1134" w:right="-1" w:hanging="1134"/>
    </w:pPr>
    <w:rPr>
      <w:rFonts w:ascii="Times New Roman" w:eastAsia="Times New Roman" w:hAnsi="Times New Roman"/>
      <w:sz w:val="24"/>
      <w:lang w:eastAsia="en-US"/>
    </w:rPr>
  </w:style>
  <w:style w:type="paragraph" w:customStyle="1" w:styleId="numb2">
    <w:name w:val="numb2"/>
    <w:basedOn w:val="numb1"/>
    <w:link w:val="numb2Char"/>
    <w:rsid w:val="009D6B43"/>
    <w:pPr>
      <w:tabs>
        <w:tab w:val="clear" w:pos="851"/>
        <w:tab w:val="right" w:pos="1418"/>
      </w:tabs>
      <w:ind w:left="1701" w:hanging="1701"/>
    </w:pPr>
  </w:style>
  <w:style w:type="paragraph" w:customStyle="1" w:styleId="EndofDocument">
    <w:name w:val="End of Document"/>
    <w:basedOn w:val="Normal"/>
    <w:rsid w:val="009D6B43"/>
    <w:pPr>
      <w:ind w:left="4536"/>
      <w:jc w:val="center"/>
    </w:pPr>
    <w:rPr>
      <w:rFonts w:ascii="Times New Roman" w:eastAsia="Times New Roman" w:hAnsi="Times New Roman"/>
      <w:sz w:val="24"/>
      <w:lang w:eastAsia="en-US"/>
    </w:rPr>
  </w:style>
  <w:style w:type="character" w:customStyle="1" w:styleId="numb1Char">
    <w:name w:val="numb1 Char"/>
    <w:link w:val="numb1"/>
    <w:rsid w:val="009D6B43"/>
    <w:rPr>
      <w:sz w:val="24"/>
      <w:lang w:val="en-US" w:eastAsia="en-US"/>
    </w:rPr>
  </w:style>
  <w:style w:type="character" w:customStyle="1" w:styleId="numb2Char">
    <w:name w:val="numb2 Char"/>
    <w:basedOn w:val="numb1Char"/>
    <w:link w:val="numb2"/>
    <w:rsid w:val="009D6B43"/>
    <w:rPr>
      <w:sz w:val="24"/>
      <w:lang w:val="en-US" w:eastAsia="en-US"/>
    </w:rPr>
  </w:style>
  <w:style w:type="character" w:customStyle="1" w:styleId="numb0Char">
    <w:name w:val="numb0 Char"/>
    <w:link w:val="numb0"/>
    <w:rsid w:val="009D6B43"/>
    <w:rPr>
      <w:sz w:val="24"/>
      <w:lang w:val="en-US" w:eastAsia="en-US"/>
    </w:rPr>
  </w:style>
  <w:style w:type="paragraph" w:customStyle="1" w:styleId="Char">
    <w:name w:val="Char 字元 字元"/>
    <w:basedOn w:val="Normal"/>
    <w:rsid w:val="009D6B43"/>
    <w:pPr>
      <w:spacing w:after="160" w:line="240" w:lineRule="exact"/>
    </w:pPr>
    <w:rPr>
      <w:rFonts w:ascii="Verdana" w:eastAsia="PMingLiU" w:hAnsi="Verdana"/>
      <w:sz w:val="20"/>
      <w:lang w:eastAsia="en-US"/>
    </w:rPr>
  </w:style>
  <w:style w:type="character" w:customStyle="1" w:styleId="FootnoteTextChar">
    <w:name w:val="Footnote Text Char"/>
    <w:basedOn w:val="DefaultParagraphFont"/>
    <w:link w:val="FootnoteText"/>
    <w:semiHidden/>
    <w:rsid w:val="009D6B43"/>
    <w:rPr>
      <w:rFonts w:ascii="Arial" w:eastAsia="SimSun" w:hAnsi="Arial" w:cs="Arial"/>
      <w:sz w:val="18"/>
      <w:lang w:val="en-US" w:eastAsia="zh-CN"/>
    </w:rPr>
  </w:style>
  <w:style w:type="character" w:styleId="CommentReference">
    <w:name w:val="annotation reference"/>
    <w:basedOn w:val="DefaultParagraphFont"/>
    <w:semiHidden/>
    <w:unhideWhenUsed/>
    <w:rsid w:val="009D6B43"/>
    <w:rPr>
      <w:sz w:val="16"/>
      <w:szCs w:val="16"/>
    </w:rPr>
  </w:style>
  <w:style w:type="paragraph" w:styleId="CommentSubject">
    <w:name w:val="annotation subject"/>
    <w:basedOn w:val="CommentText"/>
    <w:next w:val="CommentText"/>
    <w:link w:val="CommentSubjectChar"/>
    <w:semiHidden/>
    <w:unhideWhenUsed/>
    <w:rsid w:val="009D6B43"/>
    <w:rPr>
      <w:b/>
      <w:bCs/>
      <w:sz w:val="20"/>
    </w:rPr>
  </w:style>
  <w:style w:type="character" w:customStyle="1" w:styleId="CommentTextChar">
    <w:name w:val="Comment Text Char"/>
    <w:basedOn w:val="DefaultParagraphFont"/>
    <w:link w:val="CommentText"/>
    <w:semiHidden/>
    <w:rsid w:val="009D6B4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D6B43"/>
    <w:rPr>
      <w:rFonts w:ascii="Arial" w:eastAsia="SimSun" w:hAnsi="Arial" w:cs="Arial"/>
      <w:b/>
      <w:bCs/>
      <w:sz w:val="18"/>
      <w:lang w:val="en-US" w:eastAsia="zh-CN"/>
    </w:rPr>
  </w:style>
  <w:style w:type="paragraph" w:styleId="Revision">
    <w:name w:val="Revision"/>
    <w:hidden/>
    <w:uiPriority w:val="99"/>
    <w:semiHidden/>
    <w:rsid w:val="009D6B43"/>
    <w:rPr>
      <w:rFonts w:ascii="Arial" w:hAnsi="Arial" w:cs="Arial"/>
      <w:lang w:val="en-US" w:eastAsia="zh-CN"/>
    </w:rPr>
  </w:style>
  <w:style w:type="paragraph" w:styleId="ListParagraph">
    <w:name w:val="List Paragraph"/>
    <w:basedOn w:val="Normal"/>
    <w:uiPriority w:val="34"/>
    <w:qFormat/>
    <w:rsid w:val="009D6B43"/>
    <w:pPr>
      <w:ind w:left="720"/>
      <w:contextualSpacing/>
    </w:pPr>
  </w:style>
  <w:style w:type="character" w:styleId="Hyperlink">
    <w:name w:val="Hyperlink"/>
    <w:basedOn w:val="DefaultParagraphFont"/>
    <w:uiPriority w:val="99"/>
    <w:unhideWhenUsed/>
    <w:rsid w:val="009D6B43"/>
    <w:rPr>
      <w:color w:val="0563C1"/>
      <w:u w:val="single"/>
    </w:rPr>
  </w:style>
  <w:style w:type="character" w:styleId="UnresolvedMention">
    <w:name w:val="Unresolved Mention"/>
    <w:basedOn w:val="DefaultParagraphFont"/>
    <w:uiPriority w:val="99"/>
    <w:semiHidden/>
    <w:unhideWhenUsed/>
    <w:rsid w:val="001527B3"/>
    <w:rPr>
      <w:color w:val="605E5C"/>
      <w:shd w:val="clear" w:color="auto" w:fill="E1DFDD"/>
    </w:rPr>
  </w:style>
  <w:style w:type="character" w:customStyle="1" w:styleId="Heading1Char">
    <w:name w:val="Heading 1 Char"/>
    <w:basedOn w:val="DefaultParagraphFont"/>
    <w:link w:val="Heading1"/>
    <w:rsid w:val="000522F5"/>
    <w:rPr>
      <w:rFonts w:ascii="Arial" w:hAnsi="Arial" w:cs="Arial"/>
      <w:b/>
      <w:bCs/>
      <w:caps/>
      <w:kern w:val="32"/>
      <w:sz w:val="22"/>
      <w:szCs w:val="32"/>
      <w:lang w:val="en-US" w:eastAsia="zh-CN"/>
    </w:rPr>
  </w:style>
  <w:style w:type="character" w:styleId="FollowedHyperlink">
    <w:name w:val="FollowedHyperlink"/>
    <w:basedOn w:val="DefaultParagraphFont"/>
    <w:semiHidden/>
    <w:unhideWhenUsed/>
    <w:rsid w:val="00010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8204;wipo.int/export/sites/www/treaties/zh/docs/pdf/special_rules.pdf"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policy/zh/rules_of_proced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123" ma:contentTypeDescription="" ma:contentTypeScope="" ma:versionID="d98d003c0f4f82d941999d455ee5e76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4715d8a79e7da28805fc71ce9ae96211"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Agreement"/>
          <xsd:enumeration value="Briefing"/>
          <xsd:enumeration value="Concept Note"/>
          <xsd:enumeration value="Contract"/>
          <xsd:enumeration value="Cost Estimate"/>
          <xsd:enumeration value="Invoice"/>
          <xsd:enumeration value="Letter"/>
          <xsd:enumeration value="Memo"/>
          <xsd:enumeration value="Mission Report"/>
          <xsd:enumeration value="Note Verbale"/>
          <xsd:enumeration value="Plan"/>
          <xsd:enumeration value="Presentation"/>
          <xsd:enumeration value="Program"/>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DEAADBFP-1499948599-54294</_dlc_DocId>
    <_dlc_DocIdUrl xmlns="afdacc0a-6563-489f-9b51-6fc9acac5c48">
      <Url>https://wipoprod.sharepoint.com/sites/SPS-INT-BFP-DEAAD-AsseAffa/_layouts/15/DocIdRedir.aspx?ID=DEAADBFP-1499948599-54294</Url>
      <Description>DEAADBFP-1499948599-54294</Description>
    </_dlc_DocIdUrl>
  </documentManagement>
</p:properties>
</file>

<file path=customXml/itemProps1.xml><?xml version="1.0" encoding="utf-8"?>
<ds:datastoreItem xmlns:ds="http://schemas.openxmlformats.org/officeDocument/2006/customXml" ds:itemID="{19623F65-C819-4F0C-A025-2B422D816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customXml/itemProps3.xml><?xml version="1.0" encoding="utf-8"?>
<ds:datastoreItem xmlns:ds="http://schemas.openxmlformats.org/officeDocument/2006/customXml" ds:itemID="{61A17F9C-6B56-42BD-BE07-5EDC31E7742E}">
  <ds:schemaRefs>
    <ds:schemaRef ds:uri="http://schemas.microsoft.com/sharepoint/v3/contenttype/forms"/>
  </ds:schemaRefs>
</ds:datastoreItem>
</file>

<file path=customXml/itemProps4.xml><?xml version="1.0" encoding="utf-8"?>
<ds:datastoreItem xmlns:ds="http://schemas.openxmlformats.org/officeDocument/2006/customXml" ds:itemID="{1AF645FA-E2F9-4692-B079-6AE5AE1C78F8}">
  <ds:schemaRefs>
    <ds:schemaRef ds:uri="http://schemas.microsoft.com/sharepoint/events"/>
  </ds:schemaRefs>
</ds:datastoreItem>
</file>

<file path=customXml/itemProps5.xml><?xml version="1.0" encoding="utf-8"?>
<ds:datastoreItem xmlns:ds="http://schemas.openxmlformats.org/officeDocument/2006/customXml" ds:itemID="{10ADD4A6-033F-479A-92C7-1E17C41821AB}">
  <ds:schemaRefs>
    <ds:schemaRef ds:uri="Microsoft.SharePoint.Taxonomy.ContentTypeSync"/>
  </ds:schemaRefs>
</ds:datastoreItem>
</file>

<file path=customXml/itemProps6.xml><?xml version="1.0" encoding="utf-8"?>
<ds:datastoreItem xmlns:ds="http://schemas.openxmlformats.org/officeDocument/2006/customXml" ds:itemID="{A6D265ED-D770-41C6-ABFC-F412881AB7AC}">
  <ds:schemaRefs>
    <ds:schemaRef ds:uri="http://schemas.microsoft.com/office/2006/metadata/properties"/>
    <ds:schemaRef ds:uri="afdacc0a-6563-489f-9b51-6fc9acac5c48"/>
    <ds:schemaRef ds:uri="http://www.w3.org/XML/1998/namespace"/>
    <ds:schemaRef ds:uri="http://schemas.microsoft.com/office/infopath/2007/PartnerControls"/>
    <ds:schemaRef ds:uri="http://purl.org/dc/terms/"/>
    <ds:schemaRef ds:uri="http://purl.org/dc/elements/1.1/"/>
    <ds:schemaRef ds:uri="0d6abe56-55ad-41de-8124-44420a0ee71d"/>
    <ds:schemaRef ds:uri="http://schemas.microsoft.com/office/2006/documentManagement/types"/>
    <ds:schemaRef ds:uri="56500874-bba0-4b48-9090-b201492e8473"/>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A/67/INF/1</vt:lpstr>
    </vt:vector>
  </TitlesOfParts>
  <Company>WIPO</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A/67/INF/1</dc:title>
  <dc:subject>一般信息</dc:subject>
  <dc:creator>WIPO</dc:creator>
  <cp:keywords/>
  <cp:lastModifiedBy>RUSSO Antonella</cp:lastModifiedBy>
  <cp:revision>7</cp:revision>
  <cp:lastPrinted>2026-02-16T14:47:00Z</cp:lastPrinted>
  <dcterms:created xsi:type="dcterms:W3CDTF">2026-02-16T14:43:00Z</dcterms:created>
  <dcterms:modified xsi:type="dcterms:W3CDTF">2026-02-16T14:47:00Z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BusinessUnit">
    <vt:lpwstr>3;#Diplomatic Engagement and Assemblies Affairs Division|c4a5cf71-800f-4e10-aab9-36d8b83eadc2</vt:lpwstr>
  </property>
  <property fmtid="{D5CDD505-2E9C-101B-9397-08002B2CF9AE}" pid="17" name="MediaServiceImageTags">
    <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a2fbaf6e-42d0-44c3-b887-a29fa749a0bf</vt:lpwstr>
  </property>
</Properties>
</file>