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12DC" w:rsidRPr="006C5A9E" w:rsidTr="00326C2B">
        <w:trPr>
          <w:trHeight w:val="1977"/>
        </w:trPr>
        <w:tc>
          <w:tcPr>
            <w:tcW w:w="4594" w:type="dxa"/>
            <w:tcBorders>
              <w:bottom w:val="single" w:sz="4" w:space="0" w:color="auto"/>
            </w:tcBorders>
            <w:tcMar>
              <w:bottom w:w="170" w:type="dxa"/>
            </w:tcMar>
          </w:tcPr>
          <w:p w:rsidR="008412DC" w:rsidRPr="006C5A9E" w:rsidRDefault="008412DC" w:rsidP="00326C2B">
            <w:r>
              <w:rPr>
                <w:noProof/>
                <w:lang w:eastAsia="en-US"/>
              </w:rPr>
              <w:drawing>
                <wp:anchor distT="0" distB="0" distL="114300" distR="114300" simplePos="0" relativeHeight="251659264" behindDoc="1" locked="0" layoutInCell="0" allowOverlap="1" wp14:anchorId="219B4DA8" wp14:editId="5DFEDAEE">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12DC" w:rsidRPr="006C5A9E" w:rsidRDefault="008412DC" w:rsidP="00326C2B"/>
        </w:tc>
        <w:tc>
          <w:tcPr>
            <w:tcW w:w="425" w:type="dxa"/>
            <w:tcBorders>
              <w:bottom w:val="single" w:sz="4" w:space="0" w:color="auto"/>
            </w:tcBorders>
            <w:tcMar>
              <w:left w:w="0" w:type="dxa"/>
              <w:right w:w="0" w:type="dxa"/>
            </w:tcMar>
          </w:tcPr>
          <w:p w:rsidR="008412DC" w:rsidRPr="006C5A9E" w:rsidRDefault="008412DC" w:rsidP="00326C2B">
            <w:pPr>
              <w:jc w:val="right"/>
            </w:pPr>
            <w:r w:rsidRPr="006C5A9E">
              <w:rPr>
                <w:b/>
                <w:sz w:val="40"/>
                <w:szCs w:val="40"/>
              </w:rPr>
              <w:t>C</w:t>
            </w:r>
          </w:p>
        </w:tc>
      </w:tr>
      <w:tr w:rsidR="008412DC" w:rsidRPr="006C5A9E" w:rsidTr="00326C2B">
        <w:trPr>
          <w:trHeight w:hRule="exact" w:val="340"/>
        </w:trPr>
        <w:tc>
          <w:tcPr>
            <w:tcW w:w="9356" w:type="dxa"/>
            <w:gridSpan w:val="3"/>
            <w:tcBorders>
              <w:top w:val="single" w:sz="4" w:space="0" w:color="auto"/>
            </w:tcBorders>
            <w:tcMar>
              <w:top w:w="170" w:type="dxa"/>
              <w:left w:w="0" w:type="dxa"/>
              <w:right w:w="0" w:type="dxa"/>
            </w:tcMar>
            <w:vAlign w:val="bottom"/>
          </w:tcPr>
          <w:p w:rsidR="008412DC" w:rsidRPr="006C5A9E" w:rsidRDefault="008412DC" w:rsidP="00A96F68">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830EDB">
              <w:rPr>
                <w:rFonts w:ascii="Arial Black" w:hAnsi="Arial Black" w:hint="eastAsia"/>
                <w:caps/>
                <w:sz w:val="15"/>
              </w:rPr>
              <w:t>2</w:t>
            </w:r>
            <w:r w:rsidRPr="006C5A9E">
              <w:rPr>
                <w:rFonts w:ascii="Arial Black" w:hAnsi="Arial Black"/>
                <w:caps/>
                <w:sz w:val="15"/>
              </w:rPr>
              <w:t>/</w:t>
            </w:r>
            <w:r w:rsidR="00A96F68">
              <w:rPr>
                <w:rFonts w:ascii="Arial Black" w:hAnsi="Arial Black" w:hint="eastAsia"/>
                <w:caps/>
                <w:sz w:val="15"/>
              </w:rPr>
              <w:t>4</w:t>
            </w:r>
            <w:bookmarkStart w:id="0" w:name="Code"/>
            <w:bookmarkEnd w:id="0"/>
          </w:p>
        </w:tc>
      </w:tr>
      <w:tr w:rsidR="008412DC" w:rsidRPr="006C5A9E" w:rsidTr="00326C2B">
        <w:trPr>
          <w:trHeight w:hRule="exact" w:val="170"/>
        </w:trPr>
        <w:tc>
          <w:tcPr>
            <w:tcW w:w="9356" w:type="dxa"/>
            <w:gridSpan w:val="3"/>
            <w:noWrap/>
            <w:tcMar>
              <w:left w:w="0" w:type="dxa"/>
              <w:right w:w="0" w:type="dxa"/>
            </w:tcMar>
            <w:vAlign w:val="bottom"/>
          </w:tcPr>
          <w:p w:rsidR="008412DC" w:rsidRPr="006C5A9E" w:rsidRDefault="008412DC" w:rsidP="00326C2B">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Pr="006C5A9E">
              <w:rPr>
                <w:rFonts w:eastAsia="SimHei" w:hint="eastAsia"/>
                <w:b/>
                <w:sz w:val="15"/>
                <w:szCs w:val="15"/>
              </w:rPr>
              <w:t>文</w:t>
            </w:r>
          </w:p>
        </w:tc>
      </w:tr>
      <w:tr w:rsidR="008412DC" w:rsidRPr="006C5A9E" w:rsidTr="00326C2B">
        <w:trPr>
          <w:trHeight w:hRule="exact" w:val="198"/>
        </w:trPr>
        <w:tc>
          <w:tcPr>
            <w:tcW w:w="9356" w:type="dxa"/>
            <w:gridSpan w:val="3"/>
            <w:tcMar>
              <w:left w:w="0" w:type="dxa"/>
              <w:right w:w="0" w:type="dxa"/>
            </w:tcMar>
            <w:vAlign w:val="bottom"/>
          </w:tcPr>
          <w:p w:rsidR="008412DC" w:rsidRPr="006C5A9E" w:rsidRDefault="008412DC" w:rsidP="00482E06">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Pr>
                <w:rFonts w:ascii="Arial Black" w:eastAsia="SimHei" w:hAnsi="Arial Black"/>
                <w:b/>
                <w:sz w:val="15"/>
                <w:szCs w:val="15"/>
                <w:lang w:val="pt-BR"/>
              </w:rPr>
              <w:t>3</w:t>
            </w:r>
            <w:r w:rsidRPr="006C5A9E">
              <w:rPr>
                <w:rFonts w:ascii="SimHei" w:eastAsia="SimHei" w:hAnsi="Times New Roman" w:hint="eastAsia"/>
                <w:b/>
                <w:sz w:val="15"/>
                <w:szCs w:val="15"/>
              </w:rPr>
              <w:t>年</w:t>
            </w:r>
            <w:r w:rsidR="00830EDB">
              <w:rPr>
                <w:rFonts w:ascii="Arial Black" w:eastAsia="SimHei" w:hAnsi="Arial Black" w:hint="eastAsia"/>
                <w:b/>
                <w:sz w:val="15"/>
                <w:szCs w:val="15"/>
                <w:lang w:val="pt-BR"/>
              </w:rPr>
              <w:t>12</w:t>
            </w:r>
            <w:r w:rsidRPr="006C5A9E">
              <w:rPr>
                <w:rFonts w:ascii="SimHei" w:eastAsia="SimHei" w:hAnsi="Times New Roman" w:hint="eastAsia"/>
                <w:b/>
                <w:sz w:val="15"/>
                <w:szCs w:val="15"/>
              </w:rPr>
              <w:t>月</w:t>
            </w:r>
            <w:r w:rsidR="00482E06" w:rsidRPr="00482E06">
              <w:rPr>
                <w:rFonts w:ascii="Arial Black" w:eastAsia="SimHei" w:hAnsi="Arial Black"/>
                <w:b/>
                <w:sz w:val="15"/>
                <w:szCs w:val="15"/>
                <w:lang w:val="fr-CH"/>
              </w:rPr>
              <w:t>6</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830EDB" w:rsidRPr="00830EDB" w:rsidRDefault="00830EDB" w:rsidP="00830EDB">
      <w:bookmarkStart w:id="2" w:name="TitleOfDoc"/>
      <w:bookmarkEnd w:id="2"/>
    </w:p>
    <w:p w:rsidR="00830EDB" w:rsidRPr="00830EDB" w:rsidRDefault="00830EDB" w:rsidP="00830EDB"/>
    <w:p w:rsidR="00830EDB" w:rsidRPr="00830EDB" w:rsidRDefault="00830EDB" w:rsidP="00830EDB"/>
    <w:p w:rsidR="00830EDB" w:rsidRPr="00830EDB" w:rsidRDefault="00830EDB" w:rsidP="00830EDB"/>
    <w:p w:rsidR="00830EDB" w:rsidRPr="00830EDB" w:rsidRDefault="00830EDB" w:rsidP="00830EDB"/>
    <w:p w:rsidR="00830EDB" w:rsidRPr="00830EDB" w:rsidRDefault="00830EDB" w:rsidP="00830EDB">
      <w:pPr>
        <w:spacing w:line="360" w:lineRule="atLeast"/>
        <w:rPr>
          <w:rFonts w:ascii="SimHei" w:eastAsia="SimHei"/>
          <w:sz w:val="28"/>
          <w:szCs w:val="28"/>
        </w:rPr>
      </w:pPr>
      <w:r w:rsidRPr="00830EDB">
        <w:rPr>
          <w:rFonts w:ascii="SimHei" w:eastAsia="SimHei" w:hint="eastAsia"/>
          <w:sz w:val="28"/>
          <w:szCs w:val="28"/>
        </w:rPr>
        <w:t>世界知识产权组织成员国大会</w:t>
      </w:r>
    </w:p>
    <w:p w:rsidR="00830EDB" w:rsidRPr="00830EDB" w:rsidRDefault="00830EDB" w:rsidP="00830EDB">
      <w:pPr>
        <w:rPr>
          <w:szCs w:val="22"/>
        </w:rPr>
      </w:pPr>
    </w:p>
    <w:p w:rsidR="00830EDB" w:rsidRPr="00830EDB" w:rsidRDefault="00830EDB" w:rsidP="00830EDB">
      <w:pPr>
        <w:rPr>
          <w:sz w:val="24"/>
          <w:szCs w:val="24"/>
        </w:rPr>
      </w:pPr>
    </w:p>
    <w:p w:rsidR="00830EDB" w:rsidRPr="00830EDB" w:rsidRDefault="00830EDB" w:rsidP="00830EDB">
      <w:pPr>
        <w:spacing w:line="360" w:lineRule="atLeast"/>
        <w:textAlignment w:val="bottom"/>
        <w:rPr>
          <w:rFonts w:ascii="KaiTi" w:eastAsia="KaiTi"/>
          <w:b/>
          <w:sz w:val="24"/>
          <w:szCs w:val="24"/>
        </w:rPr>
      </w:pPr>
      <w:r w:rsidRPr="00830EDB">
        <w:rPr>
          <w:rFonts w:ascii="KaiTi" w:eastAsia="KaiTi" w:hint="eastAsia"/>
          <w:b/>
          <w:sz w:val="24"/>
          <w:szCs w:val="24"/>
        </w:rPr>
        <w:t>第五十二届系列会议</w:t>
      </w:r>
    </w:p>
    <w:p w:rsidR="00830EDB" w:rsidRPr="00830EDB" w:rsidRDefault="00830EDB" w:rsidP="00830EDB">
      <w:pPr>
        <w:spacing w:line="360" w:lineRule="atLeast"/>
        <w:textAlignment w:val="bottom"/>
        <w:rPr>
          <w:rFonts w:ascii="KaiTi" w:eastAsia="KaiTi" w:hAnsi="KaiTi"/>
          <w:b/>
          <w:sz w:val="24"/>
          <w:szCs w:val="24"/>
        </w:rPr>
      </w:pPr>
      <w:r w:rsidRPr="00830EDB">
        <w:rPr>
          <w:rFonts w:ascii="KaiTi" w:eastAsia="KaiTi" w:hAnsi="KaiTi" w:hint="eastAsia"/>
          <w:sz w:val="24"/>
          <w:szCs w:val="24"/>
        </w:rPr>
        <w:t>2013</w:t>
      </w:r>
      <w:r w:rsidRPr="00830EDB">
        <w:rPr>
          <w:rFonts w:ascii="KaiTi" w:eastAsia="KaiTi" w:hAnsi="KaiTi" w:hint="eastAsia"/>
          <w:b/>
          <w:sz w:val="24"/>
          <w:szCs w:val="24"/>
        </w:rPr>
        <w:t>年</w:t>
      </w:r>
      <w:r w:rsidRPr="00830EDB">
        <w:rPr>
          <w:rFonts w:ascii="KaiTi" w:eastAsia="KaiTi" w:hAnsi="KaiTi" w:hint="eastAsia"/>
          <w:sz w:val="24"/>
          <w:szCs w:val="24"/>
        </w:rPr>
        <w:t>12</w:t>
      </w:r>
      <w:r w:rsidRPr="00830EDB">
        <w:rPr>
          <w:rFonts w:ascii="KaiTi" w:eastAsia="KaiTi" w:hAnsi="KaiTi" w:hint="eastAsia"/>
          <w:b/>
          <w:sz w:val="24"/>
          <w:szCs w:val="24"/>
        </w:rPr>
        <w:t>月</w:t>
      </w:r>
      <w:r w:rsidRPr="00830EDB">
        <w:rPr>
          <w:rFonts w:ascii="KaiTi" w:eastAsia="KaiTi" w:hAnsi="KaiTi" w:hint="eastAsia"/>
          <w:sz w:val="24"/>
          <w:szCs w:val="24"/>
        </w:rPr>
        <w:t>10</w:t>
      </w:r>
      <w:r w:rsidRPr="00830EDB">
        <w:rPr>
          <w:rFonts w:ascii="KaiTi" w:eastAsia="KaiTi" w:hAnsi="KaiTi" w:hint="eastAsia"/>
          <w:b/>
          <w:sz w:val="24"/>
          <w:szCs w:val="24"/>
        </w:rPr>
        <w:t>日至</w:t>
      </w:r>
      <w:r w:rsidRPr="00830EDB">
        <w:rPr>
          <w:rFonts w:ascii="KaiTi" w:eastAsia="KaiTi" w:hAnsi="KaiTi" w:hint="eastAsia"/>
          <w:sz w:val="24"/>
          <w:szCs w:val="24"/>
        </w:rPr>
        <w:t>12</w:t>
      </w:r>
      <w:r w:rsidRPr="00830EDB">
        <w:rPr>
          <w:rFonts w:ascii="KaiTi" w:eastAsia="KaiTi" w:hAnsi="KaiTi" w:hint="eastAsia"/>
          <w:b/>
          <w:sz w:val="24"/>
          <w:szCs w:val="24"/>
        </w:rPr>
        <w:t>日，日内瓦</w:t>
      </w:r>
    </w:p>
    <w:p w:rsidR="00830EDB" w:rsidRPr="00830EDB" w:rsidRDefault="00830EDB" w:rsidP="00830EDB"/>
    <w:p w:rsidR="00830EDB" w:rsidRPr="00830EDB" w:rsidRDefault="00830EDB" w:rsidP="00830EDB">
      <w:bookmarkStart w:id="3" w:name="_GoBack"/>
      <w:bookmarkEnd w:id="3"/>
    </w:p>
    <w:p w:rsidR="00830EDB" w:rsidRPr="00830EDB" w:rsidRDefault="00830EDB" w:rsidP="00830EDB"/>
    <w:p w:rsidR="001567E7" w:rsidRPr="00A7620C" w:rsidRDefault="00A96F68" w:rsidP="00A7620C">
      <w:pPr>
        <w:spacing w:line="360" w:lineRule="atLeast"/>
        <w:rPr>
          <w:rFonts w:ascii="KaiTi" w:eastAsia="KaiTi" w:hAnsi="KaiTi"/>
          <w:sz w:val="24"/>
          <w:szCs w:val="32"/>
        </w:rPr>
      </w:pPr>
      <w:r>
        <w:rPr>
          <w:rFonts w:ascii="KaiTi" w:eastAsia="KaiTi" w:hAnsi="KaiTi" w:hint="eastAsia"/>
          <w:sz w:val="24"/>
          <w:szCs w:val="32"/>
        </w:rPr>
        <w:t>大会主席关于2014/15两年期计划和预算的提案</w:t>
      </w:r>
    </w:p>
    <w:p w:rsidR="001567E7" w:rsidRPr="008B2CC1" w:rsidRDefault="001567E7" w:rsidP="001567E7"/>
    <w:p w:rsidR="001567E7" w:rsidRPr="00A7620C" w:rsidRDefault="00A96F68" w:rsidP="001567E7">
      <w:pPr>
        <w:rPr>
          <w:rFonts w:ascii="KaiTi" w:eastAsia="KaiTi" w:hAnsi="KaiTi"/>
          <w:i/>
          <w:sz w:val="21"/>
          <w:szCs w:val="21"/>
        </w:rPr>
      </w:pPr>
      <w:bookmarkStart w:id="4" w:name="Prepared"/>
      <w:bookmarkEnd w:id="4"/>
      <w:r>
        <w:rPr>
          <w:rFonts w:ascii="KaiTi" w:eastAsia="KaiTi" w:hAnsi="KaiTi" w:hint="eastAsia"/>
          <w:i/>
          <w:sz w:val="21"/>
          <w:szCs w:val="21"/>
        </w:rPr>
        <w:t>由大会主席提出</w:t>
      </w:r>
    </w:p>
    <w:p w:rsidR="001567E7" w:rsidRDefault="001567E7" w:rsidP="001567E7"/>
    <w:p w:rsidR="001567E7" w:rsidRDefault="001567E7" w:rsidP="001567E7"/>
    <w:p w:rsidR="001567E7" w:rsidRDefault="001567E7" w:rsidP="001567E7"/>
    <w:p w:rsidR="000F5990" w:rsidRDefault="000F5990"/>
    <w:p w:rsidR="000F5990" w:rsidRDefault="00A96F68" w:rsidP="00B04281">
      <w:pPr>
        <w:pStyle w:val="ListParagraph"/>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96F68">
        <w:rPr>
          <w:rFonts w:ascii="SimSun" w:hAnsi="SimSun" w:cs="Times New Roman" w:hint="eastAsia"/>
          <w:sz w:val="21"/>
          <w:szCs w:val="21"/>
        </w:rPr>
        <w:t>WIPO成员国大会和WIPO管理的各联盟的大会各自就其所涉事宜，</w:t>
      </w:r>
    </w:p>
    <w:p w:rsidR="00A96F68" w:rsidRPr="00B04281" w:rsidRDefault="00A96F68" w:rsidP="00B04281">
      <w:pPr>
        <w:pStyle w:val="ListParagraph"/>
        <w:spacing w:afterLines="50" w:after="120" w:line="340" w:lineRule="atLeast"/>
        <w:ind w:leftChars="300" w:left="660" w:firstLineChars="0" w:firstLine="0"/>
        <w:jc w:val="both"/>
        <w:textAlignment w:val="bottom"/>
        <w:rPr>
          <w:rFonts w:ascii="KaiTi" w:eastAsia="KaiTi" w:hAnsi="KaiTi" w:cs="Times New Roman"/>
          <w:i/>
          <w:sz w:val="21"/>
          <w:szCs w:val="21"/>
        </w:rPr>
      </w:pPr>
      <w:r w:rsidRPr="00B04281">
        <w:rPr>
          <w:rFonts w:ascii="KaiTi" w:eastAsia="KaiTi" w:hAnsi="KaiTi" w:cs="Times New Roman" w:hint="eastAsia"/>
          <w:i/>
          <w:sz w:val="21"/>
          <w:szCs w:val="21"/>
        </w:rPr>
        <w:t>(a)</w:t>
      </w:r>
      <w:r w:rsidRPr="00B04281">
        <w:rPr>
          <w:rFonts w:ascii="KaiTi" w:eastAsia="KaiTi" w:hAnsi="KaiTi" w:cs="Times New Roman" w:hint="eastAsia"/>
          <w:i/>
          <w:sz w:val="21"/>
          <w:szCs w:val="21"/>
        </w:rPr>
        <w:tab/>
        <w:t>批准文件A/51/7 Rev.中所载的拟议的2014/15两年期计划和预算，但进行以下商定的修改：</w:t>
      </w:r>
    </w:p>
    <w:p w:rsidR="00A96F68" w:rsidRPr="00B04281" w:rsidRDefault="00A96F68" w:rsidP="00B04281">
      <w:pPr>
        <w:pStyle w:val="Default"/>
        <w:autoSpaceDE/>
        <w:autoSpaceDN/>
        <w:spacing w:afterLines="50" w:after="120" w:line="340" w:lineRule="atLeast"/>
        <w:ind w:leftChars="500" w:left="1520" w:hangingChars="200" w:hanging="420"/>
        <w:rPr>
          <w:rFonts w:ascii="KaiTi" w:eastAsia="KaiTi" w:hAnsi="KaiTi"/>
          <w:i/>
          <w:sz w:val="21"/>
          <w:szCs w:val="21"/>
          <w:lang w:eastAsia="zh-CN"/>
        </w:rPr>
      </w:pPr>
      <w:r w:rsidRPr="00B04281">
        <w:rPr>
          <w:rFonts w:ascii="KaiTi" w:eastAsia="KaiTi" w:hAnsi="KaiTi"/>
          <w:i/>
          <w:sz w:val="21"/>
          <w:szCs w:val="21"/>
          <w:lang w:eastAsia="zh-CN"/>
        </w:rPr>
        <w:t>(</w:t>
      </w:r>
      <w:proofErr w:type="spellStart"/>
      <w:r w:rsidRPr="00B04281">
        <w:rPr>
          <w:rFonts w:ascii="KaiTi" w:eastAsia="KaiTi" w:hAnsi="KaiTi" w:hint="eastAsia"/>
          <w:i/>
          <w:sz w:val="21"/>
          <w:szCs w:val="21"/>
          <w:lang w:eastAsia="zh-CN"/>
        </w:rPr>
        <w:t>i</w:t>
      </w:r>
      <w:proofErr w:type="spellEnd"/>
      <w:r w:rsidRPr="00B04281">
        <w:rPr>
          <w:rFonts w:ascii="KaiTi" w:eastAsia="KaiTi" w:hAnsi="KaiTi"/>
          <w:i/>
          <w:sz w:val="21"/>
          <w:szCs w:val="21"/>
          <w:lang w:eastAsia="zh-CN"/>
        </w:rPr>
        <w:t xml:space="preserve">) </w:t>
      </w:r>
      <w:r w:rsidR="00B04281">
        <w:rPr>
          <w:rFonts w:ascii="KaiTi" w:eastAsia="KaiTi" w:hAnsi="KaiTi" w:hint="eastAsia"/>
          <w:i/>
          <w:sz w:val="21"/>
          <w:szCs w:val="21"/>
          <w:lang w:eastAsia="zh-CN"/>
        </w:rPr>
        <w:tab/>
      </w:r>
      <w:r w:rsidRPr="00B04281">
        <w:rPr>
          <w:rFonts w:ascii="KaiTi" w:eastAsia="KaiTi" w:hAnsi="KaiTi" w:hint="eastAsia"/>
          <w:i/>
          <w:sz w:val="21"/>
          <w:szCs w:val="21"/>
          <w:lang w:eastAsia="zh-CN"/>
        </w:rPr>
        <w:t>如附件一中所列，计划</w:t>
      </w:r>
      <w:r w:rsidRPr="00B04281">
        <w:rPr>
          <w:rFonts w:ascii="KaiTi" w:eastAsia="KaiTi" w:hAnsi="KaiTi"/>
          <w:i/>
          <w:sz w:val="21"/>
          <w:szCs w:val="21"/>
          <w:lang w:eastAsia="zh-CN"/>
        </w:rPr>
        <w:t>2</w:t>
      </w:r>
      <w:r w:rsidRPr="00B04281">
        <w:rPr>
          <w:rFonts w:ascii="KaiTi" w:eastAsia="KaiTi" w:hAnsi="KaiTi" w:hint="eastAsia"/>
          <w:i/>
          <w:sz w:val="21"/>
          <w:szCs w:val="21"/>
          <w:lang w:eastAsia="zh-CN"/>
        </w:rPr>
        <w:t>成果框架中目标的表述；</w:t>
      </w:r>
    </w:p>
    <w:p w:rsidR="00A96F68" w:rsidRPr="00B04281" w:rsidRDefault="00A96F68" w:rsidP="00B04281">
      <w:pPr>
        <w:pStyle w:val="Default"/>
        <w:autoSpaceDE/>
        <w:autoSpaceDN/>
        <w:spacing w:afterLines="50" w:after="120" w:line="340" w:lineRule="atLeast"/>
        <w:ind w:leftChars="500" w:left="1520" w:hangingChars="200" w:hanging="420"/>
        <w:rPr>
          <w:rFonts w:ascii="KaiTi" w:eastAsia="KaiTi" w:hAnsi="KaiTi"/>
          <w:i/>
          <w:sz w:val="21"/>
          <w:szCs w:val="21"/>
          <w:lang w:eastAsia="zh-CN"/>
        </w:rPr>
      </w:pPr>
      <w:r w:rsidRPr="00B04281">
        <w:rPr>
          <w:rFonts w:ascii="KaiTi" w:eastAsia="KaiTi" w:hAnsi="KaiTi"/>
          <w:i/>
          <w:sz w:val="21"/>
          <w:szCs w:val="21"/>
          <w:lang w:eastAsia="zh-CN"/>
        </w:rPr>
        <w:t>(</w:t>
      </w:r>
      <w:r w:rsidRPr="00B04281">
        <w:rPr>
          <w:rFonts w:ascii="KaiTi" w:eastAsia="KaiTi" w:hAnsi="KaiTi" w:hint="eastAsia"/>
          <w:i/>
          <w:sz w:val="21"/>
          <w:szCs w:val="21"/>
          <w:lang w:eastAsia="zh-CN"/>
        </w:rPr>
        <w:t>ii</w:t>
      </w:r>
      <w:r w:rsidRPr="00B04281">
        <w:rPr>
          <w:rFonts w:ascii="KaiTi" w:eastAsia="KaiTi" w:hAnsi="KaiTi"/>
          <w:i/>
          <w:sz w:val="21"/>
          <w:szCs w:val="21"/>
          <w:lang w:eastAsia="zh-CN"/>
        </w:rPr>
        <w:t xml:space="preserve">) </w:t>
      </w:r>
      <w:r w:rsidR="00B04281">
        <w:rPr>
          <w:rFonts w:ascii="KaiTi" w:eastAsia="KaiTi" w:hAnsi="KaiTi" w:hint="eastAsia"/>
          <w:i/>
          <w:sz w:val="21"/>
          <w:szCs w:val="21"/>
          <w:lang w:eastAsia="zh-CN"/>
        </w:rPr>
        <w:tab/>
      </w:r>
      <w:r w:rsidRPr="00B04281">
        <w:rPr>
          <w:rFonts w:ascii="KaiTi" w:eastAsia="KaiTi" w:hAnsi="KaiTi" w:hint="eastAsia"/>
          <w:i/>
          <w:sz w:val="21"/>
          <w:szCs w:val="21"/>
          <w:lang w:eastAsia="zh-CN"/>
        </w:rPr>
        <w:t>如附件二中所列，计划</w:t>
      </w:r>
      <w:r w:rsidRPr="00B04281">
        <w:rPr>
          <w:rFonts w:ascii="KaiTi" w:eastAsia="KaiTi" w:hAnsi="KaiTi"/>
          <w:i/>
          <w:sz w:val="21"/>
          <w:szCs w:val="21"/>
          <w:lang w:eastAsia="zh-CN"/>
        </w:rPr>
        <w:t>4</w:t>
      </w:r>
      <w:r w:rsidRPr="00B04281">
        <w:rPr>
          <w:rFonts w:ascii="KaiTi" w:eastAsia="KaiTi" w:hAnsi="KaiTi" w:hint="eastAsia"/>
          <w:i/>
          <w:sz w:val="21"/>
          <w:szCs w:val="21"/>
          <w:lang w:eastAsia="zh-CN"/>
        </w:rPr>
        <w:t>成果框架中目标的表述；</w:t>
      </w:r>
    </w:p>
    <w:p w:rsidR="00A96F68" w:rsidRPr="00B04281" w:rsidRDefault="00A96F68" w:rsidP="00B04281">
      <w:pPr>
        <w:pStyle w:val="Default"/>
        <w:autoSpaceDE/>
        <w:autoSpaceDN/>
        <w:spacing w:afterLines="50" w:after="120" w:line="340" w:lineRule="atLeast"/>
        <w:ind w:leftChars="500" w:left="1520" w:hangingChars="200" w:hanging="420"/>
        <w:rPr>
          <w:rFonts w:ascii="KaiTi" w:eastAsia="KaiTi" w:hAnsi="KaiTi"/>
          <w:i/>
          <w:sz w:val="21"/>
          <w:szCs w:val="21"/>
          <w:lang w:eastAsia="zh-CN"/>
        </w:rPr>
      </w:pPr>
      <w:r w:rsidRPr="00B04281">
        <w:rPr>
          <w:rFonts w:ascii="KaiTi" w:eastAsia="KaiTi" w:hAnsi="KaiTi"/>
          <w:i/>
          <w:sz w:val="21"/>
          <w:szCs w:val="21"/>
          <w:lang w:eastAsia="zh-CN"/>
        </w:rPr>
        <w:t>(iii)</w:t>
      </w:r>
      <w:r w:rsidR="00B04281">
        <w:rPr>
          <w:rFonts w:ascii="KaiTi" w:eastAsia="KaiTi" w:hAnsi="KaiTi" w:hint="eastAsia"/>
          <w:i/>
          <w:sz w:val="21"/>
          <w:szCs w:val="21"/>
          <w:lang w:eastAsia="zh-CN"/>
        </w:rPr>
        <w:tab/>
      </w:r>
      <w:r w:rsidR="00034161">
        <w:rPr>
          <w:rFonts w:ascii="KaiTi" w:eastAsia="KaiTi" w:hAnsi="KaiTi" w:hint="eastAsia"/>
          <w:i/>
          <w:sz w:val="21"/>
          <w:szCs w:val="21"/>
          <w:lang w:eastAsia="zh-CN"/>
        </w:rPr>
        <w:t>从</w:t>
      </w:r>
      <w:r w:rsidRPr="00B04281">
        <w:rPr>
          <w:rFonts w:ascii="KaiTi" w:eastAsia="KaiTi" w:hAnsi="KaiTi" w:hint="eastAsia"/>
          <w:i/>
          <w:sz w:val="21"/>
          <w:szCs w:val="21"/>
          <w:lang w:eastAsia="zh-CN"/>
        </w:rPr>
        <w:t>计划20中删除第</w:t>
      </w:r>
      <w:r w:rsidRPr="00B04281">
        <w:rPr>
          <w:rFonts w:ascii="KaiTi" w:eastAsia="KaiTi" w:hAnsi="KaiTi"/>
          <w:i/>
          <w:sz w:val="21"/>
          <w:szCs w:val="21"/>
          <w:lang w:eastAsia="zh-CN"/>
        </w:rPr>
        <w:t>20.21</w:t>
      </w:r>
      <w:r w:rsidRPr="00B04281">
        <w:rPr>
          <w:rFonts w:ascii="KaiTi" w:eastAsia="KaiTi" w:hAnsi="KaiTi" w:hint="eastAsia"/>
          <w:i/>
          <w:sz w:val="21"/>
          <w:szCs w:val="21"/>
          <w:lang w:eastAsia="zh-CN"/>
        </w:rPr>
        <w:t>段；并</w:t>
      </w:r>
    </w:p>
    <w:p w:rsidR="00A96F68" w:rsidRPr="00B04281" w:rsidRDefault="00A96F68" w:rsidP="00B04281">
      <w:pPr>
        <w:pStyle w:val="Default"/>
        <w:autoSpaceDE/>
        <w:autoSpaceDN/>
        <w:spacing w:afterLines="50" w:after="120" w:line="340" w:lineRule="atLeast"/>
        <w:ind w:leftChars="500" w:left="1520" w:hangingChars="200" w:hanging="420"/>
        <w:rPr>
          <w:rFonts w:ascii="KaiTi" w:eastAsia="KaiTi" w:hAnsi="KaiTi"/>
          <w:i/>
          <w:sz w:val="21"/>
          <w:szCs w:val="21"/>
          <w:lang w:eastAsia="zh-CN"/>
        </w:rPr>
      </w:pPr>
      <w:r w:rsidRPr="00B04281">
        <w:rPr>
          <w:rFonts w:ascii="KaiTi" w:eastAsia="KaiTi" w:hAnsi="KaiTi"/>
          <w:i/>
          <w:sz w:val="21"/>
          <w:szCs w:val="21"/>
          <w:lang w:eastAsia="zh-CN"/>
        </w:rPr>
        <w:t>(iv)</w:t>
      </w:r>
      <w:r w:rsidR="00B04281">
        <w:rPr>
          <w:rFonts w:ascii="KaiTi" w:eastAsia="KaiTi" w:hAnsi="KaiTi" w:hint="eastAsia"/>
          <w:i/>
          <w:sz w:val="21"/>
          <w:szCs w:val="21"/>
          <w:lang w:eastAsia="zh-CN"/>
        </w:rPr>
        <w:tab/>
      </w:r>
      <w:r w:rsidRPr="00B04281">
        <w:rPr>
          <w:rFonts w:ascii="KaiTi" w:eastAsia="KaiTi" w:hAnsi="KaiTi" w:hint="eastAsia"/>
          <w:i/>
          <w:sz w:val="21"/>
          <w:szCs w:val="21"/>
          <w:lang w:eastAsia="zh-CN"/>
        </w:rPr>
        <w:t>从计划20</w:t>
      </w:r>
      <w:r w:rsidR="00D516DE" w:rsidRPr="00B04281">
        <w:rPr>
          <w:rFonts w:ascii="KaiTi" w:eastAsia="KaiTi" w:hAnsi="KaiTi" w:hint="eastAsia"/>
          <w:i/>
          <w:sz w:val="21"/>
          <w:szCs w:val="21"/>
          <w:lang w:eastAsia="zh-CN"/>
        </w:rPr>
        <w:t>中转移共计150万瑞郎非人事费至未分拨，等待任何有关决定。</w:t>
      </w:r>
    </w:p>
    <w:p w:rsidR="000F5990" w:rsidRPr="00B04281" w:rsidRDefault="00D516DE" w:rsidP="00B04281">
      <w:pPr>
        <w:pStyle w:val="ListParagraph"/>
        <w:spacing w:afterLines="50" w:after="120" w:line="340" w:lineRule="atLeast"/>
        <w:ind w:leftChars="300" w:left="660" w:firstLineChars="0" w:firstLine="0"/>
        <w:jc w:val="both"/>
        <w:textAlignment w:val="bottom"/>
        <w:rPr>
          <w:rFonts w:ascii="KaiTi" w:eastAsia="KaiTi" w:hAnsi="KaiTi" w:cs="Times New Roman"/>
          <w:i/>
          <w:sz w:val="21"/>
          <w:szCs w:val="21"/>
        </w:rPr>
      </w:pPr>
      <w:r w:rsidRPr="00B04281">
        <w:rPr>
          <w:rFonts w:ascii="KaiTi" w:eastAsia="KaiTi" w:hAnsi="KaiTi" w:cs="Times New Roman" w:hint="eastAsia"/>
          <w:i/>
          <w:sz w:val="21"/>
          <w:szCs w:val="21"/>
        </w:rPr>
        <w:t>(b)</w:t>
      </w:r>
      <w:r w:rsidR="00B04281">
        <w:rPr>
          <w:rFonts w:ascii="KaiTi" w:eastAsia="KaiTi" w:hAnsi="KaiTi" w:cs="Times New Roman" w:hint="eastAsia"/>
          <w:i/>
          <w:sz w:val="21"/>
          <w:szCs w:val="21"/>
        </w:rPr>
        <w:tab/>
      </w:r>
      <w:r w:rsidRPr="00B04281">
        <w:rPr>
          <w:rFonts w:ascii="KaiTi" w:eastAsia="KaiTi" w:hAnsi="KaiTi" w:cs="Times New Roman" w:hint="eastAsia"/>
          <w:i/>
          <w:sz w:val="21"/>
          <w:szCs w:val="21"/>
        </w:rPr>
        <w:t>注意到成员国就要求为“知识产权与全球挑战”计划</w:t>
      </w:r>
      <w:r w:rsidRPr="00B04281">
        <w:rPr>
          <w:rFonts w:ascii="KaiTi" w:eastAsia="KaiTi" w:hAnsi="KaiTi" w:cs="Times New Roman"/>
          <w:i/>
          <w:sz w:val="21"/>
          <w:szCs w:val="21"/>
        </w:rPr>
        <w:t>(</w:t>
      </w:r>
      <w:r w:rsidRPr="00B04281">
        <w:rPr>
          <w:rFonts w:ascii="KaiTi" w:eastAsia="KaiTi" w:hAnsi="KaiTi" w:cs="Times New Roman" w:hint="eastAsia"/>
          <w:i/>
          <w:sz w:val="21"/>
          <w:szCs w:val="21"/>
        </w:rPr>
        <w:t>计划</w:t>
      </w:r>
      <w:r w:rsidRPr="00B04281">
        <w:rPr>
          <w:rFonts w:ascii="KaiTi" w:eastAsia="KaiTi" w:hAnsi="KaiTi" w:cs="Times New Roman"/>
          <w:i/>
          <w:sz w:val="21"/>
          <w:szCs w:val="21"/>
        </w:rPr>
        <w:t>18)</w:t>
      </w:r>
      <w:r w:rsidRPr="00B04281">
        <w:rPr>
          <w:rFonts w:ascii="KaiTi" w:eastAsia="KaiTi" w:hAnsi="KaiTi" w:cs="Times New Roman" w:hint="eastAsia"/>
          <w:i/>
          <w:sz w:val="21"/>
          <w:szCs w:val="21"/>
        </w:rPr>
        <w:t>提供更多信息所发表的评论意见，要求该计划在</w:t>
      </w:r>
      <w:r w:rsidRPr="00B04281">
        <w:rPr>
          <w:rFonts w:ascii="KaiTi" w:eastAsia="KaiTi" w:hAnsi="KaiTi" w:cs="Times New Roman"/>
          <w:i/>
          <w:sz w:val="21"/>
          <w:szCs w:val="21"/>
        </w:rPr>
        <w:t>SCP</w:t>
      </w:r>
      <w:r w:rsidRPr="00B04281">
        <w:rPr>
          <w:rFonts w:ascii="KaiTi" w:eastAsia="KaiTi" w:hAnsi="KaiTi" w:cs="Times New Roman" w:hint="eastAsia"/>
          <w:i/>
          <w:sz w:val="21"/>
          <w:szCs w:val="21"/>
        </w:rPr>
        <w:t>第二十届会议上向成员国通报其活动中与专利有关的方面，在</w:t>
      </w:r>
      <w:r w:rsidRPr="00B04281">
        <w:rPr>
          <w:rFonts w:ascii="KaiTi" w:eastAsia="KaiTi" w:hAnsi="KaiTi" w:cs="Times New Roman"/>
          <w:i/>
          <w:sz w:val="21"/>
          <w:szCs w:val="21"/>
        </w:rPr>
        <w:t>CDIP</w:t>
      </w:r>
      <w:r w:rsidRPr="00B04281">
        <w:rPr>
          <w:rFonts w:ascii="KaiTi" w:eastAsia="KaiTi" w:hAnsi="KaiTi" w:cs="Times New Roman" w:hint="eastAsia"/>
          <w:i/>
          <w:sz w:val="21"/>
          <w:szCs w:val="21"/>
        </w:rPr>
        <w:t>第十三届会议上向成员国通报其活动中与发展有关的方面。</w:t>
      </w:r>
    </w:p>
    <w:p w:rsidR="00316CD4" w:rsidRPr="000F5990" w:rsidRDefault="00316CD4" w:rsidP="00316CD4">
      <w:pPr>
        <w:ind w:left="5533"/>
        <w:rPr>
          <w:rFonts w:ascii="KaiTi" w:eastAsia="KaiTi" w:hAnsi="KaiTi"/>
          <w:sz w:val="21"/>
          <w:szCs w:val="21"/>
        </w:rPr>
      </w:pPr>
    </w:p>
    <w:p w:rsidR="00316CD4" w:rsidRDefault="00316CD4" w:rsidP="00316CD4">
      <w:pPr>
        <w:ind w:left="5533"/>
        <w:rPr>
          <w:rFonts w:ascii="KaiTi" w:eastAsia="KaiTi" w:hAnsi="KaiTi"/>
          <w:sz w:val="21"/>
          <w:szCs w:val="21"/>
        </w:rPr>
      </w:pPr>
    </w:p>
    <w:p w:rsidR="00D516DE" w:rsidRDefault="00316CD4" w:rsidP="00316CD4">
      <w:pPr>
        <w:ind w:left="5533"/>
        <w:rPr>
          <w:rFonts w:ascii="KaiTi" w:eastAsia="KaiTi" w:hAnsi="KaiTi"/>
          <w:sz w:val="21"/>
          <w:szCs w:val="21"/>
        </w:rPr>
        <w:sectPr w:rsidR="00D516DE" w:rsidSect="001567E7">
          <w:headerReference w:type="default" r:id="rId10"/>
          <w:endnotePr>
            <w:numFmt w:val="decimal"/>
          </w:endnotePr>
          <w:pgSz w:w="11907" w:h="16840" w:code="9"/>
          <w:pgMar w:top="567" w:right="1134" w:bottom="1418" w:left="1418" w:header="510" w:footer="1021" w:gutter="0"/>
          <w:cols w:space="720"/>
          <w:titlePg/>
          <w:docGrid w:linePitch="299"/>
        </w:sectPr>
      </w:pPr>
      <w:r w:rsidRPr="003D3E38">
        <w:rPr>
          <w:rFonts w:ascii="KaiTi" w:eastAsia="KaiTi" w:hAnsi="KaiTi"/>
          <w:sz w:val="21"/>
          <w:szCs w:val="21"/>
        </w:rPr>
        <w:t>[</w:t>
      </w:r>
      <w:r w:rsidR="00D516DE">
        <w:rPr>
          <w:rFonts w:ascii="KaiTi" w:eastAsia="KaiTi" w:hAnsi="KaiTi" w:hint="eastAsia"/>
          <w:sz w:val="21"/>
          <w:szCs w:val="21"/>
        </w:rPr>
        <w:t>后接附件</w:t>
      </w:r>
      <w:r w:rsidRPr="003D3E38">
        <w:rPr>
          <w:rFonts w:ascii="KaiTi" w:eastAsia="KaiTi" w:hAnsi="KaiTi"/>
          <w:sz w:val="21"/>
          <w:szCs w:val="21"/>
        </w:rPr>
        <w:t>]</w:t>
      </w:r>
    </w:p>
    <w:p w:rsidR="00D516DE" w:rsidRPr="00500B4B" w:rsidRDefault="00D516DE" w:rsidP="00D516DE">
      <w:pPr>
        <w:spacing w:after="200" w:line="276" w:lineRule="auto"/>
        <w:jc w:val="center"/>
        <w:rPr>
          <w:rFonts w:ascii="SimHei" w:eastAsia="SimHei" w:hAnsi="SimHei"/>
          <w:bCs/>
          <w:iCs/>
          <w:sz w:val="21"/>
          <w:szCs w:val="22"/>
        </w:rPr>
      </w:pPr>
      <w:bookmarkStart w:id="6" w:name="_Toc363741758"/>
      <w:r w:rsidRPr="00500B4B">
        <w:rPr>
          <w:rFonts w:ascii="SimHei" w:eastAsia="SimHei" w:hAnsi="SimHei" w:hint="eastAsia"/>
          <w:bCs/>
          <w:iCs/>
          <w:sz w:val="21"/>
          <w:szCs w:val="22"/>
        </w:rPr>
        <w:lastRenderedPageBreak/>
        <w:t>附件一</w:t>
      </w:r>
    </w:p>
    <w:p w:rsidR="00D516DE" w:rsidRPr="002B3C0C" w:rsidRDefault="00D516DE" w:rsidP="00D516DE">
      <w:pPr>
        <w:keepNext/>
        <w:keepLines/>
        <w:widowControl w:val="0"/>
        <w:spacing w:afterLines="150" w:after="360" w:line="340" w:lineRule="atLeast"/>
        <w:jc w:val="both"/>
        <w:outlineLvl w:val="2"/>
        <w:rPr>
          <w:rFonts w:ascii="SimHei" w:eastAsia="SimHei" w:hAnsi="SimHei" w:cstheme="minorBidi"/>
          <w:b/>
          <w:kern w:val="2"/>
          <w:sz w:val="24"/>
          <w:szCs w:val="24"/>
        </w:rPr>
      </w:pPr>
      <w:r w:rsidRPr="002B3C0C">
        <w:rPr>
          <w:rFonts w:ascii="SimHei" w:eastAsia="SimHei" w:hAnsi="SimHei" w:cstheme="minorBidi" w:hint="eastAsia"/>
          <w:kern w:val="2"/>
          <w:sz w:val="24"/>
          <w:szCs w:val="24"/>
        </w:rPr>
        <w:t>计划</w:t>
      </w:r>
      <w:r w:rsidRPr="002B3C0C">
        <w:rPr>
          <w:rFonts w:ascii="SimHei" w:eastAsia="SimHei" w:hAnsi="SimHei" w:cstheme="minorBidi"/>
          <w:kern w:val="2"/>
          <w:sz w:val="24"/>
          <w:szCs w:val="24"/>
        </w:rPr>
        <w:t>2</w:t>
      </w:r>
      <w:r w:rsidRPr="002B3C0C">
        <w:rPr>
          <w:rFonts w:ascii="SimHei" w:eastAsia="SimHei" w:hAnsi="SimHei" w:cstheme="minorBidi"/>
          <w:kern w:val="2"/>
          <w:sz w:val="24"/>
          <w:szCs w:val="24"/>
        </w:rPr>
        <w:tab/>
      </w:r>
      <w:r w:rsidRPr="002B3C0C">
        <w:rPr>
          <w:rFonts w:ascii="SimHei" w:eastAsia="SimHei" w:hAnsi="SimHei" w:cstheme="minorBidi" w:hint="eastAsia"/>
          <w:kern w:val="2"/>
          <w:sz w:val="24"/>
          <w:szCs w:val="24"/>
        </w:rPr>
        <w:t>商标、工业品外观设计和地理标志</w:t>
      </w:r>
      <w:bookmarkEnd w:id="6"/>
    </w:p>
    <w:p w:rsidR="00D516DE" w:rsidRPr="002B3C0C" w:rsidRDefault="00D516DE" w:rsidP="00D516DE">
      <w:pPr>
        <w:adjustRightInd w:val="0"/>
        <w:spacing w:beforeLines="100" w:before="240" w:afterLines="100" w:after="240" w:line="340" w:lineRule="atLeast"/>
        <w:rPr>
          <w:rFonts w:ascii="SimHei" w:eastAsia="SimHei" w:hAnsi="SimHei"/>
          <w:szCs w:val="21"/>
        </w:rPr>
      </w:pPr>
      <w:r w:rsidRPr="002B3C0C">
        <w:rPr>
          <w:rFonts w:ascii="SimHei" w:eastAsia="SimHei" w:hAnsi="SimHei" w:hint="eastAsia"/>
          <w:szCs w:val="21"/>
        </w:rPr>
        <w:t>成果框架</w:t>
      </w:r>
    </w:p>
    <w:tbl>
      <w:tblPr>
        <w:tblW w:w="491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8"/>
        <w:gridCol w:w="2849"/>
        <w:gridCol w:w="2058"/>
        <w:gridCol w:w="2153"/>
      </w:tblGrid>
      <w:tr w:rsidR="00D516DE" w:rsidRPr="002B3C0C" w:rsidTr="00B544DD">
        <w:trPr>
          <w:cantSplit/>
          <w:trHeight w:val="397"/>
          <w:tblHeader/>
        </w:trPr>
        <w:tc>
          <w:tcPr>
            <w:tcW w:w="1248" w:type="pct"/>
            <w:tcBorders>
              <w:top w:val="single" w:sz="4" w:space="0" w:color="auto"/>
              <w:bottom w:val="single" w:sz="4" w:space="0" w:color="auto"/>
            </w:tcBorders>
            <w:shd w:val="clear" w:color="auto" w:fill="CCFFFF"/>
            <w:vAlign w:val="center"/>
          </w:tcPr>
          <w:p w:rsidR="00D516DE" w:rsidRPr="002B3C0C" w:rsidRDefault="00D516DE" w:rsidP="00B544DD">
            <w:pPr>
              <w:jc w:val="center"/>
              <w:rPr>
                <w:rFonts w:ascii="SimHei" w:eastAsia="SimHei" w:hAnsi="SimHei"/>
                <w:bCs/>
                <w:sz w:val="18"/>
                <w:szCs w:val="18"/>
              </w:rPr>
            </w:pPr>
            <w:r w:rsidRPr="002B3C0C">
              <w:rPr>
                <w:rFonts w:ascii="SimHei" w:eastAsia="SimHei" w:hAnsi="SimHei" w:hint="eastAsia"/>
                <w:bCs/>
                <w:sz w:val="18"/>
                <w:szCs w:val="18"/>
              </w:rPr>
              <w:t>预期成果</w:t>
            </w:r>
          </w:p>
        </w:tc>
        <w:tc>
          <w:tcPr>
            <w:tcW w:w="1514" w:type="pct"/>
            <w:tcBorders>
              <w:top w:val="single" w:sz="4" w:space="0" w:color="auto"/>
              <w:bottom w:val="single" w:sz="4" w:space="0" w:color="auto"/>
            </w:tcBorders>
            <w:shd w:val="clear" w:color="auto" w:fill="CCFFFF"/>
            <w:tcMar>
              <w:top w:w="110" w:type="dxa"/>
            </w:tcMar>
            <w:vAlign w:val="center"/>
          </w:tcPr>
          <w:p w:rsidR="00D516DE" w:rsidRPr="002B3C0C" w:rsidRDefault="00D516DE" w:rsidP="00B544DD">
            <w:pPr>
              <w:jc w:val="center"/>
              <w:rPr>
                <w:rFonts w:ascii="SimHei" w:eastAsia="SimHei" w:hAnsi="SimHei"/>
                <w:sz w:val="18"/>
                <w:szCs w:val="18"/>
              </w:rPr>
            </w:pPr>
            <w:r w:rsidRPr="002B3C0C">
              <w:rPr>
                <w:rFonts w:ascii="SimHei" w:eastAsia="SimHei" w:hAnsi="SimHei" w:hint="eastAsia"/>
                <w:sz w:val="18"/>
                <w:szCs w:val="18"/>
              </w:rPr>
              <w:t>效绩指标</w:t>
            </w:r>
          </w:p>
        </w:tc>
        <w:tc>
          <w:tcPr>
            <w:tcW w:w="1094" w:type="pct"/>
            <w:tcBorders>
              <w:top w:val="single" w:sz="4" w:space="0" w:color="auto"/>
              <w:bottom w:val="single" w:sz="4" w:space="0" w:color="auto"/>
            </w:tcBorders>
            <w:shd w:val="clear" w:color="auto" w:fill="CCFFFF"/>
            <w:tcMar>
              <w:top w:w="110" w:type="dxa"/>
            </w:tcMar>
            <w:vAlign w:val="center"/>
          </w:tcPr>
          <w:p w:rsidR="00D516DE" w:rsidRPr="002B3C0C" w:rsidRDefault="00D516DE" w:rsidP="00B544DD">
            <w:pPr>
              <w:jc w:val="center"/>
              <w:rPr>
                <w:rFonts w:ascii="SimHei" w:eastAsia="SimHei" w:hAnsi="SimHei"/>
                <w:sz w:val="18"/>
                <w:szCs w:val="18"/>
              </w:rPr>
            </w:pPr>
            <w:r w:rsidRPr="002B3C0C">
              <w:rPr>
                <w:rFonts w:ascii="SimHei" w:eastAsia="SimHei" w:hAnsi="SimHei" w:hint="eastAsia"/>
                <w:bCs/>
                <w:sz w:val="18"/>
                <w:szCs w:val="18"/>
              </w:rPr>
              <w:t>基准</w:t>
            </w:r>
          </w:p>
        </w:tc>
        <w:tc>
          <w:tcPr>
            <w:tcW w:w="1144" w:type="pct"/>
            <w:tcBorders>
              <w:top w:val="single" w:sz="4" w:space="0" w:color="auto"/>
              <w:bottom w:val="single" w:sz="4" w:space="0" w:color="auto"/>
            </w:tcBorders>
            <w:shd w:val="clear" w:color="auto" w:fill="CCFFFF"/>
            <w:tcMar>
              <w:top w:w="110" w:type="dxa"/>
            </w:tcMar>
            <w:vAlign w:val="center"/>
          </w:tcPr>
          <w:p w:rsidR="00D516DE" w:rsidRPr="002B3C0C" w:rsidRDefault="00D516DE" w:rsidP="00B544DD">
            <w:pPr>
              <w:keepNext/>
              <w:keepLines/>
              <w:tabs>
                <w:tab w:val="left" w:pos="1649"/>
                <w:tab w:val="left" w:pos="1759"/>
              </w:tabs>
              <w:jc w:val="center"/>
              <w:rPr>
                <w:rFonts w:ascii="SimHei" w:eastAsia="SimHei" w:hAnsi="SimHei"/>
                <w:bCs/>
                <w:sz w:val="18"/>
                <w:szCs w:val="18"/>
              </w:rPr>
            </w:pPr>
            <w:r w:rsidRPr="002B3C0C">
              <w:rPr>
                <w:rFonts w:ascii="SimHei" w:eastAsia="SimHei" w:hAnsi="SimHei" w:hint="eastAsia"/>
                <w:bCs/>
                <w:sz w:val="18"/>
                <w:szCs w:val="18"/>
              </w:rPr>
              <w:t>目标</w:t>
            </w:r>
          </w:p>
        </w:tc>
      </w:tr>
      <w:tr w:rsidR="00D516DE" w:rsidRPr="002B3C0C" w:rsidTr="00B544DD">
        <w:trPr>
          <w:cantSplit/>
        </w:trPr>
        <w:tc>
          <w:tcPr>
            <w:tcW w:w="1248" w:type="pct"/>
            <w:vMerge w:val="restart"/>
            <w:tcBorders>
              <w:top w:val="single" w:sz="4" w:space="0" w:color="auto"/>
            </w:tcBorders>
            <w:shd w:val="clear" w:color="auto" w:fill="auto"/>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一</w:t>
            </w:r>
            <w:r w:rsidRPr="002B3C0C">
              <w:rPr>
                <w:rFonts w:asciiTheme="minorEastAsia" w:hAnsiTheme="minorEastAsia"/>
                <w:sz w:val="16"/>
                <w:szCs w:val="16"/>
                <w:lang w:bidi="th-TH"/>
              </w:rPr>
              <w:t>.1</w:t>
            </w:r>
            <w:r w:rsidRPr="002B3C0C">
              <w:rPr>
                <w:rFonts w:asciiTheme="minorEastAsia" w:hAnsiTheme="minorEastAsia" w:hint="eastAsia"/>
                <w:sz w:val="16"/>
                <w:szCs w:val="16"/>
              </w:rPr>
              <w:t xml:space="preserve"> 成员国在发展兼顾各方利益的国际知识产权规范性框架方面的合作得到加强，就议定国际文书所依据的具体议题达成一致意见</w:t>
            </w:r>
          </w:p>
        </w:tc>
        <w:tc>
          <w:tcPr>
            <w:tcW w:w="1514" w:type="pct"/>
            <w:tcBorders>
              <w:top w:val="single" w:sz="4" w:space="0" w:color="auto"/>
            </w:tcBorders>
            <w:shd w:val="clear" w:color="auto" w:fill="auto"/>
            <w:tcMar>
              <w:top w:w="110"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关于工业品外观设计的注册和维持程序的规范性框架协定</w:t>
            </w:r>
          </w:p>
        </w:tc>
        <w:tc>
          <w:tcPr>
            <w:tcW w:w="1094" w:type="pct"/>
            <w:tcBorders>
              <w:top w:val="single" w:sz="4" w:space="0" w:color="auto"/>
            </w:tcBorders>
            <w:shd w:val="clear" w:color="auto" w:fill="FFFFFF"/>
            <w:tcMar>
              <w:top w:w="110"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尚无工业品外观设计的注册和维持程序的规范性框架</w:t>
            </w:r>
          </w:p>
        </w:tc>
        <w:tc>
          <w:tcPr>
            <w:tcW w:w="1144" w:type="pct"/>
            <w:tcBorders>
              <w:top w:val="single" w:sz="4" w:space="0" w:color="auto"/>
            </w:tcBorders>
            <w:shd w:val="clear" w:color="auto" w:fill="auto"/>
            <w:tcMar>
              <w:top w:w="110" w:type="dxa"/>
              <w:bottom w:w="85" w:type="dxa"/>
            </w:tcMar>
          </w:tcPr>
          <w:p w:rsidR="00D516DE" w:rsidRPr="002B3C0C" w:rsidRDefault="00D516DE" w:rsidP="00B544DD">
            <w:pPr>
              <w:keepNext/>
              <w:keepLines/>
              <w:ind w:right="161"/>
              <w:jc w:val="both"/>
              <w:rPr>
                <w:rFonts w:asciiTheme="minorEastAsia" w:hAnsiTheme="minorEastAsia"/>
                <w:bCs/>
                <w:sz w:val="16"/>
                <w:szCs w:val="16"/>
              </w:rPr>
            </w:pPr>
            <w:r w:rsidRPr="00D516DE">
              <w:rPr>
                <w:rFonts w:asciiTheme="minorEastAsia" w:hAnsiTheme="minorEastAsia" w:hint="eastAsia"/>
                <w:bCs/>
                <w:sz w:val="16"/>
                <w:szCs w:val="16"/>
              </w:rPr>
              <w:t>可能举行的</w:t>
            </w:r>
            <w:r w:rsidRPr="002B3C0C">
              <w:rPr>
                <w:rFonts w:asciiTheme="minorEastAsia" w:hAnsiTheme="minorEastAsia" w:hint="eastAsia"/>
                <w:bCs/>
                <w:sz w:val="16"/>
                <w:szCs w:val="16"/>
              </w:rPr>
              <w:t>外交会议通过一项《外观设计法条约》</w:t>
            </w:r>
          </w:p>
        </w:tc>
      </w:tr>
      <w:tr w:rsidR="00D516DE" w:rsidRPr="002B3C0C" w:rsidTr="00B544DD">
        <w:trPr>
          <w:cantSplit/>
        </w:trPr>
        <w:tc>
          <w:tcPr>
            <w:tcW w:w="1248" w:type="pct"/>
            <w:vMerge/>
            <w:shd w:val="clear" w:color="auto" w:fill="auto"/>
          </w:tcPr>
          <w:p w:rsidR="00D516DE" w:rsidRPr="002B3C0C" w:rsidRDefault="00D516DE" w:rsidP="00B544DD">
            <w:pPr>
              <w:jc w:val="both"/>
              <w:rPr>
                <w:rFonts w:asciiTheme="minorEastAsia" w:hAnsiTheme="minorEastAsia"/>
                <w:sz w:val="16"/>
                <w:szCs w:val="16"/>
              </w:rPr>
            </w:pPr>
          </w:p>
        </w:tc>
        <w:tc>
          <w:tcPr>
            <w:tcW w:w="1514" w:type="pct"/>
            <w:shd w:val="clear" w:color="auto" w:fill="auto"/>
            <w:tcMar>
              <w:top w:w="110" w:type="dxa"/>
              <w:bottom w:w="85" w:type="dxa"/>
            </w:tcMar>
          </w:tcPr>
          <w:p w:rsidR="00D516DE" w:rsidRPr="002B3C0C" w:rsidRDefault="00D516DE" w:rsidP="00B544DD">
            <w:pPr>
              <w:jc w:val="both"/>
              <w:rPr>
                <w:rFonts w:asciiTheme="minorEastAsia" w:hAnsiTheme="minorEastAsia"/>
                <w:i/>
                <w:sz w:val="16"/>
                <w:szCs w:val="16"/>
              </w:rPr>
            </w:pPr>
            <w:r w:rsidRPr="002B3C0C">
              <w:rPr>
                <w:rFonts w:asciiTheme="minorEastAsia" w:hAnsiTheme="minorEastAsia" w:hint="eastAsia"/>
                <w:sz w:val="16"/>
                <w:szCs w:val="16"/>
                <w:lang w:bidi="th-TH"/>
              </w:rPr>
              <w:t>就SCT议程上现有各项议题达成一致意见方面取得进展</w:t>
            </w:r>
          </w:p>
        </w:tc>
        <w:tc>
          <w:tcPr>
            <w:tcW w:w="1094" w:type="pct"/>
            <w:shd w:val="clear" w:color="auto" w:fill="FFFFFF"/>
            <w:tcMar>
              <w:top w:w="110" w:type="dxa"/>
              <w:bottom w:w="85" w:type="dxa"/>
            </w:tcMar>
          </w:tcPr>
          <w:p w:rsidR="00D516DE" w:rsidRPr="002B3C0C" w:rsidRDefault="00D516DE" w:rsidP="00B544DD">
            <w:pPr>
              <w:jc w:val="both"/>
              <w:rPr>
                <w:rFonts w:asciiTheme="minorEastAsia" w:hAnsiTheme="minorEastAsia"/>
                <w:sz w:val="16"/>
                <w:szCs w:val="16"/>
                <w:lang w:bidi="th-TH"/>
              </w:rPr>
            </w:pPr>
            <w:r w:rsidRPr="002B3C0C">
              <w:rPr>
                <w:rFonts w:asciiTheme="minorEastAsia" w:hAnsiTheme="minorEastAsia" w:hint="eastAsia"/>
                <w:sz w:val="16"/>
                <w:szCs w:val="16"/>
                <w:lang w:bidi="th-TH"/>
              </w:rPr>
              <w:t>关于保护国名防止作为商标注册和使用问题的参考文件草案</w:t>
            </w:r>
          </w:p>
        </w:tc>
        <w:tc>
          <w:tcPr>
            <w:tcW w:w="1144" w:type="pct"/>
            <w:shd w:val="clear" w:color="auto" w:fill="auto"/>
            <w:tcMar>
              <w:top w:w="110" w:type="dxa"/>
              <w:bottom w:w="85" w:type="dxa"/>
            </w:tcMar>
          </w:tcPr>
          <w:p w:rsidR="00D516DE" w:rsidRPr="002B3C0C" w:rsidRDefault="00D516DE" w:rsidP="00B544DD">
            <w:pPr>
              <w:keepNext/>
              <w:keepLines/>
              <w:tabs>
                <w:tab w:val="left" w:pos="2051"/>
              </w:tabs>
              <w:jc w:val="both"/>
              <w:rPr>
                <w:rFonts w:asciiTheme="minorEastAsia" w:hAnsiTheme="minorEastAsia"/>
                <w:bCs/>
                <w:sz w:val="16"/>
                <w:szCs w:val="16"/>
              </w:rPr>
            </w:pPr>
            <w:r w:rsidRPr="002B3C0C">
              <w:rPr>
                <w:rFonts w:asciiTheme="minorEastAsia" w:hAnsiTheme="minorEastAsia"/>
                <w:sz w:val="16"/>
                <w:szCs w:val="16"/>
                <w:lang w:bidi="th-TH"/>
              </w:rPr>
              <w:t>SCT</w:t>
            </w:r>
            <w:r w:rsidRPr="002B3C0C">
              <w:rPr>
                <w:rFonts w:asciiTheme="minorEastAsia" w:hAnsiTheme="minorEastAsia" w:hint="eastAsia"/>
                <w:sz w:val="16"/>
                <w:szCs w:val="16"/>
                <w:lang w:bidi="th-TH"/>
              </w:rPr>
              <w:t>议定成果</w:t>
            </w:r>
          </w:p>
        </w:tc>
      </w:tr>
      <w:tr w:rsidR="00D516DE" w:rsidRPr="002B3C0C" w:rsidTr="00B544DD">
        <w:trPr>
          <w:cantSplit/>
          <w:trHeight w:val="397"/>
        </w:trPr>
        <w:tc>
          <w:tcPr>
            <w:tcW w:w="1248" w:type="pct"/>
            <w:vMerge/>
            <w:shd w:val="clear" w:color="auto" w:fill="auto"/>
          </w:tcPr>
          <w:p w:rsidR="00D516DE" w:rsidRPr="002B3C0C" w:rsidRDefault="00D516DE" w:rsidP="00B544DD">
            <w:pPr>
              <w:jc w:val="both"/>
              <w:rPr>
                <w:rFonts w:asciiTheme="minorEastAsia" w:hAnsiTheme="minorEastAsia"/>
                <w:sz w:val="16"/>
                <w:szCs w:val="16"/>
              </w:rPr>
            </w:pPr>
          </w:p>
        </w:tc>
        <w:tc>
          <w:tcPr>
            <w:tcW w:w="1514" w:type="pct"/>
            <w:shd w:val="clear" w:color="auto" w:fill="auto"/>
            <w:tcMar>
              <w:top w:w="110"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批准/加入《新加坡条约》的数目</w:t>
            </w:r>
          </w:p>
        </w:tc>
        <w:tc>
          <w:tcPr>
            <w:tcW w:w="1094" w:type="pct"/>
            <w:shd w:val="clear" w:color="auto" w:fill="FFFFFF"/>
            <w:tcMar>
              <w:top w:w="110" w:type="dxa"/>
              <w:bottom w:w="85" w:type="dxa"/>
            </w:tcMar>
          </w:tcPr>
          <w:p w:rsidR="00D516DE" w:rsidRPr="002B3C0C" w:rsidRDefault="00D516DE" w:rsidP="00B544DD">
            <w:pPr>
              <w:jc w:val="both"/>
              <w:rPr>
                <w:rFonts w:asciiTheme="minorEastAsia" w:hAnsiTheme="minorEastAsia"/>
                <w:sz w:val="16"/>
                <w:szCs w:val="16"/>
                <w:lang w:bidi="th-TH"/>
              </w:rPr>
            </w:pPr>
            <w:r w:rsidRPr="002B3C0C">
              <w:rPr>
                <w:rFonts w:asciiTheme="minorEastAsia" w:hAnsiTheme="minorEastAsia"/>
                <w:sz w:val="16"/>
                <w:szCs w:val="16"/>
                <w:lang w:bidi="th-TH"/>
              </w:rPr>
              <w:t>29</w:t>
            </w:r>
            <w:r w:rsidRPr="002B3C0C">
              <w:rPr>
                <w:rFonts w:asciiTheme="minorEastAsia" w:hAnsiTheme="minorEastAsia" w:hint="eastAsia"/>
                <w:sz w:val="16"/>
                <w:szCs w:val="16"/>
                <w:lang w:bidi="th-TH"/>
              </w:rPr>
              <w:t>个缔约方</w:t>
            </w:r>
            <w:r w:rsidRPr="002B3C0C">
              <w:rPr>
                <w:rFonts w:asciiTheme="minorEastAsia" w:hAnsiTheme="minorEastAsia"/>
                <w:sz w:val="16"/>
                <w:szCs w:val="16"/>
                <w:lang w:bidi="th-TH"/>
              </w:rPr>
              <w:t>(</w:t>
            </w:r>
            <w:r w:rsidRPr="002B3C0C">
              <w:rPr>
                <w:rFonts w:asciiTheme="minorEastAsia" w:hAnsiTheme="minorEastAsia" w:hint="eastAsia"/>
                <w:sz w:val="16"/>
                <w:szCs w:val="16"/>
                <w:lang w:bidi="th-TH"/>
              </w:rPr>
              <w:t>截至</w:t>
            </w:r>
            <w:r w:rsidRPr="002B3C0C">
              <w:rPr>
                <w:rFonts w:asciiTheme="minorEastAsia" w:hAnsiTheme="minorEastAsia"/>
                <w:sz w:val="16"/>
                <w:szCs w:val="16"/>
                <w:lang w:bidi="th-TH"/>
              </w:rPr>
              <w:t>2012</w:t>
            </w:r>
            <w:r w:rsidRPr="002B3C0C">
              <w:rPr>
                <w:rFonts w:asciiTheme="minorEastAsia" w:hAnsiTheme="minorEastAsia" w:hint="eastAsia"/>
                <w:sz w:val="16"/>
                <w:szCs w:val="16"/>
                <w:lang w:bidi="th-TH"/>
              </w:rPr>
              <w:t>年</w:t>
            </w:r>
            <w:r w:rsidRPr="002B3C0C">
              <w:rPr>
                <w:rFonts w:asciiTheme="minorEastAsia" w:hAnsiTheme="minorEastAsia"/>
                <w:sz w:val="16"/>
                <w:szCs w:val="16"/>
                <w:lang w:bidi="th-TH"/>
              </w:rPr>
              <w:t>)</w:t>
            </w:r>
          </w:p>
        </w:tc>
        <w:tc>
          <w:tcPr>
            <w:tcW w:w="1144" w:type="pct"/>
            <w:shd w:val="clear" w:color="auto" w:fill="auto"/>
            <w:tcMar>
              <w:top w:w="110" w:type="dxa"/>
              <w:bottom w:w="85" w:type="dxa"/>
            </w:tcMar>
          </w:tcPr>
          <w:p w:rsidR="00D516DE" w:rsidRPr="002B3C0C" w:rsidRDefault="00D516DE" w:rsidP="00B544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八个新批准/加入的国家</w:t>
            </w:r>
          </w:p>
        </w:tc>
      </w:tr>
      <w:tr w:rsidR="00D516DE" w:rsidRPr="002B3C0C" w:rsidTr="00B544DD">
        <w:trPr>
          <w:cantSplit/>
          <w:trHeight w:val="1020"/>
        </w:trPr>
        <w:tc>
          <w:tcPr>
            <w:tcW w:w="1248" w:type="pct"/>
            <w:shd w:val="clear" w:color="auto" w:fill="auto"/>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一</w:t>
            </w:r>
            <w:r w:rsidRPr="002B3C0C">
              <w:rPr>
                <w:rFonts w:asciiTheme="minorEastAsia" w:hAnsiTheme="minorEastAsia"/>
                <w:sz w:val="16"/>
                <w:szCs w:val="16"/>
              </w:rPr>
              <w:t xml:space="preserve">.2 </w:t>
            </w:r>
            <w:r w:rsidRPr="002B3C0C">
              <w:rPr>
                <w:rFonts w:asciiTheme="minorEastAsia" w:hAnsiTheme="minorEastAsia" w:hint="eastAsia"/>
                <w:sz w:val="16"/>
                <w:szCs w:val="16"/>
              </w:rPr>
              <w:t>符合国情、兼顾各方利益的知识产权立法、监管和政策框架</w:t>
            </w:r>
          </w:p>
        </w:tc>
        <w:tc>
          <w:tcPr>
            <w:tcW w:w="1514" w:type="pct"/>
            <w:shd w:val="clear" w:color="auto" w:fill="auto"/>
            <w:tcMar>
              <w:top w:w="110"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对商标、工业品外观设计和地理标志领域的法律咨询提供积极反馈的成员国/地区组织的数目和百分比</w:t>
            </w:r>
          </w:p>
        </w:tc>
        <w:tc>
          <w:tcPr>
            <w:tcW w:w="1094" w:type="pct"/>
            <w:shd w:val="clear" w:color="auto" w:fill="FFFFFF"/>
            <w:tcMar>
              <w:top w:w="110" w:type="dxa"/>
              <w:bottom w:w="85" w:type="dxa"/>
            </w:tcMar>
          </w:tcPr>
          <w:p w:rsidR="00D516DE" w:rsidRPr="002B3C0C" w:rsidRDefault="00D516DE" w:rsidP="00B544DD">
            <w:pPr>
              <w:jc w:val="both"/>
              <w:rPr>
                <w:rFonts w:asciiTheme="minorEastAsia" w:hAnsiTheme="minorEastAsia"/>
                <w:sz w:val="16"/>
                <w:szCs w:val="16"/>
                <w:lang w:bidi="th-TH"/>
              </w:rPr>
            </w:pPr>
            <w:r w:rsidRPr="002B3C0C">
              <w:rPr>
                <w:rFonts w:asciiTheme="minorEastAsia" w:hAnsiTheme="minorEastAsia" w:hint="eastAsia"/>
                <w:sz w:val="16"/>
                <w:szCs w:val="16"/>
                <w:lang w:bidi="th-TH"/>
              </w:rPr>
              <w:t>11个成员国/地区组织接受了法律咨询，其中三个成员国/地区组织对2012年的法律咨询提供了积极反馈</w:t>
            </w:r>
          </w:p>
        </w:tc>
        <w:tc>
          <w:tcPr>
            <w:tcW w:w="1144" w:type="pct"/>
            <w:shd w:val="clear" w:color="auto" w:fill="auto"/>
            <w:tcMar>
              <w:top w:w="110" w:type="dxa"/>
              <w:bottom w:w="85" w:type="dxa"/>
            </w:tcMar>
          </w:tcPr>
          <w:p w:rsidR="00D516DE" w:rsidRPr="002B3C0C" w:rsidRDefault="00D516DE" w:rsidP="00B544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为10个成员国/地区组织提供法律咨询。90%的答复者对提供的咨询表示满意</w:t>
            </w:r>
          </w:p>
        </w:tc>
      </w:tr>
      <w:tr w:rsidR="00D516DE" w:rsidRPr="002B3C0C" w:rsidTr="00B544DD">
        <w:trPr>
          <w:cantSplit/>
          <w:trHeight w:val="737"/>
        </w:trPr>
        <w:tc>
          <w:tcPr>
            <w:tcW w:w="1248" w:type="pct"/>
            <w:shd w:val="clear" w:color="auto" w:fill="auto"/>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一</w:t>
            </w:r>
            <w:r w:rsidRPr="002B3C0C">
              <w:rPr>
                <w:rFonts w:asciiTheme="minorEastAsia" w:hAnsiTheme="minorEastAsia"/>
                <w:sz w:val="16"/>
                <w:szCs w:val="16"/>
              </w:rPr>
              <w:t xml:space="preserve">.3 </w:t>
            </w:r>
            <w:r w:rsidRPr="002B3C0C">
              <w:rPr>
                <w:rFonts w:asciiTheme="minorEastAsia" w:hAnsiTheme="minorEastAsia" w:hint="eastAsia"/>
                <w:sz w:val="16"/>
                <w:szCs w:val="16"/>
              </w:rPr>
              <w:t>国徽和国际政府间组织名称和徽记受到的保护得到加强</w:t>
            </w:r>
          </w:p>
        </w:tc>
        <w:tc>
          <w:tcPr>
            <w:tcW w:w="1514" w:type="pct"/>
            <w:shd w:val="clear" w:color="auto" w:fill="auto"/>
            <w:tcMar>
              <w:top w:w="110"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根据第6条之三处理的通知请求的数目</w:t>
            </w:r>
          </w:p>
        </w:tc>
        <w:tc>
          <w:tcPr>
            <w:tcW w:w="1094" w:type="pct"/>
            <w:shd w:val="clear" w:color="auto" w:fill="FFFFFF"/>
            <w:tcMar>
              <w:top w:w="110" w:type="dxa"/>
            </w:tcMar>
          </w:tcPr>
          <w:p w:rsidR="00D516DE" w:rsidRPr="002B3C0C" w:rsidRDefault="00D516DE" w:rsidP="00B544DD">
            <w:pPr>
              <w:jc w:val="both"/>
              <w:rPr>
                <w:rFonts w:asciiTheme="minorEastAsia" w:hAnsiTheme="minorEastAsia"/>
                <w:sz w:val="16"/>
                <w:szCs w:val="16"/>
                <w:lang w:bidi="th-TH"/>
              </w:rPr>
            </w:pPr>
            <w:r w:rsidRPr="002B3C0C">
              <w:rPr>
                <w:rFonts w:asciiTheme="minorEastAsia" w:hAnsiTheme="minorEastAsia" w:hint="eastAsia"/>
                <w:sz w:val="16"/>
                <w:szCs w:val="16"/>
                <w:lang w:bidi="th-TH"/>
              </w:rPr>
              <w:t>2012年根据第6条之三处理了70项通知请求</w:t>
            </w:r>
          </w:p>
        </w:tc>
        <w:tc>
          <w:tcPr>
            <w:tcW w:w="1144" w:type="pct"/>
            <w:shd w:val="clear" w:color="auto" w:fill="auto"/>
            <w:tcMar>
              <w:top w:w="110" w:type="dxa"/>
            </w:tcMar>
          </w:tcPr>
          <w:p w:rsidR="00D516DE" w:rsidRPr="002B3C0C" w:rsidRDefault="00D516DE" w:rsidP="00B544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根据第6条之三处理</w:t>
            </w:r>
            <w:r w:rsidRPr="002B3C0C">
              <w:rPr>
                <w:rFonts w:asciiTheme="minorEastAsia" w:hAnsiTheme="minorEastAsia"/>
                <w:bCs/>
                <w:sz w:val="16"/>
                <w:szCs w:val="16"/>
              </w:rPr>
              <w:t>140</w:t>
            </w:r>
            <w:r w:rsidRPr="002B3C0C">
              <w:rPr>
                <w:rFonts w:asciiTheme="minorEastAsia" w:hAnsiTheme="minorEastAsia" w:hint="eastAsia"/>
                <w:bCs/>
                <w:sz w:val="16"/>
                <w:szCs w:val="16"/>
              </w:rPr>
              <w:t>项通知请求</w:t>
            </w:r>
          </w:p>
        </w:tc>
      </w:tr>
      <w:tr w:rsidR="00D516DE" w:rsidRPr="002B3C0C" w:rsidTr="00B544DD">
        <w:trPr>
          <w:cantSplit/>
          <w:trHeight w:val="567"/>
        </w:trPr>
        <w:tc>
          <w:tcPr>
            <w:tcW w:w="1248" w:type="pct"/>
            <w:shd w:val="clear" w:color="auto" w:fill="auto"/>
          </w:tcPr>
          <w:p w:rsidR="00D516DE" w:rsidRPr="002B3C0C" w:rsidRDefault="00D516DE" w:rsidP="00B544DD">
            <w:pPr>
              <w:jc w:val="both"/>
              <w:rPr>
                <w:rFonts w:asciiTheme="minorEastAsia" w:hAnsiTheme="minorEastAsia"/>
                <w:sz w:val="16"/>
                <w:szCs w:val="16"/>
              </w:rPr>
            </w:pPr>
          </w:p>
        </w:tc>
        <w:tc>
          <w:tcPr>
            <w:tcW w:w="1514" w:type="pct"/>
            <w:shd w:val="clear" w:color="auto" w:fill="auto"/>
            <w:tcMar>
              <w:top w:w="110"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在第6条之三数据库中公开的标志数目</w:t>
            </w:r>
          </w:p>
        </w:tc>
        <w:tc>
          <w:tcPr>
            <w:tcW w:w="1094" w:type="pct"/>
            <w:shd w:val="clear" w:color="auto" w:fill="FFFFFF"/>
            <w:tcMar>
              <w:top w:w="110" w:type="dxa"/>
            </w:tcMar>
          </w:tcPr>
          <w:p w:rsidR="00D516DE" w:rsidRPr="002B3C0C" w:rsidRDefault="00D516DE" w:rsidP="00B544DD">
            <w:pPr>
              <w:jc w:val="both"/>
              <w:rPr>
                <w:rFonts w:asciiTheme="minorEastAsia" w:hAnsiTheme="minorEastAsia"/>
                <w:sz w:val="16"/>
                <w:szCs w:val="16"/>
                <w:lang w:bidi="th-TH"/>
              </w:rPr>
            </w:pPr>
            <w:r w:rsidRPr="002B3C0C">
              <w:rPr>
                <w:rFonts w:asciiTheme="minorEastAsia" w:hAnsiTheme="minorEastAsia" w:hint="eastAsia"/>
                <w:sz w:val="16"/>
                <w:szCs w:val="16"/>
                <w:lang w:bidi="th-TH"/>
              </w:rPr>
              <w:t>2012年在第6条之三数据库中公开了</w:t>
            </w:r>
            <w:r w:rsidRPr="002B3C0C">
              <w:rPr>
                <w:rFonts w:asciiTheme="minorEastAsia" w:hAnsiTheme="minorEastAsia"/>
                <w:sz w:val="16"/>
                <w:szCs w:val="16"/>
                <w:lang w:bidi="th-TH"/>
              </w:rPr>
              <w:t>75</w:t>
            </w:r>
            <w:r w:rsidRPr="002B3C0C">
              <w:rPr>
                <w:rFonts w:asciiTheme="minorEastAsia" w:hAnsiTheme="minorEastAsia" w:hint="eastAsia"/>
                <w:sz w:val="16"/>
                <w:szCs w:val="16"/>
                <w:lang w:bidi="th-TH"/>
              </w:rPr>
              <w:t>种符号</w:t>
            </w:r>
          </w:p>
        </w:tc>
        <w:tc>
          <w:tcPr>
            <w:tcW w:w="1144" w:type="pct"/>
            <w:shd w:val="clear" w:color="auto" w:fill="auto"/>
            <w:tcMar>
              <w:top w:w="110" w:type="dxa"/>
            </w:tcMar>
          </w:tcPr>
          <w:p w:rsidR="00D516DE" w:rsidRPr="002B3C0C" w:rsidRDefault="00D516DE" w:rsidP="00B544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在第6条之三数据库中公开150种符号</w:t>
            </w:r>
          </w:p>
        </w:tc>
      </w:tr>
    </w:tbl>
    <w:p w:rsidR="00D516DE" w:rsidRDefault="00D516DE" w:rsidP="00D516DE">
      <w:pPr>
        <w:rPr>
          <w:rFonts w:ascii="SimHei" w:eastAsia="SimHei" w:hAnsi="SimHei"/>
          <w:szCs w:val="21"/>
        </w:rPr>
      </w:pPr>
    </w:p>
    <w:p w:rsidR="00B04281" w:rsidRPr="002B3C0C" w:rsidRDefault="00B04281" w:rsidP="00D516DE">
      <w:pPr>
        <w:rPr>
          <w:rFonts w:ascii="SimHei" w:eastAsia="SimHei" w:hAnsi="SimHei"/>
          <w:szCs w:val="21"/>
        </w:rPr>
      </w:pPr>
    </w:p>
    <w:p w:rsidR="00D516DE" w:rsidRPr="002B3C0C" w:rsidRDefault="00D516DE" w:rsidP="00D516DE">
      <w:pPr>
        <w:spacing w:after="120" w:line="340" w:lineRule="atLeast"/>
        <w:ind w:left="5534"/>
        <w:rPr>
          <w:rFonts w:ascii="KaiTi" w:eastAsia="KaiTi" w:hAnsi="KaiTi" w:cs="Times New Roman"/>
          <w:sz w:val="21"/>
          <w:szCs w:val="21"/>
        </w:rPr>
      </w:pPr>
      <w:r w:rsidRPr="002B3C0C">
        <w:rPr>
          <w:rFonts w:ascii="KaiTi" w:eastAsia="KaiTi" w:hAnsi="KaiTi" w:cs="Times New Roman" w:hint="eastAsia"/>
          <w:sz w:val="21"/>
          <w:szCs w:val="21"/>
        </w:rPr>
        <w:t>[后接附件二]</w:t>
      </w:r>
    </w:p>
    <w:p w:rsidR="00D516DE" w:rsidRPr="002B3C0C" w:rsidRDefault="00D516DE" w:rsidP="00D516DE">
      <w:pPr>
        <w:rPr>
          <w:rFonts w:ascii="SimHei" w:eastAsia="SimHei" w:hAnsi="SimHei"/>
          <w:szCs w:val="21"/>
        </w:rPr>
      </w:pPr>
    </w:p>
    <w:p w:rsidR="00D516DE" w:rsidRPr="002B3C0C" w:rsidRDefault="00D516DE" w:rsidP="00D516DE">
      <w:pPr>
        <w:rPr>
          <w:rFonts w:ascii="SimHei" w:eastAsia="SimHei" w:hAnsi="SimHei"/>
          <w:szCs w:val="21"/>
        </w:rPr>
        <w:sectPr w:rsidR="00D516DE" w:rsidRPr="002B3C0C" w:rsidSect="00EB0336">
          <w:headerReference w:type="first" r:id="rId11"/>
          <w:endnotePr>
            <w:numFmt w:val="decimal"/>
          </w:endnotePr>
          <w:pgSz w:w="11907" w:h="16840" w:code="9"/>
          <w:pgMar w:top="567" w:right="1134" w:bottom="1418" w:left="1418" w:header="510" w:footer="1021" w:gutter="0"/>
          <w:pgNumType w:start="2"/>
          <w:cols w:space="720"/>
          <w:titlePg/>
          <w:docGrid w:linePitch="299"/>
        </w:sectPr>
      </w:pPr>
    </w:p>
    <w:p w:rsidR="00D516DE" w:rsidRPr="00500B4B" w:rsidRDefault="00D516DE" w:rsidP="00D516DE">
      <w:pPr>
        <w:spacing w:after="200" w:line="276" w:lineRule="auto"/>
        <w:jc w:val="center"/>
        <w:rPr>
          <w:rFonts w:ascii="SimHei" w:eastAsia="SimHei" w:hAnsi="SimHei"/>
          <w:bCs/>
          <w:iCs/>
          <w:sz w:val="21"/>
          <w:szCs w:val="22"/>
        </w:rPr>
      </w:pPr>
      <w:r w:rsidRPr="00500B4B">
        <w:rPr>
          <w:rFonts w:ascii="SimHei" w:eastAsia="SimHei" w:hAnsi="SimHei" w:hint="eastAsia"/>
          <w:bCs/>
          <w:iCs/>
          <w:sz w:val="21"/>
          <w:szCs w:val="22"/>
        </w:rPr>
        <w:lastRenderedPageBreak/>
        <w:t>附件二</w:t>
      </w:r>
    </w:p>
    <w:p w:rsidR="00D516DE" w:rsidRPr="002B3C0C" w:rsidRDefault="00D516DE" w:rsidP="00D516DE">
      <w:pPr>
        <w:keepNext/>
        <w:keepLines/>
        <w:widowControl w:val="0"/>
        <w:spacing w:afterLines="150" w:after="360" w:line="340" w:lineRule="atLeast"/>
        <w:jc w:val="both"/>
        <w:outlineLvl w:val="2"/>
        <w:rPr>
          <w:rFonts w:ascii="SimHei" w:eastAsia="SimHei" w:hAnsi="SimHei" w:cstheme="minorBidi"/>
          <w:b/>
          <w:kern w:val="2"/>
          <w:sz w:val="24"/>
          <w:szCs w:val="24"/>
        </w:rPr>
      </w:pPr>
      <w:bookmarkStart w:id="7" w:name="_Toc356567750"/>
      <w:bookmarkStart w:id="8" w:name="_Toc363741760"/>
      <w:r w:rsidRPr="002B3C0C">
        <w:rPr>
          <w:rFonts w:ascii="SimHei" w:eastAsia="SimHei" w:hAnsi="SimHei" w:cstheme="minorBidi" w:hint="eastAsia"/>
          <w:kern w:val="2"/>
          <w:sz w:val="24"/>
          <w:szCs w:val="24"/>
        </w:rPr>
        <w:t>计划</w:t>
      </w:r>
      <w:r w:rsidRPr="002B3C0C">
        <w:rPr>
          <w:rFonts w:ascii="SimHei" w:eastAsia="SimHei" w:hAnsi="SimHei" w:cstheme="minorBidi"/>
          <w:kern w:val="2"/>
          <w:sz w:val="24"/>
          <w:szCs w:val="24"/>
        </w:rPr>
        <w:t>4</w:t>
      </w:r>
      <w:r w:rsidRPr="002B3C0C">
        <w:rPr>
          <w:rFonts w:ascii="SimHei" w:eastAsia="SimHei" w:hAnsi="SimHei" w:cstheme="minorBidi"/>
          <w:kern w:val="2"/>
          <w:sz w:val="24"/>
          <w:szCs w:val="24"/>
        </w:rPr>
        <w:tab/>
      </w:r>
      <w:bookmarkEnd w:id="7"/>
      <w:r w:rsidRPr="002B3C0C">
        <w:rPr>
          <w:rFonts w:ascii="SimHei" w:eastAsia="SimHei" w:hAnsi="SimHei" w:cstheme="minorBidi" w:hint="eastAsia"/>
          <w:kern w:val="2"/>
          <w:sz w:val="24"/>
          <w:szCs w:val="24"/>
        </w:rPr>
        <w:t>传统知识、传统文化表现形式和遗传资源</w:t>
      </w:r>
      <w:bookmarkEnd w:id="8"/>
    </w:p>
    <w:p w:rsidR="00D516DE" w:rsidRPr="002B3C0C" w:rsidRDefault="00D516DE" w:rsidP="00D516DE">
      <w:pPr>
        <w:adjustRightInd w:val="0"/>
        <w:spacing w:beforeLines="100" w:before="240" w:afterLines="100" w:after="240" w:line="340" w:lineRule="atLeast"/>
        <w:rPr>
          <w:rFonts w:ascii="SimHei" w:eastAsia="SimHei" w:hAnsi="SimHei"/>
          <w:szCs w:val="21"/>
        </w:rPr>
      </w:pPr>
      <w:r w:rsidRPr="002B3C0C">
        <w:rPr>
          <w:rFonts w:ascii="SimHei" w:eastAsia="SimHei" w:hAnsi="SimHei" w:hint="eastAsia"/>
          <w:szCs w:val="21"/>
        </w:rPr>
        <w:t>成果框架</w:t>
      </w:r>
    </w:p>
    <w:tbl>
      <w:tblPr>
        <w:tblW w:w="485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9"/>
        <w:gridCol w:w="2847"/>
        <w:gridCol w:w="2056"/>
        <w:gridCol w:w="2041"/>
      </w:tblGrid>
      <w:tr w:rsidR="00D516DE" w:rsidRPr="002B3C0C" w:rsidTr="00B544DD">
        <w:trPr>
          <w:cantSplit/>
          <w:trHeight w:val="397"/>
        </w:trPr>
        <w:tc>
          <w:tcPr>
            <w:tcW w:w="1264" w:type="pct"/>
            <w:tcBorders>
              <w:top w:val="single" w:sz="4" w:space="0" w:color="auto"/>
              <w:left w:val="single" w:sz="4" w:space="0" w:color="auto"/>
              <w:bottom w:val="single" w:sz="4" w:space="0" w:color="auto"/>
            </w:tcBorders>
            <w:shd w:val="clear" w:color="auto" w:fill="CCFFFF"/>
            <w:vAlign w:val="center"/>
          </w:tcPr>
          <w:p w:rsidR="00D516DE" w:rsidRPr="002B3C0C" w:rsidRDefault="00D516DE" w:rsidP="00B544DD">
            <w:pPr>
              <w:keepNext/>
              <w:keepLines/>
              <w:jc w:val="center"/>
              <w:rPr>
                <w:rFonts w:ascii="SimHei" w:eastAsia="SimHei" w:hAnsi="SimHei"/>
                <w:bCs/>
                <w:sz w:val="18"/>
                <w:szCs w:val="18"/>
              </w:rPr>
            </w:pPr>
            <w:r w:rsidRPr="002B3C0C">
              <w:rPr>
                <w:rFonts w:ascii="SimHei" w:eastAsia="SimHei" w:hAnsi="SimHei" w:hint="eastAsia"/>
                <w:bCs/>
                <w:sz w:val="18"/>
                <w:szCs w:val="18"/>
              </w:rPr>
              <w:t>预期成果</w:t>
            </w:r>
          </w:p>
        </w:tc>
        <w:tc>
          <w:tcPr>
            <w:tcW w:w="1532" w:type="pct"/>
            <w:tcBorders>
              <w:top w:val="single" w:sz="4" w:space="0" w:color="auto"/>
              <w:bottom w:val="single" w:sz="4" w:space="0" w:color="auto"/>
            </w:tcBorders>
            <w:shd w:val="clear" w:color="auto" w:fill="CCFFFF"/>
            <w:tcMar>
              <w:top w:w="110" w:type="dxa"/>
            </w:tcMar>
            <w:vAlign w:val="center"/>
          </w:tcPr>
          <w:p w:rsidR="00D516DE" w:rsidRPr="002B3C0C" w:rsidRDefault="00D516DE" w:rsidP="00B544DD">
            <w:pPr>
              <w:keepNext/>
              <w:keepLines/>
              <w:jc w:val="center"/>
              <w:rPr>
                <w:rFonts w:ascii="SimHei" w:eastAsia="SimHei" w:hAnsi="SimHei"/>
                <w:sz w:val="18"/>
                <w:szCs w:val="18"/>
              </w:rPr>
            </w:pPr>
            <w:r w:rsidRPr="002B3C0C">
              <w:rPr>
                <w:rFonts w:ascii="SimHei" w:eastAsia="SimHei" w:hAnsi="SimHei" w:hint="eastAsia"/>
                <w:sz w:val="18"/>
                <w:szCs w:val="18"/>
              </w:rPr>
              <w:t>效绩指标</w:t>
            </w:r>
          </w:p>
        </w:tc>
        <w:tc>
          <w:tcPr>
            <w:tcW w:w="1106" w:type="pct"/>
            <w:tcBorders>
              <w:top w:val="single" w:sz="4" w:space="0" w:color="auto"/>
              <w:bottom w:val="single" w:sz="4" w:space="0" w:color="auto"/>
            </w:tcBorders>
            <w:shd w:val="clear" w:color="auto" w:fill="CCFFFF"/>
            <w:tcMar>
              <w:top w:w="110" w:type="dxa"/>
            </w:tcMar>
            <w:vAlign w:val="center"/>
          </w:tcPr>
          <w:p w:rsidR="00D516DE" w:rsidRPr="002B3C0C" w:rsidRDefault="00D516DE" w:rsidP="00B544DD">
            <w:pPr>
              <w:keepNext/>
              <w:keepLines/>
              <w:jc w:val="center"/>
              <w:rPr>
                <w:rFonts w:ascii="SimHei" w:eastAsia="SimHei" w:hAnsi="SimHei"/>
                <w:sz w:val="18"/>
                <w:szCs w:val="18"/>
              </w:rPr>
            </w:pPr>
            <w:r w:rsidRPr="002B3C0C">
              <w:rPr>
                <w:rFonts w:ascii="SimHei" w:eastAsia="SimHei" w:hAnsi="SimHei" w:hint="eastAsia"/>
                <w:bCs/>
                <w:sz w:val="18"/>
                <w:szCs w:val="18"/>
              </w:rPr>
              <w:t>基准</w:t>
            </w:r>
          </w:p>
        </w:tc>
        <w:tc>
          <w:tcPr>
            <w:tcW w:w="1098" w:type="pct"/>
            <w:tcBorders>
              <w:top w:val="single" w:sz="4" w:space="0" w:color="auto"/>
              <w:bottom w:val="single" w:sz="4" w:space="0" w:color="auto"/>
              <w:right w:val="single" w:sz="4" w:space="0" w:color="auto"/>
            </w:tcBorders>
            <w:shd w:val="clear" w:color="auto" w:fill="CCFFFF"/>
            <w:tcMar>
              <w:top w:w="110" w:type="dxa"/>
            </w:tcMar>
            <w:vAlign w:val="center"/>
          </w:tcPr>
          <w:p w:rsidR="00D516DE" w:rsidRPr="002B3C0C" w:rsidRDefault="00D516DE" w:rsidP="00B544DD">
            <w:pPr>
              <w:keepNext/>
              <w:keepLines/>
              <w:tabs>
                <w:tab w:val="left" w:pos="1433"/>
              </w:tabs>
              <w:jc w:val="center"/>
              <w:rPr>
                <w:rFonts w:ascii="SimHei" w:eastAsia="SimHei" w:hAnsi="SimHei"/>
                <w:bCs/>
                <w:sz w:val="18"/>
                <w:szCs w:val="18"/>
              </w:rPr>
            </w:pPr>
            <w:r w:rsidRPr="002B3C0C">
              <w:rPr>
                <w:rFonts w:ascii="SimHei" w:eastAsia="SimHei" w:hAnsi="SimHei" w:hint="eastAsia"/>
                <w:bCs/>
                <w:sz w:val="18"/>
                <w:szCs w:val="18"/>
              </w:rPr>
              <w:t>目标</w:t>
            </w:r>
          </w:p>
        </w:tc>
      </w:tr>
      <w:tr w:rsidR="00D516DE" w:rsidRPr="002B3C0C" w:rsidTr="00B544DD">
        <w:trPr>
          <w:cantSplit/>
        </w:trPr>
        <w:tc>
          <w:tcPr>
            <w:tcW w:w="1264" w:type="pct"/>
            <w:tcBorders>
              <w:top w:val="single" w:sz="4" w:space="0" w:color="auto"/>
            </w:tcBorders>
            <w:shd w:val="clear" w:color="auto" w:fill="auto"/>
            <w:tcMar>
              <w:top w:w="113" w:type="dxa"/>
              <w:bottom w:w="85" w:type="dxa"/>
            </w:tcMar>
          </w:tcPr>
          <w:p w:rsidR="00D516DE" w:rsidRPr="002B3C0C" w:rsidRDefault="00D516DE" w:rsidP="00B544DD">
            <w:pPr>
              <w:keepNext/>
              <w:keepLines/>
              <w:jc w:val="both"/>
              <w:rPr>
                <w:rFonts w:asciiTheme="minorEastAsia" w:hAnsiTheme="minorEastAsia"/>
                <w:sz w:val="16"/>
                <w:szCs w:val="16"/>
              </w:rPr>
            </w:pPr>
            <w:r w:rsidRPr="002B3C0C">
              <w:rPr>
                <w:rFonts w:asciiTheme="minorEastAsia" w:hAnsiTheme="minorEastAsia" w:hint="eastAsia"/>
                <w:sz w:val="16"/>
                <w:szCs w:val="16"/>
              </w:rPr>
              <w:t>一</w:t>
            </w:r>
            <w:r w:rsidRPr="002B3C0C">
              <w:rPr>
                <w:rFonts w:asciiTheme="minorEastAsia" w:hAnsiTheme="minorEastAsia"/>
                <w:sz w:val="16"/>
                <w:szCs w:val="16"/>
              </w:rPr>
              <w:t>.1</w:t>
            </w:r>
            <w:r w:rsidRPr="002B3C0C">
              <w:rPr>
                <w:rFonts w:asciiTheme="minorEastAsia" w:hAnsiTheme="minorEastAsia" w:hint="eastAsia"/>
                <w:sz w:val="16"/>
                <w:szCs w:val="16"/>
              </w:rPr>
              <w:t xml:space="preserve"> 成员国在发展兼顾各方利益的国际知识产权规范性框架方面的合作得到加强，就议定国际文书所依据的具体议题达成一致意见</w:t>
            </w:r>
          </w:p>
        </w:tc>
        <w:tc>
          <w:tcPr>
            <w:tcW w:w="1532" w:type="pct"/>
            <w:tcBorders>
              <w:top w:val="single" w:sz="4" w:space="0" w:color="auto"/>
            </w:tcBorders>
            <w:shd w:val="clear" w:color="auto" w:fill="auto"/>
            <w:tcMar>
              <w:top w:w="113" w:type="dxa"/>
              <w:bottom w:w="85" w:type="dxa"/>
            </w:tcMar>
          </w:tcPr>
          <w:p w:rsidR="00D516DE" w:rsidRPr="002B3C0C" w:rsidRDefault="00D516DE" w:rsidP="00B544DD">
            <w:pPr>
              <w:keepNext/>
              <w:keepLines/>
              <w:jc w:val="both"/>
              <w:rPr>
                <w:rFonts w:asciiTheme="minorEastAsia" w:hAnsiTheme="minorEastAsia"/>
                <w:sz w:val="16"/>
                <w:szCs w:val="16"/>
              </w:rPr>
            </w:pPr>
            <w:r w:rsidRPr="002B3C0C">
              <w:rPr>
                <w:rFonts w:asciiTheme="minorEastAsia" w:hAnsiTheme="minorEastAsia" w:hint="eastAsia"/>
                <w:sz w:val="16"/>
                <w:szCs w:val="16"/>
              </w:rPr>
              <w:t>政府间委员会关于传统知识、传统文化表现形式和遗传资源国际法律文书的谈判达成一致意见</w:t>
            </w:r>
          </w:p>
        </w:tc>
        <w:tc>
          <w:tcPr>
            <w:tcW w:w="1106" w:type="pct"/>
            <w:tcBorders>
              <w:top w:val="single" w:sz="4" w:space="0" w:color="auto"/>
            </w:tcBorders>
            <w:shd w:val="clear" w:color="auto" w:fill="FFFFFF"/>
            <w:tcMar>
              <w:top w:w="113" w:type="dxa"/>
              <w:bottom w:w="85" w:type="dxa"/>
            </w:tcMar>
          </w:tcPr>
          <w:p w:rsidR="00D516DE" w:rsidRPr="002B3C0C" w:rsidRDefault="00D516DE" w:rsidP="00B544DD">
            <w:pPr>
              <w:keepNext/>
              <w:keepLines/>
              <w:jc w:val="both"/>
              <w:rPr>
                <w:rFonts w:asciiTheme="minorEastAsia" w:hAnsiTheme="minorEastAsia"/>
                <w:sz w:val="16"/>
                <w:szCs w:val="16"/>
              </w:rPr>
            </w:pPr>
            <w:r w:rsidRPr="002B3C0C">
              <w:rPr>
                <w:rFonts w:asciiTheme="minorEastAsia" w:hAnsiTheme="minorEastAsia" w:hint="eastAsia"/>
                <w:sz w:val="16"/>
                <w:szCs w:val="16"/>
                <w:lang w:bidi="th-TH"/>
              </w:rPr>
              <w:t>根据政府间委员会2012/2013两年期和2013年工作计划的任务目前正在进行的谈判</w:t>
            </w:r>
          </w:p>
        </w:tc>
        <w:tc>
          <w:tcPr>
            <w:tcW w:w="1098" w:type="pct"/>
            <w:tcBorders>
              <w:top w:val="single" w:sz="4" w:space="0" w:color="auto"/>
            </w:tcBorders>
            <w:shd w:val="clear" w:color="auto" w:fill="auto"/>
            <w:tcMar>
              <w:top w:w="113" w:type="dxa"/>
              <w:bottom w:w="85" w:type="dxa"/>
            </w:tcMar>
          </w:tcPr>
          <w:p w:rsidR="00D516DE" w:rsidRPr="002B3C0C" w:rsidRDefault="00D516DE" w:rsidP="00B544DD">
            <w:pPr>
              <w:keepNext/>
              <w:keepLines/>
              <w:jc w:val="both"/>
              <w:rPr>
                <w:rFonts w:asciiTheme="minorEastAsia" w:hAnsiTheme="minorEastAsia"/>
                <w:bCs/>
                <w:sz w:val="16"/>
                <w:szCs w:val="16"/>
              </w:rPr>
            </w:pPr>
            <w:r w:rsidRPr="00D516DE">
              <w:rPr>
                <w:rFonts w:asciiTheme="minorEastAsia" w:hAnsiTheme="minorEastAsia" w:hint="eastAsia"/>
                <w:bCs/>
                <w:sz w:val="16"/>
                <w:szCs w:val="16"/>
              </w:rPr>
              <w:t>可能举行的</w:t>
            </w:r>
            <w:r w:rsidRPr="002B3C0C">
              <w:rPr>
                <w:rFonts w:asciiTheme="minorEastAsia" w:hAnsiTheme="minorEastAsia" w:hint="eastAsia"/>
                <w:bCs/>
                <w:sz w:val="16"/>
                <w:szCs w:val="16"/>
              </w:rPr>
              <w:t>外交会议通过一项(数项)国际法律文书</w:t>
            </w:r>
          </w:p>
        </w:tc>
      </w:tr>
      <w:tr w:rsidR="00D516DE" w:rsidRPr="002B3C0C" w:rsidTr="00B544DD">
        <w:trPr>
          <w:cantSplit/>
        </w:trPr>
        <w:tc>
          <w:tcPr>
            <w:tcW w:w="1264" w:type="pct"/>
            <w:shd w:val="clear" w:color="auto" w:fill="auto"/>
            <w:tcMar>
              <w:top w:w="113"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三</w:t>
            </w:r>
            <w:r w:rsidRPr="002B3C0C">
              <w:rPr>
                <w:rFonts w:asciiTheme="minorEastAsia" w:hAnsiTheme="minorEastAsia"/>
                <w:sz w:val="16"/>
                <w:szCs w:val="16"/>
              </w:rPr>
              <w:t xml:space="preserve">.2 </w:t>
            </w:r>
            <w:r w:rsidRPr="002B3C0C">
              <w:rPr>
                <w:rFonts w:asciiTheme="minorEastAsia" w:hAnsiTheme="minorEastAsia" w:hint="eastAsia"/>
                <w:sz w:val="16"/>
                <w:szCs w:val="16"/>
              </w:rPr>
              <w:t>发展中国家、最不发达国家、经济转型期国家的人力资源能力得到加强，可以胜任在有效运用知识产权促进发展方面的广泛要求</w:t>
            </w:r>
          </w:p>
        </w:tc>
        <w:tc>
          <w:tcPr>
            <w:tcW w:w="1532" w:type="pct"/>
            <w:shd w:val="clear" w:color="auto" w:fill="auto"/>
            <w:tcMar>
              <w:top w:w="113"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rPr>
              <w:t>报告其理解和使用保护传统知识、传统文化表现形式和遗传资源以及管理知识产权与遗传资源之间关系的知识产权准则、制度和工具的能力得到提高的WIPO相关活动参与者的百分比</w:t>
            </w:r>
          </w:p>
        </w:tc>
        <w:tc>
          <w:tcPr>
            <w:tcW w:w="1106" w:type="pct"/>
            <w:shd w:val="clear" w:color="auto" w:fill="FFFFFF"/>
            <w:tcMar>
              <w:top w:w="113" w:type="dxa"/>
              <w:bottom w:w="85" w:type="dxa"/>
            </w:tcMar>
          </w:tcPr>
          <w:p w:rsidR="00D516DE" w:rsidRPr="002B3C0C" w:rsidRDefault="00D516DE" w:rsidP="00B544DD">
            <w:pPr>
              <w:jc w:val="both"/>
              <w:rPr>
                <w:rFonts w:asciiTheme="minorEastAsia" w:hAnsiTheme="minorEastAsia"/>
                <w:sz w:val="16"/>
                <w:szCs w:val="16"/>
              </w:rPr>
            </w:pPr>
            <w:r w:rsidRPr="002B3C0C">
              <w:rPr>
                <w:rFonts w:asciiTheme="minorEastAsia" w:hAnsiTheme="minorEastAsia" w:hint="eastAsia"/>
                <w:sz w:val="16"/>
                <w:szCs w:val="16"/>
                <w:lang w:bidi="th-TH"/>
              </w:rPr>
              <w:t>尚无数据</w:t>
            </w:r>
          </w:p>
        </w:tc>
        <w:tc>
          <w:tcPr>
            <w:tcW w:w="1098" w:type="pct"/>
            <w:shd w:val="clear" w:color="auto" w:fill="auto"/>
            <w:tcMar>
              <w:top w:w="113" w:type="dxa"/>
              <w:bottom w:w="85" w:type="dxa"/>
            </w:tcMar>
          </w:tcPr>
          <w:p w:rsidR="00D516DE" w:rsidRPr="002B3C0C" w:rsidRDefault="00D516DE" w:rsidP="00B544DD">
            <w:pPr>
              <w:keepNext/>
              <w:keepLines/>
              <w:tabs>
                <w:tab w:val="left" w:pos="2051"/>
              </w:tabs>
              <w:jc w:val="both"/>
              <w:rPr>
                <w:rFonts w:asciiTheme="minorEastAsia" w:hAnsiTheme="minorEastAsia"/>
                <w:bCs/>
                <w:sz w:val="16"/>
                <w:szCs w:val="16"/>
              </w:rPr>
            </w:pPr>
            <w:r w:rsidRPr="002B3C0C">
              <w:rPr>
                <w:rFonts w:asciiTheme="minorEastAsia" w:hAnsiTheme="minorEastAsia"/>
                <w:bCs/>
                <w:sz w:val="16"/>
                <w:szCs w:val="16"/>
              </w:rPr>
              <w:t>80%</w:t>
            </w:r>
          </w:p>
        </w:tc>
      </w:tr>
    </w:tbl>
    <w:p w:rsidR="00D516DE" w:rsidRDefault="00D516DE" w:rsidP="00D516DE">
      <w:pPr>
        <w:rPr>
          <w:rFonts w:ascii="SimHei" w:eastAsia="SimHei" w:hAnsi="SimHei"/>
          <w:szCs w:val="21"/>
        </w:rPr>
      </w:pPr>
    </w:p>
    <w:p w:rsidR="00B04281" w:rsidRPr="002B3C0C" w:rsidRDefault="00B04281" w:rsidP="00D516DE">
      <w:pPr>
        <w:rPr>
          <w:rFonts w:ascii="SimHei" w:eastAsia="SimHei" w:hAnsi="SimHei"/>
          <w:szCs w:val="21"/>
        </w:rPr>
      </w:pPr>
    </w:p>
    <w:p w:rsidR="002928D3" w:rsidRPr="00316CD4" w:rsidRDefault="00D516DE" w:rsidP="00B04281">
      <w:pPr>
        <w:ind w:left="5534"/>
        <w:rPr>
          <w:rFonts w:ascii="KaiTi" w:eastAsia="KaiTi" w:hAnsi="KaiTi"/>
          <w:sz w:val="21"/>
          <w:szCs w:val="21"/>
        </w:rPr>
      </w:pPr>
      <w:r w:rsidRPr="002B3C0C">
        <w:rPr>
          <w:rFonts w:ascii="KaiTi" w:eastAsia="KaiTi" w:hAnsi="KaiTi" w:cs="Times New Roman" w:hint="eastAsia"/>
          <w:sz w:val="21"/>
          <w:szCs w:val="21"/>
        </w:rPr>
        <w:t>[附件</w:t>
      </w:r>
      <w:r w:rsidR="00B04281">
        <w:rPr>
          <w:rFonts w:ascii="KaiTi" w:eastAsia="KaiTi" w:hAnsi="KaiTi" w:cs="Times New Roman" w:hint="eastAsia"/>
          <w:sz w:val="21"/>
          <w:szCs w:val="21"/>
        </w:rPr>
        <w:t>和文件完</w:t>
      </w:r>
      <w:r w:rsidRPr="002B3C0C">
        <w:rPr>
          <w:rFonts w:ascii="KaiTi" w:eastAsia="KaiTi" w:hAnsi="KaiTi" w:cs="Times New Roman" w:hint="eastAsia"/>
          <w:sz w:val="21"/>
          <w:szCs w:val="21"/>
        </w:rPr>
        <w:t>]</w:t>
      </w:r>
    </w:p>
    <w:sectPr w:rsidR="002928D3" w:rsidRPr="00316CD4" w:rsidSect="001567E7">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B7" w:rsidRDefault="005C3EB7">
      <w:r>
        <w:separator/>
      </w:r>
    </w:p>
  </w:endnote>
  <w:endnote w:type="continuationSeparator" w:id="0">
    <w:p w:rsidR="005C3EB7" w:rsidRDefault="005C3EB7" w:rsidP="003B38C1">
      <w:r>
        <w:separator/>
      </w:r>
    </w:p>
    <w:p w:rsidR="005C3EB7" w:rsidRPr="003B38C1" w:rsidRDefault="005C3EB7" w:rsidP="003B38C1">
      <w:pPr>
        <w:spacing w:after="60"/>
        <w:rPr>
          <w:sz w:val="17"/>
        </w:rPr>
      </w:pPr>
      <w:r>
        <w:rPr>
          <w:sz w:val="17"/>
        </w:rPr>
        <w:t>[Endnote continued from previous page]</w:t>
      </w:r>
    </w:p>
  </w:endnote>
  <w:endnote w:type="continuationNotice" w:id="1">
    <w:p w:rsidR="005C3EB7" w:rsidRPr="003B38C1" w:rsidRDefault="005C3E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B7" w:rsidRDefault="005C3EB7">
      <w:r>
        <w:separator/>
      </w:r>
    </w:p>
  </w:footnote>
  <w:footnote w:type="continuationSeparator" w:id="0">
    <w:p w:rsidR="005C3EB7" w:rsidRDefault="005C3EB7" w:rsidP="008B60B2">
      <w:r>
        <w:separator/>
      </w:r>
    </w:p>
    <w:p w:rsidR="005C3EB7" w:rsidRPr="00ED77FB" w:rsidRDefault="005C3EB7" w:rsidP="008B60B2">
      <w:pPr>
        <w:spacing w:after="60"/>
        <w:rPr>
          <w:sz w:val="17"/>
          <w:szCs w:val="17"/>
        </w:rPr>
      </w:pPr>
      <w:r w:rsidRPr="00ED77FB">
        <w:rPr>
          <w:sz w:val="17"/>
          <w:szCs w:val="17"/>
        </w:rPr>
        <w:t>[Footnote continued from previous page]</w:t>
      </w:r>
    </w:p>
  </w:footnote>
  <w:footnote w:type="continuationNotice" w:id="1">
    <w:p w:rsidR="005C3EB7" w:rsidRPr="00ED77FB" w:rsidRDefault="005C3E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7" w:rsidRPr="00AD5D53" w:rsidRDefault="005C3EB7" w:rsidP="00477D6B">
    <w:pPr>
      <w:jc w:val="right"/>
      <w:rPr>
        <w:rFonts w:ascii="SimSun" w:hAnsi="SimSun"/>
        <w:sz w:val="21"/>
      </w:rPr>
    </w:pPr>
    <w:bookmarkStart w:id="5" w:name="Code2"/>
    <w:bookmarkEnd w:id="5"/>
    <w:r w:rsidRPr="00AD5D53">
      <w:rPr>
        <w:rFonts w:ascii="SimSun" w:hAnsi="SimSun"/>
        <w:sz w:val="21"/>
      </w:rPr>
      <w:t>A/5</w:t>
    </w:r>
    <w:r w:rsidR="00830EDB">
      <w:rPr>
        <w:rFonts w:ascii="SimSun" w:hAnsi="SimSun" w:hint="eastAsia"/>
        <w:sz w:val="21"/>
      </w:rPr>
      <w:t>2</w:t>
    </w:r>
    <w:r w:rsidRPr="00AD5D53">
      <w:rPr>
        <w:rFonts w:ascii="SimSun" w:hAnsi="SimSun"/>
        <w:sz w:val="21"/>
      </w:rPr>
      <w:t>/</w:t>
    </w:r>
    <w:r w:rsidR="000F5990">
      <w:rPr>
        <w:rFonts w:ascii="SimSun" w:hAnsi="SimSun" w:hint="eastAsia"/>
        <w:sz w:val="21"/>
      </w:rPr>
      <w:t>6</w:t>
    </w:r>
    <w:r w:rsidRPr="00AD5D53">
      <w:rPr>
        <w:rFonts w:ascii="SimSun" w:hAnsi="SimSun"/>
        <w:sz w:val="21"/>
      </w:rPr>
      <w:t xml:space="preserve"> Prov.1</w:t>
    </w:r>
  </w:p>
  <w:p w:rsidR="005C3EB7" w:rsidRPr="00AD5D53" w:rsidRDefault="00AD5D53" w:rsidP="00477D6B">
    <w:pPr>
      <w:jc w:val="right"/>
      <w:rPr>
        <w:rFonts w:ascii="SimSun" w:hAnsi="SimSun"/>
        <w:sz w:val="21"/>
      </w:rPr>
    </w:pPr>
    <w:r>
      <w:rPr>
        <w:rFonts w:ascii="SimSun" w:hAnsi="SimSun" w:hint="eastAsia"/>
        <w:sz w:val="21"/>
      </w:rPr>
      <w:t>第</w:t>
    </w:r>
    <w:r w:rsidR="005C3EB7" w:rsidRPr="00AD5D53">
      <w:rPr>
        <w:rFonts w:ascii="SimSun" w:hAnsi="SimSun"/>
        <w:sz w:val="21"/>
      </w:rPr>
      <w:fldChar w:fldCharType="begin"/>
    </w:r>
    <w:r w:rsidR="005C3EB7" w:rsidRPr="00AD5D53">
      <w:rPr>
        <w:rFonts w:ascii="SimSun" w:hAnsi="SimSun"/>
        <w:sz w:val="21"/>
      </w:rPr>
      <w:instrText xml:space="preserve"> PAGE  \* MERGEFORMAT </w:instrText>
    </w:r>
    <w:r w:rsidR="005C3EB7" w:rsidRPr="00AD5D53">
      <w:rPr>
        <w:rFonts w:ascii="SimSun" w:hAnsi="SimSun"/>
        <w:sz w:val="21"/>
      </w:rPr>
      <w:fldChar w:fldCharType="separate"/>
    </w:r>
    <w:r w:rsidR="00034161">
      <w:rPr>
        <w:rFonts w:ascii="SimSun" w:hAnsi="SimSun"/>
        <w:noProof/>
        <w:sz w:val="21"/>
      </w:rPr>
      <w:t>2</w:t>
    </w:r>
    <w:r w:rsidR="005C3EB7" w:rsidRPr="00AD5D53">
      <w:rPr>
        <w:rFonts w:ascii="SimSun" w:hAnsi="SimSun"/>
        <w:sz w:val="21"/>
      </w:rPr>
      <w:fldChar w:fldCharType="end"/>
    </w:r>
    <w:r>
      <w:rPr>
        <w:rFonts w:ascii="SimSun" w:hAnsi="SimSun" w:hint="eastAsia"/>
        <w:sz w:val="21"/>
      </w:rPr>
      <w:t>页</w:t>
    </w:r>
  </w:p>
  <w:p w:rsidR="005C3EB7" w:rsidRDefault="005C3EB7" w:rsidP="00477D6B">
    <w:pPr>
      <w:jc w:val="right"/>
      <w:rPr>
        <w:rFonts w:ascii="SimSun" w:hAnsi="SimSun"/>
        <w:sz w:val="21"/>
      </w:rPr>
    </w:pPr>
  </w:p>
  <w:p w:rsidR="00AD5D53" w:rsidRPr="00AD5D53" w:rsidRDefault="00AD5D53"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6DE" w:rsidRPr="00500B4B" w:rsidRDefault="00D516DE" w:rsidP="002B3C0C">
    <w:pPr>
      <w:pStyle w:val="Header"/>
      <w:tabs>
        <w:tab w:val="clear" w:pos="4536"/>
      </w:tabs>
      <w:jc w:val="right"/>
      <w:rPr>
        <w:rFonts w:ascii="SimSun" w:hAnsi="SimSun"/>
        <w:sz w:val="21"/>
        <w:szCs w:val="21"/>
      </w:rPr>
    </w:pPr>
    <w:r w:rsidRPr="00500B4B">
      <w:rPr>
        <w:rFonts w:ascii="SimSun" w:hAnsi="SimSun" w:hint="eastAsia"/>
        <w:sz w:val="21"/>
        <w:szCs w:val="21"/>
      </w:rPr>
      <w:t>A/5</w:t>
    </w:r>
    <w:r w:rsidR="00B04281">
      <w:rPr>
        <w:rFonts w:ascii="SimSun" w:hAnsi="SimSun" w:hint="eastAsia"/>
        <w:sz w:val="21"/>
        <w:szCs w:val="21"/>
      </w:rPr>
      <w:t>2</w:t>
    </w:r>
    <w:r w:rsidRPr="00500B4B">
      <w:rPr>
        <w:rFonts w:ascii="SimSun" w:hAnsi="SimSun" w:hint="eastAsia"/>
        <w:sz w:val="21"/>
        <w:szCs w:val="21"/>
      </w:rPr>
      <w:t>/</w:t>
    </w:r>
    <w:r w:rsidR="00B04281">
      <w:rPr>
        <w:rFonts w:ascii="SimSun" w:hAnsi="SimSun" w:hint="eastAsia"/>
        <w:sz w:val="21"/>
        <w:szCs w:val="21"/>
      </w:rPr>
      <w:t>4</w:t>
    </w:r>
  </w:p>
  <w:p w:rsidR="00D516DE" w:rsidRPr="00500B4B" w:rsidRDefault="00D516DE" w:rsidP="00E96501">
    <w:pPr>
      <w:pStyle w:val="Header"/>
      <w:jc w:val="right"/>
      <w:rPr>
        <w:rFonts w:ascii="SimSun" w:hAnsi="SimSun"/>
        <w:sz w:val="21"/>
        <w:szCs w:val="21"/>
      </w:rPr>
    </w:pPr>
    <w:r>
      <w:rPr>
        <w:rFonts w:ascii="SimSun" w:hAnsi="SimSun" w:hint="eastAsia"/>
        <w:sz w:val="21"/>
        <w:szCs w:val="21"/>
      </w:rPr>
      <w:t>附件</w:t>
    </w:r>
    <w:r w:rsidR="00B04281">
      <w:rPr>
        <w:rFonts w:ascii="SimSun" w:hAnsi="SimSun" w:hint="eastAsia"/>
        <w:sz w:val="21"/>
        <w:szCs w:val="21"/>
      </w:rPr>
      <w:t>一</w:t>
    </w:r>
  </w:p>
  <w:p w:rsidR="00D516DE" w:rsidRPr="00500B4B" w:rsidRDefault="00D516DE" w:rsidP="002B3C0C">
    <w:pPr>
      <w:pStyle w:val="Header"/>
      <w:jc w:val="right"/>
      <w:rPr>
        <w:rFonts w:ascii="SimSun" w:hAnsi="SimSun"/>
        <w:sz w:val="21"/>
        <w:szCs w:val="21"/>
      </w:rPr>
    </w:pPr>
  </w:p>
  <w:p w:rsidR="00D516DE" w:rsidRPr="00500B4B" w:rsidRDefault="00D516DE" w:rsidP="002B3C0C">
    <w:pPr>
      <w:pStyle w:val="Heade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81" w:rsidRPr="00500B4B" w:rsidRDefault="00B04281" w:rsidP="002B3C0C">
    <w:pPr>
      <w:pStyle w:val="Header"/>
      <w:tabs>
        <w:tab w:val="clear" w:pos="4536"/>
      </w:tabs>
      <w:jc w:val="right"/>
      <w:rPr>
        <w:rFonts w:ascii="SimSun" w:hAnsi="SimSun"/>
        <w:sz w:val="21"/>
        <w:szCs w:val="21"/>
      </w:rPr>
    </w:pPr>
    <w:r w:rsidRPr="00500B4B">
      <w:rPr>
        <w:rFonts w:ascii="SimSun" w:hAnsi="SimSun" w:hint="eastAsia"/>
        <w:sz w:val="21"/>
        <w:szCs w:val="21"/>
      </w:rPr>
      <w:t>A/5</w:t>
    </w:r>
    <w:r>
      <w:rPr>
        <w:rFonts w:ascii="SimSun" w:hAnsi="SimSun" w:hint="eastAsia"/>
        <w:sz w:val="21"/>
        <w:szCs w:val="21"/>
      </w:rPr>
      <w:t>2</w:t>
    </w:r>
    <w:r w:rsidRPr="00500B4B">
      <w:rPr>
        <w:rFonts w:ascii="SimSun" w:hAnsi="SimSun" w:hint="eastAsia"/>
        <w:sz w:val="21"/>
        <w:szCs w:val="21"/>
      </w:rPr>
      <w:t>/</w:t>
    </w:r>
    <w:r>
      <w:rPr>
        <w:rFonts w:ascii="SimSun" w:hAnsi="SimSun" w:hint="eastAsia"/>
        <w:sz w:val="21"/>
        <w:szCs w:val="21"/>
      </w:rPr>
      <w:t>4</w:t>
    </w:r>
  </w:p>
  <w:p w:rsidR="00B04281" w:rsidRPr="00500B4B" w:rsidRDefault="00B04281" w:rsidP="00E96501">
    <w:pPr>
      <w:pStyle w:val="Header"/>
      <w:jc w:val="right"/>
      <w:rPr>
        <w:rFonts w:ascii="SimSun" w:hAnsi="SimSun"/>
        <w:sz w:val="21"/>
        <w:szCs w:val="21"/>
      </w:rPr>
    </w:pPr>
    <w:r>
      <w:rPr>
        <w:rFonts w:ascii="SimSun" w:hAnsi="SimSun" w:hint="eastAsia"/>
        <w:sz w:val="21"/>
        <w:szCs w:val="21"/>
      </w:rPr>
      <w:t>附件二</w:t>
    </w:r>
  </w:p>
  <w:p w:rsidR="00B04281" w:rsidRPr="00500B4B" w:rsidRDefault="00B04281" w:rsidP="002B3C0C">
    <w:pPr>
      <w:pStyle w:val="Header"/>
      <w:jc w:val="right"/>
      <w:rPr>
        <w:rFonts w:ascii="SimSun" w:hAnsi="SimSun"/>
        <w:sz w:val="21"/>
        <w:szCs w:val="21"/>
      </w:rPr>
    </w:pPr>
  </w:p>
  <w:p w:rsidR="00B04281" w:rsidRPr="00500B4B" w:rsidRDefault="00B04281" w:rsidP="002B3C0C">
    <w:pPr>
      <w:pStyle w:val="Heade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600"/>
        </w:tabs>
        <w:ind w:left="0"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057C83"/>
    <w:multiLevelType w:val="hybridMultilevel"/>
    <w:tmpl w:val="F0662C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6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E7"/>
    <w:rsid w:val="000166E1"/>
    <w:rsid w:val="00034161"/>
    <w:rsid w:val="00043CAA"/>
    <w:rsid w:val="00060484"/>
    <w:rsid w:val="00062F49"/>
    <w:rsid w:val="00070BCE"/>
    <w:rsid w:val="00074C67"/>
    <w:rsid w:val="00075432"/>
    <w:rsid w:val="000854D3"/>
    <w:rsid w:val="000968ED"/>
    <w:rsid w:val="000B001D"/>
    <w:rsid w:val="000F5990"/>
    <w:rsid w:val="000F5E56"/>
    <w:rsid w:val="001053DB"/>
    <w:rsid w:val="001362EE"/>
    <w:rsid w:val="001567E7"/>
    <w:rsid w:val="00157BBD"/>
    <w:rsid w:val="001651E0"/>
    <w:rsid w:val="00170503"/>
    <w:rsid w:val="001832A6"/>
    <w:rsid w:val="001B397C"/>
    <w:rsid w:val="001E18E7"/>
    <w:rsid w:val="001F530E"/>
    <w:rsid w:val="00200F69"/>
    <w:rsid w:val="00234F9F"/>
    <w:rsid w:val="00242A09"/>
    <w:rsid w:val="00242BE2"/>
    <w:rsid w:val="00257214"/>
    <w:rsid w:val="00260241"/>
    <w:rsid w:val="002634C4"/>
    <w:rsid w:val="00272D70"/>
    <w:rsid w:val="00290980"/>
    <w:rsid w:val="002928D3"/>
    <w:rsid w:val="002A004B"/>
    <w:rsid w:val="002E1CAC"/>
    <w:rsid w:val="002F1FE6"/>
    <w:rsid w:val="002F4E68"/>
    <w:rsid w:val="003060B7"/>
    <w:rsid w:val="00312F7F"/>
    <w:rsid w:val="00316CD4"/>
    <w:rsid w:val="003228B7"/>
    <w:rsid w:val="00326C2B"/>
    <w:rsid w:val="003548C2"/>
    <w:rsid w:val="003673CF"/>
    <w:rsid w:val="003677B8"/>
    <w:rsid w:val="0037603A"/>
    <w:rsid w:val="003845C1"/>
    <w:rsid w:val="00396D59"/>
    <w:rsid w:val="003A642E"/>
    <w:rsid w:val="003A6F89"/>
    <w:rsid w:val="003B38C1"/>
    <w:rsid w:val="003C0763"/>
    <w:rsid w:val="00423E3E"/>
    <w:rsid w:val="00427AF4"/>
    <w:rsid w:val="00434635"/>
    <w:rsid w:val="004400E2"/>
    <w:rsid w:val="004600FD"/>
    <w:rsid w:val="004647DA"/>
    <w:rsid w:val="00474062"/>
    <w:rsid w:val="00477D6B"/>
    <w:rsid w:val="00482E06"/>
    <w:rsid w:val="004F7F25"/>
    <w:rsid w:val="0053057A"/>
    <w:rsid w:val="00553F9A"/>
    <w:rsid w:val="00560A29"/>
    <w:rsid w:val="0057185D"/>
    <w:rsid w:val="00584A74"/>
    <w:rsid w:val="00586A65"/>
    <w:rsid w:val="005A71C4"/>
    <w:rsid w:val="005C3EB7"/>
    <w:rsid w:val="005C5444"/>
    <w:rsid w:val="005E1002"/>
    <w:rsid w:val="00605827"/>
    <w:rsid w:val="0061454B"/>
    <w:rsid w:val="00615A31"/>
    <w:rsid w:val="00620D4C"/>
    <w:rsid w:val="00646050"/>
    <w:rsid w:val="006713CA"/>
    <w:rsid w:val="00676C5C"/>
    <w:rsid w:val="0068648F"/>
    <w:rsid w:val="006B3FA4"/>
    <w:rsid w:val="006C7996"/>
    <w:rsid w:val="006E660F"/>
    <w:rsid w:val="006F417E"/>
    <w:rsid w:val="00704A6B"/>
    <w:rsid w:val="007058FB"/>
    <w:rsid w:val="00713662"/>
    <w:rsid w:val="00721B50"/>
    <w:rsid w:val="00737B09"/>
    <w:rsid w:val="00761CA8"/>
    <w:rsid w:val="007741A2"/>
    <w:rsid w:val="007B6A58"/>
    <w:rsid w:val="007C1D02"/>
    <w:rsid w:val="007D1613"/>
    <w:rsid w:val="007F0610"/>
    <w:rsid w:val="008273CD"/>
    <w:rsid w:val="00830EDB"/>
    <w:rsid w:val="008412DC"/>
    <w:rsid w:val="008445D9"/>
    <w:rsid w:val="00891066"/>
    <w:rsid w:val="008B2CC1"/>
    <w:rsid w:val="008B60B2"/>
    <w:rsid w:val="008E1D46"/>
    <w:rsid w:val="0090375D"/>
    <w:rsid w:val="0090731E"/>
    <w:rsid w:val="00916EE2"/>
    <w:rsid w:val="00931140"/>
    <w:rsid w:val="00961006"/>
    <w:rsid w:val="00965207"/>
    <w:rsid w:val="00966A22"/>
    <w:rsid w:val="0096722F"/>
    <w:rsid w:val="00980843"/>
    <w:rsid w:val="00986649"/>
    <w:rsid w:val="009E02F9"/>
    <w:rsid w:val="009E2791"/>
    <w:rsid w:val="009E3F6F"/>
    <w:rsid w:val="009F499F"/>
    <w:rsid w:val="00A36F87"/>
    <w:rsid w:val="00A42DAF"/>
    <w:rsid w:val="00A45BD8"/>
    <w:rsid w:val="00A7620C"/>
    <w:rsid w:val="00A81119"/>
    <w:rsid w:val="00A81A56"/>
    <w:rsid w:val="00A85B8E"/>
    <w:rsid w:val="00A96F68"/>
    <w:rsid w:val="00AA014A"/>
    <w:rsid w:val="00AA2915"/>
    <w:rsid w:val="00AA7E03"/>
    <w:rsid w:val="00AB29F4"/>
    <w:rsid w:val="00AC186A"/>
    <w:rsid w:val="00AC205C"/>
    <w:rsid w:val="00AD203C"/>
    <w:rsid w:val="00AD5D53"/>
    <w:rsid w:val="00AD73C8"/>
    <w:rsid w:val="00AF3CB1"/>
    <w:rsid w:val="00B04281"/>
    <w:rsid w:val="00B05A69"/>
    <w:rsid w:val="00B90971"/>
    <w:rsid w:val="00B9734B"/>
    <w:rsid w:val="00BB5049"/>
    <w:rsid w:val="00BC29F9"/>
    <w:rsid w:val="00BD4248"/>
    <w:rsid w:val="00BF4F1D"/>
    <w:rsid w:val="00C11BFE"/>
    <w:rsid w:val="00C13734"/>
    <w:rsid w:val="00C42169"/>
    <w:rsid w:val="00C94629"/>
    <w:rsid w:val="00CE18CF"/>
    <w:rsid w:val="00CF0EFC"/>
    <w:rsid w:val="00D45252"/>
    <w:rsid w:val="00D516DE"/>
    <w:rsid w:val="00D60039"/>
    <w:rsid w:val="00D71B4D"/>
    <w:rsid w:val="00D71F3F"/>
    <w:rsid w:val="00D724C7"/>
    <w:rsid w:val="00D81363"/>
    <w:rsid w:val="00D81A9A"/>
    <w:rsid w:val="00D82AE8"/>
    <w:rsid w:val="00D82C86"/>
    <w:rsid w:val="00D93D55"/>
    <w:rsid w:val="00DA5612"/>
    <w:rsid w:val="00DD01F2"/>
    <w:rsid w:val="00DD0BA8"/>
    <w:rsid w:val="00DD1FA6"/>
    <w:rsid w:val="00DD45C7"/>
    <w:rsid w:val="00E253D2"/>
    <w:rsid w:val="00E2575C"/>
    <w:rsid w:val="00E30E0E"/>
    <w:rsid w:val="00E335FE"/>
    <w:rsid w:val="00E5021F"/>
    <w:rsid w:val="00E82579"/>
    <w:rsid w:val="00EC4E49"/>
    <w:rsid w:val="00ED0BA3"/>
    <w:rsid w:val="00ED77FB"/>
    <w:rsid w:val="00EE0D8F"/>
    <w:rsid w:val="00F021A6"/>
    <w:rsid w:val="00F0338F"/>
    <w:rsid w:val="00F31898"/>
    <w:rsid w:val="00F66152"/>
    <w:rsid w:val="00F66CCD"/>
    <w:rsid w:val="00F742AE"/>
    <w:rsid w:val="00F81226"/>
    <w:rsid w:val="00FA765C"/>
    <w:rsid w:val="00FC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CharCharChar">
    <w:name w:val="Char Char Char Char"/>
    <w:basedOn w:val="Normal"/>
    <w:rsid w:val="001567E7"/>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1567E7"/>
    <w:rPr>
      <w:vertAlign w:val="superscript"/>
    </w:rPr>
  </w:style>
  <w:style w:type="paragraph" w:customStyle="1" w:styleId="TitleofDoc">
    <w:name w:val="Title of Doc"/>
    <w:basedOn w:val="Normal"/>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Normal"/>
    <w:rsid w:val="00BF4F1D"/>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0166E1"/>
    <w:rPr>
      <w:sz w:val="18"/>
      <w:szCs w:val="18"/>
    </w:rPr>
  </w:style>
  <w:style w:type="character" w:customStyle="1" w:styleId="BalloonTextChar">
    <w:name w:val="Balloon Text Char"/>
    <w:basedOn w:val="DefaultParagraphFont"/>
    <w:link w:val="BalloonText"/>
    <w:rsid w:val="000166E1"/>
    <w:rPr>
      <w:rFonts w:ascii="Arial" w:eastAsia="SimSun" w:hAnsi="Arial" w:cs="Arial"/>
      <w:sz w:val="18"/>
      <w:szCs w:val="18"/>
      <w:lang w:eastAsia="zh-CN"/>
    </w:rPr>
  </w:style>
  <w:style w:type="paragraph" w:styleId="ListParagraph">
    <w:name w:val="List Paragraph"/>
    <w:basedOn w:val="Normal"/>
    <w:uiPriority w:val="34"/>
    <w:qFormat/>
    <w:rsid w:val="0057185D"/>
    <w:pPr>
      <w:ind w:firstLineChars="200" w:firstLine="420"/>
    </w:pPr>
  </w:style>
  <w:style w:type="table" w:customStyle="1" w:styleId="1">
    <w:name w:val="网格型1"/>
    <w:basedOn w:val="TableNormal"/>
    <w:next w:val="TableGrid"/>
    <w:rsid w:val="00737B09"/>
    <w:pPr>
      <w:widowControl w:val="0"/>
      <w:adjustRightInd w:val="0"/>
      <w:spacing w:line="360" w:lineRule="atLeast"/>
      <w:textAlignment w:val="baseline"/>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737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Normal"/>
    <w:rsid w:val="00A96F68"/>
    <w:pPr>
      <w:spacing w:after="160" w:line="240" w:lineRule="exact"/>
    </w:pPr>
    <w:rPr>
      <w:rFonts w:ascii="Verdana" w:eastAsia="Times New Roman" w:hAnsi="Verdana" w:cs="Times New Roman"/>
      <w:sz w:val="20"/>
      <w:lang w:val="en-GB" w:eastAsia="en-US"/>
    </w:rPr>
  </w:style>
  <w:style w:type="paragraph" w:customStyle="1" w:styleId="Default">
    <w:name w:val="Default"/>
    <w:rsid w:val="00A96F68"/>
    <w:pPr>
      <w:widowControl w:val="0"/>
      <w:autoSpaceDE w:val="0"/>
      <w:autoSpaceDN w:val="0"/>
      <w:adjustRightInd w:val="0"/>
    </w:pPr>
    <w:rPr>
      <w:rFonts w:ascii="SimSun" w:eastAsia="SimSun" w:cs="SimSun"/>
      <w:color w:val="000000"/>
      <w:sz w:val="24"/>
      <w:szCs w:val="24"/>
    </w:rPr>
  </w:style>
  <w:style w:type="character" w:customStyle="1" w:styleId="HeaderChar">
    <w:name w:val="Header Char"/>
    <w:basedOn w:val="DefaultParagraphFont"/>
    <w:link w:val="Header"/>
    <w:uiPriority w:val="99"/>
    <w:rsid w:val="00D516D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CharCharChar">
    <w:name w:val="Char Char Char Char"/>
    <w:basedOn w:val="Normal"/>
    <w:rsid w:val="001567E7"/>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1567E7"/>
    <w:rPr>
      <w:vertAlign w:val="superscript"/>
    </w:rPr>
  </w:style>
  <w:style w:type="paragraph" w:customStyle="1" w:styleId="TitleofDoc">
    <w:name w:val="Title of Doc"/>
    <w:basedOn w:val="Normal"/>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Normal"/>
    <w:rsid w:val="00BF4F1D"/>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0166E1"/>
    <w:rPr>
      <w:sz w:val="18"/>
      <w:szCs w:val="18"/>
    </w:rPr>
  </w:style>
  <w:style w:type="character" w:customStyle="1" w:styleId="BalloonTextChar">
    <w:name w:val="Balloon Text Char"/>
    <w:basedOn w:val="DefaultParagraphFont"/>
    <w:link w:val="BalloonText"/>
    <w:rsid w:val="000166E1"/>
    <w:rPr>
      <w:rFonts w:ascii="Arial" w:eastAsia="SimSun" w:hAnsi="Arial" w:cs="Arial"/>
      <w:sz w:val="18"/>
      <w:szCs w:val="18"/>
      <w:lang w:eastAsia="zh-CN"/>
    </w:rPr>
  </w:style>
  <w:style w:type="paragraph" w:styleId="ListParagraph">
    <w:name w:val="List Paragraph"/>
    <w:basedOn w:val="Normal"/>
    <w:uiPriority w:val="34"/>
    <w:qFormat/>
    <w:rsid w:val="0057185D"/>
    <w:pPr>
      <w:ind w:firstLineChars="200" w:firstLine="420"/>
    </w:pPr>
  </w:style>
  <w:style w:type="table" w:customStyle="1" w:styleId="1">
    <w:name w:val="网格型1"/>
    <w:basedOn w:val="TableNormal"/>
    <w:next w:val="TableGrid"/>
    <w:rsid w:val="00737B09"/>
    <w:pPr>
      <w:widowControl w:val="0"/>
      <w:adjustRightInd w:val="0"/>
      <w:spacing w:line="360" w:lineRule="atLeast"/>
      <w:textAlignment w:val="baseline"/>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737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Normal"/>
    <w:rsid w:val="00A96F68"/>
    <w:pPr>
      <w:spacing w:after="160" w:line="240" w:lineRule="exact"/>
    </w:pPr>
    <w:rPr>
      <w:rFonts w:ascii="Verdana" w:eastAsia="Times New Roman" w:hAnsi="Verdana" w:cs="Times New Roman"/>
      <w:sz w:val="20"/>
      <w:lang w:val="en-GB" w:eastAsia="en-US"/>
    </w:rPr>
  </w:style>
  <w:style w:type="paragraph" w:customStyle="1" w:styleId="Default">
    <w:name w:val="Default"/>
    <w:rsid w:val="00A96F68"/>
    <w:pPr>
      <w:widowControl w:val="0"/>
      <w:autoSpaceDE w:val="0"/>
      <w:autoSpaceDN w:val="0"/>
      <w:adjustRightInd w:val="0"/>
    </w:pPr>
    <w:rPr>
      <w:rFonts w:ascii="SimSun" w:eastAsia="SimSun" w:cs="SimSun"/>
      <w:color w:val="000000"/>
      <w:sz w:val="24"/>
      <w:szCs w:val="24"/>
    </w:rPr>
  </w:style>
  <w:style w:type="character" w:customStyle="1" w:styleId="HeaderChar">
    <w:name w:val="Header Char"/>
    <w:basedOn w:val="DefaultParagraphFont"/>
    <w:link w:val="Header"/>
    <w:uiPriority w:val="99"/>
    <w:rsid w:val="00D516D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26DE-EC22-4327-AC94-7100048E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244</Characters>
  <Application>Microsoft Office Word</Application>
  <DocSecurity>0</DocSecurity>
  <Lines>2</Lines>
  <Paragraphs>2</Paragraphs>
  <ScaleCrop>false</ScaleCrop>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2013-12-06T17:18:00Z</dcterms:created>
  <dcterms:modified xsi:type="dcterms:W3CDTF">2013-12-09T08:38:00Z</dcterms:modified>
</cp:coreProperties>
</file>