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04CEB" w:rsidRPr="006C5A9E" w:rsidTr="005D682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4CEB" w:rsidRPr="006C5A9E" w:rsidRDefault="00A04CEB" w:rsidP="005D682C">
            <w:r>
              <w:rPr>
                <w:noProof/>
              </w:rPr>
              <w:drawing>
                <wp:anchor distT="0" distB="0" distL="114300" distR="114300" simplePos="0" relativeHeight="251659776" behindDoc="1" locked="0" layoutInCell="0" allowOverlap="1" wp14:anchorId="02D385DC" wp14:editId="07C2ED3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4" name="图片 4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CEB" w:rsidRPr="006C5A9E" w:rsidRDefault="00A04CEB" w:rsidP="005D682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4CEB" w:rsidRPr="0065207B" w:rsidRDefault="00A04CEB" w:rsidP="005D682C">
            <w:pPr>
              <w:jc w:val="right"/>
            </w:pPr>
            <w:r w:rsidRPr="0065207B">
              <w:rPr>
                <w:b/>
                <w:sz w:val="40"/>
                <w:szCs w:val="40"/>
              </w:rPr>
              <w:t>C</w:t>
            </w:r>
          </w:p>
        </w:tc>
      </w:tr>
      <w:tr w:rsidR="00A04CEB" w:rsidRPr="006C5A9E" w:rsidTr="005D682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4CEB" w:rsidRPr="006C5A9E" w:rsidRDefault="00A04CEB" w:rsidP="00A04CEB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bookmarkStart w:id="0" w:name="Code"/>
            <w:bookmarkEnd w:id="0"/>
            <w:r>
              <w:rPr>
                <w:rFonts w:ascii="Arial Black" w:hAnsi="Arial Black" w:hint="eastAsia"/>
                <w:b/>
                <w:caps/>
                <w:sz w:val="15"/>
                <w:szCs w:val="15"/>
              </w:rPr>
              <w:t>A/51/1</w:t>
            </w:r>
            <w:r>
              <w:rPr>
                <w:rFonts w:ascii="Arial Black" w:hAnsi="Arial Black" w:hint="eastAsia"/>
                <w:b/>
                <w:caps/>
                <w:sz w:val="15"/>
                <w:szCs w:val="15"/>
              </w:rPr>
              <w:t>0</w:t>
            </w:r>
          </w:p>
        </w:tc>
      </w:tr>
      <w:tr w:rsidR="00A04CEB" w:rsidRPr="006C5A9E" w:rsidTr="005D682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4CEB" w:rsidRPr="006C5A9E" w:rsidRDefault="00A04CEB" w:rsidP="005D682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04CEB" w:rsidRPr="006C5A9E" w:rsidTr="005D682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4CEB" w:rsidRPr="006C5A9E" w:rsidRDefault="00A04CEB" w:rsidP="00A04CE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bookmarkStart w:id="1" w:name="Date"/>
            <w:bookmarkEnd w:id="1"/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3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7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04CEB" w:rsidRPr="006C5A9E" w:rsidRDefault="00A04CEB" w:rsidP="00A04CEB"/>
    <w:p w:rsidR="00A04CEB" w:rsidRPr="006C5A9E" w:rsidRDefault="00A04CEB" w:rsidP="00A04CEB"/>
    <w:p w:rsidR="00A04CEB" w:rsidRPr="006C5A9E" w:rsidRDefault="00A04CEB" w:rsidP="00A04CEB"/>
    <w:p w:rsidR="00A04CEB" w:rsidRPr="006C5A9E" w:rsidRDefault="00A04CEB" w:rsidP="00A04CEB"/>
    <w:p w:rsidR="00A04CEB" w:rsidRPr="006C5A9E" w:rsidRDefault="00A04CEB" w:rsidP="00A04CEB"/>
    <w:p w:rsidR="00A04CEB" w:rsidRPr="006C5A9E" w:rsidRDefault="00A04CEB" w:rsidP="00A04CEB">
      <w:pPr>
        <w:spacing w:line="360" w:lineRule="atLeast"/>
        <w:rPr>
          <w:rFonts w:eastAsia="SimHei"/>
          <w:sz w:val="28"/>
          <w:szCs w:val="28"/>
        </w:rPr>
      </w:pPr>
      <w:r w:rsidRPr="006C5A9E">
        <w:rPr>
          <w:rFonts w:eastAsia="SimHei" w:hint="eastAsia"/>
          <w:sz w:val="28"/>
          <w:szCs w:val="28"/>
        </w:rPr>
        <w:t>世界知识产权组织成员国大会</w:t>
      </w:r>
    </w:p>
    <w:p w:rsidR="00A04CEB" w:rsidRPr="006C5A9E" w:rsidRDefault="00A04CEB" w:rsidP="00A04CEB"/>
    <w:p w:rsidR="00A04CEB" w:rsidRPr="003E41C2" w:rsidRDefault="00A04CEB" w:rsidP="00A04CEB">
      <w:pPr>
        <w:rPr>
          <w:szCs w:val="22"/>
        </w:rPr>
      </w:pPr>
    </w:p>
    <w:p w:rsidR="00A04CEB" w:rsidRPr="008D5C1A" w:rsidRDefault="00A04CEB" w:rsidP="00A04CE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D5C1A">
        <w:rPr>
          <w:rFonts w:ascii="KaiTi" w:eastAsia="KaiTi" w:hint="eastAsia"/>
          <w:b/>
          <w:sz w:val="24"/>
          <w:szCs w:val="24"/>
        </w:rPr>
        <w:t>第五十一届系列会议</w:t>
      </w:r>
    </w:p>
    <w:p w:rsidR="00A04CEB" w:rsidRPr="00CC63F6" w:rsidRDefault="00A04CEB" w:rsidP="00A04CEB">
      <w:pPr>
        <w:spacing w:line="360" w:lineRule="atLeast"/>
        <w:rPr>
          <w:rFonts w:ascii="KaiTi" w:eastAsia="KaiTi" w:hAnsi="KaiTi"/>
          <w:b/>
          <w:sz w:val="24"/>
          <w:szCs w:val="24"/>
        </w:rPr>
      </w:pPr>
      <w:r w:rsidRPr="00EB79EC">
        <w:rPr>
          <w:rFonts w:ascii="KaiTi" w:eastAsia="KaiTi" w:hAnsi="KaiTi" w:hint="eastAsia"/>
          <w:sz w:val="24"/>
          <w:szCs w:val="24"/>
        </w:rPr>
        <w:t>2013</w:t>
      </w:r>
      <w:r w:rsidRPr="00CC63F6">
        <w:rPr>
          <w:rFonts w:ascii="KaiTi" w:eastAsia="KaiTi" w:hAnsi="KaiTi" w:hint="eastAsia"/>
          <w:b/>
          <w:sz w:val="24"/>
          <w:szCs w:val="24"/>
        </w:rPr>
        <w:t>年</w:t>
      </w:r>
      <w:r w:rsidRPr="00EB79EC">
        <w:rPr>
          <w:rFonts w:ascii="KaiTi" w:eastAsia="KaiTi" w:hAnsi="KaiTi" w:hint="eastAsia"/>
          <w:sz w:val="24"/>
          <w:szCs w:val="24"/>
        </w:rPr>
        <w:t>9</w:t>
      </w:r>
      <w:r>
        <w:rPr>
          <w:rFonts w:ascii="KaiTi" w:eastAsia="KaiTi" w:hAnsi="KaiTi" w:hint="eastAsia"/>
          <w:b/>
          <w:sz w:val="24"/>
          <w:szCs w:val="24"/>
        </w:rPr>
        <w:t>月</w:t>
      </w:r>
      <w:r w:rsidRPr="00EB79EC">
        <w:rPr>
          <w:rFonts w:ascii="KaiTi" w:eastAsia="KaiTi" w:hAnsi="KaiTi" w:hint="eastAsia"/>
          <w:sz w:val="24"/>
          <w:szCs w:val="24"/>
        </w:rPr>
        <w:t>23</w:t>
      </w:r>
      <w:r>
        <w:rPr>
          <w:rFonts w:ascii="KaiTi" w:eastAsia="KaiTi" w:hAnsi="KaiTi" w:hint="eastAsia"/>
          <w:b/>
          <w:sz w:val="24"/>
          <w:szCs w:val="24"/>
        </w:rPr>
        <w:t>日至</w:t>
      </w:r>
      <w:r w:rsidRPr="00EB79EC">
        <w:rPr>
          <w:rFonts w:ascii="KaiTi" w:eastAsia="KaiTi" w:hAnsi="KaiTi" w:hint="eastAsia"/>
          <w:sz w:val="24"/>
          <w:szCs w:val="24"/>
        </w:rPr>
        <w:t>10</w:t>
      </w:r>
      <w:r w:rsidRPr="00CC63F6">
        <w:rPr>
          <w:rFonts w:ascii="KaiTi" w:eastAsia="KaiTi" w:hAnsi="KaiTi" w:hint="eastAsia"/>
          <w:b/>
          <w:sz w:val="24"/>
          <w:szCs w:val="24"/>
        </w:rPr>
        <w:t>月</w:t>
      </w:r>
      <w:r w:rsidRPr="00EB79EC">
        <w:rPr>
          <w:rFonts w:ascii="KaiTi" w:eastAsia="KaiTi" w:hAnsi="KaiTi" w:hint="eastAsia"/>
          <w:sz w:val="24"/>
          <w:szCs w:val="24"/>
        </w:rPr>
        <w:t>2</w:t>
      </w:r>
      <w:r w:rsidRPr="00CC63F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A04CEB" w:rsidRPr="00F85F82" w:rsidRDefault="00A04CEB" w:rsidP="00A04CEB"/>
    <w:p w:rsidR="00A04CEB" w:rsidRPr="00F85F82" w:rsidRDefault="00A04CEB" w:rsidP="00A04CEB"/>
    <w:p w:rsidR="00A04CEB" w:rsidRPr="00F85F82" w:rsidRDefault="00A04CEB" w:rsidP="00A04CEB"/>
    <w:p w:rsidR="00A04CEB" w:rsidRPr="00EB79EC" w:rsidRDefault="00A04CEB" w:rsidP="00A04CEB">
      <w:pPr>
        <w:rPr>
          <w:rFonts w:ascii="KaiTi" w:eastAsia="KaiTi" w:hAnsi="KaiTi"/>
          <w:sz w:val="24"/>
          <w:szCs w:val="32"/>
        </w:rPr>
      </w:pPr>
      <w:r w:rsidRPr="00A04CEB">
        <w:rPr>
          <w:rFonts w:ascii="KaiTi" w:eastAsia="KaiTi" w:hAnsi="KaiTi" w:hint="eastAsia"/>
          <w:sz w:val="24"/>
          <w:szCs w:val="32"/>
        </w:rPr>
        <w:t>WIPO现有建筑物安全与安保标准升级项目进展报告</w:t>
      </w:r>
    </w:p>
    <w:p w:rsidR="00A04CEB" w:rsidRPr="00A04CEB" w:rsidRDefault="00A04CEB" w:rsidP="00A04CEB"/>
    <w:p w:rsidR="00A04CEB" w:rsidRPr="003E41C2" w:rsidRDefault="00A04CEB" w:rsidP="00A04CEB">
      <w:pPr>
        <w:rPr>
          <w:rFonts w:ascii="KaiTi" w:eastAsia="KaiTi" w:hAnsi="KaiTi"/>
          <w:i/>
          <w:sz w:val="21"/>
          <w:szCs w:val="24"/>
        </w:rPr>
      </w:pPr>
      <w:r w:rsidRPr="003E41C2">
        <w:rPr>
          <w:rFonts w:ascii="KaiTi" w:eastAsia="KaiTi" w:hAnsi="KaiTi" w:hint="eastAsia"/>
          <w:i/>
          <w:sz w:val="21"/>
          <w:szCs w:val="24"/>
        </w:rPr>
        <w:t>秘书处编拟</w:t>
      </w:r>
    </w:p>
    <w:p w:rsidR="00A04CEB" w:rsidRPr="00E7065A" w:rsidRDefault="00A04CEB" w:rsidP="00A04CEB"/>
    <w:p w:rsidR="00A04CEB" w:rsidRPr="00E7065A" w:rsidRDefault="00A04CEB" w:rsidP="00A04CEB"/>
    <w:p w:rsidR="00A04CEB" w:rsidRPr="00E7065A" w:rsidRDefault="00A04CEB" w:rsidP="00A04CEB"/>
    <w:p w:rsidR="00A04CEB" w:rsidRDefault="00A04CEB" w:rsidP="00A04CEB">
      <w:pPr>
        <w:rPr>
          <w:caps/>
        </w:rPr>
      </w:pPr>
    </w:p>
    <w:p w:rsidR="00A04CEB" w:rsidRPr="003E41C2" w:rsidRDefault="00A04CEB" w:rsidP="00A04CEB">
      <w:pPr>
        <w:spacing w:afterLines="50" w:after="120" w:line="340" w:lineRule="atLeast"/>
        <w:jc w:val="both"/>
        <w:rPr>
          <w:rFonts w:ascii="SimSun"/>
          <w:sz w:val="21"/>
        </w:rPr>
      </w:pPr>
      <w:r w:rsidRPr="003E41C2">
        <w:rPr>
          <w:rFonts w:ascii="SimSun" w:hint="eastAsia"/>
          <w:sz w:val="21"/>
        </w:rPr>
        <w:t>1.</w:t>
      </w:r>
      <w:r w:rsidRPr="003E41C2">
        <w:rPr>
          <w:rFonts w:ascii="SimSun" w:hint="eastAsia"/>
          <w:sz w:val="21"/>
        </w:rPr>
        <w:tab/>
        <w:t>本文件载有</w:t>
      </w:r>
      <w:r w:rsidRPr="00A04CEB">
        <w:rPr>
          <w:rFonts w:ascii="SimSun" w:hint="eastAsia"/>
          <w:sz w:val="21"/>
        </w:rPr>
        <w:t>WIPO现有建筑物安全与安保标准升级项目</w:t>
      </w:r>
      <w:r>
        <w:rPr>
          <w:rFonts w:ascii="SimSun" w:hint="eastAsia"/>
          <w:sz w:val="21"/>
        </w:rPr>
        <w:t>的</w:t>
      </w:r>
      <w:r w:rsidRPr="00A04CEB">
        <w:rPr>
          <w:rFonts w:ascii="SimSun" w:hint="eastAsia"/>
          <w:sz w:val="21"/>
        </w:rPr>
        <w:t>进展报告</w:t>
      </w:r>
      <w:r w:rsidRPr="003E41C2">
        <w:rPr>
          <w:rFonts w:ascii="SimSun" w:hint="eastAsia"/>
          <w:sz w:val="21"/>
        </w:rPr>
        <w:t>(文件WO/PBC/21/</w:t>
      </w:r>
      <w:r>
        <w:rPr>
          <w:rFonts w:ascii="SimSun" w:hint="eastAsia"/>
          <w:sz w:val="21"/>
        </w:rPr>
        <w:t>9</w:t>
      </w:r>
      <w:r w:rsidRPr="003E41C2">
        <w:rPr>
          <w:rFonts w:ascii="SimSun" w:hint="eastAsia"/>
          <w:sz w:val="21"/>
        </w:rPr>
        <w:t>)，该</w:t>
      </w:r>
      <w:r>
        <w:rPr>
          <w:rFonts w:ascii="SimSun" w:hint="eastAsia"/>
          <w:sz w:val="21"/>
        </w:rPr>
        <w:t>报告</w:t>
      </w:r>
      <w:bookmarkStart w:id="2" w:name="_GoBack"/>
      <w:bookmarkEnd w:id="2"/>
      <w:r w:rsidRPr="003E41C2">
        <w:rPr>
          <w:rFonts w:ascii="SimSun" w:hint="eastAsia"/>
          <w:sz w:val="21"/>
        </w:rPr>
        <w:t>将提交给WIPO计划和预算委员会(PBC)的第二十一届会议(2013年9月9日至13日)。</w:t>
      </w:r>
    </w:p>
    <w:p w:rsidR="00A04CEB" w:rsidRPr="003E41C2" w:rsidRDefault="00A04CEB" w:rsidP="00A04CEB">
      <w:pPr>
        <w:spacing w:afterLines="50" w:after="120" w:line="340" w:lineRule="atLeast"/>
        <w:jc w:val="both"/>
        <w:rPr>
          <w:rFonts w:ascii="SimSun"/>
          <w:sz w:val="21"/>
        </w:rPr>
      </w:pPr>
      <w:r w:rsidRPr="003E41C2">
        <w:rPr>
          <w:rFonts w:ascii="SimSun" w:hint="eastAsia"/>
          <w:sz w:val="21"/>
        </w:rPr>
        <w:t>2.</w:t>
      </w:r>
      <w:r w:rsidRPr="003E41C2">
        <w:rPr>
          <w:rFonts w:ascii="SimSun" w:hint="eastAsia"/>
          <w:sz w:val="21"/>
        </w:rPr>
        <w:tab/>
        <w:t>PBC关于上述文件的建议将收入“计划和预算委员会在第二十一届会议(2013年9月9日至13日)上所作决定和所提建议的摘要”(文件A/51/14)。</w:t>
      </w:r>
    </w:p>
    <w:p w:rsidR="00A04CEB" w:rsidRPr="003E41C2" w:rsidRDefault="00A04CEB" w:rsidP="00A04CEB">
      <w:pPr>
        <w:spacing w:afterLines="50" w:after="120" w:line="340" w:lineRule="atLeast"/>
        <w:ind w:left="5534"/>
        <w:jc w:val="both"/>
        <w:rPr>
          <w:rFonts w:ascii="KaiTi" w:eastAsia="KaiTi"/>
          <w:i/>
          <w:sz w:val="21"/>
        </w:rPr>
      </w:pPr>
      <w:r w:rsidRPr="003E41C2">
        <w:rPr>
          <w:rFonts w:ascii="KaiTi" w:eastAsia="KaiTi"/>
          <w:i/>
          <w:iCs/>
          <w:sz w:val="21"/>
        </w:rPr>
        <w:t>3.</w:t>
      </w:r>
      <w:r w:rsidRPr="003E41C2">
        <w:rPr>
          <w:rFonts w:ascii="KaiTi" w:eastAsia="KaiTi" w:hint="eastAsia"/>
          <w:i/>
          <w:iCs/>
          <w:sz w:val="21"/>
        </w:rPr>
        <w:tab/>
      </w:r>
      <w:r w:rsidRPr="003E41C2">
        <w:rPr>
          <w:rFonts w:ascii="KaiTi" w:eastAsia="KaiTi" w:hint="eastAsia"/>
          <w:i/>
          <w:sz w:val="21"/>
        </w:rPr>
        <w:t>请</w:t>
      </w:r>
      <w:r w:rsidRPr="003E41C2">
        <w:rPr>
          <w:rFonts w:ascii="KaiTi" w:eastAsia="KaiTi"/>
          <w:i/>
          <w:iCs/>
          <w:sz w:val="21"/>
        </w:rPr>
        <w:t>WIPO</w:t>
      </w:r>
      <w:r w:rsidRPr="003E41C2">
        <w:rPr>
          <w:rFonts w:ascii="KaiTi" w:eastAsia="KaiTi" w:hint="eastAsia"/>
          <w:i/>
          <w:sz w:val="21"/>
        </w:rPr>
        <w:t>成员国大会和</w:t>
      </w:r>
      <w:r w:rsidRPr="003E41C2">
        <w:rPr>
          <w:rFonts w:ascii="KaiTi" w:eastAsia="KaiTi"/>
          <w:i/>
          <w:iCs/>
          <w:sz w:val="21"/>
        </w:rPr>
        <w:t>WIPO</w:t>
      </w:r>
      <w:r w:rsidRPr="003E41C2">
        <w:rPr>
          <w:rFonts w:ascii="KaiTi" w:eastAsia="KaiTi" w:hint="eastAsia"/>
          <w:i/>
          <w:sz w:val="21"/>
        </w:rPr>
        <w:t>管理的各联盟的大会各自就其所涉事宜，</w:t>
      </w:r>
      <w:r>
        <w:rPr>
          <w:rFonts w:ascii="KaiTi" w:eastAsia="KaiTi" w:hint="eastAsia"/>
          <w:i/>
          <w:sz w:val="21"/>
        </w:rPr>
        <w:t>批准</w:t>
      </w:r>
      <w:r w:rsidRPr="003E41C2">
        <w:rPr>
          <w:rFonts w:ascii="KaiTi" w:eastAsia="KaiTi" w:hint="eastAsia"/>
          <w:i/>
          <w:sz w:val="21"/>
        </w:rPr>
        <w:t>文件A/51/14中所记录的计划和预算委员会关</w:t>
      </w:r>
      <w:r>
        <w:rPr>
          <w:rFonts w:ascii="KaiTi" w:eastAsia="KaiTi" w:hint="eastAsia"/>
          <w:i/>
          <w:sz w:val="21"/>
        </w:rPr>
        <w:t>于文件WO/PBC/21/</w:t>
      </w:r>
      <w:r>
        <w:rPr>
          <w:rFonts w:ascii="KaiTi" w:eastAsia="KaiTi" w:hint="eastAsia"/>
          <w:i/>
          <w:sz w:val="21"/>
        </w:rPr>
        <w:t>9</w:t>
      </w:r>
      <w:r>
        <w:rPr>
          <w:rFonts w:ascii="KaiTi" w:eastAsia="KaiTi" w:hint="eastAsia"/>
          <w:i/>
          <w:sz w:val="21"/>
        </w:rPr>
        <w:t>的</w:t>
      </w:r>
      <w:r w:rsidRPr="003E41C2">
        <w:rPr>
          <w:rFonts w:ascii="KaiTi" w:eastAsia="KaiTi" w:hint="eastAsia"/>
          <w:i/>
          <w:sz w:val="21"/>
        </w:rPr>
        <w:t>建议。</w:t>
      </w:r>
    </w:p>
    <w:p w:rsidR="00A04CEB" w:rsidRPr="00A04CEB" w:rsidRDefault="00A04CEB" w:rsidP="00A04CEB">
      <w:pPr>
        <w:spacing w:afterLines="50" w:after="120" w:line="340" w:lineRule="atLeast"/>
        <w:ind w:left="5534"/>
        <w:rPr>
          <w:rFonts w:ascii="KaiTi" w:eastAsia="KaiTi"/>
          <w:sz w:val="21"/>
        </w:rPr>
      </w:pPr>
    </w:p>
    <w:p w:rsidR="00A04CEB" w:rsidRPr="001C08A3" w:rsidRDefault="00A04CEB" w:rsidP="00A04CEB">
      <w:pPr>
        <w:ind w:left="5534"/>
        <w:rPr>
          <w:rFonts w:ascii="KaiTi" w:eastAsia="KaiTi"/>
          <w:sz w:val="21"/>
        </w:rPr>
      </w:pPr>
      <w:r w:rsidRPr="003E41C2">
        <w:rPr>
          <w:rFonts w:ascii="KaiTi" w:eastAsia="KaiTi"/>
          <w:sz w:val="21"/>
        </w:rPr>
        <w:t>[</w:t>
      </w:r>
      <w:r w:rsidRPr="003E41C2">
        <w:rPr>
          <w:rFonts w:ascii="KaiTi" w:eastAsia="KaiTi" w:hint="eastAsia"/>
          <w:sz w:val="21"/>
        </w:rPr>
        <w:t>后接文件</w:t>
      </w:r>
      <w:r w:rsidRPr="003E41C2">
        <w:rPr>
          <w:rFonts w:ascii="KaiTi" w:eastAsia="KaiTi"/>
          <w:sz w:val="21"/>
        </w:rPr>
        <w:t>WO/PBC/</w:t>
      </w:r>
      <w:r w:rsidRPr="003E41C2">
        <w:rPr>
          <w:rFonts w:ascii="KaiTi" w:eastAsia="KaiTi" w:hint="eastAsia"/>
          <w:sz w:val="21"/>
        </w:rPr>
        <w:t>2</w:t>
      </w:r>
      <w:r w:rsidRPr="003E41C2">
        <w:rPr>
          <w:rFonts w:ascii="KaiTi" w:eastAsia="KaiTi"/>
          <w:sz w:val="21"/>
        </w:rPr>
        <w:t>1/</w:t>
      </w:r>
      <w:r>
        <w:rPr>
          <w:rFonts w:ascii="KaiTi" w:eastAsia="KaiTi" w:hint="eastAsia"/>
          <w:sz w:val="21"/>
        </w:rPr>
        <w:t>9</w:t>
      </w:r>
      <w:r w:rsidRPr="003E41C2">
        <w:rPr>
          <w:rFonts w:ascii="KaiTi" w:eastAsia="KaiTi"/>
          <w:sz w:val="21"/>
        </w:rPr>
        <w:t>]</w:t>
      </w:r>
    </w:p>
    <w:p w:rsidR="00A04CEB" w:rsidRDefault="00A04CEB" w:rsidP="00CC2938">
      <w:pPr>
        <w:sectPr w:rsidR="00A04CEB" w:rsidSect="000D600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87CAC" w:rsidRPr="008B2CC1" w:rsidTr="00CC293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87CAC" w:rsidRPr="005A1617" w:rsidRDefault="005E4986" w:rsidP="00CC2938"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1" locked="0" layoutInCell="0" allowOverlap="1" wp14:anchorId="3A04196C" wp14:editId="4A50118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061" name="图片 106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7CAC" w:rsidRPr="008B2CC1" w:rsidRDefault="00F87CAC" w:rsidP="00CC293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7CAC" w:rsidRPr="008B2CC1" w:rsidRDefault="00F87CAC" w:rsidP="00CC2938">
            <w:pPr>
              <w:jc w:val="right"/>
            </w:pPr>
            <w:r>
              <w:rPr>
                <w:b/>
                <w:sz w:val="40"/>
                <w:szCs w:val="40"/>
              </w:rPr>
              <w:t>C</w:t>
            </w:r>
          </w:p>
        </w:tc>
      </w:tr>
      <w:tr w:rsidR="00F87CAC" w:rsidRPr="001832A6" w:rsidTr="00CC29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87CAC" w:rsidRPr="0045146A" w:rsidRDefault="00F87CAC" w:rsidP="001E23C0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</w:t>
            </w:r>
            <w:r>
              <w:rPr>
                <w:rFonts w:ascii="Arial Black" w:hAnsi="Arial Black" w:hint="eastAsia"/>
                <w:caps/>
                <w:sz w:val="15"/>
              </w:rPr>
              <w:t>21</w:t>
            </w:r>
            <w:r w:rsidR="001E23C0">
              <w:rPr>
                <w:rFonts w:ascii="Arial Black" w:hAnsi="Arial Black"/>
                <w:caps/>
                <w:sz w:val="15"/>
              </w:rPr>
              <w:t>/</w:t>
            </w:r>
            <w:r w:rsidR="001E23C0"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F87CAC" w:rsidRPr="001832A6" w:rsidTr="00CC29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87CAC" w:rsidRPr="0045146A" w:rsidRDefault="00F87CAC" w:rsidP="00CC293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5146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5146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5146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5146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45146A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87CAC" w:rsidRPr="00251793" w:rsidTr="00CC29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87CAC" w:rsidRPr="00251793" w:rsidRDefault="00F87CAC" w:rsidP="001E23C0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r w:rsidRPr="0025179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 w:rsidR="001E23C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1E23C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</w:p>
        </w:tc>
      </w:tr>
    </w:tbl>
    <w:p w:rsidR="00F87CAC" w:rsidRPr="008B2CC1" w:rsidRDefault="00F87CAC" w:rsidP="00F87CAC"/>
    <w:p w:rsidR="00F87CAC" w:rsidRDefault="00F87CAC" w:rsidP="00F87CAC"/>
    <w:p w:rsidR="00F87CAC" w:rsidRDefault="00F87CAC" w:rsidP="00F87CAC"/>
    <w:p w:rsidR="00F87CAC" w:rsidRDefault="00F87CAC" w:rsidP="00F87CAC"/>
    <w:p w:rsidR="00F87CAC" w:rsidRPr="008B2CC1" w:rsidRDefault="00F87CAC" w:rsidP="00F87CAC"/>
    <w:p w:rsidR="00F87CAC" w:rsidRPr="00503A1C" w:rsidRDefault="00F87CAC" w:rsidP="00F87CAC">
      <w:pPr>
        <w:rPr>
          <w:rFonts w:eastAsia="SimHei" w:cs="Times New Roman"/>
          <w:sz w:val="28"/>
          <w:szCs w:val="28"/>
        </w:rPr>
      </w:pPr>
      <w:r w:rsidRPr="00503A1C">
        <w:rPr>
          <w:rFonts w:eastAsia="SimHei" w:cs="Times New Roman" w:hint="eastAsia"/>
          <w:sz w:val="28"/>
          <w:szCs w:val="28"/>
        </w:rPr>
        <w:t>计划和预算委员会</w:t>
      </w:r>
    </w:p>
    <w:p w:rsidR="00F87CAC" w:rsidRDefault="00F87CAC" w:rsidP="00F87CAC"/>
    <w:p w:rsidR="00F87CAC" w:rsidRDefault="00F87CAC" w:rsidP="00F87CAC"/>
    <w:p w:rsidR="00F87CAC" w:rsidRPr="00B757A1" w:rsidRDefault="00F87CAC" w:rsidP="00F87CAC">
      <w:pPr>
        <w:autoSpaceDE w:val="0"/>
        <w:autoSpaceDN w:val="0"/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B757A1">
        <w:rPr>
          <w:rFonts w:ascii="KaiTi" w:eastAsia="KaiTi" w:hint="eastAsia"/>
          <w:b/>
          <w:sz w:val="24"/>
          <w:szCs w:val="24"/>
        </w:rPr>
        <w:t>第二十一届会议</w:t>
      </w:r>
    </w:p>
    <w:p w:rsidR="00F87CAC" w:rsidRPr="002F67BD" w:rsidRDefault="00F87CAC" w:rsidP="00F87CAC">
      <w:pPr>
        <w:pStyle w:val="Meetingplacedate"/>
        <w:ind w:left="0"/>
        <w:rPr>
          <w:rFonts w:ascii="KaiTi" w:eastAsia="KaiTi" w:hAnsi="KaiTi"/>
          <w:b w:val="0"/>
          <w:szCs w:val="24"/>
          <w:lang w:eastAsia="zh-CN"/>
        </w:rPr>
      </w:pPr>
      <w:r w:rsidRPr="002F67BD">
        <w:rPr>
          <w:rFonts w:ascii="KaiTi" w:eastAsia="KaiTi" w:hAnsi="KaiTi"/>
          <w:b w:val="0"/>
          <w:szCs w:val="24"/>
          <w:lang w:eastAsia="zh-CN"/>
        </w:rPr>
        <w:t>201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3</w:t>
      </w:r>
      <w:r w:rsidRPr="002F67BD">
        <w:rPr>
          <w:rFonts w:ascii="KaiTi" w:eastAsia="KaiTi" w:hAnsi="KaiTi" w:cs="Arial" w:hint="eastAsia"/>
          <w:szCs w:val="24"/>
          <w:lang w:eastAsia="zh-CN"/>
        </w:rPr>
        <w:t>年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9</w:t>
      </w:r>
      <w:r w:rsidRPr="002F67BD">
        <w:rPr>
          <w:rFonts w:ascii="KaiTi" w:eastAsia="KaiTi" w:hAnsi="KaiTi" w:cs="Arial" w:hint="eastAsia"/>
          <w:szCs w:val="24"/>
          <w:lang w:eastAsia="zh-CN"/>
        </w:rPr>
        <w:t>月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9</w:t>
      </w:r>
      <w:r w:rsidRPr="002F67BD">
        <w:rPr>
          <w:rFonts w:ascii="KaiTi" w:eastAsia="KaiTi" w:hAnsi="KaiTi" w:cs="Arial" w:hint="eastAsia"/>
          <w:szCs w:val="24"/>
          <w:lang w:eastAsia="zh-CN"/>
        </w:rPr>
        <w:t>日至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13</w:t>
      </w:r>
      <w:r w:rsidRPr="002F67BD">
        <w:rPr>
          <w:rFonts w:ascii="KaiTi" w:eastAsia="KaiTi" w:hAnsi="KaiTi" w:cs="Arial" w:hint="eastAsia"/>
          <w:szCs w:val="24"/>
          <w:lang w:eastAsia="zh-CN"/>
        </w:rPr>
        <w:t>日，日内瓦</w:t>
      </w:r>
    </w:p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1E23C0" w:rsidRPr="00EB79EC" w:rsidRDefault="001E23C0" w:rsidP="001E23C0">
      <w:pPr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WIPO现有建</w:t>
      </w:r>
      <w:r w:rsidR="002D366F">
        <w:rPr>
          <w:rFonts w:ascii="KaiTi" w:eastAsia="KaiTi" w:hAnsi="KaiTi" w:hint="eastAsia"/>
          <w:sz w:val="24"/>
          <w:szCs w:val="32"/>
        </w:rPr>
        <w:t>筑物安全与安保标准升级项目</w:t>
      </w:r>
      <w:r>
        <w:rPr>
          <w:rFonts w:ascii="KaiTi" w:eastAsia="KaiTi" w:hAnsi="KaiTi" w:hint="eastAsia"/>
          <w:sz w:val="24"/>
          <w:szCs w:val="32"/>
        </w:rPr>
        <w:t>进展报告</w:t>
      </w:r>
    </w:p>
    <w:p w:rsidR="00F87CAC" w:rsidRPr="001E23C0" w:rsidRDefault="00F87CAC" w:rsidP="00F87CAC"/>
    <w:p w:rsidR="00F87CAC" w:rsidRPr="00B757A1" w:rsidRDefault="00F87CAC" w:rsidP="00F87CAC">
      <w:pPr>
        <w:rPr>
          <w:rFonts w:eastAsia="KaiTi"/>
          <w:i/>
          <w:sz w:val="21"/>
          <w:szCs w:val="21"/>
        </w:rPr>
      </w:pPr>
      <w:r w:rsidRPr="00B757A1">
        <w:rPr>
          <w:rFonts w:eastAsia="KaiTi" w:hint="eastAsia"/>
          <w:i/>
          <w:sz w:val="21"/>
          <w:szCs w:val="21"/>
        </w:rPr>
        <w:t>秘书处编拟</w:t>
      </w:r>
    </w:p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F87CAC" w:rsidRDefault="00F87CAC" w:rsidP="00F87CAC"/>
    <w:p w:rsidR="001E23C0" w:rsidRPr="00D00C2F" w:rsidRDefault="001E23C0" w:rsidP="00D00C2F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Hei"/>
          <w:bCs/>
          <w:iCs/>
          <w:caps/>
          <w:sz w:val="21"/>
          <w:szCs w:val="21"/>
        </w:rPr>
      </w:pP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导　言</w:t>
      </w:r>
    </w:p>
    <w:p w:rsidR="00296A34" w:rsidRPr="00296A34" w:rsidRDefault="001E23C0" w:rsidP="00DF2C52">
      <w:pPr>
        <w:numPr>
          <w:ilvl w:val="0"/>
          <w:numId w:val="2"/>
        </w:numPr>
        <w:tabs>
          <w:tab w:val="clear" w:pos="567"/>
        </w:tabs>
        <w:spacing w:afterLines="50" w:after="120" w:line="340" w:lineRule="atLeast"/>
        <w:jc w:val="both"/>
        <w:rPr>
          <w:rFonts w:ascii="SimSun" w:eastAsia="SimHei" w:hAnsi="SimSun"/>
          <w:sz w:val="21"/>
          <w:szCs w:val="21"/>
        </w:rPr>
      </w:pPr>
      <w:r w:rsidRPr="00DF2C52">
        <w:rPr>
          <w:rFonts w:ascii="SimSun" w:hAnsi="SimSun" w:hint="eastAsia"/>
          <w:sz w:val="21"/>
          <w:szCs w:val="21"/>
        </w:rPr>
        <w:t>本文件旨在向计划和预算委员会</w:t>
      </w:r>
      <w:r w:rsidRPr="00DF2C52">
        <w:rPr>
          <w:rFonts w:ascii="SimSun" w:hAnsi="SimSun"/>
          <w:sz w:val="21"/>
          <w:szCs w:val="21"/>
        </w:rPr>
        <w:t>(PBC)</w:t>
      </w:r>
      <w:r w:rsidRPr="00DF2C52">
        <w:rPr>
          <w:rFonts w:ascii="SimSun" w:hAnsi="SimSun" w:hint="eastAsia"/>
          <w:sz w:val="21"/>
          <w:szCs w:val="21"/>
        </w:rPr>
        <w:t>提交关于</w:t>
      </w:r>
      <w:r w:rsidRPr="00DF2C52">
        <w:rPr>
          <w:rFonts w:ascii="SimSun" w:hAnsi="SimSun"/>
          <w:sz w:val="21"/>
          <w:szCs w:val="21"/>
        </w:rPr>
        <w:t>WIPO</w:t>
      </w:r>
      <w:r w:rsidRPr="00DF2C52">
        <w:rPr>
          <w:rFonts w:ascii="SimSun" w:hAnsi="SimSun" w:hint="eastAsia"/>
          <w:sz w:val="21"/>
          <w:szCs w:val="21"/>
        </w:rPr>
        <w:t>现有建筑物安全与安保标准升级项目的进展报告，</w:t>
      </w:r>
      <w:r w:rsidR="002D366F">
        <w:rPr>
          <w:rFonts w:ascii="SimSun" w:hAnsi="SimSun" w:hint="eastAsia"/>
          <w:sz w:val="21"/>
          <w:szCs w:val="21"/>
        </w:rPr>
        <w:t>涉</w:t>
      </w:r>
      <w:r w:rsidRPr="00DF2C52">
        <w:rPr>
          <w:rFonts w:ascii="SimSun" w:hAnsi="SimSun" w:hint="eastAsia"/>
          <w:sz w:val="21"/>
          <w:szCs w:val="21"/>
        </w:rPr>
        <w:t>及2012年9月在</w:t>
      </w:r>
      <w:r w:rsidRPr="00DF2C52">
        <w:rPr>
          <w:rFonts w:ascii="SimSun" w:hAnsi="SimSun"/>
          <w:sz w:val="21"/>
          <w:szCs w:val="21"/>
        </w:rPr>
        <w:t>PBC</w:t>
      </w:r>
      <w:r w:rsidRPr="00DF2C52">
        <w:rPr>
          <w:rFonts w:ascii="SimSun" w:hAnsi="SimSun" w:hint="eastAsia"/>
          <w:sz w:val="21"/>
          <w:szCs w:val="21"/>
        </w:rPr>
        <w:t>第十九届会议上提交上一份进展报告</w:t>
      </w:r>
      <w:r w:rsidRPr="00DF2C52">
        <w:rPr>
          <w:rFonts w:ascii="SimSun" w:hAnsi="SimSun"/>
          <w:sz w:val="21"/>
          <w:szCs w:val="21"/>
        </w:rPr>
        <w:t>(WO/PBC/19/15)</w:t>
      </w:r>
      <w:r w:rsidR="003936D9" w:rsidRPr="00DF2C52">
        <w:rPr>
          <w:rFonts w:ascii="SimSun" w:hAnsi="SimSun" w:hint="eastAsia"/>
          <w:sz w:val="21"/>
          <w:szCs w:val="21"/>
        </w:rPr>
        <w:t>以来的期间。</w:t>
      </w:r>
    </w:p>
    <w:p w:rsidR="00296A34" w:rsidRPr="00D00C2F" w:rsidRDefault="00DF2C52" w:rsidP="00D00C2F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Hei"/>
          <w:bCs/>
          <w:iCs/>
          <w:caps/>
          <w:sz w:val="21"/>
          <w:szCs w:val="21"/>
        </w:rPr>
      </w:pP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项目进展</w:t>
      </w:r>
    </w:p>
    <w:p w:rsidR="001E23C0" w:rsidRPr="0017001D" w:rsidRDefault="00B672E4" w:rsidP="001E23C0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outlineLvl w:val="1"/>
        <w:rPr>
          <w:sz w:val="21"/>
        </w:rPr>
      </w:pPr>
      <w:r>
        <w:rPr>
          <w:rFonts w:ascii="SimSun" w:hAnsi="SimSun" w:hint="eastAsia"/>
          <w:sz w:val="21"/>
          <w:szCs w:val="21"/>
        </w:rPr>
        <w:t>按计划，</w:t>
      </w:r>
      <w:r w:rsidR="00DF2C52" w:rsidRPr="00DF2C52">
        <w:rPr>
          <w:rFonts w:ascii="SimSun" w:hAnsi="SimSun" w:hint="eastAsia"/>
          <w:sz w:val="21"/>
          <w:szCs w:val="21"/>
        </w:rPr>
        <w:t>安全与</w:t>
      </w:r>
      <w:r w:rsidR="002D366F" w:rsidRPr="00DF2C52">
        <w:rPr>
          <w:rFonts w:ascii="SimSun" w:hAnsi="SimSun" w:hint="eastAsia"/>
          <w:sz w:val="21"/>
          <w:szCs w:val="21"/>
        </w:rPr>
        <w:t>安</w:t>
      </w:r>
      <w:r w:rsidR="00DF2C52" w:rsidRPr="00DF2C52">
        <w:rPr>
          <w:rFonts w:ascii="SimSun" w:hAnsi="SimSun" w:hint="eastAsia"/>
          <w:sz w:val="21"/>
          <w:szCs w:val="21"/>
        </w:rPr>
        <w:t>保标准升级项目分下列三个阶段实施：</w:t>
      </w:r>
    </w:p>
    <w:p w:rsidR="001E23C0" w:rsidRPr="00DF2C52" w:rsidRDefault="00DF2C52" w:rsidP="00DF2C52">
      <w:pPr>
        <w:numPr>
          <w:ilvl w:val="0"/>
          <w:numId w:val="3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 w:rsidRPr="0074099A">
        <w:rPr>
          <w:rFonts w:ascii="SimHei" w:eastAsia="SimHei" w:hAnsi="SimHei" w:hint="eastAsia"/>
          <w:sz w:val="21"/>
          <w:szCs w:val="21"/>
        </w:rPr>
        <w:t>第一阶段</w:t>
      </w:r>
      <w:r>
        <w:rPr>
          <w:rFonts w:ascii="SimSun" w:hAnsi="SimSun" w:hint="eastAsia"/>
          <w:sz w:val="21"/>
          <w:szCs w:val="21"/>
        </w:rPr>
        <w:t>侧重于收集分析现有建筑物各种系统、基础设施和布线的必要信息，以便根据项目框架和</w:t>
      </w:r>
      <w:r w:rsidR="001E23C0" w:rsidRPr="00DF2C52">
        <w:rPr>
          <w:rFonts w:ascii="SimSun" w:hAnsi="SimSun"/>
          <w:sz w:val="21"/>
          <w:szCs w:val="21"/>
        </w:rPr>
        <w:t>H</w:t>
      </w:r>
      <w:r w:rsidR="001E23C0" w:rsidRPr="00DF2C52">
        <w:rPr>
          <w:rFonts w:ascii="SimSun" w:hAnsi="SimSun"/>
          <w:sz w:val="21"/>
          <w:szCs w:val="21"/>
        </w:rPr>
        <w:noBreakHyphen/>
        <w:t>MOSS</w:t>
      </w:r>
      <w:r>
        <w:rPr>
          <w:rFonts w:ascii="SimSun" w:hAnsi="SimSun" w:hint="eastAsia"/>
          <w:sz w:val="21"/>
          <w:szCs w:val="21"/>
        </w:rPr>
        <w:t>标准拟定安全与安保规划和一项安保方案；</w:t>
      </w:r>
    </w:p>
    <w:p w:rsidR="001E23C0" w:rsidRPr="00DF2C52" w:rsidRDefault="00DF2C52" w:rsidP="00DF2C52">
      <w:pPr>
        <w:numPr>
          <w:ilvl w:val="0"/>
          <w:numId w:val="3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 w:rsidRPr="0074099A">
        <w:rPr>
          <w:rFonts w:ascii="SimHei" w:eastAsia="SimHei" w:hAnsi="SimHei" w:hint="eastAsia"/>
          <w:sz w:val="21"/>
          <w:szCs w:val="21"/>
        </w:rPr>
        <w:t>第二阶段</w:t>
      </w:r>
      <w:r>
        <w:rPr>
          <w:rFonts w:ascii="SimSun" w:hAnsi="SimSun" w:hint="eastAsia"/>
          <w:sz w:val="21"/>
          <w:szCs w:val="21"/>
        </w:rPr>
        <w:t>涉及拟定各项技术规格，其中包括给建筑企业和服务提供商的执行方案、发出招标书以及采</w:t>
      </w:r>
      <w:r w:rsidR="002D366F">
        <w:rPr>
          <w:rFonts w:ascii="SimSun" w:hAnsi="SimSun" w:hint="eastAsia"/>
          <w:sz w:val="21"/>
          <w:szCs w:val="21"/>
        </w:rPr>
        <w:t>购</w:t>
      </w:r>
      <w:r>
        <w:rPr>
          <w:rFonts w:ascii="SimSun" w:hAnsi="SimSun" w:hint="eastAsia"/>
          <w:sz w:val="21"/>
          <w:szCs w:val="21"/>
        </w:rPr>
        <w:t>设备与系统；</w:t>
      </w:r>
    </w:p>
    <w:p w:rsidR="001E23C0" w:rsidRPr="0017001D" w:rsidRDefault="00DF2C52" w:rsidP="001E23C0">
      <w:pPr>
        <w:numPr>
          <w:ilvl w:val="0"/>
          <w:numId w:val="37"/>
        </w:numPr>
        <w:spacing w:afterLines="50" w:after="120" w:line="340" w:lineRule="atLeast"/>
        <w:ind w:left="567" w:firstLine="0"/>
        <w:jc w:val="both"/>
        <w:rPr>
          <w:rFonts w:eastAsiaTheme="minorHAnsi"/>
          <w:sz w:val="21"/>
          <w:szCs w:val="22"/>
        </w:rPr>
      </w:pPr>
      <w:r w:rsidRPr="0074099A">
        <w:rPr>
          <w:rFonts w:ascii="SimHei" w:eastAsia="SimHei" w:hAnsi="SimHei" w:hint="eastAsia"/>
          <w:sz w:val="21"/>
          <w:szCs w:val="21"/>
        </w:rPr>
        <w:t>第三阶段</w:t>
      </w:r>
      <w:r w:rsidRPr="00DF2C52">
        <w:rPr>
          <w:rFonts w:ascii="SimSun" w:hAnsi="SimSun" w:hint="eastAsia"/>
          <w:sz w:val="21"/>
          <w:szCs w:val="21"/>
        </w:rPr>
        <w:t>为施工阶段，直至各种装置完全移交给</w:t>
      </w:r>
      <w:r w:rsidR="001E23C0" w:rsidRPr="00DF2C52">
        <w:rPr>
          <w:rFonts w:ascii="SimSun" w:hAnsi="SimSun"/>
          <w:sz w:val="21"/>
          <w:szCs w:val="21"/>
        </w:rPr>
        <w:t>WIPO</w:t>
      </w:r>
      <w:r w:rsidRPr="00DF2C52">
        <w:rPr>
          <w:rFonts w:ascii="SimSun" w:hAnsi="SimSun" w:hint="eastAsia"/>
          <w:sz w:val="21"/>
          <w:szCs w:val="21"/>
        </w:rPr>
        <w:t>和进行工作人员培训。</w:t>
      </w:r>
    </w:p>
    <w:p w:rsidR="001E23C0" w:rsidRPr="00DF2C52" w:rsidRDefault="009E6CEB" w:rsidP="00DF2C52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本文件撰写之日，项目各主要部分所处的阶段如下：</w:t>
      </w:r>
    </w:p>
    <w:p w:rsidR="001E23C0" w:rsidRPr="0017001D" w:rsidRDefault="001E23C0" w:rsidP="001E23C0">
      <w:pPr>
        <w:outlineLvl w:val="1"/>
        <w:rPr>
          <w:sz w:val="21"/>
        </w:rPr>
      </w:pP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80"/>
        <w:gridCol w:w="2930"/>
        <w:gridCol w:w="3106"/>
      </w:tblGrid>
      <w:tr w:rsidR="001E23C0" w:rsidRPr="0017001D" w:rsidTr="001C6006">
        <w:trPr>
          <w:trHeight w:val="340"/>
          <w:jc w:val="center"/>
        </w:trPr>
        <w:tc>
          <w:tcPr>
            <w:tcW w:w="3280" w:type="dxa"/>
            <w:vAlign w:val="center"/>
          </w:tcPr>
          <w:p w:rsidR="001E23C0" w:rsidRPr="0017001D" w:rsidRDefault="009E6CEB" w:rsidP="0074099A">
            <w:pPr>
              <w:ind w:left="-108"/>
              <w:contextualSpacing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项目部分</w:t>
            </w:r>
          </w:p>
        </w:tc>
        <w:tc>
          <w:tcPr>
            <w:tcW w:w="2930" w:type="dxa"/>
            <w:vAlign w:val="center"/>
          </w:tcPr>
          <w:p w:rsidR="001E23C0" w:rsidRPr="0017001D" w:rsidRDefault="009E6CEB" w:rsidP="001E23C0">
            <w:pPr>
              <w:ind w:left="34"/>
              <w:contextualSpacing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现　状</w:t>
            </w:r>
          </w:p>
        </w:tc>
        <w:tc>
          <w:tcPr>
            <w:tcW w:w="3106" w:type="dxa"/>
            <w:vAlign w:val="center"/>
          </w:tcPr>
          <w:p w:rsidR="001E23C0" w:rsidRPr="0017001D" w:rsidRDefault="009E6CEB" w:rsidP="00A71FC0">
            <w:pPr>
              <w:ind w:left="19"/>
              <w:contextualSpacing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预　期</w:t>
            </w:r>
          </w:p>
        </w:tc>
      </w:tr>
      <w:tr w:rsidR="001E23C0" w:rsidRPr="0017001D" w:rsidTr="001C6006">
        <w:trPr>
          <w:trHeight w:val="340"/>
          <w:jc w:val="center"/>
        </w:trPr>
        <w:tc>
          <w:tcPr>
            <w:tcW w:w="3280" w:type="dxa"/>
            <w:vAlign w:val="center"/>
          </w:tcPr>
          <w:p w:rsidR="001E23C0" w:rsidRPr="0017001D" w:rsidRDefault="001E23C0" w:rsidP="0074099A">
            <w:pPr>
              <w:ind w:left="-108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WIPO</w:t>
            </w:r>
            <w:r w:rsidR="009E6CEB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安保周边措施</w:t>
            </w:r>
          </w:p>
        </w:tc>
        <w:tc>
          <w:tcPr>
            <w:tcW w:w="2930" w:type="dxa"/>
            <w:vAlign w:val="center"/>
          </w:tcPr>
          <w:p w:rsidR="001E23C0" w:rsidRPr="0017001D" w:rsidRDefault="002B2D09" w:rsidP="002B2D09">
            <w:pPr>
              <w:ind w:left="34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第三阶段仍在进行</w:t>
            </w:r>
          </w:p>
        </w:tc>
        <w:tc>
          <w:tcPr>
            <w:tcW w:w="3106" w:type="dxa"/>
            <w:vAlign w:val="center"/>
          </w:tcPr>
          <w:p w:rsidR="001E23C0" w:rsidRPr="0017001D" w:rsidRDefault="001E23C0" w:rsidP="00A71FC0">
            <w:pPr>
              <w:ind w:left="19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2014</w:t>
            </w:r>
            <w:r w:rsidR="002B2D09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年春</w:t>
            </w:r>
            <w:r w:rsidR="002C4228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季</w:t>
            </w:r>
            <w:r w:rsidR="002B2D09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完工</w:t>
            </w:r>
          </w:p>
        </w:tc>
      </w:tr>
      <w:tr w:rsidR="001E23C0" w:rsidRPr="0017001D" w:rsidTr="001C6006">
        <w:trPr>
          <w:trHeight w:val="361"/>
          <w:jc w:val="center"/>
        </w:trPr>
        <w:tc>
          <w:tcPr>
            <w:tcW w:w="3280" w:type="dxa"/>
            <w:vAlign w:val="center"/>
          </w:tcPr>
          <w:p w:rsidR="001E23C0" w:rsidRPr="0017001D" w:rsidRDefault="002B2D09" w:rsidP="0074099A">
            <w:pPr>
              <w:ind w:left="-108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内部安保措施</w:t>
            </w:r>
          </w:p>
        </w:tc>
        <w:tc>
          <w:tcPr>
            <w:tcW w:w="2930" w:type="dxa"/>
            <w:vAlign w:val="center"/>
          </w:tcPr>
          <w:p w:rsidR="001E23C0" w:rsidRPr="0017001D" w:rsidRDefault="002B2D09" w:rsidP="001E23C0">
            <w:pPr>
              <w:ind w:left="34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第三阶段仍在进行</w:t>
            </w:r>
          </w:p>
        </w:tc>
        <w:tc>
          <w:tcPr>
            <w:tcW w:w="3106" w:type="dxa"/>
            <w:vAlign w:val="center"/>
          </w:tcPr>
          <w:p w:rsidR="001E23C0" w:rsidRPr="0017001D" w:rsidRDefault="001E23C0" w:rsidP="00A71FC0">
            <w:pPr>
              <w:ind w:left="19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2013</w:t>
            </w:r>
            <w:r w:rsidR="002B2D09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年年底完工</w:t>
            </w:r>
          </w:p>
        </w:tc>
      </w:tr>
    </w:tbl>
    <w:p w:rsidR="001E23C0" w:rsidRPr="0017001D" w:rsidRDefault="002B2D09" w:rsidP="001E23C0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eastAsiaTheme="minorHAnsi"/>
          <w:b/>
          <w:sz w:val="21"/>
          <w:szCs w:val="22"/>
        </w:rPr>
      </w:pPr>
      <w:r w:rsidRPr="002B2D09">
        <w:rPr>
          <w:rFonts w:ascii="SimSun" w:hAnsi="SimSun" w:hint="eastAsia"/>
          <w:sz w:val="21"/>
          <w:szCs w:val="21"/>
        </w:rPr>
        <w:lastRenderedPageBreak/>
        <w:t>安保周边措施的分期与新会议厅和</w:t>
      </w:r>
      <w:r w:rsidR="001E23C0" w:rsidRPr="002B2D09">
        <w:rPr>
          <w:rFonts w:ascii="SimSun" w:hAnsi="SimSun"/>
          <w:sz w:val="21"/>
          <w:szCs w:val="21"/>
        </w:rPr>
        <w:t>AB</w:t>
      </w:r>
      <w:r w:rsidRPr="002B2D09">
        <w:rPr>
          <w:rFonts w:ascii="SimSun" w:hAnsi="SimSun" w:hint="eastAsia"/>
          <w:sz w:val="21"/>
          <w:szCs w:val="21"/>
        </w:rPr>
        <w:t>楼前的出入中心建设情况保持一致，将随着这两处工地的进展做出调整。</w:t>
      </w:r>
    </w:p>
    <w:p w:rsidR="001E23C0" w:rsidRPr="00D00C2F" w:rsidRDefault="002B2D09" w:rsidP="00D00C2F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Hei"/>
          <w:bCs/>
          <w:iCs/>
          <w:caps/>
          <w:sz w:val="21"/>
          <w:szCs w:val="21"/>
        </w:rPr>
      </w:pP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报告</w:t>
      </w:r>
      <w:r w:rsidR="003D2116">
        <w:rPr>
          <w:rFonts w:ascii="SimHei" w:eastAsia="SimHei" w:hAnsi="SimHei" w:hint="eastAsia"/>
          <w:bCs/>
          <w:iCs/>
          <w:caps/>
          <w:sz w:val="21"/>
          <w:szCs w:val="21"/>
        </w:rPr>
        <w:t>所涉</w:t>
      </w: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期间完成的目标</w:t>
      </w:r>
    </w:p>
    <w:p w:rsidR="006E3E99" w:rsidRPr="00DF2C52" w:rsidRDefault="006E3E99" w:rsidP="006E3E99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DF2C52">
        <w:rPr>
          <w:rFonts w:ascii="SimSun" w:hAnsi="SimSun"/>
          <w:sz w:val="21"/>
          <w:szCs w:val="21"/>
        </w:rPr>
        <w:t>GBI</w:t>
      </w:r>
      <w:r w:rsidR="004D0ED9">
        <w:rPr>
          <w:rFonts w:ascii="SimSun" w:hAnsi="SimSun" w:hint="eastAsia"/>
          <w:sz w:val="21"/>
          <w:szCs w:val="21"/>
        </w:rPr>
        <w:t>楼</w:t>
      </w:r>
      <w:r>
        <w:rPr>
          <w:rFonts w:ascii="SimSun" w:hAnsi="SimSun" w:hint="eastAsia"/>
          <w:sz w:val="21"/>
          <w:szCs w:val="21"/>
        </w:rPr>
        <w:t>一层的控制中心施工和装修工程始于2012年2月，已于2012年年底全面竣工。</w:t>
      </w:r>
    </w:p>
    <w:p w:rsidR="006E3E99" w:rsidRPr="000B5DCC" w:rsidRDefault="006E3E99" w:rsidP="006E3E99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0B5DCC">
        <w:rPr>
          <w:rFonts w:ascii="SimSun" w:hAnsi="SimSun" w:hint="eastAsia"/>
          <w:sz w:val="21"/>
          <w:szCs w:val="21"/>
        </w:rPr>
        <w:t>2012年年底，控制中心单独安装了一个专用局域网</w:t>
      </w:r>
      <w:r w:rsidRPr="000B5DCC">
        <w:rPr>
          <w:rFonts w:ascii="SimSun" w:hAnsi="SimSun"/>
          <w:sz w:val="21"/>
          <w:szCs w:val="21"/>
        </w:rPr>
        <w:t>(LAN)</w:t>
      </w:r>
      <w:r w:rsidRPr="000B5DCC">
        <w:rPr>
          <w:rFonts w:ascii="SimSun" w:hAnsi="SimSun" w:hint="eastAsia"/>
          <w:sz w:val="21"/>
          <w:szCs w:val="21"/>
        </w:rPr>
        <w:t>。预计所有安保设备和装置将于201</w:t>
      </w:r>
      <w:r w:rsidR="004D0ED9" w:rsidRPr="000B5DCC">
        <w:rPr>
          <w:rFonts w:ascii="SimSun" w:hAnsi="SimSun" w:hint="eastAsia"/>
          <w:sz w:val="21"/>
          <w:szCs w:val="21"/>
        </w:rPr>
        <w:t>4</w:t>
      </w:r>
      <w:r>
        <w:rPr>
          <w:rFonts w:ascii="SimSun" w:hAnsi="SimSun" w:hint="eastAsia"/>
          <w:sz w:val="21"/>
          <w:szCs w:val="21"/>
        </w:rPr>
        <w:t>年春季之前连接到这个专用局域网。</w:t>
      </w:r>
      <w:r w:rsidRPr="000B5DCC">
        <w:rPr>
          <w:rFonts w:ascii="SimSun" w:hAnsi="SimSun" w:hint="eastAsia"/>
          <w:sz w:val="21"/>
          <w:szCs w:val="21"/>
        </w:rPr>
        <w:t>这个专用局域网的目的是确保</w:t>
      </w:r>
      <w:r w:rsidR="009C34A6" w:rsidRPr="000B5DCC">
        <w:rPr>
          <w:rFonts w:ascii="SimSun" w:hAnsi="SimSun" w:hint="eastAsia"/>
          <w:sz w:val="21"/>
          <w:szCs w:val="21"/>
        </w:rPr>
        <w:t>控制中心</w:t>
      </w:r>
      <w:r w:rsidR="0066588C">
        <w:rPr>
          <w:rFonts w:ascii="SimSun" w:hAnsi="SimSun" w:hint="eastAsia"/>
          <w:sz w:val="21"/>
          <w:szCs w:val="21"/>
        </w:rPr>
        <w:t>内以及用于控制中心</w:t>
      </w:r>
      <w:r w:rsidR="009C34A6" w:rsidRPr="000B5DCC">
        <w:rPr>
          <w:rFonts w:ascii="SimSun" w:hAnsi="SimSun" w:hint="eastAsia"/>
          <w:sz w:val="21"/>
          <w:szCs w:val="21"/>
        </w:rPr>
        <w:t>的</w:t>
      </w:r>
      <w:r w:rsidR="0066588C">
        <w:rPr>
          <w:rFonts w:ascii="SimSun" w:hAnsi="SimSun" w:hint="eastAsia"/>
          <w:sz w:val="21"/>
          <w:szCs w:val="21"/>
        </w:rPr>
        <w:t>各种</w:t>
      </w:r>
      <w:r w:rsidR="009C34A6" w:rsidRPr="000B5DCC">
        <w:rPr>
          <w:rFonts w:ascii="SimSun" w:hAnsi="SimSun" w:hint="eastAsia"/>
          <w:sz w:val="21"/>
          <w:szCs w:val="21"/>
        </w:rPr>
        <w:t>安保系统</w:t>
      </w:r>
      <w:r w:rsidR="0066588C">
        <w:rPr>
          <w:rFonts w:ascii="SimSun" w:hAnsi="SimSun" w:hint="eastAsia"/>
          <w:sz w:val="21"/>
          <w:szCs w:val="21"/>
        </w:rPr>
        <w:t>独立于</w:t>
      </w:r>
      <w:r w:rsidRPr="000B5DCC">
        <w:rPr>
          <w:rFonts w:ascii="SimSun" w:hAnsi="SimSun"/>
          <w:sz w:val="21"/>
          <w:szCs w:val="21"/>
        </w:rPr>
        <w:t>WIPO</w:t>
      </w:r>
      <w:r w:rsidRPr="000B5DCC">
        <w:rPr>
          <w:rFonts w:ascii="SimSun" w:hAnsi="SimSun" w:hint="eastAsia"/>
          <w:sz w:val="21"/>
          <w:szCs w:val="21"/>
        </w:rPr>
        <w:t>其他地方可</w:t>
      </w:r>
      <w:r w:rsidR="0066588C">
        <w:rPr>
          <w:rFonts w:ascii="SimSun" w:hAnsi="SimSun" w:hint="eastAsia"/>
          <w:sz w:val="21"/>
          <w:szCs w:val="21"/>
        </w:rPr>
        <w:t>用的</w:t>
      </w:r>
      <w:r w:rsidRPr="000B5DCC">
        <w:rPr>
          <w:rFonts w:ascii="SimSun" w:hAnsi="SimSun" w:hint="eastAsia"/>
          <w:sz w:val="21"/>
          <w:szCs w:val="21"/>
        </w:rPr>
        <w:t>广域网。</w:t>
      </w:r>
    </w:p>
    <w:p w:rsidR="006E3E99" w:rsidRPr="00DF2C52" w:rsidRDefault="0066588C" w:rsidP="006E3E99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安保周边措施实施工程继续取得进展，这些措施是</w:t>
      </w:r>
      <w:r w:rsidR="008E0380">
        <w:rPr>
          <w:rFonts w:ascii="SimSun" w:hAnsi="SimSun" w:hint="eastAsia"/>
          <w:sz w:val="21"/>
          <w:szCs w:val="21"/>
        </w:rPr>
        <w:t>依据2009年和2010年与东道国、</w:t>
      </w:r>
      <w:r w:rsidR="008E0380" w:rsidRPr="0066588C">
        <w:rPr>
          <w:rFonts w:ascii="SimSun" w:hAnsi="SimSun" w:hint="eastAsia"/>
          <w:sz w:val="21"/>
          <w:szCs w:val="21"/>
        </w:rPr>
        <w:t>国际组织不动产基金会</w:t>
      </w:r>
      <w:r w:rsidR="008E0380" w:rsidRPr="00DF2C52">
        <w:rPr>
          <w:rFonts w:ascii="SimSun" w:hAnsi="SimSun"/>
          <w:sz w:val="21"/>
          <w:szCs w:val="21"/>
        </w:rPr>
        <w:t>(FIPOI)</w:t>
      </w:r>
      <w:r w:rsidR="008E0380">
        <w:rPr>
          <w:rFonts w:ascii="SimSun" w:hAnsi="SimSun" w:hint="eastAsia"/>
          <w:sz w:val="21"/>
          <w:szCs w:val="21"/>
        </w:rPr>
        <w:t>以及日内瓦</w:t>
      </w:r>
      <w:r>
        <w:rPr>
          <w:rFonts w:ascii="SimSun" w:hAnsi="SimSun" w:hint="eastAsia"/>
          <w:sz w:val="21"/>
          <w:szCs w:val="21"/>
        </w:rPr>
        <w:t>当地</w:t>
      </w:r>
      <w:r w:rsidR="008E0380">
        <w:rPr>
          <w:rFonts w:ascii="SimSun" w:hAnsi="SimSun" w:hint="eastAsia"/>
          <w:sz w:val="21"/>
          <w:szCs w:val="21"/>
        </w:rPr>
        <w:t>州政府和市政府讨论产生的周边车辆拦阻障碍修订项目，于2012年2月</w:t>
      </w:r>
      <w:r w:rsidR="00BD1416">
        <w:rPr>
          <w:rFonts w:ascii="SimSun" w:hAnsi="SimSun" w:hint="eastAsia"/>
          <w:sz w:val="21"/>
          <w:szCs w:val="21"/>
        </w:rPr>
        <w:t>围绕着</w:t>
      </w:r>
      <w:r w:rsidR="006E3E99">
        <w:rPr>
          <w:rFonts w:ascii="SimSun" w:hAnsi="SimSun" w:hint="eastAsia"/>
          <w:sz w:val="21"/>
          <w:szCs w:val="21"/>
        </w:rPr>
        <w:t>现有楼宇</w:t>
      </w:r>
      <w:r w:rsidR="00BD1416">
        <w:rPr>
          <w:rFonts w:ascii="SimSun" w:hAnsi="SimSun" w:hint="eastAsia"/>
          <w:sz w:val="21"/>
          <w:szCs w:val="21"/>
        </w:rPr>
        <w:t>动工的</w:t>
      </w:r>
      <w:r w:rsidR="006E3E99">
        <w:rPr>
          <w:rFonts w:ascii="SimSun" w:hAnsi="SimSun" w:hint="eastAsia"/>
          <w:sz w:val="21"/>
          <w:szCs w:val="21"/>
        </w:rPr>
        <w:t>。</w:t>
      </w:r>
      <w:r w:rsidR="006E3E99" w:rsidRPr="00DF2C52">
        <w:rPr>
          <w:rFonts w:ascii="SimSun" w:hAnsi="SimSun"/>
          <w:sz w:val="21"/>
          <w:szCs w:val="21"/>
        </w:rPr>
        <w:t>AB</w:t>
      </w:r>
      <w:r w:rsidR="006E3E99">
        <w:rPr>
          <w:rFonts w:ascii="SimSun" w:hAnsi="SimSun" w:hint="eastAsia"/>
          <w:sz w:val="21"/>
          <w:szCs w:val="21"/>
        </w:rPr>
        <w:t>楼、</w:t>
      </w:r>
      <w:r w:rsidR="006E3E99">
        <w:rPr>
          <w:rFonts w:ascii="SimSun" w:hAnsi="SimSun"/>
          <w:sz w:val="21"/>
          <w:szCs w:val="21"/>
        </w:rPr>
        <w:t>GB</w:t>
      </w:r>
      <w:r w:rsidR="006E3E99" w:rsidRPr="00DF2C52">
        <w:rPr>
          <w:rFonts w:ascii="SimSun" w:hAnsi="SimSun"/>
          <w:sz w:val="21"/>
          <w:szCs w:val="21"/>
        </w:rPr>
        <w:t>I</w:t>
      </w:r>
      <w:r w:rsidR="006E3E99">
        <w:rPr>
          <w:rFonts w:ascii="SimSun" w:hAnsi="SimSun" w:hint="eastAsia"/>
          <w:sz w:val="21"/>
          <w:szCs w:val="21"/>
        </w:rPr>
        <w:t>楼和</w:t>
      </w:r>
      <w:r w:rsidR="006E3E99" w:rsidRPr="00DF2C52">
        <w:rPr>
          <w:rFonts w:ascii="SimSun" w:hAnsi="SimSun"/>
          <w:sz w:val="21"/>
          <w:szCs w:val="21"/>
        </w:rPr>
        <w:t>GBII</w:t>
      </w:r>
      <w:r w:rsidR="006E3E99">
        <w:rPr>
          <w:rFonts w:ascii="SimSun" w:hAnsi="SimSun" w:hint="eastAsia"/>
          <w:sz w:val="21"/>
          <w:szCs w:val="21"/>
        </w:rPr>
        <w:t>楼</w:t>
      </w:r>
      <w:r w:rsidR="00BD1416">
        <w:rPr>
          <w:rFonts w:ascii="SimSun" w:hAnsi="SimSun" w:hint="eastAsia"/>
          <w:sz w:val="21"/>
          <w:szCs w:val="21"/>
        </w:rPr>
        <w:t>周边车辆拦阻障碍基础设施工程</w:t>
      </w:r>
      <w:r w:rsidR="006E3E99">
        <w:rPr>
          <w:rFonts w:ascii="SimSun" w:hAnsi="SimSun" w:hint="eastAsia"/>
          <w:sz w:val="21"/>
          <w:szCs w:val="21"/>
        </w:rPr>
        <w:t>的三分之二以及</w:t>
      </w:r>
      <w:r w:rsidR="006E3E99" w:rsidRPr="00DF2C52">
        <w:rPr>
          <w:rFonts w:ascii="SimSun" w:hAnsi="SimSun"/>
          <w:sz w:val="21"/>
          <w:szCs w:val="21"/>
        </w:rPr>
        <w:t>PCT</w:t>
      </w:r>
      <w:r w:rsidR="006E3E99">
        <w:rPr>
          <w:rFonts w:ascii="SimSun" w:hAnsi="SimSun" w:hint="eastAsia"/>
          <w:sz w:val="21"/>
          <w:szCs w:val="21"/>
        </w:rPr>
        <w:t>楼的大部分工程于2013年春季竣工，</w:t>
      </w:r>
      <w:r w:rsidR="006E3E99" w:rsidRPr="00DF2C52">
        <w:rPr>
          <w:rFonts w:ascii="SimSun" w:hAnsi="SimSun"/>
          <w:sz w:val="21"/>
          <w:szCs w:val="21"/>
        </w:rPr>
        <w:t>PCT</w:t>
      </w:r>
      <w:r w:rsidR="006E3E99">
        <w:rPr>
          <w:rFonts w:ascii="SimSun" w:hAnsi="SimSun" w:hint="eastAsia"/>
          <w:sz w:val="21"/>
          <w:szCs w:val="21"/>
        </w:rPr>
        <w:t>楼</w:t>
      </w:r>
      <w:r w:rsidR="00BD1416">
        <w:rPr>
          <w:rFonts w:ascii="SimSun" w:hAnsi="SimSun" w:hint="eastAsia"/>
          <w:sz w:val="21"/>
          <w:szCs w:val="21"/>
        </w:rPr>
        <w:t>的</w:t>
      </w:r>
      <w:r w:rsidR="006E3E99">
        <w:rPr>
          <w:rFonts w:ascii="SimSun" w:hAnsi="SimSun" w:hint="eastAsia"/>
          <w:sz w:val="21"/>
          <w:szCs w:val="21"/>
        </w:rPr>
        <w:t>其余部分预计2013年秋季完</w:t>
      </w:r>
      <w:r w:rsidR="00BD1416">
        <w:rPr>
          <w:rFonts w:ascii="SimSun" w:hAnsi="SimSun" w:hint="eastAsia"/>
          <w:sz w:val="21"/>
          <w:szCs w:val="21"/>
        </w:rPr>
        <w:t>工</w:t>
      </w:r>
      <w:r w:rsidR="006E3E99">
        <w:rPr>
          <w:rFonts w:ascii="SimSun" w:hAnsi="SimSun" w:hint="eastAsia"/>
          <w:sz w:val="21"/>
          <w:szCs w:val="21"/>
        </w:rPr>
        <w:t>。新楼安</w:t>
      </w:r>
      <w:r w:rsidR="00BD1416">
        <w:rPr>
          <w:rFonts w:ascii="SimSun" w:hAnsi="SimSun" w:hint="eastAsia"/>
          <w:sz w:val="21"/>
          <w:szCs w:val="21"/>
        </w:rPr>
        <w:t>保周边约二分之一的</w:t>
      </w:r>
      <w:r w:rsidR="006E3E99">
        <w:rPr>
          <w:rFonts w:ascii="SimSun" w:hAnsi="SimSun" w:hint="eastAsia"/>
          <w:sz w:val="21"/>
          <w:szCs w:val="21"/>
        </w:rPr>
        <w:t>基础设施</w:t>
      </w:r>
      <w:r w:rsidR="004D0ED9">
        <w:rPr>
          <w:rFonts w:ascii="SimSun" w:hAnsi="SimSun" w:hint="eastAsia"/>
          <w:sz w:val="21"/>
          <w:szCs w:val="21"/>
        </w:rPr>
        <w:t>部分</w:t>
      </w:r>
      <w:r w:rsidR="006E3E99">
        <w:rPr>
          <w:rFonts w:ascii="SimSun" w:hAnsi="SimSun" w:hint="eastAsia"/>
          <w:sz w:val="21"/>
          <w:szCs w:val="21"/>
        </w:rPr>
        <w:t>于2012年年底完成，其余部分预计2014年春季完工。同样，新会议厅和</w:t>
      </w:r>
      <w:r w:rsidR="006E3E99" w:rsidRPr="00DF2C52">
        <w:rPr>
          <w:rFonts w:ascii="SimSun" w:hAnsi="SimSun"/>
          <w:sz w:val="21"/>
          <w:szCs w:val="21"/>
        </w:rPr>
        <w:t>WIPO</w:t>
      </w:r>
      <w:r w:rsidR="009C34A6">
        <w:rPr>
          <w:rFonts w:ascii="SimSun" w:hAnsi="SimSun" w:hint="eastAsia"/>
          <w:sz w:val="21"/>
          <w:szCs w:val="21"/>
        </w:rPr>
        <w:t>办公区</w:t>
      </w:r>
      <w:r w:rsidR="006E3E99">
        <w:rPr>
          <w:rFonts w:ascii="SimSun" w:hAnsi="SimSun" w:hint="eastAsia"/>
          <w:sz w:val="21"/>
          <w:szCs w:val="21"/>
        </w:rPr>
        <w:t>新</w:t>
      </w:r>
      <w:r w:rsidR="002763F8">
        <w:rPr>
          <w:rFonts w:ascii="SimSun" w:hAnsi="SimSun" w:hint="eastAsia"/>
          <w:sz w:val="21"/>
          <w:szCs w:val="21"/>
        </w:rPr>
        <w:t>出入</w:t>
      </w:r>
      <w:r w:rsidR="006E3E99">
        <w:rPr>
          <w:rFonts w:ascii="SimSun" w:hAnsi="SimSun" w:hint="eastAsia"/>
          <w:sz w:val="21"/>
          <w:szCs w:val="21"/>
        </w:rPr>
        <w:t>中心</w:t>
      </w:r>
      <w:r w:rsidR="006E3E99" w:rsidRPr="00DF2C52">
        <w:rPr>
          <w:rFonts w:ascii="SimSun" w:hAnsi="SimSun"/>
          <w:sz w:val="21"/>
          <w:szCs w:val="21"/>
        </w:rPr>
        <w:t>(</w:t>
      </w:r>
      <w:r w:rsidR="006E3E99">
        <w:rPr>
          <w:rFonts w:ascii="SimSun" w:hAnsi="SimSun" w:hint="eastAsia"/>
          <w:sz w:val="21"/>
          <w:szCs w:val="21"/>
        </w:rPr>
        <w:t>位于</w:t>
      </w:r>
      <w:r w:rsidR="006E3E99" w:rsidRPr="00DF2C52">
        <w:rPr>
          <w:rFonts w:ascii="SimSun" w:hAnsi="SimSun"/>
          <w:sz w:val="21"/>
          <w:szCs w:val="21"/>
        </w:rPr>
        <w:t>AB</w:t>
      </w:r>
      <w:r w:rsidR="006E3E99">
        <w:rPr>
          <w:rFonts w:ascii="SimSun" w:hAnsi="SimSun" w:hint="eastAsia"/>
          <w:sz w:val="21"/>
          <w:szCs w:val="21"/>
        </w:rPr>
        <w:t>楼前</w:t>
      </w:r>
      <w:r w:rsidR="006E3E99" w:rsidRPr="00DF2C52">
        <w:rPr>
          <w:rFonts w:ascii="SimSun" w:hAnsi="SimSun"/>
          <w:sz w:val="21"/>
          <w:szCs w:val="21"/>
        </w:rPr>
        <w:t>)</w:t>
      </w:r>
      <w:r w:rsidR="008D1392">
        <w:rPr>
          <w:rFonts w:ascii="SimSun" w:hAnsi="SimSun" w:hint="eastAsia"/>
          <w:sz w:val="21"/>
          <w:szCs w:val="21"/>
        </w:rPr>
        <w:t>的</w:t>
      </w:r>
      <w:r w:rsidR="006E3E99">
        <w:rPr>
          <w:rFonts w:ascii="SimSun" w:hAnsi="SimSun" w:hint="eastAsia"/>
          <w:sz w:val="21"/>
          <w:szCs w:val="21"/>
        </w:rPr>
        <w:t>周边</w:t>
      </w:r>
      <w:r w:rsidR="00BD1416">
        <w:rPr>
          <w:rFonts w:ascii="SimSun" w:hAnsi="SimSun" w:hint="eastAsia"/>
          <w:sz w:val="21"/>
          <w:szCs w:val="21"/>
        </w:rPr>
        <w:t>工程</w:t>
      </w:r>
      <w:r w:rsidR="006E3E99">
        <w:rPr>
          <w:rFonts w:ascii="SimSun" w:hAnsi="SimSun" w:hint="eastAsia"/>
          <w:sz w:val="21"/>
          <w:szCs w:val="21"/>
        </w:rPr>
        <w:t>也将于2014年春季</w:t>
      </w:r>
      <w:r w:rsidR="00BD1416">
        <w:rPr>
          <w:rFonts w:ascii="SimSun" w:hAnsi="SimSun" w:hint="eastAsia"/>
          <w:sz w:val="21"/>
          <w:szCs w:val="21"/>
        </w:rPr>
        <w:t>在新会议厅和出入中心落成后</w:t>
      </w:r>
      <w:r w:rsidR="006E3E99">
        <w:rPr>
          <w:rFonts w:ascii="SimSun" w:hAnsi="SimSun" w:hint="eastAsia"/>
          <w:sz w:val="21"/>
          <w:szCs w:val="21"/>
        </w:rPr>
        <w:t>竣工。</w:t>
      </w:r>
    </w:p>
    <w:p w:rsidR="006E3E99" w:rsidRPr="00296A34" w:rsidRDefault="006E3E99" w:rsidP="006E3E99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eastAsia="SimHei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新</w:t>
      </w:r>
      <w:r w:rsidR="002763F8">
        <w:rPr>
          <w:rFonts w:ascii="SimSun" w:hAnsi="SimSun" w:hint="eastAsia"/>
          <w:sz w:val="21"/>
          <w:szCs w:val="21"/>
        </w:rPr>
        <w:t>出入</w:t>
      </w:r>
      <w:r>
        <w:rPr>
          <w:rFonts w:ascii="SimSun" w:hAnsi="SimSun" w:hint="eastAsia"/>
          <w:sz w:val="21"/>
          <w:szCs w:val="21"/>
        </w:rPr>
        <w:t>中心的</w:t>
      </w:r>
      <w:r w:rsidR="00BD1416">
        <w:rPr>
          <w:rFonts w:ascii="SimSun" w:hAnsi="SimSun" w:hint="eastAsia"/>
          <w:sz w:val="21"/>
          <w:szCs w:val="21"/>
        </w:rPr>
        <w:t>地基施工</w:t>
      </w:r>
      <w:r>
        <w:rPr>
          <w:rFonts w:ascii="SimSun" w:hAnsi="SimSun" w:hint="eastAsia"/>
          <w:sz w:val="21"/>
          <w:szCs w:val="21"/>
        </w:rPr>
        <w:t>于2012年完工。中心的木结构</w:t>
      </w:r>
      <w:r w:rsidRPr="00DF2C52">
        <w:rPr>
          <w:rFonts w:ascii="SimSun" w:hAnsi="SimSun"/>
          <w:sz w:val="21"/>
          <w:szCs w:val="21"/>
        </w:rPr>
        <w:t>(</w:t>
      </w:r>
      <w:r>
        <w:rPr>
          <w:rFonts w:ascii="SimSun" w:hAnsi="SimSun" w:hint="eastAsia"/>
          <w:sz w:val="21"/>
          <w:szCs w:val="21"/>
        </w:rPr>
        <w:t>包括屋顶</w:t>
      </w:r>
      <w:r w:rsidRPr="00DF2C52">
        <w:rPr>
          <w:rFonts w:ascii="SimSun" w:hAnsi="SimSun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于2013年7月完</w:t>
      </w:r>
      <w:r w:rsidR="00BD1416">
        <w:rPr>
          <w:rFonts w:ascii="SimSun" w:hAnsi="SimSun" w:hint="eastAsia"/>
          <w:sz w:val="21"/>
          <w:szCs w:val="21"/>
        </w:rPr>
        <w:t>工</w:t>
      </w:r>
      <w:r w:rsidR="001E4784">
        <w:rPr>
          <w:rFonts w:ascii="SimSun" w:hAnsi="SimSun" w:hint="eastAsia"/>
          <w:sz w:val="21"/>
          <w:szCs w:val="21"/>
        </w:rPr>
        <w:t>。</w:t>
      </w:r>
      <w:r>
        <w:rPr>
          <w:rFonts w:ascii="SimSun" w:hAnsi="SimSun" w:hint="eastAsia"/>
          <w:sz w:val="21"/>
          <w:szCs w:val="21"/>
        </w:rPr>
        <w:t>其余工程和装修工作正在进行中，预计2013年年底</w:t>
      </w:r>
      <w:r w:rsidR="001E4784">
        <w:rPr>
          <w:rFonts w:ascii="SimSun" w:hAnsi="SimSun" w:hint="eastAsia"/>
          <w:sz w:val="21"/>
          <w:szCs w:val="21"/>
        </w:rPr>
        <w:t>前</w:t>
      </w:r>
      <w:r>
        <w:rPr>
          <w:rFonts w:ascii="SimSun" w:hAnsi="SimSun" w:hint="eastAsia"/>
          <w:sz w:val="21"/>
          <w:szCs w:val="21"/>
        </w:rPr>
        <w:t>完工。</w:t>
      </w:r>
    </w:p>
    <w:p w:rsidR="00296A34" w:rsidRPr="00D00C2F" w:rsidRDefault="00132FA3" w:rsidP="00D00C2F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Hei"/>
          <w:bCs/>
          <w:iCs/>
          <w:caps/>
          <w:sz w:val="21"/>
          <w:szCs w:val="21"/>
        </w:rPr>
      </w:pP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核定预算的使用</w:t>
      </w:r>
    </w:p>
    <w:p w:rsidR="00296A34" w:rsidRPr="00296A34" w:rsidRDefault="00132FA3" w:rsidP="00DF2C52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Theme="minorEastAsia" w:eastAsia="SimHei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要回顾的是，现有建筑物安全与安保标准升级项目由东道国</w:t>
      </w:r>
      <w:r w:rsidR="001E4784">
        <w:rPr>
          <w:rFonts w:asciiTheme="minorEastAsia" w:eastAsiaTheme="minorEastAsia" w:hAnsiTheme="minorEastAsia" w:hint="eastAsia"/>
          <w:sz w:val="21"/>
          <w:szCs w:val="21"/>
        </w:rPr>
        <w:t>出资</w:t>
      </w:r>
      <w:r>
        <w:rPr>
          <w:rFonts w:asciiTheme="minorEastAsia" w:eastAsiaTheme="minorEastAsia" w:hAnsiTheme="minorEastAsia" w:hint="eastAsia"/>
          <w:sz w:val="21"/>
          <w:szCs w:val="21"/>
        </w:rPr>
        <w:t>至多500万瑞郎</w:t>
      </w:r>
      <w:r w:rsidR="003F29DF">
        <w:rPr>
          <w:rFonts w:asciiTheme="minorEastAsia" w:eastAsiaTheme="minorEastAsia" w:hAnsiTheme="minorEastAsia" w:hint="eastAsia"/>
          <w:sz w:val="21"/>
          <w:szCs w:val="21"/>
        </w:rPr>
        <w:t>，本组织的出资额为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7,600,000</w:t>
      </w:r>
      <w:r w:rsidR="003F29DF">
        <w:rPr>
          <w:rFonts w:asciiTheme="minorEastAsia" w:eastAsiaTheme="minorEastAsia" w:hAnsiTheme="minorEastAsia" w:hint="eastAsia"/>
          <w:sz w:val="21"/>
          <w:szCs w:val="21"/>
        </w:rPr>
        <w:t>瑞郎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 w:rsidR="003F29DF"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A/46/10</w:t>
      </w:r>
      <w:r w:rsidR="00164360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Rev.)</w:t>
      </w:r>
      <w:r w:rsidR="003F29DF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96A34" w:rsidRPr="00296A34" w:rsidRDefault="00FE2D61" w:rsidP="0074099A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Theme="minorEastAsia" w:eastAsia="SimHei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还要回顾的是，</w:t>
      </w:r>
      <w:r w:rsidR="002763F8">
        <w:rPr>
          <w:rFonts w:asciiTheme="minorEastAsia" w:eastAsiaTheme="minorEastAsia" w:hAnsiTheme="minorEastAsia" w:hint="eastAsia"/>
          <w:sz w:val="21"/>
          <w:szCs w:val="21"/>
        </w:rPr>
        <w:t>出入</w:t>
      </w:r>
      <w:r>
        <w:rPr>
          <w:rFonts w:asciiTheme="minorEastAsia" w:eastAsiaTheme="minorEastAsia" w:hAnsiTheme="minorEastAsia" w:hint="eastAsia"/>
          <w:sz w:val="21"/>
          <w:szCs w:val="21"/>
        </w:rPr>
        <w:t>中心</w:t>
      </w:r>
      <w:r w:rsidR="001E4784">
        <w:rPr>
          <w:rFonts w:asciiTheme="minorEastAsia" w:eastAsiaTheme="minorEastAsia" w:hAnsiTheme="minorEastAsia" w:hint="eastAsia"/>
          <w:sz w:val="21"/>
          <w:szCs w:val="21"/>
        </w:rPr>
        <w:t>的</w:t>
      </w:r>
      <w:r>
        <w:rPr>
          <w:rFonts w:asciiTheme="minorEastAsia" w:eastAsiaTheme="minorEastAsia" w:hAnsiTheme="minorEastAsia" w:hint="eastAsia"/>
          <w:sz w:val="21"/>
          <w:szCs w:val="21"/>
        </w:rPr>
        <w:t>建</w:t>
      </w:r>
      <w:r w:rsidR="001E4784">
        <w:rPr>
          <w:rFonts w:asciiTheme="minorEastAsia" w:eastAsiaTheme="minorEastAsia" w:hAnsiTheme="minorEastAsia" w:hint="eastAsia"/>
          <w:sz w:val="21"/>
          <w:szCs w:val="21"/>
        </w:rPr>
        <w:t>设</w:t>
      </w:r>
      <w:r>
        <w:rPr>
          <w:rFonts w:asciiTheme="minorEastAsia" w:eastAsiaTheme="minorEastAsia" w:hAnsiTheme="minorEastAsia" w:hint="eastAsia"/>
          <w:sz w:val="21"/>
          <w:szCs w:val="21"/>
        </w:rPr>
        <w:t>资金分成两部分，</w:t>
      </w:r>
      <w:r w:rsidR="001E4784">
        <w:rPr>
          <w:rFonts w:asciiTheme="minorEastAsia" w:eastAsiaTheme="minorEastAsia" w:hAnsiTheme="minorEastAsia" w:hint="eastAsia"/>
          <w:sz w:val="21"/>
          <w:szCs w:val="21"/>
        </w:rPr>
        <w:t>由</w:t>
      </w:r>
      <w:r>
        <w:rPr>
          <w:rFonts w:asciiTheme="minorEastAsia" w:eastAsiaTheme="minorEastAsia" w:hAnsiTheme="minorEastAsia" w:hint="eastAsia"/>
          <w:sz w:val="21"/>
          <w:szCs w:val="21"/>
        </w:rPr>
        <w:t>新会议厅项目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WO/PBC/14/10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A/47/12</w:t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A/47/16)</w:t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WIPO</w:t>
      </w:r>
      <w:r>
        <w:rPr>
          <w:rFonts w:asciiTheme="minorEastAsia" w:eastAsiaTheme="minorEastAsia" w:hAnsiTheme="minorEastAsia" w:hint="eastAsia"/>
          <w:sz w:val="21"/>
          <w:szCs w:val="21"/>
        </w:rPr>
        <w:t>现有建筑物安全与安保标准升级项目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分摊</w:t>
      </w:r>
      <w:r>
        <w:rPr>
          <w:rFonts w:asciiTheme="minorEastAsia" w:eastAsiaTheme="minorEastAsia" w:hAnsiTheme="minorEastAsia" w:hint="eastAsia"/>
          <w:sz w:val="21"/>
          <w:szCs w:val="21"/>
        </w:rPr>
        <w:t>。因此，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最初在</w:t>
      </w:r>
      <w:r>
        <w:rPr>
          <w:rFonts w:asciiTheme="minorEastAsia" w:eastAsiaTheme="minorEastAsia" w:hAnsiTheme="minorEastAsia" w:hint="eastAsia"/>
          <w:sz w:val="21"/>
          <w:szCs w:val="21"/>
        </w:rPr>
        <w:t>安保升级项目</w:t>
      </w:r>
      <w:r w:rsidR="00092794">
        <w:rPr>
          <w:rFonts w:asciiTheme="minorEastAsia" w:eastAsiaTheme="minorEastAsia" w:hAnsiTheme="minorEastAsia" w:hint="eastAsia"/>
          <w:sz w:val="21"/>
          <w:szCs w:val="21"/>
        </w:rPr>
        <w:t>原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范围</w:t>
      </w:r>
      <w:r w:rsidR="00092794">
        <w:rPr>
          <w:rFonts w:asciiTheme="minorEastAsia" w:eastAsiaTheme="minorEastAsia" w:hAnsiTheme="minorEastAsia" w:hint="eastAsia"/>
          <w:sz w:val="21"/>
          <w:szCs w:val="21"/>
        </w:rPr>
        <w:t>内为这项</w:t>
      </w:r>
      <w:r>
        <w:rPr>
          <w:rFonts w:asciiTheme="minorEastAsia" w:eastAsiaTheme="minorEastAsia" w:hAnsiTheme="minorEastAsia" w:hint="eastAsia"/>
          <w:sz w:val="21"/>
          <w:szCs w:val="21"/>
        </w:rPr>
        <w:t>工程划拨了约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800,000</w:t>
      </w:r>
      <w:r>
        <w:rPr>
          <w:rFonts w:asciiTheme="minorEastAsia" w:eastAsiaTheme="minorEastAsia" w:hAnsiTheme="minorEastAsia" w:hint="eastAsia"/>
          <w:sz w:val="21"/>
          <w:szCs w:val="21"/>
        </w:rPr>
        <w:t>瑞郎，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在</w:t>
      </w:r>
      <w:r>
        <w:rPr>
          <w:rFonts w:asciiTheme="minorEastAsia" w:eastAsiaTheme="minorEastAsia" w:hAnsiTheme="minorEastAsia" w:hint="eastAsia"/>
          <w:sz w:val="21"/>
          <w:szCs w:val="21"/>
        </w:rPr>
        <w:t>新会议厅项目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范围内</w:t>
      </w:r>
      <w:r>
        <w:rPr>
          <w:rFonts w:asciiTheme="minorEastAsia" w:eastAsiaTheme="minorEastAsia" w:hAnsiTheme="minorEastAsia" w:hint="eastAsia"/>
          <w:sz w:val="21"/>
          <w:szCs w:val="21"/>
        </w:rPr>
        <w:t>划拨了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1,800,000</w:t>
      </w:r>
      <w:r>
        <w:rPr>
          <w:rFonts w:asciiTheme="minorEastAsia" w:eastAsiaTheme="minorEastAsia" w:hAnsiTheme="minorEastAsia" w:hint="eastAsia"/>
          <w:sz w:val="21"/>
          <w:szCs w:val="21"/>
        </w:rPr>
        <w:t>瑞郎。2011年，计划和预算委员会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(PBC)</w:t>
      </w:r>
      <w:r w:rsidR="00D9202B">
        <w:rPr>
          <w:rFonts w:asciiTheme="minorEastAsia" w:eastAsiaTheme="minorEastAsia" w:hAnsiTheme="minorEastAsia" w:hint="eastAsia"/>
          <w:sz w:val="21"/>
          <w:szCs w:val="21"/>
        </w:rPr>
        <w:t>及</w:t>
      </w:r>
      <w:r w:rsidRPr="00DF2C52">
        <w:rPr>
          <w:rFonts w:asciiTheme="minorEastAsia" w:eastAsiaTheme="minorEastAsia" w:hAnsiTheme="minorEastAsia"/>
          <w:sz w:val="21"/>
          <w:szCs w:val="21"/>
        </w:rPr>
        <w:t>WIPO</w:t>
      </w:r>
      <w:r>
        <w:rPr>
          <w:rFonts w:asciiTheme="minorEastAsia" w:eastAsiaTheme="minorEastAsia" w:hAnsiTheme="minorEastAsia" w:hint="eastAsia"/>
          <w:sz w:val="21"/>
          <w:szCs w:val="21"/>
        </w:rPr>
        <w:t>成员国大会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得到通报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(i)</w:t>
      </w:r>
      <w:r>
        <w:rPr>
          <w:rFonts w:asciiTheme="minorEastAsia" w:eastAsiaTheme="minorEastAsia" w:hAnsiTheme="minorEastAsia" w:hint="eastAsia"/>
          <w:sz w:val="21"/>
          <w:szCs w:val="21"/>
        </w:rPr>
        <w:t>修改了安</w:t>
      </w:r>
      <w:r w:rsidR="00A81DA3">
        <w:rPr>
          <w:rFonts w:asciiTheme="minorEastAsia" w:eastAsiaTheme="minorEastAsia" w:hAnsiTheme="minorEastAsia" w:hint="eastAsia"/>
          <w:sz w:val="21"/>
          <w:szCs w:val="21"/>
        </w:rPr>
        <w:t>保</w:t>
      </w:r>
      <w:r>
        <w:rPr>
          <w:rFonts w:asciiTheme="minorEastAsia" w:eastAsiaTheme="minorEastAsia" w:hAnsiTheme="minorEastAsia" w:hint="eastAsia"/>
          <w:sz w:val="21"/>
          <w:szCs w:val="21"/>
        </w:rPr>
        <w:t>周边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的规格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以及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(ii)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由于</w:t>
      </w:r>
      <w:r>
        <w:rPr>
          <w:rFonts w:asciiTheme="minorEastAsia" w:eastAsiaTheme="minorEastAsia" w:hAnsiTheme="minorEastAsia" w:hint="eastAsia"/>
          <w:sz w:val="21"/>
          <w:szCs w:val="21"/>
        </w:rPr>
        <w:t>2010年启动、2011年结束的相关招标过程中的报价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2763F8">
        <w:rPr>
          <w:rFonts w:asciiTheme="minorEastAsia" w:eastAsiaTheme="minorEastAsia" w:hAnsiTheme="minorEastAsia" w:hint="eastAsia"/>
          <w:sz w:val="21"/>
          <w:szCs w:val="21"/>
        </w:rPr>
        <w:t>出入</w:t>
      </w:r>
      <w:r>
        <w:rPr>
          <w:rFonts w:asciiTheme="minorEastAsia" w:eastAsiaTheme="minorEastAsia" w:hAnsiTheme="minorEastAsia" w:hint="eastAsia"/>
          <w:sz w:val="21"/>
          <w:szCs w:val="21"/>
        </w:rPr>
        <w:t>中心的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概算</w:t>
      </w:r>
      <w:r>
        <w:rPr>
          <w:rFonts w:asciiTheme="minorEastAsia" w:eastAsiaTheme="minorEastAsia" w:hAnsiTheme="minorEastAsia" w:hint="eastAsia"/>
          <w:sz w:val="21"/>
          <w:szCs w:val="21"/>
        </w:rPr>
        <w:t>成本</w:t>
      </w:r>
      <w:r w:rsidR="00F5282F">
        <w:rPr>
          <w:rFonts w:asciiTheme="minorEastAsia" w:eastAsiaTheme="minorEastAsia" w:hAnsiTheme="minorEastAsia" w:hint="eastAsia"/>
          <w:sz w:val="21"/>
          <w:szCs w:val="21"/>
        </w:rPr>
        <w:t>有所增加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WO/PBC/18/6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WO/PBC/18/10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A/49/12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A/49/13</w:t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>
        <w:rPr>
          <w:rFonts w:asciiTheme="minorEastAsia" w:eastAsiaTheme="minorEastAsia" w:hAnsiTheme="minorEastAsia"/>
          <w:sz w:val="21"/>
          <w:szCs w:val="21"/>
        </w:rPr>
        <w:t>A/49/18)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96A34" w:rsidRPr="00296A34" w:rsidRDefault="00FE2D61" w:rsidP="0074099A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Theme="minorEastAsia" w:eastAsia="SimHei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依据文件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WO/PBC/18/6</w:t>
      </w:r>
      <w:r>
        <w:rPr>
          <w:rFonts w:asciiTheme="minorEastAsia" w:eastAsiaTheme="minorEastAsia" w:hAnsiTheme="minorEastAsia" w:hint="eastAsia"/>
          <w:sz w:val="21"/>
          <w:szCs w:val="21"/>
        </w:rPr>
        <w:t>第19段，且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由于修改了</w:t>
      </w:r>
      <w:r>
        <w:rPr>
          <w:rFonts w:asciiTheme="minorEastAsia" w:eastAsiaTheme="minorEastAsia" w:hAnsiTheme="minorEastAsia" w:hint="eastAsia"/>
          <w:sz w:val="21"/>
          <w:szCs w:val="21"/>
        </w:rPr>
        <w:t>周边拦阻障碍和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修改了</w:t>
      </w:r>
      <w:r w:rsidR="002763F8">
        <w:rPr>
          <w:rFonts w:asciiTheme="minorEastAsia" w:eastAsiaTheme="minorEastAsia" w:hAnsiTheme="minorEastAsia" w:hint="eastAsia"/>
          <w:sz w:val="21"/>
          <w:szCs w:val="21"/>
        </w:rPr>
        <w:t>出入</w:t>
      </w:r>
      <w:r>
        <w:rPr>
          <w:rFonts w:asciiTheme="minorEastAsia" w:eastAsiaTheme="minorEastAsia" w:hAnsiTheme="minorEastAsia" w:hint="eastAsia"/>
          <w:sz w:val="21"/>
          <w:szCs w:val="21"/>
        </w:rPr>
        <w:t>中心的范围，对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WIPO</w:t>
      </w:r>
      <w:r>
        <w:rPr>
          <w:rFonts w:asciiTheme="minorEastAsia" w:eastAsiaTheme="minorEastAsia" w:hAnsiTheme="minorEastAsia" w:hint="eastAsia"/>
          <w:sz w:val="21"/>
          <w:szCs w:val="21"/>
        </w:rPr>
        <w:t>现有建筑物安全与安保标准升级项目的其他功能进行了</w:t>
      </w:r>
      <w:r w:rsidR="008D1392">
        <w:rPr>
          <w:rFonts w:asciiTheme="minorEastAsia" w:eastAsiaTheme="minorEastAsia" w:hAnsiTheme="minorEastAsia" w:hint="eastAsia"/>
          <w:sz w:val="21"/>
          <w:szCs w:val="21"/>
        </w:rPr>
        <w:t>又一次</w:t>
      </w:r>
      <w:r>
        <w:rPr>
          <w:rFonts w:asciiTheme="minorEastAsia" w:eastAsiaTheme="minorEastAsia" w:hAnsiTheme="minorEastAsia" w:hint="eastAsia"/>
          <w:sz w:val="21"/>
          <w:szCs w:val="21"/>
        </w:rPr>
        <w:t>审查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。审查</w:t>
      </w:r>
      <w:r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为了评估</w:t>
      </w:r>
      <w:r>
        <w:rPr>
          <w:rFonts w:asciiTheme="minorEastAsia" w:eastAsiaTheme="minorEastAsia" w:hAnsiTheme="minorEastAsia" w:hint="eastAsia"/>
          <w:sz w:val="21"/>
          <w:szCs w:val="21"/>
        </w:rPr>
        <w:t>某些功能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能否</w:t>
      </w:r>
      <w:r>
        <w:rPr>
          <w:rFonts w:asciiTheme="minorEastAsia" w:eastAsiaTheme="minorEastAsia" w:hAnsiTheme="minorEastAsia" w:hint="eastAsia"/>
          <w:sz w:val="21"/>
          <w:szCs w:val="21"/>
        </w:rPr>
        <w:t>修改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或</w:t>
      </w:r>
      <w:r>
        <w:rPr>
          <w:rFonts w:asciiTheme="minorEastAsia" w:eastAsiaTheme="minorEastAsia" w:hAnsiTheme="minorEastAsia" w:hint="eastAsia"/>
          <w:sz w:val="21"/>
          <w:szCs w:val="21"/>
        </w:rPr>
        <w:t>推迟，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或是</w:t>
      </w:r>
      <w:r>
        <w:rPr>
          <w:rFonts w:asciiTheme="minorEastAsia" w:eastAsiaTheme="minorEastAsia" w:hAnsiTheme="minorEastAsia" w:hint="eastAsia"/>
          <w:sz w:val="21"/>
          <w:szCs w:val="21"/>
        </w:rPr>
        <w:t>另行处理。</w:t>
      </w:r>
    </w:p>
    <w:p w:rsidR="001E23C0" w:rsidRPr="00DF2C52" w:rsidRDefault="004C1720" w:rsidP="00DF2C52">
      <w:pPr>
        <w:pStyle w:val="af4"/>
        <w:numPr>
          <w:ilvl w:val="0"/>
          <w:numId w:val="38"/>
        </w:numPr>
        <w:spacing w:after="50" w:line="340" w:lineRule="atLeast"/>
        <w:ind w:left="0" w:firstLine="0"/>
        <w:jc w:val="both"/>
        <w:outlineLvl w:val="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秘书处决定，应当优先保证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出入中心的资金，使其</w:t>
      </w:r>
      <w:r>
        <w:rPr>
          <w:rFonts w:asciiTheme="minorEastAsia" w:eastAsiaTheme="minorEastAsia" w:hAnsiTheme="minorEastAsia" w:hint="eastAsia"/>
          <w:sz w:val="21"/>
          <w:szCs w:val="21"/>
        </w:rPr>
        <w:t>规模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适当</w:t>
      </w:r>
      <w:r>
        <w:rPr>
          <w:rFonts w:asciiTheme="minorEastAsia" w:eastAsiaTheme="minorEastAsia" w:hAnsiTheme="minorEastAsia" w:hint="eastAsia"/>
          <w:sz w:val="21"/>
          <w:szCs w:val="21"/>
        </w:rPr>
        <w:t>，配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备合乎用途</w:t>
      </w:r>
      <w:r>
        <w:rPr>
          <w:rFonts w:asciiTheme="minorEastAsia" w:eastAsiaTheme="minorEastAsia" w:hAnsiTheme="minorEastAsia" w:hint="eastAsia"/>
          <w:sz w:val="21"/>
          <w:szCs w:val="21"/>
        </w:rPr>
        <w:t>的设备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，可以</w:t>
      </w:r>
      <w:r>
        <w:rPr>
          <w:rFonts w:asciiTheme="minorEastAsia" w:eastAsiaTheme="minorEastAsia" w:hAnsiTheme="minorEastAsia" w:hint="eastAsia"/>
          <w:sz w:val="21"/>
          <w:szCs w:val="21"/>
        </w:rPr>
        <w:t>运行。因此借机审查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了</w:t>
      </w:r>
      <w:r>
        <w:rPr>
          <w:rFonts w:asciiTheme="minorEastAsia" w:eastAsiaTheme="minorEastAsia" w:hAnsiTheme="minorEastAsia" w:hint="eastAsia"/>
          <w:sz w:val="21"/>
          <w:szCs w:val="21"/>
        </w:rPr>
        <w:t>是否</w:t>
      </w:r>
      <w:r w:rsidR="00A81DA3">
        <w:rPr>
          <w:rFonts w:asciiTheme="minorEastAsia" w:eastAsiaTheme="minorEastAsia" w:hAnsiTheme="minorEastAsia" w:hint="eastAsia"/>
          <w:sz w:val="21"/>
          <w:szCs w:val="21"/>
        </w:rPr>
        <w:t>为</w:t>
      </w:r>
      <w:r w:rsidR="002763F8">
        <w:rPr>
          <w:rFonts w:asciiTheme="minorEastAsia" w:eastAsiaTheme="minorEastAsia" w:hAnsiTheme="minorEastAsia" w:hint="eastAsia"/>
          <w:sz w:val="21"/>
          <w:szCs w:val="21"/>
        </w:rPr>
        <w:t>出入</w:t>
      </w:r>
      <w:r>
        <w:rPr>
          <w:rFonts w:asciiTheme="minorEastAsia" w:eastAsiaTheme="minorEastAsia" w:hAnsiTheme="minorEastAsia" w:hint="eastAsia"/>
          <w:sz w:val="21"/>
          <w:szCs w:val="21"/>
        </w:rPr>
        <w:t>中心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的部分增加</w:t>
      </w:r>
      <w:r>
        <w:rPr>
          <w:rFonts w:asciiTheme="minorEastAsia" w:eastAsiaTheme="minorEastAsia" w:hAnsiTheme="minorEastAsia" w:hint="eastAsia"/>
          <w:sz w:val="21"/>
          <w:szCs w:val="21"/>
        </w:rPr>
        <w:t>成本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项目预算增加约100万瑞郎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)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筹</w:t>
      </w:r>
      <w:r w:rsidR="00A81DA3">
        <w:rPr>
          <w:rFonts w:asciiTheme="minorEastAsia" w:eastAsiaTheme="minorEastAsia" w:hAnsiTheme="minorEastAsia" w:hint="eastAsia"/>
          <w:sz w:val="21"/>
          <w:szCs w:val="21"/>
        </w:rPr>
        <w:t>资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，如果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决定</w:t>
      </w:r>
      <w:r w:rsidR="008D1392">
        <w:rPr>
          <w:rFonts w:asciiTheme="minorEastAsia" w:eastAsiaTheme="minorEastAsia" w:hAnsiTheme="minorEastAsia" w:hint="eastAsia"/>
          <w:sz w:val="21"/>
          <w:szCs w:val="21"/>
        </w:rPr>
        <w:t>筹资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，怎样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筹资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此次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进一步审查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的结果是，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项目原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范围内计划</w:t>
      </w:r>
      <w:r w:rsidR="001476AC"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或安装的若干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组件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尤其涉及入侵检测措施、</w:t>
      </w:r>
      <w:r w:rsidR="001476AC"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安装视频监控设备、安装外部照明和</w:t>
      </w:r>
      <w:r w:rsidR="001476AC"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安装防暴检测设备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)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可从原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范围内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删除，推迟到以后实施，不会影响另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外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实施的安全和安保措施的预期结果。</w:t>
      </w:r>
      <w:r w:rsidR="0017001D">
        <w:rPr>
          <w:rFonts w:asciiTheme="minorEastAsia" w:eastAsiaTheme="minorEastAsia" w:hAnsiTheme="minorEastAsia" w:hint="eastAsia"/>
          <w:sz w:val="21"/>
          <w:szCs w:val="21"/>
        </w:rPr>
        <w:t>2016年之后，秘书处将在必要时，就相关资本开支项目的实际意义、范围、时机和供资方案，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向</w:t>
      </w:r>
      <w:r w:rsidR="0017001D">
        <w:rPr>
          <w:rFonts w:asciiTheme="minorEastAsia" w:eastAsiaTheme="minorEastAsia" w:hAnsiTheme="minorEastAsia" w:hint="eastAsia"/>
          <w:sz w:val="21"/>
          <w:szCs w:val="21"/>
        </w:rPr>
        <w:t>PBC和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成员国提出建议。</w:t>
      </w:r>
    </w:p>
    <w:p w:rsidR="001E23C0" w:rsidRPr="00DF2C52" w:rsidRDefault="001E23C0" w:rsidP="00DF2C52">
      <w:pPr>
        <w:pStyle w:val="af4"/>
        <w:keepNext/>
        <w:keepLines/>
        <w:numPr>
          <w:ilvl w:val="0"/>
          <w:numId w:val="38"/>
        </w:numPr>
        <w:spacing w:after="50" w:line="340" w:lineRule="atLeast"/>
        <w:ind w:left="0" w:firstLine="0"/>
        <w:jc w:val="both"/>
        <w:outlineLvl w:val="1"/>
        <w:rPr>
          <w:rFonts w:asciiTheme="minorEastAsia" w:eastAsiaTheme="minorEastAsia" w:hAnsiTheme="minorEastAsia"/>
          <w:sz w:val="21"/>
          <w:szCs w:val="21"/>
        </w:rPr>
      </w:pPr>
      <w:r w:rsidRPr="00DF2C52">
        <w:rPr>
          <w:rFonts w:asciiTheme="minorEastAsia" w:eastAsiaTheme="minorEastAsia" w:hAnsiTheme="minorEastAsia"/>
          <w:sz w:val="21"/>
          <w:szCs w:val="21"/>
        </w:rPr>
        <w:lastRenderedPageBreak/>
        <w:t>2013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年6月30日，承付额</w:t>
      </w:r>
      <w:r w:rsidR="00591E3A">
        <w:rPr>
          <w:rFonts w:asciiTheme="minorEastAsia" w:eastAsiaTheme="minorEastAsia" w:hAnsiTheme="minorEastAsia" w:hint="eastAsia"/>
          <w:sz w:val="21"/>
          <w:szCs w:val="21"/>
        </w:rPr>
        <w:t>共计</w:t>
      </w:r>
      <w:r w:rsidR="00591E3A">
        <w:rPr>
          <w:rFonts w:asciiTheme="minorEastAsia" w:eastAsiaTheme="minorEastAsia" w:hAnsiTheme="minorEastAsia"/>
          <w:sz w:val="21"/>
          <w:szCs w:val="21"/>
        </w:rPr>
        <w:t>6,769,172.18</w:t>
      </w:r>
      <w:r w:rsidR="00591E3A">
        <w:rPr>
          <w:rFonts w:asciiTheme="minorEastAsia" w:eastAsiaTheme="minorEastAsia" w:hAnsiTheme="minorEastAsia" w:hint="eastAsia"/>
          <w:sz w:val="21"/>
          <w:szCs w:val="21"/>
        </w:rPr>
        <w:t>瑞郎，明细如下：</w:t>
      </w:r>
    </w:p>
    <w:p w:rsidR="001E23C0" w:rsidRPr="0017001D" w:rsidRDefault="001E23C0" w:rsidP="001E23C0">
      <w:pPr>
        <w:keepNext/>
        <w:keepLines/>
        <w:spacing w:line="276" w:lineRule="auto"/>
        <w:rPr>
          <w:rFonts w:eastAsiaTheme="minorHAnsi"/>
          <w:sz w:val="21"/>
          <w:szCs w:val="22"/>
        </w:rPr>
      </w:pPr>
    </w:p>
    <w:tbl>
      <w:tblPr>
        <w:tblStyle w:val="ae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1E23C0" w:rsidRPr="0017001D" w:rsidTr="008D1392">
        <w:trPr>
          <w:gridBefore w:val="1"/>
          <w:wBefore w:w="4536" w:type="dxa"/>
          <w:trHeight w:val="419"/>
        </w:trPr>
        <w:tc>
          <w:tcPr>
            <w:tcW w:w="3948" w:type="dxa"/>
            <w:vAlign w:val="center"/>
          </w:tcPr>
          <w:p w:rsidR="001E23C0" w:rsidRPr="0017001D" w:rsidRDefault="00591E3A" w:rsidP="008D1392">
            <w:pPr>
              <w:keepNext/>
              <w:keepLines/>
              <w:spacing w:line="276" w:lineRule="auto"/>
              <w:ind w:left="1313"/>
              <w:contextualSpacing/>
              <w:jc w:val="both"/>
              <w:rPr>
                <w:rFonts w:ascii="SimHei" w:eastAsia="SimHei" w:hAnsi="SimHei"/>
                <w:sz w:val="21"/>
              </w:rPr>
            </w:pPr>
            <w:r w:rsidRPr="0017001D">
              <w:rPr>
                <w:rFonts w:ascii="SimHei" w:eastAsia="SimHei" w:hAnsi="SimHei" w:hint="eastAsia"/>
                <w:sz w:val="21"/>
              </w:rPr>
              <w:t>数额(瑞郎)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1E23C0" w:rsidP="00591E3A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szCs w:val="21"/>
                <w:lang w:eastAsia="en-US"/>
              </w:rPr>
              <w:t>2008</w:t>
            </w:r>
            <w:r w:rsidR="00591E3A" w:rsidRPr="0017001D">
              <w:rPr>
                <w:rFonts w:ascii="SimHei" w:eastAsia="SimHei" w:hAnsi="SimHei" w:hint="eastAsia"/>
                <w:sz w:val="21"/>
                <w:szCs w:val="21"/>
              </w:rPr>
              <w:t>年12月成员国核定预算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szCs w:val="21"/>
                <w:lang w:eastAsia="en-US"/>
              </w:rPr>
              <w:t>7,600,000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东道国出资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szCs w:val="21"/>
                <w:lang w:eastAsia="en-US"/>
              </w:rPr>
              <w:t>5,000,000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591E3A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可用预算共计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szCs w:val="21"/>
                <w:lang w:eastAsia="en-US"/>
              </w:rPr>
              <w:t>12,600,000</w:t>
            </w:r>
          </w:p>
        </w:tc>
      </w:tr>
    </w:tbl>
    <w:p w:rsidR="001E23C0" w:rsidRPr="00A0542E" w:rsidRDefault="001E23C0" w:rsidP="001E23C0">
      <w:pPr>
        <w:keepNext/>
        <w:keepLines/>
        <w:spacing w:line="276" w:lineRule="auto"/>
        <w:rPr>
          <w:rFonts w:ascii="SimHei" w:eastAsia="SimHei" w:hAnsi="SimHei"/>
          <w:sz w:val="21"/>
          <w:szCs w:val="21"/>
          <w:lang w:eastAsia="en-US"/>
        </w:rPr>
      </w:pPr>
    </w:p>
    <w:tbl>
      <w:tblPr>
        <w:tblStyle w:val="ae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1E23C0" w:rsidRPr="0017001D" w:rsidTr="008D1392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承付情况</w:t>
            </w:r>
          </w:p>
        </w:tc>
        <w:tc>
          <w:tcPr>
            <w:tcW w:w="3948" w:type="dxa"/>
            <w:vAlign w:val="center"/>
          </w:tcPr>
          <w:p w:rsidR="001E23C0" w:rsidRPr="0017001D" w:rsidRDefault="00591E3A" w:rsidP="008D1392">
            <w:pPr>
              <w:keepNext/>
              <w:keepLines/>
              <w:spacing w:line="276" w:lineRule="auto"/>
              <w:ind w:left="11"/>
              <w:contextualSpacing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数额(瑞郎)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WIPO</w:t>
            </w:r>
            <w:r w:rsidR="00591E3A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承付额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4,154,582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东道国承付额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2,614,590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承付额共计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6,769,172</w:t>
            </w:r>
          </w:p>
        </w:tc>
      </w:tr>
    </w:tbl>
    <w:p w:rsidR="001E23C0" w:rsidRPr="0017001D" w:rsidRDefault="001E23C0" w:rsidP="001E23C0">
      <w:pPr>
        <w:keepNext/>
        <w:keepLines/>
        <w:spacing w:line="276" w:lineRule="auto"/>
        <w:jc w:val="right"/>
        <w:rPr>
          <w:rFonts w:eastAsiaTheme="minorHAnsi"/>
          <w:b/>
          <w:sz w:val="21"/>
          <w:szCs w:val="22"/>
          <w:lang w:eastAsia="en-US"/>
        </w:rPr>
      </w:pPr>
    </w:p>
    <w:tbl>
      <w:tblPr>
        <w:tblStyle w:val="ae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1E23C0" w:rsidRPr="0017001D" w:rsidTr="008D1392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承付后余额</w:t>
            </w:r>
          </w:p>
        </w:tc>
        <w:tc>
          <w:tcPr>
            <w:tcW w:w="3948" w:type="dxa"/>
            <w:vAlign w:val="center"/>
          </w:tcPr>
          <w:p w:rsidR="001E23C0" w:rsidRPr="0017001D" w:rsidRDefault="00591E3A" w:rsidP="008D1392">
            <w:pPr>
              <w:keepNext/>
              <w:keepLines/>
              <w:spacing w:line="276" w:lineRule="auto"/>
              <w:ind w:left="33"/>
              <w:contextualSpacing/>
              <w:jc w:val="center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数额(瑞郎)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1E23C0" w:rsidP="00591E3A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WIPO</w:t>
            </w:r>
            <w:r w:rsidR="00591E3A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可用余额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3,445,417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东道国可用余额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2,385,409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可用余额共计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5,830,827</w:t>
            </w:r>
          </w:p>
        </w:tc>
      </w:tr>
    </w:tbl>
    <w:p w:rsidR="00296A34" w:rsidRPr="0017001D" w:rsidRDefault="00296A34" w:rsidP="001E23C0">
      <w:pPr>
        <w:ind w:left="5613"/>
        <w:rPr>
          <w:rFonts w:eastAsia="SimHei"/>
          <w:sz w:val="21"/>
        </w:rPr>
      </w:pPr>
    </w:p>
    <w:p w:rsidR="00F87CAC" w:rsidRPr="0017001D" w:rsidRDefault="006009F5" w:rsidP="0017001D">
      <w:pPr>
        <w:pStyle w:val="DecisionInvitingPara"/>
        <w:spacing w:line="340" w:lineRule="atLeast"/>
        <w:jc w:val="both"/>
        <w:rPr>
          <w:rFonts w:ascii="KaiTi" w:eastAsia="KaiTi" w:hAnsi="KaiTi" w:cs="Arial"/>
          <w:iCs/>
          <w:sz w:val="21"/>
          <w:szCs w:val="22"/>
          <w:lang w:eastAsia="zh-CN"/>
        </w:rPr>
      </w:pPr>
      <w:r w:rsidRPr="0017001D">
        <w:rPr>
          <w:rFonts w:ascii="KaiTi" w:eastAsia="KaiTi" w:hAnsi="KaiTi" w:hint="eastAsia"/>
          <w:sz w:val="21"/>
          <w:szCs w:val="21"/>
          <w:lang w:eastAsia="zh-CN"/>
        </w:rPr>
        <w:t>14</w:t>
      </w:r>
      <w:r w:rsidR="007415E9" w:rsidRPr="0017001D">
        <w:rPr>
          <w:rFonts w:ascii="KaiTi" w:eastAsia="KaiTi" w:hAnsi="KaiTi"/>
          <w:sz w:val="21"/>
          <w:szCs w:val="21"/>
          <w:lang w:eastAsia="zh-CN"/>
        </w:rPr>
        <w:t>.</w:t>
      </w:r>
      <w:r w:rsidR="007415E9" w:rsidRPr="0017001D">
        <w:rPr>
          <w:rFonts w:ascii="KaiTi" w:eastAsia="KaiTi" w:hAnsi="KaiTi" w:cs="Arial"/>
          <w:sz w:val="21"/>
          <w:szCs w:val="22"/>
          <w:lang w:eastAsia="zh-CN"/>
        </w:rPr>
        <w:tab/>
      </w:r>
      <w:r w:rsidR="00F87CAC" w:rsidRPr="0017001D">
        <w:rPr>
          <w:rFonts w:ascii="KaiTi" w:eastAsia="KaiTi" w:hAnsi="KaiTi" w:cs="Arial" w:hint="eastAsia"/>
          <w:sz w:val="21"/>
          <w:szCs w:val="21"/>
          <w:lang w:eastAsia="zh-CN"/>
        </w:rPr>
        <w:t>请计划和预算委员会建议WIPO成员国大会注意本文件的内容。</w:t>
      </w:r>
    </w:p>
    <w:p w:rsidR="00F87CAC" w:rsidRPr="006A78C1" w:rsidRDefault="00F87CAC" w:rsidP="006A78C1">
      <w:pPr>
        <w:pStyle w:val="ONUME"/>
        <w:numPr>
          <w:ilvl w:val="0"/>
          <w:numId w:val="0"/>
        </w:numPr>
        <w:spacing w:after="120" w:line="340" w:lineRule="atLeast"/>
        <w:ind w:left="5534"/>
        <w:jc w:val="both"/>
        <w:rPr>
          <w:rFonts w:ascii="KaiTi" w:eastAsia="KaiTi"/>
          <w:i/>
          <w:sz w:val="21"/>
          <w:szCs w:val="21"/>
        </w:rPr>
      </w:pPr>
    </w:p>
    <w:p w:rsidR="0074082E" w:rsidRPr="006A78C1" w:rsidRDefault="00F87CAC" w:rsidP="006A78C1">
      <w:pPr>
        <w:pStyle w:val="Endofdocument-Annex"/>
        <w:spacing w:after="120" w:line="340" w:lineRule="atLeast"/>
        <w:jc w:val="both"/>
        <w:rPr>
          <w:rFonts w:ascii="KaiTi" w:eastAsia="KaiTi"/>
          <w:sz w:val="21"/>
          <w:szCs w:val="21"/>
        </w:rPr>
      </w:pPr>
      <w:r w:rsidRPr="006A78C1">
        <w:rPr>
          <w:rFonts w:ascii="KaiTi" w:eastAsia="KaiTi" w:hint="eastAsia"/>
          <w:sz w:val="21"/>
          <w:szCs w:val="21"/>
        </w:rPr>
        <w:t>［文件完］</w:t>
      </w:r>
    </w:p>
    <w:sectPr w:rsidR="0074082E" w:rsidRPr="006A78C1" w:rsidSect="000D600A"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92" w:rsidRDefault="008D1392">
      <w:r>
        <w:separator/>
      </w:r>
    </w:p>
  </w:endnote>
  <w:endnote w:type="continuationSeparator" w:id="0">
    <w:p w:rsidR="008D1392" w:rsidRDefault="008D1392" w:rsidP="003B38C1">
      <w:r>
        <w:separator/>
      </w:r>
    </w:p>
    <w:p w:rsidR="008D1392" w:rsidRPr="003B38C1" w:rsidRDefault="008D13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1392" w:rsidRPr="003B38C1" w:rsidRDefault="008D13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92" w:rsidRDefault="008D1392">
      <w:r>
        <w:separator/>
      </w:r>
    </w:p>
  </w:footnote>
  <w:footnote w:type="continuationSeparator" w:id="0">
    <w:p w:rsidR="008D1392" w:rsidRDefault="008D1392" w:rsidP="008B60B2">
      <w:r>
        <w:separator/>
      </w:r>
    </w:p>
    <w:p w:rsidR="008D1392" w:rsidRPr="00ED77FB" w:rsidRDefault="008D13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1392" w:rsidRPr="00ED77FB" w:rsidRDefault="008D13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92" w:rsidRPr="00155CDE" w:rsidRDefault="008D1392" w:rsidP="0074082E">
    <w:pPr>
      <w:jc w:val="right"/>
      <w:rPr>
        <w:rFonts w:ascii="SimSun" w:hAnsi="SimSun"/>
        <w:sz w:val="21"/>
        <w:szCs w:val="21"/>
      </w:rPr>
    </w:pPr>
    <w:r w:rsidRPr="00155CDE">
      <w:rPr>
        <w:rFonts w:ascii="SimSun" w:hAnsi="SimSun"/>
        <w:sz w:val="21"/>
        <w:szCs w:val="21"/>
      </w:rPr>
      <w:t>WO/PBC/</w:t>
    </w:r>
    <w:r w:rsidRPr="00155CDE">
      <w:rPr>
        <w:rFonts w:ascii="SimSun" w:hAnsi="SimSun" w:hint="eastAsia"/>
        <w:sz w:val="21"/>
        <w:szCs w:val="21"/>
      </w:rPr>
      <w:t>21</w:t>
    </w:r>
    <w:r w:rsidRPr="00155CDE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9</w:t>
    </w:r>
  </w:p>
  <w:p w:rsidR="008D1392" w:rsidRPr="006E3922" w:rsidRDefault="008D1392" w:rsidP="0074082E">
    <w:pPr>
      <w:jc w:val="right"/>
      <w:rPr>
        <w:sz w:val="21"/>
        <w:szCs w:val="21"/>
      </w:rPr>
    </w:pPr>
    <w:r w:rsidRPr="00155CDE">
      <w:rPr>
        <w:rFonts w:ascii="SimSun" w:hAnsi="SimSun" w:hint="eastAsia"/>
        <w:sz w:val="21"/>
        <w:szCs w:val="21"/>
      </w:rPr>
      <w:t xml:space="preserve">第 </w:t>
    </w:r>
    <w:r w:rsidRPr="00155CDE">
      <w:rPr>
        <w:rStyle w:val="af2"/>
        <w:rFonts w:ascii="SimSun" w:hAnsi="SimSun"/>
        <w:sz w:val="21"/>
        <w:szCs w:val="21"/>
      </w:rPr>
      <w:fldChar w:fldCharType="begin"/>
    </w:r>
    <w:r w:rsidRPr="00155CDE">
      <w:rPr>
        <w:rStyle w:val="af2"/>
        <w:rFonts w:ascii="SimSun" w:hAnsi="SimSun"/>
        <w:sz w:val="21"/>
        <w:szCs w:val="21"/>
      </w:rPr>
      <w:instrText xml:space="preserve"> PAGE </w:instrText>
    </w:r>
    <w:r w:rsidRPr="00155CDE">
      <w:rPr>
        <w:rStyle w:val="af2"/>
        <w:rFonts w:ascii="SimSun" w:hAnsi="SimSun"/>
        <w:sz w:val="21"/>
        <w:szCs w:val="21"/>
      </w:rPr>
      <w:fldChar w:fldCharType="separate"/>
    </w:r>
    <w:r w:rsidR="00106C55">
      <w:rPr>
        <w:rStyle w:val="af2"/>
        <w:rFonts w:ascii="SimSun" w:hAnsi="SimSun"/>
        <w:noProof/>
        <w:sz w:val="21"/>
        <w:szCs w:val="21"/>
      </w:rPr>
      <w:t>3</w:t>
    </w:r>
    <w:r w:rsidRPr="00155CDE">
      <w:rPr>
        <w:rStyle w:val="af2"/>
        <w:rFonts w:ascii="SimSun" w:hAnsi="SimSun"/>
        <w:sz w:val="21"/>
        <w:szCs w:val="21"/>
      </w:rPr>
      <w:fldChar w:fldCharType="end"/>
    </w:r>
    <w:r w:rsidRPr="00155CDE">
      <w:rPr>
        <w:rFonts w:ascii="SimSun" w:hAnsi="SimSun" w:hint="eastAsia"/>
        <w:sz w:val="21"/>
        <w:szCs w:val="21"/>
      </w:rPr>
      <w:t xml:space="preserve"> 页</w:t>
    </w:r>
  </w:p>
  <w:p w:rsidR="008D1392" w:rsidRPr="006E3922" w:rsidRDefault="008D1392" w:rsidP="0074082E">
    <w:pPr>
      <w:jc w:val="right"/>
      <w:rPr>
        <w:sz w:val="21"/>
        <w:szCs w:val="21"/>
      </w:rPr>
    </w:pPr>
  </w:p>
  <w:p w:rsidR="008D1392" w:rsidRPr="006E3922" w:rsidRDefault="008D1392" w:rsidP="0074082E">
    <w:pPr>
      <w:pStyle w:val="ab"/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6CD29E3"/>
    <w:multiLevelType w:val="multilevel"/>
    <w:tmpl w:val="283CE52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674F77"/>
    <w:multiLevelType w:val="hybridMultilevel"/>
    <w:tmpl w:val="B04CEF4C"/>
    <w:lvl w:ilvl="0" w:tplc="F5681D1A">
      <w:start w:val="2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  <w:b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9563F"/>
    <w:multiLevelType w:val="hybridMultilevel"/>
    <w:tmpl w:val="0870F724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D85B49"/>
    <w:multiLevelType w:val="hybridMultilevel"/>
    <w:tmpl w:val="AAA2A132"/>
    <w:lvl w:ilvl="0" w:tplc="809A3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C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6D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2C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6E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E5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02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AD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C9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EF48E0"/>
    <w:multiLevelType w:val="hybridMultilevel"/>
    <w:tmpl w:val="EF1A4CF6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1209D4"/>
    <w:multiLevelType w:val="multilevel"/>
    <w:tmpl w:val="E162E6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227"/>
        </w:tabs>
        <w:ind w:left="66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3FA137C3"/>
    <w:multiLevelType w:val="hybridMultilevel"/>
    <w:tmpl w:val="CC823B68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F805FA"/>
    <w:multiLevelType w:val="hybridMultilevel"/>
    <w:tmpl w:val="86F6296C"/>
    <w:lvl w:ilvl="0" w:tplc="78F6E2B8">
      <w:start w:val="1"/>
      <w:numFmt w:val="lowerLetter"/>
      <w:lvlText w:val="(%1)"/>
      <w:lvlJc w:val="left"/>
      <w:pPr>
        <w:ind w:left="720" w:hanging="360"/>
      </w:pPr>
      <w:rPr>
        <w:rFonts w:asciiTheme="minorEastAsia" w:eastAsiaTheme="minorEastAsia" w:hAnsiTheme="minorEastAsia" w:hint="default"/>
        <w:sz w:val="21"/>
        <w:szCs w:val="21"/>
      </w:rPr>
    </w:lvl>
    <w:lvl w:ilvl="1" w:tplc="8AE62D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D10B5"/>
    <w:multiLevelType w:val="hybridMultilevel"/>
    <w:tmpl w:val="CD54A01C"/>
    <w:lvl w:ilvl="0" w:tplc="CD9684DC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ascii="SimSun" w:eastAsia="SimSun" w:hAnsi="SimSun" w:hint="default"/>
        <w:b w:val="0"/>
        <w:i w:val="0"/>
        <w:iCs w:val="0"/>
        <w:color w:val="auto"/>
        <w:sz w:val="21"/>
        <w:szCs w:val="21"/>
      </w:rPr>
    </w:lvl>
    <w:lvl w:ilvl="1" w:tplc="FFFFFFFF">
      <w:start w:val="1"/>
      <w:numFmt w:val="lowerRoman"/>
      <w:lvlRestart w:val="0"/>
      <w:lvlText w:val="(%2)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BC1E534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970D3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0878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4CBE6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64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45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1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708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423AB"/>
    <w:multiLevelType w:val="hybridMultilevel"/>
    <w:tmpl w:val="5C56D2FE"/>
    <w:lvl w:ilvl="0" w:tplc="B37E8F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"/>
  </w:num>
  <w:num w:numId="19">
    <w:abstractNumId w:val="6"/>
  </w:num>
  <w:num w:numId="20">
    <w:abstractNumId w:val="8"/>
  </w:num>
  <w:num w:numId="21">
    <w:abstractNumId w:val="3"/>
  </w:num>
  <w:num w:numId="22">
    <w:abstractNumId w:val="4"/>
  </w:num>
  <w:num w:numId="23">
    <w:abstractNumId w:val="1"/>
  </w:num>
  <w:num w:numId="24">
    <w:abstractNumId w:val="14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1"/>
  </w:num>
  <w:num w:numId="35">
    <w:abstractNumId w:val="7"/>
  </w:num>
  <w:num w:numId="36">
    <w:abstractNumId w:val="9"/>
  </w:num>
  <w:num w:numId="37">
    <w:abstractNumId w:val="10"/>
  </w:num>
  <w:num w:numId="3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14C27"/>
    <w:rsid w:val="00031A08"/>
    <w:rsid w:val="000320BF"/>
    <w:rsid w:val="00032705"/>
    <w:rsid w:val="000334D3"/>
    <w:rsid w:val="00033767"/>
    <w:rsid w:val="00037389"/>
    <w:rsid w:val="00037B79"/>
    <w:rsid w:val="00041476"/>
    <w:rsid w:val="00043350"/>
    <w:rsid w:val="00043CAA"/>
    <w:rsid w:val="00046BB2"/>
    <w:rsid w:val="00047AEF"/>
    <w:rsid w:val="0005030B"/>
    <w:rsid w:val="0005050F"/>
    <w:rsid w:val="00052D4D"/>
    <w:rsid w:val="00056B98"/>
    <w:rsid w:val="00062C1D"/>
    <w:rsid w:val="00065F0B"/>
    <w:rsid w:val="00070F13"/>
    <w:rsid w:val="00075432"/>
    <w:rsid w:val="00082D30"/>
    <w:rsid w:val="00086142"/>
    <w:rsid w:val="00091B5E"/>
    <w:rsid w:val="00091F9D"/>
    <w:rsid w:val="00092761"/>
    <w:rsid w:val="00092794"/>
    <w:rsid w:val="0009292B"/>
    <w:rsid w:val="0009585F"/>
    <w:rsid w:val="000968ED"/>
    <w:rsid w:val="00097733"/>
    <w:rsid w:val="000A5807"/>
    <w:rsid w:val="000B0F74"/>
    <w:rsid w:val="000B5DCC"/>
    <w:rsid w:val="000C0E8F"/>
    <w:rsid w:val="000C2255"/>
    <w:rsid w:val="000C2286"/>
    <w:rsid w:val="000C28AB"/>
    <w:rsid w:val="000C65B2"/>
    <w:rsid w:val="000C68C0"/>
    <w:rsid w:val="000C6938"/>
    <w:rsid w:val="000D0E47"/>
    <w:rsid w:val="000D2000"/>
    <w:rsid w:val="000D368A"/>
    <w:rsid w:val="000D3F98"/>
    <w:rsid w:val="000D5C85"/>
    <w:rsid w:val="000D600A"/>
    <w:rsid w:val="000E128D"/>
    <w:rsid w:val="000E6225"/>
    <w:rsid w:val="000F307B"/>
    <w:rsid w:val="000F5E56"/>
    <w:rsid w:val="00100BFA"/>
    <w:rsid w:val="00106C55"/>
    <w:rsid w:val="001118D6"/>
    <w:rsid w:val="001124B9"/>
    <w:rsid w:val="00113CAF"/>
    <w:rsid w:val="00114E0E"/>
    <w:rsid w:val="00115546"/>
    <w:rsid w:val="00115A7A"/>
    <w:rsid w:val="001218FA"/>
    <w:rsid w:val="001226C1"/>
    <w:rsid w:val="00123303"/>
    <w:rsid w:val="00125875"/>
    <w:rsid w:val="00132FA3"/>
    <w:rsid w:val="00132FD7"/>
    <w:rsid w:val="001362EE"/>
    <w:rsid w:val="001469ED"/>
    <w:rsid w:val="001476AC"/>
    <w:rsid w:val="0015138F"/>
    <w:rsid w:val="00155CDE"/>
    <w:rsid w:val="00155E23"/>
    <w:rsid w:val="0016192F"/>
    <w:rsid w:val="00164322"/>
    <w:rsid w:val="00164360"/>
    <w:rsid w:val="0017001D"/>
    <w:rsid w:val="00174AEA"/>
    <w:rsid w:val="001769F5"/>
    <w:rsid w:val="001819A4"/>
    <w:rsid w:val="001832A6"/>
    <w:rsid w:val="00185FE0"/>
    <w:rsid w:val="00186CCC"/>
    <w:rsid w:val="0019275E"/>
    <w:rsid w:val="001949CA"/>
    <w:rsid w:val="00195020"/>
    <w:rsid w:val="00197CA9"/>
    <w:rsid w:val="001A03D6"/>
    <w:rsid w:val="001A475C"/>
    <w:rsid w:val="001A5FD4"/>
    <w:rsid w:val="001A7013"/>
    <w:rsid w:val="001C6006"/>
    <w:rsid w:val="001C7F7B"/>
    <w:rsid w:val="001E23C0"/>
    <w:rsid w:val="001E4784"/>
    <w:rsid w:val="001E6121"/>
    <w:rsid w:val="001E73A4"/>
    <w:rsid w:val="001F547E"/>
    <w:rsid w:val="00201B85"/>
    <w:rsid w:val="00202CB3"/>
    <w:rsid w:val="00207D7F"/>
    <w:rsid w:val="00211538"/>
    <w:rsid w:val="0022147F"/>
    <w:rsid w:val="002246C4"/>
    <w:rsid w:val="00231BF4"/>
    <w:rsid w:val="00234BA9"/>
    <w:rsid w:val="00234BAE"/>
    <w:rsid w:val="00236DA9"/>
    <w:rsid w:val="00241C8C"/>
    <w:rsid w:val="0024255F"/>
    <w:rsid w:val="0024429C"/>
    <w:rsid w:val="00252A47"/>
    <w:rsid w:val="002533BD"/>
    <w:rsid w:val="00253FEF"/>
    <w:rsid w:val="00254D55"/>
    <w:rsid w:val="002634C4"/>
    <w:rsid w:val="00267309"/>
    <w:rsid w:val="00272F7C"/>
    <w:rsid w:val="002763F8"/>
    <w:rsid w:val="002843C0"/>
    <w:rsid w:val="00285080"/>
    <w:rsid w:val="00285674"/>
    <w:rsid w:val="002873F1"/>
    <w:rsid w:val="002928D3"/>
    <w:rsid w:val="002944AC"/>
    <w:rsid w:val="002945A0"/>
    <w:rsid w:val="00296A34"/>
    <w:rsid w:val="002A2DCB"/>
    <w:rsid w:val="002A4CCA"/>
    <w:rsid w:val="002B2D09"/>
    <w:rsid w:val="002B6792"/>
    <w:rsid w:val="002C3895"/>
    <w:rsid w:val="002C4228"/>
    <w:rsid w:val="002C6A84"/>
    <w:rsid w:val="002C7DBC"/>
    <w:rsid w:val="002D0CAA"/>
    <w:rsid w:val="002D1A8D"/>
    <w:rsid w:val="002D366F"/>
    <w:rsid w:val="002D7730"/>
    <w:rsid w:val="002D7921"/>
    <w:rsid w:val="002E5F4A"/>
    <w:rsid w:val="002F1FE6"/>
    <w:rsid w:val="002F4E68"/>
    <w:rsid w:val="0030015F"/>
    <w:rsid w:val="00310209"/>
    <w:rsid w:val="00312F7F"/>
    <w:rsid w:val="00313ECB"/>
    <w:rsid w:val="00334879"/>
    <w:rsid w:val="00336989"/>
    <w:rsid w:val="003419AD"/>
    <w:rsid w:val="00342691"/>
    <w:rsid w:val="00342CA5"/>
    <w:rsid w:val="00342D33"/>
    <w:rsid w:val="00345069"/>
    <w:rsid w:val="00347660"/>
    <w:rsid w:val="00352E54"/>
    <w:rsid w:val="00353B8F"/>
    <w:rsid w:val="003540E2"/>
    <w:rsid w:val="00360443"/>
    <w:rsid w:val="00361038"/>
    <w:rsid w:val="003636F3"/>
    <w:rsid w:val="00365BFA"/>
    <w:rsid w:val="003673CF"/>
    <w:rsid w:val="0037224E"/>
    <w:rsid w:val="003744C2"/>
    <w:rsid w:val="003771D4"/>
    <w:rsid w:val="003832E8"/>
    <w:rsid w:val="003845C1"/>
    <w:rsid w:val="00384ADA"/>
    <w:rsid w:val="00392CCE"/>
    <w:rsid w:val="003936D9"/>
    <w:rsid w:val="00396D90"/>
    <w:rsid w:val="003971CE"/>
    <w:rsid w:val="003A1CBC"/>
    <w:rsid w:val="003A6F89"/>
    <w:rsid w:val="003B025C"/>
    <w:rsid w:val="003B3196"/>
    <w:rsid w:val="003B38C1"/>
    <w:rsid w:val="003B52D1"/>
    <w:rsid w:val="003B56C3"/>
    <w:rsid w:val="003C5432"/>
    <w:rsid w:val="003C6AC9"/>
    <w:rsid w:val="003D2116"/>
    <w:rsid w:val="003D238F"/>
    <w:rsid w:val="003E4061"/>
    <w:rsid w:val="003E5BA9"/>
    <w:rsid w:val="003F1EDF"/>
    <w:rsid w:val="003F29DF"/>
    <w:rsid w:val="003F2BA7"/>
    <w:rsid w:val="003F430C"/>
    <w:rsid w:val="00404EFA"/>
    <w:rsid w:val="00415374"/>
    <w:rsid w:val="004153F3"/>
    <w:rsid w:val="00416C6B"/>
    <w:rsid w:val="00417786"/>
    <w:rsid w:val="00422FB4"/>
    <w:rsid w:val="00423E3E"/>
    <w:rsid w:val="00423E4E"/>
    <w:rsid w:val="00426830"/>
    <w:rsid w:val="00427AF4"/>
    <w:rsid w:val="00430111"/>
    <w:rsid w:val="004346FC"/>
    <w:rsid w:val="004420C4"/>
    <w:rsid w:val="00443276"/>
    <w:rsid w:val="004520DF"/>
    <w:rsid w:val="00463AE6"/>
    <w:rsid w:val="004647DA"/>
    <w:rsid w:val="00471309"/>
    <w:rsid w:val="00472D26"/>
    <w:rsid w:val="00473073"/>
    <w:rsid w:val="00474062"/>
    <w:rsid w:val="00474291"/>
    <w:rsid w:val="004753CC"/>
    <w:rsid w:val="00477D6B"/>
    <w:rsid w:val="00480FF0"/>
    <w:rsid w:val="00482778"/>
    <w:rsid w:val="00482D68"/>
    <w:rsid w:val="00483358"/>
    <w:rsid w:val="00490CE8"/>
    <w:rsid w:val="00493675"/>
    <w:rsid w:val="004A3675"/>
    <w:rsid w:val="004A3AF7"/>
    <w:rsid w:val="004A3B14"/>
    <w:rsid w:val="004A4035"/>
    <w:rsid w:val="004A49AA"/>
    <w:rsid w:val="004A5805"/>
    <w:rsid w:val="004A6F04"/>
    <w:rsid w:val="004B02B9"/>
    <w:rsid w:val="004B1FED"/>
    <w:rsid w:val="004B3655"/>
    <w:rsid w:val="004B4782"/>
    <w:rsid w:val="004C1720"/>
    <w:rsid w:val="004C1C02"/>
    <w:rsid w:val="004C4308"/>
    <w:rsid w:val="004D09F5"/>
    <w:rsid w:val="004D0CC4"/>
    <w:rsid w:val="004D0ED9"/>
    <w:rsid w:val="004E1313"/>
    <w:rsid w:val="004F721C"/>
    <w:rsid w:val="005020F2"/>
    <w:rsid w:val="005021ED"/>
    <w:rsid w:val="00502323"/>
    <w:rsid w:val="00502F58"/>
    <w:rsid w:val="00503A1C"/>
    <w:rsid w:val="005041F3"/>
    <w:rsid w:val="00510CAD"/>
    <w:rsid w:val="00510FBB"/>
    <w:rsid w:val="0051719D"/>
    <w:rsid w:val="00523227"/>
    <w:rsid w:val="005238A6"/>
    <w:rsid w:val="00526BB5"/>
    <w:rsid w:val="0053057A"/>
    <w:rsid w:val="005309D9"/>
    <w:rsid w:val="00537506"/>
    <w:rsid w:val="00540F8C"/>
    <w:rsid w:val="00544389"/>
    <w:rsid w:val="00545E81"/>
    <w:rsid w:val="00546294"/>
    <w:rsid w:val="00547F94"/>
    <w:rsid w:val="00556489"/>
    <w:rsid w:val="00560A29"/>
    <w:rsid w:val="00561C2A"/>
    <w:rsid w:val="00562CBA"/>
    <w:rsid w:val="00563392"/>
    <w:rsid w:val="00566CB7"/>
    <w:rsid w:val="00567B1D"/>
    <w:rsid w:val="00570BDB"/>
    <w:rsid w:val="00585BB0"/>
    <w:rsid w:val="00586424"/>
    <w:rsid w:val="0059169B"/>
    <w:rsid w:val="00591E3A"/>
    <w:rsid w:val="0059671B"/>
    <w:rsid w:val="005A7429"/>
    <w:rsid w:val="005B047A"/>
    <w:rsid w:val="005B5010"/>
    <w:rsid w:val="005B60CC"/>
    <w:rsid w:val="005B6329"/>
    <w:rsid w:val="005C2B59"/>
    <w:rsid w:val="005C5A63"/>
    <w:rsid w:val="005C6926"/>
    <w:rsid w:val="005D2DDE"/>
    <w:rsid w:val="005E096D"/>
    <w:rsid w:val="005E2CEB"/>
    <w:rsid w:val="005E4986"/>
    <w:rsid w:val="005E56B8"/>
    <w:rsid w:val="005E6F03"/>
    <w:rsid w:val="005E7C09"/>
    <w:rsid w:val="005F38DA"/>
    <w:rsid w:val="005F3C18"/>
    <w:rsid w:val="006009F5"/>
    <w:rsid w:val="00601F52"/>
    <w:rsid w:val="00605827"/>
    <w:rsid w:val="00606AB5"/>
    <w:rsid w:val="00611F93"/>
    <w:rsid w:val="00613443"/>
    <w:rsid w:val="006138ED"/>
    <w:rsid w:val="006209B6"/>
    <w:rsid w:val="00626877"/>
    <w:rsid w:val="00626C0F"/>
    <w:rsid w:val="006324A3"/>
    <w:rsid w:val="00633CD5"/>
    <w:rsid w:val="00634227"/>
    <w:rsid w:val="006354E0"/>
    <w:rsid w:val="006409CD"/>
    <w:rsid w:val="00642D12"/>
    <w:rsid w:val="006435B9"/>
    <w:rsid w:val="00646050"/>
    <w:rsid w:val="006500F7"/>
    <w:rsid w:val="00652E4D"/>
    <w:rsid w:val="00654569"/>
    <w:rsid w:val="00654EF4"/>
    <w:rsid w:val="00655397"/>
    <w:rsid w:val="006626D9"/>
    <w:rsid w:val="0066588C"/>
    <w:rsid w:val="006713CA"/>
    <w:rsid w:val="00671874"/>
    <w:rsid w:val="006744D2"/>
    <w:rsid w:val="00676C5C"/>
    <w:rsid w:val="006869AA"/>
    <w:rsid w:val="006909EA"/>
    <w:rsid w:val="00691985"/>
    <w:rsid w:val="00691E82"/>
    <w:rsid w:val="00692DC0"/>
    <w:rsid w:val="00694DD0"/>
    <w:rsid w:val="006A0854"/>
    <w:rsid w:val="006A6052"/>
    <w:rsid w:val="006A6074"/>
    <w:rsid w:val="006A78C1"/>
    <w:rsid w:val="006B0872"/>
    <w:rsid w:val="006B0EFD"/>
    <w:rsid w:val="006B3091"/>
    <w:rsid w:val="006C02A4"/>
    <w:rsid w:val="006C3BCC"/>
    <w:rsid w:val="006C620E"/>
    <w:rsid w:val="006C7E8D"/>
    <w:rsid w:val="006D16E4"/>
    <w:rsid w:val="006D31B7"/>
    <w:rsid w:val="006D3D32"/>
    <w:rsid w:val="006D4130"/>
    <w:rsid w:val="006D48D4"/>
    <w:rsid w:val="006D49D3"/>
    <w:rsid w:val="006D7319"/>
    <w:rsid w:val="006E3922"/>
    <w:rsid w:val="006E3E99"/>
    <w:rsid w:val="006E4782"/>
    <w:rsid w:val="006E53E0"/>
    <w:rsid w:val="006E5D14"/>
    <w:rsid w:val="006F0E4E"/>
    <w:rsid w:val="006F25C3"/>
    <w:rsid w:val="0070687A"/>
    <w:rsid w:val="00717156"/>
    <w:rsid w:val="0071772C"/>
    <w:rsid w:val="0072364B"/>
    <w:rsid w:val="00724823"/>
    <w:rsid w:val="0074082E"/>
    <w:rsid w:val="0074099A"/>
    <w:rsid w:val="007415E9"/>
    <w:rsid w:val="007524B2"/>
    <w:rsid w:val="007546A9"/>
    <w:rsid w:val="0075700C"/>
    <w:rsid w:val="007640DE"/>
    <w:rsid w:val="007772F6"/>
    <w:rsid w:val="00795932"/>
    <w:rsid w:val="007A0C92"/>
    <w:rsid w:val="007A0D9B"/>
    <w:rsid w:val="007B79FA"/>
    <w:rsid w:val="007B7AEA"/>
    <w:rsid w:val="007C16D0"/>
    <w:rsid w:val="007D1613"/>
    <w:rsid w:val="007D1D89"/>
    <w:rsid w:val="007D42B3"/>
    <w:rsid w:val="007D65C6"/>
    <w:rsid w:val="007E2894"/>
    <w:rsid w:val="007F15B2"/>
    <w:rsid w:val="007F3C6D"/>
    <w:rsid w:val="007F54C0"/>
    <w:rsid w:val="008210CB"/>
    <w:rsid w:val="00837641"/>
    <w:rsid w:val="0084199E"/>
    <w:rsid w:val="0084543D"/>
    <w:rsid w:val="00851073"/>
    <w:rsid w:val="0085308C"/>
    <w:rsid w:val="00853572"/>
    <w:rsid w:val="00874C34"/>
    <w:rsid w:val="00874EA9"/>
    <w:rsid w:val="00880945"/>
    <w:rsid w:val="00882E8D"/>
    <w:rsid w:val="00897FA0"/>
    <w:rsid w:val="008A0B8D"/>
    <w:rsid w:val="008A17BD"/>
    <w:rsid w:val="008A2307"/>
    <w:rsid w:val="008A54DE"/>
    <w:rsid w:val="008B1821"/>
    <w:rsid w:val="008B25F1"/>
    <w:rsid w:val="008B2CC1"/>
    <w:rsid w:val="008B60B2"/>
    <w:rsid w:val="008C08F8"/>
    <w:rsid w:val="008C30ED"/>
    <w:rsid w:val="008C6DDF"/>
    <w:rsid w:val="008D086C"/>
    <w:rsid w:val="008D1392"/>
    <w:rsid w:val="008D1B27"/>
    <w:rsid w:val="008D3EDD"/>
    <w:rsid w:val="008D6FAA"/>
    <w:rsid w:val="008E0380"/>
    <w:rsid w:val="008E61FF"/>
    <w:rsid w:val="008F46E2"/>
    <w:rsid w:val="008F56DA"/>
    <w:rsid w:val="008F7857"/>
    <w:rsid w:val="00902773"/>
    <w:rsid w:val="00906B7F"/>
    <w:rsid w:val="0090731E"/>
    <w:rsid w:val="00914B8B"/>
    <w:rsid w:val="00916EE2"/>
    <w:rsid w:val="00922EE7"/>
    <w:rsid w:val="00935DB0"/>
    <w:rsid w:val="00941249"/>
    <w:rsid w:val="009533B0"/>
    <w:rsid w:val="00954B4A"/>
    <w:rsid w:val="009561BA"/>
    <w:rsid w:val="00956583"/>
    <w:rsid w:val="00957614"/>
    <w:rsid w:val="00962654"/>
    <w:rsid w:val="00966A22"/>
    <w:rsid w:val="0096722F"/>
    <w:rsid w:val="0096783A"/>
    <w:rsid w:val="009739AD"/>
    <w:rsid w:val="0097420C"/>
    <w:rsid w:val="00976CA7"/>
    <w:rsid w:val="009773D5"/>
    <w:rsid w:val="00977F82"/>
    <w:rsid w:val="00980843"/>
    <w:rsid w:val="00982E48"/>
    <w:rsid w:val="00982FE6"/>
    <w:rsid w:val="00983C08"/>
    <w:rsid w:val="009845ED"/>
    <w:rsid w:val="009849EF"/>
    <w:rsid w:val="00986275"/>
    <w:rsid w:val="00986525"/>
    <w:rsid w:val="00991CA2"/>
    <w:rsid w:val="00994288"/>
    <w:rsid w:val="00995FCF"/>
    <w:rsid w:val="009A1A8E"/>
    <w:rsid w:val="009A500C"/>
    <w:rsid w:val="009C34A6"/>
    <w:rsid w:val="009C3EE9"/>
    <w:rsid w:val="009C4556"/>
    <w:rsid w:val="009C5AF5"/>
    <w:rsid w:val="009D4161"/>
    <w:rsid w:val="009E2791"/>
    <w:rsid w:val="009E3F6F"/>
    <w:rsid w:val="009E53F0"/>
    <w:rsid w:val="009E6CEB"/>
    <w:rsid w:val="009F1CFC"/>
    <w:rsid w:val="009F322C"/>
    <w:rsid w:val="009F499F"/>
    <w:rsid w:val="00A001B0"/>
    <w:rsid w:val="00A04CEB"/>
    <w:rsid w:val="00A0542E"/>
    <w:rsid w:val="00A10A8F"/>
    <w:rsid w:val="00A14A1F"/>
    <w:rsid w:val="00A22BFD"/>
    <w:rsid w:val="00A32653"/>
    <w:rsid w:val="00A34D21"/>
    <w:rsid w:val="00A41925"/>
    <w:rsid w:val="00A41AFB"/>
    <w:rsid w:val="00A41EB5"/>
    <w:rsid w:val="00A42DAF"/>
    <w:rsid w:val="00A45BD8"/>
    <w:rsid w:val="00A51EED"/>
    <w:rsid w:val="00A55063"/>
    <w:rsid w:val="00A55C2C"/>
    <w:rsid w:val="00A6021E"/>
    <w:rsid w:val="00A62470"/>
    <w:rsid w:val="00A63740"/>
    <w:rsid w:val="00A64A70"/>
    <w:rsid w:val="00A65D32"/>
    <w:rsid w:val="00A672FA"/>
    <w:rsid w:val="00A67AC5"/>
    <w:rsid w:val="00A70436"/>
    <w:rsid w:val="00A71FC0"/>
    <w:rsid w:val="00A745EE"/>
    <w:rsid w:val="00A81DA3"/>
    <w:rsid w:val="00A8360B"/>
    <w:rsid w:val="00A8582F"/>
    <w:rsid w:val="00A870F7"/>
    <w:rsid w:val="00A924F9"/>
    <w:rsid w:val="00A94562"/>
    <w:rsid w:val="00A97B88"/>
    <w:rsid w:val="00AB0E1B"/>
    <w:rsid w:val="00AC205C"/>
    <w:rsid w:val="00AF09F9"/>
    <w:rsid w:val="00AF221B"/>
    <w:rsid w:val="00AF3C0D"/>
    <w:rsid w:val="00AF4FAA"/>
    <w:rsid w:val="00AF7D92"/>
    <w:rsid w:val="00B00E96"/>
    <w:rsid w:val="00B05A69"/>
    <w:rsid w:val="00B303D5"/>
    <w:rsid w:val="00B37CD1"/>
    <w:rsid w:val="00B43B7A"/>
    <w:rsid w:val="00B57CE3"/>
    <w:rsid w:val="00B6012C"/>
    <w:rsid w:val="00B672E4"/>
    <w:rsid w:val="00B704E9"/>
    <w:rsid w:val="00B729B0"/>
    <w:rsid w:val="00B72BFB"/>
    <w:rsid w:val="00B757A1"/>
    <w:rsid w:val="00B75DBA"/>
    <w:rsid w:val="00B83C56"/>
    <w:rsid w:val="00B84F47"/>
    <w:rsid w:val="00B856F1"/>
    <w:rsid w:val="00B90B9C"/>
    <w:rsid w:val="00B9180B"/>
    <w:rsid w:val="00B9734B"/>
    <w:rsid w:val="00B97DBD"/>
    <w:rsid w:val="00BB3143"/>
    <w:rsid w:val="00BB3BD5"/>
    <w:rsid w:val="00BB471B"/>
    <w:rsid w:val="00BB47EE"/>
    <w:rsid w:val="00BC575C"/>
    <w:rsid w:val="00BD1416"/>
    <w:rsid w:val="00BD6B64"/>
    <w:rsid w:val="00BE2F88"/>
    <w:rsid w:val="00BF4F78"/>
    <w:rsid w:val="00C05B4A"/>
    <w:rsid w:val="00C05D69"/>
    <w:rsid w:val="00C06B9E"/>
    <w:rsid w:val="00C11BFE"/>
    <w:rsid w:val="00C140D8"/>
    <w:rsid w:val="00C21389"/>
    <w:rsid w:val="00C229F8"/>
    <w:rsid w:val="00C24C16"/>
    <w:rsid w:val="00C35845"/>
    <w:rsid w:val="00C3762E"/>
    <w:rsid w:val="00C37704"/>
    <w:rsid w:val="00C427F6"/>
    <w:rsid w:val="00C47BBD"/>
    <w:rsid w:val="00C538C5"/>
    <w:rsid w:val="00C67960"/>
    <w:rsid w:val="00C72B47"/>
    <w:rsid w:val="00C7559D"/>
    <w:rsid w:val="00C76573"/>
    <w:rsid w:val="00C765B9"/>
    <w:rsid w:val="00C82CDA"/>
    <w:rsid w:val="00C84438"/>
    <w:rsid w:val="00C90FD7"/>
    <w:rsid w:val="00C916C8"/>
    <w:rsid w:val="00C9245F"/>
    <w:rsid w:val="00C939B5"/>
    <w:rsid w:val="00C9569E"/>
    <w:rsid w:val="00CA3E64"/>
    <w:rsid w:val="00CA5372"/>
    <w:rsid w:val="00CA6C67"/>
    <w:rsid w:val="00CA7A04"/>
    <w:rsid w:val="00CB0CE2"/>
    <w:rsid w:val="00CB24CB"/>
    <w:rsid w:val="00CB3D50"/>
    <w:rsid w:val="00CC2938"/>
    <w:rsid w:val="00CC5A03"/>
    <w:rsid w:val="00CC6E2E"/>
    <w:rsid w:val="00CD021F"/>
    <w:rsid w:val="00CD0906"/>
    <w:rsid w:val="00CD375C"/>
    <w:rsid w:val="00CE0562"/>
    <w:rsid w:val="00CE3492"/>
    <w:rsid w:val="00CE5F0A"/>
    <w:rsid w:val="00CF107F"/>
    <w:rsid w:val="00CF17D8"/>
    <w:rsid w:val="00CF1908"/>
    <w:rsid w:val="00CF6553"/>
    <w:rsid w:val="00CF6754"/>
    <w:rsid w:val="00CF6C32"/>
    <w:rsid w:val="00CF74EC"/>
    <w:rsid w:val="00D00C2F"/>
    <w:rsid w:val="00D041F5"/>
    <w:rsid w:val="00D052EA"/>
    <w:rsid w:val="00D05815"/>
    <w:rsid w:val="00D1024F"/>
    <w:rsid w:val="00D14792"/>
    <w:rsid w:val="00D16270"/>
    <w:rsid w:val="00D1650F"/>
    <w:rsid w:val="00D179E4"/>
    <w:rsid w:val="00D2283D"/>
    <w:rsid w:val="00D25A3A"/>
    <w:rsid w:val="00D2733D"/>
    <w:rsid w:val="00D34182"/>
    <w:rsid w:val="00D3550B"/>
    <w:rsid w:val="00D420C4"/>
    <w:rsid w:val="00D4464E"/>
    <w:rsid w:val="00D45252"/>
    <w:rsid w:val="00D452C3"/>
    <w:rsid w:val="00D45CC8"/>
    <w:rsid w:val="00D5184D"/>
    <w:rsid w:val="00D51D06"/>
    <w:rsid w:val="00D60ED6"/>
    <w:rsid w:val="00D67E80"/>
    <w:rsid w:val="00D71B4D"/>
    <w:rsid w:val="00D7538F"/>
    <w:rsid w:val="00D767BD"/>
    <w:rsid w:val="00D90122"/>
    <w:rsid w:val="00D9202B"/>
    <w:rsid w:val="00D92C64"/>
    <w:rsid w:val="00D9339E"/>
    <w:rsid w:val="00D933FB"/>
    <w:rsid w:val="00D93D55"/>
    <w:rsid w:val="00D9596B"/>
    <w:rsid w:val="00DA03AA"/>
    <w:rsid w:val="00DB002F"/>
    <w:rsid w:val="00DB1EC1"/>
    <w:rsid w:val="00DB4402"/>
    <w:rsid w:val="00DB5576"/>
    <w:rsid w:val="00DB6DB4"/>
    <w:rsid w:val="00DB7861"/>
    <w:rsid w:val="00DC197C"/>
    <w:rsid w:val="00DC3A1D"/>
    <w:rsid w:val="00DC64AD"/>
    <w:rsid w:val="00DD06D2"/>
    <w:rsid w:val="00DD0DB2"/>
    <w:rsid w:val="00DD311E"/>
    <w:rsid w:val="00DD3BC8"/>
    <w:rsid w:val="00DE65BE"/>
    <w:rsid w:val="00DE67A9"/>
    <w:rsid w:val="00DF23BB"/>
    <w:rsid w:val="00DF2811"/>
    <w:rsid w:val="00DF2C52"/>
    <w:rsid w:val="00E13B4B"/>
    <w:rsid w:val="00E22E81"/>
    <w:rsid w:val="00E23282"/>
    <w:rsid w:val="00E24A40"/>
    <w:rsid w:val="00E2547B"/>
    <w:rsid w:val="00E33057"/>
    <w:rsid w:val="00E335FE"/>
    <w:rsid w:val="00E3389A"/>
    <w:rsid w:val="00E34004"/>
    <w:rsid w:val="00E4448B"/>
    <w:rsid w:val="00E46677"/>
    <w:rsid w:val="00E534AA"/>
    <w:rsid w:val="00E6421E"/>
    <w:rsid w:val="00E6730A"/>
    <w:rsid w:val="00E677CC"/>
    <w:rsid w:val="00E777C7"/>
    <w:rsid w:val="00E83E0A"/>
    <w:rsid w:val="00E86F24"/>
    <w:rsid w:val="00E9145E"/>
    <w:rsid w:val="00E91491"/>
    <w:rsid w:val="00EA39FD"/>
    <w:rsid w:val="00EB4E81"/>
    <w:rsid w:val="00EB6346"/>
    <w:rsid w:val="00EB68ED"/>
    <w:rsid w:val="00EB78FD"/>
    <w:rsid w:val="00EC0A03"/>
    <w:rsid w:val="00EC4E49"/>
    <w:rsid w:val="00EC78F5"/>
    <w:rsid w:val="00ED20BB"/>
    <w:rsid w:val="00ED23F8"/>
    <w:rsid w:val="00ED4864"/>
    <w:rsid w:val="00ED70BD"/>
    <w:rsid w:val="00ED77FB"/>
    <w:rsid w:val="00EF11FE"/>
    <w:rsid w:val="00EF3B00"/>
    <w:rsid w:val="00EF56E1"/>
    <w:rsid w:val="00F02142"/>
    <w:rsid w:val="00F0568E"/>
    <w:rsid w:val="00F10B38"/>
    <w:rsid w:val="00F16431"/>
    <w:rsid w:val="00F20EDA"/>
    <w:rsid w:val="00F2253A"/>
    <w:rsid w:val="00F30F6C"/>
    <w:rsid w:val="00F34E19"/>
    <w:rsid w:val="00F5207A"/>
    <w:rsid w:val="00F5282F"/>
    <w:rsid w:val="00F6300D"/>
    <w:rsid w:val="00F652F5"/>
    <w:rsid w:val="00F66152"/>
    <w:rsid w:val="00F678F4"/>
    <w:rsid w:val="00F701A0"/>
    <w:rsid w:val="00F8607D"/>
    <w:rsid w:val="00F87CAC"/>
    <w:rsid w:val="00F91224"/>
    <w:rsid w:val="00F92F04"/>
    <w:rsid w:val="00F93A16"/>
    <w:rsid w:val="00F9635C"/>
    <w:rsid w:val="00F976AF"/>
    <w:rsid w:val="00FA0A1A"/>
    <w:rsid w:val="00FA1511"/>
    <w:rsid w:val="00FA722B"/>
    <w:rsid w:val="00FB2D71"/>
    <w:rsid w:val="00FB6428"/>
    <w:rsid w:val="00FC01A3"/>
    <w:rsid w:val="00FC709D"/>
    <w:rsid w:val="00FD5459"/>
    <w:rsid w:val="00FD600E"/>
    <w:rsid w:val="00FE2D61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link w:val="5Char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link w:val="6Char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link w:val="7Char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link w:val="8Char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link w:val="9Char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semiHidden/>
    <w:rsid w:val="00676C5C"/>
    <w:rPr>
      <w:sz w:val="18"/>
    </w:rPr>
  </w:style>
  <w:style w:type="paragraph" w:styleId="a8">
    <w:name w:val="endnote text"/>
    <w:basedOn w:val="a1"/>
    <w:link w:val="Char1"/>
    <w:semiHidden/>
    <w:rsid w:val="00676C5C"/>
    <w:rPr>
      <w:sz w:val="18"/>
    </w:rPr>
  </w:style>
  <w:style w:type="paragraph" w:styleId="a9">
    <w:name w:val="footer"/>
    <w:basedOn w:val="a1"/>
    <w:link w:val="Char2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3"/>
    <w:semiHidden/>
    <w:rsid w:val="00676C5C"/>
    <w:rPr>
      <w:sz w:val="18"/>
    </w:rPr>
  </w:style>
  <w:style w:type="paragraph" w:styleId="ab">
    <w:name w:val="header"/>
    <w:basedOn w:val="a1"/>
    <w:link w:val="Char4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link w:val="Char5"/>
    <w:semiHidden/>
    <w:rsid w:val="00676C5C"/>
  </w:style>
  <w:style w:type="paragraph" w:styleId="ad">
    <w:name w:val="Signature"/>
    <w:basedOn w:val="a1"/>
    <w:link w:val="Char6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uiPriority w:val="59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link w:val="Char7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uiPriority w:val="99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3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link w:val="Char8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af4">
    <w:name w:val="List Paragraph"/>
    <w:basedOn w:val="a1"/>
    <w:uiPriority w:val="34"/>
    <w:qFormat/>
    <w:rsid w:val="003D238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link w:val="1"/>
    <w:rsid w:val="00F87CAC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2Char">
    <w:name w:val="标题 2 Char"/>
    <w:link w:val="2"/>
    <w:rsid w:val="00F87CAC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link w:val="3"/>
    <w:rsid w:val="00F87CAC"/>
    <w:rPr>
      <w:rFonts w:ascii="Arial" w:hAnsi="Arial" w:cs="Arial"/>
      <w:bCs/>
      <w:sz w:val="22"/>
      <w:szCs w:val="26"/>
      <w:u w:val="single"/>
    </w:rPr>
  </w:style>
  <w:style w:type="character" w:customStyle="1" w:styleId="4Char">
    <w:name w:val="标题 4 Char"/>
    <w:link w:val="4"/>
    <w:rsid w:val="00F87CAC"/>
    <w:rPr>
      <w:rFonts w:ascii="Arial" w:hAnsi="Arial" w:cs="Arial"/>
      <w:bCs/>
      <w:i/>
      <w:sz w:val="22"/>
      <w:szCs w:val="28"/>
    </w:rPr>
  </w:style>
  <w:style w:type="character" w:customStyle="1" w:styleId="5Char">
    <w:name w:val="标题 5 Char"/>
    <w:link w:val="5"/>
    <w:rsid w:val="00F87CAC"/>
    <w:rPr>
      <w:rFonts w:ascii="Arial" w:hAnsi="Arial" w:cs="Arial"/>
      <w:b/>
      <w:bCs/>
      <w:iCs/>
      <w:color w:val="000000"/>
      <w:lang w:val="de-CH" w:eastAsia="en-US"/>
    </w:rPr>
  </w:style>
  <w:style w:type="character" w:customStyle="1" w:styleId="6Char">
    <w:name w:val="标题 6 Char"/>
    <w:link w:val="6"/>
    <w:rsid w:val="00F87CAC"/>
    <w:rPr>
      <w:rFonts w:ascii="Arial" w:hAnsi="Arial" w:cs="Arial"/>
      <w:bCs/>
      <w:color w:val="000000"/>
      <w:lang w:val="de-CH" w:eastAsia="en-US"/>
    </w:rPr>
  </w:style>
  <w:style w:type="character" w:customStyle="1" w:styleId="7Char">
    <w:name w:val="标题 7 Char"/>
    <w:link w:val="7"/>
    <w:rsid w:val="00F87CAC"/>
    <w:rPr>
      <w:rFonts w:ascii="Arial" w:hAnsi="Arial" w:cs="Arial"/>
      <w:color w:val="000000"/>
      <w:lang w:val="de-CH" w:eastAsia="en-US"/>
    </w:rPr>
  </w:style>
  <w:style w:type="character" w:customStyle="1" w:styleId="8Char">
    <w:name w:val="标题 8 Char"/>
    <w:link w:val="8"/>
    <w:rsid w:val="00F87CAC"/>
    <w:rPr>
      <w:rFonts w:ascii="Arial" w:hAnsi="Arial" w:cs="Arial"/>
      <w:iCs/>
      <w:color w:val="000000"/>
      <w:lang w:val="de-CH" w:eastAsia="en-US"/>
    </w:rPr>
  </w:style>
  <w:style w:type="character" w:customStyle="1" w:styleId="9Char">
    <w:name w:val="标题 9 Char"/>
    <w:link w:val="9"/>
    <w:rsid w:val="00F87CAC"/>
    <w:rPr>
      <w:rFonts w:ascii="Arial" w:hAnsi="Arial" w:cs="Arial"/>
      <w:color w:val="000000"/>
      <w:lang w:val="de-CH" w:eastAsia="en-US"/>
    </w:rPr>
  </w:style>
  <w:style w:type="character" w:customStyle="1" w:styleId="Char0">
    <w:name w:val="批注文字 Char"/>
    <w:link w:val="a7"/>
    <w:semiHidden/>
    <w:rsid w:val="00F87CAC"/>
    <w:rPr>
      <w:rFonts w:ascii="Arial" w:hAnsi="Arial" w:cs="Arial"/>
      <w:sz w:val="18"/>
    </w:rPr>
  </w:style>
  <w:style w:type="character" w:customStyle="1" w:styleId="Char1">
    <w:name w:val="尾注文本 Char"/>
    <w:link w:val="a8"/>
    <w:semiHidden/>
    <w:rsid w:val="00F87CAC"/>
    <w:rPr>
      <w:rFonts w:ascii="Arial" w:hAnsi="Arial" w:cs="Arial"/>
      <w:sz w:val="18"/>
    </w:rPr>
  </w:style>
  <w:style w:type="character" w:customStyle="1" w:styleId="Char2">
    <w:name w:val="页脚 Char"/>
    <w:link w:val="a9"/>
    <w:semiHidden/>
    <w:rsid w:val="00F87CAC"/>
    <w:rPr>
      <w:rFonts w:ascii="Arial" w:hAnsi="Arial" w:cs="Arial"/>
      <w:sz w:val="22"/>
    </w:rPr>
  </w:style>
  <w:style w:type="character" w:customStyle="1" w:styleId="Char4">
    <w:name w:val="页眉 Char"/>
    <w:link w:val="ab"/>
    <w:semiHidden/>
    <w:rsid w:val="00F87CAC"/>
    <w:rPr>
      <w:rFonts w:ascii="Arial" w:hAnsi="Arial" w:cs="Arial"/>
      <w:sz w:val="22"/>
    </w:rPr>
  </w:style>
  <w:style w:type="character" w:customStyle="1" w:styleId="Char5">
    <w:name w:val="称呼 Char"/>
    <w:link w:val="ac"/>
    <w:semiHidden/>
    <w:rsid w:val="00F87CAC"/>
    <w:rPr>
      <w:rFonts w:ascii="Arial" w:hAnsi="Arial" w:cs="Arial"/>
      <w:sz w:val="22"/>
    </w:rPr>
  </w:style>
  <w:style w:type="character" w:customStyle="1" w:styleId="Char6">
    <w:name w:val="签名 Char"/>
    <w:link w:val="ad"/>
    <w:semiHidden/>
    <w:rsid w:val="00F87CAC"/>
    <w:rPr>
      <w:rFonts w:ascii="Arial" w:hAnsi="Arial" w:cs="Arial"/>
      <w:sz w:val="22"/>
    </w:rPr>
  </w:style>
  <w:style w:type="character" w:customStyle="1" w:styleId="Char7">
    <w:name w:val="批注框文本 Char"/>
    <w:link w:val="af"/>
    <w:semiHidden/>
    <w:rsid w:val="00F87CAC"/>
    <w:rPr>
      <w:rFonts w:ascii="Tahoma" w:hAnsi="Tahoma" w:cs="Tahoma"/>
      <w:sz w:val="16"/>
      <w:szCs w:val="16"/>
    </w:rPr>
  </w:style>
  <w:style w:type="character" w:customStyle="1" w:styleId="Char8">
    <w:name w:val="标题 Char"/>
    <w:link w:val="af3"/>
    <w:rsid w:val="00F87CAC"/>
    <w:rPr>
      <w:rFonts w:ascii="Arial" w:hAnsi="Arial" w:cs="Arial"/>
      <w:b/>
      <w:bCs/>
      <w:sz w:val="32"/>
      <w:szCs w:val="32"/>
    </w:rPr>
  </w:style>
  <w:style w:type="character" w:customStyle="1" w:styleId="DecisionInvitingParaChar">
    <w:name w:val="Decision Inviting Para. Char"/>
    <w:link w:val="DecisionInvitingPara"/>
    <w:locked/>
    <w:rsid w:val="00F701A0"/>
    <w:rPr>
      <w:rFonts w:ascii="Arial" w:eastAsia="Times New Roman" w:hAnsi="Arial"/>
      <w:i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link w:val="5Char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link w:val="6Char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link w:val="7Char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link w:val="8Char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link w:val="9Char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semiHidden/>
    <w:rsid w:val="00676C5C"/>
    <w:rPr>
      <w:sz w:val="18"/>
    </w:rPr>
  </w:style>
  <w:style w:type="paragraph" w:styleId="a8">
    <w:name w:val="endnote text"/>
    <w:basedOn w:val="a1"/>
    <w:link w:val="Char1"/>
    <w:semiHidden/>
    <w:rsid w:val="00676C5C"/>
    <w:rPr>
      <w:sz w:val="18"/>
    </w:rPr>
  </w:style>
  <w:style w:type="paragraph" w:styleId="a9">
    <w:name w:val="footer"/>
    <w:basedOn w:val="a1"/>
    <w:link w:val="Char2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3"/>
    <w:semiHidden/>
    <w:rsid w:val="00676C5C"/>
    <w:rPr>
      <w:sz w:val="18"/>
    </w:rPr>
  </w:style>
  <w:style w:type="paragraph" w:styleId="ab">
    <w:name w:val="header"/>
    <w:basedOn w:val="a1"/>
    <w:link w:val="Char4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link w:val="Char5"/>
    <w:semiHidden/>
    <w:rsid w:val="00676C5C"/>
  </w:style>
  <w:style w:type="paragraph" w:styleId="ad">
    <w:name w:val="Signature"/>
    <w:basedOn w:val="a1"/>
    <w:link w:val="Char6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uiPriority w:val="59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link w:val="Char7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uiPriority w:val="99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3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link w:val="Char8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af4">
    <w:name w:val="List Paragraph"/>
    <w:basedOn w:val="a1"/>
    <w:uiPriority w:val="34"/>
    <w:qFormat/>
    <w:rsid w:val="003D238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link w:val="1"/>
    <w:rsid w:val="00F87CAC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2Char">
    <w:name w:val="标题 2 Char"/>
    <w:link w:val="2"/>
    <w:rsid w:val="00F87CAC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link w:val="3"/>
    <w:rsid w:val="00F87CAC"/>
    <w:rPr>
      <w:rFonts w:ascii="Arial" w:hAnsi="Arial" w:cs="Arial"/>
      <w:bCs/>
      <w:sz w:val="22"/>
      <w:szCs w:val="26"/>
      <w:u w:val="single"/>
    </w:rPr>
  </w:style>
  <w:style w:type="character" w:customStyle="1" w:styleId="4Char">
    <w:name w:val="标题 4 Char"/>
    <w:link w:val="4"/>
    <w:rsid w:val="00F87CAC"/>
    <w:rPr>
      <w:rFonts w:ascii="Arial" w:hAnsi="Arial" w:cs="Arial"/>
      <w:bCs/>
      <w:i/>
      <w:sz w:val="22"/>
      <w:szCs w:val="28"/>
    </w:rPr>
  </w:style>
  <w:style w:type="character" w:customStyle="1" w:styleId="5Char">
    <w:name w:val="标题 5 Char"/>
    <w:link w:val="5"/>
    <w:rsid w:val="00F87CAC"/>
    <w:rPr>
      <w:rFonts w:ascii="Arial" w:hAnsi="Arial" w:cs="Arial"/>
      <w:b/>
      <w:bCs/>
      <w:iCs/>
      <w:color w:val="000000"/>
      <w:lang w:val="de-CH" w:eastAsia="en-US"/>
    </w:rPr>
  </w:style>
  <w:style w:type="character" w:customStyle="1" w:styleId="6Char">
    <w:name w:val="标题 6 Char"/>
    <w:link w:val="6"/>
    <w:rsid w:val="00F87CAC"/>
    <w:rPr>
      <w:rFonts w:ascii="Arial" w:hAnsi="Arial" w:cs="Arial"/>
      <w:bCs/>
      <w:color w:val="000000"/>
      <w:lang w:val="de-CH" w:eastAsia="en-US"/>
    </w:rPr>
  </w:style>
  <w:style w:type="character" w:customStyle="1" w:styleId="7Char">
    <w:name w:val="标题 7 Char"/>
    <w:link w:val="7"/>
    <w:rsid w:val="00F87CAC"/>
    <w:rPr>
      <w:rFonts w:ascii="Arial" w:hAnsi="Arial" w:cs="Arial"/>
      <w:color w:val="000000"/>
      <w:lang w:val="de-CH" w:eastAsia="en-US"/>
    </w:rPr>
  </w:style>
  <w:style w:type="character" w:customStyle="1" w:styleId="8Char">
    <w:name w:val="标题 8 Char"/>
    <w:link w:val="8"/>
    <w:rsid w:val="00F87CAC"/>
    <w:rPr>
      <w:rFonts w:ascii="Arial" w:hAnsi="Arial" w:cs="Arial"/>
      <w:iCs/>
      <w:color w:val="000000"/>
      <w:lang w:val="de-CH" w:eastAsia="en-US"/>
    </w:rPr>
  </w:style>
  <w:style w:type="character" w:customStyle="1" w:styleId="9Char">
    <w:name w:val="标题 9 Char"/>
    <w:link w:val="9"/>
    <w:rsid w:val="00F87CAC"/>
    <w:rPr>
      <w:rFonts w:ascii="Arial" w:hAnsi="Arial" w:cs="Arial"/>
      <w:color w:val="000000"/>
      <w:lang w:val="de-CH" w:eastAsia="en-US"/>
    </w:rPr>
  </w:style>
  <w:style w:type="character" w:customStyle="1" w:styleId="Char0">
    <w:name w:val="批注文字 Char"/>
    <w:link w:val="a7"/>
    <w:semiHidden/>
    <w:rsid w:val="00F87CAC"/>
    <w:rPr>
      <w:rFonts w:ascii="Arial" w:hAnsi="Arial" w:cs="Arial"/>
      <w:sz w:val="18"/>
    </w:rPr>
  </w:style>
  <w:style w:type="character" w:customStyle="1" w:styleId="Char1">
    <w:name w:val="尾注文本 Char"/>
    <w:link w:val="a8"/>
    <w:semiHidden/>
    <w:rsid w:val="00F87CAC"/>
    <w:rPr>
      <w:rFonts w:ascii="Arial" w:hAnsi="Arial" w:cs="Arial"/>
      <w:sz w:val="18"/>
    </w:rPr>
  </w:style>
  <w:style w:type="character" w:customStyle="1" w:styleId="Char2">
    <w:name w:val="页脚 Char"/>
    <w:link w:val="a9"/>
    <w:semiHidden/>
    <w:rsid w:val="00F87CAC"/>
    <w:rPr>
      <w:rFonts w:ascii="Arial" w:hAnsi="Arial" w:cs="Arial"/>
      <w:sz w:val="22"/>
    </w:rPr>
  </w:style>
  <w:style w:type="character" w:customStyle="1" w:styleId="Char4">
    <w:name w:val="页眉 Char"/>
    <w:link w:val="ab"/>
    <w:semiHidden/>
    <w:rsid w:val="00F87CAC"/>
    <w:rPr>
      <w:rFonts w:ascii="Arial" w:hAnsi="Arial" w:cs="Arial"/>
      <w:sz w:val="22"/>
    </w:rPr>
  </w:style>
  <w:style w:type="character" w:customStyle="1" w:styleId="Char5">
    <w:name w:val="称呼 Char"/>
    <w:link w:val="ac"/>
    <w:semiHidden/>
    <w:rsid w:val="00F87CAC"/>
    <w:rPr>
      <w:rFonts w:ascii="Arial" w:hAnsi="Arial" w:cs="Arial"/>
      <w:sz w:val="22"/>
    </w:rPr>
  </w:style>
  <w:style w:type="character" w:customStyle="1" w:styleId="Char6">
    <w:name w:val="签名 Char"/>
    <w:link w:val="ad"/>
    <w:semiHidden/>
    <w:rsid w:val="00F87CAC"/>
    <w:rPr>
      <w:rFonts w:ascii="Arial" w:hAnsi="Arial" w:cs="Arial"/>
      <w:sz w:val="22"/>
    </w:rPr>
  </w:style>
  <w:style w:type="character" w:customStyle="1" w:styleId="Char7">
    <w:name w:val="批注框文本 Char"/>
    <w:link w:val="af"/>
    <w:semiHidden/>
    <w:rsid w:val="00F87CAC"/>
    <w:rPr>
      <w:rFonts w:ascii="Tahoma" w:hAnsi="Tahoma" w:cs="Tahoma"/>
      <w:sz w:val="16"/>
      <w:szCs w:val="16"/>
    </w:rPr>
  </w:style>
  <w:style w:type="character" w:customStyle="1" w:styleId="Char8">
    <w:name w:val="标题 Char"/>
    <w:link w:val="af3"/>
    <w:rsid w:val="00F87CAC"/>
    <w:rPr>
      <w:rFonts w:ascii="Arial" w:hAnsi="Arial" w:cs="Arial"/>
      <w:b/>
      <w:bCs/>
      <w:sz w:val="32"/>
      <w:szCs w:val="32"/>
    </w:rPr>
  </w:style>
  <w:style w:type="character" w:customStyle="1" w:styleId="DecisionInvitingParaChar">
    <w:name w:val="Decision Inviting Para. Char"/>
    <w:link w:val="DecisionInvitingPara"/>
    <w:locked/>
    <w:rsid w:val="00F701A0"/>
    <w:rPr>
      <w:rFonts w:ascii="Arial" w:eastAsia="Times New Roman" w:hAnsi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5B60-05BC-408A-9D9C-F8443A9C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2013-08-13T08:31:00Z</dcterms:created>
  <dcterms:modified xsi:type="dcterms:W3CDTF">2013-08-13T08:35:00Z</dcterms:modified>
</cp:coreProperties>
</file>