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3347A" w:rsidRPr="008B2CC1" w:rsidTr="00BA511B">
        <w:tc>
          <w:tcPr>
            <w:tcW w:w="4513" w:type="dxa"/>
            <w:tcBorders>
              <w:bottom w:val="single" w:sz="4" w:space="0" w:color="auto"/>
            </w:tcBorders>
            <w:tcMar>
              <w:bottom w:w="170" w:type="dxa"/>
            </w:tcMar>
          </w:tcPr>
          <w:p w:rsidR="0043347A" w:rsidRPr="008B2CC1" w:rsidRDefault="0043347A" w:rsidP="00BA511B"/>
        </w:tc>
        <w:tc>
          <w:tcPr>
            <w:tcW w:w="4337" w:type="dxa"/>
            <w:tcBorders>
              <w:bottom w:val="single" w:sz="4" w:space="0" w:color="auto"/>
            </w:tcBorders>
            <w:tcMar>
              <w:left w:w="0" w:type="dxa"/>
              <w:right w:w="0" w:type="dxa"/>
            </w:tcMar>
          </w:tcPr>
          <w:p w:rsidR="0043347A" w:rsidRPr="008B2CC1" w:rsidRDefault="005A2B22" w:rsidP="00BA511B">
            <w:r w:rsidRPr="00082409">
              <w:rPr>
                <w:noProof/>
                <w:lang w:eastAsia="en-US"/>
              </w:rPr>
              <w:drawing>
                <wp:inline distT="0" distB="0" distL="0" distR="0" wp14:anchorId="7B9CF138" wp14:editId="4EDEEC3A">
                  <wp:extent cx="1804670" cy="1343660"/>
                  <wp:effectExtent l="0" t="0" r="5080" b="8890"/>
                  <wp:docPr id="5" name="Picture 6" descr="Description: WIPO-R-BW"/>
                  <wp:cNvGraphicFramePr/>
                  <a:graphic xmlns:a="http://schemas.openxmlformats.org/drawingml/2006/main">
                    <a:graphicData uri="http://schemas.openxmlformats.org/drawingml/2006/picture">
                      <pic:pic xmlns:pic="http://schemas.openxmlformats.org/drawingml/2006/picture">
                        <pic:nvPicPr>
                          <pic:cNvPr id="2" name="Picture 6" descr="Description: WIPO-R-BW"/>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4670" cy="134366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3347A" w:rsidRPr="008B2CC1" w:rsidRDefault="005A2B22" w:rsidP="00BA511B">
            <w:pPr>
              <w:jc w:val="right"/>
            </w:pPr>
            <w:r>
              <w:rPr>
                <w:b/>
                <w:sz w:val="40"/>
                <w:szCs w:val="40"/>
              </w:rPr>
              <w:t>R</w:t>
            </w:r>
          </w:p>
        </w:tc>
      </w:tr>
      <w:tr w:rsidR="0043347A" w:rsidRPr="001832A6" w:rsidTr="00BA511B">
        <w:trPr>
          <w:trHeight w:hRule="exact" w:val="340"/>
        </w:trPr>
        <w:tc>
          <w:tcPr>
            <w:tcW w:w="9356" w:type="dxa"/>
            <w:gridSpan w:val="3"/>
            <w:tcBorders>
              <w:top w:val="single" w:sz="4" w:space="0" w:color="auto"/>
            </w:tcBorders>
            <w:tcMar>
              <w:top w:w="170" w:type="dxa"/>
              <w:left w:w="0" w:type="dxa"/>
              <w:right w:w="0" w:type="dxa"/>
            </w:tcMar>
            <w:vAlign w:val="bottom"/>
          </w:tcPr>
          <w:p w:rsidR="0043347A" w:rsidRPr="0090731E" w:rsidRDefault="0043347A" w:rsidP="0059122A">
            <w:pPr>
              <w:jc w:val="right"/>
              <w:rPr>
                <w:rFonts w:ascii="Arial Black" w:hAnsi="Arial Black"/>
                <w:caps/>
                <w:sz w:val="15"/>
              </w:rPr>
            </w:pPr>
            <w:r>
              <w:rPr>
                <w:rFonts w:ascii="Arial Black" w:hAnsi="Arial Black"/>
                <w:caps/>
                <w:sz w:val="15"/>
              </w:rPr>
              <w:t>wo/pbc/2</w:t>
            </w:r>
            <w:r w:rsidR="0059122A">
              <w:rPr>
                <w:rFonts w:ascii="Arial Black" w:hAnsi="Arial Black"/>
                <w:caps/>
                <w:sz w:val="15"/>
              </w:rPr>
              <w:t>6</w:t>
            </w:r>
            <w:r>
              <w:rPr>
                <w:rFonts w:ascii="Arial Black" w:hAnsi="Arial Black"/>
                <w:caps/>
                <w:sz w:val="15"/>
              </w:rPr>
              <w:t>/</w:t>
            </w:r>
            <w:bookmarkStart w:id="0" w:name="Code"/>
            <w:bookmarkEnd w:id="0"/>
            <w:r w:rsidR="0059122A">
              <w:rPr>
                <w:rFonts w:ascii="Arial Black" w:hAnsi="Arial Black"/>
                <w:caps/>
                <w:sz w:val="15"/>
              </w:rPr>
              <w:t>9</w:t>
            </w:r>
          </w:p>
        </w:tc>
      </w:tr>
      <w:tr w:rsidR="0043347A" w:rsidRPr="001832A6" w:rsidTr="00BA511B">
        <w:trPr>
          <w:trHeight w:hRule="exact" w:val="170"/>
        </w:trPr>
        <w:tc>
          <w:tcPr>
            <w:tcW w:w="9356" w:type="dxa"/>
            <w:gridSpan w:val="3"/>
            <w:noWrap/>
            <w:tcMar>
              <w:left w:w="0" w:type="dxa"/>
              <w:right w:w="0" w:type="dxa"/>
            </w:tcMar>
            <w:vAlign w:val="bottom"/>
          </w:tcPr>
          <w:p w:rsidR="0043347A" w:rsidRPr="0090731E" w:rsidRDefault="005A2B22" w:rsidP="00BA511B">
            <w:pPr>
              <w:jc w:val="right"/>
              <w:rPr>
                <w:rFonts w:ascii="Arial Black" w:hAnsi="Arial Black"/>
                <w:caps/>
                <w:sz w:val="15"/>
              </w:rPr>
            </w:pPr>
            <w:r w:rsidRPr="005A2B22">
              <w:rPr>
                <w:rFonts w:ascii="Arial Black" w:hAnsi="Arial Black"/>
                <w:caps/>
                <w:sz w:val="15"/>
                <w:lang w:val="ru-RU"/>
              </w:rPr>
              <w:t>ОРИГИНАЛ: английский</w:t>
            </w:r>
          </w:p>
        </w:tc>
      </w:tr>
      <w:tr w:rsidR="0043347A" w:rsidRPr="001832A6" w:rsidTr="00BA511B">
        <w:trPr>
          <w:trHeight w:hRule="exact" w:val="198"/>
        </w:trPr>
        <w:tc>
          <w:tcPr>
            <w:tcW w:w="9356" w:type="dxa"/>
            <w:gridSpan w:val="3"/>
            <w:tcMar>
              <w:left w:w="0" w:type="dxa"/>
              <w:right w:w="0" w:type="dxa"/>
            </w:tcMar>
            <w:vAlign w:val="bottom"/>
          </w:tcPr>
          <w:p w:rsidR="0043347A" w:rsidRDefault="005A2B22" w:rsidP="0043347A">
            <w:pPr>
              <w:jc w:val="right"/>
              <w:rPr>
                <w:rFonts w:ascii="Arial Black" w:hAnsi="Arial Black"/>
                <w:caps/>
                <w:sz w:val="15"/>
              </w:rPr>
            </w:pPr>
            <w:r w:rsidRPr="005A2B22">
              <w:rPr>
                <w:rFonts w:ascii="Arial Black" w:hAnsi="Arial Black"/>
                <w:caps/>
                <w:sz w:val="15"/>
                <w:lang w:val="ru-RU"/>
              </w:rPr>
              <w:t>дата</w:t>
            </w:r>
            <w:r w:rsidRPr="005A2B22">
              <w:rPr>
                <w:rFonts w:ascii="Arial Black" w:hAnsi="Arial Black"/>
                <w:caps/>
                <w:sz w:val="15"/>
              </w:rPr>
              <w:t xml:space="preserve">:  </w:t>
            </w:r>
            <w:r w:rsidR="000E35E7">
              <w:rPr>
                <w:rFonts w:ascii="Arial Black" w:hAnsi="Arial Black"/>
                <w:caps/>
                <w:sz w:val="15"/>
              </w:rPr>
              <w:t>21</w:t>
            </w:r>
            <w:r>
              <w:rPr>
                <w:rFonts w:ascii="Arial Black" w:hAnsi="Arial Black"/>
                <w:caps/>
                <w:sz w:val="15"/>
              </w:rPr>
              <w:t xml:space="preserve"> </w:t>
            </w:r>
            <w:r>
              <w:rPr>
                <w:rFonts w:ascii="Arial Black" w:hAnsi="Arial Black"/>
                <w:caps/>
                <w:sz w:val="15"/>
                <w:lang w:val="ru-RU"/>
              </w:rPr>
              <w:t>июня</w:t>
            </w:r>
            <w:r w:rsidRPr="005A2B22">
              <w:rPr>
                <w:rFonts w:ascii="Arial Black" w:hAnsi="Arial Black"/>
                <w:b/>
                <w:caps/>
                <w:sz w:val="15"/>
              </w:rPr>
              <w:t xml:space="preserve"> 2017 </w:t>
            </w:r>
            <w:r w:rsidRPr="005A2B22">
              <w:rPr>
                <w:rFonts w:ascii="Arial Black" w:hAnsi="Arial Black"/>
                <w:b/>
                <w:caps/>
                <w:sz w:val="15"/>
                <w:lang w:val="ru-RU"/>
              </w:rPr>
              <w:t>г</w:t>
            </w:r>
            <w:r w:rsidRPr="005A2B22">
              <w:rPr>
                <w:rFonts w:ascii="Arial Black" w:hAnsi="Arial Black"/>
                <w:b/>
                <w:caps/>
                <w:sz w:val="15"/>
              </w:rPr>
              <w:t>.</w:t>
            </w:r>
          </w:p>
          <w:p w:rsidR="0043347A" w:rsidRDefault="0043347A" w:rsidP="0043347A">
            <w:pPr>
              <w:jc w:val="right"/>
              <w:rPr>
                <w:rFonts w:ascii="Arial Black" w:hAnsi="Arial Black"/>
                <w:caps/>
                <w:sz w:val="15"/>
              </w:rPr>
            </w:pPr>
          </w:p>
          <w:p w:rsidR="0043347A" w:rsidRPr="0090731E" w:rsidRDefault="0043347A" w:rsidP="0043347A">
            <w:pPr>
              <w:jc w:val="right"/>
              <w:rPr>
                <w:rFonts w:ascii="Arial Black" w:hAnsi="Arial Black"/>
                <w:caps/>
                <w:sz w:val="15"/>
              </w:rPr>
            </w:pPr>
            <w:r>
              <w:rPr>
                <w:rFonts w:ascii="Arial Black" w:hAnsi="Arial Black"/>
                <w:caps/>
                <w:sz w:val="15"/>
              </w:rPr>
              <w:t>Pro</w:t>
            </w:r>
          </w:p>
        </w:tc>
      </w:tr>
    </w:tbl>
    <w:p w:rsidR="000F5E56" w:rsidRDefault="000F5E56" w:rsidP="00804DB7"/>
    <w:p w:rsidR="00011824" w:rsidRDefault="00011824" w:rsidP="00804DB7"/>
    <w:p w:rsidR="00011824" w:rsidRDefault="00011824" w:rsidP="00804DB7"/>
    <w:p w:rsidR="00011824" w:rsidRDefault="00011824" w:rsidP="00804DB7"/>
    <w:p w:rsidR="00011824" w:rsidRDefault="00011824" w:rsidP="00804DB7"/>
    <w:p w:rsidR="0043347A" w:rsidRPr="005A2B22" w:rsidRDefault="005A2B22" w:rsidP="00804DB7">
      <w:pPr>
        <w:rPr>
          <w:b/>
          <w:sz w:val="28"/>
          <w:szCs w:val="28"/>
          <w:lang w:val="ru-RU"/>
        </w:rPr>
      </w:pPr>
      <w:r w:rsidRPr="005A2B22">
        <w:rPr>
          <w:b/>
          <w:sz w:val="28"/>
          <w:szCs w:val="28"/>
          <w:lang w:val="ru-RU"/>
        </w:rPr>
        <w:t>Комитет по программе и бюджету</w:t>
      </w:r>
    </w:p>
    <w:p w:rsidR="0043347A" w:rsidRPr="005A2B22" w:rsidRDefault="0043347A" w:rsidP="00804DB7">
      <w:pPr>
        <w:rPr>
          <w:b/>
          <w:lang w:val="ru-RU"/>
        </w:rPr>
      </w:pPr>
    </w:p>
    <w:p w:rsidR="005A2B22" w:rsidRPr="005A2B22" w:rsidRDefault="005A2B22" w:rsidP="005A2B22">
      <w:pPr>
        <w:rPr>
          <w:b/>
          <w:sz w:val="24"/>
          <w:szCs w:val="24"/>
          <w:lang w:val="ru-RU"/>
        </w:rPr>
      </w:pPr>
      <w:r w:rsidRPr="005A2B22">
        <w:rPr>
          <w:b/>
          <w:sz w:val="24"/>
          <w:szCs w:val="24"/>
          <w:lang w:val="ru-RU"/>
        </w:rPr>
        <w:t>Двадцать шестая сессия</w:t>
      </w:r>
    </w:p>
    <w:p w:rsidR="0043347A" w:rsidRPr="005A2B22" w:rsidRDefault="005A2B22" w:rsidP="005A2B22">
      <w:pPr>
        <w:rPr>
          <w:b/>
          <w:sz w:val="24"/>
          <w:szCs w:val="24"/>
          <w:lang w:val="ru-RU"/>
        </w:rPr>
      </w:pPr>
      <w:r w:rsidRPr="005A2B22">
        <w:rPr>
          <w:b/>
          <w:sz w:val="24"/>
          <w:szCs w:val="24"/>
          <w:lang w:val="ru-RU"/>
        </w:rPr>
        <w:t>Женева, 10 – 14 июля 2017 г.</w:t>
      </w:r>
    </w:p>
    <w:p w:rsidR="0043347A" w:rsidRPr="005A2B22" w:rsidRDefault="0043347A" w:rsidP="00804DB7">
      <w:pPr>
        <w:rPr>
          <w:lang w:val="ru-RU"/>
        </w:rPr>
      </w:pPr>
    </w:p>
    <w:p w:rsidR="00207BFD" w:rsidRPr="005A2B22" w:rsidRDefault="00207BFD" w:rsidP="00804DB7">
      <w:pPr>
        <w:rPr>
          <w:lang w:val="ru-RU"/>
        </w:rPr>
      </w:pPr>
    </w:p>
    <w:p w:rsidR="00207BFD" w:rsidRPr="005A2B22" w:rsidRDefault="00207BFD" w:rsidP="00804DB7">
      <w:pPr>
        <w:rPr>
          <w:lang w:val="ru-RU"/>
        </w:rPr>
      </w:pPr>
    </w:p>
    <w:p w:rsidR="0043347A" w:rsidRPr="005A2B22" w:rsidRDefault="005A2B22" w:rsidP="00804DB7">
      <w:pPr>
        <w:rPr>
          <w:caps/>
          <w:sz w:val="24"/>
          <w:szCs w:val="24"/>
          <w:lang w:val="ru-RU"/>
        </w:rPr>
      </w:pPr>
      <w:r>
        <w:rPr>
          <w:caps/>
          <w:sz w:val="24"/>
          <w:szCs w:val="24"/>
          <w:lang w:val="ru-RU"/>
        </w:rPr>
        <w:t>ГЕНЕРАЛЬНЫЙ ПЛАН КАПИТАЛЬНЫХ РАСХОДОВ НА 2018-2027 ГГ.</w:t>
      </w:r>
    </w:p>
    <w:p w:rsidR="0043347A" w:rsidRPr="005A2B22" w:rsidRDefault="0043347A" w:rsidP="00804DB7">
      <w:pPr>
        <w:rPr>
          <w:lang w:val="ru-RU"/>
        </w:rPr>
      </w:pPr>
    </w:p>
    <w:p w:rsidR="0043347A" w:rsidRDefault="005A2B22" w:rsidP="00804DB7">
      <w:pPr>
        <w:rPr>
          <w:i/>
        </w:rPr>
      </w:pPr>
      <w:r>
        <w:rPr>
          <w:i/>
          <w:lang w:val="ru-RU"/>
        </w:rPr>
        <w:t>Д</w:t>
      </w:r>
      <w:r w:rsidRPr="005A2B22">
        <w:rPr>
          <w:i/>
          <w:lang w:val="ru-RU"/>
        </w:rPr>
        <w:t>окумент подготовлен Секретариатом</w:t>
      </w:r>
    </w:p>
    <w:p w:rsidR="0043347A" w:rsidRDefault="0043347A" w:rsidP="00804DB7">
      <w:pPr>
        <w:rPr>
          <w:i/>
        </w:rPr>
      </w:pPr>
    </w:p>
    <w:p w:rsidR="00207BFD" w:rsidRDefault="00207BFD" w:rsidP="00804DB7">
      <w:pPr>
        <w:rPr>
          <w:i/>
        </w:rPr>
      </w:pPr>
    </w:p>
    <w:p w:rsidR="00207BFD" w:rsidRDefault="00207BFD" w:rsidP="00804DB7">
      <w:pPr>
        <w:rPr>
          <w:i/>
        </w:rPr>
      </w:pPr>
    </w:p>
    <w:p w:rsidR="0043347A" w:rsidRDefault="0043347A" w:rsidP="00251C01">
      <w:pPr>
        <w:rPr>
          <w:i/>
        </w:rPr>
      </w:pPr>
    </w:p>
    <w:p w:rsidR="0043347A" w:rsidRPr="005A2B22" w:rsidRDefault="005A2B22" w:rsidP="00251C01">
      <w:pPr>
        <w:pStyle w:val="Heading1"/>
        <w:spacing w:before="0" w:after="0"/>
        <w:rPr>
          <w:lang w:val="ru-RU"/>
        </w:rPr>
      </w:pPr>
      <w:r>
        <w:rPr>
          <w:lang w:val="ru-RU"/>
        </w:rPr>
        <w:t>СПРАВОЧНАЯ ИНФОРМАЦИЯ</w:t>
      </w:r>
    </w:p>
    <w:p w:rsidR="00F56C27" w:rsidRDefault="00F56C27" w:rsidP="00804DB7"/>
    <w:p w:rsidR="0043347A" w:rsidRPr="000203FA" w:rsidRDefault="00AB786C" w:rsidP="00AB786C">
      <w:pPr>
        <w:numPr>
          <w:ilvl w:val="0"/>
          <w:numId w:val="31"/>
        </w:numPr>
        <w:tabs>
          <w:tab w:val="left" w:pos="567"/>
          <w:tab w:val="left" w:pos="5670"/>
        </w:tabs>
        <w:spacing w:after="220"/>
        <w:ind w:left="0" w:firstLine="0"/>
        <w:contextualSpacing/>
        <w:rPr>
          <w:lang w:val="ru-RU"/>
        </w:rPr>
      </w:pPr>
      <w:r w:rsidRPr="006709DE">
        <w:rPr>
          <w:lang w:val="ru-RU"/>
        </w:rPr>
        <w:t>Комитет</w:t>
      </w:r>
      <w:r w:rsidRPr="009D2C5F">
        <w:rPr>
          <w:lang w:val="ru-RU"/>
        </w:rPr>
        <w:t xml:space="preserve"> </w:t>
      </w:r>
      <w:r w:rsidRPr="006709DE">
        <w:rPr>
          <w:lang w:val="ru-RU"/>
        </w:rPr>
        <w:t>по</w:t>
      </w:r>
      <w:r w:rsidRPr="009D2C5F">
        <w:rPr>
          <w:lang w:val="ru-RU"/>
        </w:rPr>
        <w:t xml:space="preserve"> </w:t>
      </w:r>
      <w:r w:rsidRPr="006709DE">
        <w:rPr>
          <w:lang w:val="ru-RU"/>
        </w:rPr>
        <w:t>программе</w:t>
      </w:r>
      <w:r w:rsidRPr="009D2C5F">
        <w:rPr>
          <w:lang w:val="ru-RU"/>
        </w:rPr>
        <w:t xml:space="preserve"> </w:t>
      </w:r>
      <w:r w:rsidRPr="006709DE">
        <w:rPr>
          <w:lang w:val="ru-RU"/>
        </w:rPr>
        <w:t>и</w:t>
      </w:r>
      <w:r w:rsidRPr="009D2C5F">
        <w:rPr>
          <w:lang w:val="ru-RU"/>
        </w:rPr>
        <w:t xml:space="preserve"> </w:t>
      </w:r>
      <w:r w:rsidRPr="006709DE">
        <w:rPr>
          <w:lang w:val="ru-RU"/>
        </w:rPr>
        <w:t>бюджету</w:t>
      </w:r>
      <w:r w:rsidRPr="009D2C5F">
        <w:rPr>
          <w:lang w:val="ru-RU"/>
        </w:rPr>
        <w:t xml:space="preserve"> (</w:t>
      </w:r>
      <w:r w:rsidRPr="006709DE">
        <w:rPr>
          <w:lang w:val="ru-RU"/>
        </w:rPr>
        <w:t>КПБ</w:t>
      </w:r>
      <w:r w:rsidRPr="009D2C5F">
        <w:rPr>
          <w:lang w:val="ru-RU"/>
        </w:rPr>
        <w:t xml:space="preserve">) </w:t>
      </w:r>
      <w:r w:rsidRPr="006709DE">
        <w:rPr>
          <w:lang w:val="ru-RU"/>
        </w:rPr>
        <w:t>на</w:t>
      </w:r>
      <w:r w:rsidRPr="009D2C5F">
        <w:rPr>
          <w:lang w:val="ru-RU"/>
        </w:rPr>
        <w:t xml:space="preserve"> </w:t>
      </w:r>
      <w:r w:rsidRPr="006709DE">
        <w:rPr>
          <w:lang w:val="ru-RU"/>
        </w:rPr>
        <w:t>своей</w:t>
      </w:r>
      <w:r w:rsidRPr="009D2C5F">
        <w:rPr>
          <w:lang w:val="ru-RU"/>
        </w:rPr>
        <w:t xml:space="preserve"> </w:t>
      </w:r>
      <w:r w:rsidRPr="006709DE">
        <w:rPr>
          <w:lang w:val="ru-RU"/>
        </w:rPr>
        <w:t>двадцать</w:t>
      </w:r>
      <w:r w:rsidRPr="009D2C5F">
        <w:rPr>
          <w:lang w:val="ru-RU"/>
        </w:rPr>
        <w:t xml:space="preserve"> </w:t>
      </w:r>
      <w:r w:rsidRPr="006709DE">
        <w:rPr>
          <w:lang w:val="ru-RU"/>
        </w:rPr>
        <w:t>первой</w:t>
      </w:r>
      <w:r w:rsidRPr="009D2C5F">
        <w:rPr>
          <w:lang w:val="ru-RU"/>
        </w:rPr>
        <w:t xml:space="preserve"> </w:t>
      </w:r>
      <w:r w:rsidRPr="006709DE">
        <w:rPr>
          <w:lang w:val="ru-RU"/>
        </w:rPr>
        <w:t>сессии</w:t>
      </w:r>
      <w:r w:rsidRPr="009D2C5F">
        <w:rPr>
          <w:lang w:val="ru-RU"/>
        </w:rPr>
        <w:t xml:space="preserve"> (9-13 </w:t>
      </w:r>
      <w:r w:rsidRPr="006709DE">
        <w:rPr>
          <w:lang w:val="ru-RU"/>
        </w:rPr>
        <w:t>сентября</w:t>
      </w:r>
      <w:r w:rsidRPr="009D2C5F">
        <w:rPr>
          <w:lang w:val="ru-RU"/>
        </w:rPr>
        <w:t xml:space="preserve"> 2013 </w:t>
      </w:r>
      <w:r w:rsidRPr="006709DE">
        <w:rPr>
          <w:lang w:val="ru-RU"/>
        </w:rPr>
        <w:t>г</w:t>
      </w:r>
      <w:r w:rsidRPr="009D2C5F">
        <w:rPr>
          <w:lang w:val="ru-RU"/>
        </w:rPr>
        <w:t xml:space="preserve">.) </w:t>
      </w:r>
      <w:r w:rsidRPr="006709DE">
        <w:rPr>
          <w:lang w:val="ru-RU"/>
        </w:rPr>
        <w:t>рекомендовал</w:t>
      </w:r>
      <w:r w:rsidRPr="009D2C5F">
        <w:rPr>
          <w:lang w:val="ru-RU"/>
        </w:rPr>
        <w:t xml:space="preserve"> </w:t>
      </w:r>
      <w:r w:rsidRPr="006709DE">
        <w:rPr>
          <w:lang w:val="ru-RU"/>
        </w:rPr>
        <w:t>Ассамблеям</w:t>
      </w:r>
      <w:r w:rsidRPr="009D2C5F">
        <w:rPr>
          <w:lang w:val="ru-RU"/>
        </w:rPr>
        <w:t xml:space="preserve"> </w:t>
      </w:r>
      <w:r w:rsidRPr="006709DE">
        <w:rPr>
          <w:lang w:val="ru-RU"/>
        </w:rPr>
        <w:t>государств</w:t>
      </w:r>
      <w:r w:rsidRPr="009D2C5F">
        <w:rPr>
          <w:lang w:val="ru-RU"/>
        </w:rPr>
        <w:t>-</w:t>
      </w:r>
      <w:r w:rsidRPr="006709DE">
        <w:rPr>
          <w:lang w:val="ru-RU"/>
        </w:rPr>
        <w:t>членов</w:t>
      </w:r>
      <w:r w:rsidRPr="009D2C5F">
        <w:rPr>
          <w:lang w:val="ru-RU"/>
        </w:rPr>
        <w:t xml:space="preserve"> </w:t>
      </w:r>
      <w:r w:rsidRPr="006709DE">
        <w:rPr>
          <w:lang w:val="ru-RU"/>
        </w:rPr>
        <w:t>ВОИС</w:t>
      </w:r>
      <w:r w:rsidRPr="009D2C5F">
        <w:rPr>
          <w:lang w:val="ru-RU"/>
        </w:rPr>
        <w:t xml:space="preserve"> </w:t>
      </w:r>
      <w:r w:rsidRPr="006709DE">
        <w:rPr>
          <w:lang w:val="ru-RU"/>
        </w:rPr>
        <w:t>одобрить</w:t>
      </w:r>
      <w:r w:rsidRPr="009D2C5F">
        <w:rPr>
          <w:lang w:val="ru-RU"/>
        </w:rPr>
        <w:t xml:space="preserve"> </w:t>
      </w:r>
      <w:r w:rsidRPr="006709DE">
        <w:rPr>
          <w:lang w:val="ru-RU"/>
        </w:rPr>
        <w:t>генеральный</w:t>
      </w:r>
      <w:r w:rsidRPr="009D2C5F">
        <w:rPr>
          <w:lang w:val="ru-RU"/>
        </w:rPr>
        <w:t xml:space="preserve"> </w:t>
      </w:r>
      <w:r w:rsidRPr="006709DE">
        <w:rPr>
          <w:lang w:val="ru-RU"/>
        </w:rPr>
        <w:t>план</w:t>
      </w:r>
      <w:r w:rsidRPr="009D2C5F">
        <w:rPr>
          <w:lang w:val="ru-RU"/>
        </w:rPr>
        <w:t xml:space="preserve"> </w:t>
      </w:r>
      <w:r w:rsidRPr="006709DE">
        <w:rPr>
          <w:lang w:val="ru-RU"/>
        </w:rPr>
        <w:t>капитальных</w:t>
      </w:r>
      <w:r w:rsidRPr="009D2C5F">
        <w:rPr>
          <w:lang w:val="ru-RU"/>
        </w:rPr>
        <w:t xml:space="preserve"> </w:t>
      </w:r>
      <w:r w:rsidRPr="006709DE">
        <w:rPr>
          <w:lang w:val="ru-RU"/>
        </w:rPr>
        <w:t>расходов</w:t>
      </w:r>
      <w:r w:rsidRPr="009D2C5F">
        <w:rPr>
          <w:lang w:val="ru-RU"/>
        </w:rPr>
        <w:t xml:space="preserve"> (</w:t>
      </w:r>
      <w:r w:rsidRPr="006709DE">
        <w:rPr>
          <w:lang w:val="ru-RU"/>
        </w:rPr>
        <w:t>ГПКР</w:t>
      </w:r>
      <w:r w:rsidRPr="009D2C5F">
        <w:rPr>
          <w:lang w:val="ru-RU"/>
        </w:rPr>
        <w:t>) (</w:t>
      </w:r>
      <w:r w:rsidRPr="006709DE">
        <w:rPr>
          <w:lang w:val="ru-RU"/>
        </w:rPr>
        <w:t>документ</w:t>
      </w:r>
      <w:r w:rsidRPr="009D2C5F">
        <w:rPr>
          <w:lang w:val="ru-RU"/>
        </w:rPr>
        <w:t xml:space="preserve"> </w:t>
      </w:r>
      <w:r w:rsidRPr="003C51B4">
        <w:t>WO</w:t>
      </w:r>
      <w:r w:rsidRPr="009D2C5F">
        <w:rPr>
          <w:lang w:val="ru-RU"/>
        </w:rPr>
        <w:t>/</w:t>
      </w:r>
      <w:r w:rsidRPr="003C51B4">
        <w:t>PBC</w:t>
      </w:r>
      <w:r w:rsidRPr="009D2C5F">
        <w:rPr>
          <w:lang w:val="ru-RU"/>
        </w:rPr>
        <w:t xml:space="preserve">/21/18), </w:t>
      </w:r>
      <w:r w:rsidRPr="006709DE">
        <w:rPr>
          <w:lang w:val="ru-RU"/>
        </w:rPr>
        <w:t>который</w:t>
      </w:r>
      <w:r w:rsidRPr="009D2C5F">
        <w:rPr>
          <w:lang w:val="ru-RU"/>
        </w:rPr>
        <w:t xml:space="preserve"> </w:t>
      </w:r>
      <w:r w:rsidRPr="006709DE">
        <w:rPr>
          <w:lang w:val="ru-RU"/>
        </w:rPr>
        <w:t>затем</w:t>
      </w:r>
      <w:r w:rsidRPr="009D2C5F">
        <w:rPr>
          <w:lang w:val="ru-RU"/>
        </w:rPr>
        <w:t xml:space="preserve"> </w:t>
      </w:r>
      <w:r w:rsidRPr="006709DE">
        <w:rPr>
          <w:lang w:val="ru-RU"/>
        </w:rPr>
        <w:t>был</w:t>
      </w:r>
      <w:r w:rsidRPr="009D2C5F">
        <w:rPr>
          <w:lang w:val="ru-RU"/>
        </w:rPr>
        <w:t xml:space="preserve"> </w:t>
      </w:r>
      <w:r w:rsidRPr="006709DE">
        <w:rPr>
          <w:lang w:val="ru-RU"/>
        </w:rPr>
        <w:t>утвержден</w:t>
      </w:r>
      <w:r w:rsidRPr="009D2C5F">
        <w:rPr>
          <w:lang w:val="ru-RU"/>
        </w:rPr>
        <w:t xml:space="preserve"> </w:t>
      </w:r>
      <w:r w:rsidRPr="006709DE">
        <w:rPr>
          <w:lang w:val="ru-RU"/>
        </w:rPr>
        <w:t>Ассамблеями</w:t>
      </w:r>
      <w:r w:rsidRPr="009D2C5F">
        <w:rPr>
          <w:lang w:val="ru-RU"/>
        </w:rPr>
        <w:t xml:space="preserve"> </w:t>
      </w:r>
      <w:r w:rsidRPr="006709DE">
        <w:rPr>
          <w:lang w:val="ru-RU"/>
        </w:rPr>
        <w:t>в</w:t>
      </w:r>
      <w:r w:rsidRPr="009D2C5F">
        <w:rPr>
          <w:lang w:val="ru-RU"/>
        </w:rPr>
        <w:t xml:space="preserve"> </w:t>
      </w:r>
      <w:r w:rsidRPr="006709DE">
        <w:rPr>
          <w:lang w:val="ru-RU"/>
        </w:rPr>
        <w:t>документе</w:t>
      </w:r>
      <w:r w:rsidRPr="009D2C5F">
        <w:rPr>
          <w:lang w:val="ru-RU"/>
        </w:rPr>
        <w:t xml:space="preserve"> </w:t>
      </w:r>
      <w:r w:rsidRPr="003C51B4">
        <w:t>A</w:t>
      </w:r>
      <w:r w:rsidRPr="009D2C5F">
        <w:rPr>
          <w:lang w:val="ru-RU"/>
        </w:rPr>
        <w:t xml:space="preserve">/51/14.  </w:t>
      </w:r>
      <w:r w:rsidRPr="006709DE">
        <w:rPr>
          <w:lang w:val="ru-RU"/>
        </w:rPr>
        <w:t xml:space="preserve">ГПКР на 2014-2019 гг. стал основой для комплексного скользящего шестилетнего плана, в котором отражены инвестиционные потребности </w:t>
      </w:r>
      <w:r w:rsidR="006709DE" w:rsidRPr="006709DE">
        <w:rPr>
          <w:lang w:val="ru-RU"/>
        </w:rPr>
        <w:t>Организации в связи с осуществлением проектов</w:t>
      </w:r>
      <w:r w:rsidR="000203FA">
        <w:rPr>
          <w:lang w:val="ru-RU"/>
        </w:rPr>
        <w:t>, связанных с</w:t>
      </w:r>
      <w:r w:rsidR="006709DE" w:rsidRPr="006709DE">
        <w:rPr>
          <w:lang w:val="ru-RU"/>
        </w:rPr>
        <w:t xml:space="preserve"> информационно-коммуникационны</w:t>
      </w:r>
      <w:r w:rsidR="000203FA">
        <w:rPr>
          <w:lang w:val="ru-RU"/>
        </w:rPr>
        <w:t>ми</w:t>
      </w:r>
      <w:r w:rsidR="006709DE" w:rsidRPr="006709DE">
        <w:rPr>
          <w:lang w:val="ru-RU"/>
        </w:rPr>
        <w:t xml:space="preserve"> технологи</w:t>
      </w:r>
      <w:r w:rsidR="000203FA">
        <w:rPr>
          <w:lang w:val="ru-RU"/>
        </w:rPr>
        <w:t>ями</w:t>
      </w:r>
      <w:r w:rsidR="006709DE" w:rsidRPr="006709DE">
        <w:rPr>
          <w:lang w:val="ru-RU"/>
        </w:rPr>
        <w:t xml:space="preserve">, </w:t>
      </w:r>
      <w:r w:rsidR="000203FA">
        <w:rPr>
          <w:lang w:val="ru-RU"/>
        </w:rPr>
        <w:t xml:space="preserve">состоянием </w:t>
      </w:r>
      <w:r w:rsidR="006709DE">
        <w:rPr>
          <w:lang w:val="ru-RU"/>
        </w:rPr>
        <w:t>зданий и</w:t>
      </w:r>
      <w:r w:rsidR="000203FA">
        <w:rPr>
          <w:lang w:val="ru-RU"/>
        </w:rPr>
        <w:t xml:space="preserve"> обеспечением</w:t>
      </w:r>
      <w:r w:rsidR="006709DE">
        <w:rPr>
          <w:lang w:val="ru-RU"/>
        </w:rPr>
        <w:t xml:space="preserve"> охраны и безопасности.  В рамках ГПКР </w:t>
      </w:r>
      <w:r w:rsidR="009D2C5F">
        <w:rPr>
          <w:lang w:val="ru-RU"/>
        </w:rPr>
        <w:t xml:space="preserve">на </w:t>
      </w:r>
      <w:r w:rsidR="006709DE">
        <w:rPr>
          <w:lang w:val="ru-RU"/>
        </w:rPr>
        <w:t>2014-2019</w:t>
      </w:r>
      <w:r w:rsidR="009D2C5F">
        <w:rPr>
          <w:lang w:val="ru-RU"/>
        </w:rPr>
        <w:t xml:space="preserve"> гг.</w:t>
      </w:r>
      <w:r w:rsidR="006709DE">
        <w:rPr>
          <w:lang w:val="ru-RU"/>
        </w:rPr>
        <w:t xml:space="preserve"> были </w:t>
      </w:r>
      <w:r w:rsidR="009D2C5F">
        <w:rPr>
          <w:lang w:val="ru-RU"/>
        </w:rPr>
        <w:t>намечены</w:t>
      </w:r>
      <w:r w:rsidR="006709DE">
        <w:rPr>
          <w:lang w:val="ru-RU"/>
        </w:rPr>
        <w:t xml:space="preserve"> следующие цели:</w:t>
      </w:r>
    </w:p>
    <w:p w:rsidR="00190B57" w:rsidRPr="000203FA" w:rsidRDefault="00190B57" w:rsidP="00804DB7">
      <w:pPr>
        <w:rPr>
          <w:lang w:val="ru-RU"/>
        </w:rPr>
      </w:pPr>
    </w:p>
    <w:p w:rsidR="00190B57" w:rsidRPr="0070133E" w:rsidRDefault="000203FA" w:rsidP="006709DE">
      <w:pPr>
        <w:numPr>
          <w:ilvl w:val="0"/>
          <w:numId w:val="8"/>
        </w:numPr>
        <w:tabs>
          <w:tab w:val="left" w:pos="567"/>
          <w:tab w:val="num" w:pos="1134"/>
          <w:tab w:val="left" w:pos="5670"/>
        </w:tabs>
        <w:ind w:left="567" w:firstLine="0"/>
        <w:contextualSpacing/>
        <w:rPr>
          <w:lang w:val="ru-RU"/>
        </w:rPr>
      </w:pPr>
      <w:r>
        <w:rPr>
          <w:lang w:val="ru-RU"/>
        </w:rPr>
        <w:t xml:space="preserve">обеспечение </w:t>
      </w:r>
      <w:r w:rsidR="006709DE" w:rsidRPr="0070133E">
        <w:rPr>
          <w:lang w:val="ru-RU"/>
        </w:rPr>
        <w:t>своевременно</w:t>
      </w:r>
      <w:r>
        <w:rPr>
          <w:lang w:val="ru-RU"/>
        </w:rPr>
        <w:t>го</w:t>
      </w:r>
      <w:r w:rsidR="006709DE" w:rsidRPr="0070133E">
        <w:rPr>
          <w:lang w:val="ru-RU"/>
        </w:rPr>
        <w:t xml:space="preserve"> планировани</w:t>
      </w:r>
      <w:r>
        <w:rPr>
          <w:lang w:val="ru-RU"/>
        </w:rPr>
        <w:t>я</w:t>
      </w:r>
      <w:r w:rsidR="006709DE" w:rsidRPr="0070133E">
        <w:rPr>
          <w:lang w:val="ru-RU"/>
        </w:rPr>
        <w:t xml:space="preserve"> необходимых капитал</w:t>
      </w:r>
      <w:r>
        <w:rPr>
          <w:lang w:val="ru-RU"/>
        </w:rPr>
        <w:t xml:space="preserve">ьных </w:t>
      </w:r>
      <w:r w:rsidR="006709DE" w:rsidRPr="0070133E">
        <w:rPr>
          <w:lang w:val="ru-RU"/>
        </w:rPr>
        <w:t>вложений, позволяющих ВОИС сохранять способность выполнять поставленные перед ней задачи</w:t>
      </w:r>
      <w:r w:rsidR="00190B57" w:rsidRPr="0070133E">
        <w:rPr>
          <w:lang w:val="ru-RU"/>
        </w:rPr>
        <w:t>;</w:t>
      </w:r>
    </w:p>
    <w:p w:rsidR="00207BFD" w:rsidRPr="0070133E" w:rsidRDefault="00207BFD" w:rsidP="00207BFD">
      <w:pPr>
        <w:tabs>
          <w:tab w:val="left" w:pos="567"/>
          <w:tab w:val="left" w:pos="5670"/>
        </w:tabs>
        <w:ind w:left="567"/>
        <w:contextualSpacing/>
        <w:rPr>
          <w:lang w:val="ru-RU"/>
        </w:rPr>
      </w:pPr>
    </w:p>
    <w:p w:rsidR="00190B57" w:rsidRPr="0070133E" w:rsidRDefault="000203FA" w:rsidP="0070133E">
      <w:pPr>
        <w:numPr>
          <w:ilvl w:val="0"/>
          <w:numId w:val="8"/>
        </w:numPr>
        <w:tabs>
          <w:tab w:val="left" w:pos="567"/>
          <w:tab w:val="num" w:pos="1134"/>
          <w:tab w:val="left" w:pos="5670"/>
        </w:tabs>
        <w:ind w:left="567" w:firstLine="0"/>
        <w:contextualSpacing/>
        <w:rPr>
          <w:lang w:val="ru-RU"/>
        </w:rPr>
      </w:pPr>
      <w:r>
        <w:rPr>
          <w:lang w:val="ru-RU"/>
        </w:rPr>
        <w:t>снижение</w:t>
      </w:r>
      <w:r w:rsidR="0070133E" w:rsidRPr="0070133E">
        <w:rPr>
          <w:lang w:val="ru-RU"/>
        </w:rPr>
        <w:t xml:space="preserve"> потребности в аварийном и срочном ремонте</w:t>
      </w:r>
      <w:r w:rsidR="000733CC" w:rsidRPr="0070133E">
        <w:rPr>
          <w:lang w:val="ru-RU"/>
        </w:rPr>
        <w:t xml:space="preserve">; </w:t>
      </w:r>
      <w:r w:rsidR="00C04A28" w:rsidRPr="0070133E">
        <w:rPr>
          <w:lang w:val="ru-RU"/>
        </w:rPr>
        <w:t xml:space="preserve"> </w:t>
      </w:r>
      <w:r w:rsidR="0070133E">
        <w:rPr>
          <w:lang w:val="ru-RU"/>
        </w:rPr>
        <w:t>и</w:t>
      </w:r>
      <w:r w:rsidR="0070133E" w:rsidRPr="0070133E">
        <w:rPr>
          <w:lang w:val="ru-RU"/>
        </w:rPr>
        <w:t xml:space="preserve"> </w:t>
      </w:r>
    </w:p>
    <w:p w:rsidR="00207BFD" w:rsidRPr="0070133E" w:rsidRDefault="00207BFD" w:rsidP="00207BFD">
      <w:pPr>
        <w:tabs>
          <w:tab w:val="left" w:pos="567"/>
          <w:tab w:val="left" w:pos="5670"/>
        </w:tabs>
        <w:contextualSpacing/>
        <w:rPr>
          <w:lang w:val="ru-RU"/>
        </w:rPr>
      </w:pPr>
    </w:p>
    <w:p w:rsidR="00190B57" w:rsidRPr="0070133E" w:rsidRDefault="0070133E" w:rsidP="0070133E">
      <w:pPr>
        <w:numPr>
          <w:ilvl w:val="0"/>
          <w:numId w:val="8"/>
        </w:numPr>
        <w:tabs>
          <w:tab w:val="left" w:pos="567"/>
          <w:tab w:val="num" w:pos="1134"/>
          <w:tab w:val="left" w:pos="5670"/>
        </w:tabs>
        <w:ind w:left="567" w:firstLine="0"/>
        <w:contextualSpacing/>
        <w:rPr>
          <w:lang w:val="ru-RU"/>
        </w:rPr>
      </w:pPr>
      <w:r w:rsidRPr="0070133E">
        <w:rPr>
          <w:lang w:val="ru-RU"/>
        </w:rPr>
        <w:t>устранение или смягчение рисков для окружающей среды, безопасности, здоровья и/или жизнедеятельности</w:t>
      </w:r>
      <w:r w:rsidR="00C04A28" w:rsidRPr="0070133E">
        <w:rPr>
          <w:lang w:val="ru-RU"/>
        </w:rPr>
        <w:t>.</w:t>
      </w:r>
    </w:p>
    <w:p w:rsidR="00AF0542" w:rsidRPr="0070133E" w:rsidRDefault="00AF0542" w:rsidP="00AF0542">
      <w:pPr>
        <w:rPr>
          <w:lang w:val="ru-RU"/>
        </w:rPr>
      </w:pPr>
    </w:p>
    <w:p w:rsidR="003C51B4" w:rsidRPr="008B0AF4" w:rsidRDefault="008B0AF4" w:rsidP="00207BFD">
      <w:pPr>
        <w:numPr>
          <w:ilvl w:val="0"/>
          <w:numId w:val="31"/>
        </w:numPr>
        <w:tabs>
          <w:tab w:val="left" w:pos="567"/>
          <w:tab w:val="left" w:pos="5670"/>
        </w:tabs>
        <w:spacing w:after="220"/>
        <w:ind w:left="0" w:firstLine="0"/>
        <w:contextualSpacing/>
        <w:rPr>
          <w:lang w:val="ru-RU"/>
        </w:rPr>
      </w:pPr>
      <w:r>
        <w:rPr>
          <w:lang w:val="ru-RU"/>
        </w:rPr>
        <w:t>ГПКР</w:t>
      </w:r>
      <w:r w:rsidRPr="008F2D9F">
        <w:rPr>
          <w:lang w:val="ru-RU"/>
        </w:rPr>
        <w:t xml:space="preserve"> </w:t>
      </w:r>
      <w:r>
        <w:rPr>
          <w:lang w:val="ru-RU"/>
        </w:rPr>
        <w:t>на</w:t>
      </w:r>
      <w:r w:rsidR="00080399" w:rsidRPr="008F2D9F">
        <w:rPr>
          <w:lang w:val="ru-RU"/>
        </w:rPr>
        <w:t xml:space="preserve"> </w:t>
      </w:r>
      <w:r w:rsidR="000A52FE" w:rsidRPr="008F2D9F">
        <w:rPr>
          <w:lang w:val="ru-RU"/>
        </w:rPr>
        <w:t>2014-</w:t>
      </w:r>
      <w:r w:rsidRPr="008F2D9F">
        <w:rPr>
          <w:lang w:val="ru-RU"/>
        </w:rPr>
        <w:t>20</w:t>
      </w:r>
      <w:r w:rsidR="000A52FE" w:rsidRPr="008F2D9F">
        <w:rPr>
          <w:lang w:val="ru-RU"/>
        </w:rPr>
        <w:t>19</w:t>
      </w:r>
      <w:r w:rsidRPr="008F2D9F">
        <w:rPr>
          <w:lang w:val="ru-RU"/>
        </w:rPr>
        <w:t xml:space="preserve"> </w:t>
      </w:r>
      <w:r>
        <w:rPr>
          <w:lang w:val="ru-RU"/>
        </w:rPr>
        <w:t>гг</w:t>
      </w:r>
      <w:r w:rsidRPr="008F2D9F">
        <w:rPr>
          <w:lang w:val="ru-RU"/>
        </w:rPr>
        <w:t xml:space="preserve">. </w:t>
      </w:r>
      <w:r w:rsidR="000203FA">
        <w:rPr>
          <w:lang w:val="ru-RU"/>
        </w:rPr>
        <w:t>п</w:t>
      </w:r>
      <w:r>
        <w:rPr>
          <w:lang w:val="ru-RU"/>
        </w:rPr>
        <w:t>редставляет</w:t>
      </w:r>
      <w:r w:rsidRPr="008B0AF4">
        <w:rPr>
          <w:lang w:val="ru-RU"/>
        </w:rPr>
        <w:t xml:space="preserve"> </w:t>
      </w:r>
      <w:r>
        <w:rPr>
          <w:lang w:val="ru-RU"/>
        </w:rPr>
        <w:t>собой</w:t>
      </w:r>
      <w:r w:rsidRPr="008B0AF4">
        <w:rPr>
          <w:lang w:val="ru-RU"/>
        </w:rPr>
        <w:t xml:space="preserve"> </w:t>
      </w:r>
      <w:r>
        <w:rPr>
          <w:lang w:val="ru-RU"/>
        </w:rPr>
        <w:t>план</w:t>
      </w:r>
      <w:r w:rsidRPr="008B0AF4">
        <w:rPr>
          <w:lang w:val="ru-RU"/>
        </w:rPr>
        <w:t xml:space="preserve"> </w:t>
      </w:r>
      <w:r>
        <w:rPr>
          <w:lang w:val="ru-RU"/>
        </w:rPr>
        <w:t>реализации</w:t>
      </w:r>
      <w:r w:rsidRPr="008B0AF4">
        <w:rPr>
          <w:lang w:val="ru-RU"/>
        </w:rPr>
        <w:t xml:space="preserve"> </w:t>
      </w:r>
      <w:r>
        <w:rPr>
          <w:lang w:val="ru-RU"/>
        </w:rPr>
        <w:t>семи</w:t>
      </w:r>
      <w:r w:rsidRPr="008B0AF4">
        <w:rPr>
          <w:lang w:val="ru-RU"/>
        </w:rPr>
        <w:t xml:space="preserve"> </w:t>
      </w:r>
      <w:r>
        <w:rPr>
          <w:lang w:val="ru-RU"/>
        </w:rPr>
        <w:t>основных</w:t>
      </w:r>
      <w:r w:rsidRPr="008B0AF4">
        <w:rPr>
          <w:lang w:val="ru-RU"/>
        </w:rPr>
        <w:t xml:space="preserve"> </w:t>
      </w:r>
      <w:r>
        <w:rPr>
          <w:lang w:val="ru-RU"/>
        </w:rPr>
        <w:t>проектов</w:t>
      </w:r>
      <w:r w:rsidRPr="008B0AF4">
        <w:rPr>
          <w:lang w:val="ru-RU"/>
        </w:rPr>
        <w:t xml:space="preserve"> </w:t>
      </w:r>
      <w:r>
        <w:rPr>
          <w:lang w:val="ru-RU"/>
        </w:rPr>
        <w:t>капитал</w:t>
      </w:r>
      <w:r w:rsidR="000203FA">
        <w:rPr>
          <w:lang w:val="ru-RU"/>
        </w:rPr>
        <w:t xml:space="preserve">ьных </w:t>
      </w:r>
      <w:r>
        <w:rPr>
          <w:lang w:val="ru-RU"/>
        </w:rPr>
        <w:t>вложений</w:t>
      </w:r>
      <w:r w:rsidRPr="008B0AF4">
        <w:rPr>
          <w:lang w:val="ru-RU"/>
        </w:rPr>
        <w:t>,</w:t>
      </w:r>
      <w:r w:rsidR="000A52FE" w:rsidRPr="008B0AF4">
        <w:rPr>
          <w:lang w:val="ru-RU"/>
        </w:rPr>
        <w:t xml:space="preserve"> </w:t>
      </w:r>
      <w:r>
        <w:rPr>
          <w:lang w:val="ru-RU"/>
        </w:rPr>
        <w:t>финансируемых</w:t>
      </w:r>
      <w:r w:rsidRPr="008B0AF4">
        <w:rPr>
          <w:lang w:val="ru-RU"/>
        </w:rPr>
        <w:t xml:space="preserve"> </w:t>
      </w:r>
      <w:r>
        <w:rPr>
          <w:lang w:val="ru-RU"/>
        </w:rPr>
        <w:t>за</w:t>
      </w:r>
      <w:r w:rsidRPr="008B0AF4">
        <w:rPr>
          <w:lang w:val="ru-RU"/>
        </w:rPr>
        <w:t xml:space="preserve"> </w:t>
      </w:r>
      <w:r>
        <w:rPr>
          <w:lang w:val="ru-RU"/>
        </w:rPr>
        <w:t>счет</w:t>
      </w:r>
      <w:r w:rsidRPr="008B0AF4">
        <w:rPr>
          <w:lang w:val="ru-RU"/>
        </w:rPr>
        <w:t xml:space="preserve"> </w:t>
      </w:r>
      <w:r>
        <w:rPr>
          <w:lang w:val="ru-RU"/>
        </w:rPr>
        <w:t>резервов</w:t>
      </w:r>
      <w:r w:rsidRPr="008B0AF4">
        <w:rPr>
          <w:lang w:val="ru-RU"/>
        </w:rPr>
        <w:t xml:space="preserve"> </w:t>
      </w:r>
      <w:r>
        <w:rPr>
          <w:lang w:val="ru-RU"/>
        </w:rPr>
        <w:t>с</w:t>
      </w:r>
      <w:r w:rsidRPr="008B0AF4">
        <w:rPr>
          <w:lang w:val="ru-RU"/>
        </w:rPr>
        <w:t xml:space="preserve"> </w:t>
      </w:r>
      <w:r>
        <w:rPr>
          <w:lang w:val="ru-RU"/>
        </w:rPr>
        <w:t>соблюдением</w:t>
      </w:r>
      <w:r w:rsidRPr="008B0AF4">
        <w:rPr>
          <w:lang w:val="ru-RU"/>
        </w:rPr>
        <w:t xml:space="preserve"> </w:t>
      </w:r>
      <w:r>
        <w:rPr>
          <w:lang w:val="ru-RU"/>
        </w:rPr>
        <w:lastRenderedPageBreak/>
        <w:t>требований</w:t>
      </w:r>
      <w:r w:rsidRPr="008B0AF4">
        <w:rPr>
          <w:lang w:val="ru-RU"/>
        </w:rPr>
        <w:t xml:space="preserve"> политик</w:t>
      </w:r>
      <w:r>
        <w:rPr>
          <w:lang w:val="ru-RU"/>
        </w:rPr>
        <w:t>и</w:t>
      </w:r>
      <w:r w:rsidRPr="008B0AF4">
        <w:rPr>
          <w:lang w:val="ru-RU"/>
        </w:rPr>
        <w:t xml:space="preserve"> в отношении резервов и принцип</w:t>
      </w:r>
      <w:r>
        <w:rPr>
          <w:lang w:val="ru-RU"/>
        </w:rPr>
        <w:t>ов</w:t>
      </w:r>
      <w:r w:rsidRPr="008B0AF4">
        <w:rPr>
          <w:lang w:val="ru-RU"/>
        </w:rPr>
        <w:t xml:space="preserve"> использования резервов</w:t>
      </w:r>
      <w:r w:rsidR="00C83B65" w:rsidRPr="00CA6F47">
        <w:rPr>
          <w:vertAlign w:val="superscript"/>
        </w:rPr>
        <w:footnoteReference w:id="1"/>
      </w:r>
      <w:r w:rsidR="00C83B65" w:rsidRPr="008B0AF4">
        <w:rPr>
          <w:lang w:val="ru-RU"/>
        </w:rPr>
        <w:t xml:space="preserve">. </w:t>
      </w:r>
      <w:r w:rsidR="00C04A28" w:rsidRPr="008B0AF4">
        <w:rPr>
          <w:lang w:val="ru-RU"/>
        </w:rPr>
        <w:t xml:space="preserve"> </w:t>
      </w:r>
      <w:r>
        <w:rPr>
          <w:lang w:val="ru-RU"/>
        </w:rPr>
        <w:t>План</w:t>
      </w:r>
      <w:r w:rsidRPr="008B0AF4">
        <w:rPr>
          <w:lang w:val="ru-RU"/>
        </w:rPr>
        <w:t xml:space="preserve"> </w:t>
      </w:r>
      <w:r>
        <w:rPr>
          <w:lang w:val="ru-RU"/>
        </w:rPr>
        <w:t>охватывает</w:t>
      </w:r>
      <w:r w:rsidRPr="008B0AF4">
        <w:rPr>
          <w:lang w:val="ru-RU"/>
        </w:rPr>
        <w:t xml:space="preserve"> </w:t>
      </w:r>
      <w:r>
        <w:rPr>
          <w:lang w:val="ru-RU"/>
        </w:rPr>
        <w:t>шестилетний</w:t>
      </w:r>
      <w:r w:rsidRPr="008B0AF4">
        <w:rPr>
          <w:lang w:val="ru-RU"/>
        </w:rPr>
        <w:t xml:space="preserve"> </w:t>
      </w:r>
      <w:r>
        <w:rPr>
          <w:lang w:val="ru-RU"/>
        </w:rPr>
        <w:t>период</w:t>
      </w:r>
      <w:r w:rsidRPr="008B0AF4">
        <w:rPr>
          <w:lang w:val="ru-RU"/>
        </w:rPr>
        <w:t xml:space="preserve">, </w:t>
      </w:r>
      <w:r>
        <w:rPr>
          <w:lang w:val="ru-RU"/>
        </w:rPr>
        <w:t>включающий</w:t>
      </w:r>
      <w:r w:rsidRPr="008B0AF4">
        <w:rPr>
          <w:lang w:val="ru-RU"/>
        </w:rPr>
        <w:t xml:space="preserve"> </w:t>
      </w:r>
      <w:r>
        <w:rPr>
          <w:lang w:val="ru-RU"/>
        </w:rPr>
        <w:t>три</w:t>
      </w:r>
      <w:r w:rsidRPr="008B0AF4">
        <w:rPr>
          <w:lang w:val="ru-RU"/>
        </w:rPr>
        <w:t xml:space="preserve"> </w:t>
      </w:r>
      <w:r>
        <w:rPr>
          <w:lang w:val="ru-RU"/>
        </w:rPr>
        <w:t>двухлетних</w:t>
      </w:r>
      <w:r w:rsidRPr="008B0AF4">
        <w:rPr>
          <w:lang w:val="ru-RU"/>
        </w:rPr>
        <w:t xml:space="preserve"> </w:t>
      </w:r>
      <w:r>
        <w:rPr>
          <w:lang w:val="ru-RU"/>
        </w:rPr>
        <w:t>периода</w:t>
      </w:r>
      <w:r w:rsidR="00080399" w:rsidRPr="008B0AF4">
        <w:rPr>
          <w:lang w:val="ru-RU"/>
        </w:rPr>
        <w:t xml:space="preserve"> </w:t>
      </w:r>
      <w:r w:rsidR="00C04A28" w:rsidRPr="008B0AF4">
        <w:rPr>
          <w:lang w:val="ru-RU"/>
        </w:rPr>
        <w:t>(</w:t>
      </w:r>
      <w:r w:rsidR="00080399" w:rsidRPr="008B0AF4">
        <w:rPr>
          <w:lang w:val="ru-RU"/>
        </w:rPr>
        <w:t>201</w:t>
      </w:r>
      <w:r w:rsidR="00051179" w:rsidRPr="008B0AF4">
        <w:rPr>
          <w:lang w:val="ru-RU"/>
        </w:rPr>
        <w:t>4</w:t>
      </w:r>
      <w:r>
        <w:rPr>
          <w:lang w:val="ru-RU"/>
        </w:rPr>
        <w:noBreakHyphen/>
        <w:t>20</w:t>
      </w:r>
      <w:r w:rsidR="00080399" w:rsidRPr="008B0AF4">
        <w:rPr>
          <w:lang w:val="ru-RU"/>
        </w:rPr>
        <w:t>1</w:t>
      </w:r>
      <w:r w:rsidR="00051179" w:rsidRPr="008B0AF4">
        <w:rPr>
          <w:lang w:val="ru-RU"/>
        </w:rPr>
        <w:t>5</w:t>
      </w:r>
      <w:r>
        <w:rPr>
          <w:lang w:val="ru-RU"/>
        </w:rPr>
        <w:t xml:space="preserve"> гг.</w:t>
      </w:r>
      <w:r w:rsidR="00080399" w:rsidRPr="008B0AF4">
        <w:rPr>
          <w:lang w:val="ru-RU"/>
        </w:rPr>
        <w:t>, 201</w:t>
      </w:r>
      <w:r w:rsidR="00051179" w:rsidRPr="008B0AF4">
        <w:rPr>
          <w:lang w:val="ru-RU"/>
        </w:rPr>
        <w:t>6</w:t>
      </w:r>
      <w:r>
        <w:rPr>
          <w:lang w:val="ru-RU"/>
        </w:rPr>
        <w:noBreakHyphen/>
        <w:t>20</w:t>
      </w:r>
      <w:r w:rsidR="00080399" w:rsidRPr="008B0AF4">
        <w:rPr>
          <w:lang w:val="ru-RU"/>
        </w:rPr>
        <w:t>1</w:t>
      </w:r>
      <w:r w:rsidR="00051179" w:rsidRPr="008B0AF4">
        <w:rPr>
          <w:lang w:val="ru-RU"/>
        </w:rPr>
        <w:t>7</w:t>
      </w:r>
      <w:r>
        <w:rPr>
          <w:lang w:val="ru-RU"/>
        </w:rPr>
        <w:t xml:space="preserve"> гг. и </w:t>
      </w:r>
      <w:r w:rsidR="00080399" w:rsidRPr="008B0AF4">
        <w:rPr>
          <w:lang w:val="ru-RU"/>
        </w:rPr>
        <w:t>201</w:t>
      </w:r>
      <w:r w:rsidR="00051179" w:rsidRPr="008B0AF4">
        <w:rPr>
          <w:lang w:val="ru-RU"/>
        </w:rPr>
        <w:t>8</w:t>
      </w:r>
      <w:r>
        <w:rPr>
          <w:lang w:val="ru-RU"/>
        </w:rPr>
        <w:noBreakHyphen/>
        <w:t>20</w:t>
      </w:r>
      <w:r w:rsidR="00080399" w:rsidRPr="008B0AF4">
        <w:rPr>
          <w:lang w:val="ru-RU"/>
        </w:rPr>
        <w:t>1</w:t>
      </w:r>
      <w:r w:rsidR="00051179" w:rsidRPr="008B0AF4">
        <w:rPr>
          <w:lang w:val="ru-RU"/>
        </w:rPr>
        <w:t>9</w:t>
      </w:r>
      <w:r>
        <w:rPr>
          <w:lang w:val="ru-RU"/>
        </w:rPr>
        <w:t> гг.</w:t>
      </w:r>
      <w:r w:rsidR="00C04A28" w:rsidRPr="008B0AF4">
        <w:rPr>
          <w:lang w:val="ru-RU"/>
        </w:rPr>
        <w:t>)</w:t>
      </w:r>
      <w:r w:rsidR="009556CE" w:rsidRPr="008B0AF4">
        <w:rPr>
          <w:lang w:val="ru-RU"/>
        </w:rPr>
        <w:t xml:space="preserve"> </w:t>
      </w:r>
      <w:r>
        <w:rPr>
          <w:lang w:val="ru-RU"/>
        </w:rPr>
        <w:t>с общей сметой в размере 11,2 млн шв. франков.</w:t>
      </w:r>
      <w:r w:rsidR="00080399" w:rsidRPr="008B0AF4">
        <w:rPr>
          <w:lang w:val="ru-RU"/>
        </w:rPr>
        <w:t xml:space="preserve">  </w:t>
      </w:r>
    </w:p>
    <w:p w:rsidR="00C83B65" w:rsidRPr="008B0AF4" w:rsidRDefault="00C83B65" w:rsidP="00AF0542">
      <w:pPr>
        <w:rPr>
          <w:lang w:val="ru-RU"/>
        </w:rPr>
      </w:pPr>
    </w:p>
    <w:p w:rsidR="00D224A7" w:rsidRPr="00E1155C" w:rsidRDefault="008B0AF4" w:rsidP="00D224A7">
      <w:pPr>
        <w:pStyle w:val="Heading1"/>
        <w:rPr>
          <w:lang w:val="ru-RU"/>
        </w:rPr>
      </w:pPr>
      <w:r>
        <w:rPr>
          <w:lang w:val="ru-RU"/>
        </w:rPr>
        <w:t>ХОД</w:t>
      </w:r>
      <w:r w:rsidRPr="008B0AF4">
        <w:rPr>
          <w:lang w:val="ru-RU"/>
        </w:rPr>
        <w:t xml:space="preserve"> </w:t>
      </w:r>
      <w:r>
        <w:rPr>
          <w:lang w:val="ru-RU"/>
        </w:rPr>
        <w:t>ОСУЩЕСТВЛЕНИЯ</w:t>
      </w:r>
      <w:r w:rsidRPr="008B0AF4">
        <w:rPr>
          <w:lang w:val="ru-RU"/>
        </w:rPr>
        <w:t xml:space="preserve"> ГПКР на 2014-2019 гг.</w:t>
      </w:r>
      <w:r>
        <w:rPr>
          <w:lang w:val="ru-RU"/>
        </w:rPr>
        <w:t xml:space="preserve"> </w:t>
      </w:r>
      <w:r w:rsidR="00E1155C">
        <w:rPr>
          <w:lang w:val="ru-RU"/>
        </w:rPr>
        <w:t>и других специальных проектов, финансируемых за счет резервов</w:t>
      </w:r>
    </w:p>
    <w:p w:rsidR="00D224A7" w:rsidRPr="00E1155C" w:rsidRDefault="00D224A7" w:rsidP="00D224A7">
      <w:pPr>
        <w:rPr>
          <w:lang w:val="ru-RU"/>
        </w:rPr>
      </w:pPr>
    </w:p>
    <w:p w:rsidR="00E1155C" w:rsidRPr="00E1155C" w:rsidRDefault="00E1155C" w:rsidP="000C4943">
      <w:pPr>
        <w:numPr>
          <w:ilvl w:val="0"/>
          <w:numId w:val="31"/>
        </w:numPr>
        <w:tabs>
          <w:tab w:val="left" w:pos="567"/>
          <w:tab w:val="left" w:pos="5670"/>
        </w:tabs>
        <w:spacing w:after="220"/>
        <w:ind w:left="0" w:firstLine="0"/>
        <w:contextualSpacing/>
        <w:rPr>
          <w:lang w:val="ru-RU"/>
        </w:rPr>
      </w:pPr>
      <w:r>
        <w:rPr>
          <w:lang w:val="ru-RU"/>
        </w:rPr>
        <w:t>Регулярные</w:t>
      </w:r>
      <w:r w:rsidRPr="00E1155C">
        <w:rPr>
          <w:lang w:val="ru-RU"/>
        </w:rPr>
        <w:t xml:space="preserve"> </w:t>
      </w:r>
      <w:r>
        <w:rPr>
          <w:lang w:val="ru-RU"/>
        </w:rPr>
        <w:t>отчеты</w:t>
      </w:r>
      <w:r w:rsidRPr="00E1155C">
        <w:rPr>
          <w:lang w:val="ru-RU"/>
        </w:rPr>
        <w:t xml:space="preserve"> </w:t>
      </w:r>
      <w:r>
        <w:rPr>
          <w:lang w:val="ru-RU"/>
        </w:rPr>
        <w:t>о</w:t>
      </w:r>
      <w:r w:rsidRPr="00E1155C">
        <w:rPr>
          <w:lang w:val="ru-RU"/>
        </w:rPr>
        <w:t xml:space="preserve"> </w:t>
      </w:r>
      <w:r>
        <w:rPr>
          <w:lang w:val="ru-RU"/>
        </w:rPr>
        <w:t>ходе</w:t>
      </w:r>
      <w:r w:rsidRPr="00E1155C">
        <w:rPr>
          <w:lang w:val="ru-RU"/>
        </w:rPr>
        <w:t xml:space="preserve"> </w:t>
      </w:r>
      <w:r>
        <w:rPr>
          <w:lang w:val="ru-RU"/>
        </w:rPr>
        <w:t>осуществления</w:t>
      </w:r>
      <w:r w:rsidRPr="00E1155C">
        <w:rPr>
          <w:lang w:val="ru-RU"/>
        </w:rPr>
        <w:t xml:space="preserve"> </w:t>
      </w:r>
      <w:r>
        <w:rPr>
          <w:lang w:val="ru-RU"/>
        </w:rPr>
        <w:t>отдельных</w:t>
      </w:r>
      <w:r w:rsidRPr="00E1155C">
        <w:rPr>
          <w:lang w:val="ru-RU"/>
        </w:rPr>
        <w:t xml:space="preserve"> </w:t>
      </w:r>
      <w:r>
        <w:rPr>
          <w:lang w:val="ru-RU"/>
        </w:rPr>
        <w:t>проектов</w:t>
      </w:r>
      <w:r w:rsidRPr="00E1155C">
        <w:rPr>
          <w:lang w:val="ru-RU"/>
        </w:rPr>
        <w:t xml:space="preserve"> </w:t>
      </w:r>
      <w:r>
        <w:rPr>
          <w:lang w:val="ru-RU"/>
        </w:rPr>
        <w:t>в</w:t>
      </w:r>
      <w:r w:rsidRPr="00E1155C">
        <w:rPr>
          <w:lang w:val="ru-RU"/>
        </w:rPr>
        <w:t xml:space="preserve"> </w:t>
      </w:r>
      <w:r>
        <w:rPr>
          <w:lang w:val="ru-RU"/>
        </w:rPr>
        <w:t>рамках</w:t>
      </w:r>
      <w:r w:rsidRPr="00E1155C">
        <w:rPr>
          <w:lang w:val="ru-RU"/>
        </w:rPr>
        <w:t xml:space="preserve"> </w:t>
      </w:r>
      <w:r>
        <w:rPr>
          <w:lang w:val="ru-RU"/>
        </w:rPr>
        <w:t>Генерального</w:t>
      </w:r>
      <w:r w:rsidRPr="00E1155C">
        <w:rPr>
          <w:lang w:val="ru-RU"/>
        </w:rPr>
        <w:t xml:space="preserve"> </w:t>
      </w:r>
      <w:r>
        <w:rPr>
          <w:lang w:val="ru-RU"/>
        </w:rPr>
        <w:t>плана</w:t>
      </w:r>
      <w:r w:rsidRPr="00E1155C">
        <w:rPr>
          <w:lang w:val="ru-RU"/>
        </w:rPr>
        <w:t xml:space="preserve"> </w:t>
      </w:r>
      <w:r>
        <w:rPr>
          <w:lang w:val="ru-RU"/>
        </w:rPr>
        <w:t>капитальных</w:t>
      </w:r>
      <w:r w:rsidRPr="00E1155C">
        <w:rPr>
          <w:lang w:val="ru-RU"/>
        </w:rPr>
        <w:t xml:space="preserve"> </w:t>
      </w:r>
      <w:r>
        <w:rPr>
          <w:lang w:val="ru-RU"/>
        </w:rPr>
        <w:t>расходов на 2014-2019 гг. включаются в представляемые Комитету по программе и бюджету</w:t>
      </w:r>
      <w:r w:rsidRPr="00E1155C">
        <w:rPr>
          <w:lang w:val="ru-RU"/>
        </w:rPr>
        <w:t xml:space="preserve"> ежегодные и двухлетние отчеты о </w:t>
      </w:r>
      <w:r>
        <w:rPr>
          <w:lang w:val="ru-RU"/>
        </w:rPr>
        <w:t>реализации Программы (ОРП).</w:t>
      </w:r>
      <w:r w:rsidR="000C4943">
        <w:rPr>
          <w:lang w:val="ru-RU"/>
        </w:rPr>
        <w:t xml:space="preserve">  Информация о ходе реализации каждого проекта по состоянию на конец 2016 г. приведена в дополнении </w:t>
      </w:r>
      <w:r w:rsidR="000C4943">
        <w:t>III</w:t>
      </w:r>
      <w:r w:rsidR="000C4943">
        <w:rPr>
          <w:lang w:val="ru-RU"/>
        </w:rPr>
        <w:t xml:space="preserve"> к ОРП за 2016 г.  Отчеты по другим специальным проектам, финансируемым за счет резервов, например по проекту  </w:t>
      </w:r>
      <w:r w:rsidR="000C4943" w:rsidRPr="000C4943">
        <w:rPr>
          <w:lang w:val="ru-RU"/>
        </w:rPr>
        <w:t>планировани</w:t>
      </w:r>
      <w:r w:rsidR="000C4943">
        <w:rPr>
          <w:lang w:val="ru-RU"/>
        </w:rPr>
        <w:t>я</w:t>
      </w:r>
      <w:r w:rsidR="000C4943" w:rsidRPr="000C4943">
        <w:rPr>
          <w:lang w:val="ru-RU"/>
        </w:rPr>
        <w:t xml:space="preserve"> общеорганизационных ресурсов</w:t>
      </w:r>
      <w:r w:rsidR="000C4943">
        <w:rPr>
          <w:lang w:val="ru-RU"/>
        </w:rPr>
        <w:t xml:space="preserve"> (ПОР), представляются КПБ в отдельных ежегодных отчетах о ходе работы.    </w:t>
      </w:r>
      <w:r>
        <w:rPr>
          <w:lang w:val="ru-RU"/>
        </w:rPr>
        <w:t xml:space="preserve">       </w:t>
      </w:r>
      <w:r w:rsidRPr="00E1155C">
        <w:rPr>
          <w:lang w:val="ru-RU"/>
        </w:rPr>
        <w:t xml:space="preserve"> </w:t>
      </w:r>
    </w:p>
    <w:p w:rsidR="00E1155C" w:rsidRDefault="00E1155C" w:rsidP="00E1155C">
      <w:pPr>
        <w:tabs>
          <w:tab w:val="left" w:pos="567"/>
          <w:tab w:val="left" w:pos="5670"/>
        </w:tabs>
        <w:spacing w:after="220"/>
        <w:contextualSpacing/>
        <w:rPr>
          <w:lang w:val="ru-RU"/>
        </w:rPr>
      </w:pPr>
    </w:p>
    <w:p w:rsidR="000C4943" w:rsidRPr="000C4943" w:rsidRDefault="000C4943" w:rsidP="00207BFD">
      <w:pPr>
        <w:numPr>
          <w:ilvl w:val="0"/>
          <w:numId w:val="31"/>
        </w:numPr>
        <w:tabs>
          <w:tab w:val="left" w:pos="567"/>
          <w:tab w:val="left" w:pos="5670"/>
        </w:tabs>
        <w:spacing w:after="220"/>
        <w:ind w:left="0" w:firstLine="0"/>
        <w:contextualSpacing/>
        <w:rPr>
          <w:lang w:val="ru-RU"/>
        </w:rPr>
      </w:pPr>
      <w:r>
        <w:rPr>
          <w:lang w:val="ru-RU"/>
        </w:rPr>
        <w:t>В таблице 1 представлена уточненная информация о</w:t>
      </w:r>
      <w:r w:rsidR="00AF0878">
        <w:rPr>
          <w:lang w:val="ru-RU"/>
        </w:rPr>
        <w:t>б освоении сметы</w:t>
      </w:r>
      <w:r w:rsidR="001518C1">
        <w:rPr>
          <w:lang w:val="ru-RU"/>
        </w:rPr>
        <w:t xml:space="preserve"> на конец 2016 г. и о планируемых расходах в 2017 г. и 2018-2019 гг. по проектам в рамках </w:t>
      </w:r>
      <w:r w:rsidR="00F5248D">
        <w:rPr>
          <w:lang w:val="ru-RU"/>
        </w:rPr>
        <w:t>ГПКР</w:t>
      </w:r>
      <w:r w:rsidR="001518C1">
        <w:rPr>
          <w:lang w:val="ru-RU"/>
        </w:rPr>
        <w:t xml:space="preserve"> на 2014-2019 гг., а также по осуществляемым в настоящее время другим специальным проектам, которые финансируются за счет резервов.   </w:t>
      </w:r>
      <w:r w:rsidR="00AF0878">
        <w:rPr>
          <w:lang w:val="ru-RU"/>
        </w:rPr>
        <w:t xml:space="preserve"> </w:t>
      </w:r>
      <w:r>
        <w:rPr>
          <w:lang w:val="ru-RU"/>
        </w:rPr>
        <w:t xml:space="preserve"> </w:t>
      </w:r>
    </w:p>
    <w:p w:rsidR="000C4943" w:rsidRPr="000C4943" w:rsidRDefault="000C4943" w:rsidP="000C4943">
      <w:pPr>
        <w:pStyle w:val="ListParagraph"/>
        <w:rPr>
          <w:lang w:val="ru-RU"/>
        </w:rPr>
      </w:pPr>
    </w:p>
    <w:p w:rsidR="00C64CF5" w:rsidRPr="008F2D9F" w:rsidRDefault="00C64CF5" w:rsidP="00582B6C">
      <w:pPr>
        <w:spacing w:after="120"/>
        <w:rPr>
          <w:lang w:val="ru-RU"/>
        </w:rPr>
      </w:pPr>
    </w:p>
    <w:tbl>
      <w:tblPr>
        <w:tblW w:w="9015" w:type="dxa"/>
        <w:jc w:val="center"/>
        <w:tblInd w:w="-1231" w:type="dxa"/>
        <w:tblLook w:val="04A0" w:firstRow="1" w:lastRow="0" w:firstColumn="1" w:lastColumn="0" w:noHBand="0" w:noVBand="1"/>
      </w:tblPr>
      <w:tblGrid>
        <w:gridCol w:w="9015"/>
      </w:tblGrid>
      <w:tr w:rsidR="00CF16A2" w:rsidRPr="00F613CD" w:rsidTr="00CF16A2">
        <w:trPr>
          <w:trHeight w:val="510"/>
          <w:jc w:val="center"/>
        </w:trPr>
        <w:tc>
          <w:tcPr>
            <w:tcW w:w="9015" w:type="dxa"/>
            <w:tcBorders>
              <w:top w:val="nil"/>
            </w:tcBorders>
            <w:shd w:val="clear" w:color="000000" w:fill="C6D9F1" w:themeFill="text2" w:themeFillTint="33"/>
            <w:noWrap/>
            <w:vAlign w:val="bottom"/>
            <w:hideMark/>
          </w:tcPr>
          <w:p w:rsidR="00B33D64" w:rsidRPr="000203FA" w:rsidRDefault="00CF16A2" w:rsidP="00B33D64">
            <w:pPr>
              <w:jc w:val="center"/>
              <w:rPr>
                <w:lang w:val="ru-RU"/>
              </w:rPr>
            </w:pPr>
            <w:r w:rsidRPr="00F613CD">
              <w:rPr>
                <w:rFonts w:eastAsia="Times New Roman"/>
                <w:color w:val="000000"/>
                <w:sz w:val="18"/>
                <w:szCs w:val="18"/>
                <w:lang w:eastAsia="en-US"/>
              </w:rPr>
              <w:t> </w:t>
            </w:r>
            <w:r w:rsidR="00B33D64">
              <w:rPr>
                <w:lang w:val="ru-RU"/>
              </w:rPr>
              <w:t>Таблица</w:t>
            </w:r>
            <w:r w:rsidRPr="00B33D64">
              <w:rPr>
                <w:lang w:val="ru-RU"/>
              </w:rPr>
              <w:t xml:space="preserve"> 1: </w:t>
            </w:r>
            <w:r w:rsidR="00B33D64">
              <w:rPr>
                <w:lang w:val="ru-RU"/>
              </w:rPr>
              <w:t>Ход</w:t>
            </w:r>
            <w:r w:rsidR="00B33D64" w:rsidRPr="00B33D64">
              <w:rPr>
                <w:lang w:val="ru-RU"/>
              </w:rPr>
              <w:t xml:space="preserve"> </w:t>
            </w:r>
            <w:r w:rsidR="000203FA">
              <w:rPr>
                <w:lang w:val="ru-RU"/>
              </w:rPr>
              <w:t>реализации</w:t>
            </w:r>
            <w:r w:rsidR="00B33D64" w:rsidRPr="00B33D64">
              <w:rPr>
                <w:lang w:val="ru-RU"/>
              </w:rPr>
              <w:t xml:space="preserve"> </w:t>
            </w:r>
            <w:r w:rsidR="00B33D64">
              <w:rPr>
                <w:lang w:val="ru-RU"/>
              </w:rPr>
              <w:t>проектов</w:t>
            </w:r>
            <w:r w:rsidR="00B33D64" w:rsidRPr="00B33D64">
              <w:rPr>
                <w:lang w:val="ru-RU"/>
              </w:rPr>
              <w:t xml:space="preserve"> </w:t>
            </w:r>
            <w:r w:rsidR="00B33D64">
              <w:rPr>
                <w:lang w:val="ru-RU"/>
              </w:rPr>
              <w:t>ГПКР</w:t>
            </w:r>
            <w:r w:rsidR="00B33D64" w:rsidRPr="00B33D64">
              <w:rPr>
                <w:lang w:val="ru-RU"/>
              </w:rPr>
              <w:t xml:space="preserve"> 2014-2019 </w:t>
            </w:r>
            <w:r w:rsidR="00B33D64">
              <w:rPr>
                <w:lang w:val="ru-RU"/>
              </w:rPr>
              <w:t>гг</w:t>
            </w:r>
            <w:r w:rsidR="00B33D64" w:rsidRPr="00B33D64">
              <w:rPr>
                <w:lang w:val="ru-RU"/>
              </w:rPr>
              <w:t xml:space="preserve">. </w:t>
            </w:r>
            <w:r w:rsidR="00B33D64">
              <w:rPr>
                <w:lang w:val="ru-RU"/>
              </w:rPr>
              <w:t>и</w:t>
            </w:r>
            <w:r w:rsidR="00B33D64" w:rsidRPr="00B33D64">
              <w:rPr>
                <w:lang w:val="ru-RU"/>
              </w:rPr>
              <w:t xml:space="preserve"> </w:t>
            </w:r>
            <w:r w:rsidR="00B33D64">
              <w:rPr>
                <w:lang w:val="ru-RU"/>
              </w:rPr>
              <w:t>других</w:t>
            </w:r>
            <w:r w:rsidR="00B33D64" w:rsidRPr="00B33D64">
              <w:rPr>
                <w:lang w:val="ru-RU"/>
              </w:rPr>
              <w:t xml:space="preserve"> </w:t>
            </w:r>
            <w:r w:rsidR="000203FA">
              <w:rPr>
                <w:lang w:val="ru-RU"/>
              </w:rPr>
              <w:t>осуществляемых</w:t>
            </w:r>
            <w:r w:rsidR="00B33D64" w:rsidRPr="00B33D64">
              <w:rPr>
                <w:lang w:val="ru-RU"/>
              </w:rPr>
              <w:t xml:space="preserve"> </w:t>
            </w:r>
            <w:r w:rsidR="00B33D64">
              <w:rPr>
                <w:lang w:val="ru-RU"/>
              </w:rPr>
              <w:t>специальных проектов, которые финансируются за счет резервов</w:t>
            </w:r>
            <w:r w:rsidR="00B33D64" w:rsidRPr="00B33D64">
              <w:rPr>
                <w:lang w:val="ru-RU"/>
              </w:rPr>
              <w:t xml:space="preserve"> </w:t>
            </w:r>
          </w:p>
          <w:p w:rsidR="00CF16A2" w:rsidRPr="000203FA" w:rsidRDefault="00CF16A2" w:rsidP="00CF16A2">
            <w:pPr>
              <w:jc w:val="center"/>
              <w:rPr>
                <w:lang w:val="ru-RU"/>
              </w:rPr>
            </w:pPr>
          </w:p>
          <w:p w:rsidR="00CF16A2" w:rsidRPr="00502985" w:rsidRDefault="00CF16A2" w:rsidP="00B33D64">
            <w:pPr>
              <w:jc w:val="center"/>
              <w:rPr>
                <w:rFonts w:eastAsia="Times New Roman"/>
                <w:b/>
                <w:color w:val="000000"/>
                <w:sz w:val="18"/>
                <w:szCs w:val="18"/>
                <w:lang w:val="ru-RU" w:eastAsia="en-US"/>
              </w:rPr>
            </w:pPr>
            <w:r w:rsidRPr="00D43026">
              <w:rPr>
                <w:rFonts w:asciiTheme="minorHAnsi" w:eastAsia="Times New Roman" w:hAnsiTheme="minorHAnsi" w:cstheme="minorHAnsi"/>
                <w:i/>
                <w:color w:val="000000"/>
                <w:sz w:val="18"/>
                <w:szCs w:val="18"/>
                <w:lang w:eastAsia="en-US"/>
              </w:rPr>
              <w:t>(</w:t>
            </w:r>
            <w:r w:rsidR="00502985" w:rsidRPr="00502985">
              <w:rPr>
                <w:rFonts w:asciiTheme="minorHAnsi" w:eastAsia="Times New Roman" w:hAnsiTheme="minorHAnsi" w:cstheme="minorHAnsi"/>
                <w:i/>
                <w:color w:val="000000"/>
                <w:sz w:val="18"/>
                <w:szCs w:val="18"/>
                <w:lang w:val="ru-RU" w:eastAsia="en-US"/>
              </w:rPr>
              <w:t>в тыс. шв. франков</w:t>
            </w:r>
            <w:r w:rsidRPr="00D43026">
              <w:rPr>
                <w:rFonts w:asciiTheme="minorHAnsi" w:eastAsia="Times New Roman" w:hAnsiTheme="minorHAnsi" w:cstheme="minorHAnsi"/>
                <w:i/>
                <w:color w:val="000000"/>
                <w:sz w:val="18"/>
                <w:szCs w:val="18"/>
                <w:lang w:eastAsia="en-US"/>
              </w:rPr>
              <w:t>)</w:t>
            </w:r>
          </w:p>
        </w:tc>
      </w:tr>
    </w:tbl>
    <w:p w:rsidR="00D224A7" w:rsidRPr="00CF16A2" w:rsidRDefault="00D224A7" w:rsidP="00D224A7">
      <w:pPr>
        <w:rPr>
          <w:sz w:val="8"/>
          <w:szCs w:val="8"/>
        </w:rPr>
      </w:pPr>
    </w:p>
    <w:p w:rsidR="00D224A7" w:rsidRDefault="00DD46E4" w:rsidP="00D224A7">
      <w:r>
        <w:rPr>
          <w:noProof/>
          <w:lang w:eastAsia="en-US"/>
        </w:rPr>
        <w:drawing>
          <wp:inline distT="0" distB="0" distL="0" distR="0">
            <wp:extent cx="5761355" cy="358338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1355" cy="3583384"/>
                    </a:xfrm>
                    <a:prstGeom prst="rect">
                      <a:avLst/>
                    </a:prstGeom>
                    <a:noFill/>
                    <a:ln>
                      <a:noFill/>
                    </a:ln>
                  </pic:spPr>
                </pic:pic>
              </a:graphicData>
            </a:graphic>
          </wp:inline>
        </w:drawing>
      </w:r>
    </w:p>
    <w:p w:rsidR="00D224A7" w:rsidRDefault="00D224A7" w:rsidP="00582B6C">
      <w:pPr>
        <w:spacing w:before="60"/>
      </w:pPr>
    </w:p>
    <w:p w:rsidR="001518C1" w:rsidRPr="001518C1" w:rsidRDefault="001518C1" w:rsidP="00207BFD">
      <w:pPr>
        <w:numPr>
          <w:ilvl w:val="0"/>
          <w:numId w:val="31"/>
        </w:numPr>
        <w:tabs>
          <w:tab w:val="left" w:pos="567"/>
          <w:tab w:val="left" w:pos="5670"/>
        </w:tabs>
        <w:spacing w:after="220"/>
        <w:ind w:left="0" w:firstLine="0"/>
        <w:contextualSpacing/>
        <w:rPr>
          <w:lang w:val="ru-RU"/>
        </w:rPr>
      </w:pPr>
      <w:r>
        <w:rPr>
          <w:lang w:val="ru-RU"/>
        </w:rPr>
        <w:lastRenderedPageBreak/>
        <w:t>На конец 2016 г. остаток средств резерв</w:t>
      </w:r>
      <w:r w:rsidR="004C41C8">
        <w:rPr>
          <w:lang w:val="ru-RU"/>
        </w:rPr>
        <w:t>а</w:t>
      </w:r>
      <w:r>
        <w:rPr>
          <w:lang w:val="ru-RU"/>
        </w:rPr>
        <w:t xml:space="preserve"> специальных проектов составил 16,786 млн шв. франков.</w:t>
      </w:r>
      <w:r w:rsidR="00517BC1">
        <w:rPr>
          <w:lang w:val="ru-RU"/>
        </w:rPr>
        <w:t xml:space="preserve">  Согласно расчетам средства в сумме 3,435 </w:t>
      </w:r>
      <w:r w:rsidR="00517BC1" w:rsidRPr="00517BC1">
        <w:rPr>
          <w:lang w:val="ru-RU"/>
        </w:rPr>
        <w:t>млн шв. франков</w:t>
      </w:r>
      <w:r w:rsidR="00517BC1">
        <w:rPr>
          <w:lang w:val="ru-RU"/>
        </w:rPr>
        <w:t xml:space="preserve"> уже не понадобятся и будут перечислены обратно в </w:t>
      </w:r>
      <w:r w:rsidR="00304AE4">
        <w:rPr>
          <w:lang w:val="ru-RU"/>
        </w:rPr>
        <w:t xml:space="preserve">фонд </w:t>
      </w:r>
      <w:r w:rsidR="00517BC1">
        <w:rPr>
          <w:lang w:val="ru-RU"/>
        </w:rPr>
        <w:t>резерв</w:t>
      </w:r>
      <w:r w:rsidR="00304AE4">
        <w:rPr>
          <w:lang w:val="ru-RU"/>
        </w:rPr>
        <w:t>ов</w:t>
      </w:r>
      <w:r w:rsidR="00517BC1">
        <w:rPr>
          <w:lang w:val="ru-RU"/>
        </w:rPr>
        <w:t>.  Это обусловлено:</w:t>
      </w:r>
      <w:r w:rsidR="00517BC1" w:rsidRPr="00517BC1">
        <w:rPr>
          <w:lang w:val="ru-RU"/>
        </w:rPr>
        <w:t xml:space="preserve"> (</w:t>
      </w:r>
      <w:r w:rsidR="00517BC1">
        <w:t>i</w:t>
      </w:r>
      <w:r w:rsidR="00517BC1" w:rsidRPr="00517BC1">
        <w:rPr>
          <w:lang w:val="ru-RU"/>
        </w:rPr>
        <w:t>)</w:t>
      </w:r>
      <w:r w:rsidR="00517BC1">
        <w:rPr>
          <w:lang w:val="ru-RU"/>
        </w:rPr>
        <w:t xml:space="preserve"> более низким по сравнению с первоначально заложенным в смету уровнем расходов по проекту ПОР; </w:t>
      </w:r>
      <w:r w:rsidR="00517BC1" w:rsidRPr="00517BC1">
        <w:rPr>
          <w:lang w:val="ru-RU"/>
        </w:rPr>
        <w:t>(</w:t>
      </w:r>
      <w:r w:rsidR="00517BC1">
        <w:t>ii</w:t>
      </w:r>
      <w:r w:rsidR="00517BC1" w:rsidRPr="00517BC1">
        <w:rPr>
          <w:lang w:val="ru-RU"/>
        </w:rPr>
        <w:t>)</w:t>
      </w:r>
      <w:r w:rsidR="00517BC1">
        <w:rPr>
          <w:lang w:val="ru-RU"/>
        </w:rPr>
        <w:t xml:space="preserve"> более низким по сравнению с ожидавшимся уровнем расходов по проекту </w:t>
      </w:r>
      <w:r w:rsidR="00076B1C" w:rsidRPr="00076B1C">
        <w:rPr>
          <w:lang w:val="ru-RU"/>
        </w:rPr>
        <w:t>«Вода Женевского озера»</w:t>
      </w:r>
      <w:r w:rsidR="00076B1C">
        <w:rPr>
          <w:lang w:val="ru-RU"/>
        </w:rPr>
        <w:t xml:space="preserve">; и </w:t>
      </w:r>
      <w:r w:rsidR="00076B1C" w:rsidRPr="00076B1C">
        <w:rPr>
          <w:lang w:val="ru-RU"/>
        </w:rPr>
        <w:t>(</w:t>
      </w:r>
      <w:r w:rsidR="00076B1C">
        <w:t>iii</w:t>
      </w:r>
      <w:r w:rsidR="00076B1C" w:rsidRPr="00076B1C">
        <w:rPr>
          <w:lang w:val="ru-RU"/>
        </w:rPr>
        <w:t>)</w:t>
      </w:r>
      <w:r w:rsidR="00076B1C">
        <w:rPr>
          <w:lang w:val="ru-RU"/>
        </w:rPr>
        <w:t xml:space="preserve"> заключением, согласно которому реализация первоначально предложенного проекта замены окон в здании </w:t>
      </w:r>
      <w:r w:rsidR="00076B1C">
        <w:t>AB</w:t>
      </w:r>
      <w:r w:rsidR="00076B1C">
        <w:rPr>
          <w:lang w:val="ru-RU"/>
        </w:rPr>
        <w:t xml:space="preserve"> не представляется возможной.  О</w:t>
      </w:r>
      <w:r w:rsidR="00076B1C" w:rsidRPr="00076B1C">
        <w:rPr>
          <w:lang w:val="ru-RU"/>
        </w:rPr>
        <w:t>статок средств резерв</w:t>
      </w:r>
      <w:r w:rsidR="009E7382">
        <w:rPr>
          <w:lang w:val="ru-RU"/>
        </w:rPr>
        <w:t>а</w:t>
      </w:r>
      <w:r w:rsidR="00076B1C" w:rsidRPr="00076B1C">
        <w:rPr>
          <w:lang w:val="ru-RU"/>
        </w:rPr>
        <w:t xml:space="preserve"> специальных проектов </w:t>
      </w:r>
      <w:r w:rsidR="00076B1C">
        <w:rPr>
          <w:lang w:val="ru-RU"/>
        </w:rPr>
        <w:t>в размере 13,351</w:t>
      </w:r>
      <w:r w:rsidR="00AC6E8D">
        <w:rPr>
          <w:lang w:val="ru-RU"/>
        </w:rPr>
        <w:t xml:space="preserve"> </w:t>
      </w:r>
      <w:r w:rsidR="00076B1C" w:rsidRPr="00076B1C">
        <w:rPr>
          <w:lang w:val="ru-RU"/>
        </w:rPr>
        <w:t>млн шв. франков</w:t>
      </w:r>
      <w:r w:rsidR="00076B1C">
        <w:rPr>
          <w:lang w:val="ru-RU"/>
        </w:rPr>
        <w:t xml:space="preserve">, как ожидается, будет полностью освоен за период 2017-2019 гг.  </w:t>
      </w:r>
      <w:r w:rsidR="00076B1C" w:rsidRPr="00076B1C">
        <w:rPr>
          <w:lang w:val="ru-RU"/>
        </w:rPr>
        <w:t xml:space="preserve"> </w:t>
      </w:r>
      <w:r w:rsidR="00076B1C">
        <w:rPr>
          <w:lang w:val="ru-RU"/>
        </w:rPr>
        <w:t xml:space="preserve"> </w:t>
      </w:r>
    </w:p>
    <w:p w:rsidR="005101D2" w:rsidRPr="008F2D9F" w:rsidRDefault="005101D2" w:rsidP="00207BFD">
      <w:pPr>
        <w:tabs>
          <w:tab w:val="left" w:pos="567"/>
          <w:tab w:val="left" w:pos="5670"/>
        </w:tabs>
        <w:spacing w:after="220"/>
        <w:contextualSpacing/>
        <w:rPr>
          <w:lang w:val="ru-RU"/>
        </w:rPr>
      </w:pPr>
    </w:p>
    <w:p w:rsidR="00076B1C" w:rsidRPr="00E0721A" w:rsidRDefault="00E0721A" w:rsidP="00E0721A">
      <w:pPr>
        <w:numPr>
          <w:ilvl w:val="0"/>
          <w:numId w:val="31"/>
        </w:numPr>
        <w:tabs>
          <w:tab w:val="left" w:pos="567"/>
          <w:tab w:val="left" w:pos="5670"/>
        </w:tabs>
        <w:spacing w:after="220"/>
        <w:ind w:left="0" w:firstLine="0"/>
        <w:contextualSpacing/>
        <w:rPr>
          <w:bCs/>
          <w:caps/>
          <w:kern w:val="32"/>
          <w:szCs w:val="32"/>
          <w:lang w:val="ru-RU"/>
        </w:rPr>
      </w:pPr>
      <w:r>
        <w:rPr>
          <w:bCs/>
          <w:kern w:val="32"/>
          <w:szCs w:val="32"/>
          <w:lang w:val="ru-RU"/>
        </w:rPr>
        <w:t>С</w:t>
      </w:r>
      <w:r w:rsidRPr="00E0721A">
        <w:rPr>
          <w:bCs/>
          <w:kern w:val="32"/>
          <w:szCs w:val="32"/>
          <w:lang w:val="ru-RU"/>
        </w:rPr>
        <w:t xml:space="preserve">ледует отметить, что проект </w:t>
      </w:r>
      <w:r w:rsidR="00AC6E8D">
        <w:rPr>
          <w:bCs/>
          <w:kern w:val="32"/>
          <w:szCs w:val="32"/>
          <w:lang w:val="ru-RU"/>
        </w:rPr>
        <w:t>модернизации</w:t>
      </w:r>
      <w:r w:rsidRPr="00E0721A">
        <w:rPr>
          <w:bCs/>
          <w:kern w:val="32"/>
          <w:szCs w:val="32"/>
          <w:lang w:val="ru-RU"/>
        </w:rPr>
        <w:t xml:space="preserve"> здания </w:t>
      </w:r>
      <w:r>
        <w:rPr>
          <w:bCs/>
          <w:kern w:val="32"/>
          <w:szCs w:val="32"/>
          <w:lang w:val="ru-RU"/>
        </w:rPr>
        <w:t>РСТ</w:t>
      </w:r>
      <w:r w:rsidRPr="00E0721A">
        <w:rPr>
          <w:bCs/>
          <w:kern w:val="32"/>
          <w:szCs w:val="32"/>
          <w:lang w:val="ru-RU"/>
        </w:rPr>
        <w:t xml:space="preserve"> будет </w:t>
      </w:r>
      <w:r>
        <w:rPr>
          <w:bCs/>
          <w:kern w:val="32"/>
          <w:szCs w:val="32"/>
          <w:lang w:val="ru-RU"/>
        </w:rPr>
        <w:t>осуществляться с дополнительными позициями по улучшению систем</w:t>
      </w:r>
      <w:r w:rsidRPr="00E0721A">
        <w:rPr>
          <w:bCs/>
          <w:kern w:val="32"/>
          <w:szCs w:val="32"/>
          <w:lang w:val="ru-RU"/>
        </w:rPr>
        <w:t xml:space="preserve"> электроснабжения и безопасности, предложенны</w:t>
      </w:r>
      <w:r w:rsidR="00C44D39">
        <w:rPr>
          <w:bCs/>
          <w:kern w:val="32"/>
          <w:szCs w:val="32"/>
          <w:lang w:val="ru-RU"/>
        </w:rPr>
        <w:t>ми</w:t>
      </w:r>
      <w:r w:rsidRPr="00E0721A">
        <w:rPr>
          <w:bCs/>
          <w:kern w:val="32"/>
          <w:szCs w:val="32"/>
          <w:lang w:val="ru-RU"/>
        </w:rPr>
        <w:t xml:space="preserve"> для финансирования в 2018-1919 г</w:t>
      </w:r>
      <w:r>
        <w:rPr>
          <w:bCs/>
          <w:kern w:val="32"/>
          <w:szCs w:val="32"/>
          <w:lang w:val="ru-RU"/>
        </w:rPr>
        <w:t>г.</w:t>
      </w:r>
      <w:r w:rsidRPr="00E0721A">
        <w:rPr>
          <w:bCs/>
          <w:kern w:val="32"/>
          <w:szCs w:val="32"/>
          <w:lang w:val="ru-RU"/>
        </w:rPr>
        <w:t xml:space="preserve"> в рамках </w:t>
      </w:r>
      <w:r w:rsidR="00F5248D">
        <w:rPr>
          <w:bCs/>
          <w:kern w:val="32"/>
          <w:szCs w:val="32"/>
          <w:lang w:val="ru-RU"/>
        </w:rPr>
        <w:t>ГПКР</w:t>
      </w:r>
      <w:r w:rsidRPr="00E0721A">
        <w:rPr>
          <w:bCs/>
          <w:kern w:val="32"/>
          <w:szCs w:val="32"/>
          <w:lang w:val="ru-RU"/>
        </w:rPr>
        <w:t xml:space="preserve"> на 201</w:t>
      </w:r>
      <w:r w:rsidR="00C44D39">
        <w:rPr>
          <w:bCs/>
          <w:kern w:val="32"/>
          <w:szCs w:val="32"/>
          <w:lang w:val="ru-RU"/>
        </w:rPr>
        <w:t>8</w:t>
      </w:r>
      <w:r w:rsidRPr="00E0721A">
        <w:rPr>
          <w:bCs/>
          <w:kern w:val="32"/>
          <w:szCs w:val="32"/>
          <w:lang w:val="ru-RU"/>
        </w:rPr>
        <w:t>-2027</w:t>
      </w:r>
      <w:r>
        <w:rPr>
          <w:bCs/>
          <w:kern w:val="32"/>
          <w:szCs w:val="32"/>
          <w:lang w:val="ru-RU"/>
        </w:rPr>
        <w:t xml:space="preserve"> гг. </w:t>
      </w:r>
      <w:r w:rsidRPr="00E0721A">
        <w:rPr>
          <w:bCs/>
          <w:kern w:val="32"/>
          <w:szCs w:val="32"/>
          <w:lang w:val="ru-RU"/>
        </w:rPr>
        <w:t xml:space="preserve"> </w:t>
      </w:r>
      <w:r>
        <w:rPr>
          <w:bCs/>
          <w:kern w:val="32"/>
          <w:szCs w:val="32"/>
          <w:lang w:val="ru-RU"/>
        </w:rPr>
        <w:t>Объединение</w:t>
      </w:r>
      <w:r w:rsidRPr="00E0721A">
        <w:rPr>
          <w:bCs/>
          <w:kern w:val="32"/>
          <w:szCs w:val="32"/>
          <w:lang w:val="ru-RU"/>
        </w:rPr>
        <w:t xml:space="preserve"> проектов позволит </w:t>
      </w:r>
      <w:r>
        <w:rPr>
          <w:bCs/>
          <w:kern w:val="32"/>
          <w:szCs w:val="32"/>
          <w:lang w:val="ru-RU"/>
        </w:rPr>
        <w:t>уменьшить потребность в</w:t>
      </w:r>
      <w:r w:rsidRPr="00E0721A">
        <w:rPr>
          <w:bCs/>
          <w:kern w:val="32"/>
          <w:szCs w:val="32"/>
          <w:lang w:val="ru-RU"/>
        </w:rPr>
        <w:t xml:space="preserve"> перемещени</w:t>
      </w:r>
      <w:r>
        <w:rPr>
          <w:bCs/>
          <w:kern w:val="32"/>
          <w:szCs w:val="32"/>
          <w:lang w:val="ru-RU"/>
        </w:rPr>
        <w:t>и</w:t>
      </w:r>
      <w:r w:rsidRPr="00E0721A">
        <w:rPr>
          <w:bCs/>
          <w:kern w:val="32"/>
          <w:szCs w:val="32"/>
          <w:lang w:val="ru-RU"/>
        </w:rPr>
        <w:t xml:space="preserve"> персонала на этапе строительства, избежать </w:t>
      </w:r>
      <w:r>
        <w:rPr>
          <w:bCs/>
          <w:kern w:val="32"/>
          <w:szCs w:val="32"/>
          <w:lang w:val="ru-RU"/>
        </w:rPr>
        <w:t>возобновления крупных строительных работ всего</w:t>
      </w:r>
      <w:r w:rsidRPr="00E0721A">
        <w:rPr>
          <w:bCs/>
          <w:kern w:val="32"/>
          <w:szCs w:val="32"/>
          <w:lang w:val="ru-RU"/>
        </w:rPr>
        <w:t xml:space="preserve"> несколько лет</w:t>
      </w:r>
      <w:r>
        <w:rPr>
          <w:bCs/>
          <w:kern w:val="32"/>
          <w:szCs w:val="32"/>
          <w:lang w:val="ru-RU"/>
        </w:rPr>
        <w:t xml:space="preserve"> спустя</w:t>
      </w:r>
      <w:r w:rsidRPr="00E0721A">
        <w:rPr>
          <w:bCs/>
          <w:kern w:val="32"/>
          <w:szCs w:val="32"/>
          <w:lang w:val="ru-RU"/>
        </w:rPr>
        <w:t xml:space="preserve"> после завершения </w:t>
      </w:r>
      <w:r w:rsidR="005B2A5D">
        <w:rPr>
          <w:bCs/>
          <w:kern w:val="32"/>
          <w:szCs w:val="32"/>
          <w:lang w:val="ru-RU"/>
        </w:rPr>
        <w:t>выполнения</w:t>
      </w:r>
      <w:r w:rsidRPr="00E0721A">
        <w:rPr>
          <w:bCs/>
          <w:kern w:val="32"/>
          <w:szCs w:val="32"/>
          <w:lang w:val="ru-RU"/>
        </w:rPr>
        <w:t xml:space="preserve"> </w:t>
      </w:r>
      <w:r w:rsidR="00F5248D">
        <w:rPr>
          <w:bCs/>
          <w:kern w:val="32"/>
          <w:szCs w:val="32"/>
          <w:lang w:val="ru-RU"/>
        </w:rPr>
        <w:t>ГПКР</w:t>
      </w:r>
      <w:r w:rsidR="005B2A5D">
        <w:rPr>
          <w:bCs/>
          <w:kern w:val="32"/>
          <w:szCs w:val="32"/>
          <w:lang w:val="ru-RU"/>
        </w:rPr>
        <w:t xml:space="preserve"> на </w:t>
      </w:r>
      <w:r w:rsidRPr="00E0721A">
        <w:rPr>
          <w:bCs/>
          <w:kern w:val="32"/>
          <w:szCs w:val="32"/>
          <w:lang w:val="ru-RU"/>
        </w:rPr>
        <w:t>2014</w:t>
      </w:r>
      <w:r w:rsidR="005B2A5D">
        <w:rPr>
          <w:bCs/>
          <w:kern w:val="32"/>
          <w:szCs w:val="32"/>
          <w:lang w:val="ru-RU"/>
        </w:rPr>
        <w:noBreakHyphen/>
        <w:t>20</w:t>
      </w:r>
      <w:r w:rsidRPr="00E0721A">
        <w:rPr>
          <w:bCs/>
          <w:kern w:val="32"/>
          <w:szCs w:val="32"/>
          <w:lang w:val="ru-RU"/>
        </w:rPr>
        <w:t>19</w:t>
      </w:r>
      <w:r w:rsidR="005B2A5D">
        <w:rPr>
          <w:bCs/>
          <w:kern w:val="32"/>
          <w:szCs w:val="32"/>
          <w:lang w:val="ru-RU"/>
        </w:rPr>
        <w:t> гг.</w:t>
      </w:r>
      <w:r w:rsidR="0015383C">
        <w:rPr>
          <w:bCs/>
          <w:kern w:val="32"/>
          <w:szCs w:val="32"/>
          <w:lang w:val="ru-RU"/>
        </w:rPr>
        <w:t xml:space="preserve">, повысить эффективность затрат </w:t>
      </w:r>
      <w:r w:rsidRPr="00E0721A">
        <w:rPr>
          <w:bCs/>
          <w:kern w:val="32"/>
          <w:szCs w:val="32"/>
          <w:lang w:val="ru-RU"/>
        </w:rPr>
        <w:t>и обеспечить</w:t>
      </w:r>
      <w:r w:rsidR="0015383C">
        <w:rPr>
          <w:bCs/>
          <w:kern w:val="32"/>
          <w:szCs w:val="32"/>
          <w:lang w:val="ru-RU"/>
        </w:rPr>
        <w:t xml:space="preserve"> экономию средств и</w:t>
      </w:r>
      <w:r w:rsidRPr="00E0721A">
        <w:rPr>
          <w:bCs/>
          <w:kern w:val="32"/>
          <w:szCs w:val="32"/>
          <w:lang w:val="ru-RU"/>
        </w:rPr>
        <w:t xml:space="preserve"> более эффективную интеграцию новых технологий для различных технических </w:t>
      </w:r>
      <w:r w:rsidR="005B2A5D">
        <w:rPr>
          <w:bCs/>
          <w:kern w:val="32"/>
          <w:szCs w:val="32"/>
          <w:lang w:val="ru-RU"/>
        </w:rPr>
        <w:t>средств</w:t>
      </w:r>
      <w:r w:rsidRPr="00E0721A">
        <w:rPr>
          <w:bCs/>
          <w:kern w:val="32"/>
          <w:szCs w:val="32"/>
          <w:lang w:val="ru-RU"/>
        </w:rPr>
        <w:t xml:space="preserve"> и систем.</w:t>
      </w:r>
    </w:p>
    <w:p w:rsidR="00076B1C" w:rsidRPr="00E0721A" w:rsidRDefault="00076B1C" w:rsidP="00076B1C">
      <w:pPr>
        <w:pStyle w:val="ListParagraph"/>
        <w:rPr>
          <w:lang w:val="ru-RU"/>
        </w:rPr>
      </w:pPr>
    </w:p>
    <w:p w:rsidR="00D83854" w:rsidRPr="005B2A5D" w:rsidRDefault="005B2A5D" w:rsidP="00251C01">
      <w:pPr>
        <w:pStyle w:val="Heading1"/>
        <w:spacing w:before="0" w:after="0"/>
        <w:rPr>
          <w:lang w:val="ru-RU"/>
        </w:rPr>
      </w:pPr>
      <w:r>
        <w:rPr>
          <w:lang w:val="ru-RU"/>
        </w:rPr>
        <w:t>пересмотренная политика в отношении резервов</w:t>
      </w:r>
    </w:p>
    <w:p w:rsidR="00881824" w:rsidRDefault="00881824" w:rsidP="00F56C27"/>
    <w:p w:rsidR="005B2A5D" w:rsidRPr="005B2A5D" w:rsidRDefault="005B2A5D" w:rsidP="005B2A5D">
      <w:pPr>
        <w:numPr>
          <w:ilvl w:val="0"/>
          <w:numId w:val="31"/>
        </w:numPr>
        <w:tabs>
          <w:tab w:val="left" w:pos="567"/>
          <w:tab w:val="left" w:pos="5670"/>
        </w:tabs>
        <w:spacing w:after="220"/>
        <w:ind w:left="0" w:firstLine="0"/>
        <w:contextualSpacing/>
        <w:rPr>
          <w:lang w:val="ru-RU"/>
        </w:rPr>
      </w:pPr>
      <w:r w:rsidRPr="005B2A5D">
        <w:rPr>
          <w:lang w:val="ru-RU"/>
        </w:rPr>
        <w:t xml:space="preserve">КПБ </w:t>
      </w:r>
      <w:r>
        <w:rPr>
          <w:lang w:val="ru-RU"/>
        </w:rPr>
        <w:t>н</w:t>
      </w:r>
      <w:r w:rsidRPr="005B2A5D">
        <w:rPr>
          <w:lang w:val="ru-RU"/>
        </w:rPr>
        <w:t>а своей двадцать третьей сессии рассмотрел и рекомендовал Ассамблее пересмотренн</w:t>
      </w:r>
      <w:r>
        <w:rPr>
          <w:lang w:val="ru-RU"/>
        </w:rPr>
        <w:t>ую</w:t>
      </w:r>
      <w:r w:rsidRPr="005B2A5D">
        <w:rPr>
          <w:lang w:val="ru-RU"/>
        </w:rPr>
        <w:t xml:space="preserve"> политик</w:t>
      </w:r>
      <w:r>
        <w:rPr>
          <w:lang w:val="ru-RU"/>
        </w:rPr>
        <w:t>у</w:t>
      </w:r>
      <w:r w:rsidRPr="005B2A5D">
        <w:rPr>
          <w:lang w:val="ru-RU"/>
        </w:rPr>
        <w:t xml:space="preserve"> в отношении резервов</w:t>
      </w:r>
      <w:r w:rsidR="00396E12" w:rsidRPr="00CA6F47">
        <w:rPr>
          <w:vertAlign w:val="superscript"/>
        </w:rPr>
        <w:footnoteReference w:id="2"/>
      </w:r>
      <w:r w:rsidR="00F56C27" w:rsidRPr="005B2A5D">
        <w:rPr>
          <w:lang w:val="ru-RU"/>
        </w:rPr>
        <w:t>.</w:t>
      </w:r>
      <w:r w:rsidR="00A52A50" w:rsidRPr="005B2A5D">
        <w:rPr>
          <w:lang w:val="ru-RU"/>
        </w:rPr>
        <w:t xml:space="preserve"> </w:t>
      </w:r>
      <w:r>
        <w:rPr>
          <w:lang w:val="ru-RU"/>
        </w:rPr>
        <w:t xml:space="preserve"> </w:t>
      </w:r>
      <w:r w:rsidR="00132C18">
        <w:rPr>
          <w:lang w:val="ru-RU"/>
        </w:rPr>
        <w:t xml:space="preserve">В рамках новой политики поставлены следующие цели: </w:t>
      </w:r>
      <w:r w:rsidR="00132C18" w:rsidRPr="00132C18">
        <w:rPr>
          <w:lang w:val="ru-RU"/>
        </w:rPr>
        <w:t xml:space="preserve">дальнейшее укрепление </w:t>
      </w:r>
      <w:r w:rsidR="005E2BC4">
        <w:rPr>
          <w:lang w:val="ru-RU"/>
        </w:rPr>
        <w:t xml:space="preserve">финансового </w:t>
      </w:r>
      <w:r w:rsidR="00132C18" w:rsidRPr="00132C18">
        <w:rPr>
          <w:lang w:val="ru-RU"/>
        </w:rPr>
        <w:t>управления и управления риск</w:t>
      </w:r>
      <w:r w:rsidR="001B612E">
        <w:rPr>
          <w:lang w:val="ru-RU"/>
        </w:rPr>
        <w:t>ами</w:t>
      </w:r>
      <w:r w:rsidR="00132C18">
        <w:rPr>
          <w:lang w:val="ru-RU"/>
        </w:rPr>
        <w:t xml:space="preserve">, </w:t>
      </w:r>
      <w:r w:rsidR="00132C18" w:rsidRPr="00132C18">
        <w:rPr>
          <w:lang w:val="ru-RU"/>
        </w:rPr>
        <w:t xml:space="preserve">предоставление Секретариату расширенных рекомендаций относительно </w:t>
      </w:r>
      <w:r w:rsidR="001B612E">
        <w:rPr>
          <w:lang w:val="ru-RU"/>
        </w:rPr>
        <w:t>текущего</w:t>
      </w:r>
      <w:r w:rsidR="00132C18" w:rsidRPr="00132C18">
        <w:rPr>
          <w:lang w:val="ru-RU"/>
        </w:rPr>
        <w:t xml:space="preserve"> управления резервами, в том числе в отношении целевых уровней и ликвидности</w:t>
      </w:r>
      <w:r w:rsidR="00132C18">
        <w:rPr>
          <w:lang w:val="ru-RU"/>
        </w:rPr>
        <w:t xml:space="preserve">, и </w:t>
      </w:r>
      <w:r w:rsidR="00132C18" w:rsidRPr="00132C18">
        <w:rPr>
          <w:lang w:val="ru-RU"/>
        </w:rPr>
        <w:t xml:space="preserve">уточнение </w:t>
      </w:r>
      <w:r w:rsidR="00132C18">
        <w:rPr>
          <w:lang w:val="ru-RU"/>
        </w:rPr>
        <w:t xml:space="preserve">требований к </w:t>
      </w:r>
      <w:r w:rsidR="00132C18" w:rsidRPr="00132C18">
        <w:rPr>
          <w:lang w:val="ru-RU"/>
        </w:rPr>
        <w:t>отчетности по резервам</w:t>
      </w:r>
      <w:r w:rsidR="00132C18">
        <w:rPr>
          <w:lang w:val="ru-RU"/>
        </w:rPr>
        <w:t xml:space="preserve">.  Пересмотренная политика предусматривает, в частности, ряд пересмотренных принципов использования резервов и </w:t>
      </w:r>
      <w:r w:rsidR="00132C18" w:rsidRPr="00132C18">
        <w:rPr>
          <w:lang w:val="ru-RU"/>
        </w:rPr>
        <w:t>фонда оборотных средств (РФОС)</w:t>
      </w:r>
      <w:r w:rsidR="00132C18">
        <w:rPr>
          <w:lang w:val="ru-RU"/>
        </w:rPr>
        <w:t xml:space="preserve">, которые изложены в приложении </w:t>
      </w:r>
      <w:r w:rsidR="00132C18">
        <w:t>I</w:t>
      </w:r>
      <w:r w:rsidR="00132C18">
        <w:rPr>
          <w:lang w:val="ru-RU"/>
        </w:rPr>
        <w:t xml:space="preserve">.      </w:t>
      </w:r>
      <w:r w:rsidR="00A52A50" w:rsidRPr="005B2A5D">
        <w:rPr>
          <w:lang w:val="ru-RU"/>
        </w:rPr>
        <w:t xml:space="preserve"> </w:t>
      </w:r>
    </w:p>
    <w:p w:rsidR="00190B57" w:rsidRPr="008F2D9F" w:rsidRDefault="00190B57" w:rsidP="00251C01">
      <w:pPr>
        <w:rPr>
          <w:lang w:val="ru-RU"/>
        </w:rPr>
      </w:pPr>
    </w:p>
    <w:p w:rsidR="00251C01" w:rsidRPr="008F2D9F" w:rsidRDefault="00251C01" w:rsidP="00251C01">
      <w:pPr>
        <w:rPr>
          <w:lang w:val="ru-RU"/>
        </w:rPr>
      </w:pPr>
    </w:p>
    <w:p w:rsidR="00FB1239" w:rsidRPr="00132C18" w:rsidRDefault="00132C18" w:rsidP="00251C01">
      <w:pPr>
        <w:pStyle w:val="Heading1"/>
        <w:spacing w:before="0" w:after="0"/>
        <w:rPr>
          <w:lang w:val="ru-RU"/>
        </w:rPr>
      </w:pPr>
      <w:r w:rsidRPr="00132C18">
        <w:rPr>
          <w:caps w:val="0"/>
          <w:lang w:val="ru-RU"/>
        </w:rPr>
        <w:t>ГЕНЕРАЛЬН</w:t>
      </w:r>
      <w:r>
        <w:rPr>
          <w:caps w:val="0"/>
          <w:lang w:val="ru-RU"/>
        </w:rPr>
        <w:t>ЫЙ</w:t>
      </w:r>
      <w:r w:rsidRPr="00132C18">
        <w:rPr>
          <w:caps w:val="0"/>
          <w:lang w:val="ru-RU"/>
        </w:rPr>
        <w:t xml:space="preserve"> ПЛАН КАПИТАЛЬНЫХ РАСХОДОВ </w:t>
      </w:r>
      <w:r>
        <w:rPr>
          <w:caps w:val="0"/>
          <w:lang w:val="ru-RU"/>
        </w:rPr>
        <w:t>(ГП</w:t>
      </w:r>
      <w:r w:rsidR="00AE02F8">
        <w:rPr>
          <w:caps w:val="0"/>
          <w:lang w:val="ru-RU"/>
        </w:rPr>
        <w:t>К</w:t>
      </w:r>
      <w:r>
        <w:rPr>
          <w:caps w:val="0"/>
          <w:lang w:val="ru-RU"/>
        </w:rPr>
        <w:t xml:space="preserve">Р) </w:t>
      </w:r>
      <w:r w:rsidRPr="00132C18">
        <w:rPr>
          <w:caps w:val="0"/>
          <w:lang w:val="ru-RU"/>
        </w:rPr>
        <w:t>НА 201</w:t>
      </w:r>
      <w:r>
        <w:rPr>
          <w:caps w:val="0"/>
          <w:lang w:val="ru-RU"/>
        </w:rPr>
        <w:t>8</w:t>
      </w:r>
      <w:r w:rsidRPr="00132C18">
        <w:rPr>
          <w:caps w:val="0"/>
          <w:lang w:val="ru-RU"/>
        </w:rPr>
        <w:t>-20</w:t>
      </w:r>
      <w:r>
        <w:rPr>
          <w:caps w:val="0"/>
          <w:lang w:val="ru-RU"/>
        </w:rPr>
        <w:t>27</w:t>
      </w:r>
      <w:r w:rsidRPr="00132C18">
        <w:rPr>
          <w:caps w:val="0"/>
          <w:lang w:val="ru-RU"/>
        </w:rPr>
        <w:t xml:space="preserve"> гг. </w:t>
      </w:r>
      <w:r w:rsidR="00973B06" w:rsidRPr="00132C18">
        <w:rPr>
          <w:caps w:val="0"/>
          <w:lang w:val="ru-RU"/>
        </w:rPr>
        <w:t xml:space="preserve"> </w:t>
      </w:r>
    </w:p>
    <w:p w:rsidR="00FB1239" w:rsidRPr="00132C18" w:rsidRDefault="00FB1239" w:rsidP="00FB1239">
      <w:pPr>
        <w:rPr>
          <w:lang w:val="ru-RU"/>
        </w:rPr>
      </w:pPr>
    </w:p>
    <w:p w:rsidR="00D47D45" w:rsidRPr="00D47D45" w:rsidRDefault="00D47D45" w:rsidP="005471FB">
      <w:pPr>
        <w:numPr>
          <w:ilvl w:val="0"/>
          <w:numId w:val="31"/>
        </w:numPr>
        <w:tabs>
          <w:tab w:val="left" w:pos="567"/>
          <w:tab w:val="left" w:pos="5670"/>
        </w:tabs>
        <w:spacing w:after="220"/>
        <w:ind w:left="0" w:firstLine="0"/>
        <w:contextualSpacing/>
        <w:rPr>
          <w:lang w:val="ru-RU"/>
        </w:rPr>
      </w:pPr>
      <w:r w:rsidRPr="00D47D45">
        <w:rPr>
          <w:lang w:val="ru-RU"/>
        </w:rPr>
        <w:t xml:space="preserve">Для </w:t>
      </w:r>
      <w:r w:rsidR="00CA3B7C" w:rsidRPr="00CA3B7C">
        <w:rPr>
          <w:lang w:val="ru-RU"/>
        </w:rPr>
        <w:t xml:space="preserve">поддержания помещений и систем Организации в надлежащем рабочем состоянии </w:t>
      </w:r>
      <w:r w:rsidRPr="00D47D45">
        <w:rPr>
          <w:lang w:val="ru-RU"/>
        </w:rPr>
        <w:t>требу</w:t>
      </w:r>
      <w:r w:rsidR="00CA3B7C">
        <w:rPr>
          <w:lang w:val="ru-RU"/>
        </w:rPr>
        <w:t>ются</w:t>
      </w:r>
      <w:r w:rsidRPr="00D47D45">
        <w:rPr>
          <w:lang w:val="ru-RU"/>
        </w:rPr>
        <w:t xml:space="preserve"> постоянны</w:t>
      </w:r>
      <w:r w:rsidR="00CA3B7C">
        <w:rPr>
          <w:lang w:val="ru-RU"/>
        </w:rPr>
        <w:t>е</w:t>
      </w:r>
      <w:r w:rsidRPr="00D47D45">
        <w:rPr>
          <w:lang w:val="ru-RU"/>
        </w:rPr>
        <w:t xml:space="preserve"> капитальны</w:t>
      </w:r>
      <w:r w:rsidR="00CA3B7C">
        <w:rPr>
          <w:lang w:val="ru-RU"/>
        </w:rPr>
        <w:t>е</w:t>
      </w:r>
      <w:r w:rsidRPr="00D47D45">
        <w:rPr>
          <w:lang w:val="ru-RU"/>
        </w:rPr>
        <w:t xml:space="preserve"> вложени</w:t>
      </w:r>
      <w:r w:rsidR="00CA3B7C">
        <w:rPr>
          <w:lang w:val="ru-RU"/>
        </w:rPr>
        <w:t>я</w:t>
      </w:r>
      <w:r w:rsidRPr="00D47D45">
        <w:rPr>
          <w:lang w:val="ru-RU"/>
        </w:rPr>
        <w:t xml:space="preserve"> в ремонт помещений, обеспечение безопасности и реализацию инициатив в области ИКТ.  Подготовлен Генеральный план капитальн</w:t>
      </w:r>
      <w:r>
        <w:rPr>
          <w:lang w:val="ru-RU"/>
        </w:rPr>
        <w:t>ых расходов</w:t>
      </w:r>
      <w:r w:rsidRPr="00D47D45">
        <w:rPr>
          <w:lang w:val="ru-RU"/>
        </w:rPr>
        <w:t>, в котором указаны основные капитальные вложени</w:t>
      </w:r>
      <w:r>
        <w:rPr>
          <w:lang w:val="ru-RU"/>
        </w:rPr>
        <w:t>я</w:t>
      </w:r>
      <w:r w:rsidRPr="00D47D45">
        <w:rPr>
          <w:lang w:val="ru-RU"/>
        </w:rPr>
        <w:t xml:space="preserve"> в ремонт помещений и обеспечение безопасности, необходимые в течение 10 лет.</w:t>
      </w:r>
      <w:r>
        <w:rPr>
          <w:lang w:val="ru-RU"/>
        </w:rPr>
        <w:t xml:space="preserve">  Кроме того, для укрепления</w:t>
      </w:r>
      <w:r w:rsidR="005471FB">
        <w:rPr>
          <w:lang w:val="ru-RU"/>
        </w:rPr>
        <w:t xml:space="preserve">  </w:t>
      </w:r>
      <w:r w:rsidR="005471FB" w:rsidRPr="005471FB">
        <w:rPr>
          <w:lang w:val="ru-RU"/>
        </w:rPr>
        <w:t>систем международной регистрации</w:t>
      </w:r>
      <w:r w:rsidR="005471FB">
        <w:rPr>
          <w:lang w:val="ru-RU"/>
        </w:rPr>
        <w:t xml:space="preserve"> и обеспечения функционирования их механизма определен круг высокоприоритетных проектов в области ИКТ. </w:t>
      </w:r>
    </w:p>
    <w:p w:rsidR="00D47D45" w:rsidRDefault="00D47D45" w:rsidP="00D47D45">
      <w:pPr>
        <w:tabs>
          <w:tab w:val="left" w:pos="567"/>
          <w:tab w:val="left" w:pos="5670"/>
        </w:tabs>
        <w:spacing w:after="220"/>
        <w:contextualSpacing/>
        <w:rPr>
          <w:lang w:val="ru-RU"/>
        </w:rPr>
      </w:pPr>
    </w:p>
    <w:p w:rsidR="00CA3B7C" w:rsidRPr="00CA3B7C" w:rsidRDefault="00CA3B7C" w:rsidP="00207BFD">
      <w:pPr>
        <w:numPr>
          <w:ilvl w:val="0"/>
          <w:numId w:val="31"/>
        </w:numPr>
        <w:tabs>
          <w:tab w:val="left" w:pos="567"/>
          <w:tab w:val="left" w:pos="5670"/>
        </w:tabs>
        <w:spacing w:after="220"/>
        <w:ind w:left="0" w:firstLine="0"/>
        <w:contextualSpacing/>
        <w:rPr>
          <w:lang w:val="ru-RU"/>
        </w:rPr>
      </w:pPr>
      <w:r>
        <w:rPr>
          <w:lang w:val="ru-RU"/>
        </w:rPr>
        <w:t xml:space="preserve">Согласно принципу 3 </w:t>
      </w:r>
      <w:r w:rsidRPr="00CA3B7C">
        <w:rPr>
          <w:lang w:val="ru-RU"/>
        </w:rPr>
        <w:t>политик</w:t>
      </w:r>
      <w:r>
        <w:rPr>
          <w:lang w:val="ru-RU"/>
        </w:rPr>
        <w:t>и</w:t>
      </w:r>
      <w:r w:rsidRPr="00CA3B7C">
        <w:rPr>
          <w:lang w:val="ru-RU"/>
        </w:rPr>
        <w:t xml:space="preserve"> в отношении резервов</w:t>
      </w:r>
      <w:r>
        <w:rPr>
          <w:lang w:val="ru-RU"/>
        </w:rPr>
        <w:t xml:space="preserve"> из этого источника финансируются </w:t>
      </w:r>
      <w:r w:rsidRPr="00CA3B7C">
        <w:rPr>
          <w:lang w:val="ru-RU"/>
        </w:rPr>
        <w:t>чрезвычайны</w:t>
      </w:r>
      <w:r>
        <w:rPr>
          <w:lang w:val="ru-RU"/>
        </w:rPr>
        <w:t>е</w:t>
      </w:r>
      <w:r w:rsidRPr="00CA3B7C">
        <w:rPr>
          <w:lang w:val="ru-RU"/>
        </w:rPr>
        <w:t xml:space="preserve"> единовременны</w:t>
      </w:r>
      <w:r>
        <w:rPr>
          <w:lang w:val="ru-RU"/>
        </w:rPr>
        <w:t>е</w:t>
      </w:r>
      <w:r w:rsidRPr="00CA3B7C">
        <w:rPr>
          <w:lang w:val="ru-RU"/>
        </w:rPr>
        <w:t xml:space="preserve"> капитальны</w:t>
      </w:r>
      <w:r>
        <w:rPr>
          <w:lang w:val="ru-RU"/>
        </w:rPr>
        <w:t>е</w:t>
      </w:r>
      <w:r w:rsidRPr="00CA3B7C">
        <w:rPr>
          <w:lang w:val="ru-RU"/>
        </w:rPr>
        <w:t xml:space="preserve"> проект</w:t>
      </w:r>
      <w:r>
        <w:rPr>
          <w:lang w:val="ru-RU"/>
        </w:rPr>
        <w:t xml:space="preserve">ы.  Кроме того, в указанном принципе оговорено, что проекты, включенные в долгосрочный ГПКР, могут определяться </w:t>
      </w:r>
      <w:r w:rsidRPr="00CA3B7C">
        <w:rPr>
          <w:lang w:val="ru-RU"/>
        </w:rPr>
        <w:t>как проекты, связанные со строительством/ремонтом помещений и информационно-коммуникационными технологиями, необходимыми для поддержания помещений и систем Организации в надлежащем рабочем состоянии путем их значительного расширения или ввода дополнительных объектов и систем</w:t>
      </w:r>
      <w:r>
        <w:rPr>
          <w:lang w:val="ru-RU"/>
        </w:rPr>
        <w:t>.  В соответствии с принципом 3 пересмотренной политики в отношении резервов</w:t>
      </w:r>
      <w:r w:rsidR="00065EFB">
        <w:rPr>
          <w:lang w:val="ru-RU"/>
        </w:rPr>
        <w:t xml:space="preserve"> все проекты, касающиеся текущей эксплуатации объектов и незначительного улучшения </w:t>
      </w:r>
      <w:r w:rsidR="00065EFB">
        <w:rPr>
          <w:lang w:val="ru-RU"/>
        </w:rPr>
        <w:lastRenderedPageBreak/>
        <w:t xml:space="preserve">структур или систем, в том числе информационно-технологических, которые потребуются для </w:t>
      </w:r>
      <w:r w:rsidR="00120936">
        <w:rPr>
          <w:lang w:val="ru-RU"/>
        </w:rPr>
        <w:t>продолжения оказания услуг в существующем объеме, исключались из ГПКР как не отвечающие критериям</w:t>
      </w:r>
      <w:r w:rsidR="00120936" w:rsidRPr="00120936">
        <w:rPr>
          <w:lang w:val="ru-RU"/>
        </w:rPr>
        <w:t xml:space="preserve"> чрезвычайны</w:t>
      </w:r>
      <w:r w:rsidR="00120936">
        <w:rPr>
          <w:lang w:val="ru-RU"/>
        </w:rPr>
        <w:t>х</w:t>
      </w:r>
      <w:r w:rsidR="00120936" w:rsidRPr="00120936">
        <w:rPr>
          <w:lang w:val="ru-RU"/>
        </w:rPr>
        <w:t xml:space="preserve"> единовременны</w:t>
      </w:r>
      <w:r w:rsidR="00120936">
        <w:rPr>
          <w:lang w:val="ru-RU"/>
        </w:rPr>
        <w:t>х</w:t>
      </w:r>
      <w:r w:rsidR="00120936" w:rsidRPr="00120936">
        <w:rPr>
          <w:lang w:val="ru-RU"/>
        </w:rPr>
        <w:t xml:space="preserve"> капитальны</w:t>
      </w:r>
      <w:r w:rsidR="00120936">
        <w:rPr>
          <w:lang w:val="ru-RU"/>
        </w:rPr>
        <w:t>х</w:t>
      </w:r>
      <w:r w:rsidR="00120936" w:rsidRPr="00120936">
        <w:rPr>
          <w:lang w:val="ru-RU"/>
        </w:rPr>
        <w:t xml:space="preserve"> проект</w:t>
      </w:r>
      <w:r w:rsidR="00120936">
        <w:rPr>
          <w:lang w:val="ru-RU"/>
        </w:rPr>
        <w:t xml:space="preserve">ов.   </w:t>
      </w:r>
      <w:r w:rsidR="00065EFB">
        <w:rPr>
          <w:lang w:val="ru-RU"/>
        </w:rPr>
        <w:t xml:space="preserve">   </w:t>
      </w:r>
      <w:r>
        <w:rPr>
          <w:lang w:val="ru-RU"/>
        </w:rPr>
        <w:t xml:space="preserve">  </w:t>
      </w:r>
    </w:p>
    <w:p w:rsidR="006250B1" w:rsidRPr="00E72ABD" w:rsidRDefault="006250B1" w:rsidP="00207BFD">
      <w:pPr>
        <w:tabs>
          <w:tab w:val="left" w:pos="567"/>
          <w:tab w:val="left" w:pos="5670"/>
        </w:tabs>
        <w:spacing w:after="220"/>
        <w:contextualSpacing/>
        <w:rPr>
          <w:lang w:val="ru-RU"/>
        </w:rPr>
      </w:pPr>
    </w:p>
    <w:p w:rsidR="00120936" w:rsidRPr="00120936" w:rsidRDefault="00120936" w:rsidP="00207BFD">
      <w:pPr>
        <w:numPr>
          <w:ilvl w:val="0"/>
          <w:numId w:val="31"/>
        </w:numPr>
        <w:tabs>
          <w:tab w:val="left" w:pos="567"/>
          <w:tab w:val="left" w:pos="5670"/>
        </w:tabs>
        <w:spacing w:after="220"/>
        <w:ind w:left="0" w:firstLine="0"/>
        <w:contextualSpacing/>
        <w:rPr>
          <w:lang w:val="ru-RU"/>
        </w:rPr>
      </w:pPr>
      <w:r>
        <w:rPr>
          <w:bCs/>
          <w:lang w:val="ru-RU"/>
        </w:rPr>
        <w:t xml:space="preserve">В </w:t>
      </w:r>
      <w:r w:rsidRPr="00120936">
        <w:rPr>
          <w:bCs/>
          <w:lang w:val="ru-RU"/>
        </w:rPr>
        <w:t>ГПК</w:t>
      </w:r>
      <w:r w:rsidR="00F5248D">
        <w:rPr>
          <w:bCs/>
          <w:lang w:val="ru-RU"/>
        </w:rPr>
        <w:t>Р</w:t>
      </w:r>
      <w:r w:rsidRPr="00120936">
        <w:rPr>
          <w:bCs/>
          <w:lang w:val="ru-RU"/>
        </w:rPr>
        <w:t xml:space="preserve"> на 201</w:t>
      </w:r>
      <w:r w:rsidR="00F5248D">
        <w:rPr>
          <w:bCs/>
          <w:lang w:val="ru-RU"/>
        </w:rPr>
        <w:t>8</w:t>
      </w:r>
      <w:r w:rsidRPr="00120936">
        <w:rPr>
          <w:bCs/>
          <w:lang w:val="ru-RU"/>
        </w:rPr>
        <w:noBreakHyphen/>
        <w:t>20</w:t>
      </w:r>
      <w:r w:rsidR="00F5248D">
        <w:rPr>
          <w:bCs/>
          <w:lang w:val="ru-RU"/>
        </w:rPr>
        <w:t>27</w:t>
      </w:r>
      <w:r w:rsidRPr="00120936">
        <w:rPr>
          <w:bCs/>
          <w:lang w:val="ru-RU"/>
        </w:rPr>
        <w:t> гг.</w:t>
      </w:r>
      <w:r>
        <w:rPr>
          <w:bCs/>
          <w:lang w:val="ru-RU"/>
        </w:rPr>
        <w:t xml:space="preserve"> особо выделены </w:t>
      </w:r>
      <w:r w:rsidRPr="00120936">
        <w:rPr>
          <w:lang w:val="ru-RU"/>
        </w:rPr>
        <w:t>(</w:t>
      </w:r>
      <w:r>
        <w:t>i</w:t>
      </w:r>
      <w:r w:rsidRPr="00120936">
        <w:rPr>
          <w:lang w:val="ru-RU"/>
        </w:rPr>
        <w:t>)</w:t>
      </w:r>
      <w:r>
        <w:rPr>
          <w:lang w:val="ru-RU"/>
        </w:rPr>
        <w:t xml:space="preserve"> генеральный план проектов</w:t>
      </w:r>
      <w:r w:rsidR="00E72ABD" w:rsidRPr="00E72ABD">
        <w:rPr>
          <w:lang w:val="ru-RU"/>
        </w:rPr>
        <w:t xml:space="preserve"> </w:t>
      </w:r>
      <w:r w:rsidR="00E72ABD">
        <w:rPr>
          <w:lang w:val="ru-RU"/>
        </w:rPr>
        <w:t xml:space="preserve">по ремонту </w:t>
      </w:r>
      <w:r>
        <w:rPr>
          <w:lang w:val="ru-RU"/>
        </w:rPr>
        <w:t xml:space="preserve">помещений </w:t>
      </w:r>
      <w:r w:rsidR="00E72ABD">
        <w:rPr>
          <w:lang w:val="ru-RU"/>
        </w:rPr>
        <w:t>и обеспечению</w:t>
      </w:r>
      <w:r>
        <w:rPr>
          <w:lang w:val="ru-RU"/>
        </w:rPr>
        <w:t xml:space="preserve"> охраны и безопасности, </w:t>
      </w:r>
      <w:r w:rsidR="00E72ABD">
        <w:rPr>
          <w:lang w:val="ru-RU"/>
        </w:rPr>
        <w:t xml:space="preserve">на период 2017-2027 гг., который в </w:t>
      </w:r>
      <w:r w:rsidR="004061CE">
        <w:rPr>
          <w:lang w:val="ru-RU"/>
        </w:rPr>
        <w:t>обобщенной</w:t>
      </w:r>
      <w:r w:rsidR="00E72ABD">
        <w:rPr>
          <w:lang w:val="ru-RU"/>
        </w:rPr>
        <w:t xml:space="preserve"> форме изложен в приложении </w:t>
      </w:r>
      <w:r w:rsidR="00E72ABD">
        <w:t>VIII</w:t>
      </w:r>
      <w:r w:rsidR="00E72ABD">
        <w:rPr>
          <w:lang w:val="ru-RU"/>
        </w:rPr>
        <w:t xml:space="preserve">, и </w:t>
      </w:r>
      <w:r w:rsidR="00E72ABD" w:rsidRPr="00E72ABD">
        <w:rPr>
          <w:lang w:val="ru-RU"/>
        </w:rPr>
        <w:t>(</w:t>
      </w:r>
      <w:r w:rsidR="00E72ABD">
        <w:t>ii</w:t>
      </w:r>
      <w:r w:rsidR="00E72ABD" w:rsidRPr="00E72ABD">
        <w:rPr>
          <w:lang w:val="ru-RU"/>
        </w:rPr>
        <w:t>)</w:t>
      </w:r>
      <w:r w:rsidR="00E72ABD">
        <w:rPr>
          <w:lang w:val="ru-RU"/>
        </w:rPr>
        <w:t xml:space="preserve"> </w:t>
      </w:r>
      <w:r w:rsidR="0015383C">
        <w:rPr>
          <w:lang w:val="ru-RU"/>
        </w:rPr>
        <w:t>четыре</w:t>
      </w:r>
      <w:r w:rsidR="00E72ABD">
        <w:rPr>
          <w:lang w:val="ru-RU"/>
        </w:rPr>
        <w:t xml:space="preserve"> основны</w:t>
      </w:r>
      <w:r w:rsidR="0015383C">
        <w:rPr>
          <w:lang w:val="ru-RU"/>
        </w:rPr>
        <w:t>е</w:t>
      </w:r>
      <w:r w:rsidR="00E72ABD">
        <w:rPr>
          <w:lang w:val="ru-RU"/>
        </w:rPr>
        <w:t xml:space="preserve"> проект</w:t>
      </w:r>
      <w:r w:rsidR="0015383C">
        <w:rPr>
          <w:lang w:val="ru-RU"/>
        </w:rPr>
        <w:t>а</w:t>
      </w:r>
      <w:r w:rsidR="00E72ABD">
        <w:rPr>
          <w:lang w:val="ru-RU"/>
        </w:rPr>
        <w:t xml:space="preserve"> капитальных вложений в информационно-технологическое обеспечение</w:t>
      </w:r>
      <w:r w:rsidR="001B111E">
        <w:rPr>
          <w:lang w:val="ru-RU"/>
        </w:rPr>
        <w:t>, которые должны быть осуществлены в период 2018-2019 гг.</w:t>
      </w:r>
      <w:r w:rsidR="00E72ABD" w:rsidRPr="00E72ABD">
        <w:rPr>
          <w:lang w:val="ru-RU"/>
        </w:rPr>
        <w:t xml:space="preserve"> </w:t>
      </w:r>
      <w:r w:rsidR="00E72ABD">
        <w:rPr>
          <w:lang w:val="ru-RU"/>
        </w:rPr>
        <w:t xml:space="preserve">  </w:t>
      </w:r>
      <w:r>
        <w:rPr>
          <w:lang w:val="ru-RU"/>
        </w:rPr>
        <w:t xml:space="preserve"> </w:t>
      </w:r>
    </w:p>
    <w:p w:rsidR="00251C01" w:rsidRDefault="00251C01" w:rsidP="00251C01">
      <w:pPr>
        <w:rPr>
          <w:lang w:val="ru-RU"/>
        </w:rPr>
      </w:pPr>
    </w:p>
    <w:p w:rsidR="001B111E" w:rsidRPr="001B111E" w:rsidRDefault="001B111E" w:rsidP="00251C01">
      <w:pPr>
        <w:rPr>
          <w:lang w:val="ru-RU"/>
        </w:rPr>
      </w:pPr>
    </w:p>
    <w:p w:rsidR="00FB1239" w:rsidRPr="001B111E" w:rsidRDefault="001B111E" w:rsidP="00251C01">
      <w:pPr>
        <w:pStyle w:val="Heading2"/>
        <w:spacing w:before="0" w:after="0"/>
        <w:rPr>
          <w:i/>
          <w:lang w:val="ru-RU"/>
        </w:rPr>
      </w:pPr>
      <w:r>
        <w:rPr>
          <w:i/>
          <w:lang w:val="ru-RU"/>
        </w:rPr>
        <w:t>ОПРЕДЕЛЯЮЩИЕ ФАКТОРЫ ГЕНЕРАЛЬНОГО ПЛАНА</w:t>
      </w:r>
      <w:r w:rsidR="00FD09B7">
        <w:rPr>
          <w:i/>
          <w:lang w:val="ru-RU"/>
        </w:rPr>
        <w:t xml:space="preserve"> капитальных расходов </w:t>
      </w:r>
      <w:r>
        <w:rPr>
          <w:i/>
          <w:lang w:val="ru-RU"/>
        </w:rPr>
        <w:t>НА 2018-2017 ГГ.</w:t>
      </w:r>
    </w:p>
    <w:p w:rsidR="00FB1239" w:rsidRPr="001B111E" w:rsidRDefault="00FB1239" w:rsidP="00FB1239">
      <w:pPr>
        <w:rPr>
          <w:lang w:val="ru-RU"/>
        </w:rPr>
      </w:pPr>
    </w:p>
    <w:p w:rsidR="001B111E" w:rsidRPr="001B111E" w:rsidRDefault="001B111E" w:rsidP="001B111E">
      <w:pPr>
        <w:numPr>
          <w:ilvl w:val="0"/>
          <w:numId w:val="31"/>
        </w:numPr>
        <w:tabs>
          <w:tab w:val="left" w:pos="567"/>
          <w:tab w:val="left" w:pos="5670"/>
        </w:tabs>
        <w:spacing w:after="220"/>
        <w:ind w:left="0" w:firstLine="0"/>
        <w:contextualSpacing/>
        <w:rPr>
          <w:lang w:val="ru-RU"/>
        </w:rPr>
      </w:pPr>
      <w:r w:rsidRPr="001B111E">
        <w:rPr>
          <w:lang w:val="ru-RU"/>
        </w:rPr>
        <w:t xml:space="preserve">Для поддержания Организации в надлежащем рабочем состоянии </w:t>
      </w:r>
      <w:r w:rsidR="00F5248D">
        <w:rPr>
          <w:lang w:val="ru-RU"/>
        </w:rPr>
        <w:t>ГПКР</w:t>
      </w:r>
      <w:r w:rsidRPr="001B111E">
        <w:rPr>
          <w:lang w:val="ru-RU"/>
        </w:rPr>
        <w:t xml:space="preserve"> </w:t>
      </w:r>
      <w:r>
        <w:rPr>
          <w:lang w:val="ru-RU"/>
        </w:rPr>
        <w:t>на</w:t>
      </w:r>
      <w:r w:rsidRPr="001B111E">
        <w:rPr>
          <w:lang w:val="ru-RU"/>
        </w:rPr>
        <w:t xml:space="preserve"> 2018-2027 </w:t>
      </w:r>
      <w:r>
        <w:rPr>
          <w:lang w:val="ru-RU"/>
        </w:rPr>
        <w:t>гг</w:t>
      </w:r>
      <w:r w:rsidRPr="001B111E">
        <w:rPr>
          <w:lang w:val="ru-RU"/>
        </w:rPr>
        <w:t xml:space="preserve">. </w:t>
      </w:r>
      <w:r>
        <w:rPr>
          <w:lang w:val="ru-RU"/>
        </w:rPr>
        <w:t xml:space="preserve">разработан с учетом перечисленных ниже основных определяющих факторов проектов капитальных вложений.  Кроме того, эти определяющие факторы облегчают анализ вопроса о том, соответствуют ли </w:t>
      </w:r>
      <w:r w:rsidR="00FB4310">
        <w:rPr>
          <w:lang w:val="ru-RU"/>
        </w:rPr>
        <w:t xml:space="preserve">проекты принципам пересмотренной политики в отношении резервов. </w:t>
      </w:r>
      <w:r>
        <w:rPr>
          <w:lang w:val="ru-RU"/>
        </w:rPr>
        <w:t xml:space="preserve">   </w:t>
      </w:r>
      <w:r w:rsidRPr="001B111E">
        <w:rPr>
          <w:lang w:val="ru-RU"/>
        </w:rPr>
        <w:t xml:space="preserve"> </w:t>
      </w:r>
    </w:p>
    <w:p w:rsidR="00FB1239" w:rsidRPr="00F37605" w:rsidRDefault="00FB4310" w:rsidP="00FB4310">
      <w:pPr>
        <w:pStyle w:val="ListParagraph"/>
        <w:numPr>
          <w:ilvl w:val="0"/>
          <w:numId w:val="21"/>
        </w:numPr>
        <w:rPr>
          <w:lang w:val="ru-RU"/>
        </w:rPr>
      </w:pPr>
      <w:r>
        <w:rPr>
          <w:i/>
          <w:lang w:val="ru-RU"/>
        </w:rPr>
        <w:t>Срок</w:t>
      </w:r>
      <w:r w:rsidRPr="00F37605">
        <w:rPr>
          <w:i/>
          <w:lang w:val="ru-RU"/>
        </w:rPr>
        <w:t xml:space="preserve"> </w:t>
      </w:r>
      <w:r>
        <w:rPr>
          <w:i/>
          <w:lang w:val="ru-RU"/>
        </w:rPr>
        <w:t>эксплуатации</w:t>
      </w:r>
      <w:r w:rsidR="00FB1239" w:rsidRPr="00F37605">
        <w:rPr>
          <w:lang w:val="ru-RU"/>
        </w:rPr>
        <w:t xml:space="preserve"> </w:t>
      </w:r>
      <w:r w:rsidRPr="00F37605">
        <w:rPr>
          <w:lang w:val="ru-RU"/>
        </w:rPr>
        <w:t>–</w:t>
      </w:r>
      <w:r w:rsidR="00FB1239" w:rsidRPr="00F37605">
        <w:rPr>
          <w:lang w:val="ru-RU"/>
        </w:rPr>
        <w:t xml:space="preserve"> </w:t>
      </w:r>
      <w:r>
        <w:rPr>
          <w:lang w:val="ru-RU"/>
        </w:rPr>
        <w:t>эффективное</w:t>
      </w:r>
      <w:r w:rsidRPr="00F37605">
        <w:rPr>
          <w:lang w:val="ru-RU"/>
        </w:rPr>
        <w:t xml:space="preserve"> обслуживание </w:t>
      </w:r>
      <w:r>
        <w:rPr>
          <w:lang w:val="ru-RU"/>
        </w:rPr>
        <w:t>оборудования</w:t>
      </w:r>
      <w:r w:rsidRPr="00F37605">
        <w:rPr>
          <w:lang w:val="ru-RU"/>
        </w:rPr>
        <w:t xml:space="preserve"> </w:t>
      </w:r>
      <w:r>
        <w:rPr>
          <w:lang w:val="ru-RU"/>
        </w:rPr>
        <w:t>и</w:t>
      </w:r>
      <w:r w:rsidRPr="00F37605">
        <w:rPr>
          <w:lang w:val="ru-RU"/>
        </w:rPr>
        <w:t xml:space="preserve"> </w:t>
      </w:r>
      <w:r>
        <w:rPr>
          <w:lang w:val="ru-RU"/>
        </w:rPr>
        <w:t>объектов</w:t>
      </w:r>
      <w:r w:rsidRPr="00F37605">
        <w:rPr>
          <w:lang w:val="ru-RU"/>
        </w:rPr>
        <w:t xml:space="preserve"> в течение срока </w:t>
      </w:r>
      <w:r>
        <w:rPr>
          <w:lang w:val="ru-RU"/>
        </w:rPr>
        <w:t>их</w:t>
      </w:r>
      <w:r w:rsidRPr="00F37605">
        <w:rPr>
          <w:lang w:val="ru-RU"/>
        </w:rPr>
        <w:t xml:space="preserve"> эксплуатации</w:t>
      </w:r>
      <w:r w:rsidR="00F37605">
        <w:rPr>
          <w:lang w:val="ru-RU"/>
        </w:rPr>
        <w:t xml:space="preserve">, включая необходимые ремонтно-восстановительные работы или замену изношенных элементов, в целях </w:t>
      </w:r>
      <w:r w:rsidR="002B44CB">
        <w:rPr>
          <w:lang w:val="ru-RU"/>
        </w:rPr>
        <w:t>предотвращения риска, связанного с функциональной безопасностью и непригодностью для эксплуатации таких фондов;</w:t>
      </w:r>
    </w:p>
    <w:p w:rsidR="00582B6C" w:rsidRPr="00F37605" w:rsidRDefault="00582B6C" w:rsidP="00582B6C">
      <w:pPr>
        <w:pStyle w:val="ListParagraph"/>
        <w:rPr>
          <w:lang w:val="ru-RU"/>
        </w:rPr>
      </w:pPr>
    </w:p>
    <w:p w:rsidR="00FB1239" w:rsidRPr="002B44CB" w:rsidRDefault="002B44CB" w:rsidP="00FB1239">
      <w:pPr>
        <w:pStyle w:val="ListParagraph"/>
        <w:numPr>
          <w:ilvl w:val="0"/>
          <w:numId w:val="21"/>
        </w:numPr>
        <w:rPr>
          <w:lang w:val="ru-RU"/>
        </w:rPr>
      </w:pPr>
      <w:r>
        <w:rPr>
          <w:i/>
          <w:lang w:val="ru-RU"/>
        </w:rPr>
        <w:t>нормативные</w:t>
      </w:r>
      <w:r w:rsidRPr="002B44CB">
        <w:rPr>
          <w:i/>
          <w:lang w:val="ru-RU"/>
        </w:rPr>
        <w:t xml:space="preserve"> </w:t>
      </w:r>
      <w:r>
        <w:rPr>
          <w:i/>
          <w:lang w:val="ru-RU"/>
        </w:rPr>
        <w:t>требования</w:t>
      </w:r>
      <w:r w:rsidRPr="002B44CB">
        <w:rPr>
          <w:i/>
          <w:lang w:val="ru-RU"/>
        </w:rPr>
        <w:t xml:space="preserve"> –</w:t>
      </w:r>
      <w:r w:rsidR="00FB1239" w:rsidRPr="002B44CB">
        <w:rPr>
          <w:lang w:val="ru-RU"/>
        </w:rPr>
        <w:t xml:space="preserve"> </w:t>
      </w:r>
      <w:r>
        <w:rPr>
          <w:lang w:val="ru-RU"/>
        </w:rPr>
        <w:t>осуществление проектов для обеспечения соблюдения Организацией швейцарских федеральных и местных нормативных положений, а также утвержденных рекомендаций ООН;</w:t>
      </w:r>
    </w:p>
    <w:p w:rsidR="002B44CB" w:rsidRPr="002B44CB" w:rsidRDefault="002B44CB" w:rsidP="002B44CB">
      <w:pPr>
        <w:rPr>
          <w:lang w:val="ru-RU"/>
        </w:rPr>
      </w:pPr>
    </w:p>
    <w:p w:rsidR="005D3BBC" w:rsidRPr="002B44CB" w:rsidRDefault="002B44CB" w:rsidP="006250B1">
      <w:pPr>
        <w:pStyle w:val="ListParagraph"/>
        <w:numPr>
          <w:ilvl w:val="0"/>
          <w:numId w:val="10"/>
        </w:numPr>
        <w:rPr>
          <w:lang w:val="ru-RU"/>
        </w:rPr>
      </w:pPr>
      <w:r>
        <w:rPr>
          <w:i/>
          <w:lang w:val="ru-RU"/>
        </w:rPr>
        <w:t>производственные</w:t>
      </w:r>
      <w:r w:rsidRPr="002B44CB">
        <w:rPr>
          <w:i/>
          <w:lang w:val="ru-RU"/>
        </w:rPr>
        <w:t xml:space="preserve"> </w:t>
      </w:r>
      <w:r>
        <w:rPr>
          <w:i/>
          <w:lang w:val="ru-RU"/>
        </w:rPr>
        <w:t>нужды</w:t>
      </w:r>
      <w:r w:rsidRPr="002B44CB">
        <w:rPr>
          <w:i/>
          <w:lang w:val="ru-RU"/>
        </w:rPr>
        <w:t xml:space="preserve"> – </w:t>
      </w:r>
      <w:r w:rsidR="00FB1239" w:rsidRPr="002B44CB">
        <w:rPr>
          <w:lang w:val="ru-RU"/>
        </w:rPr>
        <w:t xml:space="preserve"> </w:t>
      </w:r>
      <w:r>
        <w:rPr>
          <w:lang w:val="ru-RU"/>
        </w:rPr>
        <w:t xml:space="preserve">формирование или приобретение новых фондов, которые позволят </w:t>
      </w:r>
      <w:r w:rsidR="00FE02F3">
        <w:rPr>
          <w:lang w:val="ru-RU"/>
        </w:rPr>
        <w:t>О</w:t>
      </w:r>
      <w:r>
        <w:rPr>
          <w:lang w:val="ru-RU"/>
        </w:rPr>
        <w:t>рганизации повышать качество или расширять спектр услуг</w:t>
      </w:r>
      <w:r w:rsidR="009A588D">
        <w:rPr>
          <w:lang w:val="ru-RU"/>
        </w:rPr>
        <w:t>,</w:t>
      </w:r>
      <w:r>
        <w:rPr>
          <w:lang w:val="ru-RU"/>
        </w:rPr>
        <w:t xml:space="preserve"> предоставляемых государствам-членам и клиентам ВОИС;</w:t>
      </w:r>
    </w:p>
    <w:p w:rsidR="006250B1" w:rsidRPr="002B44CB" w:rsidRDefault="006250B1" w:rsidP="005D3BBC">
      <w:pPr>
        <w:pStyle w:val="ListParagraph"/>
        <w:rPr>
          <w:lang w:val="ru-RU"/>
        </w:rPr>
      </w:pPr>
    </w:p>
    <w:p w:rsidR="00FB1239" w:rsidRPr="00D165BE" w:rsidRDefault="002B44CB" w:rsidP="00FB1239">
      <w:pPr>
        <w:pStyle w:val="ListParagraph"/>
        <w:numPr>
          <w:ilvl w:val="0"/>
          <w:numId w:val="21"/>
        </w:numPr>
        <w:rPr>
          <w:lang w:val="ru-RU"/>
        </w:rPr>
      </w:pPr>
      <w:r>
        <w:rPr>
          <w:i/>
          <w:lang w:val="ru-RU"/>
        </w:rPr>
        <w:t>окружающая</w:t>
      </w:r>
      <w:r w:rsidRPr="00D165BE">
        <w:rPr>
          <w:i/>
          <w:lang w:val="ru-RU"/>
        </w:rPr>
        <w:t xml:space="preserve"> </w:t>
      </w:r>
      <w:r>
        <w:rPr>
          <w:i/>
          <w:lang w:val="ru-RU"/>
        </w:rPr>
        <w:t>среда</w:t>
      </w:r>
      <w:r w:rsidRPr="00D165BE">
        <w:rPr>
          <w:i/>
          <w:lang w:val="ru-RU"/>
        </w:rPr>
        <w:t xml:space="preserve"> – </w:t>
      </w:r>
      <w:r w:rsidR="00D165BE" w:rsidRPr="00D165BE">
        <w:rPr>
          <w:lang w:val="ru-RU"/>
        </w:rPr>
        <w:t>вложение средств в</w:t>
      </w:r>
      <w:r w:rsidR="00D165BE">
        <w:rPr>
          <w:lang w:val="ru-RU"/>
        </w:rPr>
        <w:t xml:space="preserve"> программы использования возобновляемых источников энергии, </w:t>
      </w:r>
      <w:r w:rsidR="00D165BE" w:rsidRPr="00D165BE">
        <w:rPr>
          <w:lang w:val="ru-RU"/>
        </w:rPr>
        <w:t xml:space="preserve"> </w:t>
      </w:r>
      <w:r w:rsidR="008D1E46">
        <w:rPr>
          <w:lang w:val="ru-RU"/>
        </w:rPr>
        <w:t xml:space="preserve">что позволит уменьшить </w:t>
      </w:r>
      <w:r w:rsidR="0015383C">
        <w:rPr>
          <w:lang w:val="ru-RU"/>
        </w:rPr>
        <w:t>углеродный</w:t>
      </w:r>
      <w:r w:rsidR="008D1E46">
        <w:rPr>
          <w:lang w:val="ru-RU"/>
        </w:rPr>
        <w:t xml:space="preserve"> след ВОИС;</w:t>
      </w:r>
    </w:p>
    <w:p w:rsidR="00FB1239" w:rsidRPr="00D165BE" w:rsidRDefault="00FB1239" w:rsidP="00FB1239">
      <w:pPr>
        <w:pStyle w:val="ListParagraph"/>
        <w:rPr>
          <w:lang w:val="ru-RU"/>
        </w:rPr>
      </w:pPr>
    </w:p>
    <w:p w:rsidR="00FB1239" w:rsidRPr="008D1E46" w:rsidRDefault="008D1E46" w:rsidP="00FB1239">
      <w:pPr>
        <w:pStyle w:val="ListParagraph"/>
        <w:numPr>
          <w:ilvl w:val="0"/>
          <w:numId w:val="21"/>
        </w:numPr>
        <w:rPr>
          <w:lang w:val="ru-RU"/>
        </w:rPr>
      </w:pPr>
      <w:r>
        <w:rPr>
          <w:i/>
          <w:lang w:val="ru-RU"/>
        </w:rPr>
        <w:t>доступность</w:t>
      </w:r>
      <w:r w:rsidRPr="008D1E46">
        <w:rPr>
          <w:i/>
          <w:lang w:val="ru-RU"/>
        </w:rPr>
        <w:t xml:space="preserve"> – </w:t>
      </w:r>
      <w:r w:rsidRPr="008D1E46">
        <w:rPr>
          <w:lang w:val="ru-RU"/>
        </w:rPr>
        <w:t>вложение средств в программы</w:t>
      </w:r>
      <w:r>
        <w:rPr>
          <w:lang w:val="ru-RU"/>
        </w:rPr>
        <w:t xml:space="preserve"> обеспечения доступности помещений и служб ВОИС для всех заинтересованных сторон, в том числе для лиц с ограниченными возможностями; </w:t>
      </w:r>
    </w:p>
    <w:p w:rsidR="00FB1239" w:rsidRPr="008D1E46" w:rsidRDefault="00FB1239" w:rsidP="00FB1239">
      <w:pPr>
        <w:pStyle w:val="ListParagraph"/>
        <w:rPr>
          <w:lang w:val="ru-RU"/>
        </w:rPr>
      </w:pPr>
    </w:p>
    <w:p w:rsidR="00FB1239" w:rsidRPr="000929B3" w:rsidRDefault="008D1E46" w:rsidP="00FB1239">
      <w:pPr>
        <w:pStyle w:val="ListParagraph"/>
        <w:numPr>
          <w:ilvl w:val="0"/>
          <w:numId w:val="21"/>
        </w:numPr>
        <w:rPr>
          <w:lang w:val="ru-RU"/>
        </w:rPr>
      </w:pPr>
      <w:r>
        <w:rPr>
          <w:i/>
          <w:lang w:val="ru-RU"/>
        </w:rPr>
        <w:t>эффективность</w:t>
      </w:r>
      <w:r w:rsidRPr="000929B3">
        <w:rPr>
          <w:i/>
          <w:lang w:val="ru-RU"/>
        </w:rPr>
        <w:t xml:space="preserve"> </w:t>
      </w:r>
      <w:r>
        <w:rPr>
          <w:i/>
          <w:lang w:val="ru-RU"/>
        </w:rPr>
        <w:t>затрат</w:t>
      </w:r>
      <w:r w:rsidRPr="000929B3">
        <w:rPr>
          <w:i/>
          <w:lang w:val="ru-RU"/>
        </w:rPr>
        <w:t xml:space="preserve"> – </w:t>
      </w:r>
      <w:r w:rsidRPr="008D1E46">
        <w:rPr>
          <w:lang w:val="ru-RU"/>
        </w:rPr>
        <w:t>использование</w:t>
      </w:r>
      <w:r w:rsidRPr="000929B3">
        <w:rPr>
          <w:lang w:val="ru-RU"/>
        </w:rPr>
        <w:t xml:space="preserve"> </w:t>
      </w:r>
      <w:r>
        <w:rPr>
          <w:lang w:val="ru-RU"/>
        </w:rPr>
        <w:t>новых</w:t>
      </w:r>
      <w:r w:rsidRPr="000929B3">
        <w:rPr>
          <w:lang w:val="ru-RU"/>
        </w:rPr>
        <w:t xml:space="preserve"> </w:t>
      </w:r>
      <w:r>
        <w:rPr>
          <w:lang w:val="ru-RU"/>
        </w:rPr>
        <w:t>технологий</w:t>
      </w:r>
      <w:r w:rsidRPr="000929B3">
        <w:rPr>
          <w:lang w:val="ru-RU"/>
        </w:rPr>
        <w:t xml:space="preserve">, </w:t>
      </w:r>
      <w:r>
        <w:rPr>
          <w:lang w:val="ru-RU"/>
        </w:rPr>
        <w:t>оборудования</w:t>
      </w:r>
      <w:r w:rsidRPr="000929B3">
        <w:rPr>
          <w:lang w:val="ru-RU"/>
        </w:rPr>
        <w:t xml:space="preserve"> </w:t>
      </w:r>
      <w:r>
        <w:rPr>
          <w:lang w:val="ru-RU"/>
        </w:rPr>
        <w:t>и</w:t>
      </w:r>
      <w:r w:rsidRPr="000929B3">
        <w:rPr>
          <w:lang w:val="ru-RU"/>
        </w:rPr>
        <w:t xml:space="preserve"> </w:t>
      </w:r>
      <w:r>
        <w:rPr>
          <w:lang w:val="ru-RU"/>
        </w:rPr>
        <w:t>систем</w:t>
      </w:r>
      <w:r w:rsidRPr="000929B3">
        <w:rPr>
          <w:lang w:val="ru-RU"/>
        </w:rPr>
        <w:t xml:space="preserve"> </w:t>
      </w:r>
      <w:r w:rsidR="000929B3">
        <w:rPr>
          <w:lang w:val="ru-RU"/>
        </w:rPr>
        <w:t>для сокращения</w:t>
      </w:r>
      <w:r w:rsidR="000A4E18" w:rsidRPr="000A4E18">
        <w:rPr>
          <w:lang w:val="ru-RU"/>
        </w:rPr>
        <w:t xml:space="preserve"> </w:t>
      </w:r>
      <w:r w:rsidR="000A4E18">
        <w:rPr>
          <w:lang w:val="ru-RU"/>
        </w:rPr>
        <w:t>периодически возникающих</w:t>
      </w:r>
      <w:r w:rsidR="000929B3">
        <w:rPr>
          <w:lang w:val="ru-RU"/>
        </w:rPr>
        <w:t xml:space="preserve"> текущих расходов;</w:t>
      </w:r>
    </w:p>
    <w:p w:rsidR="00FB1239" w:rsidRPr="000929B3" w:rsidRDefault="00FB1239" w:rsidP="00FB1239">
      <w:pPr>
        <w:pStyle w:val="ListParagraph"/>
        <w:rPr>
          <w:lang w:val="ru-RU"/>
        </w:rPr>
      </w:pPr>
    </w:p>
    <w:p w:rsidR="003B7A80" w:rsidRPr="003B7A80" w:rsidRDefault="000929B3" w:rsidP="003B7A80">
      <w:pPr>
        <w:pStyle w:val="ListParagraph"/>
        <w:numPr>
          <w:ilvl w:val="0"/>
          <w:numId w:val="21"/>
        </w:numPr>
        <w:rPr>
          <w:lang w:val="ru-RU"/>
        </w:rPr>
      </w:pPr>
      <w:r w:rsidRPr="003B7A80">
        <w:rPr>
          <w:i/>
          <w:lang w:val="ru-RU"/>
        </w:rPr>
        <w:t>охрана и безопасность и целостность информации</w:t>
      </w:r>
      <w:r w:rsidR="008F2D9F" w:rsidRPr="003B7A80">
        <w:rPr>
          <w:i/>
          <w:lang w:val="ru-RU"/>
        </w:rPr>
        <w:t xml:space="preserve"> – </w:t>
      </w:r>
      <w:r w:rsidR="003B7A80" w:rsidRPr="003B7A80">
        <w:rPr>
          <w:lang w:val="ru-RU"/>
        </w:rPr>
        <w:t>реализация мер защиты и предупреждения для уменьшения уязвимости ВОИС при возникновении угроз и обеспечени</w:t>
      </w:r>
      <w:r w:rsidR="000A4E18">
        <w:rPr>
          <w:lang w:val="ru-RU"/>
        </w:rPr>
        <w:t>я</w:t>
      </w:r>
      <w:r w:rsidR="003B7A80" w:rsidRPr="003B7A80">
        <w:rPr>
          <w:lang w:val="ru-RU"/>
        </w:rPr>
        <w:t xml:space="preserve"> безопасности персонала ВОИС, делегатов и посетителей, а также имущества </w:t>
      </w:r>
      <w:r w:rsidR="00614311">
        <w:rPr>
          <w:lang w:val="ru-RU"/>
        </w:rPr>
        <w:t xml:space="preserve">и информационных активов </w:t>
      </w:r>
      <w:r w:rsidR="003B7A80" w:rsidRPr="003B7A80">
        <w:rPr>
          <w:lang w:val="ru-RU"/>
        </w:rPr>
        <w:t>ВОИС.</w:t>
      </w:r>
    </w:p>
    <w:p w:rsidR="005E226A" w:rsidRPr="003B7A80" w:rsidRDefault="005E226A" w:rsidP="00FB1239">
      <w:pPr>
        <w:rPr>
          <w:lang w:val="ru-RU"/>
        </w:rPr>
      </w:pPr>
    </w:p>
    <w:p w:rsidR="003B7A80" w:rsidRDefault="003B7A80" w:rsidP="00FB1239">
      <w:pPr>
        <w:rPr>
          <w:i/>
          <w:lang w:val="ru-RU"/>
        </w:rPr>
      </w:pPr>
    </w:p>
    <w:p w:rsidR="00DD46E4" w:rsidRDefault="00DD46E4">
      <w:pPr>
        <w:rPr>
          <w:i/>
          <w:lang w:val="ru-RU"/>
        </w:rPr>
      </w:pPr>
      <w:r>
        <w:rPr>
          <w:i/>
          <w:lang w:val="ru-RU"/>
        </w:rPr>
        <w:br w:type="page"/>
      </w:r>
    </w:p>
    <w:p w:rsidR="005E226A" w:rsidRPr="00241835" w:rsidRDefault="00E0104F" w:rsidP="00FB1239">
      <w:pPr>
        <w:rPr>
          <w:i/>
          <w:lang w:val="ru-RU"/>
        </w:rPr>
      </w:pPr>
      <w:r>
        <w:rPr>
          <w:i/>
          <w:lang w:val="ru-RU"/>
        </w:rPr>
        <w:lastRenderedPageBreak/>
        <w:t>ОБОБЩЕННЫЙ ВАРИАНТ</w:t>
      </w:r>
      <w:r w:rsidR="00241835">
        <w:rPr>
          <w:i/>
          <w:lang w:val="ru-RU"/>
        </w:rPr>
        <w:t xml:space="preserve"> ГЕНЕРАЛЬНОГО ПЛАНА КАПИТАЛЬНЫХ РАСХОДОВ НА </w:t>
      </w:r>
      <w:r w:rsidR="00793653" w:rsidRPr="00241835">
        <w:rPr>
          <w:i/>
          <w:lang w:val="ru-RU"/>
        </w:rPr>
        <w:t>2018-</w:t>
      </w:r>
      <w:r w:rsidR="00241835">
        <w:rPr>
          <w:i/>
          <w:lang w:val="ru-RU"/>
        </w:rPr>
        <w:t>20</w:t>
      </w:r>
      <w:r w:rsidR="005E226A" w:rsidRPr="00241835">
        <w:rPr>
          <w:i/>
          <w:lang w:val="ru-RU"/>
        </w:rPr>
        <w:t>27</w:t>
      </w:r>
      <w:r w:rsidR="00241835">
        <w:rPr>
          <w:i/>
          <w:lang w:val="ru-RU"/>
        </w:rPr>
        <w:t xml:space="preserve"> ГГ.</w:t>
      </w:r>
    </w:p>
    <w:p w:rsidR="005E226A" w:rsidRPr="00241835" w:rsidRDefault="005E226A" w:rsidP="00FB1239">
      <w:pPr>
        <w:rPr>
          <w:lang w:val="ru-RU"/>
        </w:rPr>
      </w:pPr>
    </w:p>
    <w:p w:rsidR="00FB1239" w:rsidRPr="00241835" w:rsidRDefault="00241835" w:rsidP="00207BFD">
      <w:pPr>
        <w:numPr>
          <w:ilvl w:val="0"/>
          <w:numId w:val="31"/>
        </w:numPr>
        <w:tabs>
          <w:tab w:val="left" w:pos="567"/>
          <w:tab w:val="left" w:pos="5670"/>
        </w:tabs>
        <w:spacing w:after="220"/>
        <w:ind w:left="0" w:firstLine="0"/>
        <w:contextualSpacing/>
        <w:rPr>
          <w:lang w:val="ru-RU"/>
        </w:rPr>
      </w:pPr>
      <w:r>
        <w:rPr>
          <w:lang w:val="ru-RU"/>
        </w:rPr>
        <w:t xml:space="preserve">В таблице 2 в обобщенной форме представлена информация о проектах Генерального плана капитальных расходов, сроках их осуществления и сметных единовременных расходах за период </w:t>
      </w:r>
      <w:r w:rsidR="005E226A" w:rsidRPr="00241835">
        <w:rPr>
          <w:lang w:val="ru-RU"/>
        </w:rPr>
        <w:t>2018-</w:t>
      </w:r>
      <w:r>
        <w:rPr>
          <w:lang w:val="ru-RU"/>
        </w:rPr>
        <w:t>20</w:t>
      </w:r>
      <w:r w:rsidR="005E226A" w:rsidRPr="00241835">
        <w:rPr>
          <w:lang w:val="ru-RU"/>
        </w:rPr>
        <w:t>27</w:t>
      </w:r>
      <w:r>
        <w:rPr>
          <w:lang w:val="ru-RU"/>
        </w:rPr>
        <w:t xml:space="preserve"> гг</w:t>
      </w:r>
      <w:r w:rsidR="005E226A" w:rsidRPr="00241835">
        <w:rPr>
          <w:lang w:val="ru-RU"/>
        </w:rPr>
        <w:t>.</w:t>
      </w:r>
      <w:r w:rsidR="008776E4">
        <w:rPr>
          <w:lang w:val="ru-RU"/>
        </w:rPr>
        <w:t xml:space="preserve">  </w:t>
      </w:r>
    </w:p>
    <w:p w:rsidR="00FB1239" w:rsidRPr="00241835" w:rsidRDefault="00FB1239" w:rsidP="00FB1239">
      <w:pPr>
        <w:jc w:val="center"/>
        <w:rPr>
          <w:i/>
          <w:lang w:val="ru-RU"/>
        </w:rPr>
      </w:pPr>
    </w:p>
    <w:tbl>
      <w:tblPr>
        <w:tblW w:w="9015" w:type="dxa"/>
        <w:jc w:val="center"/>
        <w:tblInd w:w="-1231" w:type="dxa"/>
        <w:tblLook w:val="04A0" w:firstRow="1" w:lastRow="0" w:firstColumn="1" w:lastColumn="0" w:noHBand="0" w:noVBand="1"/>
      </w:tblPr>
      <w:tblGrid>
        <w:gridCol w:w="9015"/>
      </w:tblGrid>
      <w:tr w:rsidR="00CF16A2" w:rsidRPr="00F613CD" w:rsidTr="00CF16A2">
        <w:trPr>
          <w:trHeight w:val="510"/>
          <w:jc w:val="center"/>
        </w:trPr>
        <w:tc>
          <w:tcPr>
            <w:tcW w:w="9015" w:type="dxa"/>
            <w:tcBorders>
              <w:top w:val="nil"/>
            </w:tcBorders>
            <w:shd w:val="clear" w:color="000000" w:fill="C6D9F1" w:themeFill="text2" w:themeFillTint="33"/>
            <w:noWrap/>
            <w:vAlign w:val="bottom"/>
            <w:hideMark/>
          </w:tcPr>
          <w:p w:rsidR="00CF16A2" w:rsidRPr="00E0104F" w:rsidRDefault="00E0104F" w:rsidP="00CF16A2">
            <w:pPr>
              <w:jc w:val="center"/>
              <w:rPr>
                <w:lang w:val="ru-RU"/>
              </w:rPr>
            </w:pPr>
            <w:r>
              <w:rPr>
                <w:lang w:val="ru-RU"/>
              </w:rPr>
              <w:t>Таблица</w:t>
            </w:r>
            <w:r w:rsidR="00CF16A2" w:rsidRPr="00E0104F">
              <w:rPr>
                <w:lang w:val="ru-RU"/>
              </w:rPr>
              <w:t xml:space="preserve"> 2: </w:t>
            </w:r>
            <w:r>
              <w:rPr>
                <w:lang w:val="ru-RU"/>
              </w:rPr>
              <w:t>Обобщенный вариант</w:t>
            </w:r>
            <w:r w:rsidRPr="00E0104F">
              <w:rPr>
                <w:lang w:val="ru-RU"/>
              </w:rPr>
              <w:t xml:space="preserve"> генерального плана капитальных расходов на 2018-2027 гг.</w:t>
            </w:r>
          </w:p>
          <w:p w:rsidR="00CF16A2" w:rsidRPr="00502985" w:rsidRDefault="00CF16A2" w:rsidP="00CF16A2">
            <w:pPr>
              <w:jc w:val="center"/>
              <w:rPr>
                <w:i/>
                <w:lang w:val="ru-RU"/>
              </w:rPr>
            </w:pPr>
            <w:r w:rsidRPr="00D43026">
              <w:rPr>
                <w:rFonts w:asciiTheme="minorHAnsi" w:eastAsia="Times New Roman" w:hAnsiTheme="minorHAnsi" w:cstheme="minorHAnsi"/>
                <w:i/>
                <w:color w:val="000000"/>
                <w:sz w:val="18"/>
                <w:szCs w:val="18"/>
                <w:lang w:eastAsia="en-US"/>
              </w:rPr>
              <w:t>(</w:t>
            </w:r>
            <w:r w:rsidR="00502985" w:rsidRPr="00502985">
              <w:rPr>
                <w:rFonts w:asciiTheme="minorHAnsi" w:eastAsia="Times New Roman" w:hAnsiTheme="minorHAnsi" w:cstheme="minorHAnsi"/>
                <w:i/>
                <w:color w:val="000000"/>
                <w:sz w:val="18"/>
                <w:szCs w:val="18"/>
                <w:lang w:val="ru-RU" w:eastAsia="en-US"/>
              </w:rPr>
              <w:t>в тыс. шв. франков</w:t>
            </w:r>
            <w:r w:rsidRPr="00D43026">
              <w:rPr>
                <w:rFonts w:asciiTheme="minorHAnsi" w:eastAsia="Times New Roman" w:hAnsiTheme="minorHAnsi" w:cstheme="minorHAnsi"/>
                <w:i/>
                <w:color w:val="000000"/>
                <w:sz w:val="18"/>
                <w:szCs w:val="18"/>
                <w:lang w:eastAsia="en-US"/>
              </w:rPr>
              <w:t>)</w:t>
            </w:r>
          </w:p>
        </w:tc>
      </w:tr>
    </w:tbl>
    <w:p w:rsidR="00FB1239" w:rsidRPr="00CF16A2" w:rsidRDefault="00FB1239" w:rsidP="00FB1239">
      <w:pPr>
        <w:rPr>
          <w:sz w:val="8"/>
          <w:szCs w:val="8"/>
        </w:rPr>
      </w:pPr>
    </w:p>
    <w:p w:rsidR="00FB1239" w:rsidRDefault="002524B5" w:rsidP="00FB1239">
      <w:pPr>
        <w:rPr>
          <w:lang w:val="en-GB"/>
        </w:rPr>
      </w:pPr>
      <w:r>
        <w:rPr>
          <w:noProof/>
          <w:lang w:eastAsia="en-US"/>
        </w:rPr>
        <w:drawing>
          <wp:inline distT="0" distB="0" distL="0" distR="0">
            <wp:extent cx="5761355" cy="4587379"/>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1355" cy="4587379"/>
                    </a:xfrm>
                    <a:prstGeom prst="rect">
                      <a:avLst/>
                    </a:prstGeom>
                    <a:noFill/>
                    <a:ln>
                      <a:noFill/>
                    </a:ln>
                  </pic:spPr>
                </pic:pic>
              </a:graphicData>
            </a:graphic>
          </wp:inline>
        </w:drawing>
      </w:r>
    </w:p>
    <w:p w:rsidR="00620A95" w:rsidRPr="00620A95" w:rsidRDefault="00620A95" w:rsidP="00FB1239">
      <w:pPr>
        <w:rPr>
          <w:i/>
          <w:sz w:val="8"/>
          <w:szCs w:val="8"/>
          <w:lang w:val="en-GB"/>
        </w:rPr>
      </w:pPr>
    </w:p>
    <w:p w:rsidR="00C407FA" w:rsidRDefault="00C407FA" w:rsidP="00FB1239">
      <w:pPr>
        <w:rPr>
          <w:i/>
          <w:sz w:val="16"/>
          <w:szCs w:val="16"/>
          <w:lang w:val="ru-RU"/>
        </w:rPr>
      </w:pPr>
      <w:r>
        <w:rPr>
          <w:i/>
          <w:sz w:val="16"/>
          <w:szCs w:val="16"/>
          <w:lang w:val="ru-RU"/>
        </w:rPr>
        <w:t>Примечание</w:t>
      </w:r>
      <w:r w:rsidR="00620A95" w:rsidRPr="00C407FA">
        <w:rPr>
          <w:i/>
          <w:sz w:val="16"/>
          <w:szCs w:val="16"/>
          <w:lang w:val="ru-RU"/>
        </w:rPr>
        <w:t xml:space="preserve">: </w:t>
      </w:r>
      <w:r w:rsidR="00620A95">
        <w:rPr>
          <w:i/>
          <w:sz w:val="16"/>
          <w:szCs w:val="16"/>
          <w:lang w:val="en-GB"/>
        </w:rPr>
        <w:t>x</w:t>
      </w:r>
      <w:r w:rsidR="00620A95" w:rsidRPr="00C407FA">
        <w:rPr>
          <w:i/>
          <w:sz w:val="16"/>
          <w:szCs w:val="16"/>
          <w:lang w:val="ru-RU"/>
        </w:rPr>
        <w:t xml:space="preserve"> </w:t>
      </w:r>
      <w:r>
        <w:rPr>
          <w:i/>
          <w:sz w:val="16"/>
          <w:szCs w:val="16"/>
          <w:lang w:val="ru-RU"/>
        </w:rPr>
        <w:t>– расходы будут определены дополнительно</w:t>
      </w:r>
    </w:p>
    <w:p w:rsidR="00FB1239" w:rsidRPr="00C407FA" w:rsidRDefault="00620A95" w:rsidP="00FB1239">
      <w:pPr>
        <w:rPr>
          <w:i/>
          <w:sz w:val="16"/>
          <w:szCs w:val="16"/>
          <w:lang w:val="ru-RU"/>
        </w:rPr>
      </w:pPr>
      <w:r w:rsidRPr="00C407FA">
        <w:rPr>
          <w:i/>
          <w:sz w:val="16"/>
          <w:szCs w:val="16"/>
          <w:lang w:val="ru-RU"/>
        </w:rPr>
        <w:t xml:space="preserve"> </w:t>
      </w:r>
    </w:p>
    <w:p w:rsidR="00FB1239" w:rsidRPr="00682B63" w:rsidRDefault="00241835" w:rsidP="00207BFD">
      <w:pPr>
        <w:numPr>
          <w:ilvl w:val="0"/>
          <w:numId w:val="31"/>
        </w:numPr>
        <w:tabs>
          <w:tab w:val="left" w:pos="567"/>
          <w:tab w:val="left" w:pos="5670"/>
        </w:tabs>
        <w:spacing w:after="220"/>
        <w:ind w:left="0" w:firstLine="0"/>
        <w:contextualSpacing/>
        <w:rPr>
          <w:lang w:val="ru-RU"/>
        </w:rPr>
      </w:pPr>
      <w:r>
        <w:rPr>
          <w:lang w:val="ru-RU"/>
        </w:rPr>
        <w:t>ГПКР</w:t>
      </w:r>
      <w:r w:rsidRPr="00682B63">
        <w:rPr>
          <w:lang w:val="ru-RU"/>
        </w:rPr>
        <w:t xml:space="preserve"> </w:t>
      </w:r>
      <w:r>
        <w:rPr>
          <w:lang w:val="ru-RU"/>
        </w:rPr>
        <w:t>на</w:t>
      </w:r>
      <w:r w:rsidR="00FB1239" w:rsidRPr="00682B63">
        <w:rPr>
          <w:lang w:val="ru-RU"/>
        </w:rPr>
        <w:t xml:space="preserve"> </w:t>
      </w:r>
      <w:r w:rsidR="005E226A" w:rsidRPr="00682B63">
        <w:rPr>
          <w:lang w:val="ru-RU"/>
        </w:rPr>
        <w:t>2018-</w:t>
      </w:r>
      <w:r w:rsidRPr="00682B63">
        <w:rPr>
          <w:lang w:val="ru-RU"/>
        </w:rPr>
        <w:t>20</w:t>
      </w:r>
      <w:r w:rsidR="005E226A" w:rsidRPr="00682B63">
        <w:rPr>
          <w:lang w:val="ru-RU"/>
        </w:rPr>
        <w:t>27</w:t>
      </w:r>
      <w:r w:rsidRPr="00682B63">
        <w:rPr>
          <w:lang w:val="ru-RU"/>
        </w:rPr>
        <w:t xml:space="preserve"> </w:t>
      </w:r>
      <w:r>
        <w:rPr>
          <w:lang w:val="ru-RU"/>
        </w:rPr>
        <w:t>гг</w:t>
      </w:r>
      <w:r w:rsidRPr="00682B63">
        <w:rPr>
          <w:lang w:val="ru-RU"/>
        </w:rPr>
        <w:t xml:space="preserve">. </w:t>
      </w:r>
      <w:r>
        <w:rPr>
          <w:lang w:val="ru-RU"/>
        </w:rPr>
        <w:t>представляет</w:t>
      </w:r>
      <w:r w:rsidRPr="00682B63">
        <w:rPr>
          <w:lang w:val="ru-RU"/>
        </w:rPr>
        <w:t xml:space="preserve"> </w:t>
      </w:r>
      <w:r>
        <w:rPr>
          <w:lang w:val="ru-RU"/>
        </w:rPr>
        <w:t>собой</w:t>
      </w:r>
      <w:r w:rsidRPr="00682B63">
        <w:rPr>
          <w:lang w:val="ru-RU"/>
        </w:rPr>
        <w:t xml:space="preserve"> </w:t>
      </w:r>
      <w:r>
        <w:rPr>
          <w:lang w:val="ru-RU"/>
        </w:rPr>
        <w:t>скользящий</w:t>
      </w:r>
      <w:r w:rsidRPr="00682B63">
        <w:rPr>
          <w:lang w:val="ru-RU"/>
        </w:rPr>
        <w:t xml:space="preserve"> </w:t>
      </w:r>
      <w:r>
        <w:rPr>
          <w:lang w:val="ru-RU"/>
        </w:rPr>
        <w:t>план</w:t>
      </w:r>
      <w:r w:rsidRPr="00682B63">
        <w:rPr>
          <w:lang w:val="ru-RU"/>
        </w:rPr>
        <w:t xml:space="preserve"> </w:t>
      </w:r>
      <w:r>
        <w:rPr>
          <w:lang w:val="ru-RU"/>
        </w:rPr>
        <w:t>проектов</w:t>
      </w:r>
      <w:r w:rsidRPr="00682B63">
        <w:rPr>
          <w:lang w:val="ru-RU"/>
        </w:rPr>
        <w:t xml:space="preserve"> </w:t>
      </w:r>
      <w:r>
        <w:rPr>
          <w:lang w:val="ru-RU"/>
        </w:rPr>
        <w:t>капитальных</w:t>
      </w:r>
      <w:r w:rsidRPr="00682B63">
        <w:rPr>
          <w:lang w:val="ru-RU"/>
        </w:rPr>
        <w:t xml:space="preserve"> </w:t>
      </w:r>
      <w:r>
        <w:rPr>
          <w:lang w:val="ru-RU"/>
        </w:rPr>
        <w:t>вложений</w:t>
      </w:r>
      <w:r w:rsidRPr="00682B63">
        <w:rPr>
          <w:lang w:val="ru-RU"/>
        </w:rPr>
        <w:t xml:space="preserve"> </w:t>
      </w:r>
      <w:r>
        <w:rPr>
          <w:lang w:val="ru-RU"/>
        </w:rPr>
        <w:t>и</w:t>
      </w:r>
      <w:r w:rsidRPr="00682B63">
        <w:rPr>
          <w:lang w:val="ru-RU"/>
        </w:rPr>
        <w:t xml:space="preserve"> </w:t>
      </w:r>
      <w:r>
        <w:rPr>
          <w:lang w:val="ru-RU"/>
        </w:rPr>
        <w:t>будет</w:t>
      </w:r>
      <w:r w:rsidRPr="00682B63">
        <w:rPr>
          <w:lang w:val="ru-RU"/>
        </w:rPr>
        <w:t xml:space="preserve"> </w:t>
      </w:r>
      <w:r>
        <w:rPr>
          <w:lang w:val="ru-RU"/>
        </w:rPr>
        <w:t>уточняться</w:t>
      </w:r>
      <w:r w:rsidRPr="00682B63">
        <w:rPr>
          <w:lang w:val="ru-RU"/>
        </w:rPr>
        <w:t xml:space="preserve"> </w:t>
      </w:r>
      <w:r>
        <w:rPr>
          <w:lang w:val="ru-RU"/>
        </w:rPr>
        <w:t>и</w:t>
      </w:r>
      <w:r w:rsidRPr="00682B63">
        <w:rPr>
          <w:lang w:val="ru-RU"/>
        </w:rPr>
        <w:t xml:space="preserve"> </w:t>
      </w:r>
      <w:r>
        <w:rPr>
          <w:lang w:val="ru-RU"/>
        </w:rPr>
        <w:t>представляться</w:t>
      </w:r>
      <w:r w:rsidRPr="00682B63">
        <w:rPr>
          <w:lang w:val="ru-RU"/>
        </w:rPr>
        <w:t xml:space="preserve"> </w:t>
      </w:r>
      <w:r>
        <w:rPr>
          <w:lang w:val="ru-RU"/>
        </w:rPr>
        <w:t>государствам</w:t>
      </w:r>
      <w:r w:rsidRPr="00682B63">
        <w:rPr>
          <w:lang w:val="ru-RU"/>
        </w:rPr>
        <w:t xml:space="preserve"> </w:t>
      </w:r>
      <w:r>
        <w:rPr>
          <w:lang w:val="ru-RU"/>
        </w:rPr>
        <w:t>на</w:t>
      </w:r>
      <w:r w:rsidRPr="00682B63">
        <w:rPr>
          <w:lang w:val="ru-RU"/>
        </w:rPr>
        <w:t xml:space="preserve"> </w:t>
      </w:r>
      <w:r>
        <w:rPr>
          <w:lang w:val="ru-RU"/>
        </w:rPr>
        <w:t>двухгодичной</w:t>
      </w:r>
      <w:r w:rsidRPr="00682B63">
        <w:rPr>
          <w:lang w:val="ru-RU"/>
        </w:rPr>
        <w:t xml:space="preserve"> </w:t>
      </w:r>
      <w:r>
        <w:rPr>
          <w:lang w:val="ru-RU"/>
        </w:rPr>
        <w:t>основе</w:t>
      </w:r>
      <w:r w:rsidRPr="00682B63">
        <w:rPr>
          <w:lang w:val="ru-RU"/>
        </w:rPr>
        <w:t xml:space="preserve"> </w:t>
      </w:r>
      <w:r>
        <w:rPr>
          <w:lang w:val="ru-RU"/>
        </w:rPr>
        <w:t>с</w:t>
      </w:r>
      <w:r w:rsidRPr="00682B63">
        <w:rPr>
          <w:lang w:val="ru-RU"/>
        </w:rPr>
        <w:t xml:space="preserve"> </w:t>
      </w:r>
      <w:r>
        <w:rPr>
          <w:lang w:val="ru-RU"/>
        </w:rPr>
        <w:t>уточненными</w:t>
      </w:r>
      <w:r w:rsidRPr="00682B63">
        <w:rPr>
          <w:lang w:val="ru-RU"/>
        </w:rPr>
        <w:t xml:space="preserve"> </w:t>
      </w:r>
      <w:r>
        <w:rPr>
          <w:lang w:val="ru-RU"/>
        </w:rPr>
        <w:t>данными</w:t>
      </w:r>
      <w:r w:rsidRPr="00682B63">
        <w:rPr>
          <w:lang w:val="ru-RU"/>
        </w:rPr>
        <w:t xml:space="preserve"> </w:t>
      </w:r>
      <w:r>
        <w:rPr>
          <w:lang w:val="ru-RU"/>
        </w:rPr>
        <w:t>об</w:t>
      </w:r>
      <w:r w:rsidRPr="00682B63">
        <w:rPr>
          <w:lang w:val="ru-RU"/>
        </w:rPr>
        <w:t xml:space="preserve"> </w:t>
      </w:r>
      <w:r>
        <w:rPr>
          <w:lang w:val="ru-RU"/>
        </w:rPr>
        <w:t>объеме</w:t>
      </w:r>
      <w:r w:rsidRPr="00682B63">
        <w:rPr>
          <w:lang w:val="ru-RU"/>
        </w:rPr>
        <w:t xml:space="preserve"> </w:t>
      </w:r>
      <w:r>
        <w:rPr>
          <w:lang w:val="ru-RU"/>
        </w:rPr>
        <w:t>работ</w:t>
      </w:r>
      <w:r w:rsidRPr="00682B63">
        <w:rPr>
          <w:lang w:val="ru-RU"/>
        </w:rPr>
        <w:t xml:space="preserve"> </w:t>
      </w:r>
      <w:r>
        <w:rPr>
          <w:lang w:val="ru-RU"/>
        </w:rPr>
        <w:t>и</w:t>
      </w:r>
      <w:r w:rsidRPr="00682B63">
        <w:rPr>
          <w:lang w:val="ru-RU"/>
        </w:rPr>
        <w:t xml:space="preserve"> </w:t>
      </w:r>
      <w:r>
        <w:rPr>
          <w:lang w:val="ru-RU"/>
        </w:rPr>
        <w:t>сметных</w:t>
      </w:r>
      <w:r w:rsidRPr="00682B63">
        <w:rPr>
          <w:lang w:val="ru-RU"/>
        </w:rPr>
        <w:t xml:space="preserve"> </w:t>
      </w:r>
      <w:r>
        <w:rPr>
          <w:lang w:val="ru-RU"/>
        </w:rPr>
        <w:t>затратах</w:t>
      </w:r>
      <w:r w:rsidRPr="00682B63">
        <w:rPr>
          <w:lang w:val="ru-RU"/>
        </w:rPr>
        <w:t xml:space="preserve"> </w:t>
      </w:r>
      <w:r>
        <w:rPr>
          <w:lang w:val="ru-RU"/>
        </w:rPr>
        <w:t>по</w:t>
      </w:r>
      <w:r w:rsidRPr="00682B63">
        <w:rPr>
          <w:lang w:val="ru-RU"/>
        </w:rPr>
        <w:t xml:space="preserve"> </w:t>
      </w:r>
      <w:r>
        <w:rPr>
          <w:lang w:val="ru-RU"/>
        </w:rPr>
        <w:t>каждому</w:t>
      </w:r>
      <w:r w:rsidRPr="00682B63">
        <w:rPr>
          <w:lang w:val="ru-RU"/>
        </w:rPr>
        <w:t xml:space="preserve"> </w:t>
      </w:r>
      <w:r>
        <w:rPr>
          <w:lang w:val="ru-RU"/>
        </w:rPr>
        <w:t>проекту</w:t>
      </w:r>
      <w:r w:rsidRPr="00682B63">
        <w:rPr>
          <w:lang w:val="ru-RU"/>
        </w:rPr>
        <w:t xml:space="preserve">. </w:t>
      </w:r>
      <w:r w:rsidR="00611A6B" w:rsidRPr="00682B63">
        <w:rPr>
          <w:lang w:val="ru-RU"/>
        </w:rPr>
        <w:t xml:space="preserve"> </w:t>
      </w:r>
    </w:p>
    <w:p w:rsidR="00611A6B" w:rsidRPr="00682B63" w:rsidRDefault="00611A6B" w:rsidP="00FB1239">
      <w:pPr>
        <w:rPr>
          <w:lang w:val="ru-RU"/>
        </w:rPr>
      </w:pPr>
    </w:p>
    <w:p w:rsidR="00251C01" w:rsidRPr="00682B63" w:rsidRDefault="00251C01" w:rsidP="00FB1239">
      <w:pPr>
        <w:rPr>
          <w:lang w:val="ru-RU"/>
        </w:rPr>
      </w:pPr>
    </w:p>
    <w:p w:rsidR="00611A6B" w:rsidRPr="00682B63" w:rsidRDefault="00682B63" w:rsidP="00251C01">
      <w:pPr>
        <w:pStyle w:val="Heading1"/>
        <w:spacing w:before="0" w:after="0"/>
      </w:pPr>
      <w:r w:rsidRPr="00682B63">
        <w:rPr>
          <w:lang w:val="ru-RU" w:bidi="ru-RU"/>
        </w:rPr>
        <w:t>ПРЕДЛОЖЕНИЕ О ФИНАНСИРОВАНИИ ПРОЕКТОВ ГПКР</w:t>
      </w:r>
      <w:r>
        <w:rPr>
          <w:lang w:val="ru-RU" w:bidi="ru-RU"/>
        </w:rPr>
        <w:t xml:space="preserve"> в двухлетний период 2018-2019 гг.</w:t>
      </w:r>
      <w:r w:rsidRPr="00682B63">
        <w:rPr>
          <w:lang w:val="ru-RU" w:bidi="ru-RU"/>
        </w:rPr>
        <w:t xml:space="preserve"> ИЗ</w:t>
      </w:r>
      <w:r w:rsidRPr="00682B63">
        <w:rPr>
          <w:lang w:bidi="ru-RU"/>
        </w:rPr>
        <w:t xml:space="preserve"> </w:t>
      </w:r>
      <w:r w:rsidRPr="00682B63">
        <w:rPr>
          <w:lang w:val="ru-RU" w:bidi="ru-RU"/>
        </w:rPr>
        <w:t>РЕЗЕРВНЫХ</w:t>
      </w:r>
      <w:r w:rsidRPr="00682B63">
        <w:rPr>
          <w:lang w:bidi="ru-RU"/>
        </w:rPr>
        <w:t xml:space="preserve"> </w:t>
      </w:r>
      <w:r w:rsidRPr="00682B63">
        <w:rPr>
          <w:lang w:val="ru-RU" w:bidi="ru-RU"/>
        </w:rPr>
        <w:t>СРЕДСТВ</w:t>
      </w:r>
    </w:p>
    <w:p w:rsidR="00611A6B" w:rsidRPr="00682B63" w:rsidRDefault="00611A6B" w:rsidP="00611A6B"/>
    <w:p w:rsidR="00611A6B" w:rsidRPr="00682B63" w:rsidRDefault="00682B63" w:rsidP="00207BFD">
      <w:pPr>
        <w:numPr>
          <w:ilvl w:val="0"/>
          <w:numId w:val="31"/>
        </w:numPr>
        <w:tabs>
          <w:tab w:val="left" w:pos="567"/>
          <w:tab w:val="left" w:pos="5670"/>
        </w:tabs>
        <w:spacing w:after="220"/>
        <w:ind w:left="0" w:firstLine="0"/>
        <w:contextualSpacing/>
        <w:rPr>
          <w:lang w:val="ru-RU"/>
        </w:rPr>
      </w:pPr>
      <w:r>
        <w:rPr>
          <w:lang w:val="ru-RU"/>
        </w:rPr>
        <w:t>Исходя</w:t>
      </w:r>
      <w:r w:rsidRPr="00682B63">
        <w:rPr>
          <w:lang w:val="ru-RU"/>
        </w:rPr>
        <w:t xml:space="preserve"> </w:t>
      </w:r>
      <w:r>
        <w:rPr>
          <w:lang w:val="ru-RU"/>
        </w:rPr>
        <w:t>и</w:t>
      </w:r>
      <w:r w:rsidR="000A4E18">
        <w:rPr>
          <w:lang w:val="ru-RU"/>
        </w:rPr>
        <w:t>з</w:t>
      </w:r>
      <w:r w:rsidRPr="00682B63">
        <w:rPr>
          <w:lang w:val="ru-RU"/>
        </w:rPr>
        <w:t xml:space="preserve"> </w:t>
      </w:r>
      <w:r>
        <w:rPr>
          <w:lang w:val="ru-RU"/>
        </w:rPr>
        <w:t>ГПКР</w:t>
      </w:r>
      <w:r w:rsidRPr="00682B63">
        <w:rPr>
          <w:lang w:val="ru-RU"/>
        </w:rPr>
        <w:t xml:space="preserve"> </w:t>
      </w:r>
      <w:r>
        <w:rPr>
          <w:lang w:val="ru-RU"/>
        </w:rPr>
        <w:t>на</w:t>
      </w:r>
      <w:r w:rsidRPr="00682B63">
        <w:rPr>
          <w:lang w:val="ru-RU"/>
        </w:rPr>
        <w:t xml:space="preserve"> </w:t>
      </w:r>
      <w:r w:rsidR="00611A6B" w:rsidRPr="00682B63">
        <w:rPr>
          <w:lang w:val="ru-RU"/>
        </w:rPr>
        <w:t>2018-</w:t>
      </w:r>
      <w:r w:rsidRPr="00682B63">
        <w:rPr>
          <w:lang w:val="ru-RU"/>
        </w:rPr>
        <w:t>20</w:t>
      </w:r>
      <w:r w:rsidR="00611A6B" w:rsidRPr="00682B63">
        <w:rPr>
          <w:lang w:val="ru-RU"/>
        </w:rPr>
        <w:t>27</w:t>
      </w:r>
      <w:r w:rsidRPr="00682B63">
        <w:rPr>
          <w:lang w:val="ru-RU"/>
        </w:rPr>
        <w:t xml:space="preserve"> </w:t>
      </w:r>
      <w:r>
        <w:rPr>
          <w:lang w:val="ru-RU"/>
        </w:rPr>
        <w:t>гг</w:t>
      </w:r>
      <w:r w:rsidRPr="00682B63">
        <w:rPr>
          <w:lang w:val="ru-RU"/>
        </w:rPr>
        <w:t>.</w:t>
      </w:r>
      <w:r w:rsidR="00611A6B" w:rsidRPr="00682B63">
        <w:rPr>
          <w:lang w:val="ru-RU"/>
        </w:rPr>
        <w:t>,</w:t>
      </w:r>
      <w:r w:rsidRPr="00682B63">
        <w:rPr>
          <w:lang w:val="ru-RU"/>
        </w:rPr>
        <w:t xml:space="preserve"> </w:t>
      </w:r>
      <w:r>
        <w:rPr>
          <w:lang w:val="ru-RU"/>
        </w:rPr>
        <w:t>в</w:t>
      </w:r>
      <w:r w:rsidRPr="00682B63">
        <w:rPr>
          <w:lang w:val="ru-RU"/>
        </w:rPr>
        <w:t xml:space="preserve"> </w:t>
      </w:r>
      <w:r>
        <w:rPr>
          <w:lang w:val="ru-RU"/>
        </w:rPr>
        <w:t>таблице</w:t>
      </w:r>
      <w:r w:rsidRPr="00682B63">
        <w:rPr>
          <w:lang w:val="ru-RU"/>
        </w:rPr>
        <w:t xml:space="preserve"> 3 </w:t>
      </w:r>
      <w:r>
        <w:rPr>
          <w:lang w:val="ru-RU"/>
        </w:rPr>
        <w:t>перечислены</w:t>
      </w:r>
      <w:r w:rsidRPr="00682B63">
        <w:rPr>
          <w:lang w:val="ru-RU"/>
        </w:rPr>
        <w:t xml:space="preserve"> </w:t>
      </w:r>
      <w:r>
        <w:rPr>
          <w:lang w:val="ru-RU"/>
        </w:rPr>
        <w:t>проекты</w:t>
      </w:r>
      <w:r w:rsidRPr="00682B63">
        <w:rPr>
          <w:lang w:val="ru-RU"/>
        </w:rPr>
        <w:t xml:space="preserve">, </w:t>
      </w:r>
      <w:r>
        <w:rPr>
          <w:lang w:val="ru-RU"/>
        </w:rPr>
        <w:t>которые</w:t>
      </w:r>
      <w:r w:rsidRPr="00682B63">
        <w:rPr>
          <w:lang w:val="ru-RU"/>
        </w:rPr>
        <w:t xml:space="preserve"> </w:t>
      </w:r>
      <w:r>
        <w:rPr>
          <w:lang w:val="ru-RU"/>
        </w:rPr>
        <w:t>в</w:t>
      </w:r>
      <w:r w:rsidRPr="00682B63">
        <w:rPr>
          <w:lang w:val="ru-RU"/>
        </w:rPr>
        <w:t xml:space="preserve"> </w:t>
      </w:r>
      <w:r>
        <w:rPr>
          <w:lang w:val="ru-RU"/>
        </w:rPr>
        <w:t>двухлетний</w:t>
      </w:r>
      <w:r w:rsidRPr="00682B63">
        <w:rPr>
          <w:lang w:val="ru-RU"/>
        </w:rPr>
        <w:t xml:space="preserve"> </w:t>
      </w:r>
      <w:r>
        <w:rPr>
          <w:lang w:val="ru-RU"/>
        </w:rPr>
        <w:t>период</w:t>
      </w:r>
      <w:r w:rsidRPr="00682B63">
        <w:rPr>
          <w:lang w:val="ru-RU"/>
        </w:rPr>
        <w:t xml:space="preserve"> 2018-2019 </w:t>
      </w:r>
      <w:r>
        <w:rPr>
          <w:lang w:val="ru-RU"/>
        </w:rPr>
        <w:t>гг</w:t>
      </w:r>
      <w:r w:rsidRPr="00682B63">
        <w:rPr>
          <w:lang w:val="ru-RU"/>
        </w:rPr>
        <w:t xml:space="preserve">. </w:t>
      </w:r>
      <w:r>
        <w:rPr>
          <w:lang w:val="ru-RU"/>
        </w:rPr>
        <w:t>предлагается</w:t>
      </w:r>
      <w:r w:rsidRPr="00682B63">
        <w:rPr>
          <w:lang w:val="ru-RU"/>
        </w:rPr>
        <w:t xml:space="preserve"> </w:t>
      </w:r>
      <w:r>
        <w:rPr>
          <w:lang w:val="ru-RU"/>
        </w:rPr>
        <w:t>финансировать</w:t>
      </w:r>
      <w:r w:rsidRPr="00682B63">
        <w:rPr>
          <w:lang w:val="ru-RU"/>
        </w:rPr>
        <w:t xml:space="preserve"> </w:t>
      </w:r>
      <w:r>
        <w:rPr>
          <w:lang w:val="ru-RU"/>
        </w:rPr>
        <w:t>за</w:t>
      </w:r>
      <w:r w:rsidRPr="00682B63">
        <w:rPr>
          <w:lang w:val="ru-RU"/>
        </w:rPr>
        <w:t xml:space="preserve"> </w:t>
      </w:r>
      <w:r>
        <w:rPr>
          <w:lang w:val="ru-RU"/>
        </w:rPr>
        <w:t>счет</w:t>
      </w:r>
      <w:r w:rsidRPr="00682B63">
        <w:rPr>
          <w:lang w:val="ru-RU"/>
        </w:rPr>
        <w:t xml:space="preserve"> </w:t>
      </w:r>
      <w:r>
        <w:rPr>
          <w:lang w:val="ru-RU"/>
        </w:rPr>
        <w:t>имеющихся</w:t>
      </w:r>
      <w:r w:rsidRPr="00682B63">
        <w:rPr>
          <w:lang w:val="ru-RU"/>
        </w:rPr>
        <w:t xml:space="preserve"> </w:t>
      </w:r>
      <w:r>
        <w:rPr>
          <w:lang w:val="ru-RU"/>
        </w:rPr>
        <w:t>резервов</w:t>
      </w:r>
      <w:r w:rsidRPr="00682B63">
        <w:rPr>
          <w:lang w:val="ru-RU"/>
        </w:rPr>
        <w:t>.</w:t>
      </w:r>
      <w:r w:rsidR="00611A6B" w:rsidRPr="00682B63">
        <w:rPr>
          <w:lang w:val="ru-RU"/>
        </w:rPr>
        <w:t xml:space="preserve"> </w:t>
      </w:r>
    </w:p>
    <w:p w:rsidR="00611A6B" w:rsidRPr="00682B63" w:rsidRDefault="00611A6B" w:rsidP="00611A6B">
      <w:pPr>
        <w:rPr>
          <w:sz w:val="12"/>
          <w:szCs w:val="12"/>
          <w:lang w:val="ru-RU"/>
        </w:rPr>
      </w:pPr>
    </w:p>
    <w:p w:rsidR="002524B5" w:rsidRDefault="002524B5">
      <w:pPr>
        <w:rPr>
          <w:rFonts w:asciiTheme="minorHAnsi" w:eastAsia="Times New Roman" w:hAnsiTheme="minorHAnsi" w:cstheme="minorHAnsi"/>
          <w:i/>
          <w:color w:val="000000"/>
          <w:sz w:val="18"/>
          <w:szCs w:val="18"/>
          <w:lang w:val="ru-RU" w:eastAsia="en-US"/>
        </w:rPr>
      </w:pPr>
      <w:r>
        <w:rPr>
          <w:rFonts w:asciiTheme="minorHAnsi" w:eastAsia="Times New Roman" w:hAnsiTheme="minorHAnsi" w:cstheme="minorHAnsi"/>
          <w:i/>
          <w:color w:val="000000"/>
          <w:sz w:val="18"/>
          <w:szCs w:val="18"/>
          <w:lang w:val="ru-RU" w:eastAsia="en-US"/>
        </w:rPr>
        <w:br w:type="page"/>
      </w:r>
    </w:p>
    <w:p w:rsidR="00A20C9C" w:rsidRPr="00682B63" w:rsidRDefault="00A20C9C" w:rsidP="00A20C9C">
      <w:pPr>
        <w:jc w:val="center"/>
        <w:rPr>
          <w:rFonts w:asciiTheme="minorHAnsi" w:eastAsia="Times New Roman" w:hAnsiTheme="minorHAnsi" w:cstheme="minorHAnsi"/>
          <w:i/>
          <w:color w:val="000000"/>
          <w:sz w:val="18"/>
          <w:szCs w:val="18"/>
          <w:lang w:val="ru-RU" w:eastAsia="en-US"/>
        </w:rPr>
      </w:pPr>
    </w:p>
    <w:tbl>
      <w:tblPr>
        <w:tblW w:w="5788" w:type="dxa"/>
        <w:jc w:val="center"/>
        <w:tblInd w:w="1687" w:type="dxa"/>
        <w:tblLook w:val="04A0" w:firstRow="1" w:lastRow="0" w:firstColumn="1" w:lastColumn="0" w:noHBand="0" w:noVBand="1"/>
      </w:tblPr>
      <w:tblGrid>
        <w:gridCol w:w="5788"/>
      </w:tblGrid>
      <w:tr w:rsidR="00CF16A2" w:rsidRPr="00FA5B68" w:rsidTr="002524B5">
        <w:trPr>
          <w:trHeight w:val="255"/>
          <w:jc w:val="center"/>
        </w:trPr>
        <w:tc>
          <w:tcPr>
            <w:tcW w:w="5788" w:type="dxa"/>
            <w:shd w:val="clear" w:color="auto" w:fill="C6D9F1" w:themeFill="text2" w:themeFillTint="33"/>
            <w:noWrap/>
            <w:vAlign w:val="center"/>
          </w:tcPr>
          <w:p w:rsidR="00CF16A2" w:rsidRPr="00682B63" w:rsidRDefault="00682B63" w:rsidP="00CF16A2">
            <w:pPr>
              <w:jc w:val="center"/>
              <w:rPr>
                <w:lang w:val="ru-RU"/>
              </w:rPr>
            </w:pPr>
            <w:r>
              <w:rPr>
                <w:lang w:val="ru-RU"/>
              </w:rPr>
              <w:t>Таблица</w:t>
            </w:r>
            <w:r w:rsidR="00CF16A2" w:rsidRPr="00682B63">
              <w:rPr>
                <w:lang w:val="ru-RU"/>
              </w:rPr>
              <w:t xml:space="preserve"> 3: </w:t>
            </w:r>
            <w:r>
              <w:rPr>
                <w:lang w:val="ru-RU"/>
              </w:rPr>
              <w:t>Проекты генерального плана капитальных расходов на 2018-2019 гг.</w:t>
            </w:r>
            <w:r w:rsidR="00CF16A2" w:rsidRPr="00682B63">
              <w:rPr>
                <w:lang w:val="ru-RU"/>
              </w:rPr>
              <w:t xml:space="preserve"> </w:t>
            </w:r>
          </w:p>
          <w:p w:rsidR="00CF16A2" w:rsidRPr="00502985" w:rsidRDefault="00CF16A2" w:rsidP="00682B63">
            <w:pPr>
              <w:jc w:val="center"/>
              <w:rPr>
                <w:rFonts w:asciiTheme="minorHAnsi" w:eastAsia="Times New Roman" w:hAnsiTheme="minorHAnsi" w:cstheme="minorHAnsi"/>
                <w:i/>
                <w:color w:val="000000"/>
                <w:sz w:val="18"/>
                <w:szCs w:val="18"/>
                <w:lang w:val="ru-RU" w:eastAsia="en-US"/>
              </w:rPr>
            </w:pPr>
            <w:r w:rsidRPr="00D43026">
              <w:rPr>
                <w:rFonts w:asciiTheme="minorHAnsi" w:eastAsia="Times New Roman" w:hAnsiTheme="minorHAnsi" w:cstheme="minorHAnsi"/>
                <w:i/>
                <w:color w:val="000000"/>
                <w:sz w:val="18"/>
                <w:szCs w:val="18"/>
                <w:lang w:eastAsia="en-US"/>
              </w:rPr>
              <w:t>(</w:t>
            </w:r>
            <w:r w:rsidR="00502985" w:rsidRPr="00502985">
              <w:rPr>
                <w:rFonts w:asciiTheme="minorHAnsi" w:eastAsia="Times New Roman" w:hAnsiTheme="minorHAnsi" w:cstheme="minorHAnsi"/>
                <w:i/>
                <w:color w:val="000000"/>
                <w:sz w:val="18"/>
                <w:szCs w:val="18"/>
                <w:lang w:val="ru-RU" w:eastAsia="en-US"/>
              </w:rPr>
              <w:t>в тыс. шв. франков</w:t>
            </w:r>
            <w:r w:rsidRPr="00D43026">
              <w:rPr>
                <w:rFonts w:asciiTheme="minorHAnsi" w:eastAsia="Times New Roman" w:hAnsiTheme="minorHAnsi" w:cstheme="minorHAnsi"/>
                <w:i/>
                <w:color w:val="000000"/>
                <w:sz w:val="18"/>
                <w:szCs w:val="18"/>
                <w:lang w:eastAsia="en-US"/>
              </w:rPr>
              <w:t>)</w:t>
            </w:r>
          </w:p>
        </w:tc>
      </w:tr>
    </w:tbl>
    <w:p w:rsidR="00620A95" w:rsidRPr="00CF16A2" w:rsidRDefault="00620A95" w:rsidP="00A20C9C">
      <w:pPr>
        <w:jc w:val="center"/>
        <w:rPr>
          <w:sz w:val="8"/>
          <w:szCs w:val="8"/>
        </w:rPr>
      </w:pPr>
    </w:p>
    <w:p w:rsidR="00A20C9C" w:rsidRDefault="002524B5" w:rsidP="00620A95">
      <w:pPr>
        <w:jc w:val="center"/>
      </w:pPr>
      <w:r>
        <w:rPr>
          <w:noProof/>
          <w:lang w:eastAsia="en-US"/>
        </w:rPr>
        <w:drawing>
          <wp:inline distT="0" distB="0" distL="0" distR="0">
            <wp:extent cx="3665220" cy="504761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65220" cy="5047615"/>
                    </a:xfrm>
                    <a:prstGeom prst="rect">
                      <a:avLst/>
                    </a:prstGeom>
                    <a:noFill/>
                    <a:ln>
                      <a:noFill/>
                    </a:ln>
                  </pic:spPr>
                </pic:pic>
              </a:graphicData>
            </a:graphic>
          </wp:inline>
        </w:drawing>
      </w:r>
    </w:p>
    <w:p w:rsidR="00611A6B" w:rsidRDefault="00611A6B" w:rsidP="00A20C9C">
      <w:pPr>
        <w:jc w:val="center"/>
      </w:pPr>
    </w:p>
    <w:p w:rsidR="00611A6B" w:rsidRDefault="00611A6B" w:rsidP="00611A6B"/>
    <w:p w:rsidR="00611A6B" w:rsidRPr="00DC47A6" w:rsidRDefault="00DC47A6" w:rsidP="00207BFD">
      <w:pPr>
        <w:numPr>
          <w:ilvl w:val="0"/>
          <w:numId w:val="31"/>
        </w:numPr>
        <w:tabs>
          <w:tab w:val="left" w:pos="567"/>
          <w:tab w:val="left" w:pos="5670"/>
        </w:tabs>
        <w:spacing w:after="220"/>
        <w:ind w:left="0" w:firstLine="0"/>
        <w:contextualSpacing/>
        <w:rPr>
          <w:lang w:val="ru-RU"/>
        </w:rPr>
      </w:pPr>
      <w:r>
        <w:rPr>
          <w:lang w:val="ru-RU"/>
        </w:rPr>
        <w:t>Совокупный</w:t>
      </w:r>
      <w:r w:rsidRPr="00DC47A6">
        <w:rPr>
          <w:lang w:val="ru-RU"/>
        </w:rPr>
        <w:t xml:space="preserve"> </w:t>
      </w:r>
      <w:r>
        <w:rPr>
          <w:lang w:val="ru-RU"/>
        </w:rPr>
        <w:t>объем</w:t>
      </w:r>
      <w:r w:rsidRPr="00DC47A6">
        <w:rPr>
          <w:lang w:val="ru-RU"/>
        </w:rPr>
        <w:t xml:space="preserve"> </w:t>
      </w:r>
      <w:r>
        <w:rPr>
          <w:lang w:val="ru-RU"/>
        </w:rPr>
        <w:t>сметных</w:t>
      </w:r>
      <w:r w:rsidRPr="00DC47A6">
        <w:rPr>
          <w:lang w:val="ru-RU"/>
        </w:rPr>
        <w:t xml:space="preserve"> </w:t>
      </w:r>
      <w:r>
        <w:rPr>
          <w:lang w:val="ru-RU"/>
        </w:rPr>
        <w:t>единовременных</w:t>
      </w:r>
      <w:r w:rsidRPr="00DC47A6">
        <w:rPr>
          <w:lang w:val="ru-RU"/>
        </w:rPr>
        <w:t xml:space="preserve"> </w:t>
      </w:r>
      <w:r>
        <w:rPr>
          <w:lang w:val="ru-RU"/>
        </w:rPr>
        <w:t>затрат</w:t>
      </w:r>
      <w:r w:rsidRPr="00DC47A6">
        <w:rPr>
          <w:lang w:val="ru-RU"/>
        </w:rPr>
        <w:t xml:space="preserve"> </w:t>
      </w:r>
      <w:r>
        <w:rPr>
          <w:lang w:val="ru-RU"/>
        </w:rPr>
        <w:t>по</w:t>
      </w:r>
      <w:r w:rsidRPr="00DC47A6">
        <w:rPr>
          <w:lang w:val="ru-RU"/>
        </w:rPr>
        <w:t xml:space="preserve"> </w:t>
      </w:r>
      <w:r>
        <w:rPr>
          <w:lang w:val="ru-RU"/>
        </w:rPr>
        <w:t>предлагаемым</w:t>
      </w:r>
      <w:r w:rsidRPr="00DC47A6">
        <w:rPr>
          <w:lang w:val="ru-RU"/>
        </w:rPr>
        <w:t xml:space="preserve"> </w:t>
      </w:r>
      <w:r>
        <w:rPr>
          <w:lang w:val="ru-RU"/>
        </w:rPr>
        <w:t>важнейшим</w:t>
      </w:r>
      <w:r w:rsidRPr="00DC47A6">
        <w:rPr>
          <w:lang w:val="ru-RU"/>
        </w:rPr>
        <w:t xml:space="preserve"> </w:t>
      </w:r>
      <w:r>
        <w:rPr>
          <w:lang w:val="ru-RU"/>
        </w:rPr>
        <w:t>проектам</w:t>
      </w:r>
      <w:r w:rsidRPr="00DC47A6">
        <w:rPr>
          <w:lang w:val="ru-RU"/>
        </w:rPr>
        <w:t xml:space="preserve"> </w:t>
      </w:r>
      <w:r>
        <w:rPr>
          <w:lang w:val="ru-RU"/>
        </w:rPr>
        <w:t>в</w:t>
      </w:r>
      <w:r w:rsidRPr="00DC47A6">
        <w:rPr>
          <w:lang w:val="ru-RU"/>
        </w:rPr>
        <w:t xml:space="preserve"> 2018-2019 </w:t>
      </w:r>
      <w:r>
        <w:rPr>
          <w:lang w:val="ru-RU"/>
        </w:rPr>
        <w:t>гг</w:t>
      </w:r>
      <w:r w:rsidRPr="00DC47A6">
        <w:rPr>
          <w:lang w:val="ru-RU"/>
        </w:rPr>
        <w:t xml:space="preserve">. </w:t>
      </w:r>
      <w:r>
        <w:rPr>
          <w:lang w:val="ru-RU"/>
        </w:rPr>
        <w:t>составляет</w:t>
      </w:r>
      <w:r w:rsidRPr="00DC47A6">
        <w:rPr>
          <w:lang w:val="ru-RU"/>
        </w:rPr>
        <w:t xml:space="preserve"> 25,</w:t>
      </w:r>
      <w:r w:rsidR="00611A6B" w:rsidRPr="00DC47A6">
        <w:rPr>
          <w:lang w:val="ru-RU"/>
        </w:rPr>
        <w:t>5</w:t>
      </w:r>
      <w:r w:rsidRPr="00DC47A6">
        <w:rPr>
          <w:lang w:val="ru-RU"/>
        </w:rPr>
        <w:t xml:space="preserve"> </w:t>
      </w:r>
      <w:r>
        <w:rPr>
          <w:lang w:val="ru-RU"/>
        </w:rPr>
        <w:t>млн</w:t>
      </w:r>
      <w:r w:rsidRPr="00DC47A6">
        <w:rPr>
          <w:lang w:val="ru-RU"/>
        </w:rPr>
        <w:t xml:space="preserve"> </w:t>
      </w:r>
      <w:r>
        <w:rPr>
          <w:lang w:val="ru-RU"/>
        </w:rPr>
        <w:t>шв</w:t>
      </w:r>
      <w:r w:rsidRPr="00DC47A6">
        <w:rPr>
          <w:lang w:val="ru-RU"/>
        </w:rPr>
        <w:t xml:space="preserve">. </w:t>
      </w:r>
      <w:r>
        <w:rPr>
          <w:lang w:val="ru-RU"/>
        </w:rPr>
        <w:t>франков</w:t>
      </w:r>
      <w:r w:rsidRPr="00DC47A6">
        <w:rPr>
          <w:lang w:val="ru-RU"/>
        </w:rPr>
        <w:t>.</w:t>
      </w:r>
      <w:r w:rsidR="002265E4">
        <w:rPr>
          <w:lang w:val="ru-RU"/>
        </w:rPr>
        <w:t xml:space="preserve">  </w:t>
      </w:r>
      <w:r w:rsidR="002265E4" w:rsidRPr="002265E4">
        <w:rPr>
          <w:lang w:val="ru-RU"/>
        </w:rPr>
        <w:t>Периодических/текущих расходов по проектам в двухлетний период 2018-2019 гг. не предусмотрено.</w:t>
      </w:r>
      <w:r w:rsidR="00611A6B" w:rsidRPr="00DC47A6">
        <w:rPr>
          <w:lang w:val="ru-RU"/>
        </w:rPr>
        <w:t xml:space="preserve">  </w:t>
      </w:r>
    </w:p>
    <w:p w:rsidR="00207BFD" w:rsidRPr="00DC47A6" w:rsidRDefault="00207BFD" w:rsidP="00207BFD">
      <w:pPr>
        <w:tabs>
          <w:tab w:val="left" w:pos="567"/>
          <w:tab w:val="left" w:pos="5670"/>
        </w:tabs>
        <w:spacing w:after="220"/>
        <w:contextualSpacing/>
        <w:rPr>
          <w:lang w:val="ru-RU"/>
        </w:rPr>
      </w:pPr>
    </w:p>
    <w:p w:rsidR="00DC47A6" w:rsidRPr="00DC47A6" w:rsidRDefault="00DC47A6" w:rsidP="00207BFD">
      <w:pPr>
        <w:numPr>
          <w:ilvl w:val="0"/>
          <w:numId w:val="31"/>
        </w:numPr>
        <w:tabs>
          <w:tab w:val="left" w:pos="567"/>
          <w:tab w:val="left" w:pos="5670"/>
        </w:tabs>
        <w:spacing w:after="220"/>
        <w:ind w:left="0" w:firstLine="0"/>
        <w:contextualSpacing/>
        <w:rPr>
          <w:lang w:val="ru-RU"/>
        </w:rPr>
      </w:pPr>
      <w:r>
        <w:rPr>
          <w:lang w:val="ru-RU"/>
        </w:rPr>
        <w:t xml:space="preserve">Каждый предлагаемый проект/этап проекта автономен.  Утверждение проектов для осуществления в 2018-2019 гг. не предрешает каких-либо будущих решений относительно финансирования проектов полностью или на том или ином этапе в течение </w:t>
      </w:r>
      <w:r w:rsidR="006C4248">
        <w:rPr>
          <w:lang w:val="ru-RU"/>
        </w:rPr>
        <w:t>последующих</w:t>
      </w:r>
      <w:r>
        <w:rPr>
          <w:lang w:val="ru-RU"/>
        </w:rPr>
        <w:t xml:space="preserve"> двухлетн</w:t>
      </w:r>
      <w:r w:rsidR="006C4248">
        <w:rPr>
          <w:lang w:val="ru-RU"/>
        </w:rPr>
        <w:t>их</w:t>
      </w:r>
      <w:r>
        <w:rPr>
          <w:lang w:val="ru-RU"/>
        </w:rPr>
        <w:t xml:space="preserve"> период</w:t>
      </w:r>
      <w:r w:rsidR="006C4248">
        <w:rPr>
          <w:lang w:val="ru-RU"/>
        </w:rPr>
        <w:t>ов</w:t>
      </w:r>
      <w:r>
        <w:rPr>
          <w:lang w:val="ru-RU"/>
        </w:rPr>
        <w:t xml:space="preserve">.  Подробное описание всех предлагаемых проектов, которые будут финансироваться за счет резервов, содержится в приложениях </w:t>
      </w:r>
      <w:r>
        <w:t>II</w:t>
      </w:r>
      <w:r w:rsidRPr="00DC47A6">
        <w:rPr>
          <w:lang w:val="ru-RU"/>
        </w:rPr>
        <w:t>-</w:t>
      </w:r>
      <w:r>
        <w:t>VII</w:t>
      </w:r>
      <w:r>
        <w:rPr>
          <w:lang w:val="ru-RU"/>
        </w:rPr>
        <w:t>.</w:t>
      </w:r>
    </w:p>
    <w:p w:rsidR="00D46C10" w:rsidRDefault="00D46C10">
      <w:pPr>
        <w:rPr>
          <w:bCs/>
          <w:i/>
          <w:caps/>
          <w:kern w:val="32"/>
          <w:szCs w:val="32"/>
          <w:lang w:val="ru-RU"/>
        </w:rPr>
      </w:pPr>
    </w:p>
    <w:p w:rsidR="002524B5" w:rsidRDefault="002524B5">
      <w:pPr>
        <w:rPr>
          <w:bCs/>
          <w:i/>
          <w:iCs/>
          <w:caps/>
          <w:szCs w:val="28"/>
          <w:lang w:val="ru-RU"/>
        </w:rPr>
      </w:pPr>
      <w:r>
        <w:rPr>
          <w:i/>
          <w:lang w:val="ru-RU"/>
        </w:rPr>
        <w:br w:type="page"/>
      </w:r>
    </w:p>
    <w:p w:rsidR="00D46C10" w:rsidRPr="00D46C10" w:rsidRDefault="00D46C10" w:rsidP="00D46C10">
      <w:pPr>
        <w:pStyle w:val="Heading2"/>
        <w:rPr>
          <w:i/>
        </w:rPr>
      </w:pPr>
      <w:r w:rsidRPr="00D46C10">
        <w:rPr>
          <w:i/>
          <w:lang w:val="ru-RU"/>
        </w:rPr>
        <w:lastRenderedPageBreak/>
        <w:t>положение с использованием резервов</w:t>
      </w:r>
    </w:p>
    <w:p w:rsidR="008F4D76" w:rsidRDefault="008F4D76" w:rsidP="00251C01">
      <w:pPr>
        <w:jc w:val="both"/>
        <w:rPr>
          <w:b/>
        </w:rPr>
      </w:pPr>
    </w:p>
    <w:p w:rsidR="003C5D25" w:rsidRPr="003C5D25" w:rsidRDefault="00D46C10" w:rsidP="00D46C10">
      <w:pPr>
        <w:numPr>
          <w:ilvl w:val="0"/>
          <w:numId w:val="31"/>
        </w:numPr>
        <w:tabs>
          <w:tab w:val="left" w:pos="567"/>
          <w:tab w:val="left" w:pos="5670"/>
        </w:tabs>
        <w:spacing w:after="220"/>
        <w:ind w:left="0" w:firstLine="0"/>
        <w:contextualSpacing/>
        <w:rPr>
          <w:lang w:val="ru-RU"/>
        </w:rPr>
      </w:pPr>
      <w:r w:rsidRPr="00F737AB">
        <w:rPr>
          <w:lang w:val="ru-RU"/>
        </w:rPr>
        <w:t>Первый</w:t>
      </w:r>
      <w:r w:rsidRPr="009A588D">
        <w:rPr>
          <w:lang w:val="ru-RU"/>
        </w:rPr>
        <w:t xml:space="preserve"> </w:t>
      </w:r>
      <w:r w:rsidRPr="00F737AB">
        <w:rPr>
          <w:lang w:val="ru-RU"/>
        </w:rPr>
        <w:t>принцип</w:t>
      </w:r>
      <w:r w:rsidRPr="009A588D">
        <w:rPr>
          <w:lang w:val="ru-RU"/>
        </w:rPr>
        <w:t xml:space="preserve"> (</w:t>
      </w:r>
      <w:r w:rsidRPr="00F737AB">
        <w:rPr>
          <w:lang w:val="ru-RU"/>
        </w:rPr>
        <w:t>принцип</w:t>
      </w:r>
      <w:r w:rsidRPr="009A588D">
        <w:rPr>
          <w:lang w:val="ru-RU"/>
        </w:rPr>
        <w:t xml:space="preserve"> 1) </w:t>
      </w:r>
      <w:r w:rsidRPr="00F737AB">
        <w:rPr>
          <w:lang w:val="ru-RU"/>
        </w:rPr>
        <w:t>использования</w:t>
      </w:r>
      <w:r w:rsidRPr="009A588D">
        <w:rPr>
          <w:lang w:val="ru-RU"/>
        </w:rPr>
        <w:t xml:space="preserve"> </w:t>
      </w:r>
      <w:r w:rsidRPr="00F737AB">
        <w:rPr>
          <w:lang w:val="ru-RU"/>
        </w:rPr>
        <w:t>резервов</w:t>
      </w:r>
      <w:r w:rsidRPr="009A588D">
        <w:rPr>
          <w:lang w:val="ru-RU"/>
        </w:rPr>
        <w:t xml:space="preserve"> </w:t>
      </w:r>
      <w:r w:rsidRPr="00F737AB">
        <w:rPr>
          <w:lang w:val="ru-RU"/>
        </w:rPr>
        <w:t>касается</w:t>
      </w:r>
      <w:r w:rsidRPr="009A588D">
        <w:rPr>
          <w:lang w:val="ru-RU"/>
        </w:rPr>
        <w:t xml:space="preserve"> </w:t>
      </w:r>
      <w:r w:rsidRPr="00F737AB">
        <w:rPr>
          <w:lang w:val="ru-RU"/>
        </w:rPr>
        <w:t>наличия</w:t>
      </w:r>
      <w:r w:rsidRPr="009A588D">
        <w:rPr>
          <w:lang w:val="ru-RU"/>
        </w:rPr>
        <w:t xml:space="preserve"> </w:t>
      </w:r>
      <w:r w:rsidRPr="00F737AB">
        <w:rPr>
          <w:lang w:val="ru-RU"/>
        </w:rPr>
        <w:t>средств</w:t>
      </w:r>
      <w:r w:rsidRPr="009A588D">
        <w:rPr>
          <w:lang w:val="ru-RU"/>
        </w:rPr>
        <w:t xml:space="preserve"> </w:t>
      </w:r>
      <w:r w:rsidRPr="00F737AB">
        <w:rPr>
          <w:lang w:val="ru-RU"/>
        </w:rPr>
        <w:t>в</w:t>
      </w:r>
      <w:r w:rsidRPr="009A588D">
        <w:rPr>
          <w:lang w:val="ru-RU"/>
        </w:rPr>
        <w:t xml:space="preserve"> </w:t>
      </w:r>
      <w:r w:rsidRPr="00F737AB">
        <w:rPr>
          <w:lang w:val="ru-RU"/>
        </w:rPr>
        <w:t>размере</w:t>
      </w:r>
      <w:r w:rsidRPr="009A588D">
        <w:rPr>
          <w:lang w:val="ru-RU"/>
        </w:rPr>
        <w:t xml:space="preserve">, </w:t>
      </w:r>
      <w:r w:rsidRPr="00F737AB">
        <w:rPr>
          <w:lang w:val="ru-RU"/>
        </w:rPr>
        <w:t>превышающем</w:t>
      </w:r>
      <w:r w:rsidRPr="009A588D">
        <w:rPr>
          <w:lang w:val="ru-RU"/>
        </w:rPr>
        <w:t xml:space="preserve"> </w:t>
      </w:r>
      <w:r w:rsidRPr="00F737AB">
        <w:rPr>
          <w:lang w:val="ru-RU"/>
        </w:rPr>
        <w:t>целевой</w:t>
      </w:r>
      <w:r w:rsidRPr="009A588D">
        <w:rPr>
          <w:lang w:val="ru-RU"/>
        </w:rPr>
        <w:t xml:space="preserve"> </w:t>
      </w:r>
      <w:r w:rsidRPr="00F737AB">
        <w:rPr>
          <w:lang w:val="ru-RU"/>
        </w:rPr>
        <w:t>уровень</w:t>
      </w:r>
      <w:r w:rsidRPr="009A588D">
        <w:rPr>
          <w:lang w:val="ru-RU"/>
        </w:rPr>
        <w:t xml:space="preserve"> </w:t>
      </w:r>
      <w:r w:rsidRPr="00F737AB">
        <w:rPr>
          <w:lang w:val="ru-RU"/>
        </w:rPr>
        <w:t>резервов</w:t>
      </w:r>
      <w:r w:rsidRPr="009A588D">
        <w:rPr>
          <w:lang w:val="ru-RU"/>
        </w:rPr>
        <w:t xml:space="preserve">.  </w:t>
      </w:r>
      <w:r w:rsidRPr="00F737AB">
        <w:rPr>
          <w:lang w:val="ru-RU"/>
        </w:rPr>
        <w:t xml:space="preserve">Согласно имеющимся оценкам остаток средств по статье резервов сверх установленного целевого уровня резервов и </w:t>
      </w:r>
      <w:r w:rsidR="00F737AB" w:rsidRPr="00F737AB">
        <w:rPr>
          <w:lang w:val="ru-RU"/>
        </w:rPr>
        <w:t>резервного фонда специальных проектов составит</w:t>
      </w:r>
      <w:r w:rsidRPr="00F737AB">
        <w:rPr>
          <w:lang w:val="ru-RU"/>
        </w:rPr>
        <w:t xml:space="preserve">  на конец 2017 г.</w:t>
      </w:r>
      <w:r w:rsidR="00F737AB" w:rsidRPr="00F737AB">
        <w:rPr>
          <w:lang w:val="ru-RU"/>
        </w:rPr>
        <w:t xml:space="preserve"> 89,1 млн шв. франков</w:t>
      </w:r>
      <w:r w:rsidR="00CA458E" w:rsidRPr="00CA6F47">
        <w:rPr>
          <w:vertAlign w:val="superscript"/>
        </w:rPr>
        <w:footnoteReference w:id="3"/>
      </w:r>
      <w:r w:rsidR="00CA458E" w:rsidRPr="00F737AB">
        <w:rPr>
          <w:lang w:val="ru-RU"/>
        </w:rPr>
        <w:t>.</w:t>
      </w:r>
      <w:r w:rsidR="003C5D25">
        <w:rPr>
          <w:lang w:val="ru-RU"/>
        </w:rPr>
        <w:t xml:space="preserve">  По соображения осмотрительности при подсчете имеющихся резервов не учитываются: </w:t>
      </w:r>
      <w:r w:rsidR="003C5D25" w:rsidRPr="003C5D25">
        <w:rPr>
          <w:lang w:val="ru-RU"/>
        </w:rPr>
        <w:t>(</w:t>
      </w:r>
      <w:r w:rsidR="003C5D25">
        <w:t>i</w:t>
      </w:r>
      <w:r w:rsidR="003C5D25" w:rsidRPr="003C5D25">
        <w:rPr>
          <w:lang w:val="ru-RU"/>
        </w:rPr>
        <w:t>)</w:t>
      </w:r>
      <w:r w:rsidR="003C5D25">
        <w:rPr>
          <w:lang w:val="ru-RU"/>
        </w:rPr>
        <w:t xml:space="preserve"> средства </w:t>
      </w:r>
      <w:r w:rsidR="003C5D25" w:rsidRPr="003C5D25">
        <w:rPr>
          <w:lang w:val="ru-RU"/>
        </w:rPr>
        <w:t>фонда оборотных средств</w:t>
      </w:r>
      <w:r w:rsidR="003C5D25">
        <w:rPr>
          <w:lang w:val="ru-RU"/>
        </w:rPr>
        <w:t xml:space="preserve"> и сумма </w:t>
      </w:r>
      <w:r w:rsidR="003C5D25" w:rsidRPr="003C5D25">
        <w:rPr>
          <w:lang w:val="ru-RU"/>
        </w:rPr>
        <w:t>профицита резерва для переоценки стоимости</w:t>
      </w:r>
      <w:r w:rsidR="003C5D25">
        <w:rPr>
          <w:lang w:val="ru-RU"/>
        </w:rPr>
        <w:t xml:space="preserve"> (в соответствии с принципом 2 п</w:t>
      </w:r>
      <w:r w:rsidR="003C5D25" w:rsidRPr="003C5D25">
        <w:rPr>
          <w:lang w:val="ru-RU"/>
        </w:rPr>
        <w:t>ересмотренной политик</w:t>
      </w:r>
      <w:r w:rsidR="003C5D25">
        <w:rPr>
          <w:lang w:val="ru-RU"/>
        </w:rPr>
        <w:t>и</w:t>
      </w:r>
      <w:r w:rsidR="003C5D25" w:rsidRPr="003C5D25">
        <w:rPr>
          <w:lang w:val="ru-RU"/>
        </w:rPr>
        <w:t xml:space="preserve"> в отношении резервов</w:t>
      </w:r>
      <w:r w:rsidR="003C5D25">
        <w:rPr>
          <w:lang w:val="ru-RU"/>
        </w:rPr>
        <w:t xml:space="preserve">) и </w:t>
      </w:r>
      <w:r w:rsidR="003C5D25" w:rsidRPr="003C5D25">
        <w:rPr>
          <w:lang w:val="ru-RU"/>
        </w:rPr>
        <w:t>(</w:t>
      </w:r>
      <w:r w:rsidR="003C5D25">
        <w:t>ii</w:t>
      </w:r>
      <w:r w:rsidR="003C5D25" w:rsidRPr="003C5D25">
        <w:rPr>
          <w:lang w:val="ru-RU"/>
        </w:rPr>
        <w:t>)</w:t>
      </w:r>
      <w:r w:rsidR="00666C23">
        <w:rPr>
          <w:lang w:val="ru-RU"/>
        </w:rPr>
        <w:t xml:space="preserve"> </w:t>
      </w:r>
      <w:r w:rsidR="00666C23" w:rsidRPr="00666C23">
        <w:rPr>
          <w:lang w:val="ru-RU"/>
        </w:rPr>
        <w:t xml:space="preserve">предполагаемая величина общего итога за вычетом расходов за счет резервных средств </w:t>
      </w:r>
      <w:r w:rsidR="00ED3F0D">
        <w:rPr>
          <w:lang w:val="ru-RU"/>
        </w:rPr>
        <w:t>в</w:t>
      </w:r>
      <w:r w:rsidR="00666C23" w:rsidRPr="00666C23">
        <w:rPr>
          <w:lang w:val="ru-RU"/>
        </w:rPr>
        <w:t xml:space="preserve"> 2017 г.</w:t>
      </w:r>
      <w:r w:rsidR="003C5D25">
        <w:rPr>
          <w:lang w:val="ru-RU"/>
        </w:rPr>
        <w:t xml:space="preserve">  </w:t>
      </w:r>
      <w:r w:rsidR="003C5D25" w:rsidRPr="003C5D25">
        <w:rPr>
          <w:lang w:val="ru-RU"/>
        </w:rPr>
        <w:t xml:space="preserve"> </w:t>
      </w:r>
      <w:r w:rsidR="003C5D25">
        <w:rPr>
          <w:lang w:val="ru-RU"/>
        </w:rPr>
        <w:t xml:space="preserve">  </w:t>
      </w:r>
      <w:r w:rsidR="00CA458E" w:rsidRPr="00F737AB">
        <w:rPr>
          <w:lang w:val="ru-RU"/>
        </w:rPr>
        <w:t xml:space="preserve"> </w:t>
      </w:r>
      <w:r w:rsidR="00401C27" w:rsidRPr="00F737AB">
        <w:rPr>
          <w:lang w:val="ru-RU"/>
        </w:rPr>
        <w:t xml:space="preserve"> </w:t>
      </w:r>
    </w:p>
    <w:p w:rsidR="008F4D76" w:rsidRPr="009A588D" w:rsidRDefault="008F4D76" w:rsidP="003C5D25">
      <w:pPr>
        <w:tabs>
          <w:tab w:val="left" w:pos="567"/>
          <w:tab w:val="left" w:pos="5670"/>
        </w:tabs>
        <w:spacing w:after="220"/>
        <w:contextualSpacing/>
        <w:rPr>
          <w:lang w:val="ru-RU"/>
        </w:rPr>
      </w:pPr>
    </w:p>
    <w:p w:rsidR="00CA458E" w:rsidRPr="009A588D" w:rsidRDefault="00CA458E" w:rsidP="008F4D76">
      <w:pPr>
        <w:rPr>
          <w:lang w:val="ru-RU"/>
        </w:rPr>
      </w:pPr>
    </w:p>
    <w:tbl>
      <w:tblPr>
        <w:tblW w:w="8612" w:type="dxa"/>
        <w:jc w:val="center"/>
        <w:tblInd w:w="-828" w:type="dxa"/>
        <w:tblLook w:val="04A0" w:firstRow="1" w:lastRow="0" w:firstColumn="1" w:lastColumn="0" w:noHBand="0" w:noVBand="1"/>
      </w:tblPr>
      <w:tblGrid>
        <w:gridCol w:w="7448"/>
        <w:gridCol w:w="1164"/>
      </w:tblGrid>
      <w:tr w:rsidR="00C3752C" w:rsidRPr="00F613CD" w:rsidTr="00625F97">
        <w:trPr>
          <w:trHeight w:val="510"/>
          <w:jc w:val="center"/>
        </w:trPr>
        <w:tc>
          <w:tcPr>
            <w:tcW w:w="8612" w:type="dxa"/>
            <w:gridSpan w:val="2"/>
            <w:tcBorders>
              <w:top w:val="nil"/>
            </w:tcBorders>
            <w:shd w:val="clear" w:color="000000" w:fill="C6D9F1" w:themeFill="text2" w:themeFillTint="33"/>
            <w:noWrap/>
            <w:vAlign w:val="bottom"/>
            <w:hideMark/>
          </w:tcPr>
          <w:p w:rsidR="00C3752C" w:rsidRPr="009F39B7" w:rsidRDefault="00C3752C" w:rsidP="00C3752C">
            <w:pPr>
              <w:jc w:val="center"/>
              <w:rPr>
                <w:lang w:val="ru-RU"/>
              </w:rPr>
            </w:pPr>
            <w:r w:rsidRPr="00F613CD">
              <w:rPr>
                <w:rFonts w:eastAsia="Times New Roman"/>
                <w:color w:val="000000"/>
                <w:sz w:val="18"/>
                <w:szCs w:val="18"/>
                <w:lang w:eastAsia="en-US"/>
              </w:rPr>
              <w:t> </w:t>
            </w:r>
            <w:r w:rsidR="009F39B7">
              <w:rPr>
                <w:lang w:val="ru-RU"/>
              </w:rPr>
              <w:t>Таблица</w:t>
            </w:r>
            <w:r w:rsidRPr="009F39B7">
              <w:rPr>
                <w:lang w:val="ru-RU"/>
              </w:rPr>
              <w:t xml:space="preserve"> </w:t>
            </w:r>
            <w:r w:rsidR="00384DB6" w:rsidRPr="009F39B7">
              <w:rPr>
                <w:lang w:val="ru-RU"/>
              </w:rPr>
              <w:t>4</w:t>
            </w:r>
            <w:r w:rsidRPr="009F39B7">
              <w:rPr>
                <w:lang w:val="ru-RU"/>
              </w:rPr>
              <w:t xml:space="preserve">: </w:t>
            </w:r>
            <w:r w:rsidR="009F39B7">
              <w:rPr>
                <w:lang w:val="ru-RU"/>
              </w:rPr>
              <w:t>Оценка состояния резервов на конец 2017 г.</w:t>
            </w:r>
            <w:r w:rsidRPr="009F39B7">
              <w:rPr>
                <w:lang w:val="ru-RU"/>
              </w:rPr>
              <w:t xml:space="preserve"> </w:t>
            </w:r>
          </w:p>
          <w:tbl>
            <w:tblPr>
              <w:tblW w:w="6419" w:type="dxa"/>
              <w:jc w:val="center"/>
              <w:tblLook w:val="04A0" w:firstRow="1" w:lastRow="0" w:firstColumn="1" w:lastColumn="0" w:noHBand="0" w:noVBand="1"/>
            </w:tblPr>
            <w:tblGrid>
              <w:gridCol w:w="6419"/>
            </w:tblGrid>
            <w:tr w:rsidR="00C3752C" w:rsidRPr="00F613CD" w:rsidTr="00AD6D24">
              <w:trPr>
                <w:trHeight w:val="255"/>
                <w:jc w:val="center"/>
              </w:trPr>
              <w:tc>
                <w:tcPr>
                  <w:tcW w:w="6419" w:type="dxa"/>
                  <w:tcBorders>
                    <w:top w:val="nil"/>
                    <w:left w:val="nil"/>
                    <w:right w:val="nil"/>
                  </w:tcBorders>
                  <w:shd w:val="clear" w:color="auto" w:fill="auto"/>
                  <w:noWrap/>
                  <w:vAlign w:val="bottom"/>
                  <w:hideMark/>
                </w:tcPr>
                <w:p w:rsidR="00C3752C" w:rsidRPr="00942303" w:rsidRDefault="00C3752C" w:rsidP="009F39B7">
                  <w:pPr>
                    <w:jc w:val="center"/>
                    <w:rPr>
                      <w:rFonts w:eastAsia="Times New Roman"/>
                      <w:i/>
                      <w:color w:val="000000"/>
                      <w:sz w:val="18"/>
                      <w:szCs w:val="18"/>
                      <w:lang w:eastAsia="en-US"/>
                    </w:rPr>
                  </w:pPr>
                  <w:r w:rsidRPr="00942303">
                    <w:rPr>
                      <w:rFonts w:eastAsia="Times New Roman"/>
                      <w:i/>
                      <w:color w:val="000000"/>
                      <w:sz w:val="18"/>
                      <w:szCs w:val="18"/>
                      <w:lang w:eastAsia="en-US"/>
                    </w:rPr>
                    <w:t>(</w:t>
                  </w:r>
                  <w:r w:rsidR="009F39B7" w:rsidRPr="009F39B7">
                    <w:rPr>
                      <w:rFonts w:eastAsia="Times New Roman"/>
                      <w:i/>
                      <w:color w:val="000000"/>
                      <w:sz w:val="18"/>
                      <w:szCs w:val="18"/>
                      <w:lang w:val="ru-RU" w:eastAsia="en-US"/>
                    </w:rPr>
                    <w:t>в</w:t>
                  </w:r>
                  <w:r w:rsidR="009F39B7" w:rsidRPr="009F39B7">
                    <w:rPr>
                      <w:rFonts w:eastAsia="Times New Roman"/>
                      <w:i/>
                      <w:color w:val="000000"/>
                      <w:sz w:val="18"/>
                      <w:szCs w:val="18"/>
                      <w:lang w:eastAsia="en-US"/>
                    </w:rPr>
                    <w:t xml:space="preserve"> </w:t>
                  </w:r>
                  <w:r w:rsidR="009F39B7">
                    <w:rPr>
                      <w:rFonts w:eastAsia="Times New Roman"/>
                      <w:i/>
                      <w:color w:val="000000"/>
                      <w:sz w:val="18"/>
                      <w:szCs w:val="18"/>
                      <w:lang w:val="ru-RU" w:eastAsia="en-US"/>
                    </w:rPr>
                    <w:t>млн</w:t>
                  </w:r>
                  <w:r w:rsidR="009F39B7" w:rsidRPr="009F39B7">
                    <w:rPr>
                      <w:rFonts w:eastAsia="Times New Roman"/>
                      <w:i/>
                      <w:color w:val="000000"/>
                      <w:sz w:val="18"/>
                      <w:szCs w:val="18"/>
                      <w:lang w:eastAsia="en-US"/>
                    </w:rPr>
                    <w:t xml:space="preserve"> </w:t>
                  </w:r>
                  <w:r w:rsidR="009F39B7" w:rsidRPr="009F39B7">
                    <w:rPr>
                      <w:rFonts w:eastAsia="Times New Roman"/>
                      <w:i/>
                      <w:color w:val="000000"/>
                      <w:sz w:val="18"/>
                      <w:szCs w:val="18"/>
                      <w:lang w:val="ru-RU" w:eastAsia="en-US"/>
                    </w:rPr>
                    <w:t>шв</w:t>
                  </w:r>
                  <w:r w:rsidR="009F39B7" w:rsidRPr="009F39B7">
                    <w:rPr>
                      <w:rFonts w:eastAsia="Times New Roman"/>
                      <w:i/>
                      <w:color w:val="000000"/>
                      <w:sz w:val="18"/>
                      <w:szCs w:val="18"/>
                      <w:lang w:eastAsia="en-US"/>
                    </w:rPr>
                    <w:t xml:space="preserve">. </w:t>
                  </w:r>
                  <w:r w:rsidR="009F39B7" w:rsidRPr="009F39B7">
                    <w:rPr>
                      <w:rFonts w:eastAsia="Times New Roman"/>
                      <w:i/>
                      <w:color w:val="000000"/>
                      <w:sz w:val="18"/>
                      <w:szCs w:val="18"/>
                      <w:lang w:val="ru-RU" w:eastAsia="en-US"/>
                    </w:rPr>
                    <w:t>франков</w:t>
                  </w:r>
                  <w:r w:rsidRPr="00942303">
                    <w:rPr>
                      <w:rFonts w:eastAsia="Times New Roman"/>
                      <w:i/>
                      <w:color w:val="000000"/>
                      <w:sz w:val="18"/>
                      <w:szCs w:val="18"/>
                      <w:lang w:eastAsia="en-US"/>
                    </w:rPr>
                    <w:t>)</w:t>
                  </w:r>
                </w:p>
              </w:tc>
            </w:tr>
          </w:tbl>
          <w:p w:rsidR="00C3752C" w:rsidRPr="00C3752C" w:rsidRDefault="00C3752C" w:rsidP="008F4D76">
            <w:pPr>
              <w:jc w:val="center"/>
              <w:rPr>
                <w:rFonts w:eastAsia="Times New Roman"/>
                <w:b/>
                <w:color w:val="000000"/>
                <w:sz w:val="18"/>
                <w:szCs w:val="18"/>
                <w:lang w:eastAsia="en-US"/>
              </w:rPr>
            </w:pPr>
          </w:p>
        </w:tc>
      </w:tr>
      <w:tr w:rsidR="008F4D76" w:rsidRPr="00F613CD" w:rsidTr="00A30BF2">
        <w:trPr>
          <w:trHeight w:val="85"/>
          <w:jc w:val="center"/>
        </w:trPr>
        <w:tc>
          <w:tcPr>
            <w:tcW w:w="7448" w:type="dxa"/>
            <w:tcBorders>
              <w:top w:val="nil"/>
              <w:left w:val="nil"/>
              <w:bottom w:val="single" w:sz="4" w:space="0" w:color="BFBFBF" w:themeColor="background1" w:themeShade="BF"/>
              <w:right w:val="nil"/>
            </w:tcBorders>
            <w:shd w:val="clear" w:color="auto" w:fill="auto"/>
            <w:noWrap/>
            <w:vAlign w:val="bottom"/>
            <w:hideMark/>
          </w:tcPr>
          <w:p w:rsidR="008F4D76" w:rsidRPr="00F613CD" w:rsidRDefault="008F4D76" w:rsidP="008F4D76">
            <w:pPr>
              <w:rPr>
                <w:rFonts w:eastAsia="Times New Roman"/>
                <w:color w:val="000000"/>
                <w:sz w:val="18"/>
                <w:szCs w:val="18"/>
                <w:lang w:eastAsia="en-US"/>
              </w:rPr>
            </w:pPr>
          </w:p>
        </w:tc>
        <w:tc>
          <w:tcPr>
            <w:tcW w:w="1164" w:type="dxa"/>
            <w:tcBorders>
              <w:top w:val="nil"/>
              <w:left w:val="nil"/>
              <w:bottom w:val="single" w:sz="4" w:space="0" w:color="BFBFBF" w:themeColor="background1" w:themeShade="BF"/>
              <w:right w:val="nil"/>
            </w:tcBorders>
            <w:shd w:val="clear" w:color="auto" w:fill="auto"/>
            <w:noWrap/>
            <w:vAlign w:val="bottom"/>
            <w:hideMark/>
          </w:tcPr>
          <w:p w:rsidR="008F4D76" w:rsidRPr="00F613CD" w:rsidRDefault="008F4D76" w:rsidP="008F4D76">
            <w:pPr>
              <w:jc w:val="right"/>
              <w:rPr>
                <w:rFonts w:eastAsia="Times New Roman"/>
                <w:color w:val="000000"/>
                <w:sz w:val="18"/>
                <w:szCs w:val="18"/>
                <w:lang w:eastAsia="en-US"/>
              </w:rPr>
            </w:pPr>
          </w:p>
        </w:tc>
      </w:tr>
      <w:tr w:rsidR="00CA6F47" w:rsidRPr="00F613CD" w:rsidTr="00A30BF2">
        <w:trPr>
          <w:trHeight w:val="255"/>
          <w:jc w:val="center"/>
        </w:trPr>
        <w:tc>
          <w:tcPr>
            <w:tcW w:w="7448" w:type="dxa"/>
            <w:tcBorders>
              <w:top w:val="single" w:sz="4" w:space="0" w:color="BFBFBF" w:themeColor="background1" w:themeShade="BF"/>
              <w:left w:val="single" w:sz="4" w:space="0" w:color="BFBFBF" w:themeColor="background1" w:themeShade="BF"/>
            </w:tcBorders>
            <w:shd w:val="clear" w:color="auto" w:fill="auto"/>
            <w:noWrap/>
            <w:vAlign w:val="bottom"/>
          </w:tcPr>
          <w:p w:rsidR="00CA6F47" w:rsidRPr="0086217A" w:rsidRDefault="0086217A" w:rsidP="0086217A">
            <w:pPr>
              <w:rPr>
                <w:rFonts w:eastAsia="Times New Roman"/>
                <w:color w:val="000000"/>
                <w:sz w:val="18"/>
                <w:szCs w:val="18"/>
                <w:lang w:val="ru-RU" w:eastAsia="en-US"/>
              </w:rPr>
            </w:pPr>
            <w:r>
              <w:rPr>
                <w:rFonts w:eastAsia="Times New Roman"/>
                <w:color w:val="000000"/>
                <w:sz w:val="18"/>
                <w:szCs w:val="18"/>
                <w:lang w:val="ru-RU" w:eastAsia="en-US"/>
              </w:rPr>
              <w:t>Общая сумма резервов</w:t>
            </w:r>
            <w:r w:rsidR="00CA6F47" w:rsidRPr="0086217A">
              <w:rPr>
                <w:rFonts w:eastAsia="Times New Roman"/>
                <w:color w:val="000000"/>
                <w:sz w:val="18"/>
                <w:szCs w:val="18"/>
                <w:lang w:val="ru-RU" w:eastAsia="en-US"/>
              </w:rPr>
              <w:t>*</w:t>
            </w:r>
            <w:r>
              <w:rPr>
                <w:rFonts w:eastAsia="Times New Roman"/>
                <w:color w:val="000000"/>
                <w:sz w:val="18"/>
                <w:szCs w:val="18"/>
                <w:lang w:val="ru-RU" w:eastAsia="en-US"/>
              </w:rPr>
              <w:t>, остаток на</w:t>
            </w:r>
            <w:r w:rsidR="00CA6F47" w:rsidRPr="0086217A">
              <w:rPr>
                <w:rFonts w:eastAsia="Times New Roman"/>
                <w:color w:val="000000"/>
                <w:sz w:val="18"/>
                <w:szCs w:val="18"/>
                <w:lang w:val="ru-RU" w:eastAsia="en-US"/>
              </w:rPr>
              <w:t xml:space="preserve"> </w:t>
            </w:r>
            <w:r w:rsidR="00273294" w:rsidRPr="0086217A">
              <w:rPr>
                <w:rFonts w:eastAsia="Times New Roman"/>
                <w:color w:val="000000"/>
                <w:sz w:val="18"/>
                <w:szCs w:val="18"/>
                <w:lang w:val="ru-RU" w:eastAsia="en-US"/>
              </w:rPr>
              <w:t>31</w:t>
            </w:r>
            <w:r w:rsidR="00CA6F47" w:rsidRPr="0086217A">
              <w:rPr>
                <w:rFonts w:eastAsia="Times New Roman"/>
                <w:color w:val="000000"/>
                <w:sz w:val="18"/>
                <w:szCs w:val="18"/>
                <w:lang w:val="ru-RU" w:eastAsia="en-US"/>
              </w:rPr>
              <w:t>.</w:t>
            </w:r>
            <w:r w:rsidR="00273294" w:rsidRPr="0086217A">
              <w:rPr>
                <w:rFonts w:eastAsia="Times New Roman"/>
                <w:color w:val="000000"/>
                <w:sz w:val="18"/>
                <w:szCs w:val="18"/>
                <w:lang w:val="ru-RU" w:eastAsia="en-US"/>
              </w:rPr>
              <w:t>12</w:t>
            </w:r>
            <w:r w:rsidR="00CA6F47" w:rsidRPr="0086217A">
              <w:rPr>
                <w:rFonts w:eastAsia="Times New Roman"/>
                <w:color w:val="000000"/>
                <w:sz w:val="18"/>
                <w:szCs w:val="18"/>
                <w:lang w:val="ru-RU" w:eastAsia="en-US"/>
              </w:rPr>
              <w:t>.16</w:t>
            </w:r>
            <w:r>
              <w:rPr>
                <w:rFonts w:eastAsia="Times New Roman"/>
                <w:color w:val="000000"/>
                <w:sz w:val="18"/>
                <w:szCs w:val="18"/>
                <w:lang w:val="ru-RU" w:eastAsia="en-US"/>
              </w:rPr>
              <w:t xml:space="preserve"> г.</w:t>
            </w:r>
          </w:p>
        </w:tc>
        <w:tc>
          <w:tcPr>
            <w:tcW w:w="1164" w:type="dxa"/>
            <w:tcBorders>
              <w:top w:val="single" w:sz="4" w:space="0" w:color="BFBFBF" w:themeColor="background1" w:themeShade="BF"/>
              <w:right w:val="single" w:sz="4" w:space="0" w:color="BFBFBF" w:themeColor="background1" w:themeShade="BF"/>
            </w:tcBorders>
            <w:shd w:val="clear" w:color="auto" w:fill="auto"/>
            <w:noWrap/>
            <w:vAlign w:val="bottom"/>
          </w:tcPr>
          <w:p w:rsidR="00CA6F47" w:rsidRPr="00F613CD" w:rsidRDefault="00CA6F47" w:rsidP="00CA6F47">
            <w:pPr>
              <w:jc w:val="right"/>
              <w:rPr>
                <w:rFonts w:eastAsia="Times New Roman"/>
                <w:color w:val="000000"/>
                <w:sz w:val="18"/>
                <w:szCs w:val="18"/>
                <w:lang w:eastAsia="en-US"/>
              </w:rPr>
            </w:pPr>
            <w:r w:rsidRPr="00F613CD">
              <w:rPr>
                <w:rFonts w:eastAsia="Times New Roman"/>
                <w:color w:val="000000"/>
                <w:sz w:val="18"/>
                <w:szCs w:val="18"/>
                <w:lang w:eastAsia="en-US"/>
              </w:rPr>
              <w:t>287</w:t>
            </w:r>
            <w:r w:rsidR="0086217A">
              <w:rPr>
                <w:rFonts w:eastAsia="Times New Roman"/>
                <w:color w:val="000000"/>
                <w:sz w:val="18"/>
                <w:szCs w:val="18"/>
                <w:lang w:eastAsia="en-US"/>
              </w:rPr>
              <w:t>,</w:t>
            </w:r>
            <w:r w:rsidRPr="00F613CD">
              <w:rPr>
                <w:rFonts w:eastAsia="Times New Roman"/>
                <w:color w:val="000000"/>
                <w:sz w:val="18"/>
                <w:szCs w:val="18"/>
                <w:lang w:eastAsia="en-US"/>
              </w:rPr>
              <w:t>7</w:t>
            </w:r>
          </w:p>
        </w:tc>
      </w:tr>
      <w:tr w:rsidR="00CA6F47" w:rsidRPr="00F613CD" w:rsidTr="00625F97">
        <w:trPr>
          <w:trHeight w:val="255"/>
          <w:jc w:val="center"/>
        </w:trPr>
        <w:tc>
          <w:tcPr>
            <w:tcW w:w="7448" w:type="dxa"/>
            <w:tcBorders>
              <w:left w:val="single" w:sz="4" w:space="0" w:color="BFBFBF" w:themeColor="background1" w:themeShade="BF"/>
            </w:tcBorders>
            <w:shd w:val="clear" w:color="auto" w:fill="auto"/>
            <w:noWrap/>
            <w:vAlign w:val="bottom"/>
            <w:hideMark/>
          </w:tcPr>
          <w:p w:rsidR="00CA6F47" w:rsidRPr="0086217A" w:rsidRDefault="00CA6F47" w:rsidP="008F4D76">
            <w:pPr>
              <w:rPr>
                <w:rFonts w:eastAsia="Times New Roman"/>
                <w:i/>
                <w:color w:val="000000"/>
                <w:sz w:val="12"/>
                <w:szCs w:val="12"/>
                <w:lang w:val="ru-RU" w:eastAsia="en-US"/>
              </w:rPr>
            </w:pPr>
          </w:p>
          <w:p w:rsidR="00CA6F47" w:rsidRPr="0086217A" w:rsidRDefault="0086217A" w:rsidP="008F4D76">
            <w:pPr>
              <w:rPr>
                <w:rFonts w:eastAsia="Times New Roman"/>
                <w:color w:val="000000"/>
                <w:sz w:val="18"/>
                <w:szCs w:val="18"/>
                <w:lang w:val="ru-RU" w:eastAsia="en-US"/>
              </w:rPr>
            </w:pPr>
            <w:r>
              <w:rPr>
                <w:rFonts w:eastAsia="Times New Roman"/>
                <w:i/>
                <w:color w:val="000000"/>
                <w:sz w:val="18"/>
                <w:szCs w:val="18"/>
                <w:lang w:val="ru-RU" w:eastAsia="en-US"/>
              </w:rPr>
              <w:t>В том числе</w:t>
            </w:r>
            <w:r w:rsidR="00CA6F47" w:rsidRPr="0086217A">
              <w:rPr>
                <w:rFonts w:eastAsia="Times New Roman"/>
                <w:color w:val="000000"/>
                <w:sz w:val="18"/>
                <w:szCs w:val="18"/>
                <w:lang w:val="ru-RU" w:eastAsia="en-US"/>
              </w:rPr>
              <w:t>:</w:t>
            </w:r>
          </w:p>
          <w:p w:rsidR="00CA6F47" w:rsidRPr="0086217A" w:rsidRDefault="00CA6F47" w:rsidP="0086217A">
            <w:pPr>
              <w:rPr>
                <w:rFonts w:eastAsia="Times New Roman"/>
                <w:color w:val="000000"/>
                <w:sz w:val="18"/>
                <w:szCs w:val="18"/>
                <w:lang w:val="ru-RU" w:eastAsia="en-US"/>
              </w:rPr>
            </w:pPr>
            <w:r w:rsidRPr="0086217A">
              <w:rPr>
                <w:rFonts w:eastAsia="Times New Roman"/>
                <w:color w:val="000000"/>
                <w:sz w:val="18"/>
                <w:szCs w:val="18"/>
                <w:lang w:val="ru-RU" w:eastAsia="en-US"/>
              </w:rPr>
              <w:tab/>
            </w:r>
            <w:r w:rsidR="0086217A">
              <w:rPr>
                <w:rFonts w:eastAsia="Times New Roman"/>
                <w:color w:val="000000"/>
                <w:sz w:val="18"/>
                <w:szCs w:val="18"/>
                <w:lang w:val="ru-RU" w:eastAsia="en-US"/>
              </w:rPr>
              <w:t>Накопленный профицит</w:t>
            </w:r>
            <w:r w:rsidRPr="0086217A">
              <w:rPr>
                <w:rFonts w:eastAsia="Times New Roman"/>
                <w:color w:val="000000"/>
                <w:sz w:val="18"/>
                <w:szCs w:val="18"/>
                <w:lang w:val="ru-RU" w:eastAsia="en-US"/>
              </w:rPr>
              <w:t xml:space="preserve">, </w:t>
            </w:r>
            <w:r w:rsidR="0086217A">
              <w:rPr>
                <w:rFonts w:eastAsia="Times New Roman"/>
                <w:color w:val="000000"/>
                <w:sz w:val="18"/>
                <w:szCs w:val="18"/>
                <w:lang w:val="ru-RU" w:eastAsia="en-US"/>
              </w:rPr>
              <w:t>остаток на</w:t>
            </w:r>
            <w:r w:rsidR="0086217A" w:rsidRPr="0086217A">
              <w:rPr>
                <w:rFonts w:eastAsia="Times New Roman"/>
                <w:color w:val="000000"/>
                <w:sz w:val="18"/>
                <w:szCs w:val="18"/>
                <w:lang w:val="ru-RU" w:eastAsia="en-US"/>
              </w:rPr>
              <w:t xml:space="preserve"> 31.12.16</w:t>
            </w:r>
            <w:r w:rsidR="0086217A">
              <w:rPr>
                <w:rFonts w:eastAsia="Times New Roman"/>
                <w:color w:val="000000"/>
                <w:sz w:val="18"/>
                <w:szCs w:val="18"/>
                <w:lang w:val="ru-RU" w:eastAsia="en-US"/>
              </w:rPr>
              <w:t xml:space="preserve"> г.</w:t>
            </w:r>
          </w:p>
        </w:tc>
        <w:tc>
          <w:tcPr>
            <w:tcW w:w="1164" w:type="dxa"/>
            <w:tcBorders>
              <w:right w:val="single" w:sz="4" w:space="0" w:color="BFBFBF" w:themeColor="background1" w:themeShade="BF"/>
            </w:tcBorders>
            <w:shd w:val="clear" w:color="auto" w:fill="auto"/>
            <w:noWrap/>
            <w:vAlign w:val="bottom"/>
            <w:hideMark/>
          </w:tcPr>
          <w:p w:rsidR="00CA6F47" w:rsidRPr="00F613CD" w:rsidRDefault="00CA6F47" w:rsidP="008F4D76">
            <w:pPr>
              <w:jc w:val="right"/>
              <w:rPr>
                <w:rFonts w:eastAsia="Times New Roman"/>
                <w:color w:val="000000"/>
                <w:sz w:val="18"/>
                <w:szCs w:val="18"/>
                <w:lang w:eastAsia="en-US"/>
              </w:rPr>
            </w:pPr>
            <w:r w:rsidRPr="00F613CD">
              <w:rPr>
                <w:rFonts w:eastAsia="Times New Roman"/>
                <w:color w:val="000000"/>
                <w:sz w:val="18"/>
                <w:szCs w:val="18"/>
                <w:lang w:eastAsia="en-US"/>
              </w:rPr>
              <w:t>270</w:t>
            </w:r>
            <w:r w:rsidR="0086217A">
              <w:rPr>
                <w:rFonts w:eastAsia="Times New Roman"/>
                <w:color w:val="000000"/>
                <w:sz w:val="18"/>
                <w:szCs w:val="18"/>
                <w:lang w:eastAsia="en-US"/>
              </w:rPr>
              <w:t>,</w:t>
            </w:r>
            <w:r w:rsidRPr="00F613CD">
              <w:rPr>
                <w:rFonts w:eastAsia="Times New Roman"/>
                <w:color w:val="000000"/>
                <w:sz w:val="18"/>
                <w:szCs w:val="18"/>
                <w:lang w:eastAsia="en-US"/>
              </w:rPr>
              <w:t>9</w:t>
            </w:r>
          </w:p>
        </w:tc>
      </w:tr>
      <w:tr w:rsidR="00CA6F47" w:rsidRPr="00F613CD" w:rsidTr="00FA5B68">
        <w:trPr>
          <w:trHeight w:val="94"/>
          <w:jc w:val="center"/>
        </w:trPr>
        <w:tc>
          <w:tcPr>
            <w:tcW w:w="7448" w:type="dxa"/>
            <w:tcBorders>
              <w:left w:val="single" w:sz="4" w:space="0" w:color="BFBFBF" w:themeColor="background1" w:themeShade="BF"/>
            </w:tcBorders>
            <w:shd w:val="clear" w:color="auto" w:fill="auto"/>
            <w:noWrap/>
            <w:vAlign w:val="bottom"/>
            <w:hideMark/>
          </w:tcPr>
          <w:p w:rsidR="00CA6F47" w:rsidRPr="00806E47" w:rsidRDefault="00CA6F47" w:rsidP="008F4D76">
            <w:pPr>
              <w:rPr>
                <w:rFonts w:eastAsia="Times New Roman"/>
                <w:color w:val="000000"/>
                <w:sz w:val="12"/>
                <w:szCs w:val="12"/>
                <w:lang w:eastAsia="en-US"/>
              </w:rPr>
            </w:pPr>
          </w:p>
        </w:tc>
        <w:tc>
          <w:tcPr>
            <w:tcW w:w="1164" w:type="dxa"/>
            <w:tcBorders>
              <w:right w:val="single" w:sz="4" w:space="0" w:color="BFBFBF" w:themeColor="background1" w:themeShade="BF"/>
            </w:tcBorders>
            <w:shd w:val="clear" w:color="auto" w:fill="auto"/>
            <w:noWrap/>
            <w:vAlign w:val="bottom"/>
            <w:hideMark/>
          </w:tcPr>
          <w:p w:rsidR="00CA6F47" w:rsidRPr="00F613CD" w:rsidRDefault="00CA6F47" w:rsidP="008F4D76">
            <w:pPr>
              <w:jc w:val="right"/>
              <w:rPr>
                <w:rFonts w:eastAsia="Times New Roman"/>
                <w:color w:val="000000"/>
                <w:sz w:val="18"/>
                <w:szCs w:val="18"/>
                <w:lang w:eastAsia="en-US"/>
              </w:rPr>
            </w:pPr>
          </w:p>
        </w:tc>
      </w:tr>
      <w:tr w:rsidR="00CA6F47" w:rsidRPr="00F613CD" w:rsidTr="00625F97">
        <w:trPr>
          <w:trHeight w:val="255"/>
          <w:jc w:val="center"/>
        </w:trPr>
        <w:tc>
          <w:tcPr>
            <w:tcW w:w="7448" w:type="dxa"/>
            <w:tcBorders>
              <w:left w:val="single" w:sz="4" w:space="0" w:color="BFBFBF" w:themeColor="background1" w:themeShade="BF"/>
            </w:tcBorders>
            <w:shd w:val="clear" w:color="auto" w:fill="auto"/>
            <w:noWrap/>
            <w:vAlign w:val="bottom"/>
            <w:hideMark/>
          </w:tcPr>
          <w:p w:rsidR="00CA6F47" w:rsidRPr="0086217A" w:rsidRDefault="00CA6F47" w:rsidP="0086217A">
            <w:pPr>
              <w:spacing w:after="60"/>
              <w:rPr>
                <w:rFonts w:eastAsia="Times New Roman"/>
                <w:color w:val="000000"/>
                <w:sz w:val="18"/>
                <w:szCs w:val="18"/>
                <w:lang w:val="ru-RU" w:eastAsia="en-US"/>
              </w:rPr>
            </w:pPr>
            <w:r w:rsidRPr="009A588D">
              <w:rPr>
                <w:rFonts w:eastAsia="Times New Roman"/>
                <w:color w:val="000000"/>
                <w:sz w:val="18"/>
                <w:szCs w:val="18"/>
                <w:lang w:val="ru-RU" w:eastAsia="en-US"/>
              </w:rPr>
              <w:tab/>
            </w:r>
            <w:r w:rsidR="0086217A">
              <w:rPr>
                <w:rFonts w:eastAsia="Times New Roman"/>
                <w:color w:val="000000"/>
                <w:sz w:val="18"/>
                <w:szCs w:val="18"/>
                <w:lang w:val="ru-RU" w:eastAsia="en-US"/>
              </w:rPr>
              <w:t>Резерв специальных проектов</w:t>
            </w:r>
            <w:r w:rsidRPr="0086217A">
              <w:rPr>
                <w:rFonts w:eastAsia="Times New Roman"/>
                <w:color w:val="000000"/>
                <w:sz w:val="18"/>
                <w:szCs w:val="18"/>
                <w:lang w:val="ru-RU" w:eastAsia="en-US"/>
              </w:rPr>
              <w:t xml:space="preserve">, </w:t>
            </w:r>
            <w:r w:rsidR="0086217A">
              <w:rPr>
                <w:rFonts w:eastAsia="Times New Roman"/>
                <w:color w:val="000000"/>
                <w:sz w:val="18"/>
                <w:szCs w:val="18"/>
                <w:lang w:val="ru-RU" w:eastAsia="en-US"/>
              </w:rPr>
              <w:t>остаток</w:t>
            </w:r>
            <w:r w:rsidR="0086217A" w:rsidRPr="0086217A">
              <w:rPr>
                <w:rFonts w:eastAsia="Times New Roman"/>
                <w:color w:val="000000"/>
                <w:sz w:val="18"/>
                <w:szCs w:val="18"/>
                <w:lang w:val="ru-RU" w:eastAsia="en-US"/>
              </w:rPr>
              <w:t xml:space="preserve"> </w:t>
            </w:r>
            <w:r w:rsidR="0086217A">
              <w:rPr>
                <w:rFonts w:eastAsia="Times New Roman"/>
                <w:color w:val="000000"/>
                <w:sz w:val="18"/>
                <w:szCs w:val="18"/>
                <w:lang w:val="ru-RU" w:eastAsia="en-US"/>
              </w:rPr>
              <w:t>на</w:t>
            </w:r>
            <w:r w:rsidR="0086217A" w:rsidRPr="0086217A">
              <w:rPr>
                <w:rFonts w:eastAsia="Times New Roman"/>
                <w:color w:val="000000"/>
                <w:sz w:val="18"/>
                <w:szCs w:val="18"/>
                <w:lang w:val="ru-RU" w:eastAsia="en-US"/>
              </w:rPr>
              <w:t xml:space="preserve"> 31.12.16 </w:t>
            </w:r>
            <w:r w:rsidR="0086217A">
              <w:rPr>
                <w:rFonts w:eastAsia="Times New Roman"/>
                <w:color w:val="000000"/>
                <w:sz w:val="18"/>
                <w:szCs w:val="18"/>
                <w:lang w:val="ru-RU" w:eastAsia="en-US"/>
              </w:rPr>
              <w:t>г</w:t>
            </w:r>
            <w:r w:rsidR="0086217A" w:rsidRPr="0086217A">
              <w:rPr>
                <w:rFonts w:eastAsia="Times New Roman"/>
                <w:color w:val="000000"/>
                <w:sz w:val="18"/>
                <w:szCs w:val="18"/>
                <w:lang w:val="ru-RU" w:eastAsia="en-US"/>
              </w:rPr>
              <w:t>.</w:t>
            </w:r>
          </w:p>
        </w:tc>
        <w:tc>
          <w:tcPr>
            <w:tcW w:w="1164" w:type="dxa"/>
            <w:tcBorders>
              <w:right w:val="single" w:sz="4" w:space="0" w:color="BFBFBF" w:themeColor="background1" w:themeShade="BF"/>
            </w:tcBorders>
            <w:shd w:val="clear" w:color="auto" w:fill="auto"/>
            <w:noWrap/>
            <w:vAlign w:val="bottom"/>
            <w:hideMark/>
          </w:tcPr>
          <w:p w:rsidR="00CA6F47" w:rsidRPr="00F613CD" w:rsidRDefault="00CA6F47" w:rsidP="00A30BF2">
            <w:pPr>
              <w:spacing w:after="60"/>
              <w:jc w:val="right"/>
              <w:rPr>
                <w:rFonts w:eastAsia="Times New Roman"/>
                <w:color w:val="000000"/>
                <w:sz w:val="18"/>
                <w:szCs w:val="18"/>
                <w:lang w:eastAsia="en-US"/>
              </w:rPr>
            </w:pPr>
            <w:r w:rsidRPr="00F613CD">
              <w:rPr>
                <w:rFonts w:eastAsia="Times New Roman"/>
                <w:color w:val="000000"/>
                <w:sz w:val="18"/>
                <w:szCs w:val="18"/>
                <w:lang w:eastAsia="en-US"/>
              </w:rPr>
              <w:t>16</w:t>
            </w:r>
            <w:r w:rsidR="0086217A">
              <w:rPr>
                <w:rFonts w:eastAsia="Times New Roman"/>
                <w:color w:val="000000"/>
                <w:sz w:val="18"/>
                <w:szCs w:val="18"/>
                <w:lang w:eastAsia="en-US"/>
              </w:rPr>
              <w:t>,</w:t>
            </w:r>
            <w:r w:rsidRPr="00F613CD">
              <w:rPr>
                <w:rFonts w:eastAsia="Times New Roman"/>
                <w:color w:val="000000"/>
                <w:sz w:val="18"/>
                <w:szCs w:val="18"/>
                <w:lang w:eastAsia="en-US"/>
              </w:rPr>
              <w:t>8</w:t>
            </w:r>
          </w:p>
        </w:tc>
      </w:tr>
      <w:tr w:rsidR="00CA6F47" w:rsidRPr="00F613CD" w:rsidTr="00625F97">
        <w:trPr>
          <w:trHeight w:val="255"/>
          <w:jc w:val="center"/>
        </w:trPr>
        <w:tc>
          <w:tcPr>
            <w:tcW w:w="7448" w:type="dxa"/>
            <w:tcBorders>
              <w:top w:val="single" w:sz="4" w:space="0" w:color="BFBFBF" w:themeColor="background1" w:themeShade="BF"/>
              <w:bottom w:val="single" w:sz="4" w:space="0" w:color="BFBFBF" w:themeColor="background1" w:themeShade="BF"/>
            </w:tcBorders>
            <w:shd w:val="clear" w:color="auto" w:fill="auto"/>
            <w:noWrap/>
            <w:vAlign w:val="bottom"/>
          </w:tcPr>
          <w:p w:rsidR="00CA6F47" w:rsidRPr="00625F97" w:rsidRDefault="00CA6F47" w:rsidP="000D3644">
            <w:pPr>
              <w:rPr>
                <w:rFonts w:eastAsia="Times New Roman"/>
                <w:color w:val="000000"/>
                <w:sz w:val="12"/>
                <w:szCs w:val="12"/>
                <w:lang w:eastAsia="en-US"/>
              </w:rPr>
            </w:pPr>
          </w:p>
        </w:tc>
        <w:tc>
          <w:tcPr>
            <w:tcW w:w="1164" w:type="dxa"/>
            <w:tcBorders>
              <w:top w:val="single" w:sz="4" w:space="0" w:color="BFBFBF" w:themeColor="background1" w:themeShade="BF"/>
              <w:bottom w:val="single" w:sz="4" w:space="0" w:color="BFBFBF" w:themeColor="background1" w:themeShade="BF"/>
            </w:tcBorders>
            <w:shd w:val="clear" w:color="auto" w:fill="auto"/>
            <w:noWrap/>
            <w:vAlign w:val="bottom"/>
          </w:tcPr>
          <w:p w:rsidR="00CA6F47" w:rsidRPr="00F613CD" w:rsidRDefault="00CA6F47" w:rsidP="00F35355">
            <w:pPr>
              <w:jc w:val="right"/>
              <w:rPr>
                <w:rFonts w:eastAsia="Times New Roman"/>
                <w:color w:val="000000"/>
                <w:sz w:val="18"/>
                <w:szCs w:val="18"/>
                <w:lang w:eastAsia="en-US"/>
              </w:rPr>
            </w:pPr>
          </w:p>
        </w:tc>
      </w:tr>
      <w:tr w:rsidR="00CA6F47" w:rsidRPr="00F613CD" w:rsidTr="00625F97">
        <w:trPr>
          <w:trHeight w:val="255"/>
          <w:jc w:val="center"/>
        </w:trPr>
        <w:tc>
          <w:tcPr>
            <w:tcW w:w="7448" w:type="dxa"/>
            <w:tcBorders>
              <w:top w:val="single" w:sz="4" w:space="0" w:color="BFBFBF" w:themeColor="background1" w:themeShade="BF"/>
              <w:left w:val="single" w:sz="4" w:space="0" w:color="BFBFBF" w:themeColor="background1" w:themeShade="BF"/>
            </w:tcBorders>
            <w:shd w:val="clear" w:color="auto" w:fill="auto"/>
            <w:noWrap/>
            <w:vAlign w:val="bottom"/>
          </w:tcPr>
          <w:p w:rsidR="00CA6F47" w:rsidRPr="0086217A" w:rsidRDefault="0086217A" w:rsidP="0086217A">
            <w:pPr>
              <w:rPr>
                <w:rFonts w:eastAsia="Times New Roman"/>
                <w:color w:val="000000"/>
                <w:sz w:val="18"/>
                <w:szCs w:val="18"/>
                <w:lang w:val="ru-RU" w:eastAsia="en-US"/>
              </w:rPr>
            </w:pPr>
            <w:r>
              <w:rPr>
                <w:rFonts w:eastAsia="Times New Roman"/>
                <w:color w:val="000000"/>
                <w:sz w:val="18"/>
                <w:szCs w:val="18"/>
                <w:lang w:val="ru-RU" w:eastAsia="en-US"/>
              </w:rPr>
              <w:t>Более</w:t>
            </w:r>
            <w:r w:rsidRPr="0086217A">
              <w:rPr>
                <w:rFonts w:eastAsia="Times New Roman"/>
                <w:color w:val="000000"/>
                <w:sz w:val="18"/>
                <w:szCs w:val="18"/>
                <w:lang w:val="ru-RU" w:eastAsia="en-US"/>
              </w:rPr>
              <w:t xml:space="preserve"> </w:t>
            </w:r>
            <w:r>
              <w:rPr>
                <w:rFonts w:eastAsia="Times New Roman"/>
                <w:color w:val="000000"/>
                <w:sz w:val="18"/>
                <w:szCs w:val="18"/>
                <w:lang w:val="ru-RU" w:eastAsia="en-US"/>
              </w:rPr>
              <w:t>не</w:t>
            </w:r>
            <w:r w:rsidRPr="0086217A">
              <w:rPr>
                <w:rFonts w:eastAsia="Times New Roman"/>
                <w:color w:val="000000"/>
                <w:sz w:val="18"/>
                <w:szCs w:val="18"/>
                <w:lang w:val="ru-RU" w:eastAsia="en-US"/>
              </w:rPr>
              <w:t xml:space="preserve"> </w:t>
            </w:r>
            <w:r>
              <w:rPr>
                <w:rFonts w:eastAsia="Times New Roman"/>
                <w:color w:val="000000"/>
                <w:sz w:val="18"/>
                <w:szCs w:val="18"/>
                <w:lang w:val="ru-RU" w:eastAsia="en-US"/>
              </w:rPr>
              <w:t>требующиеся</w:t>
            </w:r>
            <w:r w:rsidRPr="0086217A">
              <w:rPr>
                <w:rFonts w:eastAsia="Times New Roman"/>
                <w:color w:val="000000"/>
                <w:sz w:val="18"/>
                <w:szCs w:val="18"/>
                <w:lang w:val="ru-RU" w:eastAsia="en-US"/>
              </w:rPr>
              <w:t xml:space="preserve"> </w:t>
            </w:r>
            <w:r>
              <w:rPr>
                <w:rFonts w:eastAsia="Times New Roman"/>
                <w:color w:val="000000"/>
                <w:sz w:val="18"/>
                <w:szCs w:val="18"/>
                <w:lang w:val="ru-RU" w:eastAsia="en-US"/>
              </w:rPr>
              <w:t>средства</w:t>
            </w:r>
            <w:r w:rsidRPr="0086217A">
              <w:rPr>
                <w:rFonts w:eastAsia="Times New Roman"/>
                <w:color w:val="000000"/>
                <w:sz w:val="18"/>
                <w:szCs w:val="18"/>
                <w:lang w:val="ru-RU" w:eastAsia="en-US"/>
              </w:rPr>
              <w:t xml:space="preserve"> </w:t>
            </w:r>
            <w:r>
              <w:rPr>
                <w:rFonts w:eastAsia="Times New Roman"/>
                <w:color w:val="000000"/>
                <w:sz w:val="18"/>
                <w:szCs w:val="18"/>
                <w:lang w:val="ru-RU" w:eastAsia="en-US"/>
              </w:rPr>
              <w:t>р</w:t>
            </w:r>
            <w:r w:rsidRPr="0086217A">
              <w:rPr>
                <w:rFonts w:eastAsia="Times New Roman"/>
                <w:color w:val="000000"/>
                <w:sz w:val="18"/>
                <w:szCs w:val="18"/>
                <w:lang w:val="ru-RU" w:eastAsia="en-US"/>
              </w:rPr>
              <w:t>езерв</w:t>
            </w:r>
            <w:r>
              <w:rPr>
                <w:rFonts w:eastAsia="Times New Roman"/>
                <w:color w:val="000000"/>
                <w:sz w:val="18"/>
                <w:szCs w:val="18"/>
                <w:lang w:val="ru-RU" w:eastAsia="en-US"/>
              </w:rPr>
              <w:t>а</w:t>
            </w:r>
            <w:r w:rsidRPr="0086217A">
              <w:rPr>
                <w:rFonts w:eastAsia="Times New Roman"/>
                <w:color w:val="000000"/>
                <w:sz w:val="18"/>
                <w:szCs w:val="18"/>
                <w:lang w:val="ru-RU" w:eastAsia="en-US"/>
              </w:rPr>
              <w:t xml:space="preserve"> специальных проектов </w:t>
            </w:r>
          </w:p>
        </w:tc>
        <w:tc>
          <w:tcPr>
            <w:tcW w:w="1164" w:type="dxa"/>
            <w:tcBorders>
              <w:top w:val="single" w:sz="4" w:space="0" w:color="BFBFBF" w:themeColor="background1" w:themeShade="BF"/>
              <w:right w:val="single" w:sz="4" w:space="0" w:color="BFBFBF" w:themeColor="background1" w:themeShade="BF"/>
            </w:tcBorders>
            <w:shd w:val="clear" w:color="auto" w:fill="auto"/>
            <w:noWrap/>
            <w:vAlign w:val="bottom"/>
          </w:tcPr>
          <w:p w:rsidR="00CA6F47" w:rsidRPr="005174E1" w:rsidRDefault="00CA6F47" w:rsidP="00F35355">
            <w:pPr>
              <w:jc w:val="right"/>
              <w:rPr>
                <w:rFonts w:eastAsia="Times New Roman"/>
                <w:color w:val="000000"/>
                <w:sz w:val="18"/>
                <w:szCs w:val="18"/>
                <w:u w:val="single"/>
                <w:lang w:eastAsia="en-US"/>
              </w:rPr>
            </w:pPr>
            <w:r w:rsidRPr="005174E1">
              <w:rPr>
                <w:rFonts w:eastAsia="Times New Roman"/>
                <w:color w:val="000000"/>
                <w:sz w:val="18"/>
                <w:szCs w:val="18"/>
                <w:u w:val="single"/>
                <w:lang w:eastAsia="en-US"/>
              </w:rPr>
              <w:t>(3</w:t>
            </w:r>
            <w:r w:rsidR="0086217A">
              <w:rPr>
                <w:rFonts w:eastAsia="Times New Roman"/>
                <w:color w:val="000000"/>
                <w:sz w:val="18"/>
                <w:szCs w:val="18"/>
                <w:u w:val="single"/>
                <w:lang w:eastAsia="en-US"/>
              </w:rPr>
              <w:t>,</w:t>
            </w:r>
            <w:r w:rsidRPr="005174E1">
              <w:rPr>
                <w:rFonts w:eastAsia="Times New Roman"/>
                <w:color w:val="000000"/>
                <w:sz w:val="18"/>
                <w:szCs w:val="18"/>
                <w:u w:val="single"/>
                <w:lang w:eastAsia="en-US"/>
              </w:rPr>
              <w:t>4)</w:t>
            </w:r>
          </w:p>
        </w:tc>
      </w:tr>
      <w:tr w:rsidR="00CA6F47" w:rsidRPr="00F613CD" w:rsidTr="00625F97">
        <w:trPr>
          <w:trHeight w:val="255"/>
          <w:jc w:val="center"/>
        </w:trPr>
        <w:tc>
          <w:tcPr>
            <w:tcW w:w="7448" w:type="dxa"/>
            <w:tcBorders>
              <w:left w:val="single" w:sz="4" w:space="0" w:color="BFBFBF" w:themeColor="background1" w:themeShade="BF"/>
            </w:tcBorders>
            <w:shd w:val="clear" w:color="auto" w:fill="auto"/>
            <w:noWrap/>
            <w:vAlign w:val="bottom"/>
            <w:hideMark/>
          </w:tcPr>
          <w:p w:rsidR="00CA6F47" w:rsidRPr="009A588D" w:rsidRDefault="00CA6F47" w:rsidP="005760A9">
            <w:pPr>
              <w:rPr>
                <w:rFonts w:eastAsia="Times New Roman"/>
                <w:color w:val="000000"/>
                <w:sz w:val="12"/>
                <w:szCs w:val="12"/>
                <w:lang w:val="ru-RU" w:eastAsia="en-US"/>
              </w:rPr>
            </w:pPr>
          </w:p>
          <w:p w:rsidR="00CA6F47" w:rsidRPr="006B4F85" w:rsidRDefault="0086217A" w:rsidP="006B4F85">
            <w:pPr>
              <w:rPr>
                <w:rFonts w:eastAsia="Times New Roman"/>
                <w:color w:val="000000"/>
                <w:sz w:val="18"/>
                <w:szCs w:val="18"/>
                <w:lang w:val="ru-RU" w:eastAsia="en-US"/>
              </w:rPr>
            </w:pPr>
            <w:r>
              <w:rPr>
                <w:rFonts w:eastAsia="Times New Roman"/>
                <w:color w:val="000000"/>
                <w:sz w:val="18"/>
                <w:szCs w:val="18"/>
                <w:lang w:val="ru-RU" w:eastAsia="en-US"/>
              </w:rPr>
              <w:t>Остаток</w:t>
            </w:r>
            <w:r w:rsidRPr="006B4F85">
              <w:rPr>
                <w:rFonts w:eastAsia="Times New Roman"/>
                <w:color w:val="000000"/>
                <w:sz w:val="18"/>
                <w:szCs w:val="18"/>
                <w:lang w:val="ru-RU" w:eastAsia="en-US"/>
              </w:rPr>
              <w:t xml:space="preserve"> </w:t>
            </w:r>
            <w:r w:rsidRPr="0086217A">
              <w:rPr>
                <w:rFonts w:eastAsia="Times New Roman"/>
                <w:color w:val="000000"/>
                <w:sz w:val="18"/>
                <w:szCs w:val="18"/>
                <w:lang w:val="ru-RU" w:eastAsia="en-US"/>
              </w:rPr>
              <w:t>средств</w:t>
            </w:r>
            <w:r w:rsidRPr="006B4F85">
              <w:rPr>
                <w:rFonts w:eastAsia="Times New Roman"/>
                <w:color w:val="000000"/>
                <w:sz w:val="18"/>
                <w:szCs w:val="18"/>
                <w:lang w:val="ru-RU" w:eastAsia="en-US"/>
              </w:rPr>
              <w:t xml:space="preserve"> </w:t>
            </w:r>
            <w:r w:rsidRPr="0086217A">
              <w:rPr>
                <w:rFonts w:eastAsia="Times New Roman"/>
                <w:color w:val="000000"/>
                <w:sz w:val="18"/>
                <w:szCs w:val="18"/>
                <w:lang w:val="ru-RU" w:eastAsia="en-US"/>
              </w:rPr>
              <w:t>резерва</w:t>
            </w:r>
            <w:r w:rsidRPr="006B4F85">
              <w:rPr>
                <w:rFonts w:eastAsia="Times New Roman"/>
                <w:color w:val="000000"/>
                <w:sz w:val="18"/>
                <w:szCs w:val="18"/>
                <w:lang w:val="ru-RU" w:eastAsia="en-US"/>
              </w:rPr>
              <w:t xml:space="preserve"> </w:t>
            </w:r>
            <w:r w:rsidRPr="0086217A">
              <w:rPr>
                <w:rFonts w:eastAsia="Times New Roman"/>
                <w:color w:val="000000"/>
                <w:sz w:val="18"/>
                <w:szCs w:val="18"/>
                <w:lang w:val="ru-RU" w:eastAsia="en-US"/>
              </w:rPr>
              <w:t>специальных</w:t>
            </w:r>
            <w:r w:rsidRPr="006B4F85">
              <w:rPr>
                <w:rFonts w:eastAsia="Times New Roman"/>
                <w:color w:val="000000"/>
                <w:sz w:val="18"/>
                <w:szCs w:val="18"/>
                <w:lang w:val="ru-RU" w:eastAsia="en-US"/>
              </w:rPr>
              <w:t xml:space="preserve"> </w:t>
            </w:r>
            <w:r w:rsidRPr="0086217A">
              <w:rPr>
                <w:rFonts w:eastAsia="Times New Roman"/>
                <w:color w:val="000000"/>
                <w:sz w:val="18"/>
                <w:szCs w:val="18"/>
                <w:lang w:val="ru-RU" w:eastAsia="en-US"/>
              </w:rPr>
              <w:t>проектов</w:t>
            </w:r>
            <w:r w:rsidRPr="006B4F85">
              <w:rPr>
                <w:rFonts w:eastAsia="Times New Roman"/>
                <w:color w:val="000000"/>
                <w:sz w:val="18"/>
                <w:szCs w:val="18"/>
                <w:lang w:val="ru-RU" w:eastAsia="en-US"/>
              </w:rPr>
              <w:t xml:space="preserve"> </w:t>
            </w:r>
            <w:r w:rsidR="006B4F85">
              <w:rPr>
                <w:rFonts w:eastAsia="Times New Roman"/>
                <w:color w:val="000000"/>
                <w:sz w:val="18"/>
                <w:szCs w:val="18"/>
                <w:lang w:val="ru-RU" w:eastAsia="en-US"/>
              </w:rPr>
              <w:t>по</w:t>
            </w:r>
            <w:r w:rsidR="006B4F85" w:rsidRPr="006B4F85">
              <w:rPr>
                <w:rFonts w:eastAsia="Times New Roman"/>
                <w:color w:val="000000"/>
                <w:sz w:val="18"/>
                <w:szCs w:val="18"/>
                <w:lang w:val="ru-RU" w:eastAsia="en-US"/>
              </w:rPr>
              <w:t xml:space="preserve"> </w:t>
            </w:r>
            <w:r w:rsidR="006B4F85">
              <w:rPr>
                <w:rFonts w:eastAsia="Times New Roman"/>
                <w:color w:val="000000"/>
                <w:sz w:val="18"/>
                <w:szCs w:val="18"/>
                <w:lang w:val="ru-RU" w:eastAsia="en-US"/>
              </w:rPr>
              <w:t>статьям</w:t>
            </w:r>
            <w:r w:rsidR="006B4F85" w:rsidRPr="006B4F85">
              <w:rPr>
                <w:rFonts w:eastAsia="Times New Roman"/>
                <w:color w:val="000000"/>
                <w:sz w:val="18"/>
                <w:szCs w:val="18"/>
                <w:lang w:val="ru-RU" w:eastAsia="en-US"/>
              </w:rPr>
              <w:t xml:space="preserve"> </w:t>
            </w:r>
            <w:r w:rsidR="006B4F85">
              <w:rPr>
                <w:rFonts w:eastAsia="Times New Roman"/>
                <w:color w:val="000000"/>
                <w:sz w:val="18"/>
                <w:szCs w:val="18"/>
                <w:lang w:val="ru-RU" w:eastAsia="en-US"/>
              </w:rPr>
              <w:t>ГПКР</w:t>
            </w:r>
            <w:r w:rsidR="006B4F85" w:rsidRPr="006B4F85">
              <w:rPr>
                <w:rFonts w:eastAsia="Times New Roman"/>
                <w:color w:val="000000"/>
                <w:sz w:val="18"/>
                <w:szCs w:val="18"/>
                <w:lang w:val="ru-RU" w:eastAsia="en-US"/>
              </w:rPr>
              <w:t xml:space="preserve"> </w:t>
            </w:r>
            <w:r w:rsidR="00CA6F47" w:rsidRPr="006B4F85">
              <w:rPr>
                <w:rFonts w:eastAsia="Times New Roman"/>
                <w:color w:val="000000"/>
                <w:sz w:val="18"/>
                <w:szCs w:val="18"/>
                <w:lang w:val="ru-RU" w:eastAsia="en-US"/>
              </w:rPr>
              <w:t>2014-</w:t>
            </w:r>
            <w:r w:rsidR="006B4F85" w:rsidRPr="006B4F85">
              <w:rPr>
                <w:rFonts w:eastAsia="Times New Roman"/>
                <w:color w:val="000000"/>
                <w:sz w:val="18"/>
                <w:szCs w:val="18"/>
                <w:lang w:val="ru-RU" w:eastAsia="en-US"/>
              </w:rPr>
              <w:t>20</w:t>
            </w:r>
            <w:r w:rsidR="00CA6F47" w:rsidRPr="006B4F85">
              <w:rPr>
                <w:rFonts w:eastAsia="Times New Roman"/>
                <w:color w:val="000000"/>
                <w:sz w:val="18"/>
                <w:szCs w:val="18"/>
                <w:lang w:val="ru-RU" w:eastAsia="en-US"/>
              </w:rPr>
              <w:t>19</w:t>
            </w:r>
            <w:r w:rsidR="006B4F85" w:rsidRPr="006B4F85">
              <w:rPr>
                <w:rFonts w:eastAsia="Times New Roman"/>
                <w:color w:val="000000"/>
                <w:sz w:val="18"/>
                <w:szCs w:val="18"/>
                <w:lang w:val="ru-RU" w:eastAsia="en-US"/>
              </w:rPr>
              <w:t xml:space="preserve"> </w:t>
            </w:r>
            <w:r w:rsidR="006B4F85">
              <w:rPr>
                <w:rFonts w:eastAsia="Times New Roman"/>
                <w:color w:val="000000"/>
                <w:sz w:val="18"/>
                <w:szCs w:val="18"/>
                <w:lang w:val="ru-RU" w:eastAsia="en-US"/>
              </w:rPr>
              <w:t>гг</w:t>
            </w:r>
            <w:r w:rsidR="006B4F85" w:rsidRPr="006B4F85">
              <w:rPr>
                <w:rFonts w:eastAsia="Times New Roman"/>
                <w:color w:val="000000"/>
                <w:sz w:val="18"/>
                <w:szCs w:val="18"/>
                <w:lang w:val="ru-RU" w:eastAsia="en-US"/>
              </w:rPr>
              <w:t xml:space="preserve">. </w:t>
            </w:r>
            <w:r w:rsidR="006B4F85">
              <w:rPr>
                <w:rFonts w:eastAsia="Times New Roman"/>
                <w:color w:val="000000"/>
                <w:sz w:val="18"/>
                <w:szCs w:val="18"/>
                <w:lang w:val="ru-RU" w:eastAsia="en-US"/>
              </w:rPr>
              <w:t>и</w:t>
            </w:r>
            <w:r w:rsidR="006B4F85" w:rsidRPr="006B4F85">
              <w:rPr>
                <w:rFonts w:eastAsia="Times New Roman"/>
                <w:color w:val="000000"/>
                <w:sz w:val="18"/>
                <w:szCs w:val="18"/>
                <w:lang w:val="ru-RU" w:eastAsia="en-US"/>
              </w:rPr>
              <w:t xml:space="preserve"> </w:t>
            </w:r>
            <w:r w:rsidR="006B4F85">
              <w:rPr>
                <w:rFonts w:eastAsia="Times New Roman"/>
                <w:color w:val="000000"/>
                <w:sz w:val="18"/>
                <w:szCs w:val="18"/>
                <w:lang w:val="ru-RU" w:eastAsia="en-US"/>
              </w:rPr>
              <w:t>других</w:t>
            </w:r>
            <w:r w:rsidR="006B4F85" w:rsidRPr="006B4F85">
              <w:rPr>
                <w:rFonts w:eastAsia="Times New Roman"/>
                <w:color w:val="000000"/>
                <w:sz w:val="18"/>
                <w:szCs w:val="18"/>
                <w:lang w:val="ru-RU" w:eastAsia="en-US"/>
              </w:rPr>
              <w:t xml:space="preserve"> </w:t>
            </w:r>
            <w:r w:rsidR="006B4F85">
              <w:rPr>
                <w:rFonts w:eastAsia="Times New Roman"/>
                <w:color w:val="000000"/>
                <w:sz w:val="18"/>
                <w:szCs w:val="18"/>
                <w:lang w:val="ru-RU" w:eastAsia="en-US"/>
              </w:rPr>
              <w:t>реализуемых специальных проектов, финансируемых за счет имеющихся резервов</w:t>
            </w:r>
          </w:p>
        </w:tc>
        <w:tc>
          <w:tcPr>
            <w:tcW w:w="1164" w:type="dxa"/>
            <w:tcBorders>
              <w:right w:val="single" w:sz="4" w:space="0" w:color="BFBFBF" w:themeColor="background1" w:themeShade="BF"/>
            </w:tcBorders>
            <w:shd w:val="clear" w:color="auto" w:fill="auto"/>
            <w:noWrap/>
            <w:vAlign w:val="bottom"/>
            <w:hideMark/>
          </w:tcPr>
          <w:p w:rsidR="00CA6F47" w:rsidRPr="00F613CD" w:rsidRDefault="00CA6F47" w:rsidP="00F35355">
            <w:pPr>
              <w:jc w:val="right"/>
              <w:rPr>
                <w:rFonts w:eastAsia="Times New Roman"/>
                <w:color w:val="000000"/>
                <w:sz w:val="18"/>
                <w:szCs w:val="18"/>
                <w:lang w:eastAsia="en-US"/>
              </w:rPr>
            </w:pPr>
            <w:r w:rsidRPr="006B4F85">
              <w:rPr>
                <w:rFonts w:eastAsia="Times New Roman"/>
                <w:color w:val="000000"/>
                <w:sz w:val="18"/>
                <w:szCs w:val="18"/>
                <w:lang w:val="ru-RU" w:eastAsia="en-US"/>
              </w:rPr>
              <w:t xml:space="preserve">           </w:t>
            </w:r>
            <w:r w:rsidRPr="00F613CD">
              <w:rPr>
                <w:rFonts w:eastAsia="Times New Roman"/>
                <w:color w:val="000000"/>
                <w:sz w:val="18"/>
                <w:szCs w:val="18"/>
                <w:lang w:eastAsia="en-US"/>
              </w:rPr>
              <w:t>13</w:t>
            </w:r>
            <w:r w:rsidR="0086217A">
              <w:rPr>
                <w:rFonts w:eastAsia="Times New Roman"/>
                <w:color w:val="000000"/>
                <w:sz w:val="18"/>
                <w:szCs w:val="18"/>
                <w:lang w:eastAsia="en-US"/>
              </w:rPr>
              <w:t>,</w:t>
            </w:r>
            <w:r w:rsidRPr="00F613CD">
              <w:rPr>
                <w:rFonts w:eastAsia="Times New Roman"/>
                <w:color w:val="000000"/>
                <w:sz w:val="18"/>
                <w:szCs w:val="18"/>
                <w:lang w:eastAsia="en-US"/>
              </w:rPr>
              <w:t>4</w:t>
            </w:r>
          </w:p>
        </w:tc>
      </w:tr>
      <w:tr w:rsidR="00CA6F47" w:rsidRPr="00F613CD" w:rsidTr="00625F97">
        <w:trPr>
          <w:trHeight w:val="212"/>
          <w:jc w:val="center"/>
        </w:trPr>
        <w:tc>
          <w:tcPr>
            <w:tcW w:w="7448" w:type="dxa"/>
            <w:tcBorders>
              <w:left w:val="single" w:sz="4" w:space="0" w:color="BFBFBF" w:themeColor="background1" w:themeShade="BF"/>
            </w:tcBorders>
            <w:shd w:val="clear" w:color="auto" w:fill="auto"/>
            <w:noWrap/>
            <w:vAlign w:val="bottom"/>
            <w:hideMark/>
          </w:tcPr>
          <w:p w:rsidR="00CA6F47" w:rsidRPr="009A588D" w:rsidRDefault="00CA6F47" w:rsidP="005760A9">
            <w:pPr>
              <w:rPr>
                <w:rFonts w:eastAsia="Times New Roman"/>
                <w:color w:val="000000"/>
                <w:sz w:val="12"/>
                <w:szCs w:val="12"/>
                <w:lang w:val="ru-RU" w:eastAsia="en-US"/>
              </w:rPr>
            </w:pPr>
          </w:p>
          <w:p w:rsidR="00CA6F47" w:rsidRPr="006B4F85" w:rsidRDefault="006B4F85" w:rsidP="006B4F85">
            <w:pPr>
              <w:rPr>
                <w:rFonts w:eastAsia="Times New Roman"/>
                <w:color w:val="000000"/>
                <w:sz w:val="18"/>
                <w:szCs w:val="18"/>
                <w:lang w:val="ru-RU" w:eastAsia="en-US"/>
              </w:rPr>
            </w:pPr>
            <w:r>
              <w:rPr>
                <w:rFonts w:eastAsia="Times New Roman"/>
                <w:color w:val="000000"/>
                <w:sz w:val="18"/>
                <w:szCs w:val="18"/>
                <w:lang w:val="ru-RU" w:eastAsia="en-US"/>
              </w:rPr>
              <w:t>Запланированный резерв специальных проектов после утверждения проектов ГПКР на 2018-2019 гг.</w:t>
            </w:r>
          </w:p>
        </w:tc>
        <w:tc>
          <w:tcPr>
            <w:tcW w:w="1164" w:type="dxa"/>
            <w:tcBorders>
              <w:right w:val="single" w:sz="4" w:space="0" w:color="BFBFBF" w:themeColor="background1" w:themeShade="BF"/>
            </w:tcBorders>
            <w:shd w:val="clear" w:color="auto" w:fill="auto"/>
            <w:noWrap/>
            <w:vAlign w:val="bottom"/>
            <w:hideMark/>
          </w:tcPr>
          <w:p w:rsidR="00CA6F47" w:rsidRPr="00F613CD" w:rsidRDefault="00CA6F47" w:rsidP="008F4D76">
            <w:pPr>
              <w:jc w:val="right"/>
              <w:rPr>
                <w:rFonts w:eastAsia="Times New Roman"/>
                <w:color w:val="000000"/>
                <w:sz w:val="18"/>
                <w:szCs w:val="18"/>
                <w:u w:val="single"/>
                <w:lang w:eastAsia="en-US"/>
              </w:rPr>
            </w:pPr>
            <w:r w:rsidRPr="006B4F85">
              <w:rPr>
                <w:rFonts w:eastAsia="Times New Roman"/>
                <w:color w:val="000000"/>
                <w:sz w:val="18"/>
                <w:szCs w:val="18"/>
                <w:lang w:val="ru-RU" w:eastAsia="en-US"/>
              </w:rPr>
              <w:t xml:space="preserve">         </w:t>
            </w:r>
            <w:r>
              <w:rPr>
                <w:rFonts w:eastAsia="Times New Roman"/>
                <w:color w:val="000000"/>
                <w:sz w:val="18"/>
                <w:szCs w:val="18"/>
                <w:u w:val="single"/>
                <w:lang w:eastAsia="en-US"/>
              </w:rPr>
              <w:t>25</w:t>
            </w:r>
            <w:r w:rsidR="0086217A">
              <w:rPr>
                <w:rFonts w:eastAsia="Times New Roman"/>
                <w:color w:val="000000"/>
                <w:sz w:val="18"/>
                <w:szCs w:val="18"/>
                <w:u w:val="single"/>
                <w:lang w:eastAsia="en-US"/>
              </w:rPr>
              <w:t>,</w:t>
            </w:r>
            <w:r>
              <w:rPr>
                <w:rFonts w:eastAsia="Times New Roman"/>
                <w:color w:val="000000"/>
                <w:sz w:val="18"/>
                <w:szCs w:val="18"/>
                <w:u w:val="single"/>
                <w:lang w:eastAsia="en-US"/>
              </w:rPr>
              <w:t>5</w:t>
            </w:r>
          </w:p>
        </w:tc>
      </w:tr>
      <w:tr w:rsidR="00CA6F47" w:rsidRPr="00F613CD" w:rsidTr="00625F97">
        <w:trPr>
          <w:trHeight w:val="255"/>
          <w:jc w:val="center"/>
        </w:trPr>
        <w:tc>
          <w:tcPr>
            <w:tcW w:w="7448" w:type="dxa"/>
            <w:tcBorders>
              <w:left w:val="single" w:sz="4" w:space="0" w:color="BFBFBF" w:themeColor="background1" w:themeShade="BF"/>
              <w:bottom w:val="single" w:sz="4" w:space="0" w:color="BFBFBF" w:themeColor="background1" w:themeShade="BF"/>
            </w:tcBorders>
            <w:shd w:val="clear" w:color="auto" w:fill="auto"/>
            <w:noWrap/>
            <w:vAlign w:val="bottom"/>
            <w:hideMark/>
          </w:tcPr>
          <w:p w:rsidR="00CA6F47" w:rsidRPr="009A588D" w:rsidRDefault="00CA6F47" w:rsidP="000D3644">
            <w:pPr>
              <w:rPr>
                <w:rFonts w:eastAsia="Times New Roman"/>
                <w:color w:val="000000"/>
                <w:sz w:val="12"/>
                <w:szCs w:val="12"/>
                <w:lang w:val="ru-RU" w:eastAsia="en-US"/>
              </w:rPr>
            </w:pPr>
          </w:p>
          <w:p w:rsidR="00CA6F47" w:rsidRPr="00A30BF2" w:rsidRDefault="006B4F85" w:rsidP="00A30BF2">
            <w:pPr>
              <w:spacing w:after="60"/>
              <w:rPr>
                <w:rFonts w:eastAsia="Times New Roman"/>
                <w:color w:val="000000"/>
                <w:sz w:val="12"/>
                <w:szCs w:val="12"/>
                <w:lang w:eastAsia="en-US"/>
              </w:rPr>
            </w:pPr>
            <w:r>
              <w:rPr>
                <w:rFonts w:eastAsia="Times New Roman"/>
                <w:color w:val="000000"/>
                <w:sz w:val="18"/>
                <w:szCs w:val="18"/>
                <w:lang w:val="ru-RU" w:eastAsia="en-US"/>
              </w:rPr>
              <w:t>Общая</w:t>
            </w:r>
            <w:r w:rsidRPr="006B4F85">
              <w:rPr>
                <w:rFonts w:eastAsia="Times New Roman"/>
                <w:color w:val="000000"/>
                <w:sz w:val="18"/>
                <w:szCs w:val="18"/>
                <w:lang w:val="ru-RU" w:eastAsia="en-US"/>
              </w:rPr>
              <w:t xml:space="preserve"> </w:t>
            </w:r>
            <w:r>
              <w:rPr>
                <w:rFonts w:eastAsia="Times New Roman"/>
                <w:color w:val="000000"/>
                <w:sz w:val="18"/>
                <w:szCs w:val="18"/>
                <w:lang w:val="ru-RU" w:eastAsia="en-US"/>
              </w:rPr>
              <w:t>сметная</w:t>
            </w:r>
            <w:r w:rsidRPr="006B4F85">
              <w:rPr>
                <w:rFonts w:eastAsia="Times New Roman"/>
                <w:color w:val="000000"/>
                <w:sz w:val="18"/>
                <w:szCs w:val="18"/>
                <w:lang w:val="ru-RU" w:eastAsia="en-US"/>
              </w:rPr>
              <w:t xml:space="preserve"> </w:t>
            </w:r>
            <w:r>
              <w:rPr>
                <w:rFonts w:eastAsia="Times New Roman"/>
                <w:color w:val="000000"/>
                <w:sz w:val="18"/>
                <w:szCs w:val="18"/>
                <w:lang w:val="ru-RU" w:eastAsia="en-US"/>
              </w:rPr>
              <w:t>сумма</w:t>
            </w:r>
            <w:r w:rsidRPr="006B4F85">
              <w:rPr>
                <w:rFonts w:eastAsia="Times New Roman"/>
                <w:color w:val="000000"/>
                <w:sz w:val="18"/>
                <w:szCs w:val="18"/>
                <w:lang w:val="ru-RU" w:eastAsia="en-US"/>
              </w:rPr>
              <w:t xml:space="preserve"> </w:t>
            </w:r>
            <w:r>
              <w:rPr>
                <w:rFonts w:eastAsia="Times New Roman"/>
                <w:color w:val="000000"/>
                <w:sz w:val="18"/>
                <w:szCs w:val="18"/>
                <w:lang w:val="ru-RU" w:eastAsia="en-US"/>
              </w:rPr>
              <w:t>средств</w:t>
            </w:r>
            <w:r w:rsidRPr="006B4F85">
              <w:rPr>
                <w:rFonts w:eastAsia="Times New Roman"/>
                <w:color w:val="000000"/>
                <w:sz w:val="18"/>
                <w:szCs w:val="18"/>
                <w:lang w:val="ru-RU" w:eastAsia="en-US"/>
              </w:rPr>
              <w:t xml:space="preserve">  резерва специальных проектов</w:t>
            </w:r>
            <w:r>
              <w:rPr>
                <w:rFonts w:eastAsia="Times New Roman"/>
                <w:color w:val="000000"/>
                <w:sz w:val="18"/>
                <w:szCs w:val="18"/>
                <w:lang w:val="ru-RU" w:eastAsia="en-US"/>
              </w:rPr>
              <w:t xml:space="preserve">, вкл. </w:t>
            </w:r>
            <w:r w:rsidR="00AE7B26">
              <w:rPr>
                <w:rFonts w:eastAsia="Times New Roman"/>
                <w:color w:val="000000"/>
                <w:sz w:val="18"/>
                <w:szCs w:val="18"/>
                <w:lang w:val="ru-RU" w:eastAsia="en-US"/>
              </w:rPr>
              <w:t>ГПКР на 2018</w:t>
            </w:r>
            <w:r w:rsidR="00AE7B26">
              <w:rPr>
                <w:rFonts w:eastAsia="Times New Roman"/>
                <w:color w:val="000000"/>
                <w:sz w:val="18"/>
                <w:szCs w:val="18"/>
                <w:lang w:val="ru-RU" w:eastAsia="en-US"/>
              </w:rPr>
              <w:noBreakHyphen/>
            </w:r>
            <w:r w:rsidRPr="006B4F85">
              <w:rPr>
                <w:rFonts w:eastAsia="Times New Roman"/>
                <w:color w:val="000000"/>
                <w:sz w:val="18"/>
                <w:szCs w:val="18"/>
                <w:lang w:val="ru-RU" w:eastAsia="en-US"/>
              </w:rPr>
              <w:t>2019 гг.</w:t>
            </w:r>
          </w:p>
        </w:tc>
        <w:tc>
          <w:tcPr>
            <w:tcW w:w="1164" w:type="dxa"/>
            <w:tcBorders>
              <w:bottom w:val="single" w:sz="4" w:space="0" w:color="BFBFBF" w:themeColor="background1" w:themeShade="BF"/>
              <w:right w:val="single" w:sz="4" w:space="0" w:color="BFBFBF" w:themeColor="background1" w:themeShade="BF"/>
            </w:tcBorders>
            <w:shd w:val="clear" w:color="auto" w:fill="auto"/>
            <w:noWrap/>
            <w:vAlign w:val="bottom"/>
            <w:hideMark/>
          </w:tcPr>
          <w:p w:rsidR="00CA6F47" w:rsidRPr="00F613CD" w:rsidRDefault="00CA6F47" w:rsidP="00A30BF2">
            <w:pPr>
              <w:spacing w:after="60"/>
              <w:rPr>
                <w:rFonts w:eastAsia="Times New Roman"/>
                <w:color w:val="000000"/>
                <w:sz w:val="18"/>
                <w:szCs w:val="18"/>
                <w:lang w:eastAsia="en-US"/>
              </w:rPr>
            </w:pPr>
            <w:r w:rsidRPr="00F613CD">
              <w:rPr>
                <w:rFonts w:eastAsia="Times New Roman"/>
                <w:color w:val="000000"/>
                <w:sz w:val="18"/>
                <w:szCs w:val="18"/>
                <w:lang w:eastAsia="en-US"/>
              </w:rPr>
              <w:t xml:space="preserve">           </w:t>
            </w:r>
            <w:r>
              <w:rPr>
                <w:rFonts w:eastAsia="Times New Roman"/>
                <w:color w:val="000000"/>
                <w:sz w:val="18"/>
                <w:szCs w:val="18"/>
                <w:lang w:eastAsia="en-US"/>
              </w:rPr>
              <w:t>38</w:t>
            </w:r>
            <w:r w:rsidR="0086217A">
              <w:rPr>
                <w:rFonts w:eastAsia="Times New Roman"/>
                <w:color w:val="000000"/>
                <w:sz w:val="18"/>
                <w:szCs w:val="18"/>
                <w:lang w:eastAsia="en-US"/>
              </w:rPr>
              <w:t>,</w:t>
            </w:r>
            <w:r w:rsidR="00835290">
              <w:rPr>
                <w:rFonts w:eastAsia="Times New Roman"/>
                <w:color w:val="000000"/>
                <w:sz w:val="18"/>
                <w:szCs w:val="18"/>
                <w:lang w:eastAsia="en-US"/>
              </w:rPr>
              <w:t>9</w:t>
            </w:r>
          </w:p>
        </w:tc>
      </w:tr>
      <w:tr w:rsidR="00CA6F47" w:rsidRPr="00F613CD" w:rsidTr="00625F97">
        <w:trPr>
          <w:trHeight w:val="210"/>
          <w:jc w:val="center"/>
        </w:trPr>
        <w:tc>
          <w:tcPr>
            <w:tcW w:w="7448" w:type="dxa"/>
            <w:tcBorders>
              <w:top w:val="single" w:sz="4" w:space="0" w:color="BFBFBF" w:themeColor="background1" w:themeShade="BF"/>
              <w:bottom w:val="single" w:sz="4" w:space="0" w:color="BFBFBF" w:themeColor="background1" w:themeShade="BF"/>
            </w:tcBorders>
            <w:shd w:val="clear" w:color="auto" w:fill="auto"/>
            <w:noWrap/>
            <w:vAlign w:val="bottom"/>
          </w:tcPr>
          <w:p w:rsidR="00CA6F47" w:rsidRDefault="00CA6F47" w:rsidP="0048572C">
            <w:pPr>
              <w:rPr>
                <w:rFonts w:eastAsia="Times New Roman"/>
                <w:color w:val="000000"/>
                <w:sz w:val="18"/>
                <w:szCs w:val="18"/>
                <w:lang w:eastAsia="en-US"/>
              </w:rPr>
            </w:pPr>
          </w:p>
        </w:tc>
        <w:tc>
          <w:tcPr>
            <w:tcW w:w="1164" w:type="dxa"/>
            <w:tcBorders>
              <w:top w:val="single" w:sz="4" w:space="0" w:color="BFBFBF" w:themeColor="background1" w:themeShade="BF"/>
              <w:bottom w:val="single" w:sz="4" w:space="0" w:color="BFBFBF" w:themeColor="background1" w:themeShade="BF"/>
            </w:tcBorders>
            <w:shd w:val="clear" w:color="auto" w:fill="auto"/>
            <w:noWrap/>
            <w:vAlign w:val="bottom"/>
          </w:tcPr>
          <w:p w:rsidR="00CA6F47" w:rsidRPr="00F613CD" w:rsidRDefault="00CA6F47" w:rsidP="008F4D76">
            <w:pPr>
              <w:jc w:val="right"/>
              <w:rPr>
                <w:rFonts w:eastAsia="Times New Roman"/>
                <w:color w:val="000000"/>
                <w:sz w:val="18"/>
                <w:szCs w:val="18"/>
                <w:lang w:eastAsia="en-US"/>
              </w:rPr>
            </w:pPr>
          </w:p>
        </w:tc>
      </w:tr>
      <w:tr w:rsidR="00CA6F47" w:rsidRPr="00F613CD" w:rsidTr="00625F97">
        <w:trPr>
          <w:trHeight w:val="210"/>
          <w:jc w:val="center"/>
        </w:trPr>
        <w:tc>
          <w:tcPr>
            <w:tcW w:w="7448" w:type="dxa"/>
            <w:tcBorders>
              <w:top w:val="single" w:sz="4" w:space="0" w:color="BFBFBF" w:themeColor="background1" w:themeShade="BF"/>
              <w:left w:val="single" w:sz="4" w:space="0" w:color="BFBFBF" w:themeColor="background1" w:themeShade="BF"/>
            </w:tcBorders>
            <w:shd w:val="clear" w:color="auto" w:fill="auto"/>
            <w:noWrap/>
            <w:vAlign w:val="bottom"/>
            <w:hideMark/>
          </w:tcPr>
          <w:p w:rsidR="00CA6F47" w:rsidRPr="00AE7B26" w:rsidRDefault="006B4F85" w:rsidP="00AE7B26">
            <w:pPr>
              <w:rPr>
                <w:rFonts w:eastAsia="Times New Roman"/>
                <w:color w:val="000000"/>
                <w:sz w:val="18"/>
                <w:szCs w:val="18"/>
                <w:lang w:val="ru-RU" w:eastAsia="en-US"/>
              </w:rPr>
            </w:pPr>
            <w:r w:rsidRPr="006B4F85">
              <w:rPr>
                <w:rFonts w:eastAsia="Times New Roman"/>
                <w:color w:val="000000"/>
                <w:sz w:val="18"/>
                <w:szCs w:val="18"/>
                <w:lang w:val="ru-RU" w:eastAsia="en-US"/>
              </w:rPr>
              <w:t>Общая</w:t>
            </w:r>
            <w:r w:rsidRPr="00AE7B26">
              <w:rPr>
                <w:rFonts w:eastAsia="Times New Roman"/>
                <w:color w:val="000000"/>
                <w:sz w:val="18"/>
                <w:szCs w:val="18"/>
                <w:lang w:val="ru-RU" w:eastAsia="en-US"/>
              </w:rPr>
              <w:t xml:space="preserve"> </w:t>
            </w:r>
            <w:r w:rsidRPr="006B4F85">
              <w:rPr>
                <w:rFonts w:eastAsia="Times New Roman"/>
                <w:color w:val="000000"/>
                <w:sz w:val="18"/>
                <w:szCs w:val="18"/>
                <w:lang w:val="ru-RU" w:eastAsia="en-US"/>
              </w:rPr>
              <w:t>сумма</w:t>
            </w:r>
            <w:r w:rsidRPr="00AE7B26">
              <w:rPr>
                <w:rFonts w:eastAsia="Times New Roman"/>
                <w:color w:val="000000"/>
                <w:sz w:val="18"/>
                <w:szCs w:val="18"/>
                <w:lang w:val="ru-RU" w:eastAsia="en-US"/>
              </w:rPr>
              <w:t xml:space="preserve"> </w:t>
            </w:r>
            <w:r w:rsidRPr="006B4F85">
              <w:rPr>
                <w:rFonts w:eastAsia="Times New Roman"/>
                <w:color w:val="000000"/>
                <w:sz w:val="18"/>
                <w:szCs w:val="18"/>
                <w:lang w:val="ru-RU" w:eastAsia="en-US"/>
              </w:rPr>
              <w:t>резервов</w:t>
            </w:r>
            <w:r w:rsidR="0008742F">
              <w:rPr>
                <w:rFonts w:eastAsia="Times New Roman"/>
                <w:color w:val="000000"/>
                <w:sz w:val="18"/>
                <w:szCs w:val="18"/>
                <w:lang w:val="ru-RU" w:eastAsia="en-US"/>
              </w:rPr>
              <w:t>,</w:t>
            </w:r>
            <w:r w:rsidRPr="00AE7B26">
              <w:rPr>
                <w:rFonts w:eastAsia="Times New Roman"/>
                <w:color w:val="000000"/>
                <w:sz w:val="18"/>
                <w:szCs w:val="18"/>
                <w:lang w:val="ru-RU" w:eastAsia="en-US"/>
              </w:rPr>
              <w:t xml:space="preserve"> </w:t>
            </w:r>
            <w:r>
              <w:rPr>
                <w:rFonts w:eastAsia="Times New Roman"/>
                <w:color w:val="000000"/>
                <w:sz w:val="18"/>
                <w:szCs w:val="18"/>
                <w:lang w:val="ru-RU" w:eastAsia="en-US"/>
              </w:rPr>
              <w:t>исключая</w:t>
            </w:r>
            <w:r w:rsidRPr="00AE7B26">
              <w:rPr>
                <w:rFonts w:eastAsia="Times New Roman"/>
                <w:color w:val="000000"/>
                <w:sz w:val="18"/>
                <w:szCs w:val="18"/>
                <w:lang w:val="ru-RU" w:eastAsia="en-US"/>
              </w:rPr>
              <w:t xml:space="preserve"> </w:t>
            </w:r>
            <w:r>
              <w:rPr>
                <w:rFonts w:eastAsia="Times New Roman"/>
                <w:color w:val="000000"/>
                <w:sz w:val="18"/>
                <w:szCs w:val="18"/>
                <w:lang w:val="ru-RU" w:eastAsia="en-US"/>
              </w:rPr>
              <w:t>общую</w:t>
            </w:r>
            <w:r w:rsidRPr="00AE7B26">
              <w:rPr>
                <w:rFonts w:eastAsia="Times New Roman"/>
                <w:color w:val="000000"/>
                <w:sz w:val="18"/>
                <w:szCs w:val="18"/>
                <w:lang w:val="ru-RU" w:eastAsia="en-US"/>
              </w:rPr>
              <w:t xml:space="preserve"> </w:t>
            </w:r>
            <w:r w:rsidR="005825E3">
              <w:rPr>
                <w:rFonts w:eastAsia="Times New Roman"/>
                <w:color w:val="000000"/>
                <w:sz w:val="18"/>
                <w:szCs w:val="18"/>
                <w:lang w:val="ru-RU" w:eastAsia="en-US"/>
              </w:rPr>
              <w:t xml:space="preserve">сметную </w:t>
            </w:r>
            <w:r>
              <w:rPr>
                <w:rFonts w:eastAsia="Times New Roman"/>
                <w:color w:val="000000"/>
                <w:sz w:val="18"/>
                <w:szCs w:val="18"/>
                <w:lang w:val="ru-RU" w:eastAsia="en-US"/>
              </w:rPr>
              <w:t>сумму</w:t>
            </w:r>
            <w:r w:rsidRPr="00AE7B26">
              <w:rPr>
                <w:rFonts w:eastAsia="Times New Roman"/>
                <w:color w:val="000000"/>
                <w:sz w:val="18"/>
                <w:szCs w:val="18"/>
                <w:lang w:val="ru-RU" w:eastAsia="en-US"/>
              </w:rPr>
              <w:t xml:space="preserve"> </w:t>
            </w:r>
            <w:r w:rsidR="00AE7B26" w:rsidRPr="00AE7B26">
              <w:rPr>
                <w:rFonts w:eastAsia="Times New Roman"/>
                <w:color w:val="000000"/>
                <w:sz w:val="18"/>
                <w:szCs w:val="18"/>
                <w:lang w:val="ru-RU" w:eastAsia="en-US"/>
              </w:rPr>
              <w:t>средств  резерва специальных проектов, вкл. ГПКР на 2018-2019 гг.</w:t>
            </w:r>
            <w:r w:rsidR="00CA6F47" w:rsidRPr="00AE7B26">
              <w:rPr>
                <w:rFonts w:eastAsia="Times New Roman"/>
                <w:color w:val="000000"/>
                <w:sz w:val="18"/>
                <w:szCs w:val="18"/>
                <w:lang w:val="ru-RU" w:eastAsia="en-US"/>
              </w:rPr>
              <w:t xml:space="preserve"> </w:t>
            </w:r>
          </w:p>
        </w:tc>
        <w:tc>
          <w:tcPr>
            <w:tcW w:w="1164" w:type="dxa"/>
            <w:tcBorders>
              <w:top w:val="single" w:sz="4" w:space="0" w:color="BFBFBF" w:themeColor="background1" w:themeShade="BF"/>
              <w:right w:val="single" w:sz="4" w:space="0" w:color="BFBFBF" w:themeColor="background1" w:themeShade="BF"/>
            </w:tcBorders>
            <w:shd w:val="clear" w:color="auto" w:fill="auto"/>
            <w:noWrap/>
            <w:vAlign w:val="bottom"/>
            <w:hideMark/>
          </w:tcPr>
          <w:p w:rsidR="00CA6F47" w:rsidRPr="00F613CD" w:rsidRDefault="00CA6F47" w:rsidP="008F4D76">
            <w:pPr>
              <w:jc w:val="right"/>
              <w:rPr>
                <w:rFonts w:eastAsia="Times New Roman"/>
                <w:color w:val="000000"/>
                <w:sz w:val="18"/>
                <w:szCs w:val="18"/>
                <w:lang w:eastAsia="en-US"/>
              </w:rPr>
            </w:pPr>
            <w:r w:rsidRPr="00AE7B26">
              <w:rPr>
                <w:rFonts w:eastAsia="Times New Roman"/>
                <w:color w:val="000000"/>
                <w:sz w:val="18"/>
                <w:szCs w:val="18"/>
                <w:lang w:val="ru-RU" w:eastAsia="en-US"/>
              </w:rPr>
              <w:t xml:space="preserve">         </w:t>
            </w:r>
            <w:r w:rsidRPr="00F613CD">
              <w:rPr>
                <w:rFonts w:eastAsia="Times New Roman"/>
                <w:color w:val="000000"/>
                <w:sz w:val="18"/>
                <w:szCs w:val="18"/>
                <w:lang w:eastAsia="en-US"/>
              </w:rPr>
              <w:t>248</w:t>
            </w:r>
            <w:r w:rsidR="0086217A">
              <w:rPr>
                <w:rFonts w:eastAsia="Times New Roman"/>
                <w:color w:val="000000"/>
                <w:sz w:val="18"/>
                <w:szCs w:val="18"/>
                <w:lang w:eastAsia="en-US"/>
              </w:rPr>
              <w:t>,</w:t>
            </w:r>
            <w:r w:rsidRPr="00F613CD">
              <w:rPr>
                <w:rFonts w:eastAsia="Times New Roman"/>
                <w:color w:val="000000"/>
                <w:sz w:val="18"/>
                <w:szCs w:val="18"/>
                <w:lang w:eastAsia="en-US"/>
              </w:rPr>
              <w:t xml:space="preserve">9 </w:t>
            </w:r>
          </w:p>
        </w:tc>
      </w:tr>
      <w:tr w:rsidR="00CA6F47" w:rsidRPr="00F613CD" w:rsidTr="00A30BF2">
        <w:trPr>
          <w:trHeight w:val="362"/>
          <w:jc w:val="center"/>
        </w:trPr>
        <w:tc>
          <w:tcPr>
            <w:tcW w:w="7448" w:type="dxa"/>
            <w:tcBorders>
              <w:left w:val="single" w:sz="4" w:space="0" w:color="BFBFBF" w:themeColor="background1" w:themeShade="BF"/>
            </w:tcBorders>
            <w:shd w:val="clear" w:color="auto" w:fill="auto"/>
            <w:noWrap/>
            <w:vAlign w:val="center"/>
            <w:hideMark/>
          </w:tcPr>
          <w:p w:rsidR="00A30BF2" w:rsidRPr="00AE7B26" w:rsidRDefault="00A30BF2" w:rsidP="00A30BF2">
            <w:pPr>
              <w:rPr>
                <w:rFonts w:eastAsia="Times New Roman"/>
                <w:color w:val="000000"/>
                <w:sz w:val="12"/>
                <w:szCs w:val="12"/>
                <w:lang w:val="ru-RU" w:eastAsia="en-US"/>
              </w:rPr>
            </w:pPr>
          </w:p>
          <w:p w:rsidR="00CA6F47" w:rsidRPr="00AE7B26" w:rsidRDefault="00AE7B26" w:rsidP="00965D6B">
            <w:pPr>
              <w:spacing w:after="60"/>
              <w:rPr>
                <w:rFonts w:eastAsia="Times New Roman"/>
                <w:color w:val="000000"/>
                <w:sz w:val="18"/>
                <w:szCs w:val="18"/>
                <w:lang w:val="ru-RU" w:eastAsia="en-US"/>
              </w:rPr>
            </w:pPr>
            <w:r>
              <w:rPr>
                <w:rFonts w:eastAsia="Times New Roman"/>
                <w:color w:val="000000"/>
                <w:sz w:val="18"/>
                <w:szCs w:val="18"/>
                <w:lang w:val="ru-RU" w:eastAsia="en-US"/>
              </w:rPr>
              <w:t xml:space="preserve">Целевой </w:t>
            </w:r>
            <w:r w:rsidR="00965D6B">
              <w:rPr>
                <w:rFonts w:eastAsia="Times New Roman"/>
                <w:color w:val="000000"/>
                <w:sz w:val="18"/>
                <w:szCs w:val="18"/>
                <w:lang w:val="ru-RU" w:eastAsia="en-US"/>
              </w:rPr>
              <w:t>показатель</w:t>
            </w:r>
            <w:r>
              <w:rPr>
                <w:rFonts w:eastAsia="Times New Roman"/>
                <w:color w:val="000000"/>
                <w:sz w:val="18"/>
                <w:szCs w:val="18"/>
                <w:lang w:val="ru-RU" w:eastAsia="en-US"/>
              </w:rPr>
              <w:t xml:space="preserve"> РФОС на</w:t>
            </w:r>
            <w:r w:rsidR="00CA6F47" w:rsidRPr="00AE7B26">
              <w:rPr>
                <w:rFonts w:eastAsia="Times New Roman"/>
                <w:color w:val="000000"/>
                <w:sz w:val="18"/>
                <w:szCs w:val="18"/>
                <w:lang w:val="ru-RU" w:eastAsia="en-US"/>
              </w:rPr>
              <w:t xml:space="preserve"> 2018</w:t>
            </w:r>
            <w:r>
              <w:rPr>
                <w:rFonts w:eastAsia="Times New Roman"/>
                <w:color w:val="000000"/>
                <w:sz w:val="18"/>
                <w:szCs w:val="18"/>
                <w:lang w:val="ru-RU" w:eastAsia="en-US"/>
              </w:rPr>
              <w:t>-20</w:t>
            </w:r>
            <w:r w:rsidR="00CA6F47" w:rsidRPr="00AE7B26">
              <w:rPr>
                <w:rFonts w:eastAsia="Times New Roman"/>
                <w:color w:val="000000"/>
                <w:sz w:val="18"/>
                <w:szCs w:val="18"/>
                <w:lang w:val="ru-RU" w:eastAsia="en-US"/>
              </w:rPr>
              <w:t>19</w:t>
            </w:r>
            <w:r>
              <w:rPr>
                <w:rFonts w:eastAsia="Times New Roman"/>
                <w:color w:val="000000"/>
                <w:sz w:val="18"/>
                <w:szCs w:val="18"/>
                <w:lang w:val="ru-RU" w:eastAsia="en-US"/>
              </w:rPr>
              <w:t xml:space="preserve"> гг.</w:t>
            </w:r>
            <w:r w:rsidR="00CA6F47" w:rsidRPr="00AE7B26">
              <w:rPr>
                <w:rFonts w:eastAsia="Times New Roman"/>
                <w:color w:val="000000"/>
                <w:sz w:val="18"/>
                <w:szCs w:val="18"/>
                <w:lang w:val="ru-RU" w:eastAsia="en-US"/>
              </w:rPr>
              <w:t>**</w:t>
            </w:r>
          </w:p>
        </w:tc>
        <w:tc>
          <w:tcPr>
            <w:tcW w:w="1164" w:type="dxa"/>
            <w:tcBorders>
              <w:right w:val="single" w:sz="4" w:space="0" w:color="BFBFBF" w:themeColor="background1" w:themeShade="BF"/>
            </w:tcBorders>
            <w:shd w:val="clear" w:color="auto" w:fill="auto"/>
            <w:noWrap/>
            <w:vAlign w:val="center"/>
            <w:hideMark/>
          </w:tcPr>
          <w:p w:rsidR="00A30BF2" w:rsidRPr="00AE7B26" w:rsidRDefault="00A30BF2" w:rsidP="00A30BF2">
            <w:pPr>
              <w:jc w:val="right"/>
              <w:rPr>
                <w:rFonts w:eastAsia="Times New Roman"/>
                <w:color w:val="000000"/>
                <w:sz w:val="12"/>
                <w:szCs w:val="12"/>
                <w:u w:val="single"/>
                <w:lang w:val="ru-RU" w:eastAsia="en-US"/>
              </w:rPr>
            </w:pPr>
          </w:p>
          <w:p w:rsidR="00CA6F47" w:rsidRPr="00A30BF2" w:rsidRDefault="00CA6F47" w:rsidP="00A30BF2">
            <w:pPr>
              <w:spacing w:after="60"/>
              <w:jc w:val="right"/>
              <w:rPr>
                <w:rFonts w:eastAsia="Times New Roman"/>
                <w:color w:val="000000"/>
                <w:sz w:val="18"/>
                <w:szCs w:val="18"/>
                <w:u w:val="single"/>
                <w:lang w:eastAsia="en-US"/>
              </w:rPr>
            </w:pPr>
            <w:r w:rsidRPr="00F613CD">
              <w:rPr>
                <w:rFonts w:eastAsia="Times New Roman"/>
                <w:color w:val="000000"/>
                <w:sz w:val="18"/>
                <w:szCs w:val="18"/>
                <w:u w:val="single"/>
                <w:lang w:eastAsia="en-US"/>
              </w:rPr>
              <w:t>1</w:t>
            </w:r>
            <w:r>
              <w:rPr>
                <w:rFonts w:eastAsia="Times New Roman"/>
                <w:color w:val="000000"/>
                <w:sz w:val="18"/>
                <w:szCs w:val="18"/>
                <w:u w:val="single"/>
                <w:lang w:eastAsia="en-US"/>
              </w:rPr>
              <w:t>59</w:t>
            </w:r>
            <w:r w:rsidR="0086217A">
              <w:rPr>
                <w:rFonts w:eastAsia="Times New Roman"/>
                <w:color w:val="000000"/>
                <w:sz w:val="18"/>
                <w:szCs w:val="18"/>
                <w:u w:val="single"/>
                <w:lang w:eastAsia="en-US"/>
              </w:rPr>
              <w:t>,</w:t>
            </w:r>
            <w:r>
              <w:rPr>
                <w:rFonts w:eastAsia="Times New Roman"/>
                <w:color w:val="000000"/>
                <w:sz w:val="18"/>
                <w:szCs w:val="18"/>
                <w:u w:val="single"/>
                <w:lang w:eastAsia="en-US"/>
              </w:rPr>
              <w:t>8</w:t>
            </w:r>
          </w:p>
        </w:tc>
      </w:tr>
      <w:tr w:rsidR="00CA6F47" w:rsidRPr="00C3752C" w:rsidTr="00625F97">
        <w:trPr>
          <w:trHeight w:val="255"/>
          <w:jc w:val="center"/>
        </w:trPr>
        <w:tc>
          <w:tcPr>
            <w:tcW w:w="7448" w:type="dxa"/>
            <w:tcBorders>
              <w:left w:val="single" w:sz="4" w:space="0" w:color="BFBFBF" w:themeColor="background1" w:themeShade="BF"/>
            </w:tcBorders>
            <w:shd w:val="clear" w:color="auto" w:fill="C6D9F1" w:themeFill="text2" w:themeFillTint="33"/>
            <w:noWrap/>
            <w:tcMar>
              <w:top w:w="57" w:type="dxa"/>
            </w:tcMar>
            <w:hideMark/>
          </w:tcPr>
          <w:p w:rsidR="00CA6F47" w:rsidRPr="00AE7B26" w:rsidRDefault="00AE7B26" w:rsidP="00AE7B26">
            <w:pPr>
              <w:rPr>
                <w:rFonts w:eastAsia="Times New Roman"/>
                <w:b/>
                <w:bCs/>
                <w:color w:val="000000"/>
                <w:sz w:val="18"/>
                <w:szCs w:val="18"/>
                <w:lang w:val="ru-RU" w:eastAsia="en-US"/>
              </w:rPr>
            </w:pPr>
            <w:r>
              <w:rPr>
                <w:rFonts w:eastAsia="Times New Roman"/>
                <w:b/>
                <w:bCs/>
                <w:color w:val="000000"/>
                <w:sz w:val="18"/>
                <w:szCs w:val="18"/>
                <w:lang w:val="ru-RU" w:eastAsia="en-US"/>
              </w:rPr>
              <w:t>Остаток резервных средств сверх целевого уровня резервов</w:t>
            </w:r>
            <w:r w:rsidR="00CA6F47" w:rsidRPr="00AE7B26">
              <w:rPr>
                <w:rFonts w:eastAsia="Times New Roman"/>
                <w:b/>
                <w:bCs/>
                <w:color w:val="000000"/>
                <w:sz w:val="18"/>
                <w:szCs w:val="18"/>
                <w:lang w:val="ru-RU" w:eastAsia="en-US"/>
              </w:rPr>
              <w:t>***</w:t>
            </w:r>
          </w:p>
        </w:tc>
        <w:tc>
          <w:tcPr>
            <w:tcW w:w="1164" w:type="dxa"/>
            <w:tcBorders>
              <w:right w:val="single" w:sz="4" w:space="0" w:color="BFBFBF" w:themeColor="background1" w:themeShade="BF"/>
            </w:tcBorders>
            <w:shd w:val="clear" w:color="auto" w:fill="C6D9F1" w:themeFill="text2" w:themeFillTint="33"/>
            <w:noWrap/>
            <w:hideMark/>
          </w:tcPr>
          <w:p w:rsidR="00CA6F47" w:rsidRPr="00C3752C" w:rsidRDefault="00CA6F47" w:rsidP="004E0BD1">
            <w:pPr>
              <w:jc w:val="right"/>
              <w:rPr>
                <w:rFonts w:eastAsia="Times New Roman"/>
                <w:b/>
                <w:bCs/>
                <w:color w:val="000000"/>
                <w:sz w:val="18"/>
                <w:szCs w:val="18"/>
                <w:lang w:eastAsia="en-US"/>
              </w:rPr>
            </w:pPr>
            <w:r w:rsidRPr="00AE7B26">
              <w:rPr>
                <w:rFonts w:eastAsia="Times New Roman"/>
                <w:b/>
                <w:bCs/>
                <w:color w:val="000000"/>
                <w:sz w:val="18"/>
                <w:szCs w:val="18"/>
                <w:lang w:val="ru-RU" w:eastAsia="en-US"/>
              </w:rPr>
              <w:t xml:space="preserve">          </w:t>
            </w:r>
            <w:r w:rsidRPr="00C3752C">
              <w:rPr>
                <w:rFonts w:eastAsia="Times New Roman"/>
                <w:b/>
                <w:bCs/>
                <w:color w:val="000000"/>
                <w:sz w:val="18"/>
                <w:szCs w:val="18"/>
                <w:lang w:eastAsia="en-US"/>
              </w:rPr>
              <w:t>89</w:t>
            </w:r>
            <w:r w:rsidR="0086217A">
              <w:rPr>
                <w:rFonts w:eastAsia="Times New Roman"/>
                <w:b/>
                <w:bCs/>
                <w:color w:val="000000"/>
                <w:sz w:val="18"/>
                <w:szCs w:val="18"/>
                <w:lang w:eastAsia="en-US"/>
              </w:rPr>
              <w:t>,</w:t>
            </w:r>
            <w:r w:rsidRPr="00C3752C">
              <w:rPr>
                <w:rFonts w:eastAsia="Times New Roman"/>
                <w:b/>
                <w:bCs/>
                <w:color w:val="000000"/>
                <w:sz w:val="18"/>
                <w:szCs w:val="18"/>
                <w:lang w:eastAsia="en-US"/>
              </w:rPr>
              <w:t xml:space="preserve">1 </w:t>
            </w:r>
          </w:p>
        </w:tc>
      </w:tr>
      <w:tr w:rsidR="00CA6F47" w:rsidRPr="000E35E7" w:rsidTr="00625F97">
        <w:trPr>
          <w:trHeight w:val="255"/>
          <w:jc w:val="center"/>
        </w:trPr>
        <w:tc>
          <w:tcPr>
            <w:tcW w:w="8612" w:type="dxa"/>
            <w:gridSpan w:val="2"/>
            <w:tcBorders>
              <w:top w:val="single" w:sz="4" w:space="0" w:color="BFBFBF" w:themeColor="background1" w:themeShade="BF"/>
            </w:tcBorders>
            <w:shd w:val="clear" w:color="auto" w:fill="auto"/>
            <w:noWrap/>
            <w:vAlign w:val="bottom"/>
            <w:hideMark/>
          </w:tcPr>
          <w:p w:rsidR="00CF16A2" w:rsidRPr="009A588D" w:rsidRDefault="00CF16A2" w:rsidP="000D3644">
            <w:pPr>
              <w:rPr>
                <w:rFonts w:eastAsia="Times New Roman"/>
                <w:i/>
                <w:color w:val="000000"/>
                <w:sz w:val="8"/>
                <w:szCs w:val="8"/>
                <w:lang w:val="ru-RU" w:eastAsia="en-US"/>
              </w:rPr>
            </w:pPr>
          </w:p>
          <w:p w:rsidR="00CA6F47" w:rsidRPr="009F39B7" w:rsidRDefault="00CA6F47" w:rsidP="000D3644">
            <w:pPr>
              <w:rPr>
                <w:rFonts w:eastAsia="Times New Roman"/>
                <w:i/>
                <w:color w:val="000000"/>
                <w:sz w:val="16"/>
                <w:szCs w:val="16"/>
                <w:lang w:val="ru-RU" w:eastAsia="en-US"/>
              </w:rPr>
            </w:pPr>
            <w:r w:rsidRPr="009F39B7">
              <w:rPr>
                <w:rFonts w:eastAsia="Times New Roman"/>
                <w:i/>
                <w:color w:val="000000"/>
                <w:sz w:val="16"/>
                <w:szCs w:val="16"/>
                <w:lang w:val="ru-RU" w:eastAsia="en-US"/>
              </w:rPr>
              <w:t>*</w:t>
            </w:r>
            <w:r w:rsidR="009F39B7" w:rsidRPr="009F39B7">
              <w:rPr>
                <w:lang w:val="ru-RU"/>
              </w:rPr>
              <w:t xml:space="preserve"> </w:t>
            </w:r>
            <w:r w:rsidR="009F39B7">
              <w:rPr>
                <w:rFonts w:eastAsia="Times New Roman"/>
                <w:i/>
                <w:color w:val="000000"/>
                <w:sz w:val="16"/>
                <w:szCs w:val="16"/>
                <w:lang w:val="ru-RU" w:eastAsia="en-US"/>
              </w:rPr>
              <w:t>Исключая</w:t>
            </w:r>
            <w:r w:rsidR="009F39B7" w:rsidRPr="009F39B7">
              <w:rPr>
                <w:rFonts w:eastAsia="Times New Roman"/>
                <w:i/>
                <w:color w:val="000000"/>
                <w:sz w:val="16"/>
                <w:szCs w:val="16"/>
                <w:lang w:val="ru-RU" w:eastAsia="en-US"/>
              </w:rPr>
              <w:t xml:space="preserve"> </w:t>
            </w:r>
            <w:r w:rsidR="009F39B7">
              <w:rPr>
                <w:rFonts w:eastAsia="Times New Roman"/>
                <w:i/>
                <w:color w:val="000000"/>
                <w:sz w:val="16"/>
                <w:szCs w:val="16"/>
                <w:lang w:val="ru-RU" w:eastAsia="en-US"/>
              </w:rPr>
              <w:t>фонд</w:t>
            </w:r>
            <w:r w:rsidR="009F39B7" w:rsidRPr="009F39B7">
              <w:rPr>
                <w:rFonts w:eastAsia="Times New Roman"/>
                <w:i/>
                <w:color w:val="000000"/>
                <w:sz w:val="16"/>
                <w:szCs w:val="16"/>
                <w:lang w:val="ru-RU" w:eastAsia="en-US"/>
              </w:rPr>
              <w:t xml:space="preserve"> оборотных </w:t>
            </w:r>
            <w:r w:rsidR="009F39B7">
              <w:rPr>
                <w:rFonts w:eastAsia="Times New Roman"/>
                <w:i/>
                <w:color w:val="000000"/>
                <w:sz w:val="16"/>
                <w:szCs w:val="16"/>
                <w:lang w:val="ru-RU" w:eastAsia="en-US"/>
              </w:rPr>
              <w:t>средств</w:t>
            </w:r>
            <w:r w:rsidR="009F39B7" w:rsidRPr="009F39B7">
              <w:rPr>
                <w:rFonts w:eastAsia="Times New Roman"/>
                <w:i/>
                <w:color w:val="000000"/>
                <w:sz w:val="16"/>
                <w:szCs w:val="16"/>
                <w:lang w:val="ru-RU" w:eastAsia="en-US"/>
              </w:rPr>
              <w:t xml:space="preserve"> (</w:t>
            </w:r>
            <w:r w:rsidR="009F39B7">
              <w:rPr>
                <w:rFonts w:eastAsia="Times New Roman"/>
                <w:i/>
                <w:color w:val="000000"/>
                <w:sz w:val="16"/>
                <w:szCs w:val="16"/>
                <w:lang w:val="ru-RU" w:eastAsia="en-US"/>
              </w:rPr>
              <w:t>ФОС</w:t>
            </w:r>
            <w:r w:rsidR="009F39B7" w:rsidRPr="009F39B7">
              <w:rPr>
                <w:rFonts w:eastAsia="Times New Roman"/>
                <w:i/>
                <w:color w:val="000000"/>
                <w:sz w:val="16"/>
                <w:szCs w:val="16"/>
                <w:lang w:val="ru-RU" w:eastAsia="en-US"/>
              </w:rPr>
              <w:t xml:space="preserve">) </w:t>
            </w:r>
            <w:r w:rsidR="009F39B7">
              <w:rPr>
                <w:rFonts w:eastAsia="Times New Roman"/>
                <w:i/>
                <w:color w:val="000000"/>
                <w:sz w:val="16"/>
                <w:szCs w:val="16"/>
                <w:lang w:val="ru-RU" w:eastAsia="en-US"/>
              </w:rPr>
              <w:t>и</w:t>
            </w:r>
            <w:r w:rsidR="009F39B7" w:rsidRPr="009F39B7">
              <w:rPr>
                <w:rFonts w:eastAsia="Times New Roman"/>
                <w:i/>
                <w:color w:val="000000"/>
                <w:sz w:val="16"/>
                <w:szCs w:val="16"/>
                <w:lang w:val="ru-RU" w:eastAsia="en-US"/>
              </w:rPr>
              <w:t xml:space="preserve"> профицит резерва для переоценки стоимости</w:t>
            </w:r>
            <w:r w:rsidR="009F39B7">
              <w:rPr>
                <w:rFonts w:eastAsia="Times New Roman"/>
                <w:i/>
                <w:color w:val="000000"/>
                <w:sz w:val="16"/>
                <w:szCs w:val="16"/>
                <w:lang w:val="ru-RU" w:eastAsia="en-US"/>
              </w:rPr>
              <w:t>.</w:t>
            </w:r>
          </w:p>
          <w:p w:rsidR="00CA6F47" w:rsidRPr="009F39B7" w:rsidRDefault="00CA6F47" w:rsidP="00F35355">
            <w:pPr>
              <w:rPr>
                <w:rFonts w:eastAsia="Times New Roman"/>
                <w:i/>
                <w:color w:val="000000"/>
                <w:sz w:val="16"/>
                <w:szCs w:val="16"/>
                <w:lang w:val="ru-RU" w:eastAsia="en-US"/>
              </w:rPr>
            </w:pPr>
            <w:r w:rsidRPr="009F39B7">
              <w:rPr>
                <w:rFonts w:eastAsia="Times New Roman"/>
                <w:i/>
                <w:color w:val="000000"/>
                <w:sz w:val="16"/>
                <w:szCs w:val="16"/>
                <w:lang w:val="ru-RU" w:eastAsia="en-US"/>
              </w:rPr>
              <w:t>**</w:t>
            </w:r>
            <w:r w:rsidR="009F39B7">
              <w:rPr>
                <w:rFonts w:eastAsia="Times New Roman"/>
                <w:i/>
                <w:color w:val="000000"/>
                <w:sz w:val="16"/>
                <w:szCs w:val="16"/>
                <w:lang w:val="ru-RU" w:eastAsia="en-US"/>
              </w:rPr>
              <w:t>Ц</w:t>
            </w:r>
            <w:r w:rsidR="009F39B7" w:rsidRPr="009F39B7">
              <w:rPr>
                <w:rFonts w:eastAsia="Times New Roman"/>
                <w:i/>
                <w:color w:val="000000"/>
                <w:sz w:val="16"/>
                <w:szCs w:val="16"/>
                <w:lang w:val="ru-RU" w:eastAsia="en-US"/>
              </w:rPr>
              <w:t xml:space="preserve">елевой уровень </w:t>
            </w:r>
            <w:r w:rsidR="009F39B7">
              <w:rPr>
                <w:rFonts w:eastAsia="Times New Roman"/>
                <w:i/>
                <w:color w:val="000000"/>
                <w:sz w:val="16"/>
                <w:szCs w:val="16"/>
                <w:lang w:val="ru-RU" w:eastAsia="en-US"/>
              </w:rPr>
              <w:t>резервов</w:t>
            </w:r>
            <w:r w:rsidR="009F39B7" w:rsidRPr="009F39B7">
              <w:rPr>
                <w:rFonts w:eastAsia="Times New Roman"/>
                <w:i/>
                <w:color w:val="000000"/>
                <w:sz w:val="16"/>
                <w:szCs w:val="16"/>
                <w:lang w:val="ru-RU" w:eastAsia="en-US"/>
              </w:rPr>
              <w:t xml:space="preserve"> </w:t>
            </w:r>
            <w:r w:rsidR="009F39B7">
              <w:rPr>
                <w:rFonts w:eastAsia="Times New Roman"/>
                <w:i/>
                <w:color w:val="000000"/>
                <w:sz w:val="16"/>
                <w:szCs w:val="16"/>
                <w:lang w:val="ru-RU" w:eastAsia="en-US"/>
              </w:rPr>
              <w:t>рассчитан</w:t>
            </w:r>
            <w:r w:rsidR="009F39B7" w:rsidRPr="009F39B7">
              <w:rPr>
                <w:rFonts w:eastAsia="Times New Roman"/>
                <w:i/>
                <w:color w:val="000000"/>
                <w:sz w:val="16"/>
                <w:szCs w:val="16"/>
                <w:lang w:val="ru-RU" w:eastAsia="en-US"/>
              </w:rPr>
              <w:t xml:space="preserve"> </w:t>
            </w:r>
            <w:r w:rsidR="009F39B7">
              <w:rPr>
                <w:rFonts w:eastAsia="Times New Roman"/>
                <w:i/>
                <w:color w:val="000000"/>
                <w:sz w:val="16"/>
                <w:szCs w:val="16"/>
                <w:lang w:val="ru-RU" w:eastAsia="en-US"/>
              </w:rPr>
              <w:t>на</w:t>
            </w:r>
            <w:r w:rsidR="009F39B7" w:rsidRPr="009F39B7">
              <w:rPr>
                <w:rFonts w:eastAsia="Times New Roman"/>
                <w:i/>
                <w:color w:val="000000"/>
                <w:sz w:val="16"/>
                <w:szCs w:val="16"/>
                <w:lang w:val="ru-RU" w:eastAsia="en-US"/>
              </w:rPr>
              <w:t xml:space="preserve"> </w:t>
            </w:r>
            <w:r w:rsidR="009F39B7">
              <w:rPr>
                <w:rFonts w:eastAsia="Times New Roman"/>
                <w:i/>
                <w:color w:val="000000"/>
                <w:sz w:val="16"/>
                <w:szCs w:val="16"/>
                <w:lang w:val="ru-RU" w:eastAsia="en-US"/>
              </w:rPr>
              <w:t>основе</w:t>
            </w:r>
            <w:r w:rsidR="009F39B7" w:rsidRPr="009F39B7">
              <w:rPr>
                <w:rFonts w:eastAsia="Times New Roman"/>
                <w:i/>
                <w:color w:val="000000"/>
                <w:sz w:val="16"/>
                <w:szCs w:val="16"/>
                <w:lang w:val="ru-RU" w:eastAsia="en-US"/>
              </w:rPr>
              <w:t xml:space="preserve"> </w:t>
            </w:r>
            <w:r w:rsidR="009F39B7">
              <w:rPr>
                <w:rFonts w:eastAsia="Times New Roman"/>
                <w:i/>
                <w:color w:val="000000"/>
                <w:sz w:val="16"/>
                <w:szCs w:val="16"/>
                <w:lang w:val="ru-RU" w:eastAsia="en-US"/>
              </w:rPr>
              <w:t>целевых</w:t>
            </w:r>
            <w:r w:rsidR="009F39B7" w:rsidRPr="009F39B7">
              <w:rPr>
                <w:rFonts w:eastAsia="Times New Roman"/>
                <w:i/>
                <w:color w:val="000000"/>
                <w:sz w:val="16"/>
                <w:szCs w:val="16"/>
                <w:lang w:val="ru-RU" w:eastAsia="en-US"/>
              </w:rPr>
              <w:t xml:space="preserve"> </w:t>
            </w:r>
            <w:r w:rsidR="009F39B7">
              <w:rPr>
                <w:rFonts w:eastAsia="Times New Roman"/>
                <w:i/>
                <w:color w:val="000000"/>
                <w:sz w:val="16"/>
                <w:szCs w:val="16"/>
                <w:lang w:val="ru-RU" w:eastAsia="en-US"/>
              </w:rPr>
              <w:t>уровней</w:t>
            </w:r>
            <w:r w:rsidR="009F39B7" w:rsidRPr="009F39B7">
              <w:rPr>
                <w:rFonts w:eastAsia="Times New Roman"/>
                <w:i/>
                <w:color w:val="000000"/>
                <w:sz w:val="16"/>
                <w:szCs w:val="16"/>
                <w:lang w:val="ru-RU" w:eastAsia="en-US"/>
              </w:rPr>
              <w:t xml:space="preserve">, </w:t>
            </w:r>
            <w:r w:rsidR="009F39B7">
              <w:rPr>
                <w:rFonts w:eastAsia="Times New Roman"/>
                <w:i/>
                <w:color w:val="000000"/>
                <w:sz w:val="16"/>
                <w:szCs w:val="16"/>
                <w:lang w:val="ru-RU" w:eastAsia="en-US"/>
              </w:rPr>
              <w:t>определенных</w:t>
            </w:r>
            <w:r w:rsidR="009F39B7" w:rsidRPr="009F39B7">
              <w:rPr>
                <w:rFonts w:eastAsia="Times New Roman"/>
                <w:i/>
                <w:color w:val="000000"/>
                <w:sz w:val="16"/>
                <w:szCs w:val="16"/>
                <w:lang w:val="ru-RU" w:eastAsia="en-US"/>
              </w:rPr>
              <w:t xml:space="preserve"> </w:t>
            </w:r>
            <w:r w:rsidR="009F39B7">
              <w:rPr>
                <w:rFonts w:eastAsia="Times New Roman"/>
                <w:i/>
                <w:color w:val="000000"/>
                <w:sz w:val="16"/>
                <w:szCs w:val="16"/>
                <w:lang w:val="ru-RU" w:eastAsia="en-US"/>
              </w:rPr>
              <w:t>для</w:t>
            </w:r>
            <w:r w:rsidR="009F39B7" w:rsidRPr="009F39B7">
              <w:rPr>
                <w:rFonts w:eastAsia="Times New Roman"/>
                <w:i/>
                <w:color w:val="000000"/>
                <w:sz w:val="16"/>
                <w:szCs w:val="16"/>
                <w:lang w:val="ru-RU" w:eastAsia="en-US"/>
              </w:rPr>
              <w:t xml:space="preserve"> </w:t>
            </w:r>
            <w:r w:rsidR="0019426F">
              <w:rPr>
                <w:rFonts w:eastAsia="Times New Roman"/>
                <w:i/>
                <w:color w:val="000000"/>
                <w:sz w:val="16"/>
                <w:szCs w:val="16"/>
                <w:lang w:val="ru-RU" w:eastAsia="en-US"/>
              </w:rPr>
              <w:t>с</w:t>
            </w:r>
            <w:r w:rsidR="009F39B7">
              <w:rPr>
                <w:rFonts w:eastAsia="Times New Roman"/>
                <w:i/>
                <w:color w:val="000000"/>
                <w:sz w:val="16"/>
                <w:szCs w:val="16"/>
                <w:lang w:val="ru-RU" w:eastAsia="en-US"/>
              </w:rPr>
              <w:t>оюзов</w:t>
            </w:r>
            <w:r w:rsidR="009F39B7" w:rsidRPr="009F39B7">
              <w:rPr>
                <w:rFonts w:eastAsia="Times New Roman"/>
                <w:i/>
                <w:color w:val="000000"/>
                <w:sz w:val="16"/>
                <w:szCs w:val="16"/>
                <w:lang w:val="ru-RU" w:eastAsia="en-US"/>
              </w:rPr>
              <w:t xml:space="preserve"> </w:t>
            </w:r>
            <w:r w:rsidR="009F39B7">
              <w:rPr>
                <w:rFonts w:eastAsia="Times New Roman"/>
                <w:i/>
                <w:color w:val="000000"/>
                <w:sz w:val="16"/>
                <w:szCs w:val="16"/>
                <w:lang w:val="ru-RU" w:eastAsia="en-US"/>
              </w:rPr>
              <w:t xml:space="preserve">в рамках </w:t>
            </w:r>
            <w:r w:rsidR="009F39B7" w:rsidRPr="009F39B7">
              <w:rPr>
                <w:rFonts w:eastAsia="Times New Roman"/>
                <w:i/>
                <w:color w:val="000000"/>
                <w:sz w:val="16"/>
                <w:szCs w:val="16"/>
                <w:lang w:val="ru-RU" w:eastAsia="en-US"/>
              </w:rPr>
              <w:t>пересмотренн</w:t>
            </w:r>
            <w:r w:rsidR="009F39B7">
              <w:rPr>
                <w:rFonts w:eastAsia="Times New Roman"/>
                <w:i/>
                <w:color w:val="000000"/>
                <w:sz w:val="16"/>
                <w:szCs w:val="16"/>
                <w:lang w:val="ru-RU" w:eastAsia="en-US"/>
              </w:rPr>
              <w:t>ой</w:t>
            </w:r>
            <w:r w:rsidR="009F39B7" w:rsidRPr="009F39B7">
              <w:rPr>
                <w:rFonts w:eastAsia="Times New Roman"/>
                <w:i/>
                <w:color w:val="000000"/>
                <w:sz w:val="16"/>
                <w:szCs w:val="16"/>
                <w:lang w:val="ru-RU" w:eastAsia="en-US"/>
              </w:rPr>
              <w:t xml:space="preserve"> политик</w:t>
            </w:r>
            <w:r w:rsidR="009F39B7">
              <w:rPr>
                <w:rFonts w:eastAsia="Times New Roman"/>
                <w:i/>
                <w:color w:val="000000"/>
                <w:sz w:val="16"/>
                <w:szCs w:val="16"/>
                <w:lang w:val="ru-RU" w:eastAsia="en-US"/>
              </w:rPr>
              <w:t>и</w:t>
            </w:r>
            <w:r w:rsidR="009F39B7" w:rsidRPr="009F39B7">
              <w:rPr>
                <w:rFonts w:eastAsia="Times New Roman"/>
                <w:i/>
                <w:color w:val="000000"/>
                <w:sz w:val="16"/>
                <w:szCs w:val="16"/>
                <w:lang w:val="ru-RU" w:eastAsia="en-US"/>
              </w:rPr>
              <w:t xml:space="preserve"> в отношении резервов</w:t>
            </w:r>
            <w:r w:rsidR="009F39B7">
              <w:rPr>
                <w:rFonts w:eastAsia="Times New Roman"/>
                <w:i/>
                <w:color w:val="000000"/>
                <w:sz w:val="16"/>
                <w:szCs w:val="16"/>
                <w:lang w:val="ru-RU" w:eastAsia="en-US"/>
              </w:rPr>
              <w:t xml:space="preserve">, т.е. в размере 22% от </w:t>
            </w:r>
            <w:r w:rsidR="009F39B7" w:rsidRPr="009F39B7">
              <w:rPr>
                <w:rFonts w:eastAsia="Times New Roman"/>
                <w:i/>
                <w:color w:val="000000"/>
                <w:sz w:val="16"/>
                <w:szCs w:val="16"/>
                <w:lang w:val="ru-RU" w:eastAsia="en-US"/>
              </w:rPr>
              <w:t xml:space="preserve"> </w:t>
            </w:r>
            <w:r w:rsidR="007D568E">
              <w:rPr>
                <w:rFonts w:eastAsia="Times New Roman"/>
                <w:i/>
                <w:color w:val="000000"/>
                <w:sz w:val="16"/>
                <w:szCs w:val="16"/>
                <w:lang w:val="ru-RU" w:eastAsia="en-US"/>
              </w:rPr>
              <w:t>совокупного бюджета на двухлетний период 2018-2019 гг. в сумме 725 млн шв. франков.</w:t>
            </w:r>
          </w:p>
          <w:p w:rsidR="00CA6F47" w:rsidRPr="007D568E" w:rsidRDefault="00CA6F47" w:rsidP="0019426F">
            <w:pPr>
              <w:rPr>
                <w:rFonts w:eastAsia="Times New Roman"/>
                <w:color w:val="000000"/>
                <w:sz w:val="18"/>
                <w:szCs w:val="18"/>
                <w:lang w:val="ru-RU" w:eastAsia="en-US"/>
              </w:rPr>
            </w:pPr>
            <w:r w:rsidRPr="007D568E">
              <w:rPr>
                <w:rFonts w:eastAsia="Times New Roman"/>
                <w:i/>
                <w:color w:val="000000"/>
                <w:sz w:val="16"/>
                <w:szCs w:val="16"/>
                <w:lang w:val="ru-RU" w:eastAsia="en-US"/>
              </w:rPr>
              <w:t>***</w:t>
            </w:r>
            <w:r w:rsidR="007D568E">
              <w:rPr>
                <w:rFonts w:eastAsia="Times New Roman"/>
                <w:i/>
                <w:color w:val="000000"/>
                <w:sz w:val="16"/>
                <w:szCs w:val="16"/>
                <w:lang w:val="ru-RU" w:eastAsia="en-US"/>
              </w:rPr>
              <w:t xml:space="preserve">Без учета </w:t>
            </w:r>
            <w:r w:rsidR="007D568E" w:rsidRPr="007D568E">
              <w:rPr>
                <w:rFonts w:eastAsia="Times New Roman"/>
                <w:i/>
                <w:color w:val="000000"/>
                <w:sz w:val="16"/>
                <w:szCs w:val="16"/>
                <w:lang w:val="ru-RU" w:eastAsia="en-US"/>
              </w:rPr>
              <w:t>предполагаем</w:t>
            </w:r>
            <w:r w:rsidR="007D568E">
              <w:rPr>
                <w:rFonts w:eastAsia="Times New Roman"/>
                <w:i/>
                <w:color w:val="000000"/>
                <w:sz w:val="16"/>
                <w:szCs w:val="16"/>
                <w:lang w:val="ru-RU" w:eastAsia="en-US"/>
              </w:rPr>
              <w:t>ой</w:t>
            </w:r>
            <w:r w:rsidR="007D568E" w:rsidRPr="007D568E">
              <w:rPr>
                <w:rFonts w:eastAsia="Times New Roman"/>
                <w:i/>
                <w:color w:val="000000"/>
                <w:sz w:val="16"/>
                <w:szCs w:val="16"/>
                <w:lang w:val="ru-RU" w:eastAsia="en-US"/>
              </w:rPr>
              <w:t xml:space="preserve"> величин</w:t>
            </w:r>
            <w:r w:rsidR="007D568E">
              <w:rPr>
                <w:rFonts w:eastAsia="Times New Roman"/>
                <w:i/>
                <w:color w:val="000000"/>
                <w:sz w:val="16"/>
                <w:szCs w:val="16"/>
                <w:lang w:val="ru-RU" w:eastAsia="en-US"/>
              </w:rPr>
              <w:t>ы</w:t>
            </w:r>
            <w:r w:rsidR="007D568E" w:rsidRPr="007D568E">
              <w:rPr>
                <w:rFonts w:eastAsia="Times New Roman"/>
                <w:i/>
                <w:color w:val="000000"/>
                <w:sz w:val="16"/>
                <w:szCs w:val="16"/>
                <w:lang w:val="ru-RU" w:eastAsia="en-US"/>
              </w:rPr>
              <w:t xml:space="preserve"> общего итога за вычетом расходов за счет резервных средств </w:t>
            </w:r>
            <w:r w:rsidR="0019426F">
              <w:rPr>
                <w:rFonts w:eastAsia="Times New Roman"/>
                <w:i/>
                <w:color w:val="000000"/>
                <w:sz w:val="16"/>
                <w:szCs w:val="16"/>
                <w:lang w:val="ru-RU" w:eastAsia="en-US"/>
              </w:rPr>
              <w:t>в</w:t>
            </w:r>
            <w:r w:rsidR="007D568E" w:rsidRPr="007D568E">
              <w:rPr>
                <w:rFonts w:eastAsia="Times New Roman"/>
                <w:i/>
                <w:color w:val="000000"/>
                <w:sz w:val="16"/>
                <w:szCs w:val="16"/>
                <w:lang w:val="ru-RU" w:eastAsia="en-US"/>
              </w:rPr>
              <w:t xml:space="preserve"> 2017 г.</w:t>
            </w:r>
            <w:r w:rsidR="007D568E">
              <w:rPr>
                <w:rFonts w:eastAsia="Times New Roman"/>
                <w:i/>
                <w:color w:val="000000"/>
                <w:sz w:val="16"/>
                <w:szCs w:val="16"/>
                <w:lang w:val="ru-RU" w:eastAsia="en-US"/>
              </w:rPr>
              <w:t>, составляющей 24,</w:t>
            </w:r>
            <w:r w:rsidRPr="007D568E">
              <w:rPr>
                <w:rFonts w:eastAsia="Times New Roman"/>
                <w:i/>
                <w:color w:val="000000"/>
                <w:sz w:val="16"/>
                <w:szCs w:val="16"/>
                <w:lang w:val="ru-RU" w:eastAsia="en-US"/>
              </w:rPr>
              <w:t xml:space="preserve">3 </w:t>
            </w:r>
            <w:r w:rsidR="007D568E" w:rsidRPr="007D568E">
              <w:rPr>
                <w:rFonts w:eastAsia="Times New Roman"/>
                <w:i/>
                <w:color w:val="000000"/>
                <w:sz w:val="16"/>
                <w:szCs w:val="16"/>
                <w:lang w:val="ru-RU" w:eastAsia="en-US"/>
              </w:rPr>
              <w:t>млн шв. франков.</w:t>
            </w:r>
          </w:p>
        </w:tc>
      </w:tr>
    </w:tbl>
    <w:p w:rsidR="00CA458E" w:rsidRPr="007D568E" w:rsidRDefault="00CA458E" w:rsidP="008F4D76">
      <w:pPr>
        <w:rPr>
          <w:lang w:val="ru-RU"/>
        </w:rPr>
      </w:pPr>
    </w:p>
    <w:p w:rsidR="007D568E" w:rsidRPr="007D568E" w:rsidRDefault="007D568E" w:rsidP="00207BFD">
      <w:pPr>
        <w:numPr>
          <w:ilvl w:val="0"/>
          <w:numId w:val="31"/>
        </w:numPr>
        <w:tabs>
          <w:tab w:val="left" w:pos="567"/>
          <w:tab w:val="left" w:pos="5670"/>
        </w:tabs>
        <w:spacing w:after="220"/>
        <w:ind w:left="0" w:firstLine="0"/>
        <w:contextualSpacing/>
        <w:rPr>
          <w:lang w:val="ru-RU"/>
        </w:rPr>
      </w:pPr>
      <w:r w:rsidRPr="007D568E">
        <w:rPr>
          <w:lang w:val="ru-RU"/>
        </w:rPr>
        <w:t xml:space="preserve">Как видно из таблицы </w:t>
      </w:r>
      <w:r>
        <w:rPr>
          <w:lang w:val="ru-RU"/>
        </w:rPr>
        <w:t>4</w:t>
      </w:r>
      <w:r w:rsidRPr="007D568E">
        <w:rPr>
          <w:lang w:val="ru-RU"/>
        </w:rPr>
        <w:t>, предлагаемое финансирование ГПКР</w:t>
      </w:r>
      <w:r>
        <w:rPr>
          <w:lang w:val="ru-RU"/>
        </w:rPr>
        <w:t xml:space="preserve"> на 2018-2019 гг.</w:t>
      </w:r>
      <w:r w:rsidRPr="007D568E">
        <w:rPr>
          <w:lang w:val="ru-RU"/>
        </w:rPr>
        <w:t xml:space="preserve"> в размере 25,5 млн. шв. франков </w:t>
      </w:r>
      <w:r w:rsidR="00A51DA7">
        <w:rPr>
          <w:lang w:val="ru-RU"/>
        </w:rPr>
        <w:t>не скажется на установленном</w:t>
      </w:r>
      <w:r w:rsidRPr="007D568E">
        <w:rPr>
          <w:lang w:val="ru-RU"/>
        </w:rPr>
        <w:t xml:space="preserve"> целево</w:t>
      </w:r>
      <w:r w:rsidR="00A51DA7">
        <w:rPr>
          <w:lang w:val="ru-RU"/>
        </w:rPr>
        <w:t>м</w:t>
      </w:r>
      <w:r w:rsidRPr="007D568E">
        <w:rPr>
          <w:lang w:val="ru-RU"/>
        </w:rPr>
        <w:t xml:space="preserve"> уров</w:t>
      </w:r>
      <w:r w:rsidR="00A51DA7">
        <w:rPr>
          <w:lang w:val="ru-RU"/>
        </w:rPr>
        <w:t>не</w:t>
      </w:r>
      <w:r w:rsidRPr="007D568E">
        <w:rPr>
          <w:lang w:val="ru-RU"/>
        </w:rPr>
        <w:t xml:space="preserve"> резервов, </w:t>
      </w:r>
      <w:r w:rsidR="00A51DA7">
        <w:rPr>
          <w:lang w:val="ru-RU"/>
        </w:rPr>
        <w:t>поскольку расчетные суммы остатка</w:t>
      </w:r>
      <w:r w:rsidR="0019426F">
        <w:rPr>
          <w:lang w:val="ru-RU"/>
        </w:rPr>
        <w:t xml:space="preserve"> средств позволяют</w:t>
      </w:r>
      <w:r w:rsidR="00A51DA7">
        <w:rPr>
          <w:lang w:val="ru-RU"/>
        </w:rPr>
        <w:t xml:space="preserve"> с должной осмотрительностью  расходовать средства в рамках предлагаемых проектов</w:t>
      </w:r>
      <w:r w:rsidRPr="007D568E">
        <w:rPr>
          <w:lang w:val="ru-RU"/>
        </w:rPr>
        <w:t>.</w:t>
      </w:r>
    </w:p>
    <w:p w:rsidR="007D568E" w:rsidRDefault="007D568E" w:rsidP="007D568E">
      <w:pPr>
        <w:tabs>
          <w:tab w:val="left" w:pos="567"/>
          <w:tab w:val="left" w:pos="5670"/>
        </w:tabs>
        <w:spacing w:after="220"/>
        <w:contextualSpacing/>
        <w:rPr>
          <w:lang w:val="ru-RU"/>
        </w:rPr>
      </w:pPr>
    </w:p>
    <w:p w:rsidR="00B60CFA" w:rsidRDefault="00A51DA7" w:rsidP="00B60CFA">
      <w:pPr>
        <w:numPr>
          <w:ilvl w:val="0"/>
          <w:numId w:val="31"/>
        </w:numPr>
        <w:tabs>
          <w:tab w:val="left" w:pos="567"/>
          <w:tab w:val="left" w:pos="5670"/>
        </w:tabs>
        <w:spacing w:after="220"/>
        <w:ind w:left="0" w:firstLine="0"/>
        <w:contextualSpacing/>
        <w:rPr>
          <w:lang w:val="ru-RU"/>
        </w:rPr>
      </w:pPr>
      <w:r w:rsidRPr="00A51DA7">
        <w:rPr>
          <w:lang w:val="ru-RU"/>
        </w:rPr>
        <w:t>Следует отметить, что</w:t>
      </w:r>
      <w:r w:rsidR="002D70EC">
        <w:rPr>
          <w:lang w:val="ru-RU"/>
        </w:rPr>
        <w:t>,</w:t>
      </w:r>
      <w:r w:rsidRPr="00A51DA7">
        <w:rPr>
          <w:lang w:val="ru-RU"/>
        </w:rPr>
        <w:t xml:space="preserve"> </w:t>
      </w:r>
      <w:r>
        <w:rPr>
          <w:lang w:val="ru-RU"/>
        </w:rPr>
        <w:t>поскольку</w:t>
      </w:r>
      <w:r w:rsidRPr="00A51DA7">
        <w:rPr>
          <w:lang w:val="ru-RU"/>
        </w:rPr>
        <w:t xml:space="preserve"> финансов</w:t>
      </w:r>
      <w:r w:rsidR="002D70EC">
        <w:rPr>
          <w:lang w:val="ru-RU"/>
        </w:rPr>
        <w:t>ая</w:t>
      </w:r>
      <w:r w:rsidRPr="00A51DA7">
        <w:rPr>
          <w:lang w:val="ru-RU"/>
        </w:rPr>
        <w:t xml:space="preserve"> отчетност</w:t>
      </w:r>
      <w:r w:rsidR="002D70EC">
        <w:rPr>
          <w:lang w:val="ru-RU"/>
        </w:rPr>
        <w:t>ь</w:t>
      </w:r>
      <w:r w:rsidRPr="00A51DA7">
        <w:rPr>
          <w:lang w:val="ru-RU"/>
        </w:rPr>
        <w:t xml:space="preserve"> Организации </w:t>
      </w:r>
      <w:r w:rsidR="002D70EC">
        <w:rPr>
          <w:lang w:val="ru-RU"/>
        </w:rPr>
        <w:t xml:space="preserve">ведется </w:t>
      </w:r>
      <w:r w:rsidRPr="00A51DA7">
        <w:rPr>
          <w:lang w:val="ru-RU"/>
        </w:rPr>
        <w:t>на основе МСУГС</w:t>
      </w:r>
      <w:r w:rsidR="002D70EC">
        <w:rPr>
          <w:lang w:val="ru-RU"/>
        </w:rPr>
        <w:t>,</w:t>
      </w:r>
      <w:r w:rsidRPr="00A51DA7">
        <w:rPr>
          <w:lang w:val="ru-RU"/>
        </w:rPr>
        <w:t xml:space="preserve"> расходы на </w:t>
      </w:r>
      <w:r w:rsidR="002D70EC">
        <w:rPr>
          <w:lang w:val="ru-RU"/>
        </w:rPr>
        <w:t xml:space="preserve">осуществление </w:t>
      </w:r>
      <w:r w:rsidRPr="00A51DA7">
        <w:rPr>
          <w:lang w:val="ru-RU"/>
        </w:rPr>
        <w:t>проект</w:t>
      </w:r>
      <w:r w:rsidR="002D70EC">
        <w:rPr>
          <w:lang w:val="ru-RU"/>
        </w:rPr>
        <w:t>ов</w:t>
      </w:r>
      <w:r w:rsidRPr="00A51DA7">
        <w:rPr>
          <w:lang w:val="ru-RU"/>
        </w:rPr>
        <w:t xml:space="preserve"> в области информационных технологий (ИТ) капитализир</w:t>
      </w:r>
      <w:r w:rsidR="002D70EC">
        <w:rPr>
          <w:lang w:val="ru-RU"/>
        </w:rPr>
        <w:t>уются в случае соответствия</w:t>
      </w:r>
      <w:r w:rsidRPr="00A51DA7">
        <w:rPr>
          <w:lang w:val="ru-RU"/>
        </w:rPr>
        <w:t xml:space="preserve"> </w:t>
      </w:r>
      <w:r w:rsidR="002D70EC">
        <w:rPr>
          <w:lang w:val="ru-RU"/>
        </w:rPr>
        <w:t>установленным</w:t>
      </w:r>
      <w:r w:rsidRPr="00A51DA7">
        <w:rPr>
          <w:lang w:val="ru-RU"/>
        </w:rPr>
        <w:t xml:space="preserve"> критериям признания. </w:t>
      </w:r>
      <w:r w:rsidR="002D70EC">
        <w:rPr>
          <w:lang w:val="ru-RU"/>
        </w:rPr>
        <w:t xml:space="preserve"> </w:t>
      </w:r>
      <w:r w:rsidRPr="00A51DA7">
        <w:rPr>
          <w:lang w:val="ru-RU"/>
        </w:rPr>
        <w:t xml:space="preserve">Аналогичным образом, </w:t>
      </w:r>
      <w:r w:rsidR="00135E10">
        <w:rPr>
          <w:lang w:val="ru-RU"/>
        </w:rPr>
        <w:t xml:space="preserve">капитализируются и </w:t>
      </w:r>
      <w:r w:rsidRPr="00A51DA7">
        <w:rPr>
          <w:lang w:val="ru-RU"/>
        </w:rPr>
        <w:t>расходы на проекты</w:t>
      </w:r>
      <w:r w:rsidR="00135E10">
        <w:rPr>
          <w:lang w:val="ru-RU"/>
        </w:rPr>
        <w:t xml:space="preserve"> строительных работ</w:t>
      </w:r>
      <w:r w:rsidRPr="00A51DA7">
        <w:rPr>
          <w:lang w:val="ru-RU"/>
        </w:rPr>
        <w:t xml:space="preserve">, </w:t>
      </w:r>
      <w:r w:rsidR="00135E10">
        <w:rPr>
          <w:lang w:val="ru-RU"/>
        </w:rPr>
        <w:t>позволяющие</w:t>
      </w:r>
      <w:r w:rsidRPr="00A51DA7">
        <w:rPr>
          <w:lang w:val="ru-RU"/>
        </w:rPr>
        <w:t xml:space="preserve"> продл</w:t>
      </w:r>
      <w:r w:rsidR="00135E10">
        <w:rPr>
          <w:lang w:val="ru-RU"/>
        </w:rPr>
        <w:t>ить</w:t>
      </w:r>
      <w:r w:rsidRPr="00A51DA7">
        <w:rPr>
          <w:lang w:val="ru-RU"/>
        </w:rPr>
        <w:t xml:space="preserve"> срок </w:t>
      </w:r>
      <w:r w:rsidR="00135E10">
        <w:rPr>
          <w:lang w:val="ru-RU"/>
        </w:rPr>
        <w:t>эксплуатации соответствующих</w:t>
      </w:r>
      <w:r w:rsidRPr="00A51DA7">
        <w:rPr>
          <w:lang w:val="ru-RU"/>
        </w:rPr>
        <w:t xml:space="preserve"> зданий</w:t>
      </w:r>
      <w:r w:rsidR="00135E10">
        <w:rPr>
          <w:lang w:val="ru-RU"/>
        </w:rPr>
        <w:t xml:space="preserve"> или повысить их стоимость.  По мере поступления детализированной </w:t>
      </w:r>
      <w:r w:rsidR="00135E10">
        <w:rPr>
          <w:lang w:val="ru-RU"/>
        </w:rPr>
        <w:lastRenderedPageBreak/>
        <w:t>информации о величине затрат и сроках осуществления работ, по</w:t>
      </w:r>
      <w:r w:rsidR="00135E10" w:rsidRPr="00A51DA7">
        <w:rPr>
          <w:lang w:val="ru-RU"/>
        </w:rPr>
        <w:t xml:space="preserve"> каждо</w:t>
      </w:r>
      <w:r w:rsidR="00135E10">
        <w:rPr>
          <w:lang w:val="ru-RU"/>
        </w:rPr>
        <w:t>му</w:t>
      </w:r>
      <w:r w:rsidR="00135E10" w:rsidRPr="00A51DA7">
        <w:rPr>
          <w:lang w:val="ru-RU"/>
        </w:rPr>
        <w:t xml:space="preserve"> проект</w:t>
      </w:r>
      <w:r w:rsidR="00135E10">
        <w:rPr>
          <w:lang w:val="ru-RU"/>
        </w:rPr>
        <w:t>у принимается решение о</w:t>
      </w:r>
      <w:r w:rsidRPr="00A51DA7">
        <w:rPr>
          <w:lang w:val="ru-RU"/>
        </w:rPr>
        <w:t xml:space="preserve"> допустимости капитализации</w:t>
      </w:r>
      <w:r w:rsidR="00135E10">
        <w:rPr>
          <w:lang w:val="ru-RU"/>
        </w:rPr>
        <w:t xml:space="preserve"> расходов согласно</w:t>
      </w:r>
      <w:r w:rsidRPr="00A51DA7">
        <w:rPr>
          <w:lang w:val="ru-RU"/>
        </w:rPr>
        <w:t xml:space="preserve"> МСУГС.</w:t>
      </w:r>
      <w:r w:rsidR="00135E10">
        <w:rPr>
          <w:lang w:val="ru-RU"/>
        </w:rPr>
        <w:t xml:space="preserve">  В случае</w:t>
      </w:r>
      <w:r w:rsidRPr="00A51DA7">
        <w:rPr>
          <w:lang w:val="ru-RU"/>
        </w:rPr>
        <w:t xml:space="preserve"> капитализ</w:t>
      </w:r>
      <w:r w:rsidR="00135E10">
        <w:rPr>
          <w:lang w:val="ru-RU"/>
        </w:rPr>
        <w:t xml:space="preserve">ации расходов по проекту последние относятся на </w:t>
      </w:r>
      <w:r w:rsidR="00AC5F4B">
        <w:rPr>
          <w:lang w:val="ru-RU"/>
        </w:rPr>
        <w:t>весь срок эксплуатации соответствующих фондов после</w:t>
      </w:r>
      <w:r w:rsidRPr="00A51DA7">
        <w:rPr>
          <w:lang w:val="ru-RU"/>
        </w:rPr>
        <w:t xml:space="preserve"> завершения проекта и </w:t>
      </w:r>
      <w:r w:rsidR="00AC5F4B">
        <w:rPr>
          <w:lang w:val="ru-RU"/>
        </w:rPr>
        <w:t>их сдачи в эксплуатацию.  Соответственно</w:t>
      </w:r>
      <w:r w:rsidRPr="00A51DA7">
        <w:rPr>
          <w:lang w:val="ru-RU"/>
        </w:rPr>
        <w:t xml:space="preserve"> </w:t>
      </w:r>
      <w:r w:rsidR="00B60CFA">
        <w:rPr>
          <w:lang w:val="ru-RU"/>
        </w:rPr>
        <w:t>влияние</w:t>
      </w:r>
      <w:r w:rsidR="00AC5F4B">
        <w:rPr>
          <w:lang w:val="ru-RU"/>
        </w:rPr>
        <w:t xml:space="preserve"> таких</w:t>
      </w:r>
      <w:r w:rsidRPr="00A51DA7">
        <w:rPr>
          <w:lang w:val="ru-RU"/>
        </w:rPr>
        <w:t xml:space="preserve"> расходов </w:t>
      </w:r>
      <w:r w:rsidR="00B60CFA">
        <w:rPr>
          <w:lang w:val="ru-RU"/>
        </w:rPr>
        <w:t>на</w:t>
      </w:r>
      <w:r w:rsidR="00AC5F4B">
        <w:rPr>
          <w:lang w:val="ru-RU"/>
        </w:rPr>
        <w:t xml:space="preserve"> состояни</w:t>
      </w:r>
      <w:r w:rsidR="00B60CFA">
        <w:rPr>
          <w:lang w:val="ru-RU"/>
        </w:rPr>
        <w:t>е</w:t>
      </w:r>
      <w:r w:rsidRPr="00A51DA7">
        <w:rPr>
          <w:lang w:val="ru-RU"/>
        </w:rPr>
        <w:t xml:space="preserve"> резерв</w:t>
      </w:r>
      <w:r w:rsidR="00AC5F4B">
        <w:rPr>
          <w:lang w:val="ru-RU"/>
        </w:rPr>
        <w:t>ов</w:t>
      </w:r>
      <w:r w:rsidRPr="00A51DA7">
        <w:rPr>
          <w:lang w:val="ru-RU"/>
        </w:rPr>
        <w:t xml:space="preserve"> Организации</w:t>
      </w:r>
      <w:r w:rsidR="00AC5F4B">
        <w:rPr>
          <w:lang w:val="ru-RU"/>
        </w:rPr>
        <w:t xml:space="preserve"> </w:t>
      </w:r>
      <w:r w:rsidR="00B60CFA">
        <w:rPr>
          <w:lang w:val="ru-RU"/>
        </w:rPr>
        <w:t xml:space="preserve">не фиксируется сразу после завершения проекта, а </w:t>
      </w:r>
      <w:r w:rsidR="00AC5F4B">
        <w:rPr>
          <w:lang w:val="ru-RU"/>
        </w:rPr>
        <w:t>распределя</w:t>
      </w:r>
      <w:r w:rsidR="00B60CFA">
        <w:rPr>
          <w:lang w:val="ru-RU"/>
        </w:rPr>
        <w:t>е</w:t>
      </w:r>
      <w:r w:rsidR="00AC5F4B">
        <w:rPr>
          <w:lang w:val="ru-RU"/>
        </w:rPr>
        <w:t xml:space="preserve">тся </w:t>
      </w:r>
      <w:r w:rsidR="00B60CFA">
        <w:rPr>
          <w:lang w:val="ru-RU"/>
        </w:rPr>
        <w:t>на</w:t>
      </w:r>
      <w:r w:rsidR="00AC5F4B">
        <w:rPr>
          <w:lang w:val="ru-RU"/>
        </w:rPr>
        <w:t xml:space="preserve"> </w:t>
      </w:r>
      <w:r w:rsidRPr="00A51DA7">
        <w:rPr>
          <w:lang w:val="ru-RU"/>
        </w:rPr>
        <w:t>более длительн</w:t>
      </w:r>
      <w:r w:rsidR="00B60CFA">
        <w:rPr>
          <w:lang w:val="ru-RU"/>
        </w:rPr>
        <w:t>ый</w:t>
      </w:r>
      <w:r w:rsidRPr="00A51DA7">
        <w:rPr>
          <w:lang w:val="ru-RU"/>
        </w:rPr>
        <w:t xml:space="preserve"> период </w:t>
      </w:r>
      <w:r w:rsidR="00B60CFA">
        <w:rPr>
          <w:lang w:val="ru-RU"/>
        </w:rPr>
        <w:t>в форме</w:t>
      </w:r>
      <w:r w:rsidRPr="00A51DA7">
        <w:rPr>
          <w:lang w:val="ru-RU"/>
        </w:rPr>
        <w:t xml:space="preserve"> ежегодн</w:t>
      </w:r>
      <w:r w:rsidR="00B60CFA">
        <w:rPr>
          <w:lang w:val="ru-RU"/>
        </w:rPr>
        <w:t>ых начислений</w:t>
      </w:r>
      <w:r w:rsidRPr="00A51DA7">
        <w:rPr>
          <w:lang w:val="ru-RU"/>
        </w:rPr>
        <w:t xml:space="preserve"> амортизаци</w:t>
      </w:r>
      <w:r w:rsidR="00B60CFA">
        <w:rPr>
          <w:lang w:val="ru-RU"/>
        </w:rPr>
        <w:t>и или износа</w:t>
      </w:r>
      <w:r w:rsidRPr="00A51DA7">
        <w:rPr>
          <w:lang w:val="ru-RU"/>
        </w:rPr>
        <w:t>.</w:t>
      </w:r>
    </w:p>
    <w:p w:rsidR="00B60CFA" w:rsidRPr="00B60CFA" w:rsidRDefault="00B60CFA" w:rsidP="00B60CFA">
      <w:pPr>
        <w:rPr>
          <w:lang w:val="ru-RU"/>
        </w:rPr>
      </w:pPr>
    </w:p>
    <w:p w:rsidR="00B60CFA" w:rsidRPr="00B60CFA" w:rsidRDefault="00B60CFA" w:rsidP="00B60CFA">
      <w:pPr>
        <w:tabs>
          <w:tab w:val="left" w:pos="567"/>
          <w:tab w:val="left" w:pos="5670"/>
        </w:tabs>
        <w:spacing w:after="220"/>
        <w:contextualSpacing/>
        <w:rPr>
          <w:lang w:val="ru-RU"/>
        </w:rPr>
      </w:pPr>
    </w:p>
    <w:p w:rsidR="00B60CFA" w:rsidRDefault="00AE7B26" w:rsidP="00207BFD">
      <w:pPr>
        <w:keepNext/>
        <w:keepLines/>
        <w:rPr>
          <w:i/>
          <w:lang w:val="ru-RU"/>
        </w:rPr>
      </w:pPr>
      <w:r>
        <w:rPr>
          <w:i/>
          <w:lang w:val="ru-RU"/>
        </w:rPr>
        <w:t>РАСПРЕДЕЛЕНИЕ ПРЕДЛАГАЕМЫХ ПРОЕКТОВ ГПКР НА 2018-2019 ГГ.</w:t>
      </w:r>
      <w:r w:rsidR="00B65503">
        <w:rPr>
          <w:i/>
          <w:lang w:val="ru-RU"/>
        </w:rPr>
        <w:t xml:space="preserve"> В РАЗБИВКЕ</w:t>
      </w:r>
      <w:r>
        <w:rPr>
          <w:i/>
          <w:lang w:val="ru-RU"/>
        </w:rPr>
        <w:t xml:space="preserve"> ПО СОЮЗАМ</w:t>
      </w:r>
    </w:p>
    <w:p w:rsidR="00B60CFA" w:rsidRPr="00B60CFA" w:rsidRDefault="00B60CFA" w:rsidP="00207BFD">
      <w:pPr>
        <w:keepNext/>
        <w:keepLines/>
        <w:rPr>
          <w:i/>
          <w:lang w:val="ru-RU"/>
        </w:rPr>
      </w:pPr>
    </w:p>
    <w:p w:rsidR="008B092D" w:rsidRPr="00B44BB5" w:rsidRDefault="006B4E78" w:rsidP="00207BFD">
      <w:pPr>
        <w:keepNext/>
        <w:keepLines/>
        <w:numPr>
          <w:ilvl w:val="0"/>
          <w:numId w:val="31"/>
        </w:numPr>
        <w:tabs>
          <w:tab w:val="left" w:pos="567"/>
          <w:tab w:val="left" w:pos="5670"/>
        </w:tabs>
        <w:spacing w:after="220"/>
        <w:ind w:left="0" w:firstLine="0"/>
        <w:contextualSpacing/>
        <w:rPr>
          <w:lang w:val="ru-RU"/>
        </w:rPr>
      </w:pPr>
      <w:r>
        <w:rPr>
          <w:lang w:val="ru-RU"/>
        </w:rPr>
        <w:t>Проекты</w:t>
      </w:r>
      <w:r w:rsidRPr="00B44BB5">
        <w:rPr>
          <w:lang w:val="ru-RU"/>
        </w:rPr>
        <w:t xml:space="preserve"> </w:t>
      </w:r>
      <w:r>
        <w:rPr>
          <w:lang w:val="ru-RU"/>
        </w:rPr>
        <w:t>ГПКР</w:t>
      </w:r>
      <w:r w:rsidRPr="00B44BB5">
        <w:rPr>
          <w:lang w:val="ru-RU"/>
        </w:rPr>
        <w:t xml:space="preserve">, </w:t>
      </w:r>
      <w:r>
        <w:rPr>
          <w:lang w:val="ru-RU"/>
        </w:rPr>
        <w:t>финансировать</w:t>
      </w:r>
      <w:r w:rsidRPr="00B44BB5">
        <w:rPr>
          <w:lang w:val="ru-RU"/>
        </w:rPr>
        <w:t xml:space="preserve"> </w:t>
      </w:r>
      <w:r>
        <w:rPr>
          <w:lang w:val="ru-RU"/>
        </w:rPr>
        <w:t>которые</w:t>
      </w:r>
      <w:r w:rsidRPr="00B44BB5">
        <w:rPr>
          <w:lang w:val="ru-RU"/>
        </w:rPr>
        <w:t xml:space="preserve"> </w:t>
      </w:r>
      <w:r>
        <w:rPr>
          <w:lang w:val="ru-RU"/>
        </w:rPr>
        <w:t>в</w:t>
      </w:r>
      <w:r w:rsidRPr="00B44BB5">
        <w:rPr>
          <w:lang w:val="ru-RU"/>
        </w:rPr>
        <w:t xml:space="preserve"> 2018-2019 </w:t>
      </w:r>
      <w:r>
        <w:rPr>
          <w:lang w:val="ru-RU"/>
        </w:rPr>
        <w:t>гг</w:t>
      </w:r>
      <w:r w:rsidRPr="00B44BB5">
        <w:rPr>
          <w:lang w:val="ru-RU"/>
        </w:rPr>
        <w:t xml:space="preserve">. </w:t>
      </w:r>
      <w:r>
        <w:rPr>
          <w:lang w:val="ru-RU"/>
        </w:rPr>
        <w:t>предлагается</w:t>
      </w:r>
      <w:r w:rsidRPr="00B44BB5">
        <w:rPr>
          <w:lang w:val="ru-RU"/>
        </w:rPr>
        <w:t xml:space="preserve"> </w:t>
      </w:r>
      <w:r>
        <w:rPr>
          <w:lang w:val="ru-RU"/>
        </w:rPr>
        <w:t>из</w:t>
      </w:r>
      <w:r w:rsidRPr="00B44BB5">
        <w:rPr>
          <w:lang w:val="ru-RU"/>
        </w:rPr>
        <w:t xml:space="preserve"> </w:t>
      </w:r>
      <w:r>
        <w:rPr>
          <w:lang w:val="ru-RU"/>
        </w:rPr>
        <w:t>резервов</w:t>
      </w:r>
      <w:r w:rsidRPr="00B44BB5">
        <w:rPr>
          <w:lang w:val="ru-RU"/>
        </w:rPr>
        <w:t xml:space="preserve">, </w:t>
      </w:r>
      <w:r>
        <w:rPr>
          <w:lang w:val="ru-RU"/>
        </w:rPr>
        <w:t>распределяются</w:t>
      </w:r>
      <w:r w:rsidRPr="00B44BB5">
        <w:rPr>
          <w:lang w:val="ru-RU"/>
        </w:rPr>
        <w:t xml:space="preserve"> </w:t>
      </w:r>
      <w:r>
        <w:rPr>
          <w:lang w:val="ru-RU"/>
        </w:rPr>
        <w:t>по</w:t>
      </w:r>
      <w:r w:rsidRPr="00B44BB5">
        <w:rPr>
          <w:lang w:val="ru-RU"/>
        </w:rPr>
        <w:t xml:space="preserve"> </w:t>
      </w:r>
      <w:r w:rsidR="007F2DCD">
        <w:rPr>
          <w:lang w:val="ru-RU"/>
        </w:rPr>
        <w:t>с</w:t>
      </w:r>
      <w:r>
        <w:rPr>
          <w:lang w:val="ru-RU"/>
        </w:rPr>
        <w:t>оюзам</w:t>
      </w:r>
      <w:r w:rsidRPr="00B44BB5">
        <w:rPr>
          <w:lang w:val="ru-RU"/>
        </w:rPr>
        <w:t xml:space="preserve"> </w:t>
      </w:r>
      <w:r w:rsidR="00ED015E">
        <w:rPr>
          <w:lang w:val="ru-RU"/>
        </w:rPr>
        <w:t>с учетом их прямой или косвенной полезности для последних</w:t>
      </w:r>
      <w:r w:rsidR="008B092D" w:rsidRPr="00B44BB5">
        <w:rPr>
          <w:lang w:val="ru-RU"/>
        </w:rPr>
        <w:t>:</w:t>
      </w:r>
    </w:p>
    <w:p w:rsidR="008B092D" w:rsidRPr="00B44BB5" w:rsidRDefault="008B092D" w:rsidP="00FB1239">
      <w:pPr>
        <w:rPr>
          <w:sz w:val="16"/>
          <w:szCs w:val="16"/>
          <w:lang w:val="ru-RU"/>
        </w:rPr>
      </w:pPr>
    </w:p>
    <w:p w:rsidR="008B092D" w:rsidRDefault="00B44BB5" w:rsidP="008B092D">
      <w:pPr>
        <w:pStyle w:val="ListParagraph"/>
      </w:pPr>
      <w:r>
        <w:rPr>
          <w:lang w:val="ru-RU"/>
        </w:rPr>
        <w:t>Глобальная платформа ИС</w:t>
      </w:r>
      <w:r w:rsidR="008B092D">
        <w:t xml:space="preserve"> </w:t>
      </w:r>
    </w:p>
    <w:p w:rsidR="008B092D" w:rsidRPr="00B44BB5" w:rsidRDefault="00C85441" w:rsidP="008B092D">
      <w:pPr>
        <w:pStyle w:val="ListParagraph"/>
        <w:numPr>
          <w:ilvl w:val="1"/>
          <w:numId w:val="23"/>
        </w:numPr>
        <w:rPr>
          <w:lang w:val="ru-RU"/>
        </w:rPr>
      </w:pPr>
      <w:r>
        <w:rPr>
          <w:lang w:val="ru-RU"/>
        </w:rPr>
        <w:t>к</w:t>
      </w:r>
      <w:r w:rsidR="00B44BB5">
        <w:rPr>
          <w:lang w:val="ru-RU"/>
        </w:rPr>
        <w:t>освенно полезна союзам, финансируемым за счет пошлин;</w:t>
      </w:r>
      <w:r w:rsidR="008B092D" w:rsidRPr="00B44BB5">
        <w:rPr>
          <w:lang w:val="ru-RU"/>
        </w:rPr>
        <w:t xml:space="preserve"> </w:t>
      </w:r>
    </w:p>
    <w:p w:rsidR="008B092D" w:rsidRPr="00FA3BDD" w:rsidRDefault="007F2DCD" w:rsidP="008B092D">
      <w:pPr>
        <w:pStyle w:val="ListParagraph"/>
        <w:numPr>
          <w:ilvl w:val="1"/>
          <w:numId w:val="23"/>
        </w:numPr>
        <w:rPr>
          <w:lang w:val="ru-RU"/>
        </w:rPr>
      </w:pPr>
      <w:r>
        <w:rPr>
          <w:lang w:val="ru-RU"/>
        </w:rPr>
        <w:t>расходы</w:t>
      </w:r>
      <w:r w:rsidRPr="00FA3BDD">
        <w:rPr>
          <w:lang w:val="ru-RU"/>
        </w:rPr>
        <w:t xml:space="preserve"> </w:t>
      </w:r>
      <w:r w:rsidR="00FA3BDD">
        <w:rPr>
          <w:lang w:val="ru-RU"/>
        </w:rPr>
        <w:t xml:space="preserve">проводятся в качестве непрямых </w:t>
      </w:r>
      <w:r w:rsidR="0042192C">
        <w:rPr>
          <w:lang w:val="ru-RU"/>
        </w:rPr>
        <w:t>затрат</w:t>
      </w:r>
      <w:r w:rsidR="00FA3BDD" w:rsidRPr="00FA3BDD">
        <w:rPr>
          <w:lang w:val="ru-RU"/>
        </w:rPr>
        <w:t xml:space="preserve"> союз</w:t>
      </w:r>
      <w:r w:rsidR="00FA3BDD">
        <w:rPr>
          <w:lang w:val="ru-RU"/>
        </w:rPr>
        <w:t>ов</w:t>
      </w:r>
      <w:r w:rsidR="00FA3BDD" w:rsidRPr="00FA3BDD">
        <w:rPr>
          <w:lang w:val="ru-RU"/>
        </w:rPr>
        <w:t>, финансируемы</w:t>
      </w:r>
      <w:r w:rsidR="003D5C85">
        <w:rPr>
          <w:lang w:val="ru-RU"/>
        </w:rPr>
        <w:t>х</w:t>
      </w:r>
      <w:r w:rsidR="00FA3BDD" w:rsidRPr="00FA3BDD">
        <w:rPr>
          <w:lang w:val="ru-RU"/>
        </w:rPr>
        <w:t xml:space="preserve"> за счет пошлин</w:t>
      </w:r>
      <w:r w:rsidR="00FA6F7E" w:rsidRPr="00FA3BDD">
        <w:rPr>
          <w:lang w:val="ru-RU"/>
        </w:rPr>
        <w:t xml:space="preserve"> </w:t>
      </w:r>
      <w:r w:rsidR="00FA6F7E" w:rsidRPr="00FA3BDD">
        <w:rPr>
          <w:i/>
          <w:lang w:val="ru-RU"/>
        </w:rPr>
        <w:t>(</w:t>
      </w:r>
      <w:r w:rsidR="00FA3BDD">
        <w:rPr>
          <w:i/>
          <w:lang w:val="ru-RU"/>
        </w:rPr>
        <w:t>принцип платежеспособности</w:t>
      </w:r>
      <w:r w:rsidR="00FA6F7E" w:rsidRPr="00FA3BDD">
        <w:rPr>
          <w:i/>
          <w:lang w:val="ru-RU"/>
        </w:rPr>
        <w:t>)</w:t>
      </w:r>
    </w:p>
    <w:p w:rsidR="008B092D" w:rsidRPr="00FA3BDD" w:rsidRDefault="008B092D" w:rsidP="008B092D">
      <w:pPr>
        <w:pStyle w:val="ListParagraph"/>
        <w:rPr>
          <w:sz w:val="16"/>
          <w:szCs w:val="16"/>
          <w:lang w:val="ru-RU"/>
        </w:rPr>
      </w:pPr>
    </w:p>
    <w:p w:rsidR="008B092D" w:rsidRDefault="003D5C85" w:rsidP="008B092D">
      <w:pPr>
        <w:pStyle w:val="ListParagraph"/>
      </w:pPr>
      <w:r>
        <w:rPr>
          <w:lang w:val="ru-RU"/>
        </w:rPr>
        <w:t>Отказоустойчивая</w:t>
      </w:r>
      <w:r w:rsidRPr="003D5C85">
        <w:t xml:space="preserve"> </w:t>
      </w:r>
      <w:r w:rsidR="006F11C2">
        <w:rPr>
          <w:lang w:val="ru-RU"/>
        </w:rPr>
        <w:t>защищенная</w:t>
      </w:r>
      <w:r w:rsidRPr="003D5C85">
        <w:t xml:space="preserve"> </w:t>
      </w:r>
      <w:r>
        <w:rPr>
          <w:lang w:val="ru-RU"/>
        </w:rPr>
        <w:t xml:space="preserve">платформа </w:t>
      </w:r>
      <w:r w:rsidR="008B092D">
        <w:t>PCT</w:t>
      </w:r>
    </w:p>
    <w:p w:rsidR="008B092D" w:rsidRPr="003D5C85" w:rsidRDefault="003D5C85" w:rsidP="008B092D">
      <w:pPr>
        <w:pStyle w:val="ListParagraph"/>
        <w:numPr>
          <w:ilvl w:val="1"/>
          <w:numId w:val="23"/>
        </w:numPr>
        <w:rPr>
          <w:lang w:val="ru-RU"/>
        </w:rPr>
      </w:pPr>
      <w:r>
        <w:rPr>
          <w:lang w:val="ru-RU"/>
        </w:rPr>
        <w:t>приносит прямую пользу Союзу</w:t>
      </w:r>
      <w:r w:rsidR="008B092D" w:rsidRPr="003D5C85">
        <w:rPr>
          <w:lang w:val="ru-RU"/>
        </w:rPr>
        <w:t xml:space="preserve"> </w:t>
      </w:r>
      <w:r w:rsidR="008B092D">
        <w:t>PCT</w:t>
      </w:r>
      <w:r>
        <w:rPr>
          <w:lang w:val="ru-RU"/>
        </w:rPr>
        <w:t>;</w:t>
      </w:r>
    </w:p>
    <w:p w:rsidR="008B092D" w:rsidRPr="003D5C85" w:rsidRDefault="003D5C85" w:rsidP="008B092D">
      <w:pPr>
        <w:pStyle w:val="ListParagraph"/>
        <w:numPr>
          <w:ilvl w:val="1"/>
          <w:numId w:val="23"/>
        </w:numPr>
        <w:rPr>
          <w:lang w:val="ru-RU"/>
        </w:rPr>
      </w:pPr>
      <w:r w:rsidRPr="003D5C85">
        <w:rPr>
          <w:lang w:val="ru-RU"/>
        </w:rPr>
        <w:t xml:space="preserve">расходы проводятся в качестве прямых </w:t>
      </w:r>
      <w:r w:rsidR="0042192C">
        <w:rPr>
          <w:lang w:val="ru-RU"/>
        </w:rPr>
        <w:t>затрат</w:t>
      </w:r>
      <w:r w:rsidRPr="003D5C85">
        <w:rPr>
          <w:lang w:val="ru-RU"/>
        </w:rPr>
        <w:t xml:space="preserve"> </w:t>
      </w:r>
      <w:r>
        <w:rPr>
          <w:lang w:val="ru-RU"/>
        </w:rPr>
        <w:t xml:space="preserve">Союза </w:t>
      </w:r>
      <w:r w:rsidR="008B092D">
        <w:t>PCT</w:t>
      </w:r>
    </w:p>
    <w:p w:rsidR="008B092D" w:rsidRPr="003D5C85" w:rsidRDefault="008B092D" w:rsidP="008B092D">
      <w:pPr>
        <w:rPr>
          <w:sz w:val="16"/>
          <w:szCs w:val="16"/>
          <w:lang w:val="ru-RU"/>
        </w:rPr>
      </w:pPr>
    </w:p>
    <w:p w:rsidR="00146525" w:rsidRPr="003D5C85" w:rsidRDefault="003D5C85" w:rsidP="004F7559">
      <w:pPr>
        <w:pStyle w:val="ListParagraph"/>
        <w:rPr>
          <w:lang w:val="ru-RU"/>
        </w:rPr>
      </w:pPr>
      <w:r>
        <w:rPr>
          <w:lang w:val="ru-RU"/>
        </w:rPr>
        <w:t>ИТ-платформа Мадридской системы</w:t>
      </w:r>
    </w:p>
    <w:p w:rsidR="00146525" w:rsidRPr="003D5C85" w:rsidRDefault="003D5C85" w:rsidP="00146525">
      <w:pPr>
        <w:pStyle w:val="ListParagraph"/>
        <w:numPr>
          <w:ilvl w:val="1"/>
          <w:numId w:val="23"/>
        </w:numPr>
        <w:rPr>
          <w:lang w:val="ru-RU"/>
        </w:rPr>
      </w:pPr>
      <w:r w:rsidRPr="003D5C85">
        <w:rPr>
          <w:lang w:val="ru-RU"/>
        </w:rPr>
        <w:t>приносит прямую пользу</w:t>
      </w:r>
      <w:r>
        <w:rPr>
          <w:lang w:val="ru-RU"/>
        </w:rPr>
        <w:t xml:space="preserve"> Мадридскому союзу;</w:t>
      </w:r>
    </w:p>
    <w:p w:rsidR="00146525" w:rsidRPr="003D5C85" w:rsidRDefault="003D5C85" w:rsidP="00146525">
      <w:pPr>
        <w:pStyle w:val="ListParagraph"/>
        <w:numPr>
          <w:ilvl w:val="1"/>
          <w:numId w:val="23"/>
        </w:numPr>
        <w:rPr>
          <w:lang w:val="ru-RU"/>
        </w:rPr>
      </w:pPr>
      <w:r w:rsidRPr="003D5C85">
        <w:rPr>
          <w:lang w:val="ru-RU"/>
        </w:rPr>
        <w:t xml:space="preserve">расходы проводятся в качестве прямых </w:t>
      </w:r>
      <w:r w:rsidR="0042192C">
        <w:rPr>
          <w:lang w:val="ru-RU"/>
        </w:rPr>
        <w:t>затрат</w:t>
      </w:r>
      <w:r>
        <w:rPr>
          <w:lang w:val="ru-RU"/>
        </w:rPr>
        <w:t xml:space="preserve"> Мадридского союза</w:t>
      </w:r>
    </w:p>
    <w:p w:rsidR="00FA6F7E" w:rsidRPr="003D5C85" w:rsidRDefault="00FA6F7E" w:rsidP="00FA6F7E">
      <w:pPr>
        <w:pStyle w:val="ListParagraph"/>
        <w:ind w:left="1440"/>
        <w:rPr>
          <w:sz w:val="16"/>
          <w:szCs w:val="16"/>
          <w:lang w:val="ru-RU"/>
        </w:rPr>
      </w:pPr>
    </w:p>
    <w:p w:rsidR="00FA6F7E" w:rsidRPr="00BE4C15" w:rsidRDefault="00BE4C15" w:rsidP="00FA6F7E">
      <w:pPr>
        <w:pStyle w:val="ListParagraph"/>
        <w:rPr>
          <w:lang w:val="ru-RU"/>
        </w:rPr>
      </w:pPr>
      <w:r>
        <w:rPr>
          <w:lang w:val="ru-RU"/>
        </w:rPr>
        <w:t>Система регистрации участников конференций</w:t>
      </w:r>
    </w:p>
    <w:p w:rsidR="00FA6F7E" w:rsidRDefault="00BE4C15" w:rsidP="00FA6F7E">
      <w:pPr>
        <w:pStyle w:val="ListParagraph"/>
        <w:numPr>
          <w:ilvl w:val="1"/>
          <w:numId w:val="25"/>
        </w:numPr>
      </w:pPr>
      <w:r w:rsidRPr="00BE4C15">
        <w:rPr>
          <w:lang w:val="ru-RU"/>
        </w:rPr>
        <w:t>косвенно полезна</w:t>
      </w:r>
      <w:r>
        <w:rPr>
          <w:lang w:val="ru-RU"/>
        </w:rPr>
        <w:t xml:space="preserve">  всем</w:t>
      </w:r>
      <w:r w:rsidRPr="00BE4C15">
        <w:rPr>
          <w:lang w:val="ru-RU"/>
        </w:rPr>
        <w:t xml:space="preserve"> союзам</w:t>
      </w:r>
      <w:r>
        <w:rPr>
          <w:lang w:val="ru-RU"/>
        </w:rPr>
        <w:t>;</w:t>
      </w:r>
      <w:r w:rsidR="00FA6F7E">
        <w:t xml:space="preserve"> </w:t>
      </w:r>
    </w:p>
    <w:p w:rsidR="00FA6F7E" w:rsidRPr="00BE4C15" w:rsidRDefault="00BE4C15" w:rsidP="00FA6F7E">
      <w:pPr>
        <w:pStyle w:val="ListParagraph"/>
        <w:numPr>
          <w:ilvl w:val="1"/>
          <w:numId w:val="23"/>
        </w:numPr>
        <w:rPr>
          <w:lang w:val="ru-RU"/>
        </w:rPr>
      </w:pPr>
      <w:r w:rsidRPr="00BE4C15">
        <w:rPr>
          <w:lang w:val="ru-RU"/>
        </w:rPr>
        <w:t>расходы проводятся в качестве непрямых</w:t>
      </w:r>
      <w:r>
        <w:rPr>
          <w:lang w:val="ru-RU"/>
        </w:rPr>
        <w:t xml:space="preserve"> административных</w:t>
      </w:r>
      <w:r w:rsidRPr="00BE4C15">
        <w:rPr>
          <w:lang w:val="ru-RU"/>
        </w:rPr>
        <w:t xml:space="preserve"> </w:t>
      </w:r>
      <w:r w:rsidR="0042192C">
        <w:rPr>
          <w:lang w:val="ru-RU"/>
        </w:rPr>
        <w:t>затрат всех</w:t>
      </w:r>
      <w:r w:rsidRPr="00BE4C15">
        <w:rPr>
          <w:lang w:val="ru-RU"/>
        </w:rPr>
        <w:t xml:space="preserve"> союзов </w:t>
      </w:r>
      <w:r w:rsidRPr="00BE4C15">
        <w:rPr>
          <w:i/>
          <w:lang w:val="ru-RU"/>
        </w:rPr>
        <w:t>(принцип платежеспособности)</w:t>
      </w:r>
    </w:p>
    <w:p w:rsidR="00FA6F7E" w:rsidRPr="009A588D" w:rsidRDefault="00FA6F7E" w:rsidP="00FA6F7E">
      <w:pPr>
        <w:rPr>
          <w:sz w:val="16"/>
          <w:szCs w:val="16"/>
          <w:lang w:val="ru-RU"/>
        </w:rPr>
      </w:pPr>
    </w:p>
    <w:p w:rsidR="004F7559" w:rsidRPr="0042192C" w:rsidRDefault="0042192C" w:rsidP="004F7559">
      <w:pPr>
        <w:pStyle w:val="ListParagraph"/>
        <w:rPr>
          <w:lang w:val="ru-RU"/>
        </w:rPr>
      </w:pPr>
      <w:r>
        <w:rPr>
          <w:lang w:val="ru-RU"/>
        </w:rPr>
        <w:t>Проекты, связанные с эксплуатацией зданий и обеспечением охраны и безопасности</w:t>
      </w:r>
    </w:p>
    <w:p w:rsidR="004F7559" w:rsidRDefault="0042192C" w:rsidP="004F7559">
      <w:pPr>
        <w:pStyle w:val="ListParagraph"/>
        <w:numPr>
          <w:ilvl w:val="1"/>
          <w:numId w:val="25"/>
        </w:numPr>
      </w:pPr>
      <w:r w:rsidRPr="0042192C">
        <w:rPr>
          <w:lang w:val="ru-RU"/>
        </w:rPr>
        <w:t>косвенно полезн</w:t>
      </w:r>
      <w:r>
        <w:rPr>
          <w:lang w:val="ru-RU"/>
        </w:rPr>
        <w:t>ы</w:t>
      </w:r>
      <w:r w:rsidRPr="0042192C">
        <w:rPr>
          <w:lang w:val="ru-RU"/>
        </w:rPr>
        <w:t xml:space="preserve">  всем союзам</w:t>
      </w:r>
      <w:r>
        <w:rPr>
          <w:lang w:val="ru-RU"/>
        </w:rPr>
        <w:t>;</w:t>
      </w:r>
      <w:r w:rsidR="004F7559">
        <w:t xml:space="preserve"> </w:t>
      </w:r>
    </w:p>
    <w:p w:rsidR="004F7559" w:rsidRPr="0042192C" w:rsidRDefault="0042192C" w:rsidP="004F7559">
      <w:pPr>
        <w:pStyle w:val="ListParagraph"/>
        <w:ind w:left="1440"/>
        <w:rPr>
          <w:lang w:val="ru-RU"/>
        </w:rPr>
      </w:pPr>
      <w:r w:rsidRPr="0042192C">
        <w:rPr>
          <w:lang w:val="ru-RU"/>
        </w:rPr>
        <w:t xml:space="preserve">расходы проводятся в качестве непрямых административных затрат всех союзов </w:t>
      </w:r>
      <w:r w:rsidRPr="0042192C">
        <w:rPr>
          <w:i/>
          <w:lang w:val="ru-RU"/>
        </w:rPr>
        <w:t>(принцип платежеспособности)</w:t>
      </w:r>
      <w:r>
        <w:rPr>
          <w:i/>
          <w:lang w:val="ru-RU"/>
        </w:rPr>
        <w:t xml:space="preserve"> </w:t>
      </w:r>
    </w:p>
    <w:p w:rsidR="00D908E7" w:rsidRPr="0042192C" w:rsidRDefault="00D908E7" w:rsidP="004F7559">
      <w:pPr>
        <w:rPr>
          <w:lang w:val="ru-RU"/>
        </w:rPr>
      </w:pPr>
    </w:p>
    <w:p w:rsidR="00FB1239" w:rsidRPr="004C7705" w:rsidRDefault="0042192C" w:rsidP="0042192C">
      <w:pPr>
        <w:numPr>
          <w:ilvl w:val="0"/>
          <w:numId w:val="31"/>
        </w:numPr>
        <w:tabs>
          <w:tab w:val="left" w:pos="567"/>
          <w:tab w:val="left" w:pos="5670"/>
        </w:tabs>
        <w:ind w:left="0" w:firstLine="0"/>
        <w:contextualSpacing/>
        <w:rPr>
          <w:lang w:val="ru-RU"/>
        </w:rPr>
      </w:pPr>
      <w:r w:rsidRPr="004C7705">
        <w:rPr>
          <w:lang w:val="ru-RU"/>
        </w:rPr>
        <w:t xml:space="preserve">Таблица 5 дает общее представление о распределении расходов в рамках предлагаемых проектов по союзам.  Поскольку на конец 2016 г. </w:t>
      </w:r>
      <w:r w:rsidR="004C7705" w:rsidRPr="004C7705">
        <w:rPr>
          <w:lang w:val="ru-RU"/>
        </w:rPr>
        <w:t xml:space="preserve">по статьям резервов </w:t>
      </w:r>
      <w:r w:rsidRPr="004C7705">
        <w:rPr>
          <w:lang w:val="ru-RU"/>
        </w:rPr>
        <w:t>Гаагск</w:t>
      </w:r>
      <w:r w:rsidR="004C7705" w:rsidRPr="004C7705">
        <w:rPr>
          <w:lang w:val="ru-RU"/>
        </w:rPr>
        <w:t>ого</w:t>
      </w:r>
      <w:r w:rsidRPr="004C7705">
        <w:rPr>
          <w:lang w:val="ru-RU"/>
        </w:rPr>
        <w:t xml:space="preserve"> и Лиссабонск</w:t>
      </w:r>
      <w:r w:rsidR="004C7705" w:rsidRPr="004C7705">
        <w:rPr>
          <w:lang w:val="ru-RU"/>
        </w:rPr>
        <w:t>ого</w:t>
      </w:r>
      <w:r w:rsidRPr="004C7705">
        <w:rPr>
          <w:lang w:val="ru-RU"/>
        </w:rPr>
        <w:t xml:space="preserve"> союз</w:t>
      </w:r>
      <w:r w:rsidR="004C7705" w:rsidRPr="004C7705">
        <w:rPr>
          <w:lang w:val="ru-RU"/>
        </w:rPr>
        <w:t>а был зафиксирован дефицит,  расходы распредел</w:t>
      </w:r>
      <w:r w:rsidR="00ED015E">
        <w:rPr>
          <w:lang w:val="ru-RU"/>
        </w:rPr>
        <w:t>ялись</w:t>
      </w:r>
      <w:r w:rsidR="004C7705" w:rsidRPr="004C7705">
        <w:rPr>
          <w:lang w:val="ru-RU"/>
        </w:rPr>
        <w:t xml:space="preserve"> между союзами, финансируемыми за счет взносов, и Союзом РСТ и Мадридским союзом.  Положительный остаток средств по статьям резервов этих союзов сверх целевого уровня 2018-2019 гг. свидетельствует о том, что предлагаемые проекты ГПКР на 2018-2019 гг. не влекут для этих союзов негативных последствий.</w:t>
      </w:r>
      <w:r w:rsidR="00787511" w:rsidRPr="004C7705">
        <w:rPr>
          <w:lang w:val="ru-RU"/>
        </w:rPr>
        <w:t xml:space="preserve"> </w:t>
      </w:r>
    </w:p>
    <w:p w:rsidR="002524B5" w:rsidRDefault="002524B5">
      <w:pPr>
        <w:rPr>
          <w:szCs w:val="12"/>
          <w:lang w:val="ru-RU"/>
        </w:rPr>
      </w:pPr>
      <w:r>
        <w:rPr>
          <w:szCs w:val="12"/>
          <w:lang w:val="ru-RU"/>
        </w:rPr>
        <w:br w:type="page"/>
      </w:r>
    </w:p>
    <w:p w:rsidR="008F4D76" w:rsidRPr="004C7705" w:rsidRDefault="008F4D76" w:rsidP="00251C01">
      <w:pPr>
        <w:rPr>
          <w:szCs w:val="12"/>
          <w:lang w:val="ru-RU"/>
        </w:rPr>
      </w:pPr>
    </w:p>
    <w:tbl>
      <w:tblPr>
        <w:tblW w:w="9039" w:type="dxa"/>
        <w:jc w:val="center"/>
        <w:tblInd w:w="-1210" w:type="dxa"/>
        <w:tblLook w:val="04A0" w:firstRow="1" w:lastRow="0" w:firstColumn="1" w:lastColumn="0" w:noHBand="0" w:noVBand="1"/>
      </w:tblPr>
      <w:tblGrid>
        <w:gridCol w:w="9039"/>
      </w:tblGrid>
      <w:tr w:rsidR="00CF16A2" w:rsidRPr="00ED015E" w:rsidTr="00CF16A2">
        <w:trPr>
          <w:trHeight w:val="255"/>
          <w:jc w:val="center"/>
        </w:trPr>
        <w:tc>
          <w:tcPr>
            <w:tcW w:w="9039" w:type="dxa"/>
            <w:shd w:val="clear" w:color="auto" w:fill="C6D9F1" w:themeFill="text2" w:themeFillTint="33"/>
            <w:noWrap/>
            <w:vAlign w:val="center"/>
          </w:tcPr>
          <w:p w:rsidR="00CF16A2" w:rsidRPr="004C7705" w:rsidRDefault="004C7705" w:rsidP="009B0223">
            <w:pPr>
              <w:jc w:val="center"/>
              <w:rPr>
                <w:lang w:val="ru-RU"/>
              </w:rPr>
            </w:pPr>
            <w:r>
              <w:rPr>
                <w:lang w:val="ru-RU"/>
              </w:rPr>
              <w:t>Таблица</w:t>
            </w:r>
            <w:r w:rsidR="00CF16A2" w:rsidRPr="004C7705">
              <w:rPr>
                <w:lang w:val="ru-RU"/>
              </w:rPr>
              <w:t xml:space="preserve"> 5: </w:t>
            </w:r>
            <w:r w:rsidRPr="004C7705">
              <w:rPr>
                <w:lang w:val="ru-RU"/>
              </w:rPr>
              <w:t>Оценка состояния резервов на конец 2017 г.</w:t>
            </w:r>
            <w:r>
              <w:rPr>
                <w:lang w:val="ru-RU"/>
              </w:rPr>
              <w:t xml:space="preserve"> в разбивке по союзам</w:t>
            </w:r>
            <w:r w:rsidR="00CF16A2" w:rsidRPr="004C7705">
              <w:rPr>
                <w:lang w:val="ru-RU"/>
              </w:rPr>
              <w:t xml:space="preserve"> </w:t>
            </w:r>
          </w:p>
          <w:p w:rsidR="00CF16A2" w:rsidRPr="00ED015E" w:rsidRDefault="00CF16A2" w:rsidP="00ED015E">
            <w:pPr>
              <w:jc w:val="center"/>
              <w:rPr>
                <w:rFonts w:asciiTheme="minorHAnsi" w:eastAsia="Times New Roman" w:hAnsiTheme="minorHAnsi" w:cstheme="minorHAnsi"/>
                <w:i/>
                <w:color w:val="000000"/>
                <w:sz w:val="18"/>
                <w:szCs w:val="18"/>
                <w:lang w:val="ru-RU" w:eastAsia="en-US"/>
              </w:rPr>
            </w:pPr>
            <w:r w:rsidRPr="00ED015E">
              <w:rPr>
                <w:rFonts w:asciiTheme="minorHAnsi" w:eastAsia="Times New Roman" w:hAnsiTheme="minorHAnsi" w:cstheme="minorHAnsi"/>
                <w:i/>
                <w:color w:val="000000"/>
                <w:sz w:val="18"/>
                <w:szCs w:val="18"/>
                <w:lang w:val="ru-RU" w:eastAsia="en-US"/>
              </w:rPr>
              <w:t>(</w:t>
            </w:r>
            <w:r w:rsidR="004C7705" w:rsidRPr="004C7705">
              <w:rPr>
                <w:rFonts w:asciiTheme="minorHAnsi" w:eastAsia="Times New Roman" w:hAnsiTheme="minorHAnsi" w:cstheme="minorHAnsi"/>
                <w:i/>
                <w:color w:val="000000"/>
                <w:sz w:val="18"/>
                <w:szCs w:val="18"/>
                <w:lang w:val="ru-RU" w:eastAsia="en-US"/>
              </w:rPr>
              <w:t>в</w:t>
            </w:r>
            <w:r w:rsidR="004C7705" w:rsidRPr="00ED015E">
              <w:rPr>
                <w:rFonts w:asciiTheme="minorHAnsi" w:eastAsia="Times New Roman" w:hAnsiTheme="minorHAnsi" w:cstheme="minorHAnsi"/>
                <w:i/>
                <w:color w:val="000000"/>
                <w:sz w:val="18"/>
                <w:szCs w:val="18"/>
                <w:lang w:val="ru-RU" w:eastAsia="en-US"/>
              </w:rPr>
              <w:t xml:space="preserve"> </w:t>
            </w:r>
            <w:r w:rsidR="00ED015E">
              <w:rPr>
                <w:rFonts w:asciiTheme="minorHAnsi" w:eastAsia="Times New Roman" w:hAnsiTheme="minorHAnsi" w:cstheme="minorHAnsi"/>
                <w:i/>
                <w:color w:val="000000"/>
                <w:sz w:val="18"/>
                <w:szCs w:val="18"/>
                <w:lang w:val="ru-RU" w:eastAsia="en-US"/>
              </w:rPr>
              <w:t>тыс.</w:t>
            </w:r>
            <w:r w:rsidR="004C7705" w:rsidRPr="00ED015E">
              <w:rPr>
                <w:rFonts w:asciiTheme="minorHAnsi" w:eastAsia="Times New Roman" w:hAnsiTheme="minorHAnsi" w:cstheme="minorHAnsi"/>
                <w:i/>
                <w:color w:val="000000"/>
                <w:sz w:val="18"/>
                <w:szCs w:val="18"/>
                <w:lang w:val="ru-RU" w:eastAsia="en-US"/>
              </w:rPr>
              <w:t xml:space="preserve"> </w:t>
            </w:r>
            <w:r w:rsidR="004C7705" w:rsidRPr="004C7705">
              <w:rPr>
                <w:rFonts w:asciiTheme="minorHAnsi" w:eastAsia="Times New Roman" w:hAnsiTheme="minorHAnsi" w:cstheme="minorHAnsi"/>
                <w:i/>
                <w:color w:val="000000"/>
                <w:sz w:val="18"/>
                <w:szCs w:val="18"/>
                <w:lang w:val="ru-RU" w:eastAsia="en-US"/>
              </w:rPr>
              <w:t>шв</w:t>
            </w:r>
            <w:r w:rsidR="004C7705" w:rsidRPr="00ED015E">
              <w:rPr>
                <w:rFonts w:asciiTheme="minorHAnsi" w:eastAsia="Times New Roman" w:hAnsiTheme="minorHAnsi" w:cstheme="minorHAnsi"/>
                <w:i/>
                <w:color w:val="000000"/>
                <w:sz w:val="18"/>
                <w:szCs w:val="18"/>
                <w:lang w:val="ru-RU" w:eastAsia="en-US"/>
              </w:rPr>
              <w:t xml:space="preserve">. </w:t>
            </w:r>
            <w:r w:rsidR="004C7705" w:rsidRPr="004C7705">
              <w:rPr>
                <w:rFonts w:asciiTheme="minorHAnsi" w:eastAsia="Times New Roman" w:hAnsiTheme="minorHAnsi" w:cstheme="minorHAnsi"/>
                <w:i/>
                <w:color w:val="000000"/>
                <w:sz w:val="18"/>
                <w:szCs w:val="18"/>
                <w:lang w:val="ru-RU" w:eastAsia="en-US"/>
              </w:rPr>
              <w:t>франков</w:t>
            </w:r>
            <w:r w:rsidRPr="00ED015E">
              <w:rPr>
                <w:rFonts w:asciiTheme="minorHAnsi" w:eastAsia="Times New Roman" w:hAnsiTheme="minorHAnsi" w:cstheme="minorHAnsi"/>
                <w:i/>
                <w:color w:val="000000"/>
                <w:sz w:val="18"/>
                <w:szCs w:val="18"/>
                <w:lang w:val="ru-RU" w:eastAsia="en-US"/>
              </w:rPr>
              <w:t>)</w:t>
            </w:r>
          </w:p>
        </w:tc>
      </w:tr>
    </w:tbl>
    <w:p w:rsidR="009667F9" w:rsidRPr="00ED015E" w:rsidRDefault="009667F9" w:rsidP="009B0223">
      <w:pPr>
        <w:jc w:val="center"/>
        <w:rPr>
          <w:rFonts w:asciiTheme="minorHAnsi" w:eastAsia="Times New Roman" w:hAnsiTheme="minorHAnsi" w:cstheme="minorHAnsi"/>
          <w:i/>
          <w:color w:val="000000"/>
          <w:sz w:val="8"/>
          <w:szCs w:val="8"/>
          <w:lang w:val="ru-RU" w:eastAsia="en-US"/>
        </w:rPr>
      </w:pPr>
    </w:p>
    <w:p w:rsidR="008F4D76" w:rsidRPr="00ED015E" w:rsidRDefault="002524B5" w:rsidP="009B0223">
      <w:pPr>
        <w:rPr>
          <w:lang w:val="ru-RU"/>
        </w:rPr>
      </w:pPr>
      <w:r>
        <w:rPr>
          <w:noProof/>
          <w:lang w:eastAsia="en-US"/>
        </w:rPr>
        <w:drawing>
          <wp:inline distT="0" distB="0" distL="0" distR="0">
            <wp:extent cx="5761355" cy="2607238"/>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1355" cy="2607238"/>
                    </a:xfrm>
                    <a:prstGeom prst="rect">
                      <a:avLst/>
                    </a:prstGeom>
                    <a:noFill/>
                    <a:ln>
                      <a:noFill/>
                    </a:ln>
                  </pic:spPr>
                </pic:pic>
              </a:graphicData>
            </a:graphic>
          </wp:inline>
        </w:drawing>
      </w:r>
    </w:p>
    <w:p w:rsidR="00D63F20" w:rsidRPr="00ED015E" w:rsidRDefault="00D63F20" w:rsidP="009B0223">
      <w:pPr>
        <w:rPr>
          <w:rFonts w:eastAsia="Times New Roman"/>
          <w:i/>
          <w:color w:val="000000"/>
          <w:sz w:val="8"/>
          <w:szCs w:val="8"/>
          <w:lang w:val="ru-RU" w:eastAsia="en-US"/>
        </w:rPr>
      </w:pPr>
    </w:p>
    <w:p w:rsidR="00ED285D" w:rsidRPr="004C7705" w:rsidRDefault="00ED285D" w:rsidP="009B0223">
      <w:pPr>
        <w:rPr>
          <w:rFonts w:eastAsia="Times New Roman"/>
          <w:i/>
          <w:color w:val="000000"/>
          <w:sz w:val="14"/>
          <w:szCs w:val="14"/>
          <w:lang w:val="ru-RU" w:eastAsia="en-US"/>
        </w:rPr>
      </w:pPr>
      <w:r w:rsidRPr="004C7705">
        <w:rPr>
          <w:rFonts w:eastAsia="Times New Roman"/>
          <w:i/>
          <w:color w:val="000000"/>
          <w:sz w:val="14"/>
          <w:szCs w:val="14"/>
          <w:lang w:val="ru-RU" w:eastAsia="en-US"/>
        </w:rPr>
        <w:t>*</w:t>
      </w:r>
      <w:r w:rsidR="004C7705" w:rsidRPr="004C7705">
        <w:rPr>
          <w:rFonts w:eastAsia="Times New Roman"/>
          <w:i/>
          <w:color w:val="000000"/>
          <w:sz w:val="16"/>
          <w:szCs w:val="16"/>
          <w:lang w:val="ru-RU" w:eastAsia="en-US"/>
        </w:rPr>
        <w:t xml:space="preserve"> </w:t>
      </w:r>
      <w:r w:rsidR="004C7705" w:rsidRPr="004C7705">
        <w:rPr>
          <w:rFonts w:eastAsia="Times New Roman"/>
          <w:i/>
          <w:color w:val="000000"/>
          <w:sz w:val="14"/>
          <w:szCs w:val="14"/>
          <w:lang w:val="ru-RU" w:eastAsia="en-US"/>
        </w:rPr>
        <w:t>Исключая фонд оборотных средств (ФОС) и профицит резерва для переоценки стоимости</w:t>
      </w:r>
      <w:r w:rsidR="004C7705">
        <w:rPr>
          <w:rFonts w:eastAsia="Times New Roman"/>
          <w:i/>
          <w:color w:val="000000"/>
          <w:sz w:val="14"/>
          <w:szCs w:val="14"/>
          <w:lang w:val="ru-RU" w:eastAsia="en-US"/>
        </w:rPr>
        <w:t>.</w:t>
      </w:r>
    </w:p>
    <w:p w:rsidR="00ED285D" w:rsidRPr="004C7705" w:rsidRDefault="00ED285D" w:rsidP="009B0223">
      <w:pPr>
        <w:rPr>
          <w:rFonts w:eastAsia="Times New Roman"/>
          <w:i/>
          <w:color w:val="000000"/>
          <w:sz w:val="14"/>
          <w:szCs w:val="14"/>
          <w:lang w:val="ru-RU" w:eastAsia="en-US"/>
        </w:rPr>
      </w:pPr>
      <w:r w:rsidRPr="004C7705">
        <w:rPr>
          <w:rFonts w:eastAsia="Times New Roman"/>
          <w:i/>
          <w:color w:val="000000"/>
          <w:sz w:val="14"/>
          <w:szCs w:val="14"/>
          <w:lang w:val="ru-RU" w:eastAsia="en-US"/>
        </w:rPr>
        <w:t>**</w:t>
      </w:r>
      <w:r w:rsidR="004C7705" w:rsidRPr="004C7705">
        <w:rPr>
          <w:rFonts w:eastAsia="Times New Roman"/>
          <w:i/>
          <w:color w:val="000000"/>
          <w:sz w:val="14"/>
          <w:szCs w:val="14"/>
          <w:lang w:val="ru-RU" w:eastAsia="en-US"/>
        </w:rPr>
        <w:t xml:space="preserve">Целевой уровень резервов рассчитан на основе целевых уровней, определенных для </w:t>
      </w:r>
      <w:r w:rsidR="004C7705">
        <w:rPr>
          <w:rFonts w:eastAsia="Times New Roman"/>
          <w:i/>
          <w:color w:val="000000"/>
          <w:sz w:val="14"/>
          <w:szCs w:val="14"/>
          <w:lang w:val="ru-RU" w:eastAsia="en-US"/>
        </w:rPr>
        <w:t>с</w:t>
      </w:r>
      <w:r w:rsidR="004C7705" w:rsidRPr="004C7705">
        <w:rPr>
          <w:rFonts w:eastAsia="Times New Roman"/>
          <w:i/>
          <w:color w:val="000000"/>
          <w:sz w:val="14"/>
          <w:szCs w:val="14"/>
          <w:lang w:val="ru-RU" w:eastAsia="en-US"/>
        </w:rPr>
        <w:t>оюзов в рамках пересмотренной политики в отношении резервов, т.е. в размере 22% от  совокупного бюджета на двухлетний период 2018-2019 гг. в сумме 725 млн шв. франков</w:t>
      </w:r>
      <w:r w:rsidR="00C04A28" w:rsidRPr="004C7705">
        <w:rPr>
          <w:rFonts w:eastAsia="Times New Roman"/>
          <w:i/>
          <w:color w:val="000000"/>
          <w:sz w:val="14"/>
          <w:szCs w:val="14"/>
          <w:lang w:val="ru-RU" w:eastAsia="en-US"/>
        </w:rPr>
        <w:t>.</w:t>
      </w:r>
    </w:p>
    <w:p w:rsidR="00ED285D" w:rsidRPr="001739A1" w:rsidRDefault="00ED285D" w:rsidP="009B0223">
      <w:pPr>
        <w:rPr>
          <w:rFonts w:eastAsia="Times New Roman"/>
          <w:i/>
          <w:color w:val="000000"/>
          <w:sz w:val="14"/>
          <w:szCs w:val="14"/>
          <w:lang w:val="ru-RU" w:eastAsia="en-US"/>
        </w:rPr>
      </w:pPr>
      <w:r w:rsidRPr="001739A1">
        <w:rPr>
          <w:rFonts w:eastAsia="Times New Roman"/>
          <w:i/>
          <w:color w:val="000000"/>
          <w:sz w:val="14"/>
          <w:szCs w:val="14"/>
          <w:lang w:val="ru-RU" w:eastAsia="en-US"/>
        </w:rPr>
        <w:t>***</w:t>
      </w:r>
      <w:r w:rsidR="001739A1" w:rsidRPr="001739A1">
        <w:rPr>
          <w:rFonts w:eastAsia="Times New Roman"/>
          <w:i/>
          <w:color w:val="000000"/>
          <w:sz w:val="16"/>
          <w:szCs w:val="16"/>
          <w:lang w:val="ru-RU" w:eastAsia="en-US"/>
        </w:rPr>
        <w:t xml:space="preserve"> </w:t>
      </w:r>
      <w:r w:rsidR="001739A1" w:rsidRPr="001739A1">
        <w:rPr>
          <w:rFonts w:eastAsia="Times New Roman"/>
          <w:i/>
          <w:color w:val="000000"/>
          <w:sz w:val="14"/>
          <w:szCs w:val="14"/>
          <w:lang w:val="ru-RU" w:eastAsia="en-US"/>
        </w:rPr>
        <w:t xml:space="preserve">Без учета предполагаемой величины общего итога за вычетом расходов за счет резервных средств </w:t>
      </w:r>
      <w:r w:rsidR="00721904">
        <w:rPr>
          <w:rFonts w:eastAsia="Times New Roman"/>
          <w:i/>
          <w:color w:val="000000"/>
          <w:sz w:val="14"/>
          <w:szCs w:val="14"/>
          <w:lang w:val="ru-RU" w:eastAsia="en-US"/>
        </w:rPr>
        <w:t>в</w:t>
      </w:r>
      <w:r w:rsidR="001739A1" w:rsidRPr="001739A1">
        <w:rPr>
          <w:rFonts w:eastAsia="Times New Roman"/>
          <w:i/>
          <w:color w:val="000000"/>
          <w:sz w:val="14"/>
          <w:szCs w:val="14"/>
          <w:lang w:val="ru-RU" w:eastAsia="en-US"/>
        </w:rPr>
        <w:t xml:space="preserve"> 2017 г., составляющей 24,3 млн шв. франков</w:t>
      </w:r>
    </w:p>
    <w:p w:rsidR="00C25C67" w:rsidRPr="00B33D64" w:rsidRDefault="001739A1" w:rsidP="009B0223">
      <w:pPr>
        <w:rPr>
          <w:rFonts w:eastAsia="Times New Roman"/>
          <w:i/>
          <w:color w:val="000000"/>
          <w:sz w:val="14"/>
          <w:szCs w:val="14"/>
          <w:lang w:val="ru-RU" w:eastAsia="en-US"/>
        </w:rPr>
      </w:pPr>
      <w:r>
        <w:rPr>
          <w:rFonts w:eastAsia="Times New Roman"/>
          <w:i/>
          <w:color w:val="000000"/>
          <w:sz w:val="14"/>
          <w:szCs w:val="14"/>
          <w:lang w:val="ru-RU" w:eastAsia="en-US"/>
        </w:rPr>
        <w:t>Примечание</w:t>
      </w:r>
      <w:r w:rsidR="00D63F20" w:rsidRPr="001739A1">
        <w:rPr>
          <w:rFonts w:eastAsia="Times New Roman"/>
          <w:i/>
          <w:color w:val="000000"/>
          <w:sz w:val="14"/>
          <w:szCs w:val="14"/>
          <w:lang w:val="ru-RU" w:eastAsia="en-US"/>
        </w:rPr>
        <w:t xml:space="preserve">: </w:t>
      </w:r>
      <w:r>
        <w:rPr>
          <w:rFonts w:eastAsia="Times New Roman"/>
          <w:i/>
          <w:color w:val="000000"/>
          <w:sz w:val="14"/>
          <w:szCs w:val="14"/>
          <w:lang w:val="ru-RU" w:eastAsia="en-US"/>
        </w:rPr>
        <w:t>Методология</w:t>
      </w:r>
      <w:r w:rsidRPr="001739A1">
        <w:rPr>
          <w:rFonts w:eastAsia="Times New Roman"/>
          <w:i/>
          <w:color w:val="000000"/>
          <w:sz w:val="14"/>
          <w:szCs w:val="14"/>
          <w:lang w:val="ru-RU" w:eastAsia="en-US"/>
        </w:rPr>
        <w:t xml:space="preserve"> </w:t>
      </w:r>
      <w:r>
        <w:rPr>
          <w:rFonts w:eastAsia="Times New Roman"/>
          <w:i/>
          <w:color w:val="000000"/>
          <w:sz w:val="14"/>
          <w:szCs w:val="14"/>
          <w:lang w:val="ru-RU" w:eastAsia="en-US"/>
        </w:rPr>
        <w:t>р</w:t>
      </w:r>
      <w:r w:rsidRPr="001739A1">
        <w:rPr>
          <w:rFonts w:eastAsia="Times New Roman"/>
          <w:i/>
          <w:color w:val="000000"/>
          <w:sz w:val="14"/>
          <w:szCs w:val="14"/>
          <w:lang w:val="ru-RU" w:eastAsia="en-US"/>
        </w:rPr>
        <w:t>аспределени</w:t>
      </w:r>
      <w:r>
        <w:rPr>
          <w:rFonts w:eastAsia="Times New Roman"/>
          <w:i/>
          <w:color w:val="000000"/>
          <w:sz w:val="14"/>
          <w:szCs w:val="14"/>
          <w:lang w:val="ru-RU" w:eastAsia="en-US"/>
        </w:rPr>
        <w:t>я</w:t>
      </w:r>
      <w:r w:rsidRPr="001739A1">
        <w:rPr>
          <w:rFonts w:eastAsia="Times New Roman"/>
          <w:i/>
          <w:color w:val="000000"/>
          <w:sz w:val="14"/>
          <w:szCs w:val="14"/>
          <w:lang w:val="ru-RU" w:eastAsia="en-US"/>
        </w:rPr>
        <w:t xml:space="preserve"> доходов и расходов  в разбивке по союзам </w:t>
      </w:r>
      <w:r>
        <w:rPr>
          <w:rFonts w:eastAsia="Times New Roman"/>
          <w:i/>
          <w:color w:val="000000"/>
          <w:sz w:val="14"/>
          <w:szCs w:val="14"/>
          <w:lang w:val="ru-RU" w:eastAsia="en-US"/>
        </w:rPr>
        <w:t xml:space="preserve">аналогична использованной для составления Программы и бюджета на 2018-2019 гг. </w:t>
      </w:r>
      <w:r w:rsidRPr="00B33D64">
        <w:rPr>
          <w:rFonts w:eastAsia="Times New Roman"/>
          <w:i/>
          <w:color w:val="000000"/>
          <w:sz w:val="14"/>
          <w:szCs w:val="14"/>
          <w:lang w:val="ru-RU" w:eastAsia="en-US"/>
        </w:rPr>
        <w:t>(</w:t>
      </w:r>
      <w:r>
        <w:rPr>
          <w:rFonts w:eastAsia="Times New Roman"/>
          <w:i/>
          <w:color w:val="000000"/>
          <w:sz w:val="14"/>
          <w:szCs w:val="14"/>
          <w:lang w:val="ru-RU" w:eastAsia="en-US"/>
        </w:rPr>
        <w:t>не</w:t>
      </w:r>
      <w:r w:rsidRPr="00B33D64">
        <w:rPr>
          <w:rFonts w:eastAsia="Times New Roman"/>
          <w:i/>
          <w:color w:val="000000"/>
          <w:sz w:val="14"/>
          <w:szCs w:val="14"/>
          <w:lang w:val="ru-RU" w:eastAsia="en-US"/>
        </w:rPr>
        <w:t xml:space="preserve"> </w:t>
      </w:r>
      <w:r>
        <w:rPr>
          <w:rFonts w:eastAsia="Times New Roman"/>
          <w:i/>
          <w:color w:val="000000"/>
          <w:sz w:val="14"/>
          <w:szCs w:val="14"/>
          <w:lang w:val="ru-RU" w:eastAsia="en-US"/>
        </w:rPr>
        <w:t>менялась</w:t>
      </w:r>
      <w:r w:rsidRPr="00B33D64">
        <w:rPr>
          <w:rFonts w:eastAsia="Times New Roman"/>
          <w:i/>
          <w:color w:val="000000"/>
          <w:sz w:val="14"/>
          <w:szCs w:val="14"/>
          <w:lang w:val="ru-RU" w:eastAsia="en-US"/>
        </w:rPr>
        <w:t xml:space="preserve"> </w:t>
      </w:r>
      <w:r>
        <w:rPr>
          <w:rFonts w:eastAsia="Times New Roman"/>
          <w:i/>
          <w:color w:val="000000"/>
          <w:sz w:val="14"/>
          <w:szCs w:val="14"/>
          <w:lang w:val="ru-RU" w:eastAsia="en-US"/>
        </w:rPr>
        <w:t>с</w:t>
      </w:r>
      <w:r w:rsidRPr="00B33D64">
        <w:rPr>
          <w:rFonts w:eastAsia="Times New Roman"/>
          <w:i/>
          <w:color w:val="000000"/>
          <w:sz w:val="14"/>
          <w:szCs w:val="14"/>
          <w:lang w:val="ru-RU" w:eastAsia="en-US"/>
        </w:rPr>
        <w:t xml:space="preserve"> 2016-2017 </w:t>
      </w:r>
      <w:r>
        <w:rPr>
          <w:rFonts w:eastAsia="Times New Roman"/>
          <w:i/>
          <w:color w:val="000000"/>
          <w:sz w:val="14"/>
          <w:szCs w:val="14"/>
          <w:lang w:val="ru-RU" w:eastAsia="en-US"/>
        </w:rPr>
        <w:t>гг</w:t>
      </w:r>
      <w:r w:rsidRPr="00B33D64">
        <w:rPr>
          <w:rFonts w:eastAsia="Times New Roman"/>
          <w:i/>
          <w:color w:val="000000"/>
          <w:sz w:val="14"/>
          <w:szCs w:val="14"/>
          <w:lang w:val="ru-RU" w:eastAsia="en-US"/>
        </w:rPr>
        <w:t>.)</w:t>
      </w:r>
      <w:r w:rsidR="00C04A28" w:rsidRPr="00B33D64">
        <w:rPr>
          <w:rFonts w:eastAsia="Times New Roman"/>
          <w:i/>
          <w:color w:val="000000"/>
          <w:sz w:val="14"/>
          <w:szCs w:val="14"/>
          <w:lang w:val="ru-RU" w:eastAsia="en-US"/>
        </w:rPr>
        <w:t>.</w:t>
      </w:r>
      <w:r w:rsidR="00D63F20" w:rsidRPr="00B33D64">
        <w:rPr>
          <w:rFonts w:eastAsia="Times New Roman"/>
          <w:i/>
          <w:color w:val="000000"/>
          <w:sz w:val="14"/>
          <w:szCs w:val="14"/>
          <w:lang w:val="ru-RU" w:eastAsia="en-US"/>
        </w:rPr>
        <w:t xml:space="preserve"> </w:t>
      </w:r>
    </w:p>
    <w:p w:rsidR="001739A1" w:rsidRPr="00B33D64" w:rsidRDefault="001739A1" w:rsidP="004615A6">
      <w:pPr>
        <w:pStyle w:val="ONUME"/>
        <w:widowControl w:val="0"/>
        <w:numPr>
          <w:ilvl w:val="0"/>
          <w:numId w:val="0"/>
        </w:numPr>
        <w:tabs>
          <w:tab w:val="left" w:pos="1620"/>
        </w:tabs>
        <w:spacing w:after="0"/>
        <w:rPr>
          <w:b/>
          <w:lang w:val="ru-RU"/>
        </w:rPr>
      </w:pPr>
    </w:p>
    <w:p w:rsidR="004615A6" w:rsidRPr="001A3EA7" w:rsidRDefault="001A3EA7" w:rsidP="004615A6">
      <w:pPr>
        <w:pStyle w:val="ONUME"/>
        <w:widowControl w:val="0"/>
        <w:numPr>
          <w:ilvl w:val="0"/>
          <w:numId w:val="0"/>
        </w:numPr>
        <w:tabs>
          <w:tab w:val="left" w:pos="1620"/>
        </w:tabs>
        <w:spacing w:after="0"/>
        <w:rPr>
          <w:lang w:val="ru-RU"/>
        </w:rPr>
      </w:pPr>
      <w:r>
        <w:rPr>
          <w:b/>
          <w:lang w:val="ru-RU"/>
        </w:rPr>
        <w:t>ВЛИЯНИЕ</w:t>
      </w:r>
      <w:r w:rsidRPr="001A3EA7">
        <w:rPr>
          <w:b/>
          <w:lang w:val="ru-RU"/>
        </w:rPr>
        <w:t xml:space="preserve"> </w:t>
      </w:r>
      <w:r>
        <w:rPr>
          <w:b/>
          <w:lang w:val="ru-RU"/>
        </w:rPr>
        <w:t>НА</w:t>
      </w:r>
      <w:r w:rsidRPr="001A3EA7">
        <w:rPr>
          <w:b/>
          <w:lang w:val="ru-RU"/>
        </w:rPr>
        <w:t xml:space="preserve"> </w:t>
      </w:r>
      <w:r>
        <w:rPr>
          <w:b/>
          <w:lang w:val="ru-RU"/>
        </w:rPr>
        <w:t>ДВИЖЕНИЕ ДЕНЕЖНЫХ СРЕДСТВ И УРОВЕНЬ ЛИКВИДНОСТИ РЕЗЕРВОВ</w:t>
      </w:r>
    </w:p>
    <w:p w:rsidR="004615A6" w:rsidRPr="001A3EA7" w:rsidRDefault="004615A6" w:rsidP="004615A6">
      <w:pPr>
        <w:rPr>
          <w:lang w:val="ru-RU"/>
        </w:rPr>
      </w:pPr>
    </w:p>
    <w:p w:rsidR="00D323E6" w:rsidRDefault="001A3EA7" w:rsidP="00207BFD">
      <w:pPr>
        <w:keepNext/>
        <w:keepLines/>
        <w:numPr>
          <w:ilvl w:val="0"/>
          <w:numId w:val="31"/>
        </w:numPr>
        <w:tabs>
          <w:tab w:val="left" w:pos="567"/>
          <w:tab w:val="left" w:pos="5670"/>
        </w:tabs>
        <w:spacing w:after="220"/>
        <w:ind w:left="0" w:firstLine="0"/>
        <w:contextualSpacing/>
        <w:rPr>
          <w:lang w:val="ru-RU"/>
        </w:rPr>
      </w:pPr>
      <w:r>
        <w:rPr>
          <w:lang w:val="ru-RU"/>
        </w:rPr>
        <w:t>И</w:t>
      </w:r>
      <w:r w:rsidRPr="001A3EA7">
        <w:rPr>
          <w:lang w:val="ru-RU"/>
        </w:rPr>
        <w:t xml:space="preserve"> </w:t>
      </w:r>
      <w:r>
        <w:rPr>
          <w:lang w:val="ru-RU"/>
        </w:rPr>
        <w:t>свободных</w:t>
      </w:r>
      <w:r w:rsidRPr="001A3EA7">
        <w:rPr>
          <w:lang w:val="ru-RU"/>
        </w:rPr>
        <w:t xml:space="preserve"> </w:t>
      </w:r>
      <w:r>
        <w:rPr>
          <w:lang w:val="ru-RU"/>
        </w:rPr>
        <w:t>денежных</w:t>
      </w:r>
      <w:r w:rsidRPr="001A3EA7">
        <w:rPr>
          <w:lang w:val="ru-RU"/>
        </w:rPr>
        <w:t xml:space="preserve"> </w:t>
      </w:r>
      <w:r>
        <w:rPr>
          <w:lang w:val="ru-RU"/>
        </w:rPr>
        <w:t>средств</w:t>
      </w:r>
      <w:r w:rsidRPr="001A3EA7">
        <w:rPr>
          <w:lang w:val="ru-RU"/>
        </w:rPr>
        <w:t xml:space="preserve"> </w:t>
      </w:r>
      <w:r>
        <w:rPr>
          <w:lang w:val="ru-RU"/>
        </w:rPr>
        <w:t>ВОИС</w:t>
      </w:r>
      <w:r w:rsidRPr="001A3EA7">
        <w:rPr>
          <w:lang w:val="ru-RU"/>
        </w:rPr>
        <w:t xml:space="preserve">, </w:t>
      </w:r>
      <w:r>
        <w:rPr>
          <w:lang w:val="ru-RU"/>
        </w:rPr>
        <w:t>и</w:t>
      </w:r>
      <w:r w:rsidRPr="001A3EA7">
        <w:rPr>
          <w:lang w:val="ru-RU"/>
        </w:rPr>
        <w:t xml:space="preserve"> </w:t>
      </w:r>
      <w:r>
        <w:rPr>
          <w:lang w:val="ru-RU"/>
        </w:rPr>
        <w:t>ликвидного</w:t>
      </w:r>
      <w:r w:rsidRPr="001A3EA7">
        <w:rPr>
          <w:lang w:val="ru-RU"/>
        </w:rPr>
        <w:t xml:space="preserve"> </w:t>
      </w:r>
      <w:r>
        <w:rPr>
          <w:lang w:val="ru-RU"/>
        </w:rPr>
        <w:t>компонента</w:t>
      </w:r>
      <w:r w:rsidRPr="001A3EA7">
        <w:rPr>
          <w:lang w:val="ru-RU"/>
        </w:rPr>
        <w:t xml:space="preserve"> </w:t>
      </w:r>
      <w:r>
        <w:rPr>
          <w:lang w:val="ru-RU"/>
        </w:rPr>
        <w:t>ее</w:t>
      </w:r>
      <w:r w:rsidRPr="001A3EA7">
        <w:rPr>
          <w:lang w:val="ru-RU"/>
        </w:rPr>
        <w:t xml:space="preserve"> </w:t>
      </w:r>
      <w:r>
        <w:rPr>
          <w:lang w:val="ru-RU"/>
        </w:rPr>
        <w:t>резервов</w:t>
      </w:r>
      <w:r w:rsidRPr="001A3EA7">
        <w:rPr>
          <w:lang w:val="ru-RU"/>
        </w:rPr>
        <w:t xml:space="preserve"> </w:t>
      </w:r>
      <w:r>
        <w:rPr>
          <w:lang w:val="ru-RU"/>
        </w:rPr>
        <w:t>более</w:t>
      </w:r>
      <w:r w:rsidRPr="001A3EA7">
        <w:rPr>
          <w:lang w:val="ru-RU"/>
        </w:rPr>
        <w:t xml:space="preserve"> </w:t>
      </w:r>
      <w:r>
        <w:rPr>
          <w:lang w:val="ru-RU"/>
        </w:rPr>
        <w:t>чем</w:t>
      </w:r>
      <w:r w:rsidRPr="001A3EA7">
        <w:rPr>
          <w:lang w:val="ru-RU"/>
        </w:rPr>
        <w:t xml:space="preserve"> </w:t>
      </w:r>
      <w:r>
        <w:rPr>
          <w:lang w:val="ru-RU"/>
        </w:rPr>
        <w:t>достаточно</w:t>
      </w:r>
      <w:r w:rsidRPr="001A3EA7">
        <w:rPr>
          <w:lang w:val="ru-RU"/>
        </w:rPr>
        <w:t xml:space="preserve"> </w:t>
      </w:r>
      <w:r>
        <w:rPr>
          <w:lang w:val="ru-RU"/>
        </w:rPr>
        <w:t>для</w:t>
      </w:r>
      <w:r w:rsidRPr="001A3EA7">
        <w:rPr>
          <w:lang w:val="ru-RU"/>
        </w:rPr>
        <w:t xml:space="preserve"> </w:t>
      </w:r>
      <w:r w:rsidR="00D323E6">
        <w:rPr>
          <w:lang w:val="ru-RU"/>
        </w:rPr>
        <w:t>покрытия</w:t>
      </w:r>
      <w:r w:rsidRPr="001A3EA7">
        <w:rPr>
          <w:lang w:val="ru-RU"/>
        </w:rPr>
        <w:t xml:space="preserve"> </w:t>
      </w:r>
      <w:r>
        <w:rPr>
          <w:lang w:val="ru-RU"/>
        </w:rPr>
        <w:t>в</w:t>
      </w:r>
      <w:r w:rsidRPr="001A3EA7">
        <w:rPr>
          <w:lang w:val="ru-RU"/>
        </w:rPr>
        <w:t xml:space="preserve"> </w:t>
      </w:r>
      <w:r>
        <w:rPr>
          <w:lang w:val="ru-RU"/>
        </w:rPr>
        <w:t>полном</w:t>
      </w:r>
      <w:r w:rsidRPr="001A3EA7">
        <w:rPr>
          <w:lang w:val="ru-RU"/>
        </w:rPr>
        <w:t xml:space="preserve"> </w:t>
      </w:r>
      <w:r>
        <w:rPr>
          <w:lang w:val="ru-RU"/>
        </w:rPr>
        <w:t>объеме</w:t>
      </w:r>
      <w:r w:rsidRPr="001A3EA7">
        <w:rPr>
          <w:lang w:val="ru-RU"/>
        </w:rPr>
        <w:t xml:space="preserve"> </w:t>
      </w:r>
      <w:r>
        <w:rPr>
          <w:lang w:val="ru-RU"/>
        </w:rPr>
        <w:t xml:space="preserve">затрат денежных средств </w:t>
      </w:r>
      <w:r w:rsidR="00D323E6">
        <w:rPr>
          <w:lang w:val="ru-RU"/>
        </w:rPr>
        <w:t>на осуществление проектов</w:t>
      </w:r>
      <w:r>
        <w:rPr>
          <w:lang w:val="ru-RU"/>
        </w:rPr>
        <w:t xml:space="preserve"> ГПКР на 2018-2019 гг.</w:t>
      </w:r>
      <w:r w:rsidR="00D323E6">
        <w:rPr>
          <w:lang w:val="ru-RU"/>
        </w:rPr>
        <w:t>, оставшихся проектов ГПКР на 2014-2019 гг.</w:t>
      </w:r>
      <w:r>
        <w:rPr>
          <w:lang w:val="ru-RU"/>
        </w:rPr>
        <w:t xml:space="preserve"> и</w:t>
      </w:r>
      <w:r w:rsidR="00D323E6">
        <w:rPr>
          <w:lang w:val="ru-RU"/>
        </w:rPr>
        <w:t xml:space="preserve"> других специальных проектов, финансируемых за счет резервов.</w:t>
      </w:r>
      <w:r>
        <w:rPr>
          <w:lang w:val="ru-RU"/>
        </w:rPr>
        <w:t xml:space="preserve"> </w:t>
      </w:r>
    </w:p>
    <w:p w:rsidR="00D323E6" w:rsidRDefault="00D323E6" w:rsidP="00D323E6">
      <w:pPr>
        <w:keepNext/>
        <w:keepLines/>
        <w:tabs>
          <w:tab w:val="left" w:pos="567"/>
          <w:tab w:val="left" w:pos="5670"/>
        </w:tabs>
        <w:spacing w:after="220"/>
        <w:contextualSpacing/>
        <w:rPr>
          <w:lang w:val="ru-RU"/>
        </w:rPr>
      </w:pPr>
    </w:p>
    <w:p w:rsidR="00AD6D24" w:rsidRPr="00D323E6" w:rsidRDefault="00D323E6" w:rsidP="00AD6D24">
      <w:pPr>
        <w:rPr>
          <w:i/>
          <w:color w:val="000000"/>
          <w:lang w:val="ru-RU"/>
        </w:rPr>
      </w:pPr>
      <w:r>
        <w:rPr>
          <w:i/>
          <w:color w:val="000000"/>
          <w:lang w:val="ru-RU"/>
        </w:rPr>
        <w:t>В</w:t>
      </w:r>
      <w:r w:rsidRPr="00D323E6">
        <w:rPr>
          <w:i/>
          <w:color w:val="000000"/>
          <w:lang w:val="ru-RU"/>
        </w:rPr>
        <w:t>лияние на движение денежных средств</w:t>
      </w:r>
      <w:r w:rsidR="00AD6D24" w:rsidRPr="00D323E6">
        <w:rPr>
          <w:i/>
          <w:color w:val="000000"/>
          <w:lang w:val="ru-RU"/>
        </w:rPr>
        <w:t xml:space="preserve"> </w:t>
      </w:r>
    </w:p>
    <w:p w:rsidR="00AD6D24" w:rsidRPr="00D323E6" w:rsidRDefault="00AD6D24" w:rsidP="00AD6D24">
      <w:pPr>
        <w:rPr>
          <w:color w:val="000000"/>
          <w:lang w:val="ru-RU"/>
        </w:rPr>
      </w:pPr>
    </w:p>
    <w:p w:rsidR="00AD6D24" w:rsidRPr="00D323E6" w:rsidRDefault="00D323E6" w:rsidP="00D323E6">
      <w:pPr>
        <w:keepNext/>
        <w:keepLines/>
        <w:numPr>
          <w:ilvl w:val="0"/>
          <w:numId w:val="31"/>
        </w:numPr>
        <w:tabs>
          <w:tab w:val="left" w:pos="567"/>
          <w:tab w:val="left" w:pos="5670"/>
        </w:tabs>
        <w:spacing w:after="220"/>
        <w:ind w:left="0" w:firstLine="0"/>
        <w:contextualSpacing/>
        <w:rPr>
          <w:lang w:val="ru-RU"/>
        </w:rPr>
      </w:pPr>
      <w:r>
        <w:rPr>
          <w:lang w:val="ru-RU"/>
        </w:rPr>
        <w:t>За</w:t>
      </w:r>
      <w:r w:rsidRPr="00D323E6">
        <w:rPr>
          <w:lang w:val="ru-RU"/>
        </w:rPr>
        <w:t xml:space="preserve"> </w:t>
      </w:r>
      <w:r>
        <w:rPr>
          <w:lang w:val="ru-RU"/>
        </w:rPr>
        <w:t>вычетом</w:t>
      </w:r>
      <w:r w:rsidRPr="00D323E6">
        <w:rPr>
          <w:lang w:val="ru-RU"/>
        </w:rPr>
        <w:t xml:space="preserve">  </w:t>
      </w:r>
      <w:r>
        <w:rPr>
          <w:lang w:val="ru-RU"/>
        </w:rPr>
        <w:t>опера</w:t>
      </w:r>
      <w:r w:rsidR="005F5C58">
        <w:rPr>
          <w:lang w:val="ru-RU"/>
        </w:rPr>
        <w:t>цион</w:t>
      </w:r>
      <w:r>
        <w:rPr>
          <w:lang w:val="ru-RU"/>
        </w:rPr>
        <w:t>ного</w:t>
      </w:r>
      <w:r w:rsidRPr="00D323E6">
        <w:rPr>
          <w:lang w:val="ru-RU"/>
        </w:rPr>
        <w:t xml:space="preserve"> </w:t>
      </w:r>
      <w:r>
        <w:rPr>
          <w:lang w:val="ru-RU"/>
        </w:rPr>
        <w:t>резерва</w:t>
      </w:r>
      <w:r w:rsidRPr="00D323E6">
        <w:rPr>
          <w:lang w:val="ru-RU"/>
        </w:rPr>
        <w:t xml:space="preserve"> </w:t>
      </w:r>
      <w:r>
        <w:rPr>
          <w:lang w:val="ru-RU"/>
        </w:rPr>
        <w:t xml:space="preserve">в размере 22 процентов от средств Программы и бюджета на 2016-2017 гг. </w:t>
      </w:r>
      <w:r w:rsidR="00E8145F" w:rsidRPr="00D323E6">
        <w:rPr>
          <w:lang w:val="ru-RU"/>
        </w:rPr>
        <w:t xml:space="preserve">(157 </w:t>
      </w:r>
      <w:r>
        <w:rPr>
          <w:lang w:val="ru-RU"/>
        </w:rPr>
        <w:t>млн</w:t>
      </w:r>
      <w:r w:rsidRPr="00D323E6">
        <w:rPr>
          <w:lang w:val="ru-RU"/>
        </w:rPr>
        <w:t xml:space="preserve"> </w:t>
      </w:r>
      <w:r>
        <w:rPr>
          <w:lang w:val="ru-RU"/>
        </w:rPr>
        <w:t>шв</w:t>
      </w:r>
      <w:r w:rsidRPr="00D323E6">
        <w:rPr>
          <w:lang w:val="ru-RU"/>
        </w:rPr>
        <w:t xml:space="preserve">. </w:t>
      </w:r>
      <w:r>
        <w:rPr>
          <w:lang w:val="ru-RU"/>
        </w:rPr>
        <w:t>франков</w:t>
      </w:r>
      <w:r w:rsidR="00E8145F" w:rsidRPr="00D323E6">
        <w:rPr>
          <w:lang w:val="ru-RU"/>
        </w:rPr>
        <w:t xml:space="preserve">) </w:t>
      </w:r>
      <w:r>
        <w:rPr>
          <w:lang w:val="ru-RU"/>
        </w:rPr>
        <w:t xml:space="preserve">и резерва для финансового обеспечения </w:t>
      </w:r>
      <w:r w:rsidRPr="00D323E6">
        <w:rPr>
          <w:lang w:val="ru-RU"/>
        </w:rPr>
        <w:t>обязательств по медицинскому страхованию после прекращения службы (МСПС</w:t>
      </w:r>
      <w:r w:rsidR="00721904">
        <w:rPr>
          <w:lang w:val="ru-RU"/>
        </w:rPr>
        <w:t>)</w:t>
      </w:r>
      <w:r w:rsidR="00AD6D24" w:rsidRPr="00D323E6">
        <w:rPr>
          <w:lang w:val="ru-RU"/>
        </w:rPr>
        <w:t xml:space="preserve"> (</w:t>
      </w:r>
      <w:r>
        <w:rPr>
          <w:lang w:val="ru-RU"/>
        </w:rPr>
        <w:t xml:space="preserve">стратегических </w:t>
      </w:r>
      <w:r w:rsidR="00721904">
        <w:rPr>
          <w:lang w:val="ru-RU"/>
        </w:rPr>
        <w:t xml:space="preserve">денежных </w:t>
      </w:r>
      <w:r>
        <w:rPr>
          <w:lang w:val="ru-RU"/>
        </w:rPr>
        <w:t>средств в размере</w:t>
      </w:r>
      <w:r w:rsidRPr="00D323E6">
        <w:rPr>
          <w:lang w:val="ru-RU"/>
        </w:rPr>
        <w:t xml:space="preserve"> 108,</w:t>
      </w:r>
      <w:r w:rsidR="00AD6D24" w:rsidRPr="00D323E6">
        <w:rPr>
          <w:lang w:val="ru-RU"/>
        </w:rPr>
        <w:t xml:space="preserve">6 </w:t>
      </w:r>
      <w:r w:rsidRPr="00D323E6">
        <w:rPr>
          <w:lang w:val="ru-RU"/>
        </w:rPr>
        <w:t>млн шв. франков</w:t>
      </w:r>
      <w:r w:rsidR="00AD6D24" w:rsidRPr="00D323E6">
        <w:rPr>
          <w:lang w:val="ru-RU"/>
        </w:rPr>
        <w:t>)</w:t>
      </w:r>
      <w:r w:rsidR="00140805">
        <w:rPr>
          <w:lang w:val="ru-RU"/>
        </w:rPr>
        <w:t xml:space="preserve"> остаток основных денежных средств, включая резерв специальных проектов, распределяется следующим образом</w:t>
      </w:r>
      <w:r w:rsidR="00AD6D24" w:rsidRPr="00D323E6">
        <w:rPr>
          <w:lang w:val="ru-RU"/>
        </w:rPr>
        <w:t>:</w:t>
      </w:r>
    </w:p>
    <w:p w:rsidR="00AD6D24" w:rsidRDefault="00AD6D24" w:rsidP="00AD6D24">
      <w:pPr>
        <w:rPr>
          <w:lang w:val="ru-RU"/>
        </w:rPr>
      </w:pPr>
    </w:p>
    <w:p w:rsidR="00D75646" w:rsidRPr="00D323E6" w:rsidRDefault="00D75646" w:rsidP="00AD6D24">
      <w:pPr>
        <w:rPr>
          <w:lang w:val="ru-RU"/>
        </w:rPr>
      </w:pPr>
    </w:p>
    <w:tbl>
      <w:tblPr>
        <w:tblW w:w="6425" w:type="dxa"/>
        <w:jc w:val="center"/>
        <w:tblInd w:w="1404" w:type="dxa"/>
        <w:tblLook w:val="04A0" w:firstRow="1" w:lastRow="0" w:firstColumn="1" w:lastColumn="0" w:noHBand="0" w:noVBand="1"/>
      </w:tblPr>
      <w:tblGrid>
        <w:gridCol w:w="4063"/>
        <w:gridCol w:w="1276"/>
        <w:gridCol w:w="1101"/>
      </w:tblGrid>
      <w:tr w:rsidR="00FA5B68" w:rsidRPr="00FA5B68" w:rsidTr="00634275">
        <w:trPr>
          <w:trHeight w:val="255"/>
          <w:jc w:val="center"/>
        </w:trPr>
        <w:tc>
          <w:tcPr>
            <w:tcW w:w="6425" w:type="dxa"/>
            <w:gridSpan w:val="3"/>
            <w:shd w:val="clear" w:color="auto" w:fill="C6D9F1" w:themeFill="text2" w:themeFillTint="33"/>
            <w:noWrap/>
            <w:vAlign w:val="center"/>
          </w:tcPr>
          <w:p w:rsidR="00FA5B68" w:rsidRPr="00140805" w:rsidRDefault="00140805" w:rsidP="00D908E7">
            <w:pPr>
              <w:keepNext/>
              <w:keepLines/>
              <w:jc w:val="center"/>
              <w:rPr>
                <w:lang w:val="ru-RU"/>
              </w:rPr>
            </w:pPr>
            <w:r>
              <w:rPr>
                <w:lang w:val="ru-RU"/>
              </w:rPr>
              <w:lastRenderedPageBreak/>
              <w:t>Таблица</w:t>
            </w:r>
            <w:r w:rsidR="00FA5B68" w:rsidRPr="00140805">
              <w:rPr>
                <w:lang w:val="ru-RU"/>
              </w:rPr>
              <w:t xml:space="preserve"> 6: </w:t>
            </w:r>
            <w:r>
              <w:rPr>
                <w:lang w:val="ru-RU"/>
              </w:rPr>
              <w:t>Резервы в соответствии с инвестиционной политикой</w:t>
            </w:r>
            <w:r w:rsidR="00FA5B68" w:rsidRPr="00140805">
              <w:rPr>
                <w:lang w:val="ru-RU"/>
              </w:rPr>
              <w:t xml:space="preserve">  </w:t>
            </w:r>
          </w:p>
          <w:p w:rsidR="00FA5B68" w:rsidRPr="00140805" w:rsidRDefault="00FA5B68" w:rsidP="00D908E7">
            <w:pPr>
              <w:keepNext/>
              <w:keepLines/>
              <w:jc w:val="center"/>
              <w:rPr>
                <w:rFonts w:asciiTheme="minorHAnsi" w:eastAsia="Times New Roman" w:hAnsiTheme="minorHAnsi" w:cstheme="minorHAnsi"/>
                <w:i/>
                <w:color w:val="000000"/>
                <w:sz w:val="18"/>
                <w:szCs w:val="18"/>
                <w:lang w:val="ru-RU" w:eastAsia="en-US"/>
              </w:rPr>
            </w:pPr>
            <w:r>
              <w:rPr>
                <w:rFonts w:asciiTheme="minorHAnsi" w:eastAsia="Times New Roman" w:hAnsiTheme="minorHAnsi" w:cstheme="minorHAnsi"/>
                <w:i/>
                <w:color w:val="000000"/>
                <w:sz w:val="18"/>
                <w:szCs w:val="18"/>
                <w:lang w:eastAsia="en-US"/>
              </w:rPr>
              <w:t>(</w:t>
            </w:r>
            <w:r w:rsidR="00140805" w:rsidRPr="00140805">
              <w:rPr>
                <w:rFonts w:asciiTheme="minorHAnsi" w:eastAsia="Times New Roman" w:hAnsiTheme="minorHAnsi" w:cstheme="minorHAnsi"/>
                <w:i/>
                <w:color w:val="000000"/>
                <w:sz w:val="18"/>
                <w:szCs w:val="18"/>
                <w:lang w:val="ru-RU" w:eastAsia="en-US"/>
              </w:rPr>
              <w:t>в</w:t>
            </w:r>
            <w:r w:rsidR="00140805" w:rsidRPr="00140805">
              <w:rPr>
                <w:rFonts w:asciiTheme="minorHAnsi" w:eastAsia="Times New Roman" w:hAnsiTheme="minorHAnsi" w:cstheme="minorHAnsi"/>
                <w:i/>
                <w:color w:val="000000"/>
                <w:sz w:val="18"/>
                <w:szCs w:val="18"/>
                <w:lang w:eastAsia="en-US"/>
              </w:rPr>
              <w:t xml:space="preserve"> </w:t>
            </w:r>
            <w:r w:rsidR="00140805" w:rsidRPr="00140805">
              <w:rPr>
                <w:rFonts w:asciiTheme="minorHAnsi" w:eastAsia="Times New Roman" w:hAnsiTheme="minorHAnsi" w:cstheme="minorHAnsi"/>
                <w:i/>
                <w:color w:val="000000"/>
                <w:sz w:val="18"/>
                <w:szCs w:val="18"/>
                <w:lang w:val="ru-RU" w:eastAsia="en-US"/>
              </w:rPr>
              <w:t>млн</w:t>
            </w:r>
            <w:r w:rsidR="00140805" w:rsidRPr="00140805">
              <w:rPr>
                <w:rFonts w:asciiTheme="minorHAnsi" w:eastAsia="Times New Roman" w:hAnsiTheme="minorHAnsi" w:cstheme="minorHAnsi"/>
                <w:i/>
                <w:color w:val="000000"/>
                <w:sz w:val="18"/>
                <w:szCs w:val="18"/>
                <w:lang w:eastAsia="en-US"/>
              </w:rPr>
              <w:t xml:space="preserve"> </w:t>
            </w:r>
            <w:r w:rsidR="00140805" w:rsidRPr="00140805">
              <w:rPr>
                <w:rFonts w:asciiTheme="minorHAnsi" w:eastAsia="Times New Roman" w:hAnsiTheme="minorHAnsi" w:cstheme="minorHAnsi"/>
                <w:i/>
                <w:color w:val="000000"/>
                <w:sz w:val="18"/>
                <w:szCs w:val="18"/>
                <w:lang w:val="ru-RU" w:eastAsia="en-US"/>
              </w:rPr>
              <w:t>шв</w:t>
            </w:r>
            <w:r w:rsidR="00140805" w:rsidRPr="00140805">
              <w:rPr>
                <w:rFonts w:asciiTheme="minorHAnsi" w:eastAsia="Times New Roman" w:hAnsiTheme="minorHAnsi" w:cstheme="minorHAnsi"/>
                <w:i/>
                <w:color w:val="000000"/>
                <w:sz w:val="18"/>
                <w:szCs w:val="18"/>
                <w:lang w:eastAsia="en-US"/>
              </w:rPr>
              <w:t xml:space="preserve">. </w:t>
            </w:r>
            <w:r w:rsidR="00140805" w:rsidRPr="00140805">
              <w:rPr>
                <w:rFonts w:asciiTheme="minorHAnsi" w:eastAsia="Times New Roman" w:hAnsiTheme="minorHAnsi" w:cstheme="minorHAnsi"/>
                <w:i/>
                <w:color w:val="000000"/>
                <w:sz w:val="18"/>
                <w:szCs w:val="18"/>
                <w:lang w:val="ru-RU" w:eastAsia="en-US"/>
              </w:rPr>
              <w:t>франков</w:t>
            </w:r>
            <w:r w:rsidRPr="00BF5E2E">
              <w:rPr>
                <w:rFonts w:asciiTheme="minorHAnsi" w:eastAsia="Times New Roman" w:hAnsiTheme="minorHAnsi" w:cstheme="minorHAnsi"/>
                <w:i/>
                <w:color w:val="000000"/>
                <w:sz w:val="18"/>
                <w:szCs w:val="18"/>
                <w:lang w:eastAsia="en-US"/>
              </w:rPr>
              <w:t>)</w:t>
            </w:r>
          </w:p>
        </w:tc>
      </w:tr>
      <w:tr w:rsidR="00FA5B68" w:rsidRPr="00FA5B68" w:rsidTr="00691105">
        <w:trPr>
          <w:trHeight w:val="71"/>
          <w:jc w:val="center"/>
        </w:trPr>
        <w:tc>
          <w:tcPr>
            <w:tcW w:w="4063" w:type="dxa"/>
            <w:shd w:val="clear" w:color="auto" w:fill="FFFFFF" w:themeFill="background1"/>
            <w:noWrap/>
            <w:vAlign w:val="center"/>
          </w:tcPr>
          <w:p w:rsidR="00FA5B68" w:rsidRPr="00FA5B68" w:rsidRDefault="00FA5B68" w:rsidP="00D908E7">
            <w:pPr>
              <w:keepNext/>
              <w:keepLines/>
              <w:rPr>
                <w:rFonts w:eastAsia="Times New Roman"/>
                <w:b/>
                <w:color w:val="000000"/>
                <w:sz w:val="8"/>
                <w:szCs w:val="8"/>
                <w:lang w:eastAsia="en-US"/>
              </w:rPr>
            </w:pPr>
          </w:p>
        </w:tc>
        <w:tc>
          <w:tcPr>
            <w:tcW w:w="1276" w:type="dxa"/>
            <w:shd w:val="clear" w:color="auto" w:fill="FFFFFF" w:themeFill="background1"/>
            <w:noWrap/>
            <w:vAlign w:val="bottom"/>
          </w:tcPr>
          <w:p w:rsidR="00FA5B68" w:rsidRPr="00FA5B68" w:rsidRDefault="00FA5B68" w:rsidP="00D908E7">
            <w:pPr>
              <w:keepNext/>
              <w:keepLines/>
              <w:jc w:val="center"/>
              <w:rPr>
                <w:rFonts w:eastAsia="Times New Roman"/>
                <w:color w:val="000000"/>
                <w:sz w:val="18"/>
                <w:szCs w:val="18"/>
                <w:lang w:eastAsia="en-US"/>
              </w:rPr>
            </w:pPr>
          </w:p>
        </w:tc>
        <w:tc>
          <w:tcPr>
            <w:tcW w:w="1086" w:type="dxa"/>
            <w:shd w:val="clear" w:color="auto" w:fill="FFFFFF" w:themeFill="background1"/>
            <w:noWrap/>
            <w:vAlign w:val="bottom"/>
          </w:tcPr>
          <w:p w:rsidR="00FA5B68" w:rsidRPr="00FA5B68" w:rsidRDefault="00FA5B68" w:rsidP="00D908E7">
            <w:pPr>
              <w:keepNext/>
              <w:keepLines/>
              <w:jc w:val="center"/>
              <w:rPr>
                <w:rFonts w:eastAsia="Times New Roman"/>
                <w:color w:val="000000"/>
                <w:sz w:val="18"/>
                <w:szCs w:val="18"/>
                <w:lang w:eastAsia="en-US"/>
              </w:rPr>
            </w:pPr>
          </w:p>
        </w:tc>
      </w:tr>
      <w:tr w:rsidR="00691105" w:rsidRPr="00FA5B68" w:rsidTr="00691105">
        <w:trPr>
          <w:trHeight w:val="255"/>
          <w:jc w:val="center"/>
        </w:trPr>
        <w:tc>
          <w:tcPr>
            <w:tcW w:w="4063" w:type="dxa"/>
            <w:shd w:val="clear" w:color="auto" w:fill="C6D9F1" w:themeFill="text2" w:themeFillTint="33"/>
            <w:noWrap/>
            <w:vAlign w:val="center"/>
            <w:hideMark/>
          </w:tcPr>
          <w:p w:rsidR="00691105" w:rsidRPr="00FA5B68" w:rsidRDefault="00691105" w:rsidP="00D908E7">
            <w:pPr>
              <w:keepNext/>
              <w:keepLines/>
              <w:rPr>
                <w:rFonts w:eastAsia="Times New Roman"/>
                <w:b/>
                <w:color w:val="000000"/>
                <w:sz w:val="18"/>
                <w:szCs w:val="18"/>
                <w:lang w:eastAsia="en-US"/>
              </w:rPr>
            </w:pPr>
          </w:p>
        </w:tc>
        <w:tc>
          <w:tcPr>
            <w:tcW w:w="1276" w:type="dxa"/>
            <w:shd w:val="clear" w:color="auto" w:fill="C6D9F1" w:themeFill="text2" w:themeFillTint="33"/>
            <w:noWrap/>
            <w:vAlign w:val="bottom"/>
            <w:hideMark/>
          </w:tcPr>
          <w:p w:rsidR="00691105" w:rsidRPr="00140805" w:rsidRDefault="00691105" w:rsidP="00140805">
            <w:pPr>
              <w:keepNext/>
              <w:keepLines/>
              <w:jc w:val="center"/>
              <w:rPr>
                <w:rFonts w:eastAsia="Times New Roman"/>
                <w:color w:val="000000"/>
                <w:sz w:val="18"/>
                <w:szCs w:val="18"/>
                <w:lang w:val="ru-RU" w:eastAsia="en-US"/>
              </w:rPr>
            </w:pPr>
            <w:r w:rsidRPr="00FA5B68">
              <w:rPr>
                <w:rFonts w:eastAsia="Times New Roman"/>
                <w:color w:val="000000"/>
                <w:sz w:val="18"/>
                <w:szCs w:val="18"/>
                <w:lang w:eastAsia="en-US"/>
              </w:rPr>
              <w:t>30</w:t>
            </w:r>
            <w:r w:rsidR="00140805">
              <w:rPr>
                <w:rFonts w:eastAsia="Times New Roman"/>
                <w:color w:val="000000"/>
                <w:sz w:val="18"/>
                <w:szCs w:val="18"/>
                <w:lang w:val="ru-RU" w:eastAsia="en-US"/>
              </w:rPr>
              <w:t xml:space="preserve"> апреля</w:t>
            </w:r>
            <w:r w:rsidRPr="00FA5B68">
              <w:rPr>
                <w:rFonts w:eastAsia="Times New Roman"/>
                <w:color w:val="000000"/>
                <w:sz w:val="18"/>
                <w:szCs w:val="18"/>
                <w:lang w:eastAsia="en-US"/>
              </w:rPr>
              <w:t xml:space="preserve"> 2017</w:t>
            </w:r>
            <w:r w:rsidR="00140805">
              <w:rPr>
                <w:rFonts w:eastAsia="Times New Roman"/>
                <w:color w:val="000000"/>
                <w:sz w:val="18"/>
                <w:szCs w:val="18"/>
                <w:lang w:val="ru-RU" w:eastAsia="en-US"/>
              </w:rPr>
              <w:t xml:space="preserve"> г.</w:t>
            </w:r>
          </w:p>
        </w:tc>
        <w:tc>
          <w:tcPr>
            <w:tcW w:w="1086" w:type="dxa"/>
            <w:shd w:val="clear" w:color="auto" w:fill="C6D9F1" w:themeFill="text2" w:themeFillTint="33"/>
            <w:noWrap/>
            <w:vAlign w:val="bottom"/>
            <w:hideMark/>
          </w:tcPr>
          <w:p w:rsidR="00691105" w:rsidRPr="00140805" w:rsidRDefault="00691105" w:rsidP="00140805">
            <w:pPr>
              <w:keepNext/>
              <w:keepLines/>
              <w:jc w:val="center"/>
              <w:rPr>
                <w:rFonts w:eastAsia="Times New Roman"/>
                <w:color w:val="000000"/>
                <w:sz w:val="18"/>
                <w:szCs w:val="18"/>
                <w:lang w:val="ru-RU" w:eastAsia="en-US"/>
              </w:rPr>
            </w:pPr>
            <w:r w:rsidRPr="00FA5B68">
              <w:rPr>
                <w:rFonts w:eastAsia="Times New Roman"/>
                <w:color w:val="000000"/>
                <w:sz w:val="18"/>
                <w:szCs w:val="18"/>
                <w:lang w:eastAsia="en-US"/>
              </w:rPr>
              <w:t>31</w:t>
            </w:r>
            <w:r w:rsidR="00140805">
              <w:rPr>
                <w:rFonts w:eastAsia="Times New Roman"/>
                <w:color w:val="000000"/>
                <w:sz w:val="18"/>
                <w:szCs w:val="18"/>
                <w:lang w:val="ru-RU" w:eastAsia="en-US"/>
              </w:rPr>
              <w:t>декабря</w:t>
            </w:r>
            <w:r w:rsidRPr="00FA5B68">
              <w:rPr>
                <w:rFonts w:eastAsia="Times New Roman"/>
                <w:color w:val="000000"/>
                <w:sz w:val="18"/>
                <w:szCs w:val="18"/>
                <w:lang w:eastAsia="en-US"/>
              </w:rPr>
              <w:t xml:space="preserve"> 2016</w:t>
            </w:r>
            <w:r w:rsidR="00140805">
              <w:rPr>
                <w:rFonts w:eastAsia="Times New Roman"/>
                <w:color w:val="000000"/>
                <w:sz w:val="18"/>
                <w:szCs w:val="18"/>
                <w:lang w:val="ru-RU" w:eastAsia="en-US"/>
              </w:rPr>
              <w:t xml:space="preserve"> г.</w:t>
            </w:r>
          </w:p>
        </w:tc>
      </w:tr>
      <w:tr w:rsidR="00691105" w:rsidRPr="00FA5B68" w:rsidTr="00691105">
        <w:trPr>
          <w:trHeight w:val="255"/>
          <w:jc w:val="center"/>
        </w:trPr>
        <w:tc>
          <w:tcPr>
            <w:tcW w:w="4063" w:type="dxa"/>
            <w:shd w:val="clear" w:color="auto" w:fill="auto"/>
            <w:noWrap/>
            <w:vAlign w:val="bottom"/>
            <w:hideMark/>
          </w:tcPr>
          <w:p w:rsidR="00691105" w:rsidRPr="00B33D64" w:rsidRDefault="00691105" w:rsidP="00D908E7">
            <w:pPr>
              <w:keepNext/>
              <w:keepLines/>
              <w:rPr>
                <w:rFonts w:eastAsia="Times New Roman"/>
                <w:color w:val="000000"/>
                <w:sz w:val="18"/>
                <w:szCs w:val="18"/>
                <w:lang w:val="ru-RU" w:eastAsia="en-US"/>
              </w:rPr>
            </w:pPr>
          </w:p>
          <w:p w:rsidR="00691105" w:rsidRPr="005F5C58" w:rsidRDefault="005F5C58" w:rsidP="005F5C58">
            <w:pPr>
              <w:keepNext/>
              <w:keepLines/>
              <w:rPr>
                <w:rFonts w:eastAsia="Times New Roman"/>
                <w:color w:val="000000"/>
                <w:sz w:val="18"/>
                <w:szCs w:val="18"/>
                <w:lang w:val="ru-RU" w:eastAsia="en-US"/>
              </w:rPr>
            </w:pPr>
            <w:r>
              <w:rPr>
                <w:rFonts w:eastAsia="Times New Roman"/>
                <w:color w:val="000000"/>
                <w:sz w:val="18"/>
                <w:szCs w:val="18"/>
                <w:lang w:val="ru-RU" w:eastAsia="en-US"/>
              </w:rPr>
              <w:t>Все</w:t>
            </w:r>
            <w:r w:rsidRPr="005F5C58">
              <w:rPr>
                <w:rFonts w:eastAsia="Times New Roman"/>
                <w:color w:val="000000"/>
                <w:sz w:val="18"/>
                <w:szCs w:val="18"/>
                <w:lang w:val="ru-RU" w:eastAsia="en-US"/>
              </w:rPr>
              <w:t xml:space="preserve"> </w:t>
            </w:r>
            <w:r>
              <w:rPr>
                <w:rFonts w:eastAsia="Times New Roman"/>
                <w:color w:val="000000"/>
                <w:sz w:val="18"/>
                <w:szCs w:val="18"/>
                <w:lang w:val="ru-RU" w:eastAsia="en-US"/>
              </w:rPr>
              <w:t>денежные</w:t>
            </w:r>
            <w:r w:rsidRPr="005F5C58">
              <w:rPr>
                <w:rFonts w:eastAsia="Times New Roman"/>
                <w:color w:val="000000"/>
                <w:sz w:val="18"/>
                <w:szCs w:val="18"/>
                <w:lang w:val="ru-RU" w:eastAsia="en-US"/>
              </w:rPr>
              <w:t xml:space="preserve"> </w:t>
            </w:r>
            <w:r>
              <w:rPr>
                <w:rFonts w:eastAsia="Times New Roman"/>
                <w:color w:val="000000"/>
                <w:sz w:val="18"/>
                <w:szCs w:val="18"/>
                <w:lang w:val="ru-RU" w:eastAsia="en-US"/>
              </w:rPr>
              <w:t>средства и инвестиции (включая депозиты</w:t>
            </w:r>
            <w:r w:rsidR="00691105" w:rsidRPr="005F5C58">
              <w:rPr>
                <w:rFonts w:eastAsia="Times New Roman"/>
                <w:color w:val="000000"/>
                <w:sz w:val="18"/>
                <w:szCs w:val="18"/>
                <w:lang w:val="ru-RU" w:eastAsia="en-US"/>
              </w:rPr>
              <w:t>)</w:t>
            </w:r>
          </w:p>
        </w:tc>
        <w:tc>
          <w:tcPr>
            <w:tcW w:w="1276" w:type="dxa"/>
            <w:shd w:val="clear" w:color="auto" w:fill="auto"/>
            <w:noWrap/>
            <w:vAlign w:val="bottom"/>
            <w:hideMark/>
          </w:tcPr>
          <w:p w:rsidR="00691105" w:rsidRPr="00FA5B68" w:rsidRDefault="00691105" w:rsidP="00D908E7">
            <w:pPr>
              <w:keepNext/>
              <w:keepLines/>
              <w:jc w:val="center"/>
              <w:rPr>
                <w:rFonts w:eastAsia="Times New Roman"/>
                <w:color w:val="000000"/>
                <w:sz w:val="18"/>
                <w:szCs w:val="18"/>
                <w:lang w:eastAsia="en-US"/>
              </w:rPr>
            </w:pPr>
            <w:r w:rsidRPr="00FA5B68">
              <w:rPr>
                <w:rFonts w:eastAsia="Times New Roman"/>
                <w:color w:val="000000"/>
                <w:sz w:val="18"/>
                <w:szCs w:val="18"/>
                <w:lang w:eastAsia="en-US"/>
              </w:rPr>
              <w:t>473</w:t>
            </w:r>
            <w:r w:rsidR="005F5C58">
              <w:rPr>
                <w:rFonts w:eastAsia="Times New Roman"/>
                <w:color w:val="000000"/>
                <w:sz w:val="18"/>
                <w:szCs w:val="18"/>
                <w:lang w:eastAsia="en-US"/>
              </w:rPr>
              <w:t>,</w:t>
            </w:r>
            <w:r w:rsidRPr="00FA5B68">
              <w:rPr>
                <w:rFonts w:eastAsia="Times New Roman"/>
                <w:color w:val="000000"/>
                <w:sz w:val="18"/>
                <w:szCs w:val="18"/>
                <w:lang w:eastAsia="en-US"/>
              </w:rPr>
              <w:t>2</w:t>
            </w:r>
          </w:p>
        </w:tc>
        <w:tc>
          <w:tcPr>
            <w:tcW w:w="1086" w:type="dxa"/>
            <w:shd w:val="clear" w:color="auto" w:fill="auto"/>
            <w:noWrap/>
            <w:vAlign w:val="bottom"/>
            <w:hideMark/>
          </w:tcPr>
          <w:p w:rsidR="00691105" w:rsidRPr="00FA5B68" w:rsidRDefault="00691105" w:rsidP="00D908E7">
            <w:pPr>
              <w:keepNext/>
              <w:keepLines/>
              <w:jc w:val="center"/>
              <w:rPr>
                <w:rFonts w:eastAsia="Times New Roman"/>
                <w:color w:val="000000"/>
                <w:sz w:val="18"/>
                <w:szCs w:val="18"/>
                <w:lang w:eastAsia="en-US"/>
              </w:rPr>
            </w:pPr>
            <w:r w:rsidRPr="00FA5B68">
              <w:rPr>
                <w:rFonts w:eastAsia="Times New Roman"/>
                <w:color w:val="000000"/>
                <w:sz w:val="18"/>
                <w:szCs w:val="18"/>
                <w:lang w:eastAsia="en-US"/>
              </w:rPr>
              <w:t>542</w:t>
            </w:r>
            <w:r w:rsidR="005F5C58">
              <w:rPr>
                <w:rFonts w:eastAsia="Times New Roman"/>
                <w:color w:val="000000"/>
                <w:sz w:val="18"/>
                <w:szCs w:val="18"/>
                <w:lang w:eastAsia="en-US"/>
              </w:rPr>
              <w:t>,</w:t>
            </w:r>
            <w:r w:rsidRPr="00FA5B68">
              <w:rPr>
                <w:rFonts w:eastAsia="Times New Roman"/>
                <w:color w:val="000000"/>
                <w:sz w:val="18"/>
                <w:szCs w:val="18"/>
                <w:lang w:eastAsia="en-US"/>
              </w:rPr>
              <w:t>3</w:t>
            </w:r>
          </w:p>
        </w:tc>
      </w:tr>
      <w:tr w:rsidR="00691105" w:rsidRPr="00FA5B68" w:rsidTr="00691105">
        <w:trPr>
          <w:trHeight w:val="255"/>
          <w:jc w:val="center"/>
        </w:trPr>
        <w:tc>
          <w:tcPr>
            <w:tcW w:w="4063" w:type="dxa"/>
            <w:shd w:val="clear" w:color="auto" w:fill="auto"/>
            <w:noWrap/>
            <w:vAlign w:val="bottom"/>
            <w:hideMark/>
          </w:tcPr>
          <w:p w:rsidR="00691105" w:rsidRPr="00B33D64" w:rsidRDefault="00691105" w:rsidP="00D908E7">
            <w:pPr>
              <w:keepNext/>
              <w:keepLines/>
              <w:rPr>
                <w:rFonts w:eastAsia="Times New Roman"/>
                <w:color w:val="000000"/>
                <w:sz w:val="18"/>
                <w:szCs w:val="18"/>
                <w:lang w:val="ru-RU" w:eastAsia="en-US"/>
              </w:rPr>
            </w:pPr>
          </w:p>
          <w:p w:rsidR="00691105" w:rsidRPr="00B33D64" w:rsidRDefault="005F5C58" w:rsidP="00D908E7">
            <w:pPr>
              <w:keepNext/>
              <w:keepLines/>
              <w:rPr>
                <w:rFonts w:eastAsia="Times New Roman"/>
                <w:color w:val="000000"/>
                <w:sz w:val="18"/>
                <w:szCs w:val="18"/>
                <w:lang w:val="ru-RU" w:eastAsia="en-US"/>
              </w:rPr>
            </w:pPr>
            <w:r>
              <w:rPr>
                <w:rFonts w:eastAsia="Times New Roman"/>
                <w:color w:val="000000"/>
                <w:sz w:val="18"/>
                <w:szCs w:val="18"/>
                <w:lang w:val="ru-RU" w:eastAsia="en-US"/>
              </w:rPr>
              <w:t>Операционный резерв</w:t>
            </w:r>
            <w:r w:rsidR="00691105" w:rsidRPr="00B33D64">
              <w:rPr>
                <w:rFonts w:eastAsia="Times New Roman"/>
                <w:color w:val="000000"/>
                <w:sz w:val="18"/>
                <w:szCs w:val="18"/>
                <w:lang w:val="ru-RU" w:eastAsia="en-US"/>
              </w:rPr>
              <w:t xml:space="preserve"> </w:t>
            </w:r>
          </w:p>
          <w:p w:rsidR="00691105" w:rsidRPr="00B33D64" w:rsidRDefault="00691105" w:rsidP="00140805">
            <w:pPr>
              <w:keepNext/>
              <w:keepLines/>
              <w:rPr>
                <w:rFonts w:eastAsia="Times New Roman"/>
                <w:color w:val="000000"/>
                <w:sz w:val="18"/>
                <w:szCs w:val="18"/>
                <w:lang w:val="ru-RU" w:eastAsia="en-US"/>
              </w:rPr>
            </w:pPr>
            <w:r w:rsidRPr="00B33D64">
              <w:rPr>
                <w:rFonts w:eastAsia="Times New Roman"/>
                <w:color w:val="000000"/>
                <w:sz w:val="18"/>
                <w:szCs w:val="18"/>
                <w:lang w:val="ru-RU" w:eastAsia="en-US"/>
              </w:rPr>
              <w:t>(</w:t>
            </w:r>
            <w:r w:rsidR="00140805">
              <w:rPr>
                <w:rFonts w:eastAsia="Times New Roman"/>
                <w:color w:val="000000"/>
                <w:sz w:val="18"/>
                <w:szCs w:val="18"/>
                <w:lang w:val="ru-RU" w:eastAsia="en-US"/>
              </w:rPr>
              <w:t>целевой</w:t>
            </w:r>
            <w:r w:rsidR="00140805" w:rsidRPr="00B33D64">
              <w:rPr>
                <w:rFonts w:eastAsia="Times New Roman"/>
                <w:color w:val="000000"/>
                <w:sz w:val="18"/>
                <w:szCs w:val="18"/>
                <w:lang w:val="ru-RU" w:eastAsia="en-US"/>
              </w:rPr>
              <w:t xml:space="preserve"> </w:t>
            </w:r>
            <w:r w:rsidR="00140805">
              <w:rPr>
                <w:rFonts w:eastAsia="Times New Roman"/>
                <w:color w:val="000000"/>
                <w:sz w:val="18"/>
                <w:szCs w:val="18"/>
                <w:lang w:val="ru-RU" w:eastAsia="en-US"/>
              </w:rPr>
              <w:t>показатель</w:t>
            </w:r>
            <w:r w:rsidR="00140805" w:rsidRPr="00B33D64">
              <w:rPr>
                <w:rFonts w:eastAsia="Times New Roman"/>
                <w:color w:val="000000"/>
                <w:sz w:val="18"/>
                <w:szCs w:val="18"/>
                <w:lang w:val="ru-RU" w:eastAsia="en-US"/>
              </w:rPr>
              <w:t xml:space="preserve"> </w:t>
            </w:r>
            <w:r w:rsidR="00140805">
              <w:rPr>
                <w:rFonts w:eastAsia="Times New Roman"/>
                <w:color w:val="000000"/>
                <w:sz w:val="18"/>
                <w:szCs w:val="18"/>
                <w:lang w:val="ru-RU" w:eastAsia="en-US"/>
              </w:rPr>
              <w:t>РФОС</w:t>
            </w:r>
            <w:r w:rsidR="00140805" w:rsidRPr="00B33D64">
              <w:rPr>
                <w:rFonts w:eastAsia="Times New Roman"/>
                <w:color w:val="000000"/>
                <w:sz w:val="18"/>
                <w:szCs w:val="18"/>
                <w:lang w:val="ru-RU" w:eastAsia="en-US"/>
              </w:rPr>
              <w:t xml:space="preserve"> </w:t>
            </w:r>
            <w:r w:rsidR="00140805">
              <w:rPr>
                <w:rFonts w:eastAsia="Times New Roman"/>
                <w:color w:val="000000"/>
                <w:sz w:val="18"/>
                <w:szCs w:val="18"/>
                <w:lang w:val="ru-RU" w:eastAsia="en-US"/>
              </w:rPr>
              <w:t>на</w:t>
            </w:r>
            <w:r w:rsidR="00140805" w:rsidRPr="00B33D64">
              <w:rPr>
                <w:rFonts w:eastAsia="Times New Roman"/>
                <w:color w:val="000000"/>
                <w:sz w:val="18"/>
                <w:szCs w:val="18"/>
                <w:lang w:val="ru-RU" w:eastAsia="en-US"/>
              </w:rPr>
              <w:t xml:space="preserve"> 2016-20</w:t>
            </w:r>
            <w:r w:rsidRPr="00B33D64">
              <w:rPr>
                <w:rFonts w:eastAsia="Times New Roman"/>
                <w:color w:val="000000"/>
                <w:sz w:val="18"/>
                <w:szCs w:val="18"/>
                <w:lang w:val="ru-RU" w:eastAsia="en-US"/>
              </w:rPr>
              <w:t>17</w:t>
            </w:r>
            <w:r w:rsidR="00140805" w:rsidRPr="00B33D64">
              <w:rPr>
                <w:rFonts w:eastAsia="Times New Roman"/>
                <w:color w:val="000000"/>
                <w:sz w:val="18"/>
                <w:szCs w:val="18"/>
                <w:lang w:val="ru-RU" w:eastAsia="en-US"/>
              </w:rPr>
              <w:t xml:space="preserve"> </w:t>
            </w:r>
            <w:r w:rsidR="00140805">
              <w:rPr>
                <w:rFonts w:eastAsia="Times New Roman"/>
                <w:color w:val="000000"/>
                <w:sz w:val="18"/>
                <w:szCs w:val="18"/>
                <w:lang w:val="ru-RU" w:eastAsia="en-US"/>
              </w:rPr>
              <w:t>гг</w:t>
            </w:r>
            <w:r w:rsidR="00140805" w:rsidRPr="00B33D64">
              <w:rPr>
                <w:rFonts w:eastAsia="Times New Roman"/>
                <w:color w:val="000000"/>
                <w:sz w:val="18"/>
                <w:szCs w:val="18"/>
                <w:lang w:val="ru-RU" w:eastAsia="en-US"/>
              </w:rPr>
              <w:t>.</w:t>
            </w:r>
            <w:r w:rsidRPr="00B33D64">
              <w:rPr>
                <w:rFonts w:eastAsia="Times New Roman"/>
                <w:color w:val="000000"/>
                <w:sz w:val="18"/>
                <w:szCs w:val="18"/>
                <w:lang w:val="ru-RU" w:eastAsia="en-US"/>
              </w:rPr>
              <w:t xml:space="preserve">) </w:t>
            </w:r>
          </w:p>
        </w:tc>
        <w:tc>
          <w:tcPr>
            <w:tcW w:w="1276" w:type="dxa"/>
            <w:shd w:val="clear" w:color="auto" w:fill="auto"/>
            <w:noWrap/>
            <w:vAlign w:val="bottom"/>
            <w:hideMark/>
          </w:tcPr>
          <w:p w:rsidR="00691105" w:rsidRPr="00FA5B68" w:rsidRDefault="00691105" w:rsidP="00D908E7">
            <w:pPr>
              <w:keepNext/>
              <w:keepLines/>
              <w:jc w:val="center"/>
              <w:rPr>
                <w:rFonts w:eastAsia="Times New Roman"/>
                <w:color w:val="000000"/>
                <w:sz w:val="18"/>
                <w:szCs w:val="18"/>
                <w:lang w:eastAsia="en-US"/>
              </w:rPr>
            </w:pPr>
            <w:r w:rsidRPr="00FA5B68">
              <w:rPr>
                <w:rFonts w:eastAsia="Times New Roman"/>
                <w:color w:val="000000"/>
                <w:sz w:val="18"/>
                <w:szCs w:val="18"/>
                <w:lang w:eastAsia="en-US"/>
              </w:rPr>
              <w:t>157</w:t>
            </w:r>
            <w:r w:rsidR="005F5C58">
              <w:rPr>
                <w:rFonts w:eastAsia="Times New Roman"/>
                <w:color w:val="000000"/>
                <w:sz w:val="18"/>
                <w:szCs w:val="18"/>
                <w:lang w:eastAsia="en-US"/>
              </w:rPr>
              <w:t>,</w:t>
            </w:r>
            <w:r w:rsidRPr="00FA5B68">
              <w:rPr>
                <w:rFonts w:eastAsia="Times New Roman"/>
                <w:color w:val="000000"/>
                <w:sz w:val="18"/>
                <w:szCs w:val="18"/>
                <w:lang w:eastAsia="en-US"/>
              </w:rPr>
              <w:t>0</w:t>
            </w:r>
          </w:p>
        </w:tc>
        <w:tc>
          <w:tcPr>
            <w:tcW w:w="1086" w:type="dxa"/>
            <w:shd w:val="clear" w:color="auto" w:fill="auto"/>
            <w:noWrap/>
            <w:vAlign w:val="bottom"/>
            <w:hideMark/>
          </w:tcPr>
          <w:p w:rsidR="00691105" w:rsidRPr="00FA5B68" w:rsidRDefault="00691105" w:rsidP="00D908E7">
            <w:pPr>
              <w:keepNext/>
              <w:keepLines/>
              <w:jc w:val="center"/>
              <w:rPr>
                <w:rFonts w:eastAsia="Times New Roman"/>
                <w:color w:val="000000"/>
                <w:sz w:val="18"/>
                <w:szCs w:val="18"/>
                <w:lang w:eastAsia="en-US"/>
              </w:rPr>
            </w:pPr>
            <w:r w:rsidRPr="00FA5B68">
              <w:rPr>
                <w:rFonts w:eastAsia="Times New Roman"/>
                <w:color w:val="000000"/>
                <w:sz w:val="18"/>
                <w:szCs w:val="18"/>
                <w:lang w:eastAsia="en-US"/>
              </w:rPr>
              <w:t>157</w:t>
            </w:r>
            <w:r w:rsidR="005F5C58">
              <w:rPr>
                <w:rFonts w:eastAsia="Times New Roman"/>
                <w:color w:val="000000"/>
                <w:sz w:val="18"/>
                <w:szCs w:val="18"/>
                <w:lang w:eastAsia="en-US"/>
              </w:rPr>
              <w:t>,</w:t>
            </w:r>
            <w:r w:rsidRPr="00FA5B68">
              <w:rPr>
                <w:rFonts w:eastAsia="Times New Roman"/>
                <w:color w:val="000000"/>
                <w:sz w:val="18"/>
                <w:szCs w:val="18"/>
                <w:lang w:eastAsia="en-US"/>
              </w:rPr>
              <w:t>0</w:t>
            </w:r>
          </w:p>
        </w:tc>
      </w:tr>
      <w:tr w:rsidR="00691105" w:rsidRPr="00FA5B68" w:rsidTr="00691105">
        <w:trPr>
          <w:trHeight w:val="255"/>
          <w:jc w:val="center"/>
        </w:trPr>
        <w:tc>
          <w:tcPr>
            <w:tcW w:w="4063" w:type="dxa"/>
            <w:shd w:val="clear" w:color="auto" w:fill="auto"/>
            <w:noWrap/>
            <w:vAlign w:val="bottom"/>
            <w:hideMark/>
          </w:tcPr>
          <w:p w:rsidR="00691105" w:rsidRPr="005F5C58" w:rsidRDefault="005F5C58" w:rsidP="00D908E7">
            <w:pPr>
              <w:keepNext/>
              <w:keepLines/>
              <w:rPr>
                <w:rFonts w:eastAsia="Times New Roman"/>
                <w:color w:val="000000"/>
                <w:sz w:val="18"/>
                <w:szCs w:val="18"/>
                <w:lang w:val="ru-RU" w:eastAsia="en-US"/>
              </w:rPr>
            </w:pPr>
            <w:r>
              <w:rPr>
                <w:rFonts w:eastAsia="Times New Roman"/>
                <w:color w:val="000000"/>
                <w:sz w:val="18"/>
                <w:szCs w:val="18"/>
                <w:lang w:val="ru-RU" w:eastAsia="en-US"/>
              </w:rPr>
              <w:t xml:space="preserve">Стратегические денежные средства </w:t>
            </w:r>
          </w:p>
        </w:tc>
        <w:tc>
          <w:tcPr>
            <w:tcW w:w="1276" w:type="dxa"/>
            <w:shd w:val="clear" w:color="auto" w:fill="auto"/>
            <w:noWrap/>
            <w:vAlign w:val="bottom"/>
            <w:hideMark/>
          </w:tcPr>
          <w:p w:rsidR="00691105" w:rsidRPr="00FA5B68" w:rsidRDefault="00691105" w:rsidP="00D908E7">
            <w:pPr>
              <w:keepNext/>
              <w:keepLines/>
              <w:jc w:val="center"/>
              <w:rPr>
                <w:rFonts w:eastAsia="Times New Roman"/>
                <w:color w:val="000000"/>
                <w:sz w:val="18"/>
                <w:szCs w:val="18"/>
                <w:u w:val="single"/>
                <w:lang w:eastAsia="en-US"/>
              </w:rPr>
            </w:pPr>
            <w:r w:rsidRPr="00FA5B68">
              <w:rPr>
                <w:rFonts w:eastAsia="Times New Roman"/>
                <w:color w:val="000000"/>
                <w:sz w:val="18"/>
                <w:szCs w:val="18"/>
                <w:u w:val="single"/>
                <w:lang w:eastAsia="en-US"/>
              </w:rPr>
              <w:t>108</w:t>
            </w:r>
            <w:r w:rsidR="005F5C58">
              <w:rPr>
                <w:rFonts w:eastAsia="Times New Roman"/>
                <w:color w:val="000000"/>
                <w:sz w:val="18"/>
                <w:szCs w:val="18"/>
                <w:u w:val="single"/>
                <w:lang w:eastAsia="en-US"/>
              </w:rPr>
              <w:t>,</w:t>
            </w:r>
            <w:r w:rsidRPr="00FA5B68">
              <w:rPr>
                <w:rFonts w:eastAsia="Times New Roman"/>
                <w:color w:val="000000"/>
                <w:sz w:val="18"/>
                <w:szCs w:val="18"/>
                <w:u w:val="single"/>
                <w:lang w:eastAsia="en-US"/>
              </w:rPr>
              <w:t>6</w:t>
            </w:r>
          </w:p>
        </w:tc>
        <w:tc>
          <w:tcPr>
            <w:tcW w:w="1086" w:type="dxa"/>
            <w:shd w:val="clear" w:color="auto" w:fill="auto"/>
            <w:noWrap/>
            <w:vAlign w:val="bottom"/>
            <w:hideMark/>
          </w:tcPr>
          <w:p w:rsidR="00691105" w:rsidRPr="00FA5B68" w:rsidRDefault="00691105" w:rsidP="00D908E7">
            <w:pPr>
              <w:keepNext/>
              <w:keepLines/>
              <w:jc w:val="center"/>
              <w:rPr>
                <w:rFonts w:eastAsia="Times New Roman"/>
                <w:color w:val="000000"/>
                <w:sz w:val="18"/>
                <w:szCs w:val="18"/>
                <w:u w:val="single"/>
                <w:lang w:eastAsia="en-US"/>
              </w:rPr>
            </w:pPr>
            <w:r w:rsidRPr="00FA5B68">
              <w:rPr>
                <w:rFonts w:eastAsia="Times New Roman"/>
                <w:color w:val="000000"/>
                <w:sz w:val="18"/>
                <w:szCs w:val="18"/>
                <w:u w:val="single"/>
                <w:lang w:eastAsia="en-US"/>
              </w:rPr>
              <w:t>108</w:t>
            </w:r>
            <w:r w:rsidR="005F5C58">
              <w:rPr>
                <w:rFonts w:eastAsia="Times New Roman"/>
                <w:color w:val="000000"/>
                <w:sz w:val="18"/>
                <w:szCs w:val="18"/>
                <w:u w:val="single"/>
                <w:lang w:eastAsia="en-US"/>
              </w:rPr>
              <w:t>,</w:t>
            </w:r>
            <w:r w:rsidRPr="00FA5B68">
              <w:rPr>
                <w:rFonts w:eastAsia="Times New Roman"/>
                <w:color w:val="000000"/>
                <w:sz w:val="18"/>
                <w:szCs w:val="18"/>
                <w:u w:val="single"/>
                <w:lang w:eastAsia="en-US"/>
              </w:rPr>
              <w:t>6</w:t>
            </w:r>
          </w:p>
        </w:tc>
      </w:tr>
      <w:tr w:rsidR="00691105" w:rsidRPr="00FA5B68" w:rsidTr="00691105">
        <w:trPr>
          <w:trHeight w:val="424"/>
          <w:jc w:val="center"/>
        </w:trPr>
        <w:tc>
          <w:tcPr>
            <w:tcW w:w="4063" w:type="dxa"/>
            <w:shd w:val="clear" w:color="auto" w:fill="auto"/>
            <w:noWrap/>
            <w:vAlign w:val="bottom"/>
            <w:hideMark/>
          </w:tcPr>
          <w:p w:rsidR="00691105" w:rsidRPr="00FA5B68" w:rsidRDefault="005F5C58" w:rsidP="00D908E7">
            <w:pPr>
              <w:keepNext/>
              <w:keepLines/>
              <w:rPr>
                <w:rFonts w:eastAsia="Times New Roman"/>
                <w:color w:val="000000"/>
                <w:sz w:val="18"/>
                <w:szCs w:val="18"/>
                <w:lang w:eastAsia="en-US"/>
              </w:rPr>
            </w:pPr>
            <w:r>
              <w:rPr>
                <w:rFonts w:eastAsia="Times New Roman"/>
                <w:color w:val="000000"/>
                <w:sz w:val="18"/>
                <w:szCs w:val="18"/>
                <w:lang w:val="ru-RU" w:eastAsia="en-US"/>
              </w:rPr>
              <w:t>Основные денежные средства</w:t>
            </w:r>
            <w:r w:rsidR="00691105">
              <w:rPr>
                <w:rFonts w:eastAsia="Times New Roman"/>
                <w:color w:val="000000"/>
                <w:sz w:val="18"/>
                <w:szCs w:val="18"/>
                <w:lang w:eastAsia="en-US"/>
              </w:rPr>
              <w:t>*</w:t>
            </w:r>
          </w:p>
        </w:tc>
        <w:tc>
          <w:tcPr>
            <w:tcW w:w="1276" w:type="dxa"/>
            <w:shd w:val="clear" w:color="auto" w:fill="auto"/>
            <w:noWrap/>
            <w:vAlign w:val="bottom"/>
            <w:hideMark/>
          </w:tcPr>
          <w:p w:rsidR="00691105" w:rsidRPr="00FA5B68" w:rsidRDefault="00691105" w:rsidP="00D908E7">
            <w:pPr>
              <w:keepNext/>
              <w:keepLines/>
              <w:jc w:val="center"/>
              <w:rPr>
                <w:rFonts w:eastAsia="Times New Roman"/>
                <w:color w:val="000000"/>
                <w:sz w:val="18"/>
                <w:szCs w:val="18"/>
                <w:lang w:eastAsia="en-US"/>
              </w:rPr>
            </w:pPr>
            <w:r w:rsidRPr="00FA5B68">
              <w:rPr>
                <w:rFonts w:eastAsia="Times New Roman"/>
                <w:color w:val="000000"/>
                <w:sz w:val="18"/>
                <w:szCs w:val="18"/>
                <w:lang w:eastAsia="en-US"/>
              </w:rPr>
              <w:t>207</w:t>
            </w:r>
            <w:r w:rsidR="005F5C58">
              <w:rPr>
                <w:rFonts w:eastAsia="Times New Roman"/>
                <w:color w:val="000000"/>
                <w:sz w:val="18"/>
                <w:szCs w:val="18"/>
                <w:lang w:eastAsia="en-US"/>
              </w:rPr>
              <w:t>,</w:t>
            </w:r>
            <w:r w:rsidRPr="00FA5B68">
              <w:rPr>
                <w:rFonts w:eastAsia="Times New Roman"/>
                <w:color w:val="000000"/>
                <w:sz w:val="18"/>
                <w:szCs w:val="18"/>
                <w:lang w:eastAsia="en-US"/>
              </w:rPr>
              <w:t>6</w:t>
            </w:r>
          </w:p>
        </w:tc>
        <w:tc>
          <w:tcPr>
            <w:tcW w:w="1086" w:type="dxa"/>
            <w:shd w:val="clear" w:color="auto" w:fill="auto"/>
            <w:noWrap/>
            <w:vAlign w:val="bottom"/>
            <w:hideMark/>
          </w:tcPr>
          <w:p w:rsidR="00691105" w:rsidRPr="00FA5B68" w:rsidRDefault="00691105" w:rsidP="00D908E7">
            <w:pPr>
              <w:keepNext/>
              <w:keepLines/>
              <w:jc w:val="center"/>
              <w:rPr>
                <w:rFonts w:eastAsia="Times New Roman"/>
                <w:color w:val="000000"/>
                <w:sz w:val="18"/>
                <w:szCs w:val="18"/>
                <w:lang w:eastAsia="en-US"/>
              </w:rPr>
            </w:pPr>
            <w:r w:rsidRPr="00FA5B68">
              <w:rPr>
                <w:rFonts w:eastAsia="Times New Roman"/>
                <w:color w:val="000000"/>
                <w:sz w:val="18"/>
                <w:szCs w:val="18"/>
                <w:lang w:eastAsia="en-US"/>
              </w:rPr>
              <w:t>276</w:t>
            </w:r>
            <w:r w:rsidR="005F5C58">
              <w:rPr>
                <w:rFonts w:eastAsia="Times New Roman"/>
                <w:color w:val="000000"/>
                <w:sz w:val="18"/>
                <w:szCs w:val="18"/>
                <w:lang w:eastAsia="en-US"/>
              </w:rPr>
              <w:t>,</w:t>
            </w:r>
            <w:r w:rsidRPr="00FA5B68">
              <w:rPr>
                <w:rFonts w:eastAsia="Times New Roman"/>
                <w:color w:val="000000"/>
                <w:sz w:val="18"/>
                <w:szCs w:val="18"/>
                <w:lang w:eastAsia="en-US"/>
              </w:rPr>
              <w:t>7</w:t>
            </w:r>
          </w:p>
        </w:tc>
      </w:tr>
      <w:tr w:rsidR="00B80E44" w:rsidRPr="00FA5B68" w:rsidTr="00691105">
        <w:trPr>
          <w:trHeight w:val="255"/>
          <w:jc w:val="center"/>
        </w:trPr>
        <w:tc>
          <w:tcPr>
            <w:tcW w:w="4063" w:type="dxa"/>
            <w:shd w:val="clear" w:color="auto" w:fill="C6D9F1" w:themeFill="text2" w:themeFillTint="33"/>
            <w:noWrap/>
            <w:vAlign w:val="bottom"/>
          </w:tcPr>
          <w:p w:rsidR="00B80E44" w:rsidRPr="00FA5B68" w:rsidRDefault="00B80E44" w:rsidP="00D908E7">
            <w:pPr>
              <w:keepNext/>
              <w:keepLines/>
              <w:rPr>
                <w:rFonts w:eastAsia="Times New Roman"/>
                <w:color w:val="000000"/>
                <w:sz w:val="18"/>
                <w:szCs w:val="18"/>
                <w:lang w:eastAsia="en-US"/>
              </w:rPr>
            </w:pPr>
          </w:p>
        </w:tc>
        <w:tc>
          <w:tcPr>
            <w:tcW w:w="1276" w:type="dxa"/>
            <w:shd w:val="clear" w:color="auto" w:fill="C6D9F1" w:themeFill="text2" w:themeFillTint="33"/>
            <w:noWrap/>
            <w:vAlign w:val="bottom"/>
          </w:tcPr>
          <w:p w:rsidR="00B80E44" w:rsidRPr="00FA5B68" w:rsidRDefault="00B80E44" w:rsidP="00D908E7">
            <w:pPr>
              <w:keepNext/>
              <w:keepLines/>
              <w:jc w:val="right"/>
              <w:rPr>
                <w:rFonts w:eastAsia="Times New Roman"/>
                <w:color w:val="000000"/>
                <w:sz w:val="18"/>
                <w:szCs w:val="18"/>
                <w:lang w:eastAsia="en-US"/>
              </w:rPr>
            </w:pPr>
          </w:p>
        </w:tc>
        <w:tc>
          <w:tcPr>
            <w:tcW w:w="1086" w:type="dxa"/>
            <w:shd w:val="clear" w:color="auto" w:fill="C6D9F1" w:themeFill="text2" w:themeFillTint="33"/>
            <w:noWrap/>
            <w:vAlign w:val="bottom"/>
          </w:tcPr>
          <w:p w:rsidR="00B80E44" w:rsidRPr="00FA5B68" w:rsidRDefault="00B80E44" w:rsidP="00D908E7">
            <w:pPr>
              <w:keepNext/>
              <w:keepLines/>
              <w:jc w:val="right"/>
              <w:rPr>
                <w:rFonts w:eastAsia="Times New Roman"/>
                <w:color w:val="000000"/>
                <w:sz w:val="18"/>
                <w:szCs w:val="18"/>
                <w:lang w:eastAsia="en-US"/>
              </w:rPr>
            </w:pPr>
          </w:p>
        </w:tc>
      </w:tr>
    </w:tbl>
    <w:p w:rsidR="00AD6D24" w:rsidRDefault="00755C05" w:rsidP="00755C05">
      <w:pPr>
        <w:pStyle w:val="ListParagraph"/>
        <w:spacing w:before="60"/>
        <w:ind w:firstLine="414"/>
        <w:rPr>
          <w:i/>
          <w:sz w:val="16"/>
          <w:szCs w:val="16"/>
          <w:lang w:val="ru-RU"/>
        </w:rPr>
      </w:pPr>
      <w:r w:rsidRPr="005F5C58">
        <w:rPr>
          <w:i/>
          <w:sz w:val="16"/>
          <w:szCs w:val="16"/>
          <w:lang w:val="ru-RU"/>
        </w:rPr>
        <w:t xml:space="preserve">    *</w:t>
      </w:r>
      <w:r w:rsidR="005F5C58">
        <w:rPr>
          <w:i/>
          <w:sz w:val="16"/>
          <w:szCs w:val="16"/>
          <w:lang w:val="ru-RU"/>
        </w:rPr>
        <w:t>В основные денежные средства включен резерв специальных проектов.</w:t>
      </w:r>
      <w:r w:rsidRPr="005F5C58">
        <w:rPr>
          <w:i/>
          <w:sz w:val="16"/>
          <w:szCs w:val="16"/>
          <w:lang w:val="ru-RU"/>
        </w:rPr>
        <w:t xml:space="preserve">  </w:t>
      </w:r>
    </w:p>
    <w:p w:rsidR="00D75646" w:rsidRDefault="00D75646" w:rsidP="00755C05">
      <w:pPr>
        <w:pStyle w:val="ListParagraph"/>
        <w:spacing w:before="60"/>
        <w:ind w:firstLine="414"/>
        <w:rPr>
          <w:i/>
          <w:sz w:val="16"/>
          <w:szCs w:val="16"/>
          <w:lang w:val="ru-RU"/>
        </w:rPr>
      </w:pPr>
    </w:p>
    <w:p w:rsidR="00D75646" w:rsidRDefault="00D75646" w:rsidP="00755C05">
      <w:pPr>
        <w:pStyle w:val="ListParagraph"/>
        <w:spacing w:before="60"/>
        <w:ind w:firstLine="414"/>
        <w:rPr>
          <w:i/>
          <w:sz w:val="16"/>
          <w:szCs w:val="16"/>
          <w:lang w:val="ru-RU"/>
        </w:rPr>
      </w:pPr>
    </w:p>
    <w:p w:rsidR="00D75646" w:rsidRDefault="00D75646" w:rsidP="00755C05">
      <w:pPr>
        <w:pStyle w:val="ListParagraph"/>
        <w:spacing w:before="60"/>
        <w:ind w:firstLine="414"/>
        <w:rPr>
          <w:i/>
          <w:sz w:val="16"/>
          <w:szCs w:val="16"/>
          <w:lang w:val="ru-RU"/>
        </w:rPr>
      </w:pPr>
    </w:p>
    <w:p w:rsidR="00D75646" w:rsidRPr="00D75646" w:rsidRDefault="00D75646" w:rsidP="00D75646">
      <w:pPr>
        <w:keepNext/>
        <w:keepLines/>
        <w:numPr>
          <w:ilvl w:val="0"/>
          <w:numId w:val="31"/>
        </w:numPr>
        <w:tabs>
          <w:tab w:val="left" w:pos="567"/>
          <w:tab w:val="left" w:pos="5670"/>
        </w:tabs>
        <w:spacing w:after="220"/>
        <w:ind w:left="0" w:firstLine="0"/>
        <w:contextualSpacing/>
        <w:rPr>
          <w:lang w:val="ru-RU"/>
        </w:rPr>
      </w:pPr>
      <w:r>
        <w:rPr>
          <w:lang w:val="ru-RU"/>
        </w:rPr>
        <w:t>Сокращение объема</w:t>
      </w:r>
      <w:r w:rsidRPr="00D75646">
        <w:rPr>
          <w:lang w:val="ru-RU"/>
        </w:rPr>
        <w:t xml:space="preserve"> денежных средств </w:t>
      </w:r>
      <w:r>
        <w:rPr>
          <w:lang w:val="ru-RU"/>
        </w:rPr>
        <w:t>за период с</w:t>
      </w:r>
      <w:r w:rsidRPr="00D75646">
        <w:rPr>
          <w:lang w:val="ru-RU"/>
        </w:rPr>
        <w:t xml:space="preserve"> 31 декабря 2016 г</w:t>
      </w:r>
      <w:r w:rsidR="00D36EE7">
        <w:rPr>
          <w:lang w:val="ru-RU"/>
        </w:rPr>
        <w:t>.</w:t>
      </w:r>
      <w:r w:rsidRPr="00D75646">
        <w:rPr>
          <w:lang w:val="ru-RU"/>
        </w:rPr>
        <w:t xml:space="preserve"> по 30 апреля 2017 г</w:t>
      </w:r>
      <w:r w:rsidR="00D36EE7">
        <w:rPr>
          <w:lang w:val="ru-RU"/>
        </w:rPr>
        <w:t>. обусловлено проведением</w:t>
      </w:r>
      <w:r w:rsidRPr="00D75646">
        <w:rPr>
          <w:lang w:val="ru-RU"/>
        </w:rPr>
        <w:t xml:space="preserve"> стратегии ограничения </w:t>
      </w:r>
      <w:r w:rsidR="00D36EE7">
        <w:rPr>
          <w:lang w:val="ru-RU"/>
        </w:rPr>
        <w:t>последствий существующих</w:t>
      </w:r>
      <w:r w:rsidRPr="00D75646">
        <w:rPr>
          <w:lang w:val="ru-RU"/>
        </w:rPr>
        <w:t xml:space="preserve"> отрицательных процентных ставок в швейцарских франках, в</w:t>
      </w:r>
      <w:r w:rsidR="00D36EE7">
        <w:rPr>
          <w:lang w:val="ru-RU"/>
        </w:rPr>
        <w:t xml:space="preserve"> рамках которой</w:t>
      </w:r>
      <w:r w:rsidRPr="00D75646">
        <w:rPr>
          <w:lang w:val="ru-RU"/>
        </w:rPr>
        <w:t xml:space="preserve"> ВОИС </w:t>
      </w:r>
      <w:r w:rsidR="00D36EE7">
        <w:rPr>
          <w:lang w:val="ru-RU"/>
        </w:rPr>
        <w:t>досрочно погасила</w:t>
      </w:r>
      <w:r w:rsidRPr="00D75646">
        <w:rPr>
          <w:lang w:val="ru-RU"/>
        </w:rPr>
        <w:t xml:space="preserve"> кредит</w:t>
      </w:r>
      <w:r w:rsidR="00D36EE7">
        <w:rPr>
          <w:lang w:val="ru-RU"/>
        </w:rPr>
        <w:t xml:space="preserve"> в размере </w:t>
      </w:r>
      <w:r w:rsidR="00D36EE7" w:rsidRPr="00D75646">
        <w:rPr>
          <w:lang w:val="ru-RU"/>
        </w:rPr>
        <w:t>82,1 млн шв</w:t>
      </w:r>
      <w:r w:rsidR="00D36EE7">
        <w:rPr>
          <w:lang w:val="ru-RU"/>
        </w:rPr>
        <w:t>.</w:t>
      </w:r>
      <w:r w:rsidR="00D36EE7" w:rsidRPr="00D75646">
        <w:rPr>
          <w:lang w:val="ru-RU"/>
        </w:rPr>
        <w:t xml:space="preserve"> франков</w:t>
      </w:r>
      <w:r w:rsidR="00D36EE7">
        <w:rPr>
          <w:lang w:val="ru-RU"/>
        </w:rPr>
        <w:t>,</w:t>
      </w:r>
      <w:r w:rsidRPr="00D75646">
        <w:rPr>
          <w:lang w:val="ru-RU"/>
        </w:rPr>
        <w:t xml:space="preserve"> </w:t>
      </w:r>
      <w:r w:rsidR="00D36EE7">
        <w:rPr>
          <w:lang w:val="ru-RU"/>
        </w:rPr>
        <w:t xml:space="preserve">предоставленный кантональными </w:t>
      </w:r>
      <w:r w:rsidRPr="00D75646">
        <w:rPr>
          <w:lang w:val="ru-RU"/>
        </w:rPr>
        <w:t xml:space="preserve">банкам </w:t>
      </w:r>
      <w:r w:rsidR="00D36EE7">
        <w:rPr>
          <w:lang w:val="ru-RU"/>
        </w:rPr>
        <w:t xml:space="preserve">на осуществление </w:t>
      </w:r>
      <w:r w:rsidRPr="00D75646">
        <w:rPr>
          <w:lang w:val="ru-RU"/>
        </w:rPr>
        <w:t>строительны</w:t>
      </w:r>
      <w:r w:rsidR="00D36EE7">
        <w:rPr>
          <w:lang w:val="ru-RU"/>
        </w:rPr>
        <w:t>х</w:t>
      </w:r>
      <w:r w:rsidRPr="00D75646">
        <w:rPr>
          <w:lang w:val="ru-RU"/>
        </w:rPr>
        <w:t xml:space="preserve"> проект</w:t>
      </w:r>
      <w:r w:rsidR="00D36EE7">
        <w:rPr>
          <w:lang w:val="ru-RU"/>
        </w:rPr>
        <w:t xml:space="preserve">ов.  </w:t>
      </w:r>
      <w:r w:rsidRPr="00D75646">
        <w:rPr>
          <w:lang w:val="ru-RU"/>
        </w:rPr>
        <w:t>Чист</w:t>
      </w:r>
      <w:r w:rsidR="003C5538">
        <w:rPr>
          <w:lang w:val="ru-RU"/>
        </w:rPr>
        <w:t>ый</w:t>
      </w:r>
      <w:r w:rsidRPr="00D75646">
        <w:rPr>
          <w:lang w:val="ru-RU"/>
        </w:rPr>
        <w:t xml:space="preserve"> приток денежных средств в 2017 г</w:t>
      </w:r>
      <w:r w:rsidR="00D36EE7">
        <w:rPr>
          <w:lang w:val="ru-RU"/>
        </w:rPr>
        <w:t>.</w:t>
      </w:r>
      <w:r w:rsidRPr="00D75646">
        <w:rPr>
          <w:lang w:val="ru-RU"/>
        </w:rPr>
        <w:t xml:space="preserve"> </w:t>
      </w:r>
      <w:r w:rsidR="003C5538">
        <w:rPr>
          <w:lang w:val="ru-RU"/>
        </w:rPr>
        <w:t>по своим размерам вполне</w:t>
      </w:r>
      <w:r w:rsidRPr="00D75646">
        <w:rPr>
          <w:lang w:val="ru-RU"/>
        </w:rPr>
        <w:t xml:space="preserve"> позвол</w:t>
      </w:r>
      <w:r w:rsidR="003C5538">
        <w:rPr>
          <w:lang w:val="ru-RU"/>
        </w:rPr>
        <w:t>ял</w:t>
      </w:r>
      <w:r w:rsidRPr="00D75646">
        <w:rPr>
          <w:lang w:val="ru-RU"/>
        </w:rPr>
        <w:t xml:space="preserve"> ВОИС пога</w:t>
      </w:r>
      <w:r w:rsidR="003C5538">
        <w:rPr>
          <w:lang w:val="ru-RU"/>
        </w:rPr>
        <w:t>сить</w:t>
      </w:r>
      <w:r w:rsidRPr="00D75646">
        <w:rPr>
          <w:lang w:val="ru-RU"/>
        </w:rPr>
        <w:t xml:space="preserve"> строительн</w:t>
      </w:r>
      <w:r w:rsidR="003C5538">
        <w:rPr>
          <w:lang w:val="ru-RU"/>
        </w:rPr>
        <w:t>ый</w:t>
      </w:r>
      <w:r w:rsidRPr="00D75646">
        <w:rPr>
          <w:lang w:val="ru-RU"/>
        </w:rPr>
        <w:t xml:space="preserve"> кредит</w:t>
      </w:r>
      <w:r w:rsidR="003C5538">
        <w:rPr>
          <w:lang w:val="ru-RU"/>
        </w:rPr>
        <w:t>, сохраняя при этом</w:t>
      </w:r>
      <w:r w:rsidRPr="00D75646">
        <w:rPr>
          <w:lang w:val="ru-RU"/>
        </w:rPr>
        <w:t xml:space="preserve"> значительн</w:t>
      </w:r>
      <w:r w:rsidR="003C5538">
        <w:rPr>
          <w:lang w:val="ru-RU"/>
        </w:rPr>
        <w:t>ы</w:t>
      </w:r>
      <w:r w:rsidR="00AD784B">
        <w:rPr>
          <w:lang w:val="ru-RU"/>
        </w:rPr>
        <w:t>е суммы</w:t>
      </w:r>
      <w:r w:rsidRPr="00D75646">
        <w:rPr>
          <w:lang w:val="ru-RU"/>
        </w:rPr>
        <w:t xml:space="preserve"> ликвидност</w:t>
      </w:r>
      <w:r w:rsidR="003C5538">
        <w:rPr>
          <w:lang w:val="ru-RU"/>
        </w:rPr>
        <w:t>и</w:t>
      </w:r>
      <w:r w:rsidRPr="00D75646">
        <w:rPr>
          <w:lang w:val="ru-RU"/>
        </w:rPr>
        <w:t xml:space="preserve"> </w:t>
      </w:r>
      <w:r w:rsidR="003C5538">
        <w:rPr>
          <w:lang w:val="ru-RU"/>
        </w:rPr>
        <w:t>на случай возникновения потребностей</w:t>
      </w:r>
      <w:r w:rsidRPr="00D75646">
        <w:rPr>
          <w:lang w:val="ru-RU"/>
        </w:rPr>
        <w:t xml:space="preserve"> в </w:t>
      </w:r>
      <w:r w:rsidR="003C5538">
        <w:rPr>
          <w:lang w:val="ru-RU"/>
        </w:rPr>
        <w:t>наличных</w:t>
      </w:r>
      <w:r w:rsidRPr="00D75646">
        <w:rPr>
          <w:lang w:val="ru-RU"/>
        </w:rPr>
        <w:t xml:space="preserve"> средствах.</w:t>
      </w:r>
    </w:p>
    <w:p w:rsidR="00D75646" w:rsidRPr="000A7F5B" w:rsidRDefault="00D75646" w:rsidP="000A7F5B">
      <w:pPr>
        <w:spacing w:before="60"/>
        <w:rPr>
          <w:i/>
          <w:sz w:val="16"/>
          <w:szCs w:val="16"/>
          <w:lang w:val="ru-RU"/>
        </w:rPr>
      </w:pPr>
    </w:p>
    <w:p w:rsidR="003C5538" w:rsidRDefault="003C5538" w:rsidP="003C5538">
      <w:pPr>
        <w:keepNext/>
        <w:keepLines/>
        <w:numPr>
          <w:ilvl w:val="0"/>
          <w:numId w:val="31"/>
        </w:numPr>
        <w:tabs>
          <w:tab w:val="left" w:pos="567"/>
          <w:tab w:val="left" w:pos="5670"/>
        </w:tabs>
        <w:spacing w:after="220"/>
        <w:ind w:left="0" w:firstLine="0"/>
        <w:contextualSpacing/>
        <w:rPr>
          <w:lang w:val="ru-RU"/>
        </w:rPr>
      </w:pPr>
      <w:r w:rsidRPr="003C5538">
        <w:rPr>
          <w:lang w:val="ru-RU"/>
        </w:rPr>
        <w:t>В соответствии с инвестиционной политикой ВОИС остаток основн</w:t>
      </w:r>
      <w:r w:rsidR="000A7F5B">
        <w:rPr>
          <w:lang w:val="ru-RU"/>
        </w:rPr>
        <w:t>ых</w:t>
      </w:r>
      <w:r w:rsidRPr="003C5538">
        <w:rPr>
          <w:lang w:val="ru-RU"/>
        </w:rPr>
        <w:t xml:space="preserve"> денежн</w:t>
      </w:r>
      <w:r w:rsidR="000A7F5B">
        <w:rPr>
          <w:lang w:val="ru-RU"/>
        </w:rPr>
        <w:t>ых</w:t>
      </w:r>
      <w:r w:rsidRPr="003C5538">
        <w:rPr>
          <w:lang w:val="ru-RU"/>
        </w:rPr>
        <w:t xml:space="preserve"> </w:t>
      </w:r>
      <w:r w:rsidR="000A7F5B">
        <w:rPr>
          <w:lang w:val="ru-RU"/>
        </w:rPr>
        <w:t>средств</w:t>
      </w:r>
      <w:r w:rsidRPr="003C5538">
        <w:rPr>
          <w:lang w:val="ru-RU"/>
        </w:rPr>
        <w:t xml:space="preserve"> будет инвестирован в 2017 г</w:t>
      </w:r>
      <w:r w:rsidR="000A7F5B">
        <w:rPr>
          <w:lang w:val="ru-RU"/>
        </w:rPr>
        <w:t xml:space="preserve">. с обеспечением </w:t>
      </w:r>
      <w:r w:rsidRPr="003C5538">
        <w:rPr>
          <w:lang w:val="ru-RU"/>
        </w:rPr>
        <w:t>достаточно</w:t>
      </w:r>
      <w:r w:rsidR="000A7F5B">
        <w:rPr>
          <w:lang w:val="ru-RU"/>
        </w:rPr>
        <w:t>го объема свободных денежных</w:t>
      </w:r>
      <w:r w:rsidRPr="003C5538">
        <w:rPr>
          <w:lang w:val="ru-RU"/>
        </w:rPr>
        <w:t xml:space="preserve"> средств для покрытия</w:t>
      </w:r>
      <w:r w:rsidR="000A7F5B">
        <w:rPr>
          <w:lang w:val="ru-RU"/>
        </w:rPr>
        <w:t>, в случае необходимости,</w:t>
      </w:r>
      <w:r w:rsidRPr="003C5538">
        <w:rPr>
          <w:lang w:val="ru-RU"/>
        </w:rPr>
        <w:t xml:space="preserve"> непредвиденных расходов.</w:t>
      </w:r>
      <w:r w:rsidR="000A7F5B">
        <w:rPr>
          <w:lang w:val="ru-RU"/>
        </w:rPr>
        <w:t xml:space="preserve">  </w:t>
      </w:r>
      <w:r w:rsidRPr="003C5538">
        <w:rPr>
          <w:lang w:val="ru-RU"/>
        </w:rPr>
        <w:t xml:space="preserve">Кроме того, остатки </w:t>
      </w:r>
      <w:r w:rsidR="000A7F5B">
        <w:rPr>
          <w:lang w:val="ru-RU"/>
        </w:rPr>
        <w:t xml:space="preserve">денежных средств </w:t>
      </w:r>
      <w:r w:rsidRPr="003C5538">
        <w:rPr>
          <w:lang w:val="ru-RU"/>
        </w:rPr>
        <w:t>ВОИС пополняются на ежегодной основе</w:t>
      </w:r>
      <w:r w:rsidR="00AB1246">
        <w:rPr>
          <w:lang w:val="ru-RU"/>
        </w:rPr>
        <w:t xml:space="preserve"> за счет</w:t>
      </w:r>
      <w:r w:rsidRPr="003C5538">
        <w:rPr>
          <w:lang w:val="ru-RU"/>
        </w:rPr>
        <w:t xml:space="preserve">  операционн</w:t>
      </w:r>
      <w:r w:rsidR="00AB1246">
        <w:rPr>
          <w:lang w:val="ru-RU"/>
        </w:rPr>
        <w:t>ого профицита</w:t>
      </w:r>
      <w:r w:rsidRPr="003C5538">
        <w:rPr>
          <w:lang w:val="ru-RU"/>
        </w:rPr>
        <w:t>.</w:t>
      </w:r>
    </w:p>
    <w:p w:rsidR="003C5538" w:rsidRPr="003C5538" w:rsidRDefault="003C5538" w:rsidP="003C5538">
      <w:pPr>
        <w:pStyle w:val="ListParagraph"/>
        <w:rPr>
          <w:lang w:val="ru-RU"/>
        </w:rPr>
      </w:pPr>
    </w:p>
    <w:p w:rsidR="00B80E44" w:rsidRPr="00B80E44" w:rsidRDefault="006856A1" w:rsidP="00AD6D24">
      <w:pPr>
        <w:rPr>
          <w:i/>
        </w:rPr>
      </w:pPr>
      <w:r>
        <w:rPr>
          <w:i/>
          <w:lang w:val="ru-RU"/>
        </w:rPr>
        <w:t>Уровень ликвидности резервов</w:t>
      </w:r>
    </w:p>
    <w:p w:rsidR="00B80E44" w:rsidRDefault="00B80E44" w:rsidP="00AD6D24"/>
    <w:p w:rsidR="006856A1" w:rsidRPr="006F26F0" w:rsidRDefault="006856A1" w:rsidP="006856A1">
      <w:pPr>
        <w:numPr>
          <w:ilvl w:val="0"/>
          <w:numId w:val="31"/>
        </w:numPr>
        <w:tabs>
          <w:tab w:val="left" w:pos="567"/>
          <w:tab w:val="left" w:pos="5670"/>
        </w:tabs>
        <w:spacing w:after="220"/>
        <w:ind w:left="0" w:firstLine="0"/>
        <w:contextualSpacing/>
        <w:rPr>
          <w:lang w:val="ru-RU"/>
        </w:rPr>
      </w:pPr>
      <w:r>
        <w:rPr>
          <w:lang w:val="ru-RU"/>
        </w:rPr>
        <w:t>Ликвидный компонент</w:t>
      </w:r>
      <w:r w:rsidRPr="006856A1">
        <w:rPr>
          <w:lang w:val="ru-RU"/>
        </w:rPr>
        <w:t xml:space="preserve"> чистых активов ВОИС определ</w:t>
      </w:r>
      <w:r>
        <w:rPr>
          <w:lang w:val="ru-RU"/>
        </w:rPr>
        <w:t>яется</w:t>
      </w:r>
      <w:r w:rsidRPr="006856A1">
        <w:rPr>
          <w:lang w:val="ru-RU"/>
        </w:rPr>
        <w:t xml:space="preserve"> как превышение текущих активов над текущими обязательствами после </w:t>
      </w:r>
      <w:r w:rsidR="006F26F0">
        <w:rPr>
          <w:lang w:val="ru-RU"/>
        </w:rPr>
        <w:t>некоторой</w:t>
      </w:r>
      <w:r w:rsidRPr="006856A1">
        <w:rPr>
          <w:lang w:val="ru-RU"/>
        </w:rPr>
        <w:t xml:space="preserve"> корректиров</w:t>
      </w:r>
      <w:r w:rsidR="006F26F0">
        <w:rPr>
          <w:lang w:val="ru-RU"/>
        </w:rPr>
        <w:t>ки</w:t>
      </w:r>
      <w:r w:rsidRPr="006856A1">
        <w:rPr>
          <w:lang w:val="ru-RU"/>
        </w:rPr>
        <w:t xml:space="preserve"> элементов текущи</w:t>
      </w:r>
      <w:r>
        <w:rPr>
          <w:lang w:val="ru-RU"/>
        </w:rPr>
        <w:t>х</w:t>
      </w:r>
      <w:r w:rsidRPr="006856A1">
        <w:rPr>
          <w:lang w:val="ru-RU"/>
        </w:rPr>
        <w:t xml:space="preserve"> актив</w:t>
      </w:r>
      <w:r>
        <w:rPr>
          <w:lang w:val="ru-RU"/>
        </w:rPr>
        <w:t>ов</w:t>
      </w:r>
      <w:r w:rsidRPr="006856A1">
        <w:rPr>
          <w:lang w:val="ru-RU"/>
        </w:rPr>
        <w:t xml:space="preserve"> и обязательств </w:t>
      </w:r>
      <w:r>
        <w:rPr>
          <w:lang w:val="ru-RU"/>
        </w:rPr>
        <w:t>с учетом</w:t>
      </w:r>
      <w:r w:rsidRPr="006856A1">
        <w:rPr>
          <w:lang w:val="ru-RU"/>
        </w:rPr>
        <w:t xml:space="preserve"> требований МСУГС. </w:t>
      </w:r>
      <w:r>
        <w:rPr>
          <w:lang w:val="ru-RU"/>
        </w:rPr>
        <w:t xml:space="preserve"> Согласно г</w:t>
      </w:r>
      <w:r w:rsidRPr="006856A1">
        <w:rPr>
          <w:lang w:val="ru-RU"/>
        </w:rPr>
        <w:t>одовой финансовой отчетност</w:t>
      </w:r>
      <w:r>
        <w:rPr>
          <w:lang w:val="ru-RU"/>
        </w:rPr>
        <w:t>и (документы за 2016 г. аудиторскую проверку</w:t>
      </w:r>
      <w:r w:rsidRPr="006856A1">
        <w:rPr>
          <w:lang w:val="ru-RU"/>
        </w:rPr>
        <w:t xml:space="preserve"> </w:t>
      </w:r>
      <w:r>
        <w:rPr>
          <w:lang w:val="ru-RU"/>
        </w:rPr>
        <w:t xml:space="preserve">не проходили) </w:t>
      </w:r>
      <w:r w:rsidRPr="006856A1">
        <w:rPr>
          <w:lang w:val="ru-RU"/>
        </w:rPr>
        <w:t>ликвидн</w:t>
      </w:r>
      <w:r w:rsidR="006F26F0">
        <w:rPr>
          <w:lang w:val="ru-RU"/>
        </w:rPr>
        <w:t>ый компонент</w:t>
      </w:r>
      <w:r w:rsidRPr="006856A1">
        <w:rPr>
          <w:lang w:val="ru-RU"/>
        </w:rPr>
        <w:t xml:space="preserve"> чистых активов </w:t>
      </w:r>
      <w:r w:rsidR="006F26F0">
        <w:rPr>
          <w:lang w:val="ru-RU"/>
        </w:rPr>
        <w:t xml:space="preserve">увеличился </w:t>
      </w:r>
      <w:r w:rsidRPr="006856A1">
        <w:rPr>
          <w:lang w:val="ru-RU"/>
        </w:rPr>
        <w:t xml:space="preserve">с 88,4 млн </w:t>
      </w:r>
      <w:r w:rsidR="006F26F0">
        <w:rPr>
          <w:lang w:val="ru-RU"/>
        </w:rPr>
        <w:t>ш</w:t>
      </w:r>
      <w:r w:rsidRPr="006856A1">
        <w:rPr>
          <w:lang w:val="ru-RU"/>
        </w:rPr>
        <w:t xml:space="preserve">в. </w:t>
      </w:r>
      <w:r w:rsidR="006F26F0">
        <w:rPr>
          <w:lang w:val="ru-RU"/>
        </w:rPr>
        <w:t>ф</w:t>
      </w:r>
      <w:r w:rsidRPr="006856A1">
        <w:rPr>
          <w:lang w:val="ru-RU"/>
        </w:rPr>
        <w:t>ранков в конце 2015 г</w:t>
      </w:r>
      <w:r w:rsidR="006F26F0">
        <w:rPr>
          <w:lang w:val="ru-RU"/>
        </w:rPr>
        <w:t>.</w:t>
      </w:r>
      <w:r w:rsidRPr="006856A1">
        <w:rPr>
          <w:lang w:val="ru-RU"/>
        </w:rPr>
        <w:t xml:space="preserve"> до 135,6 </w:t>
      </w:r>
      <w:r w:rsidR="006F26F0" w:rsidRPr="006F26F0">
        <w:rPr>
          <w:lang w:val="ru-RU"/>
        </w:rPr>
        <w:t>млн шв. франков</w:t>
      </w:r>
      <w:r w:rsidRPr="006F26F0">
        <w:rPr>
          <w:lang w:val="ru-RU"/>
        </w:rPr>
        <w:t xml:space="preserve"> в конце 2016 г.</w:t>
      </w:r>
    </w:p>
    <w:p w:rsidR="006856A1" w:rsidRDefault="006856A1" w:rsidP="006856A1">
      <w:pPr>
        <w:tabs>
          <w:tab w:val="left" w:pos="567"/>
          <w:tab w:val="left" w:pos="5670"/>
        </w:tabs>
        <w:spacing w:after="220"/>
        <w:contextualSpacing/>
        <w:rPr>
          <w:lang w:val="ru-RU"/>
        </w:rPr>
      </w:pPr>
    </w:p>
    <w:p w:rsidR="00114EE8" w:rsidRPr="00E32813" w:rsidRDefault="006F26F0" w:rsidP="00A30BF2">
      <w:pPr>
        <w:keepNext/>
        <w:keepLines/>
        <w:numPr>
          <w:ilvl w:val="0"/>
          <w:numId w:val="31"/>
        </w:numPr>
        <w:tabs>
          <w:tab w:val="left" w:pos="567"/>
          <w:tab w:val="left" w:pos="5670"/>
        </w:tabs>
        <w:spacing w:after="220"/>
        <w:ind w:left="0" w:firstLine="0"/>
        <w:contextualSpacing/>
        <w:rPr>
          <w:lang w:val="ru-RU"/>
        </w:rPr>
      </w:pPr>
      <w:r>
        <w:rPr>
          <w:lang w:val="ru-RU"/>
        </w:rPr>
        <w:t>Ниже</w:t>
      </w:r>
      <w:r w:rsidRPr="00E32813">
        <w:rPr>
          <w:lang w:val="ru-RU"/>
        </w:rPr>
        <w:t xml:space="preserve"> </w:t>
      </w:r>
      <w:r>
        <w:rPr>
          <w:lang w:val="ru-RU"/>
        </w:rPr>
        <w:t>показан</w:t>
      </w:r>
      <w:r w:rsidR="00E32813">
        <w:rPr>
          <w:lang w:val="ru-RU"/>
        </w:rPr>
        <w:t>а</w:t>
      </w:r>
      <w:r w:rsidR="00E32813" w:rsidRPr="00E32813">
        <w:rPr>
          <w:lang w:val="ru-RU"/>
        </w:rPr>
        <w:t xml:space="preserve"> </w:t>
      </w:r>
      <w:r w:rsidR="00E32813">
        <w:rPr>
          <w:lang w:val="ru-RU"/>
        </w:rPr>
        <w:t>корректировка</w:t>
      </w:r>
      <w:r w:rsidRPr="00E32813">
        <w:rPr>
          <w:lang w:val="ru-RU"/>
        </w:rPr>
        <w:t xml:space="preserve"> </w:t>
      </w:r>
      <w:r w:rsidRPr="006F26F0">
        <w:rPr>
          <w:lang w:val="ru-RU"/>
        </w:rPr>
        <w:t>элементов</w:t>
      </w:r>
      <w:r w:rsidRPr="00E32813">
        <w:rPr>
          <w:lang w:val="ru-RU"/>
        </w:rPr>
        <w:t xml:space="preserve"> </w:t>
      </w:r>
      <w:r w:rsidRPr="006F26F0">
        <w:rPr>
          <w:lang w:val="ru-RU"/>
        </w:rPr>
        <w:t>текущих</w:t>
      </w:r>
      <w:r w:rsidRPr="00E32813">
        <w:rPr>
          <w:lang w:val="ru-RU"/>
        </w:rPr>
        <w:t xml:space="preserve"> </w:t>
      </w:r>
      <w:r w:rsidRPr="006F26F0">
        <w:rPr>
          <w:lang w:val="ru-RU"/>
        </w:rPr>
        <w:t>активов</w:t>
      </w:r>
      <w:r w:rsidRPr="00E32813">
        <w:rPr>
          <w:lang w:val="ru-RU"/>
        </w:rPr>
        <w:t xml:space="preserve"> </w:t>
      </w:r>
      <w:r w:rsidRPr="006F26F0">
        <w:rPr>
          <w:lang w:val="ru-RU"/>
        </w:rPr>
        <w:t>и</w:t>
      </w:r>
      <w:r w:rsidRPr="00E32813">
        <w:rPr>
          <w:lang w:val="ru-RU"/>
        </w:rPr>
        <w:t xml:space="preserve"> </w:t>
      </w:r>
      <w:r w:rsidRPr="006F26F0">
        <w:rPr>
          <w:lang w:val="ru-RU"/>
        </w:rPr>
        <w:t>обязательств</w:t>
      </w:r>
      <w:r w:rsidRPr="00E32813">
        <w:rPr>
          <w:lang w:val="ru-RU"/>
        </w:rPr>
        <w:t xml:space="preserve"> </w:t>
      </w:r>
      <w:r w:rsidRPr="006F26F0">
        <w:rPr>
          <w:lang w:val="ru-RU"/>
        </w:rPr>
        <w:t>с</w:t>
      </w:r>
      <w:r w:rsidRPr="00E32813">
        <w:rPr>
          <w:lang w:val="ru-RU"/>
        </w:rPr>
        <w:t xml:space="preserve"> </w:t>
      </w:r>
      <w:r w:rsidRPr="006F26F0">
        <w:rPr>
          <w:lang w:val="ru-RU"/>
        </w:rPr>
        <w:t>учетом</w:t>
      </w:r>
      <w:r w:rsidRPr="00E32813">
        <w:rPr>
          <w:lang w:val="ru-RU"/>
        </w:rPr>
        <w:t xml:space="preserve"> </w:t>
      </w:r>
      <w:r w:rsidRPr="006F26F0">
        <w:rPr>
          <w:lang w:val="ru-RU"/>
        </w:rPr>
        <w:t>требований</w:t>
      </w:r>
      <w:r w:rsidRPr="00E32813">
        <w:rPr>
          <w:lang w:val="ru-RU"/>
        </w:rPr>
        <w:t xml:space="preserve"> </w:t>
      </w:r>
      <w:r w:rsidRPr="006F26F0">
        <w:rPr>
          <w:lang w:val="ru-RU"/>
        </w:rPr>
        <w:t>МСУГС</w:t>
      </w:r>
      <w:r w:rsidR="00E32813" w:rsidRPr="00E32813">
        <w:rPr>
          <w:lang w:val="ru-RU"/>
        </w:rPr>
        <w:t xml:space="preserve">, </w:t>
      </w:r>
      <w:r w:rsidR="00E32813">
        <w:rPr>
          <w:lang w:val="ru-RU"/>
        </w:rPr>
        <w:t>по</w:t>
      </w:r>
      <w:r w:rsidR="00E32813" w:rsidRPr="00E32813">
        <w:rPr>
          <w:lang w:val="ru-RU"/>
        </w:rPr>
        <w:t xml:space="preserve"> </w:t>
      </w:r>
      <w:r w:rsidR="00E32813">
        <w:rPr>
          <w:lang w:val="ru-RU"/>
        </w:rPr>
        <w:t>результатам</w:t>
      </w:r>
      <w:r w:rsidR="00E32813" w:rsidRPr="00E32813">
        <w:rPr>
          <w:lang w:val="ru-RU"/>
        </w:rPr>
        <w:t xml:space="preserve"> </w:t>
      </w:r>
      <w:r w:rsidR="00E32813">
        <w:rPr>
          <w:lang w:val="ru-RU"/>
        </w:rPr>
        <w:t>которой проводилась оценка ликвидного компонента чистых активов</w:t>
      </w:r>
      <w:r w:rsidR="00114EE8" w:rsidRPr="00E32813">
        <w:rPr>
          <w:lang w:val="ru-RU"/>
        </w:rPr>
        <w:t>:</w:t>
      </w:r>
    </w:p>
    <w:p w:rsidR="00E32813" w:rsidRPr="00E32813" w:rsidRDefault="00114EE8" w:rsidP="00E32813">
      <w:pPr>
        <w:pStyle w:val="ListParagraph"/>
        <w:keepNext/>
        <w:keepLines/>
        <w:numPr>
          <w:ilvl w:val="0"/>
          <w:numId w:val="32"/>
        </w:numPr>
        <w:tabs>
          <w:tab w:val="left" w:pos="567"/>
          <w:tab w:val="left" w:pos="5670"/>
        </w:tabs>
        <w:spacing w:after="220"/>
        <w:rPr>
          <w:lang w:val="ru-RU"/>
        </w:rPr>
      </w:pPr>
      <w:r w:rsidRPr="00E32813">
        <w:rPr>
          <w:lang w:val="ru-RU"/>
        </w:rPr>
        <w:t xml:space="preserve">   </w:t>
      </w:r>
      <w:r w:rsidR="00E32813" w:rsidRPr="00E32813">
        <w:rPr>
          <w:lang w:val="ru-RU"/>
        </w:rPr>
        <w:t xml:space="preserve">запасы </w:t>
      </w:r>
      <w:r w:rsidR="00E32813">
        <w:rPr>
          <w:lang w:val="ru-RU"/>
        </w:rPr>
        <w:t xml:space="preserve">текущих </w:t>
      </w:r>
      <w:r w:rsidR="00E32813" w:rsidRPr="00E32813">
        <w:rPr>
          <w:lang w:val="ru-RU"/>
        </w:rPr>
        <w:t xml:space="preserve">активов </w:t>
      </w:r>
      <w:r w:rsidR="00E32813">
        <w:rPr>
          <w:lang w:val="ru-RU"/>
        </w:rPr>
        <w:t>отражают стоимость от</w:t>
      </w:r>
      <w:r w:rsidR="00E32813" w:rsidRPr="00E32813">
        <w:rPr>
          <w:lang w:val="ru-RU"/>
        </w:rPr>
        <w:t>печат</w:t>
      </w:r>
      <w:r w:rsidR="00E32813">
        <w:rPr>
          <w:lang w:val="ru-RU"/>
        </w:rPr>
        <w:t>ан</w:t>
      </w:r>
      <w:r w:rsidR="00E32813" w:rsidRPr="00E32813">
        <w:rPr>
          <w:lang w:val="ru-RU"/>
        </w:rPr>
        <w:t>ных</w:t>
      </w:r>
      <w:r w:rsidR="00E32813">
        <w:rPr>
          <w:lang w:val="ru-RU"/>
        </w:rPr>
        <w:t>, но не</w:t>
      </w:r>
      <w:r w:rsidR="00E32813" w:rsidRPr="00E32813">
        <w:rPr>
          <w:lang w:val="ru-RU"/>
        </w:rPr>
        <w:t xml:space="preserve"> распростран</w:t>
      </w:r>
      <w:r w:rsidR="00E32813">
        <w:rPr>
          <w:lang w:val="ru-RU"/>
        </w:rPr>
        <w:t>енн</w:t>
      </w:r>
      <w:r w:rsidR="00E32813" w:rsidRPr="00E32813">
        <w:rPr>
          <w:lang w:val="ru-RU"/>
        </w:rPr>
        <w:t>ых и</w:t>
      </w:r>
      <w:r w:rsidR="00E32813">
        <w:rPr>
          <w:lang w:val="ru-RU"/>
        </w:rPr>
        <w:t xml:space="preserve"> не</w:t>
      </w:r>
      <w:r w:rsidR="00E32813" w:rsidRPr="00E32813">
        <w:rPr>
          <w:lang w:val="ru-RU"/>
        </w:rPr>
        <w:t xml:space="preserve"> проданных</w:t>
      </w:r>
      <w:r w:rsidR="00E32813">
        <w:rPr>
          <w:lang w:val="ru-RU"/>
        </w:rPr>
        <w:t xml:space="preserve"> публикаций</w:t>
      </w:r>
      <w:r w:rsidR="00E32813" w:rsidRPr="00E32813">
        <w:rPr>
          <w:lang w:val="ru-RU"/>
        </w:rPr>
        <w:t xml:space="preserve">. </w:t>
      </w:r>
      <w:r w:rsidR="00E32813">
        <w:rPr>
          <w:lang w:val="ru-RU"/>
        </w:rPr>
        <w:t xml:space="preserve"> </w:t>
      </w:r>
      <w:r w:rsidR="00AC01D6">
        <w:rPr>
          <w:lang w:val="ru-RU"/>
        </w:rPr>
        <w:t>Д</w:t>
      </w:r>
      <w:r w:rsidR="00E32813">
        <w:rPr>
          <w:lang w:val="ru-RU"/>
        </w:rPr>
        <w:t xml:space="preserve">анный элемент по большей части </w:t>
      </w:r>
      <w:r w:rsidR="00AC01D6">
        <w:rPr>
          <w:lang w:val="ru-RU"/>
        </w:rPr>
        <w:t xml:space="preserve">не является источником поступления денежных средств, и поэтому для целей расчета чистого остатка ликвидных средств в </w:t>
      </w:r>
      <w:r w:rsidR="00E32813" w:rsidRPr="00E32813">
        <w:rPr>
          <w:lang w:val="ru-RU"/>
        </w:rPr>
        <w:t xml:space="preserve">текущие активы </w:t>
      </w:r>
      <w:r w:rsidR="00AC01D6">
        <w:rPr>
          <w:lang w:val="ru-RU"/>
        </w:rPr>
        <w:t>не включается;</w:t>
      </w:r>
    </w:p>
    <w:p w:rsidR="00114EE8" w:rsidRPr="00B33D64" w:rsidRDefault="00114EE8" w:rsidP="00251C01">
      <w:pPr>
        <w:pStyle w:val="ListParagraph"/>
        <w:tabs>
          <w:tab w:val="left" w:pos="567"/>
          <w:tab w:val="left" w:pos="5670"/>
        </w:tabs>
        <w:spacing w:after="220"/>
        <w:rPr>
          <w:lang w:val="ru-RU"/>
        </w:rPr>
      </w:pPr>
    </w:p>
    <w:p w:rsidR="00AC01D6" w:rsidRPr="00AC01D6" w:rsidRDefault="00AC01D6" w:rsidP="00AC01D6">
      <w:pPr>
        <w:pStyle w:val="ListParagraph"/>
        <w:numPr>
          <w:ilvl w:val="0"/>
          <w:numId w:val="32"/>
        </w:numPr>
        <w:tabs>
          <w:tab w:val="left" w:pos="567"/>
          <w:tab w:val="left" w:pos="5670"/>
        </w:tabs>
        <w:spacing w:after="220"/>
        <w:rPr>
          <w:lang w:val="ru-RU"/>
        </w:rPr>
      </w:pPr>
      <w:r>
        <w:rPr>
          <w:lang w:val="ru-RU"/>
        </w:rPr>
        <w:t>а</w:t>
      </w:r>
      <w:r w:rsidRPr="00AC01D6">
        <w:rPr>
          <w:lang w:val="ru-RU"/>
        </w:rPr>
        <w:t xml:space="preserve">вансовые поступления за вычетом текущего актива «Дебиторская задолженность </w:t>
      </w:r>
      <w:r w:rsidR="001423E1">
        <w:rPr>
          <w:lang w:val="ru-RU"/>
        </w:rPr>
        <w:t>по линии РСТ</w:t>
      </w:r>
      <w:r w:rsidRPr="00AC01D6">
        <w:rPr>
          <w:lang w:val="ru-RU"/>
        </w:rPr>
        <w:t xml:space="preserve">» представляют собой часть </w:t>
      </w:r>
      <w:r w:rsidR="001423E1">
        <w:rPr>
          <w:lang w:val="ru-RU"/>
        </w:rPr>
        <w:t>пошлин по линии</w:t>
      </w:r>
      <w:r w:rsidRPr="00AC01D6">
        <w:rPr>
          <w:lang w:val="ru-RU"/>
        </w:rPr>
        <w:t xml:space="preserve"> РСТ и Мадрид</w:t>
      </w:r>
      <w:r w:rsidR="001423E1">
        <w:rPr>
          <w:lang w:val="ru-RU"/>
        </w:rPr>
        <w:t>ского и Гаагского союзов, которые</w:t>
      </w:r>
      <w:r w:rsidRPr="00AC01D6">
        <w:rPr>
          <w:lang w:val="ru-RU"/>
        </w:rPr>
        <w:t xml:space="preserve"> уже получен</w:t>
      </w:r>
      <w:r w:rsidR="001423E1">
        <w:rPr>
          <w:lang w:val="ru-RU"/>
        </w:rPr>
        <w:t>ы</w:t>
      </w:r>
      <w:r w:rsidRPr="00AC01D6">
        <w:rPr>
          <w:lang w:val="ru-RU"/>
        </w:rPr>
        <w:t xml:space="preserve"> ВОИС</w:t>
      </w:r>
      <w:r w:rsidR="001423E1">
        <w:rPr>
          <w:lang w:val="ru-RU"/>
        </w:rPr>
        <w:t xml:space="preserve">, но при этом </w:t>
      </w:r>
      <w:r w:rsidR="001423E1">
        <w:rPr>
          <w:lang w:val="ru-RU"/>
        </w:rPr>
        <w:lastRenderedPageBreak/>
        <w:t>соответствующая</w:t>
      </w:r>
      <w:r w:rsidRPr="00AC01D6">
        <w:rPr>
          <w:lang w:val="ru-RU"/>
        </w:rPr>
        <w:t xml:space="preserve"> публикация еще не </w:t>
      </w:r>
      <w:r w:rsidR="001423E1">
        <w:rPr>
          <w:lang w:val="ru-RU"/>
        </w:rPr>
        <w:t>произведена</w:t>
      </w:r>
      <w:r w:rsidRPr="00AC01D6">
        <w:rPr>
          <w:lang w:val="ru-RU"/>
        </w:rPr>
        <w:t>.</w:t>
      </w:r>
      <w:r w:rsidR="001423E1">
        <w:rPr>
          <w:lang w:val="ru-RU"/>
        </w:rPr>
        <w:t xml:space="preserve"> </w:t>
      </w:r>
      <w:r w:rsidRPr="00AC01D6">
        <w:rPr>
          <w:lang w:val="ru-RU"/>
        </w:rPr>
        <w:t xml:space="preserve"> В соответствии с МСУГС эти средства рассматриваются как авансовые «незаработанные» </w:t>
      </w:r>
      <w:r w:rsidR="001423E1">
        <w:rPr>
          <w:lang w:val="ru-RU"/>
        </w:rPr>
        <w:t>поступления</w:t>
      </w:r>
      <w:r w:rsidRPr="00AC01D6">
        <w:rPr>
          <w:lang w:val="ru-RU"/>
        </w:rPr>
        <w:t xml:space="preserve"> и не </w:t>
      </w:r>
      <w:r w:rsidR="001423E1">
        <w:rPr>
          <w:lang w:val="ru-RU"/>
        </w:rPr>
        <w:t>проводятся по статье доходов</w:t>
      </w:r>
      <w:r w:rsidRPr="00AC01D6">
        <w:rPr>
          <w:lang w:val="ru-RU"/>
        </w:rPr>
        <w:t xml:space="preserve"> до даты публикации. </w:t>
      </w:r>
      <w:r w:rsidR="00A77D1C">
        <w:rPr>
          <w:lang w:val="ru-RU"/>
        </w:rPr>
        <w:t xml:space="preserve"> </w:t>
      </w:r>
      <w:r w:rsidRPr="00AC01D6">
        <w:rPr>
          <w:lang w:val="ru-RU"/>
        </w:rPr>
        <w:t xml:space="preserve">Однако, в отличие от других обязательств, авансовые поступления представляют собой </w:t>
      </w:r>
      <w:r w:rsidR="00A77D1C" w:rsidRPr="00AC01D6">
        <w:rPr>
          <w:lang w:val="ru-RU"/>
        </w:rPr>
        <w:t>уже полученны</w:t>
      </w:r>
      <w:r w:rsidR="00A77D1C">
        <w:rPr>
          <w:lang w:val="ru-RU"/>
        </w:rPr>
        <w:t xml:space="preserve">й </w:t>
      </w:r>
      <w:r w:rsidR="00AD784B">
        <w:rPr>
          <w:lang w:val="ru-RU"/>
        </w:rPr>
        <w:t xml:space="preserve">денежный </w:t>
      </w:r>
      <w:r w:rsidR="00A77D1C">
        <w:rPr>
          <w:lang w:val="ru-RU"/>
        </w:rPr>
        <w:t xml:space="preserve">доход будущих периодов, который будет отражен в доходе и профиците </w:t>
      </w:r>
      <w:r w:rsidRPr="00AC01D6">
        <w:rPr>
          <w:lang w:val="ru-RU"/>
        </w:rPr>
        <w:t xml:space="preserve">ВОИС в течение 12 месяцев или </w:t>
      </w:r>
      <w:r w:rsidR="00A77D1C">
        <w:rPr>
          <w:lang w:val="ru-RU"/>
        </w:rPr>
        <w:t>в более короткий срок</w:t>
      </w:r>
      <w:r w:rsidRPr="00AC01D6">
        <w:rPr>
          <w:lang w:val="ru-RU"/>
        </w:rPr>
        <w:t>.</w:t>
      </w:r>
      <w:r w:rsidR="00A77D1C">
        <w:rPr>
          <w:lang w:val="ru-RU"/>
        </w:rPr>
        <w:t xml:space="preserve">  Таким образом, </w:t>
      </w:r>
      <w:r w:rsidRPr="00AC01D6">
        <w:rPr>
          <w:lang w:val="ru-RU"/>
        </w:rPr>
        <w:t xml:space="preserve">денежная часть авансовых поступлений не </w:t>
      </w:r>
      <w:r w:rsidR="00A77D1C">
        <w:rPr>
          <w:lang w:val="ru-RU"/>
        </w:rPr>
        <w:t xml:space="preserve">рассматривается </w:t>
      </w:r>
      <w:r w:rsidR="00AD784B">
        <w:rPr>
          <w:lang w:val="ru-RU"/>
        </w:rPr>
        <w:t>как вычет из</w:t>
      </w:r>
      <w:r w:rsidRPr="00AC01D6">
        <w:rPr>
          <w:lang w:val="ru-RU"/>
        </w:rPr>
        <w:t xml:space="preserve"> ликвидны</w:t>
      </w:r>
      <w:r w:rsidR="00AD784B">
        <w:rPr>
          <w:lang w:val="ru-RU"/>
        </w:rPr>
        <w:t>х</w:t>
      </w:r>
      <w:r w:rsidRPr="00AC01D6">
        <w:rPr>
          <w:lang w:val="ru-RU"/>
        </w:rPr>
        <w:t xml:space="preserve"> актив</w:t>
      </w:r>
      <w:r w:rsidR="00AD784B">
        <w:rPr>
          <w:lang w:val="ru-RU"/>
        </w:rPr>
        <w:t>ов</w:t>
      </w:r>
      <w:r w:rsidRPr="00AC01D6">
        <w:rPr>
          <w:lang w:val="ru-RU"/>
        </w:rPr>
        <w:t xml:space="preserve"> ВОИС, поскольку </w:t>
      </w:r>
      <w:r w:rsidR="00A77D1C">
        <w:rPr>
          <w:lang w:val="ru-RU"/>
        </w:rPr>
        <w:t>такие поступления</w:t>
      </w:r>
      <w:r w:rsidRPr="00AC01D6">
        <w:rPr>
          <w:lang w:val="ru-RU"/>
        </w:rPr>
        <w:t xml:space="preserve"> не приводят к оттоку денежных средств</w:t>
      </w:r>
      <w:r w:rsidR="00B631B1">
        <w:rPr>
          <w:lang w:val="ru-RU"/>
        </w:rPr>
        <w:t>.</w:t>
      </w:r>
    </w:p>
    <w:p w:rsidR="00AC01D6" w:rsidRPr="00AC01D6" w:rsidRDefault="00AC01D6" w:rsidP="00AC01D6">
      <w:pPr>
        <w:pStyle w:val="ListParagraph"/>
        <w:rPr>
          <w:lang w:val="ru-RU"/>
        </w:rPr>
      </w:pPr>
    </w:p>
    <w:p w:rsidR="00114EE8" w:rsidRPr="00B33D64" w:rsidRDefault="00114EE8" w:rsidP="00AC01D6">
      <w:pPr>
        <w:pStyle w:val="ListParagraph"/>
        <w:tabs>
          <w:tab w:val="left" w:pos="567"/>
          <w:tab w:val="left" w:pos="5670"/>
        </w:tabs>
        <w:spacing w:after="220"/>
        <w:rPr>
          <w:lang w:val="ru-RU"/>
        </w:rPr>
      </w:pPr>
    </w:p>
    <w:tbl>
      <w:tblPr>
        <w:tblW w:w="8601" w:type="dxa"/>
        <w:jc w:val="center"/>
        <w:tblInd w:w="-772" w:type="dxa"/>
        <w:tblLook w:val="04A0" w:firstRow="1" w:lastRow="0" w:firstColumn="1" w:lastColumn="0" w:noHBand="0" w:noVBand="1"/>
      </w:tblPr>
      <w:tblGrid>
        <w:gridCol w:w="8601"/>
      </w:tblGrid>
      <w:tr w:rsidR="00E413D0" w:rsidRPr="000E35E7" w:rsidTr="00E413D0">
        <w:trPr>
          <w:trHeight w:val="255"/>
          <w:jc w:val="center"/>
        </w:trPr>
        <w:tc>
          <w:tcPr>
            <w:tcW w:w="8601" w:type="dxa"/>
            <w:shd w:val="clear" w:color="auto" w:fill="C6D9F1" w:themeFill="text2" w:themeFillTint="33"/>
            <w:noWrap/>
            <w:vAlign w:val="center"/>
          </w:tcPr>
          <w:p w:rsidR="00E413D0" w:rsidRPr="00B631B1" w:rsidRDefault="00B631B1" w:rsidP="00251C01">
            <w:pPr>
              <w:keepNext/>
              <w:keepLines/>
              <w:jc w:val="center"/>
              <w:rPr>
                <w:lang w:val="ru-RU"/>
              </w:rPr>
            </w:pPr>
            <w:r>
              <w:rPr>
                <w:lang w:val="ru-RU"/>
              </w:rPr>
              <w:t>Таблица</w:t>
            </w:r>
            <w:r w:rsidR="00E413D0" w:rsidRPr="00B631B1">
              <w:rPr>
                <w:lang w:val="ru-RU"/>
              </w:rPr>
              <w:t xml:space="preserve"> 7: </w:t>
            </w:r>
            <w:r>
              <w:rPr>
                <w:lang w:val="ru-RU"/>
              </w:rPr>
              <w:t>Динамика сальдо ликвидных резервов</w:t>
            </w:r>
            <w:r w:rsidR="00E413D0" w:rsidRPr="00B631B1">
              <w:rPr>
                <w:lang w:val="ru-RU"/>
              </w:rPr>
              <w:t xml:space="preserve">  </w:t>
            </w:r>
          </w:p>
          <w:p w:rsidR="00E413D0" w:rsidRPr="00B631B1" w:rsidRDefault="00E413D0" w:rsidP="00251C01">
            <w:pPr>
              <w:keepNext/>
              <w:keepLines/>
              <w:jc w:val="center"/>
              <w:rPr>
                <w:rFonts w:asciiTheme="minorHAnsi" w:eastAsia="Times New Roman" w:hAnsiTheme="minorHAnsi" w:cstheme="minorHAnsi"/>
                <w:i/>
                <w:color w:val="000000"/>
                <w:sz w:val="18"/>
                <w:szCs w:val="18"/>
                <w:lang w:val="ru-RU" w:eastAsia="en-US"/>
              </w:rPr>
            </w:pPr>
            <w:r w:rsidRPr="00B631B1">
              <w:rPr>
                <w:rFonts w:asciiTheme="minorHAnsi" w:eastAsia="Times New Roman" w:hAnsiTheme="minorHAnsi" w:cstheme="minorHAnsi"/>
                <w:i/>
                <w:color w:val="000000"/>
                <w:sz w:val="18"/>
                <w:szCs w:val="18"/>
                <w:lang w:val="ru-RU" w:eastAsia="en-US"/>
              </w:rPr>
              <w:t>(</w:t>
            </w:r>
            <w:r w:rsidR="00B631B1" w:rsidRPr="00B631B1">
              <w:rPr>
                <w:rFonts w:asciiTheme="minorHAnsi" w:eastAsia="Times New Roman" w:hAnsiTheme="minorHAnsi" w:cstheme="minorHAnsi"/>
                <w:i/>
                <w:color w:val="000000"/>
                <w:sz w:val="18"/>
                <w:szCs w:val="18"/>
                <w:lang w:val="ru-RU" w:eastAsia="en-US"/>
              </w:rPr>
              <w:t>в млн шв. франков</w:t>
            </w:r>
            <w:r w:rsidRPr="00B631B1">
              <w:rPr>
                <w:rFonts w:asciiTheme="minorHAnsi" w:eastAsia="Times New Roman" w:hAnsiTheme="minorHAnsi" w:cstheme="minorHAnsi"/>
                <w:i/>
                <w:color w:val="000000"/>
                <w:sz w:val="18"/>
                <w:szCs w:val="18"/>
                <w:lang w:val="ru-RU" w:eastAsia="en-US"/>
              </w:rPr>
              <w:t>)</w:t>
            </w:r>
          </w:p>
        </w:tc>
      </w:tr>
    </w:tbl>
    <w:p w:rsidR="00B80E44" w:rsidRPr="00B631B1" w:rsidRDefault="00B80E44" w:rsidP="00251C01">
      <w:pPr>
        <w:keepNext/>
        <w:keepLines/>
        <w:rPr>
          <w:sz w:val="8"/>
          <w:szCs w:val="8"/>
          <w:lang w:val="ru-RU"/>
        </w:rPr>
      </w:pPr>
    </w:p>
    <w:tbl>
      <w:tblPr>
        <w:tblW w:w="8679" w:type="dxa"/>
        <w:jc w:val="center"/>
        <w:tblInd w:w="721" w:type="dxa"/>
        <w:tblLook w:val="04A0" w:firstRow="1" w:lastRow="0" w:firstColumn="1" w:lastColumn="0" w:noHBand="0" w:noVBand="1"/>
      </w:tblPr>
      <w:tblGrid>
        <w:gridCol w:w="3527"/>
        <w:gridCol w:w="1121"/>
        <w:gridCol w:w="1433"/>
        <w:gridCol w:w="1101"/>
        <w:gridCol w:w="1497"/>
      </w:tblGrid>
      <w:tr w:rsidR="00F97C5F" w:rsidRPr="00CC305C" w:rsidTr="00B631B1">
        <w:trPr>
          <w:trHeight w:val="255"/>
          <w:jc w:val="center"/>
        </w:trPr>
        <w:tc>
          <w:tcPr>
            <w:tcW w:w="3527" w:type="dxa"/>
            <w:shd w:val="clear" w:color="auto" w:fill="C6D9F1" w:themeFill="text2" w:themeFillTint="33"/>
            <w:noWrap/>
            <w:tcMar>
              <w:top w:w="57" w:type="dxa"/>
              <w:bottom w:w="57" w:type="dxa"/>
            </w:tcMar>
            <w:vAlign w:val="bottom"/>
            <w:hideMark/>
          </w:tcPr>
          <w:p w:rsidR="00F97C5F" w:rsidRPr="00B631B1" w:rsidRDefault="00F97C5F" w:rsidP="00251C01">
            <w:pPr>
              <w:keepNext/>
              <w:keepLines/>
              <w:rPr>
                <w:rFonts w:eastAsia="Times New Roman"/>
                <w:color w:val="000000"/>
                <w:sz w:val="18"/>
                <w:szCs w:val="18"/>
                <w:lang w:val="ru-RU" w:eastAsia="en-US"/>
              </w:rPr>
            </w:pPr>
          </w:p>
        </w:tc>
        <w:tc>
          <w:tcPr>
            <w:tcW w:w="1121" w:type="dxa"/>
            <w:shd w:val="clear" w:color="auto" w:fill="C6D9F1" w:themeFill="text2" w:themeFillTint="33"/>
            <w:noWrap/>
            <w:tcMar>
              <w:top w:w="57" w:type="dxa"/>
              <w:bottom w:w="57" w:type="dxa"/>
            </w:tcMar>
            <w:vAlign w:val="center"/>
            <w:hideMark/>
          </w:tcPr>
          <w:p w:rsidR="00F97C5F" w:rsidRPr="00B631B1" w:rsidRDefault="00B631B1" w:rsidP="00B631B1">
            <w:pPr>
              <w:keepNext/>
              <w:keepLines/>
              <w:jc w:val="center"/>
              <w:rPr>
                <w:rFonts w:eastAsia="Times New Roman"/>
                <w:color w:val="000000"/>
                <w:sz w:val="18"/>
                <w:szCs w:val="18"/>
                <w:lang w:val="ru-RU" w:eastAsia="en-US"/>
              </w:rPr>
            </w:pPr>
            <w:r>
              <w:rPr>
                <w:rFonts w:eastAsia="Times New Roman"/>
                <w:color w:val="000000"/>
                <w:sz w:val="18"/>
                <w:szCs w:val="18"/>
                <w:lang w:eastAsia="en-US"/>
              </w:rPr>
              <w:t>3</w:t>
            </w:r>
            <w:r>
              <w:rPr>
                <w:rFonts w:eastAsia="Times New Roman"/>
                <w:color w:val="000000"/>
                <w:sz w:val="18"/>
                <w:szCs w:val="18"/>
                <w:lang w:val="ru-RU" w:eastAsia="en-US"/>
              </w:rPr>
              <w:t>1 декабря</w:t>
            </w:r>
            <w:r w:rsidR="00F97C5F" w:rsidRPr="00CE28C2">
              <w:rPr>
                <w:rFonts w:eastAsia="Times New Roman"/>
                <w:color w:val="000000"/>
                <w:sz w:val="18"/>
                <w:szCs w:val="18"/>
                <w:lang w:eastAsia="en-US"/>
              </w:rPr>
              <w:t xml:space="preserve"> 2016</w:t>
            </w:r>
            <w:r>
              <w:rPr>
                <w:rFonts w:eastAsia="Times New Roman"/>
                <w:color w:val="000000"/>
                <w:sz w:val="18"/>
                <w:szCs w:val="18"/>
                <w:lang w:val="ru-RU" w:eastAsia="en-US"/>
              </w:rPr>
              <w:t xml:space="preserve"> г.</w:t>
            </w:r>
          </w:p>
        </w:tc>
        <w:tc>
          <w:tcPr>
            <w:tcW w:w="1416" w:type="dxa"/>
            <w:shd w:val="clear" w:color="auto" w:fill="C6D9F1" w:themeFill="text2" w:themeFillTint="33"/>
            <w:vAlign w:val="center"/>
          </w:tcPr>
          <w:p w:rsidR="00F97C5F" w:rsidRPr="00CE28C2" w:rsidRDefault="00B631B1" w:rsidP="00251C01">
            <w:pPr>
              <w:keepNext/>
              <w:keepLines/>
              <w:jc w:val="center"/>
              <w:rPr>
                <w:rFonts w:eastAsia="Times New Roman"/>
                <w:color w:val="000000"/>
                <w:sz w:val="18"/>
                <w:szCs w:val="18"/>
                <w:lang w:eastAsia="en-US"/>
              </w:rPr>
            </w:pPr>
            <w:r w:rsidRPr="00B631B1">
              <w:rPr>
                <w:rFonts w:eastAsia="Times New Roman"/>
                <w:color w:val="000000"/>
                <w:sz w:val="18"/>
                <w:szCs w:val="18"/>
                <w:lang w:eastAsia="en-US"/>
              </w:rPr>
              <w:t>3</w:t>
            </w:r>
            <w:r w:rsidRPr="00B631B1">
              <w:rPr>
                <w:rFonts w:eastAsia="Times New Roman"/>
                <w:color w:val="000000"/>
                <w:sz w:val="18"/>
                <w:szCs w:val="18"/>
                <w:lang w:val="ru-RU" w:eastAsia="en-US"/>
              </w:rPr>
              <w:t>1 декабря</w:t>
            </w:r>
            <w:r w:rsidRPr="00B631B1">
              <w:rPr>
                <w:rFonts w:eastAsia="Times New Roman"/>
                <w:color w:val="000000"/>
                <w:sz w:val="18"/>
                <w:szCs w:val="18"/>
                <w:lang w:eastAsia="en-US"/>
              </w:rPr>
              <w:t xml:space="preserve"> 2016</w:t>
            </w:r>
            <w:r w:rsidRPr="00B631B1">
              <w:rPr>
                <w:rFonts w:eastAsia="Times New Roman"/>
                <w:color w:val="000000"/>
                <w:sz w:val="18"/>
                <w:szCs w:val="18"/>
                <w:lang w:val="ru-RU" w:eastAsia="en-US"/>
              </w:rPr>
              <w:t xml:space="preserve"> г.</w:t>
            </w:r>
            <w:r>
              <w:rPr>
                <w:rFonts w:eastAsia="Times New Roman"/>
                <w:color w:val="000000"/>
                <w:sz w:val="18"/>
                <w:szCs w:val="18"/>
                <w:lang w:val="ru-RU" w:eastAsia="en-US"/>
              </w:rPr>
              <w:t xml:space="preserve"> после корректировки</w:t>
            </w:r>
          </w:p>
        </w:tc>
        <w:tc>
          <w:tcPr>
            <w:tcW w:w="1088" w:type="dxa"/>
            <w:shd w:val="clear" w:color="auto" w:fill="C6D9F1" w:themeFill="text2" w:themeFillTint="33"/>
            <w:vAlign w:val="center"/>
          </w:tcPr>
          <w:p w:rsidR="00F97C5F" w:rsidRPr="00B631B1" w:rsidRDefault="00F97C5F" w:rsidP="00B631B1">
            <w:pPr>
              <w:keepNext/>
              <w:keepLines/>
              <w:jc w:val="center"/>
              <w:rPr>
                <w:rFonts w:eastAsia="Times New Roman"/>
                <w:color w:val="000000"/>
                <w:sz w:val="18"/>
                <w:szCs w:val="18"/>
                <w:lang w:val="ru-RU" w:eastAsia="en-US"/>
              </w:rPr>
            </w:pPr>
            <w:r w:rsidRPr="00CE28C2">
              <w:rPr>
                <w:rFonts w:eastAsia="Times New Roman"/>
                <w:color w:val="000000"/>
                <w:sz w:val="18"/>
                <w:szCs w:val="18"/>
                <w:lang w:eastAsia="en-US"/>
              </w:rPr>
              <w:t>31</w:t>
            </w:r>
            <w:r w:rsidR="00B631B1">
              <w:rPr>
                <w:rFonts w:eastAsia="Times New Roman"/>
                <w:color w:val="000000"/>
                <w:sz w:val="18"/>
                <w:szCs w:val="18"/>
                <w:lang w:val="ru-RU" w:eastAsia="en-US"/>
              </w:rPr>
              <w:t>декабря</w:t>
            </w:r>
            <w:r w:rsidRPr="00CE28C2">
              <w:rPr>
                <w:rFonts w:eastAsia="Times New Roman"/>
                <w:color w:val="000000"/>
                <w:sz w:val="18"/>
                <w:szCs w:val="18"/>
                <w:lang w:eastAsia="en-US"/>
              </w:rPr>
              <w:t xml:space="preserve"> 2015</w:t>
            </w:r>
            <w:r w:rsidR="00B631B1">
              <w:rPr>
                <w:rFonts w:eastAsia="Times New Roman"/>
                <w:color w:val="000000"/>
                <w:sz w:val="18"/>
                <w:szCs w:val="18"/>
                <w:lang w:val="ru-RU" w:eastAsia="en-US"/>
              </w:rPr>
              <w:t xml:space="preserve"> г.</w:t>
            </w:r>
          </w:p>
        </w:tc>
        <w:tc>
          <w:tcPr>
            <w:tcW w:w="1527" w:type="dxa"/>
            <w:shd w:val="clear" w:color="auto" w:fill="C6D9F1" w:themeFill="text2" w:themeFillTint="33"/>
            <w:vAlign w:val="center"/>
          </w:tcPr>
          <w:p w:rsidR="00F97C5F" w:rsidRPr="00CE28C2" w:rsidRDefault="00B631B1" w:rsidP="00B631B1">
            <w:pPr>
              <w:keepNext/>
              <w:keepLines/>
              <w:jc w:val="center"/>
              <w:rPr>
                <w:rFonts w:eastAsia="Times New Roman"/>
                <w:color w:val="000000"/>
                <w:sz w:val="18"/>
                <w:szCs w:val="18"/>
                <w:lang w:eastAsia="en-US"/>
              </w:rPr>
            </w:pPr>
            <w:r w:rsidRPr="00B631B1">
              <w:rPr>
                <w:rFonts w:eastAsia="Times New Roman"/>
                <w:color w:val="000000"/>
                <w:sz w:val="18"/>
                <w:szCs w:val="18"/>
                <w:lang w:eastAsia="en-US"/>
              </w:rPr>
              <w:t>3</w:t>
            </w:r>
            <w:r w:rsidRPr="00B631B1">
              <w:rPr>
                <w:rFonts w:eastAsia="Times New Roman"/>
                <w:color w:val="000000"/>
                <w:sz w:val="18"/>
                <w:szCs w:val="18"/>
                <w:lang w:val="ru-RU" w:eastAsia="en-US"/>
              </w:rPr>
              <w:t>1 декабря</w:t>
            </w:r>
            <w:r w:rsidRPr="00B631B1">
              <w:rPr>
                <w:rFonts w:eastAsia="Times New Roman"/>
                <w:color w:val="000000"/>
                <w:sz w:val="18"/>
                <w:szCs w:val="18"/>
                <w:lang w:eastAsia="en-US"/>
              </w:rPr>
              <w:t xml:space="preserve"> 201</w:t>
            </w:r>
            <w:r>
              <w:rPr>
                <w:rFonts w:eastAsia="Times New Roman"/>
                <w:color w:val="000000"/>
                <w:sz w:val="18"/>
                <w:szCs w:val="18"/>
                <w:lang w:val="ru-RU" w:eastAsia="en-US"/>
              </w:rPr>
              <w:t>5</w:t>
            </w:r>
            <w:r w:rsidRPr="00B631B1">
              <w:rPr>
                <w:rFonts w:eastAsia="Times New Roman"/>
                <w:color w:val="000000"/>
                <w:sz w:val="18"/>
                <w:szCs w:val="18"/>
                <w:lang w:val="ru-RU" w:eastAsia="en-US"/>
              </w:rPr>
              <w:t xml:space="preserve"> г. после корректировки</w:t>
            </w:r>
          </w:p>
        </w:tc>
      </w:tr>
      <w:tr w:rsidR="00F97C5F" w:rsidRPr="00CC305C" w:rsidTr="00B631B1">
        <w:trPr>
          <w:trHeight w:val="255"/>
          <w:jc w:val="center"/>
        </w:trPr>
        <w:tc>
          <w:tcPr>
            <w:tcW w:w="3527" w:type="dxa"/>
            <w:shd w:val="clear" w:color="auto" w:fill="auto"/>
            <w:noWrap/>
            <w:tcMar>
              <w:top w:w="57" w:type="dxa"/>
              <w:bottom w:w="57" w:type="dxa"/>
            </w:tcMar>
            <w:vAlign w:val="center"/>
            <w:hideMark/>
          </w:tcPr>
          <w:p w:rsidR="00F97C5F" w:rsidRPr="00B631B1" w:rsidRDefault="00B631B1" w:rsidP="00251C01">
            <w:pPr>
              <w:keepNext/>
              <w:keepLines/>
              <w:rPr>
                <w:rFonts w:eastAsia="Times New Roman"/>
                <w:color w:val="000000"/>
                <w:sz w:val="18"/>
                <w:szCs w:val="18"/>
                <w:lang w:val="ru-RU" w:eastAsia="en-US"/>
              </w:rPr>
            </w:pPr>
            <w:r>
              <w:rPr>
                <w:rFonts w:eastAsia="Times New Roman"/>
                <w:color w:val="000000"/>
                <w:sz w:val="18"/>
                <w:szCs w:val="18"/>
                <w:lang w:val="ru-RU" w:eastAsia="en-US"/>
              </w:rPr>
              <w:t>Текущие активы</w:t>
            </w:r>
          </w:p>
        </w:tc>
        <w:tc>
          <w:tcPr>
            <w:tcW w:w="1121" w:type="dxa"/>
            <w:shd w:val="clear" w:color="auto" w:fill="auto"/>
            <w:noWrap/>
            <w:tcMar>
              <w:top w:w="57" w:type="dxa"/>
              <w:bottom w:w="57" w:type="dxa"/>
            </w:tcMar>
            <w:vAlign w:val="center"/>
            <w:hideMark/>
          </w:tcPr>
          <w:p w:rsidR="00F97C5F" w:rsidRPr="00E413D0" w:rsidRDefault="00F97C5F" w:rsidP="00251C01">
            <w:pPr>
              <w:keepNext/>
              <w:keepLines/>
              <w:jc w:val="right"/>
              <w:rPr>
                <w:rFonts w:eastAsia="Times New Roman"/>
                <w:color w:val="000000"/>
                <w:sz w:val="18"/>
                <w:szCs w:val="18"/>
                <w:lang w:eastAsia="en-US"/>
              </w:rPr>
            </w:pPr>
            <w:r w:rsidRPr="00E413D0">
              <w:rPr>
                <w:rFonts w:eastAsia="Times New Roman"/>
                <w:color w:val="000000"/>
                <w:sz w:val="18"/>
                <w:szCs w:val="18"/>
                <w:lang w:eastAsia="en-US"/>
              </w:rPr>
              <w:t>604</w:t>
            </w:r>
            <w:r w:rsidR="00B631B1">
              <w:rPr>
                <w:rFonts w:eastAsia="Times New Roman"/>
                <w:color w:val="000000"/>
                <w:sz w:val="18"/>
                <w:szCs w:val="18"/>
                <w:lang w:eastAsia="en-US"/>
              </w:rPr>
              <w:t>,</w:t>
            </w:r>
            <w:r w:rsidRPr="00E413D0">
              <w:rPr>
                <w:rFonts w:eastAsia="Times New Roman"/>
                <w:color w:val="000000"/>
                <w:sz w:val="18"/>
                <w:szCs w:val="18"/>
                <w:lang w:eastAsia="en-US"/>
              </w:rPr>
              <w:t>4</w:t>
            </w:r>
          </w:p>
        </w:tc>
        <w:tc>
          <w:tcPr>
            <w:tcW w:w="1416" w:type="dxa"/>
            <w:vAlign w:val="center"/>
          </w:tcPr>
          <w:p w:rsidR="00F97C5F" w:rsidRPr="00E413D0" w:rsidRDefault="00F97C5F" w:rsidP="00251C01">
            <w:pPr>
              <w:keepNext/>
              <w:keepLines/>
              <w:jc w:val="right"/>
              <w:rPr>
                <w:rFonts w:eastAsia="Times New Roman"/>
                <w:color w:val="000000"/>
                <w:sz w:val="18"/>
                <w:szCs w:val="18"/>
                <w:lang w:eastAsia="en-US"/>
              </w:rPr>
            </w:pPr>
          </w:p>
        </w:tc>
        <w:tc>
          <w:tcPr>
            <w:tcW w:w="1088" w:type="dxa"/>
            <w:vAlign w:val="center"/>
          </w:tcPr>
          <w:p w:rsidR="00F97C5F" w:rsidRPr="00E413D0" w:rsidRDefault="00F97C5F" w:rsidP="00251C01">
            <w:pPr>
              <w:keepNext/>
              <w:keepLines/>
              <w:jc w:val="right"/>
              <w:rPr>
                <w:rFonts w:eastAsia="Times New Roman"/>
                <w:color w:val="000000"/>
                <w:sz w:val="18"/>
                <w:szCs w:val="18"/>
                <w:lang w:eastAsia="en-US"/>
              </w:rPr>
            </w:pPr>
            <w:r w:rsidRPr="00E413D0">
              <w:rPr>
                <w:rFonts w:eastAsia="Times New Roman"/>
                <w:color w:val="000000"/>
                <w:sz w:val="18"/>
                <w:szCs w:val="18"/>
                <w:lang w:eastAsia="en-US"/>
              </w:rPr>
              <w:t>544</w:t>
            </w:r>
            <w:r w:rsidR="00B631B1">
              <w:rPr>
                <w:rFonts w:eastAsia="Times New Roman"/>
                <w:color w:val="000000"/>
                <w:sz w:val="18"/>
                <w:szCs w:val="18"/>
                <w:lang w:eastAsia="en-US"/>
              </w:rPr>
              <w:t>,</w:t>
            </w:r>
            <w:r w:rsidRPr="00E413D0">
              <w:rPr>
                <w:rFonts w:eastAsia="Times New Roman"/>
                <w:color w:val="000000"/>
                <w:sz w:val="18"/>
                <w:szCs w:val="18"/>
                <w:lang w:eastAsia="en-US"/>
              </w:rPr>
              <w:t>9</w:t>
            </w:r>
          </w:p>
        </w:tc>
        <w:tc>
          <w:tcPr>
            <w:tcW w:w="1527" w:type="dxa"/>
            <w:vAlign w:val="center"/>
          </w:tcPr>
          <w:p w:rsidR="00F97C5F" w:rsidRPr="00E413D0" w:rsidRDefault="00F97C5F" w:rsidP="00251C01">
            <w:pPr>
              <w:keepNext/>
              <w:keepLines/>
              <w:jc w:val="right"/>
              <w:rPr>
                <w:rFonts w:eastAsia="Times New Roman"/>
                <w:color w:val="000000"/>
                <w:sz w:val="18"/>
                <w:szCs w:val="18"/>
                <w:lang w:eastAsia="en-US"/>
              </w:rPr>
            </w:pPr>
          </w:p>
        </w:tc>
      </w:tr>
      <w:tr w:rsidR="00F97C5F" w:rsidRPr="00CC305C" w:rsidTr="00B631B1">
        <w:trPr>
          <w:trHeight w:val="255"/>
          <w:jc w:val="center"/>
        </w:trPr>
        <w:tc>
          <w:tcPr>
            <w:tcW w:w="3527" w:type="dxa"/>
            <w:shd w:val="clear" w:color="auto" w:fill="auto"/>
            <w:noWrap/>
            <w:tcMar>
              <w:top w:w="57" w:type="dxa"/>
              <w:bottom w:w="57" w:type="dxa"/>
            </w:tcMar>
            <w:vAlign w:val="center"/>
          </w:tcPr>
          <w:p w:rsidR="00F97C5F" w:rsidRPr="00B631B1" w:rsidRDefault="00F97C5F" w:rsidP="00B631B1">
            <w:pPr>
              <w:keepNext/>
              <w:keepLines/>
              <w:rPr>
                <w:rFonts w:eastAsia="Times New Roman"/>
                <w:color w:val="000000"/>
                <w:sz w:val="18"/>
                <w:szCs w:val="18"/>
                <w:lang w:val="ru-RU" w:eastAsia="en-US"/>
              </w:rPr>
            </w:pPr>
            <w:r w:rsidRPr="00B631B1">
              <w:rPr>
                <w:rFonts w:eastAsia="Times New Roman"/>
                <w:color w:val="000000"/>
                <w:sz w:val="18"/>
                <w:szCs w:val="18"/>
                <w:lang w:val="ru-RU" w:eastAsia="en-US"/>
              </w:rPr>
              <w:tab/>
            </w:r>
            <w:r w:rsidR="00B631B1">
              <w:rPr>
                <w:rFonts w:eastAsia="Times New Roman"/>
                <w:color w:val="000000"/>
                <w:sz w:val="18"/>
                <w:szCs w:val="18"/>
                <w:lang w:val="ru-RU" w:eastAsia="en-US"/>
              </w:rPr>
              <w:t>Дебиторская задолженность по линии РСТ</w:t>
            </w:r>
          </w:p>
        </w:tc>
        <w:tc>
          <w:tcPr>
            <w:tcW w:w="1121" w:type="dxa"/>
            <w:shd w:val="clear" w:color="auto" w:fill="auto"/>
            <w:noWrap/>
            <w:tcMar>
              <w:top w:w="57" w:type="dxa"/>
              <w:bottom w:w="57" w:type="dxa"/>
            </w:tcMar>
            <w:vAlign w:val="center"/>
          </w:tcPr>
          <w:p w:rsidR="00F97C5F" w:rsidRPr="00B631B1" w:rsidRDefault="00F97C5F" w:rsidP="00251C01">
            <w:pPr>
              <w:keepNext/>
              <w:keepLines/>
              <w:jc w:val="right"/>
              <w:rPr>
                <w:rFonts w:eastAsia="Times New Roman"/>
                <w:color w:val="000000"/>
                <w:sz w:val="18"/>
                <w:szCs w:val="18"/>
                <w:lang w:val="ru-RU" w:eastAsia="en-US"/>
              </w:rPr>
            </w:pPr>
          </w:p>
        </w:tc>
        <w:tc>
          <w:tcPr>
            <w:tcW w:w="1416" w:type="dxa"/>
            <w:vAlign w:val="center"/>
          </w:tcPr>
          <w:p w:rsidR="00F97C5F" w:rsidRPr="00E413D0" w:rsidRDefault="00F97C5F" w:rsidP="00251C01">
            <w:pPr>
              <w:keepNext/>
              <w:keepLines/>
              <w:jc w:val="right"/>
              <w:rPr>
                <w:rFonts w:eastAsia="Times New Roman"/>
                <w:color w:val="000000"/>
                <w:sz w:val="18"/>
                <w:szCs w:val="18"/>
                <w:lang w:eastAsia="en-US"/>
              </w:rPr>
            </w:pPr>
            <w:r w:rsidRPr="00E413D0">
              <w:rPr>
                <w:rFonts w:eastAsia="Times New Roman"/>
                <w:color w:val="000000"/>
                <w:sz w:val="18"/>
                <w:szCs w:val="18"/>
                <w:lang w:eastAsia="en-US"/>
              </w:rPr>
              <w:t>(46</w:t>
            </w:r>
            <w:r w:rsidR="00B631B1">
              <w:rPr>
                <w:rFonts w:eastAsia="Times New Roman"/>
                <w:color w:val="000000"/>
                <w:sz w:val="18"/>
                <w:szCs w:val="18"/>
                <w:lang w:eastAsia="en-US"/>
              </w:rPr>
              <w:t>,</w:t>
            </w:r>
            <w:r w:rsidRPr="00E413D0">
              <w:rPr>
                <w:rFonts w:eastAsia="Times New Roman"/>
                <w:color w:val="000000"/>
                <w:sz w:val="18"/>
                <w:szCs w:val="18"/>
                <w:lang w:eastAsia="en-US"/>
              </w:rPr>
              <w:t>0)</w:t>
            </w:r>
          </w:p>
        </w:tc>
        <w:tc>
          <w:tcPr>
            <w:tcW w:w="1088" w:type="dxa"/>
            <w:vAlign w:val="center"/>
          </w:tcPr>
          <w:p w:rsidR="00F97C5F" w:rsidRPr="00E413D0" w:rsidRDefault="00F97C5F" w:rsidP="00251C01">
            <w:pPr>
              <w:keepNext/>
              <w:keepLines/>
              <w:jc w:val="right"/>
              <w:rPr>
                <w:rFonts w:eastAsia="Times New Roman"/>
                <w:color w:val="000000"/>
                <w:sz w:val="18"/>
                <w:szCs w:val="18"/>
                <w:lang w:eastAsia="en-US"/>
              </w:rPr>
            </w:pPr>
          </w:p>
        </w:tc>
        <w:tc>
          <w:tcPr>
            <w:tcW w:w="1527" w:type="dxa"/>
            <w:vAlign w:val="center"/>
          </w:tcPr>
          <w:p w:rsidR="00F97C5F" w:rsidRPr="00E413D0" w:rsidRDefault="00F97C5F" w:rsidP="00251C01">
            <w:pPr>
              <w:keepNext/>
              <w:keepLines/>
              <w:jc w:val="right"/>
              <w:rPr>
                <w:rFonts w:eastAsia="Times New Roman"/>
                <w:color w:val="000000"/>
                <w:sz w:val="18"/>
                <w:szCs w:val="18"/>
                <w:lang w:eastAsia="en-US"/>
              </w:rPr>
            </w:pPr>
            <w:r w:rsidRPr="00E413D0">
              <w:rPr>
                <w:rFonts w:eastAsia="Times New Roman"/>
                <w:color w:val="000000"/>
                <w:sz w:val="18"/>
                <w:szCs w:val="18"/>
                <w:lang w:eastAsia="en-US"/>
              </w:rPr>
              <w:t>(36</w:t>
            </w:r>
            <w:r w:rsidR="00B631B1">
              <w:rPr>
                <w:rFonts w:eastAsia="Times New Roman"/>
                <w:color w:val="000000"/>
                <w:sz w:val="18"/>
                <w:szCs w:val="18"/>
                <w:lang w:eastAsia="en-US"/>
              </w:rPr>
              <w:t>,</w:t>
            </w:r>
            <w:r w:rsidRPr="00E413D0">
              <w:rPr>
                <w:rFonts w:eastAsia="Times New Roman"/>
                <w:color w:val="000000"/>
                <w:sz w:val="18"/>
                <w:szCs w:val="18"/>
                <w:lang w:eastAsia="en-US"/>
              </w:rPr>
              <w:t>5)</w:t>
            </w:r>
          </w:p>
        </w:tc>
      </w:tr>
      <w:tr w:rsidR="00F97C5F" w:rsidRPr="00CC305C" w:rsidTr="00B631B1">
        <w:trPr>
          <w:trHeight w:val="255"/>
          <w:jc w:val="center"/>
        </w:trPr>
        <w:tc>
          <w:tcPr>
            <w:tcW w:w="3527" w:type="dxa"/>
            <w:shd w:val="clear" w:color="auto" w:fill="auto"/>
            <w:noWrap/>
            <w:tcMar>
              <w:top w:w="57" w:type="dxa"/>
              <w:bottom w:w="57" w:type="dxa"/>
            </w:tcMar>
            <w:vAlign w:val="center"/>
          </w:tcPr>
          <w:p w:rsidR="00F97C5F" w:rsidRPr="00B631B1" w:rsidRDefault="00F97C5F" w:rsidP="00B631B1">
            <w:pPr>
              <w:keepNext/>
              <w:keepLines/>
              <w:rPr>
                <w:rFonts w:eastAsia="Times New Roman"/>
                <w:color w:val="000000"/>
                <w:sz w:val="18"/>
                <w:szCs w:val="18"/>
                <w:lang w:val="ru-RU" w:eastAsia="en-US"/>
              </w:rPr>
            </w:pPr>
            <w:r w:rsidRPr="00E413D0">
              <w:rPr>
                <w:rFonts w:eastAsia="Times New Roman"/>
                <w:color w:val="000000"/>
                <w:sz w:val="18"/>
                <w:szCs w:val="18"/>
                <w:lang w:eastAsia="en-US"/>
              </w:rPr>
              <w:tab/>
            </w:r>
            <w:r w:rsidR="00B631B1">
              <w:rPr>
                <w:rFonts w:eastAsia="Times New Roman"/>
                <w:color w:val="000000"/>
                <w:sz w:val="18"/>
                <w:szCs w:val="18"/>
                <w:lang w:val="ru-RU" w:eastAsia="en-US"/>
              </w:rPr>
              <w:t>Корректировка с учетом запасов</w:t>
            </w:r>
          </w:p>
        </w:tc>
        <w:tc>
          <w:tcPr>
            <w:tcW w:w="1121" w:type="dxa"/>
            <w:shd w:val="clear" w:color="auto" w:fill="auto"/>
            <w:noWrap/>
            <w:tcMar>
              <w:top w:w="57" w:type="dxa"/>
              <w:bottom w:w="57" w:type="dxa"/>
            </w:tcMar>
            <w:vAlign w:val="center"/>
          </w:tcPr>
          <w:p w:rsidR="00F97C5F" w:rsidRPr="00E413D0" w:rsidRDefault="00F97C5F" w:rsidP="00251C01">
            <w:pPr>
              <w:keepNext/>
              <w:keepLines/>
              <w:jc w:val="right"/>
              <w:rPr>
                <w:rFonts w:eastAsia="Times New Roman"/>
                <w:color w:val="000000"/>
                <w:sz w:val="18"/>
                <w:szCs w:val="18"/>
                <w:lang w:eastAsia="en-US"/>
              </w:rPr>
            </w:pPr>
          </w:p>
        </w:tc>
        <w:tc>
          <w:tcPr>
            <w:tcW w:w="1416" w:type="dxa"/>
            <w:vAlign w:val="center"/>
          </w:tcPr>
          <w:p w:rsidR="00F97C5F" w:rsidRPr="00E413D0" w:rsidRDefault="00F97C5F" w:rsidP="00251C01">
            <w:pPr>
              <w:keepNext/>
              <w:keepLines/>
              <w:jc w:val="right"/>
              <w:rPr>
                <w:rFonts w:eastAsia="Times New Roman"/>
                <w:color w:val="000000"/>
                <w:sz w:val="18"/>
                <w:szCs w:val="18"/>
                <w:u w:val="single"/>
                <w:lang w:eastAsia="en-US"/>
              </w:rPr>
            </w:pPr>
            <w:r w:rsidRPr="00E413D0">
              <w:rPr>
                <w:rFonts w:eastAsia="Times New Roman"/>
                <w:color w:val="000000"/>
                <w:sz w:val="18"/>
                <w:szCs w:val="18"/>
                <w:u w:val="single"/>
                <w:lang w:eastAsia="en-US"/>
              </w:rPr>
              <w:t>(1</w:t>
            </w:r>
            <w:r w:rsidR="00B631B1">
              <w:rPr>
                <w:rFonts w:eastAsia="Times New Roman"/>
                <w:color w:val="000000"/>
                <w:sz w:val="18"/>
                <w:szCs w:val="18"/>
                <w:u w:val="single"/>
                <w:lang w:eastAsia="en-US"/>
              </w:rPr>
              <w:t>,</w:t>
            </w:r>
            <w:r w:rsidRPr="00E413D0">
              <w:rPr>
                <w:rFonts w:eastAsia="Times New Roman"/>
                <w:color w:val="000000"/>
                <w:sz w:val="18"/>
                <w:szCs w:val="18"/>
                <w:u w:val="single"/>
                <w:lang w:eastAsia="en-US"/>
              </w:rPr>
              <w:t>5)</w:t>
            </w:r>
          </w:p>
        </w:tc>
        <w:tc>
          <w:tcPr>
            <w:tcW w:w="1088" w:type="dxa"/>
            <w:vAlign w:val="center"/>
          </w:tcPr>
          <w:p w:rsidR="00F97C5F" w:rsidRPr="00E413D0" w:rsidRDefault="00F97C5F" w:rsidP="00251C01">
            <w:pPr>
              <w:keepNext/>
              <w:keepLines/>
              <w:jc w:val="right"/>
              <w:rPr>
                <w:rFonts w:eastAsia="Times New Roman"/>
                <w:color w:val="000000"/>
                <w:sz w:val="18"/>
                <w:szCs w:val="18"/>
                <w:lang w:eastAsia="en-US"/>
              </w:rPr>
            </w:pPr>
          </w:p>
        </w:tc>
        <w:tc>
          <w:tcPr>
            <w:tcW w:w="1527" w:type="dxa"/>
            <w:vAlign w:val="center"/>
          </w:tcPr>
          <w:p w:rsidR="00F97C5F" w:rsidRPr="00E413D0" w:rsidRDefault="00F97C5F" w:rsidP="00251C01">
            <w:pPr>
              <w:keepNext/>
              <w:keepLines/>
              <w:jc w:val="right"/>
              <w:rPr>
                <w:rFonts w:eastAsia="Times New Roman"/>
                <w:color w:val="000000"/>
                <w:sz w:val="18"/>
                <w:szCs w:val="18"/>
                <w:u w:val="single"/>
                <w:lang w:eastAsia="en-US"/>
              </w:rPr>
            </w:pPr>
            <w:r w:rsidRPr="00E413D0">
              <w:rPr>
                <w:rFonts w:eastAsia="Times New Roman"/>
                <w:color w:val="000000"/>
                <w:sz w:val="18"/>
                <w:szCs w:val="18"/>
                <w:u w:val="single"/>
                <w:lang w:eastAsia="en-US"/>
              </w:rPr>
              <w:t>(1</w:t>
            </w:r>
            <w:r w:rsidR="00B631B1">
              <w:rPr>
                <w:rFonts w:eastAsia="Times New Roman"/>
                <w:color w:val="000000"/>
                <w:sz w:val="18"/>
                <w:szCs w:val="18"/>
                <w:u w:val="single"/>
                <w:lang w:eastAsia="en-US"/>
              </w:rPr>
              <w:t>,</w:t>
            </w:r>
            <w:r w:rsidRPr="00E413D0">
              <w:rPr>
                <w:rFonts w:eastAsia="Times New Roman"/>
                <w:color w:val="000000"/>
                <w:sz w:val="18"/>
                <w:szCs w:val="18"/>
                <w:u w:val="single"/>
                <w:lang w:eastAsia="en-US"/>
              </w:rPr>
              <w:t>6)</w:t>
            </w:r>
          </w:p>
        </w:tc>
      </w:tr>
      <w:tr w:rsidR="00F97C5F" w:rsidRPr="00CC305C" w:rsidTr="00B631B1">
        <w:trPr>
          <w:trHeight w:val="255"/>
          <w:jc w:val="center"/>
        </w:trPr>
        <w:tc>
          <w:tcPr>
            <w:tcW w:w="3527" w:type="dxa"/>
            <w:shd w:val="clear" w:color="auto" w:fill="auto"/>
            <w:noWrap/>
            <w:tcMar>
              <w:top w:w="57" w:type="dxa"/>
              <w:bottom w:w="57" w:type="dxa"/>
            </w:tcMar>
            <w:vAlign w:val="center"/>
          </w:tcPr>
          <w:p w:rsidR="00F97C5F" w:rsidRPr="00E413D0" w:rsidRDefault="00B631B1" w:rsidP="00B631B1">
            <w:pPr>
              <w:keepNext/>
              <w:keepLines/>
              <w:rPr>
                <w:rFonts w:eastAsia="Times New Roman"/>
                <w:color w:val="000000"/>
                <w:sz w:val="18"/>
                <w:szCs w:val="18"/>
                <w:lang w:eastAsia="en-US"/>
              </w:rPr>
            </w:pPr>
            <w:r>
              <w:rPr>
                <w:rFonts w:eastAsia="Times New Roman"/>
                <w:color w:val="000000"/>
                <w:sz w:val="18"/>
                <w:szCs w:val="18"/>
                <w:lang w:val="ru-RU" w:eastAsia="en-US"/>
              </w:rPr>
              <w:t>Сальдо ликвидных текущих активов</w:t>
            </w:r>
          </w:p>
        </w:tc>
        <w:tc>
          <w:tcPr>
            <w:tcW w:w="1121" w:type="dxa"/>
            <w:shd w:val="clear" w:color="auto" w:fill="auto"/>
            <w:noWrap/>
            <w:tcMar>
              <w:top w:w="57" w:type="dxa"/>
              <w:bottom w:w="57" w:type="dxa"/>
            </w:tcMar>
            <w:vAlign w:val="center"/>
          </w:tcPr>
          <w:p w:rsidR="00F97C5F" w:rsidRPr="00E413D0" w:rsidRDefault="00F97C5F" w:rsidP="00251C01">
            <w:pPr>
              <w:keepNext/>
              <w:keepLines/>
              <w:jc w:val="right"/>
              <w:rPr>
                <w:rFonts w:eastAsia="Times New Roman"/>
                <w:color w:val="000000"/>
                <w:sz w:val="18"/>
                <w:szCs w:val="18"/>
                <w:lang w:eastAsia="en-US"/>
              </w:rPr>
            </w:pPr>
          </w:p>
        </w:tc>
        <w:tc>
          <w:tcPr>
            <w:tcW w:w="1416" w:type="dxa"/>
            <w:vAlign w:val="center"/>
          </w:tcPr>
          <w:p w:rsidR="00F97C5F" w:rsidRPr="00E413D0" w:rsidRDefault="00F97C5F" w:rsidP="00251C01">
            <w:pPr>
              <w:keepNext/>
              <w:keepLines/>
              <w:jc w:val="right"/>
              <w:rPr>
                <w:rFonts w:eastAsia="Times New Roman"/>
                <w:color w:val="000000"/>
                <w:sz w:val="18"/>
                <w:szCs w:val="18"/>
                <w:lang w:eastAsia="en-US"/>
              </w:rPr>
            </w:pPr>
            <w:r w:rsidRPr="00E413D0">
              <w:rPr>
                <w:rFonts w:eastAsia="Times New Roman"/>
                <w:color w:val="000000"/>
                <w:sz w:val="18"/>
                <w:szCs w:val="18"/>
                <w:lang w:eastAsia="en-US"/>
              </w:rPr>
              <w:t>556</w:t>
            </w:r>
            <w:r w:rsidR="00B631B1">
              <w:rPr>
                <w:rFonts w:eastAsia="Times New Roman"/>
                <w:color w:val="000000"/>
                <w:sz w:val="18"/>
                <w:szCs w:val="18"/>
                <w:lang w:eastAsia="en-US"/>
              </w:rPr>
              <w:t>,</w:t>
            </w:r>
            <w:r w:rsidRPr="00E413D0">
              <w:rPr>
                <w:rFonts w:eastAsia="Times New Roman"/>
                <w:color w:val="000000"/>
                <w:sz w:val="18"/>
                <w:szCs w:val="18"/>
                <w:lang w:eastAsia="en-US"/>
              </w:rPr>
              <w:t>9</w:t>
            </w:r>
          </w:p>
        </w:tc>
        <w:tc>
          <w:tcPr>
            <w:tcW w:w="1088" w:type="dxa"/>
            <w:vAlign w:val="center"/>
          </w:tcPr>
          <w:p w:rsidR="00F97C5F" w:rsidRPr="00E413D0" w:rsidRDefault="00F97C5F" w:rsidP="00251C01">
            <w:pPr>
              <w:keepNext/>
              <w:keepLines/>
              <w:jc w:val="right"/>
              <w:rPr>
                <w:rFonts w:eastAsia="Times New Roman"/>
                <w:color w:val="000000"/>
                <w:sz w:val="18"/>
                <w:szCs w:val="18"/>
                <w:u w:val="single"/>
                <w:lang w:eastAsia="en-US"/>
              </w:rPr>
            </w:pPr>
          </w:p>
        </w:tc>
        <w:tc>
          <w:tcPr>
            <w:tcW w:w="1527" w:type="dxa"/>
            <w:vAlign w:val="center"/>
          </w:tcPr>
          <w:p w:rsidR="00F97C5F" w:rsidRPr="00E413D0" w:rsidRDefault="00F97C5F" w:rsidP="00251C01">
            <w:pPr>
              <w:keepNext/>
              <w:keepLines/>
              <w:jc w:val="right"/>
              <w:rPr>
                <w:rFonts w:eastAsia="Times New Roman"/>
                <w:color w:val="000000"/>
                <w:sz w:val="18"/>
                <w:szCs w:val="18"/>
                <w:lang w:eastAsia="en-US"/>
              </w:rPr>
            </w:pPr>
            <w:r w:rsidRPr="00E413D0">
              <w:rPr>
                <w:rFonts w:eastAsia="Times New Roman"/>
                <w:color w:val="000000"/>
                <w:sz w:val="18"/>
                <w:szCs w:val="18"/>
                <w:lang w:eastAsia="en-US"/>
              </w:rPr>
              <w:t>506</w:t>
            </w:r>
            <w:r w:rsidR="00B631B1">
              <w:rPr>
                <w:rFonts w:eastAsia="Times New Roman"/>
                <w:color w:val="000000"/>
                <w:sz w:val="18"/>
                <w:szCs w:val="18"/>
                <w:lang w:eastAsia="en-US"/>
              </w:rPr>
              <w:t>,</w:t>
            </w:r>
            <w:r w:rsidRPr="00E413D0">
              <w:rPr>
                <w:rFonts w:eastAsia="Times New Roman"/>
                <w:color w:val="000000"/>
                <w:sz w:val="18"/>
                <w:szCs w:val="18"/>
                <w:lang w:eastAsia="en-US"/>
              </w:rPr>
              <w:t>8</w:t>
            </w:r>
          </w:p>
        </w:tc>
      </w:tr>
      <w:tr w:rsidR="00F97C5F" w:rsidRPr="00CC305C" w:rsidTr="00B631B1">
        <w:trPr>
          <w:trHeight w:val="255"/>
          <w:jc w:val="center"/>
        </w:trPr>
        <w:tc>
          <w:tcPr>
            <w:tcW w:w="3527" w:type="dxa"/>
            <w:shd w:val="clear" w:color="auto" w:fill="auto"/>
            <w:noWrap/>
            <w:tcMar>
              <w:top w:w="57" w:type="dxa"/>
              <w:bottom w:w="57" w:type="dxa"/>
            </w:tcMar>
            <w:vAlign w:val="center"/>
          </w:tcPr>
          <w:p w:rsidR="00F97C5F" w:rsidRPr="00B631B1" w:rsidRDefault="00B631B1" w:rsidP="00251C01">
            <w:pPr>
              <w:keepNext/>
              <w:keepLines/>
              <w:rPr>
                <w:rFonts w:eastAsia="Times New Roman"/>
                <w:color w:val="000000"/>
                <w:sz w:val="18"/>
                <w:szCs w:val="18"/>
                <w:lang w:val="ru-RU" w:eastAsia="en-US"/>
              </w:rPr>
            </w:pPr>
            <w:r>
              <w:rPr>
                <w:rFonts w:eastAsia="Times New Roman"/>
                <w:color w:val="000000"/>
                <w:sz w:val="18"/>
                <w:szCs w:val="18"/>
                <w:lang w:val="ru-RU" w:eastAsia="en-US"/>
              </w:rPr>
              <w:t>Текущие обязательства</w:t>
            </w:r>
          </w:p>
        </w:tc>
        <w:tc>
          <w:tcPr>
            <w:tcW w:w="1121" w:type="dxa"/>
            <w:shd w:val="clear" w:color="auto" w:fill="auto"/>
            <w:noWrap/>
            <w:tcMar>
              <w:top w:w="57" w:type="dxa"/>
              <w:bottom w:w="57" w:type="dxa"/>
            </w:tcMar>
            <w:vAlign w:val="center"/>
          </w:tcPr>
          <w:p w:rsidR="00F97C5F" w:rsidRPr="00E413D0" w:rsidRDefault="00F97C5F" w:rsidP="00251C01">
            <w:pPr>
              <w:keepNext/>
              <w:keepLines/>
              <w:jc w:val="right"/>
              <w:rPr>
                <w:rFonts w:eastAsia="Times New Roman"/>
                <w:color w:val="000000"/>
                <w:sz w:val="18"/>
                <w:szCs w:val="18"/>
                <w:lang w:eastAsia="en-US"/>
              </w:rPr>
            </w:pPr>
            <w:r w:rsidRPr="00E413D0">
              <w:rPr>
                <w:rFonts w:eastAsia="Times New Roman"/>
                <w:color w:val="000000"/>
                <w:sz w:val="18"/>
                <w:szCs w:val="18"/>
                <w:lang w:eastAsia="en-US"/>
              </w:rPr>
              <w:t>468</w:t>
            </w:r>
            <w:r w:rsidR="00B631B1">
              <w:rPr>
                <w:rFonts w:eastAsia="Times New Roman"/>
                <w:color w:val="000000"/>
                <w:sz w:val="18"/>
                <w:szCs w:val="18"/>
                <w:lang w:eastAsia="en-US"/>
              </w:rPr>
              <w:t>,</w:t>
            </w:r>
            <w:r w:rsidRPr="00E413D0">
              <w:rPr>
                <w:rFonts w:eastAsia="Times New Roman"/>
                <w:color w:val="000000"/>
                <w:sz w:val="18"/>
                <w:szCs w:val="18"/>
                <w:lang w:eastAsia="en-US"/>
              </w:rPr>
              <w:t>8</w:t>
            </w:r>
          </w:p>
        </w:tc>
        <w:tc>
          <w:tcPr>
            <w:tcW w:w="1416" w:type="dxa"/>
            <w:vAlign w:val="center"/>
          </w:tcPr>
          <w:p w:rsidR="00F97C5F" w:rsidRPr="00E413D0" w:rsidRDefault="00F97C5F" w:rsidP="00251C01">
            <w:pPr>
              <w:keepNext/>
              <w:keepLines/>
              <w:jc w:val="right"/>
              <w:rPr>
                <w:rFonts w:eastAsia="Times New Roman"/>
                <w:color w:val="000000"/>
                <w:sz w:val="18"/>
                <w:szCs w:val="18"/>
                <w:u w:val="single"/>
                <w:lang w:eastAsia="en-US"/>
              </w:rPr>
            </w:pPr>
          </w:p>
        </w:tc>
        <w:tc>
          <w:tcPr>
            <w:tcW w:w="1088" w:type="dxa"/>
            <w:vAlign w:val="center"/>
          </w:tcPr>
          <w:p w:rsidR="00F97C5F" w:rsidRPr="00E413D0" w:rsidRDefault="00F97C5F" w:rsidP="00251C01">
            <w:pPr>
              <w:keepNext/>
              <w:keepLines/>
              <w:jc w:val="right"/>
              <w:rPr>
                <w:rFonts w:eastAsia="Times New Roman"/>
                <w:color w:val="000000"/>
                <w:sz w:val="18"/>
                <w:szCs w:val="18"/>
                <w:lang w:eastAsia="en-US"/>
              </w:rPr>
            </w:pPr>
            <w:r w:rsidRPr="00E413D0">
              <w:rPr>
                <w:rFonts w:eastAsia="Times New Roman"/>
                <w:color w:val="000000"/>
                <w:sz w:val="18"/>
                <w:szCs w:val="18"/>
                <w:lang w:eastAsia="en-US"/>
              </w:rPr>
              <w:t>456</w:t>
            </w:r>
            <w:r w:rsidR="00B631B1">
              <w:rPr>
                <w:rFonts w:eastAsia="Times New Roman"/>
                <w:color w:val="000000"/>
                <w:sz w:val="18"/>
                <w:szCs w:val="18"/>
                <w:lang w:eastAsia="en-US"/>
              </w:rPr>
              <w:t>,</w:t>
            </w:r>
            <w:r w:rsidRPr="00E413D0">
              <w:rPr>
                <w:rFonts w:eastAsia="Times New Roman"/>
                <w:color w:val="000000"/>
                <w:sz w:val="18"/>
                <w:szCs w:val="18"/>
                <w:lang w:eastAsia="en-US"/>
              </w:rPr>
              <w:t>5</w:t>
            </w:r>
          </w:p>
        </w:tc>
        <w:tc>
          <w:tcPr>
            <w:tcW w:w="1527" w:type="dxa"/>
            <w:vAlign w:val="center"/>
          </w:tcPr>
          <w:p w:rsidR="00F97C5F" w:rsidRPr="00E413D0" w:rsidRDefault="00F97C5F" w:rsidP="00251C01">
            <w:pPr>
              <w:keepNext/>
              <w:keepLines/>
              <w:jc w:val="right"/>
              <w:rPr>
                <w:rFonts w:eastAsia="Times New Roman"/>
                <w:color w:val="000000"/>
                <w:sz w:val="18"/>
                <w:szCs w:val="18"/>
                <w:u w:val="single"/>
                <w:lang w:eastAsia="en-US"/>
              </w:rPr>
            </w:pPr>
          </w:p>
        </w:tc>
      </w:tr>
      <w:tr w:rsidR="00F97C5F" w:rsidRPr="00CC305C" w:rsidTr="00B631B1">
        <w:trPr>
          <w:trHeight w:val="255"/>
          <w:jc w:val="center"/>
        </w:trPr>
        <w:tc>
          <w:tcPr>
            <w:tcW w:w="3527" w:type="dxa"/>
            <w:shd w:val="clear" w:color="auto" w:fill="auto"/>
            <w:noWrap/>
            <w:tcMar>
              <w:top w:w="57" w:type="dxa"/>
              <w:bottom w:w="57" w:type="dxa"/>
            </w:tcMar>
            <w:vAlign w:val="center"/>
          </w:tcPr>
          <w:p w:rsidR="00F97C5F" w:rsidRPr="00B631B1" w:rsidRDefault="00F97C5F" w:rsidP="00B631B1">
            <w:pPr>
              <w:keepNext/>
              <w:keepLines/>
              <w:rPr>
                <w:rFonts w:eastAsia="Times New Roman"/>
                <w:color w:val="000000"/>
                <w:sz w:val="18"/>
                <w:szCs w:val="18"/>
                <w:lang w:val="ru-RU" w:eastAsia="en-US"/>
              </w:rPr>
            </w:pPr>
            <w:r w:rsidRPr="00B631B1">
              <w:rPr>
                <w:rFonts w:eastAsia="Times New Roman"/>
                <w:color w:val="000000"/>
                <w:sz w:val="18"/>
                <w:szCs w:val="18"/>
                <w:lang w:val="ru-RU" w:eastAsia="en-US"/>
              </w:rPr>
              <w:tab/>
            </w:r>
            <w:r w:rsidR="00B631B1">
              <w:rPr>
                <w:rFonts w:eastAsia="Times New Roman"/>
                <w:color w:val="000000"/>
                <w:sz w:val="18"/>
                <w:szCs w:val="18"/>
                <w:lang w:val="ru-RU" w:eastAsia="en-US"/>
              </w:rPr>
              <w:t>Корректировка с учетом авансовых поступлений</w:t>
            </w:r>
          </w:p>
        </w:tc>
        <w:tc>
          <w:tcPr>
            <w:tcW w:w="1121" w:type="dxa"/>
            <w:shd w:val="clear" w:color="auto" w:fill="auto"/>
            <w:noWrap/>
            <w:tcMar>
              <w:top w:w="57" w:type="dxa"/>
              <w:bottom w:w="57" w:type="dxa"/>
            </w:tcMar>
            <w:vAlign w:val="center"/>
          </w:tcPr>
          <w:p w:rsidR="00F97C5F" w:rsidRPr="00B631B1" w:rsidRDefault="00F97C5F" w:rsidP="00251C01">
            <w:pPr>
              <w:keepNext/>
              <w:keepLines/>
              <w:jc w:val="right"/>
              <w:rPr>
                <w:rFonts w:eastAsia="Times New Roman"/>
                <w:color w:val="000000"/>
                <w:sz w:val="18"/>
                <w:szCs w:val="18"/>
                <w:lang w:val="ru-RU" w:eastAsia="en-US"/>
              </w:rPr>
            </w:pPr>
          </w:p>
        </w:tc>
        <w:tc>
          <w:tcPr>
            <w:tcW w:w="1416" w:type="dxa"/>
            <w:vAlign w:val="center"/>
          </w:tcPr>
          <w:p w:rsidR="00F97C5F" w:rsidRPr="00E413D0" w:rsidRDefault="00F97C5F" w:rsidP="00251C01">
            <w:pPr>
              <w:keepNext/>
              <w:keepLines/>
              <w:jc w:val="right"/>
              <w:rPr>
                <w:rFonts w:eastAsia="Times New Roman"/>
                <w:color w:val="000000"/>
                <w:sz w:val="18"/>
                <w:szCs w:val="18"/>
                <w:u w:val="single"/>
                <w:lang w:eastAsia="en-US"/>
              </w:rPr>
            </w:pPr>
            <w:r w:rsidRPr="00E413D0">
              <w:rPr>
                <w:rFonts w:eastAsia="Times New Roman"/>
                <w:color w:val="000000"/>
                <w:sz w:val="18"/>
                <w:szCs w:val="18"/>
                <w:u w:val="single"/>
                <w:lang w:eastAsia="en-US"/>
              </w:rPr>
              <w:t>(269</w:t>
            </w:r>
            <w:r w:rsidR="00B631B1">
              <w:rPr>
                <w:rFonts w:eastAsia="Times New Roman"/>
                <w:color w:val="000000"/>
                <w:sz w:val="18"/>
                <w:szCs w:val="18"/>
                <w:u w:val="single"/>
                <w:lang w:eastAsia="en-US"/>
              </w:rPr>
              <w:t>,</w:t>
            </w:r>
            <w:r w:rsidRPr="00E413D0">
              <w:rPr>
                <w:rFonts w:eastAsia="Times New Roman"/>
                <w:color w:val="000000"/>
                <w:sz w:val="18"/>
                <w:szCs w:val="18"/>
                <w:u w:val="single"/>
                <w:lang w:eastAsia="en-US"/>
              </w:rPr>
              <w:t>6)</w:t>
            </w:r>
          </w:p>
        </w:tc>
        <w:tc>
          <w:tcPr>
            <w:tcW w:w="1088" w:type="dxa"/>
            <w:vAlign w:val="center"/>
          </w:tcPr>
          <w:p w:rsidR="00F97C5F" w:rsidRPr="00E413D0" w:rsidRDefault="00F97C5F" w:rsidP="00251C01">
            <w:pPr>
              <w:keepNext/>
              <w:keepLines/>
              <w:jc w:val="right"/>
              <w:rPr>
                <w:rFonts w:eastAsia="Times New Roman"/>
                <w:color w:val="000000"/>
                <w:sz w:val="18"/>
                <w:szCs w:val="18"/>
                <w:u w:val="single"/>
                <w:lang w:eastAsia="en-US"/>
              </w:rPr>
            </w:pPr>
          </w:p>
        </w:tc>
        <w:tc>
          <w:tcPr>
            <w:tcW w:w="1527" w:type="dxa"/>
            <w:vAlign w:val="center"/>
          </w:tcPr>
          <w:p w:rsidR="00F97C5F" w:rsidRPr="00E413D0" w:rsidRDefault="00F97C5F" w:rsidP="00251C01">
            <w:pPr>
              <w:keepNext/>
              <w:keepLines/>
              <w:jc w:val="right"/>
              <w:rPr>
                <w:rFonts w:eastAsia="Times New Roman"/>
                <w:color w:val="000000"/>
                <w:sz w:val="18"/>
                <w:szCs w:val="18"/>
                <w:u w:val="single"/>
                <w:lang w:eastAsia="en-US"/>
              </w:rPr>
            </w:pPr>
            <w:r w:rsidRPr="00E413D0">
              <w:rPr>
                <w:rFonts w:eastAsia="Times New Roman"/>
                <w:color w:val="000000"/>
                <w:sz w:val="18"/>
                <w:szCs w:val="18"/>
                <w:u w:val="single"/>
                <w:lang w:eastAsia="en-US"/>
              </w:rPr>
              <w:t>(249</w:t>
            </w:r>
            <w:r w:rsidR="00B631B1">
              <w:rPr>
                <w:rFonts w:eastAsia="Times New Roman"/>
                <w:color w:val="000000"/>
                <w:sz w:val="18"/>
                <w:szCs w:val="18"/>
                <w:u w:val="single"/>
                <w:lang w:eastAsia="en-US"/>
              </w:rPr>
              <w:t>,</w:t>
            </w:r>
            <w:r w:rsidRPr="00E413D0">
              <w:rPr>
                <w:rFonts w:eastAsia="Times New Roman"/>
                <w:color w:val="000000"/>
                <w:sz w:val="18"/>
                <w:szCs w:val="18"/>
                <w:u w:val="single"/>
                <w:lang w:eastAsia="en-US"/>
              </w:rPr>
              <w:t>4)</w:t>
            </w:r>
          </w:p>
        </w:tc>
      </w:tr>
      <w:tr w:rsidR="00F97C5F" w:rsidRPr="00CC305C" w:rsidTr="00B631B1">
        <w:trPr>
          <w:trHeight w:val="255"/>
          <w:jc w:val="center"/>
        </w:trPr>
        <w:tc>
          <w:tcPr>
            <w:tcW w:w="3527" w:type="dxa"/>
            <w:shd w:val="clear" w:color="auto" w:fill="auto"/>
            <w:noWrap/>
            <w:tcMar>
              <w:top w:w="57" w:type="dxa"/>
              <w:bottom w:w="57" w:type="dxa"/>
            </w:tcMar>
            <w:vAlign w:val="center"/>
          </w:tcPr>
          <w:p w:rsidR="00F97C5F" w:rsidRPr="00E413D0" w:rsidRDefault="00B631B1" w:rsidP="00251C01">
            <w:pPr>
              <w:keepNext/>
              <w:keepLines/>
              <w:rPr>
                <w:rFonts w:eastAsia="Times New Roman"/>
                <w:color w:val="000000"/>
                <w:sz w:val="18"/>
                <w:szCs w:val="18"/>
                <w:lang w:eastAsia="en-US"/>
              </w:rPr>
            </w:pPr>
            <w:r w:rsidRPr="00B631B1">
              <w:rPr>
                <w:rFonts w:eastAsia="Times New Roman"/>
                <w:color w:val="000000"/>
                <w:sz w:val="18"/>
                <w:szCs w:val="18"/>
                <w:lang w:val="ru-RU" w:eastAsia="en-US"/>
              </w:rPr>
              <w:t>Сальдо ликвидных текущих</w:t>
            </w:r>
            <w:r>
              <w:rPr>
                <w:rFonts w:eastAsia="Times New Roman"/>
                <w:color w:val="000000"/>
                <w:sz w:val="18"/>
                <w:szCs w:val="18"/>
                <w:lang w:val="ru-RU" w:eastAsia="en-US"/>
              </w:rPr>
              <w:t xml:space="preserve"> обязательств</w:t>
            </w:r>
          </w:p>
        </w:tc>
        <w:tc>
          <w:tcPr>
            <w:tcW w:w="1121" w:type="dxa"/>
            <w:shd w:val="clear" w:color="auto" w:fill="auto"/>
            <w:noWrap/>
            <w:tcMar>
              <w:top w:w="57" w:type="dxa"/>
              <w:bottom w:w="57" w:type="dxa"/>
            </w:tcMar>
            <w:vAlign w:val="center"/>
          </w:tcPr>
          <w:p w:rsidR="00F97C5F" w:rsidRPr="00E413D0" w:rsidRDefault="00F97C5F" w:rsidP="00251C01">
            <w:pPr>
              <w:keepNext/>
              <w:keepLines/>
              <w:jc w:val="right"/>
              <w:rPr>
                <w:rFonts w:eastAsia="Times New Roman"/>
                <w:color w:val="000000"/>
                <w:sz w:val="18"/>
                <w:szCs w:val="18"/>
                <w:u w:val="single"/>
                <w:lang w:eastAsia="en-US"/>
              </w:rPr>
            </w:pPr>
          </w:p>
        </w:tc>
        <w:tc>
          <w:tcPr>
            <w:tcW w:w="1416" w:type="dxa"/>
            <w:vAlign w:val="center"/>
          </w:tcPr>
          <w:p w:rsidR="00F97C5F" w:rsidRPr="00E413D0" w:rsidRDefault="00F97C5F" w:rsidP="00251C01">
            <w:pPr>
              <w:keepNext/>
              <w:keepLines/>
              <w:jc w:val="right"/>
              <w:rPr>
                <w:rFonts w:eastAsia="Times New Roman"/>
                <w:color w:val="000000"/>
                <w:sz w:val="18"/>
                <w:szCs w:val="18"/>
                <w:lang w:eastAsia="en-US"/>
              </w:rPr>
            </w:pPr>
            <w:r w:rsidRPr="00E413D0">
              <w:rPr>
                <w:rFonts w:eastAsia="Times New Roman"/>
                <w:color w:val="000000"/>
                <w:sz w:val="18"/>
                <w:szCs w:val="18"/>
                <w:lang w:eastAsia="en-US"/>
              </w:rPr>
              <w:t>199</w:t>
            </w:r>
            <w:r w:rsidR="00B631B1">
              <w:rPr>
                <w:rFonts w:eastAsia="Times New Roman"/>
                <w:color w:val="000000"/>
                <w:sz w:val="18"/>
                <w:szCs w:val="18"/>
                <w:lang w:eastAsia="en-US"/>
              </w:rPr>
              <w:t>,</w:t>
            </w:r>
            <w:r w:rsidRPr="00E413D0">
              <w:rPr>
                <w:rFonts w:eastAsia="Times New Roman"/>
                <w:color w:val="000000"/>
                <w:sz w:val="18"/>
                <w:szCs w:val="18"/>
                <w:lang w:eastAsia="en-US"/>
              </w:rPr>
              <w:t>2</w:t>
            </w:r>
          </w:p>
        </w:tc>
        <w:tc>
          <w:tcPr>
            <w:tcW w:w="1088" w:type="dxa"/>
            <w:vAlign w:val="center"/>
          </w:tcPr>
          <w:p w:rsidR="00F97C5F" w:rsidRPr="00E413D0" w:rsidRDefault="00F97C5F" w:rsidP="00251C01">
            <w:pPr>
              <w:keepNext/>
              <w:keepLines/>
              <w:jc w:val="right"/>
              <w:rPr>
                <w:rFonts w:eastAsia="Times New Roman"/>
                <w:color w:val="000000"/>
                <w:sz w:val="18"/>
                <w:szCs w:val="18"/>
                <w:u w:val="single"/>
                <w:lang w:eastAsia="en-US"/>
              </w:rPr>
            </w:pPr>
          </w:p>
        </w:tc>
        <w:tc>
          <w:tcPr>
            <w:tcW w:w="1527" w:type="dxa"/>
            <w:vAlign w:val="center"/>
          </w:tcPr>
          <w:p w:rsidR="00F97C5F" w:rsidRPr="00E413D0" w:rsidRDefault="00F97C5F" w:rsidP="00251C01">
            <w:pPr>
              <w:keepNext/>
              <w:keepLines/>
              <w:jc w:val="right"/>
              <w:rPr>
                <w:rFonts w:eastAsia="Times New Roman"/>
                <w:color w:val="000000"/>
                <w:sz w:val="18"/>
                <w:szCs w:val="18"/>
                <w:lang w:eastAsia="en-US"/>
              </w:rPr>
            </w:pPr>
            <w:r w:rsidRPr="00E413D0">
              <w:rPr>
                <w:rFonts w:eastAsia="Times New Roman"/>
                <w:color w:val="000000"/>
                <w:sz w:val="18"/>
                <w:szCs w:val="18"/>
                <w:lang w:eastAsia="en-US"/>
              </w:rPr>
              <w:t>207</w:t>
            </w:r>
            <w:r w:rsidR="00B631B1">
              <w:rPr>
                <w:rFonts w:eastAsia="Times New Roman"/>
                <w:color w:val="000000"/>
                <w:sz w:val="18"/>
                <w:szCs w:val="18"/>
                <w:lang w:eastAsia="en-US"/>
              </w:rPr>
              <w:t>,</w:t>
            </w:r>
            <w:r w:rsidRPr="00E413D0">
              <w:rPr>
                <w:rFonts w:eastAsia="Times New Roman"/>
                <w:color w:val="000000"/>
                <w:sz w:val="18"/>
                <w:szCs w:val="18"/>
                <w:lang w:eastAsia="en-US"/>
              </w:rPr>
              <w:t>1</w:t>
            </w:r>
          </w:p>
        </w:tc>
      </w:tr>
      <w:tr w:rsidR="005235F9" w:rsidRPr="00CC305C" w:rsidTr="00B631B1">
        <w:trPr>
          <w:trHeight w:val="255"/>
          <w:jc w:val="center"/>
        </w:trPr>
        <w:tc>
          <w:tcPr>
            <w:tcW w:w="3527" w:type="dxa"/>
            <w:shd w:val="clear" w:color="auto" w:fill="auto"/>
            <w:noWrap/>
            <w:tcMar>
              <w:top w:w="57" w:type="dxa"/>
              <w:bottom w:w="57" w:type="dxa"/>
            </w:tcMar>
            <w:vAlign w:val="center"/>
          </w:tcPr>
          <w:p w:rsidR="005235F9" w:rsidRPr="00E413D0" w:rsidRDefault="00B631B1" w:rsidP="00B631B1">
            <w:pPr>
              <w:keepNext/>
              <w:keepLines/>
              <w:rPr>
                <w:rFonts w:eastAsia="Times New Roman"/>
                <w:color w:val="000000"/>
                <w:sz w:val="18"/>
                <w:szCs w:val="18"/>
                <w:lang w:eastAsia="en-US"/>
              </w:rPr>
            </w:pPr>
            <w:r>
              <w:rPr>
                <w:rFonts w:eastAsia="Times New Roman"/>
                <w:color w:val="000000"/>
                <w:sz w:val="18"/>
                <w:szCs w:val="18"/>
                <w:lang w:val="ru-RU" w:eastAsia="en-US"/>
              </w:rPr>
              <w:t>Чистые текущие активы</w:t>
            </w:r>
            <w:r w:rsidR="005235F9">
              <w:rPr>
                <w:rFonts w:eastAsia="Times New Roman"/>
                <w:color w:val="000000"/>
                <w:sz w:val="18"/>
                <w:szCs w:val="18"/>
                <w:lang w:eastAsia="en-US"/>
              </w:rPr>
              <w:t>*</w:t>
            </w:r>
          </w:p>
        </w:tc>
        <w:tc>
          <w:tcPr>
            <w:tcW w:w="1121" w:type="dxa"/>
            <w:shd w:val="clear" w:color="auto" w:fill="auto"/>
            <w:noWrap/>
            <w:tcMar>
              <w:top w:w="57" w:type="dxa"/>
              <w:bottom w:w="57" w:type="dxa"/>
            </w:tcMar>
            <w:vAlign w:val="center"/>
          </w:tcPr>
          <w:p w:rsidR="005235F9" w:rsidRPr="00E413D0" w:rsidRDefault="005235F9" w:rsidP="00251C01">
            <w:pPr>
              <w:keepNext/>
              <w:keepLines/>
              <w:jc w:val="right"/>
              <w:rPr>
                <w:rFonts w:eastAsia="Times New Roman"/>
                <w:color w:val="000000"/>
                <w:sz w:val="18"/>
                <w:szCs w:val="18"/>
                <w:lang w:eastAsia="en-US"/>
              </w:rPr>
            </w:pPr>
            <w:r>
              <w:rPr>
                <w:rFonts w:eastAsia="Times New Roman"/>
                <w:color w:val="000000"/>
                <w:sz w:val="18"/>
                <w:szCs w:val="18"/>
                <w:lang w:eastAsia="en-US"/>
              </w:rPr>
              <w:t>135</w:t>
            </w:r>
            <w:r w:rsidR="00B631B1">
              <w:rPr>
                <w:rFonts w:eastAsia="Times New Roman"/>
                <w:color w:val="000000"/>
                <w:sz w:val="18"/>
                <w:szCs w:val="18"/>
                <w:lang w:eastAsia="en-US"/>
              </w:rPr>
              <w:t>,</w:t>
            </w:r>
            <w:r>
              <w:rPr>
                <w:rFonts w:eastAsia="Times New Roman"/>
                <w:color w:val="000000"/>
                <w:sz w:val="18"/>
                <w:szCs w:val="18"/>
                <w:lang w:eastAsia="en-US"/>
              </w:rPr>
              <w:t>6</w:t>
            </w:r>
          </w:p>
        </w:tc>
        <w:tc>
          <w:tcPr>
            <w:tcW w:w="1416" w:type="dxa"/>
            <w:vAlign w:val="center"/>
          </w:tcPr>
          <w:p w:rsidR="005235F9" w:rsidRPr="00E413D0" w:rsidRDefault="005235F9" w:rsidP="00251C01">
            <w:pPr>
              <w:keepNext/>
              <w:keepLines/>
              <w:jc w:val="right"/>
              <w:rPr>
                <w:rFonts w:eastAsia="Times New Roman"/>
                <w:color w:val="000000"/>
                <w:sz w:val="18"/>
                <w:szCs w:val="18"/>
                <w:lang w:eastAsia="en-US"/>
              </w:rPr>
            </w:pPr>
          </w:p>
        </w:tc>
        <w:tc>
          <w:tcPr>
            <w:tcW w:w="1088" w:type="dxa"/>
            <w:vAlign w:val="center"/>
          </w:tcPr>
          <w:p w:rsidR="005235F9" w:rsidRPr="00E413D0" w:rsidRDefault="005235F9" w:rsidP="00251C01">
            <w:pPr>
              <w:keepNext/>
              <w:keepLines/>
              <w:jc w:val="right"/>
              <w:rPr>
                <w:rFonts w:eastAsia="Times New Roman"/>
                <w:color w:val="000000"/>
                <w:sz w:val="18"/>
                <w:szCs w:val="18"/>
                <w:lang w:eastAsia="en-US"/>
              </w:rPr>
            </w:pPr>
            <w:r>
              <w:rPr>
                <w:rFonts w:eastAsia="Times New Roman"/>
                <w:color w:val="000000"/>
                <w:sz w:val="18"/>
                <w:szCs w:val="18"/>
                <w:lang w:eastAsia="en-US"/>
              </w:rPr>
              <w:t>88</w:t>
            </w:r>
            <w:r w:rsidR="00B631B1">
              <w:rPr>
                <w:rFonts w:eastAsia="Times New Roman"/>
                <w:color w:val="000000"/>
                <w:sz w:val="18"/>
                <w:szCs w:val="18"/>
                <w:lang w:eastAsia="en-US"/>
              </w:rPr>
              <w:t>,</w:t>
            </w:r>
            <w:r>
              <w:rPr>
                <w:rFonts w:eastAsia="Times New Roman"/>
                <w:color w:val="000000"/>
                <w:sz w:val="18"/>
                <w:szCs w:val="18"/>
                <w:lang w:eastAsia="en-US"/>
              </w:rPr>
              <w:t>4</w:t>
            </w:r>
          </w:p>
        </w:tc>
        <w:tc>
          <w:tcPr>
            <w:tcW w:w="1527" w:type="dxa"/>
            <w:vAlign w:val="center"/>
          </w:tcPr>
          <w:p w:rsidR="005235F9" w:rsidRDefault="005235F9" w:rsidP="00251C01">
            <w:pPr>
              <w:keepNext/>
              <w:keepLines/>
              <w:jc w:val="right"/>
              <w:rPr>
                <w:rFonts w:eastAsia="Times New Roman"/>
                <w:color w:val="000000"/>
                <w:sz w:val="18"/>
                <w:szCs w:val="18"/>
                <w:lang w:eastAsia="en-US"/>
              </w:rPr>
            </w:pPr>
          </w:p>
        </w:tc>
      </w:tr>
      <w:tr w:rsidR="00F97C5F" w:rsidRPr="00CC305C" w:rsidTr="00B631B1">
        <w:trPr>
          <w:trHeight w:val="255"/>
          <w:jc w:val="center"/>
        </w:trPr>
        <w:tc>
          <w:tcPr>
            <w:tcW w:w="3527" w:type="dxa"/>
            <w:shd w:val="clear" w:color="auto" w:fill="auto"/>
            <w:noWrap/>
            <w:tcMar>
              <w:top w:w="57" w:type="dxa"/>
              <w:bottom w:w="57" w:type="dxa"/>
            </w:tcMar>
            <w:vAlign w:val="center"/>
          </w:tcPr>
          <w:p w:rsidR="00F97C5F" w:rsidRPr="00E413D0" w:rsidRDefault="00141EDA" w:rsidP="00141EDA">
            <w:pPr>
              <w:keepNext/>
              <w:keepLines/>
              <w:rPr>
                <w:rFonts w:eastAsia="Times New Roman"/>
                <w:color w:val="000000"/>
                <w:sz w:val="18"/>
                <w:szCs w:val="18"/>
                <w:lang w:eastAsia="en-US"/>
              </w:rPr>
            </w:pPr>
            <w:r>
              <w:rPr>
                <w:rFonts w:eastAsia="Times New Roman"/>
                <w:color w:val="000000"/>
                <w:sz w:val="18"/>
                <w:szCs w:val="18"/>
                <w:lang w:val="ru-RU" w:eastAsia="en-US"/>
              </w:rPr>
              <w:t>Ликвидный компонент чистых активов</w:t>
            </w:r>
            <w:r w:rsidR="00F97C5F" w:rsidRPr="00E413D0">
              <w:rPr>
                <w:rFonts w:eastAsia="Times New Roman"/>
                <w:color w:val="000000"/>
                <w:sz w:val="18"/>
                <w:szCs w:val="18"/>
                <w:lang w:eastAsia="en-US"/>
              </w:rPr>
              <w:t xml:space="preserve"> </w:t>
            </w:r>
          </w:p>
        </w:tc>
        <w:tc>
          <w:tcPr>
            <w:tcW w:w="1121" w:type="dxa"/>
            <w:shd w:val="clear" w:color="auto" w:fill="auto"/>
            <w:noWrap/>
            <w:tcMar>
              <w:top w:w="57" w:type="dxa"/>
              <w:bottom w:w="57" w:type="dxa"/>
            </w:tcMar>
            <w:vAlign w:val="center"/>
          </w:tcPr>
          <w:p w:rsidR="00F97C5F" w:rsidRPr="00E413D0" w:rsidRDefault="00F97C5F" w:rsidP="00251C01">
            <w:pPr>
              <w:keepNext/>
              <w:keepLines/>
              <w:jc w:val="right"/>
              <w:rPr>
                <w:rFonts w:eastAsia="Times New Roman"/>
                <w:color w:val="000000"/>
                <w:sz w:val="18"/>
                <w:szCs w:val="18"/>
                <w:lang w:eastAsia="en-US"/>
              </w:rPr>
            </w:pPr>
          </w:p>
        </w:tc>
        <w:tc>
          <w:tcPr>
            <w:tcW w:w="1416" w:type="dxa"/>
            <w:vAlign w:val="center"/>
          </w:tcPr>
          <w:p w:rsidR="00F97C5F" w:rsidRPr="00E413D0" w:rsidRDefault="00F97C5F" w:rsidP="00251C01">
            <w:pPr>
              <w:keepNext/>
              <w:keepLines/>
              <w:jc w:val="right"/>
              <w:rPr>
                <w:rFonts w:eastAsia="Times New Roman"/>
                <w:color w:val="000000"/>
                <w:sz w:val="18"/>
                <w:szCs w:val="18"/>
                <w:lang w:eastAsia="en-US"/>
              </w:rPr>
            </w:pPr>
            <w:r w:rsidRPr="00E413D0">
              <w:rPr>
                <w:rFonts w:eastAsia="Times New Roman"/>
                <w:color w:val="000000"/>
                <w:sz w:val="18"/>
                <w:szCs w:val="18"/>
                <w:lang w:eastAsia="en-US"/>
              </w:rPr>
              <w:t>357</w:t>
            </w:r>
            <w:r w:rsidR="00B631B1">
              <w:rPr>
                <w:rFonts w:eastAsia="Times New Roman"/>
                <w:color w:val="000000"/>
                <w:sz w:val="18"/>
                <w:szCs w:val="18"/>
                <w:lang w:eastAsia="en-US"/>
              </w:rPr>
              <w:t>,</w:t>
            </w:r>
            <w:r w:rsidRPr="00E413D0">
              <w:rPr>
                <w:rFonts w:eastAsia="Times New Roman"/>
                <w:color w:val="000000"/>
                <w:sz w:val="18"/>
                <w:szCs w:val="18"/>
                <w:lang w:eastAsia="en-US"/>
              </w:rPr>
              <w:t>7</w:t>
            </w:r>
          </w:p>
        </w:tc>
        <w:tc>
          <w:tcPr>
            <w:tcW w:w="1088" w:type="dxa"/>
            <w:vAlign w:val="center"/>
          </w:tcPr>
          <w:p w:rsidR="00F97C5F" w:rsidRPr="00E413D0" w:rsidRDefault="00F97C5F" w:rsidP="00251C01">
            <w:pPr>
              <w:keepNext/>
              <w:keepLines/>
              <w:jc w:val="right"/>
              <w:rPr>
                <w:rFonts w:eastAsia="Times New Roman"/>
                <w:color w:val="000000"/>
                <w:sz w:val="18"/>
                <w:szCs w:val="18"/>
                <w:lang w:eastAsia="en-US"/>
              </w:rPr>
            </w:pPr>
          </w:p>
        </w:tc>
        <w:tc>
          <w:tcPr>
            <w:tcW w:w="1527" w:type="dxa"/>
            <w:vAlign w:val="center"/>
          </w:tcPr>
          <w:p w:rsidR="00F97C5F" w:rsidRPr="00E413D0" w:rsidRDefault="00E413D0" w:rsidP="00251C01">
            <w:pPr>
              <w:keepNext/>
              <w:keepLines/>
              <w:jc w:val="right"/>
              <w:rPr>
                <w:rFonts w:eastAsia="Times New Roman"/>
                <w:color w:val="000000"/>
                <w:sz w:val="18"/>
                <w:szCs w:val="18"/>
                <w:lang w:eastAsia="en-US"/>
              </w:rPr>
            </w:pPr>
            <w:r>
              <w:rPr>
                <w:rFonts w:eastAsia="Times New Roman"/>
                <w:color w:val="000000"/>
                <w:sz w:val="18"/>
                <w:szCs w:val="18"/>
                <w:lang w:eastAsia="en-US"/>
              </w:rPr>
              <w:t>29</w:t>
            </w:r>
            <w:r w:rsidR="00F97C5F" w:rsidRPr="00E413D0">
              <w:rPr>
                <w:rFonts w:eastAsia="Times New Roman"/>
                <w:color w:val="000000"/>
                <w:sz w:val="18"/>
                <w:szCs w:val="18"/>
                <w:lang w:eastAsia="en-US"/>
              </w:rPr>
              <w:t>9</w:t>
            </w:r>
            <w:r w:rsidR="00B631B1">
              <w:rPr>
                <w:rFonts w:eastAsia="Times New Roman"/>
                <w:color w:val="000000"/>
                <w:sz w:val="18"/>
                <w:szCs w:val="18"/>
                <w:lang w:eastAsia="en-US"/>
              </w:rPr>
              <w:t>,</w:t>
            </w:r>
            <w:r w:rsidR="00F97C5F" w:rsidRPr="00E413D0">
              <w:rPr>
                <w:rFonts w:eastAsia="Times New Roman"/>
                <w:color w:val="000000"/>
                <w:sz w:val="18"/>
                <w:szCs w:val="18"/>
                <w:lang w:eastAsia="en-US"/>
              </w:rPr>
              <w:t>7</w:t>
            </w:r>
          </w:p>
        </w:tc>
      </w:tr>
      <w:tr w:rsidR="00F97C5F" w:rsidRPr="00CC305C" w:rsidTr="00B631B1">
        <w:trPr>
          <w:trHeight w:val="139"/>
          <w:jc w:val="center"/>
        </w:trPr>
        <w:tc>
          <w:tcPr>
            <w:tcW w:w="3527" w:type="dxa"/>
            <w:shd w:val="clear" w:color="auto" w:fill="C6D9F1" w:themeFill="text2" w:themeFillTint="33"/>
            <w:noWrap/>
            <w:tcMar>
              <w:top w:w="57" w:type="dxa"/>
              <w:bottom w:w="57" w:type="dxa"/>
            </w:tcMar>
            <w:vAlign w:val="bottom"/>
          </w:tcPr>
          <w:p w:rsidR="00F97C5F" w:rsidRPr="00CC305C" w:rsidRDefault="00F97C5F" w:rsidP="00251C01">
            <w:pPr>
              <w:keepNext/>
              <w:keepLines/>
              <w:rPr>
                <w:rFonts w:eastAsia="Times New Roman"/>
                <w:color w:val="000000"/>
                <w:sz w:val="20"/>
                <w:lang w:eastAsia="en-US"/>
              </w:rPr>
            </w:pPr>
          </w:p>
        </w:tc>
        <w:tc>
          <w:tcPr>
            <w:tcW w:w="1121" w:type="dxa"/>
            <w:shd w:val="clear" w:color="auto" w:fill="C6D9F1" w:themeFill="text2" w:themeFillTint="33"/>
            <w:noWrap/>
            <w:tcMar>
              <w:top w:w="57" w:type="dxa"/>
              <w:bottom w:w="57" w:type="dxa"/>
            </w:tcMar>
            <w:vAlign w:val="bottom"/>
          </w:tcPr>
          <w:p w:rsidR="00F97C5F" w:rsidRPr="00CC305C" w:rsidRDefault="00F97C5F" w:rsidP="00251C01">
            <w:pPr>
              <w:keepNext/>
              <w:keepLines/>
              <w:jc w:val="right"/>
              <w:rPr>
                <w:rFonts w:eastAsia="Times New Roman"/>
                <w:color w:val="000000"/>
                <w:sz w:val="20"/>
                <w:lang w:eastAsia="en-US"/>
              </w:rPr>
            </w:pPr>
          </w:p>
        </w:tc>
        <w:tc>
          <w:tcPr>
            <w:tcW w:w="1416" w:type="dxa"/>
            <w:shd w:val="clear" w:color="auto" w:fill="C6D9F1" w:themeFill="text2" w:themeFillTint="33"/>
          </w:tcPr>
          <w:p w:rsidR="00F97C5F" w:rsidRPr="00E413D0" w:rsidRDefault="00F97C5F" w:rsidP="00251C01">
            <w:pPr>
              <w:keepNext/>
              <w:keepLines/>
              <w:jc w:val="right"/>
              <w:rPr>
                <w:rFonts w:eastAsia="Times New Roman"/>
                <w:color w:val="000000"/>
                <w:sz w:val="16"/>
                <w:szCs w:val="16"/>
                <w:lang w:eastAsia="en-US"/>
              </w:rPr>
            </w:pPr>
          </w:p>
        </w:tc>
        <w:tc>
          <w:tcPr>
            <w:tcW w:w="1088" w:type="dxa"/>
            <w:shd w:val="clear" w:color="auto" w:fill="C6D9F1" w:themeFill="text2" w:themeFillTint="33"/>
            <w:vAlign w:val="bottom"/>
          </w:tcPr>
          <w:p w:rsidR="00F97C5F" w:rsidRPr="0092207D" w:rsidRDefault="00F97C5F" w:rsidP="00251C01">
            <w:pPr>
              <w:keepNext/>
              <w:keepLines/>
              <w:jc w:val="right"/>
              <w:rPr>
                <w:rFonts w:eastAsia="Times New Roman"/>
                <w:color w:val="000000"/>
                <w:sz w:val="20"/>
                <w:lang w:eastAsia="en-US"/>
              </w:rPr>
            </w:pPr>
          </w:p>
        </w:tc>
        <w:tc>
          <w:tcPr>
            <w:tcW w:w="1527" w:type="dxa"/>
            <w:shd w:val="clear" w:color="auto" w:fill="C6D9F1" w:themeFill="text2" w:themeFillTint="33"/>
          </w:tcPr>
          <w:p w:rsidR="00F97C5F" w:rsidRPr="0092207D" w:rsidRDefault="00F97C5F" w:rsidP="00251C01">
            <w:pPr>
              <w:keepNext/>
              <w:keepLines/>
              <w:jc w:val="right"/>
              <w:rPr>
                <w:rFonts w:eastAsia="Times New Roman"/>
                <w:color w:val="000000"/>
                <w:sz w:val="20"/>
                <w:lang w:eastAsia="en-US"/>
              </w:rPr>
            </w:pPr>
          </w:p>
        </w:tc>
      </w:tr>
    </w:tbl>
    <w:p w:rsidR="00AD6D24" w:rsidRPr="005235F9" w:rsidRDefault="005235F9" w:rsidP="00251C01">
      <w:pPr>
        <w:keepNext/>
        <w:keepLines/>
        <w:rPr>
          <w:i/>
          <w:sz w:val="16"/>
          <w:szCs w:val="16"/>
        </w:rPr>
      </w:pPr>
      <w:r>
        <w:rPr>
          <w:i/>
          <w:sz w:val="16"/>
          <w:szCs w:val="16"/>
        </w:rPr>
        <w:t xml:space="preserve">      </w:t>
      </w:r>
      <w:r w:rsidRPr="005235F9">
        <w:rPr>
          <w:i/>
          <w:sz w:val="16"/>
          <w:szCs w:val="16"/>
        </w:rPr>
        <w:t>*</w:t>
      </w:r>
      <w:r w:rsidR="00B631B1">
        <w:rPr>
          <w:i/>
          <w:sz w:val="16"/>
          <w:szCs w:val="16"/>
          <w:lang w:val="ru-RU"/>
        </w:rPr>
        <w:t>Согласно финансовой отчетности</w:t>
      </w:r>
    </w:p>
    <w:p w:rsidR="00E46337" w:rsidRDefault="00E46337" w:rsidP="00E46337">
      <w:pPr>
        <w:keepNext/>
        <w:keepLines/>
        <w:tabs>
          <w:tab w:val="left" w:pos="567"/>
          <w:tab w:val="left" w:pos="5670"/>
        </w:tabs>
        <w:spacing w:after="220"/>
        <w:contextualSpacing/>
      </w:pPr>
    </w:p>
    <w:p w:rsidR="00141EDA" w:rsidRPr="00353B01" w:rsidRDefault="00353B01" w:rsidP="00353B01">
      <w:pPr>
        <w:numPr>
          <w:ilvl w:val="0"/>
          <w:numId w:val="31"/>
        </w:numPr>
        <w:tabs>
          <w:tab w:val="left" w:pos="567"/>
          <w:tab w:val="left" w:pos="5670"/>
        </w:tabs>
        <w:spacing w:after="220"/>
        <w:ind w:left="0" w:firstLine="0"/>
        <w:contextualSpacing/>
        <w:rPr>
          <w:lang w:val="ru-RU"/>
        </w:rPr>
      </w:pPr>
      <w:r>
        <w:rPr>
          <w:lang w:val="ru-RU"/>
        </w:rPr>
        <w:t>На данный момент не ожидается, что какие-либо</w:t>
      </w:r>
      <w:r w:rsidRPr="00353B01">
        <w:rPr>
          <w:lang w:val="ru-RU"/>
        </w:rPr>
        <w:t xml:space="preserve"> элемент</w:t>
      </w:r>
      <w:r>
        <w:rPr>
          <w:lang w:val="ru-RU"/>
        </w:rPr>
        <w:t>ы</w:t>
      </w:r>
      <w:r w:rsidRPr="00353B01">
        <w:rPr>
          <w:lang w:val="ru-RU"/>
        </w:rPr>
        <w:t xml:space="preserve"> окажут </w:t>
      </w:r>
      <w:r>
        <w:rPr>
          <w:lang w:val="ru-RU"/>
        </w:rPr>
        <w:t>существен</w:t>
      </w:r>
      <w:r w:rsidRPr="00353B01">
        <w:rPr>
          <w:lang w:val="ru-RU"/>
        </w:rPr>
        <w:t>ное негативное влияние на</w:t>
      </w:r>
      <w:r>
        <w:rPr>
          <w:lang w:val="ru-RU"/>
        </w:rPr>
        <w:t xml:space="preserve"> баланс</w:t>
      </w:r>
      <w:r w:rsidRPr="00353B01">
        <w:rPr>
          <w:lang w:val="ru-RU"/>
        </w:rPr>
        <w:t xml:space="preserve"> ликвидных активов</w:t>
      </w:r>
      <w:r>
        <w:rPr>
          <w:lang w:val="ru-RU"/>
        </w:rPr>
        <w:t xml:space="preserve"> в будущем</w:t>
      </w:r>
      <w:r w:rsidRPr="00353B01">
        <w:rPr>
          <w:lang w:val="ru-RU"/>
        </w:rPr>
        <w:t xml:space="preserve">. </w:t>
      </w:r>
      <w:r>
        <w:rPr>
          <w:lang w:val="ru-RU"/>
        </w:rPr>
        <w:t xml:space="preserve"> Вместе с тем,</w:t>
      </w:r>
      <w:r w:rsidRPr="00353B01">
        <w:rPr>
          <w:lang w:val="ru-RU"/>
        </w:rPr>
        <w:t xml:space="preserve"> начиная с 2017 г</w:t>
      </w:r>
      <w:r w:rsidR="00A732A0">
        <w:rPr>
          <w:lang w:val="ru-RU"/>
        </w:rPr>
        <w:t>.</w:t>
      </w:r>
      <w:r w:rsidRPr="00353B01">
        <w:rPr>
          <w:lang w:val="ru-RU"/>
        </w:rPr>
        <w:t xml:space="preserve"> ВОИС будет </w:t>
      </w:r>
      <w:r w:rsidR="00562B47">
        <w:rPr>
          <w:lang w:val="ru-RU"/>
        </w:rPr>
        <w:t xml:space="preserve">по-иному </w:t>
      </w:r>
      <w:r w:rsidRPr="00353B01">
        <w:rPr>
          <w:lang w:val="ru-RU"/>
        </w:rPr>
        <w:t xml:space="preserve">классифицировать часть денежных средств, вложенных в основные и стратегические резервы, </w:t>
      </w:r>
      <w:r w:rsidR="00562B47">
        <w:rPr>
          <w:lang w:val="ru-RU"/>
        </w:rPr>
        <w:t>относя их к</w:t>
      </w:r>
      <w:r w:rsidRPr="00353B01">
        <w:rPr>
          <w:lang w:val="ru-RU"/>
        </w:rPr>
        <w:t xml:space="preserve"> внеоборотны</w:t>
      </w:r>
      <w:r w:rsidR="00562B47">
        <w:rPr>
          <w:lang w:val="ru-RU"/>
        </w:rPr>
        <w:t>м</w:t>
      </w:r>
      <w:r w:rsidRPr="00353B01">
        <w:rPr>
          <w:lang w:val="ru-RU"/>
        </w:rPr>
        <w:t xml:space="preserve"> актив</w:t>
      </w:r>
      <w:r w:rsidR="00562B47">
        <w:rPr>
          <w:lang w:val="ru-RU"/>
        </w:rPr>
        <w:t>ам</w:t>
      </w:r>
      <w:r w:rsidRPr="00353B01">
        <w:rPr>
          <w:lang w:val="ru-RU"/>
        </w:rPr>
        <w:t>, поскольку Организация</w:t>
      </w:r>
      <w:r w:rsidR="00562B47">
        <w:rPr>
          <w:lang w:val="ru-RU"/>
        </w:rPr>
        <w:t xml:space="preserve">, исходя из соображений максимального </w:t>
      </w:r>
      <w:r w:rsidR="00A96012">
        <w:rPr>
          <w:lang w:val="ru-RU"/>
        </w:rPr>
        <w:t>повышения</w:t>
      </w:r>
      <w:r w:rsidR="00562B47">
        <w:rPr>
          <w:lang w:val="ru-RU"/>
        </w:rPr>
        <w:t xml:space="preserve"> доходности при сохранении капитала, будет формировать</w:t>
      </w:r>
      <w:r w:rsidRPr="00353B01">
        <w:rPr>
          <w:lang w:val="ru-RU"/>
        </w:rPr>
        <w:t xml:space="preserve"> эти резервы в </w:t>
      </w:r>
      <w:r w:rsidR="00562B47">
        <w:rPr>
          <w:lang w:val="ru-RU"/>
        </w:rPr>
        <w:t xml:space="preserve">виде </w:t>
      </w:r>
      <w:r w:rsidRPr="00353B01">
        <w:rPr>
          <w:lang w:val="ru-RU"/>
        </w:rPr>
        <w:t>инвестици</w:t>
      </w:r>
      <w:r w:rsidR="00562B47">
        <w:rPr>
          <w:lang w:val="ru-RU"/>
        </w:rPr>
        <w:t>й на срок свыше одного года</w:t>
      </w:r>
      <w:r w:rsidRPr="00353B01">
        <w:rPr>
          <w:lang w:val="ru-RU"/>
        </w:rPr>
        <w:t>.</w:t>
      </w:r>
      <w:r w:rsidR="00562B47">
        <w:rPr>
          <w:lang w:val="ru-RU"/>
        </w:rPr>
        <w:t xml:space="preserve">  </w:t>
      </w:r>
      <w:r w:rsidRPr="00353B01">
        <w:rPr>
          <w:lang w:val="ru-RU"/>
        </w:rPr>
        <w:t>Стратегические денежные средства будут инвестирова</w:t>
      </w:r>
      <w:r w:rsidR="00562B47">
        <w:rPr>
          <w:lang w:val="ru-RU"/>
        </w:rPr>
        <w:t>ться на длительную</w:t>
      </w:r>
      <w:r w:rsidRPr="00353B01">
        <w:rPr>
          <w:lang w:val="ru-RU"/>
        </w:rPr>
        <w:t xml:space="preserve"> перспектив</w:t>
      </w:r>
      <w:r w:rsidR="00562B47">
        <w:rPr>
          <w:lang w:val="ru-RU"/>
        </w:rPr>
        <w:t>у, что приведет к сокращению ликвидных резервов</w:t>
      </w:r>
      <w:r w:rsidRPr="00353B01">
        <w:rPr>
          <w:lang w:val="ru-RU"/>
        </w:rPr>
        <w:t xml:space="preserve">. </w:t>
      </w:r>
      <w:r w:rsidR="00562B47">
        <w:rPr>
          <w:lang w:val="ru-RU"/>
        </w:rPr>
        <w:t xml:space="preserve"> </w:t>
      </w:r>
      <w:r w:rsidRPr="00353B01">
        <w:rPr>
          <w:lang w:val="ru-RU"/>
        </w:rPr>
        <w:t>Однако</w:t>
      </w:r>
      <w:r w:rsidR="00562B47">
        <w:rPr>
          <w:lang w:val="ru-RU"/>
        </w:rPr>
        <w:t xml:space="preserve"> основные денежные средства будут</w:t>
      </w:r>
      <w:r w:rsidRPr="00353B01">
        <w:rPr>
          <w:lang w:val="ru-RU"/>
        </w:rPr>
        <w:t xml:space="preserve"> инвестироваться </w:t>
      </w:r>
      <w:r w:rsidR="00562B47">
        <w:rPr>
          <w:lang w:val="ru-RU"/>
        </w:rPr>
        <w:t>с учетом необходимости обеспечения свободных</w:t>
      </w:r>
      <w:r w:rsidRPr="00353B01">
        <w:rPr>
          <w:lang w:val="ru-RU"/>
        </w:rPr>
        <w:t xml:space="preserve"> средств</w:t>
      </w:r>
      <w:r w:rsidR="00562B47">
        <w:rPr>
          <w:lang w:val="ru-RU"/>
        </w:rPr>
        <w:t xml:space="preserve"> на случай возникновения </w:t>
      </w:r>
      <w:r w:rsidRPr="00353B01">
        <w:rPr>
          <w:lang w:val="ru-RU"/>
        </w:rPr>
        <w:t xml:space="preserve"> любых непредвиденных</w:t>
      </w:r>
      <w:r w:rsidR="00562B47">
        <w:rPr>
          <w:lang w:val="ru-RU"/>
        </w:rPr>
        <w:t xml:space="preserve"> ситуаций</w:t>
      </w:r>
      <w:r w:rsidRPr="00353B01">
        <w:rPr>
          <w:lang w:val="ru-RU"/>
        </w:rPr>
        <w:t xml:space="preserve">. </w:t>
      </w:r>
      <w:r w:rsidR="00562B47">
        <w:rPr>
          <w:lang w:val="ru-RU"/>
        </w:rPr>
        <w:t xml:space="preserve"> Ввиду этого</w:t>
      </w:r>
      <w:r w:rsidRPr="00353B01">
        <w:rPr>
          <w:lang w:val="ru-RU"/>
        </w:rPr>
        <w:t xml:space="preserve"> для </w:t>
      </w:r>
      <w:r w:rsidR="00562B47">
        <w:rPr>
          <w:lang w:val="ru-RU"/>
        </w:rPr>
        <w:t xml:space="preserve">целей </w:t>
      </w:r>
      <w:r w:rsidRPr="00353B01">
        <w:rPr>
          <w:lang w:val="ru-RU"/>
        </w:rPr>
        <w:t>будущих расчетов ликвидности</w:t>
      </w:r>
      <w:r w:rsidR="00562B47">
        <w:rPr>
          <w:lang w:val="ru-RU"/>
        </w:rPr>
        <w:t xml:space="preserve"> резервов</w:t>
      </w:r>
      <w:r w:rsidR="00CE312A">
        <w:rPr>
          <w:lang w:val="ru-RU"/>
        </w:rPr>
        <w:t xml:space="preserve"> вложения основных денежных средств в активы, которые при необходимости можно привлечь незамедлительно, </w:t>
      </w:r>
      <w:r w:rsidRPr="00353B01">
        <w:rPr>
          <w:lang w:val="ru-RU"/>
        </w:rPr>
        <w:t>будут по-прежнему считаться ликвидными.</w:t>
      </w:r>
    </w:p>
    <w:p w:rsidR="00353B01" w:rsidRDefault="00353B01" w:rsidP="00141EDA">
      <w:pPr>
        <w:tabs>
          <w:tab w:val="left" w:pos="567"/>
          <w:tab w:val="left" w:pos="5670"/>
        </w:tabs>
        <w:spacing w:after="220"/>
        <w:contextualSpacing/>
        <w:rPr>
          <w:lang w:val="ru-RU"/>
        </w:rPr>
      </w:pPr>
    </w:p>
    <w:p w:rsidR="00FF4980" w:rsidRPr="007436CB" w:rsidRDefault="00A96012" w:rsidP="00FF4980">
      <w:pPr>
        <w:numPr>
          <w:ilvl w:val="0"/>
          <w:numId w:val="31"/>
        </w:numPr>
        <w:tabs>
          <w:tab w:val="left" w:pos="567"/>
          <w:tab w:val="left" w:pos="5670"/>
        </w:tabs>
        <w:spacing w:after="220"/>
        <w:ind w:left="0" w:firstLine="0"/>
        <w:contextualSpacing/>
        <w:rPr>
          <w:lang w:val="ru-RU"/>
        </w:rPr>
      </w:pPr>
      <w:r>
        <w:rPr>
          <w:lang w:val="ru-RU"/>
        </w:rPr>
        <w:t>Как</w:t>
      </w:r>
      <w:r w:rsidRPr="007436CB">
        <w:rPr>
          <w:lang w:val="ru-RU"/>
        </w:rPr>
        <w:t xml:space="preserve"> </w:t>
      </w:r>
      <w:r>
        <w:rPr>
          <w:lang w:val="ru-RU"/>
        </w:rPr>
        <w:t>указывалось</w:t>
      </w:r>
      <w:r w:rsidRPr="007436CB">
        <w:rPr>
          <w:lang w:val="ru-RU"/>
        </w:rPr>
        <w:t xml:space="preserve"> </w:t>
      </w:r>
      <w:r>
        <w:rPr>
          <w:lang w:val="ru-RU"/>
        </w:rPr>
        <w:t>выше</w:t>
      </w:r>
      <w:r w:rsidRPr="007436CB">
        <w:rPr>
          <w:lang w:val="ru-RU"/>
        </w:rPr>
        <w:t xml:space="preserve">, </w:t>
      </w:r>
      <w:r>
        <w:rPr>
          <w:lang w:val="ru-RU"/>
        </w:rPr>
        <w:t>резервы</w:t>
      </w:r>
      <w:r w:rsidRPr="007436CB">
        <w:rPr>
          <w:lang w:val="ru-RU"/>
        </w:rPr>
        <w:t xml:space="preserve"> </w:t>
      </w:r>
      <w:r>
        <w:rPr>
          <w:lang w:val="ru-RU"/>
        </w:rPr>
        <w:t>ВОИС</w:t>
      </w:r>
      <w:r w:rsidRPr="007436CB">
        <w:rPr>
          <w:lang w:val="ru-RU"/>
        </w:rPr>
        <w:t xml:space="preserve"> </w:t>
      </w:r>
      <w:r>
        <w:rPr>
          <w:lang w:val="ru-RU"/>
        </w:rPr>
        <w:t>пополняются</w:t>
      </w:r>
      <w:r w:rsidRPr="007436CB">
        <w:rPr>
          <w:lang w:val="ru-RU"/>
        </w:rPr>
        <w:t xml:space="preserve"> </w:t>
      </w:r>
      <w:r>
        <w:rPr>
          <w:lang w:val="ru-RU"/>
        </w:rPr>
        <w:t>на</w:t>
      </w:r>
      <w:r w:rsidRPr="007436CB">
        <w:rPr>
          <w:lang w:val="ru-RU"/>
        </w:rPr>
        <w:t xml:space="preserve"> </w:t>
      </w:r>
      <w:r>
        <w:rPr>
          <w:lang w:val="ru-RU"/>
        </w:rPr>
        <w:t>ежегодной</w:t>
      </w:r>
      <w:r w:rsidRPr="007436CB">
        <w:rPr>
          <w:lang w:val="ru-RU"/>
        </w:rPr>
        <w:t xml:space="preserve"> </w:t>
      </w:r>
      <w:r>
        <w:rPr>
          <w:lang w:val="ru-RU"/>
        </w:rPr>
        <w:t>основе</w:t>
      </w:r>
      <w:r w:rsidRPr="007436CB">
        <w:rPr>
          <w:lang w:val="ru-RU"/>
        </w:rPr>
        <w:t xml:space="preserve"> </w:t>
      </w:r>
      <w:r>
        <w:rPr>
          <w:lang w:val="ru-RU"/>
        </w:rPr>
        <w:t>за</w:t>
      </w:r>
      <w:r w:rsidRPr="007436CB">
        <w:rPr>
          <w:lang w:val="ru-RU"/>
        </w:rPr>
        <w:t xml:space="preserve"> </w:t>
      </w:r>
      <w:r>
        <w:rPr>
          <w:lang w:val="ru-RU"/>
        </w:rPr>
        <w:t>счет</w:t>
      </w:r>
      <w:r w:rsidRPr="007436CB">
        <w:rPr>
          <w:lang w:val="ru-RU"/>
        </w:rPr>
        <w:t xml:space="preserve"> </w:t>
      </w:r>
      <w:r>
        <w:rPr>
          <w:lang w:val="ru-RU"/>
        </w:rPr>
        <w:t>операционного</w:t>
      </w:r>
      <w:r w:rsidRPr="007436CB">
        <w:rPr>
          <w:lang w:val="ru-RU"/>
        </w:rPr>
        <w:t xml:space="preserve"> </w:t>
      </w:r>
      <w:r>
        <w:rPr>
          <w:lang w:val="ru-RU"/>
        </w:rPr>
        <w:t>профицита</w:t>
      </w:r>
      <w:r w:rsidRPr="007436CB">
        <w:rPr>
          <w:lang w:val="ru-RU"/>
        </w:rPr>
        <w:t xml:space="preserve">, </w:t>
      </w:r>
      <w:r>
        <w:rPr>
          <w:lang w:val="ru-RU"/>
        </w:rPr>
        <w:t>который</w:t>
      </w:r>
      <w:r w:rsidRPr="007436CB">
        <w:rPr>
          <w:lang w:val="ru-RU"/>
        </w:rPr>
        <w:t xml:space="preserve"> </w:t>
      </w:r>
      <w:r>
        <w:rPr>
          <w:lang w:val="ru-RU"/>
        </w:rPr>
        <w:t>сог</w:t>
      </w:r>
      <w:r w:rsidR="007436CB">
        <w:rPr>
          <w:lang w:val="ru-RU"/>
        </w:rPr>
        <w:t>ласно</w:t>
      </w:r>
      <w:r w:rsidR="007436CB" w:rsidRPr="007436CB">
        <w:rPr>
          <w:lang w:val="ru-RU"/>
        </w:rPr>
        <w:t xml:space="preserve"> </w:t>
      </w:r>
      <w:r w:rsidR="007436CB">
        <w:rPr>
          <w:lang w:val="ru-RU"/>
        </w:rPr>
        <w:t>прогнозам составит 24,</w:t>
      </w:r>
      <w:r w:rsidR="00FF4980" w:rsidRPr="007436CB">
        <w:rPr>
          <w:lang w:val="ru-RU"/>
        </w:rPr>
        <w:t xml:space="preserve">3 </w:t>
      </w:r>
      <w:r w:rsidR="007436CB">
        <w:rPr>
          <w:lang w:val="ru-RU"/>
        </w:rPr>
        <w:t>млн шв. франков в</w:t>
      </w:r>
      <w:r w:rsidR="00FF4980" w:rsidRPr="007436CB">
        <w:rPr>
          <w:lang w:val="ru-RU"/>
        </w:rPr>
        <w:t xml:space="preserve"> 2017</w:t>
      </w:r>
      <w:r w:rsidR="007436CB">
        <w:rPr>
          <w:lang w:val="ru-RU"/>
        </w:rPr>
        <w:t xml:space="preserve"> г.</w:t>
      </w:r>
      <w:r w:rsidR="00FF4980" w:rsidRPr="007436CB">
        <w:rPr>
          <w:lang w:val="ru-RU"/>
        </w:rPr>
        <w:t xml:space="preserve"> (</w:t>
      </w:r>
      <w:r w:rsidR="007436CB">
        <w:rPr>
          <w:lang w:val="ru-RU"/>
        </w:rPr>
        <w:t xml:space="preserve">общий итог за вычетом расходов </w:t>
      </w:r>
      <w:r w:rsidR="00871F49">
        <w:rPr>
          <w:lang w:val="ru-RU"/>
        </w:rPr>
        <w:t>за счет резервов) и 61,</w:t>
      </w:r>
      <w:r w:rsidR="00FF4980" w:rsidRPr="007436CB">
        <w:rPr>
          <w:lang w:val="ru-RU"/>
        </w:rPr>
        <w:t xml:space="preserve">5 </w:t>
      </w:r>
      <w:r w:rsidR="007436CB">
        <w:rPr>
          <w:lang w:val="ru-RU"/>
        </w:rPr>
        <w:t>млн. шв. франков</w:t>
      </w:r>
      <w:r w:rsidR="00FF4980" w:rsidRPr="007436CB">
        <w:rPr>
          <w:lang w:val="ru-RU"/>
        </w:rPr>
        <w:t xml:space="preserve"> (</w:t>
      </w:r>
      <w:r w:rsidR="00871F49">
        <w:rPr>
          <w:lang w:val="ru-RU"/>
        </w:rPr>
        <w:t>заложенная в бюджет величина операционного итога до вычета расходов за счет резервов) в двухлетний период 2018-2019 гг.</w:t>
      </w:r>
      <w:r w:rsidR="00FF4980" w:rsidRPr="00207BFD">
        <w:t> </w:t>
      </w:r>
      <w:r w:rsidR="00FF4980" w:rsidRPr="007436CB">
        <w:rPr>
          <w:lang w:val="ru-RU"/>
        </w:rPr>
        <w:t xml:space="preserve"> </w:t>
      </w:r>
    </w:p>
    <w:p w:rsidR="00A96012" w:rsidRPr="007436CB" w:rsidRDefault="00A96012" w:rsidP="00A96012">
      <w:pPr>
        <w:tabs>
          <w:tab w:val="left" w:pos="567"/>
          <w:tab w:val="left" w:pos="5670"/>
        </w:tabs>
        <w:spacing w:after="220"/>
        <w:contextualSpacing/>
        <w:rPr>
          <w:lang w:val="ru-RU"/>
        </w:rPr>
      </w:pPr>
    </w:p>
    <w:p w:rsidR="00A96012" w:rsidRPr="007436CB" w:rsidRDefault="00A96012" w:rsidP="00A96012">
      <w:pPr>
        <w:tabs>
          <w:tab w:val="left" w:pos="567"/>
          <w:tab w:val="left" w:pos="5670"/>
        </w:tabs>
        <w:spacing w:after="220"/>
        <w:contextualSpacing/>
        <w:rPr>
          <w:lang w:val="ru-RU"/>
        </w:rPr>
      </w:pPr>
    </w:p>
    <w:p w:rsidR="00207BFD" w:rsidRPr="00871F49" w:rsidRDefault="00871F49" w:rsidP="004615A6">
      <w:pPr>
        <w:rPr>
          <w:b/>
          <w:lang w:val="ru-RU"/>
        </w:rPr>
      </w:pPr>
      <w:r>
        <w:rPr>
          <w:b/>
          <w:lang w:val="ru-RU"/>
        </w:rPr>
        <w:t>ПРОЕКТЫ ГПКР НА ДУХЛЕТНИЙ ПЕРИОД 2018-2019 ГГ. И ПРИНЦИПЫ ПОЛИТИКИ В ОТНОШЕНИИ РЕЗЕРВОВ</w:t>
      </w:r>
    </w:p>
    <w:p w:rsidR="00894AE4" w:rsidRPr="00871F49" w:rsidRDefault="00894AE4" w:rsidP="004615A6">
      <w:pPr>
        <w:rPr>
          <w:lang w:val="ru-RU"/>
        </w:rPr>
      </w:pPr>
    </w:p>
    <w:p w:rsidR="00871F49" w:rsidRPr="00871F49" w:rsidRDefault="00871F49" w:rsidP="00894AE4">
      <w:pPr>
        <w:pStyle w:val="ListParagraph"/>
        <w:numPr>
          <w:ilvl w:val="0"/>
          <w:numId w:val="31"/>
        </w:numPr>
        <w:ind w:left="0" w:firstLine="0"/>
        <w:rPr>
          <w:lang w:val="ru-RU"/>
        </w:rPr>
      </w:pPr>
      <w:r>
        <w:rPr>
          <w:lang w:val="ru-RU"/>
        </w:rPr>
        <w:t>В</w:t>
      </w:r>
      <w:r w:rsidRPr="00871F49">
        <w:rPr>
          <w:lang w:val="ru-RU"/>
        </w:rPr>
        <w:t xml:space="preserve"> </w:t>
      </w:r>
      <w:r>
        <w:rPr>
          <w:lang w:val="ru-RU"/>
        </w:rPr>
        <w:t>приведенных</w:t>
      </w:r>
      <w:r w:rsidRPr="00871F49">
        <w:rPr>
          <w:lang w:val="ru-RU"/>
        </w:rPr>
        <w:t xml:space="preserve"> </w:t>
      </w:r>
      <w:r>
        <w:rPr>
          <w:lang w:val="ru-RU"/>
        </w:rPr>
        <w:t>выше</w:t>
      </w:r>
      <w:r w:rsidRPr="00871F49">
        <w:rPr>
          <w:lang w:val="ru-RU"/>
        </w:rPr>
        <w:t xml:space="preserve"> </w:t>
      </w:r>
      <w:r>
        <w:rPr>
          <w:lang w:val="ru-RU"/>
        </w:rPr>
        <w:t>разделах</w:t>
      </w:r>
      <w:r w:rsidRPr="00871F49">
        <w:rPr>
          <w:lang w:val="ru-RU"/>
        </w:rPr>
        <w:t xml:space="preserve"> </w:t>
      </w:r>
      <w:r>
        <w:rPr>
          <w:lang w:val="ru-RU"/>
        </w:rPr>
        <w:t>анализируются</w:t>
      </w:r>
      <w:r w:rsidRPr="00871F49">
        <w:rPr>
          <w:lang w:val="ru-RU"/>
        </w:rPr>
        <w:t xml:space="preserve"> </w:t>
      </w:r>
      <w:r>
        <w:rPr>
          <w:lang w:val="ru-RU"/>
        </w:rPr>
        <w:t>вопросы</w:t>
      </w:r>
      <w:r w:rsidRPr="00871F49">
        <w:rPr>
          <w:lang w:val="ru-RU"/>
        </w:rPr>
        <w:t xml:space="preserve"> </w:t>
      </w:r>
      <w:r>
        <w:rPr>
          <w:lang w:val="ru-RU"/>
        </w:rPr>
        <w:t xml:space="preserve">использования резервов в соответствии с принципами </w:t>
      </w:r>
      <w:r w:rsidRPr="00871F49">
        <w:rPr>
          <w:lang w:val="ru-RU"/>
        </w:rPr>
        <w:t>пересмотренн</w:t>
      </w:r>
      <w:r>
        <w:rPr>
          <w:lang w:val="ru-RU"/>
        </w:rPr>
        <w:t>ой</w:t>
      </w:r>
      <w:r w:rsidRPr="00871F49">
        <w:rPr>
          <w:lang w:val="ru-RU"/>
        </w:rPr>
        <w:t xml:space="preserve"> политик</w:t>
      </w:r>
      <w:r>
        <w:rPr>
          <w:lang w:val="ru-RU"/>
        </w:rPr>
        <w:t>и</w:t>
      </w:r>
      <w:r w:rsidRPr="00871F49">
        <w:rPr>
          <w:lang w:val="ru-RU"/>
        </w:rPr>
        <w:t xml:space="preserve"> в отношении резервов</w:t>
      </w:r>
      <w:r>
        <w:rPr>
          <w:lang w:val="ru-RU"/>
        </w:rPr>
        <w:t xml:space="preserve">.  </w:t>
      </w:r>
      <w:r w:rsidR="001F4C0B">
        <w:rPr>
          <w:lang w:val="ru-RU"/>
        </w:rPr>
        <w:t xml:space="preserve">Для удобства эти принципы приводятся в приложении </w:t>
      </w:r>
      <w:r w:rsidR="001F4C0B">
        <w:t>I.</w:t>
      </w:r>
      <w:r>
        <w:rPr>
          <w:lang w:val="ru-RU"/>
        </w:rPr>
        <w:t xml:space="preserve">  </w:t>
      </w:r>
    </w:p>
    <w:p w:rsidR="00871F49" w:rsidRDefault="00871F49" w:rsidP="00871F49">
      <w:pPr>
        <w:pStyle w:val="ListParagraph"/>
        <w:ind w:left="0"/>
        <w:rPr>
          <w:lang w:val="ru-RU"/>
        </w:rPr>
      </w:pPr>
    </w:p>
    <w:p w:rsidR="00C27D5D" w:rsidRPr="00C27D5D" w:rsidRDefault="00A96012" w:rsidP="00C27D5D">
      <w:pPr>
        <w:pStyle w:val="ListParagraph"/>
        <w:ind w:left="0"/>
        <w:rPr>
          <w:i/>
        </w:rPr>
      </w:pPr>
      <w:r>
        <w:rPr>
          <w:i/>
          <w:lang w:val="ru-RU"/>
        </w:rPr>
        <w:t>Принцип</w:t>
      </w:r>
      <w:r w:rsidR="00C27D5D" w:rsidRPr="00C27D5D">
        <w:rPr>
          <w:i/>
        </w:rPr>
        <w:t xml:space="preserve"> 1 </w:t>
      </w:r>
    </w:p>
    <w:p w:rsidR="00C27D5D" w:rsidRDefault="00C27D5D" w:rsidP="00C27D5D">
      <w:pPr>
        <w:pStyle w:val="ListParagraph"/>
        <w:ind w:left="0"/>
      </w:pPr>
    </w:p>
    <w:p w:rsidR="00894AE4" w:rsidRPr="001F4C0B" w:rsidRDefault="001F4C0B" w:rsidP="004445A8">
      <w:pPr>
        <w:pStyle w:val="ListParagraph"/>
        <w:numPr>
          <w:ilvl w:val="0"/>
          <w:numId w:val="31"/>
        </w:numPr>
        <w:ind w:left="0" w:firstLine="0"/>
        <w:rPr>
          <w:lang w:val="ru-RU"/>
        </w:rPr>
      </w:pPr>
      <w:r>
        <w:rPr>
          <w:lang w:val="ru-RU"/>
        </w:rPr>
        <w:t>На</w:t>
      </w:r>
      <w:r w:rsidRPr="001F4C0B">
        <w:rPr>
          <w:lang w:val="ru-RU"/>
        </w:rPr>
        <w:t xml:space="preserve"> </w:t>
      </w:r>
      <w:r>
        <w:rPr>
          <w:lang w:val="ru-RU"/>
        </w:rPr>
        <w:t>конец</w:t>
      </w:r>
      <w:r w:rsidRPr="001F4C0B">
        <w:rPr>
          <w:lang w:val="ru-RU"/>
        </w:rPr>
        <w:t xml:space="preserve"> 2016 </w:t>
      </w:r>
      <w:r>
        <w:rPr>
          <w:lang w:val="ru-RU"/>
        </w:rPr>
        <w:t>г</w:t>
      </w:r>
      <w:r w:rsidRPr="001F4C0B">
        <w:rPr>
          <w:lang w:val="ru-RU"/>
        </w:rPr>
        <w:t xml:space="preserve">. </w:t>
      </w:r>
      <w:r>
        <w:rPr>
          <w:lang w:val="ru-RU"/>
        </w:rPr>
        <w:t>остаток</w:t>
      </w:r>
      <w:r w:rsidRPr="001F4C0B">
        <w:rPr>
          <w:lang w:val="ru-RU"/>
        </w:rPr>
        <w:t xml:space="preserve"> </w:t>
      </w:r>
      <w:r>
        <w:rPr>
          <w:lang w:val="ru-RU"/>
        </w:rPr>
        <w:t>средств</w:t>
      </w:r>
      <w:r w:rsidRPr="001F4C0B">
        <w:rPr>
          <w:lang w:val="ru-RU"/>
        </w:rPr>
        <w:t xml:space="preserve"> </w:t>
      </w:r>
      <w:r>
        <w:rPr>
          <w:lang w:val="ru-RU"/>
        </w:rPr>
        <w:t>по</w:t>
      </w:r>
      <w:r w:rsidRPr="001F4C0B">
        <w:rPr>
          <w:lang w:val="ru-RU"/>
        </w:rPr>
        <w:t xml:space="preserve"> </w:t>
      </w:r>
      <w:r>
        <w:rPr>
          <w:lang w:val="ru-RU"/>
        </w:rPr>
        <w:t>статье</w:t>
      </w:r>
      <w:r w:rsidRPr="001F4C0B">
        <w:rPr>
          <w:lang w:val="ru-RU"/>
        </w:rPr>
        <w:t xml:space="preserve"> </w:t>
      </w:r>
      <w:r>
        <w:rPr>
          <w:lang w:val="ru-RU"/>
        </w:rPr>
        <w:t>резервов</w:t>
      </w:r>
      <w:r w:rsidRPr="001F4C0B">
        <w:rPr>
          <w:lang w:val="ru-RU"/>
        </w:rPr>
        <w:t xml:space="preserve"> (</w:t>
      </w:r>
      <w:r>
        <w:rPr>
          <w:lang w:val="ru-RU"/>
        </w:rPr>
        <w:t>и</w:t>
      </w:r>
      <w:r w:rsidRPr="001F4C0B">
        <w:rPr>
          <w:lang w:val="ru-RU"/>
        </w:rPr>
        <w:t>сключая фонд оборотных средств (ФОС) и профицит резерва для переоценки стоимости</w:t>
      </w:r>
      <w:r w:rsidR="00250B29">
        <w:rPr>
          <w:lang w:val="ru-RU"/>
        </w:rPr>
        <w:t>)</w:t>
      </w:r>
      <w:r>
        <w:rPr>
          <w:lang w:val="ru-RU"/>
        </w:rPr>
        <w:t xml:space="preserve"> составил</w:t>
      </w:r>
      <w:r w:rsidR="00C27D5D" w:rsidRPr="001F4C0B">
        <w:rPr>
          <w:lang w:val="ru-RU"/>
        </w:rPr>
        <w:t xml:space="preserve"> 287</w:t>
      </w:r>
      <w:r>
        <w:rPr>
          <w:lang w:val="ru-RU"/>
        </w:rPr>
        <w:t>,</w:t>
      </w:r>
      <w:r w:rsidR="00C27D5D" w:rsidRPr="001F4C0B">
        <w:rPr>
          <w:lang w:val="ru-RU"/>
        </w:rPr>
        <w:t xml:space="preserve">7 </w:t>
      </w:r>
      <w:r w:rsidR="007436CB">
        <w:rPr>
          <w:lang w:val="ru-RU"/>
        </w:rPr>
        <w:t>млн</w:t>
      </w:r>
      <w:r w:rsidR="007436CB" w:rsidRPr="001F4C0B">
        <w:rPr>
          <w:lang w:val="ru-RU"/>
        </w:rPr>
        <w:t xml:space="preserve">. </w:t>
      </w:r>
      <w:r w:rsidR="007436CB">
        <w:rPr>
          <w:lang w:val="ru-RU"/>
        </w:rPr>
        <w:t>шв</w:t>
      </w:r>
      <w:r w:rsidR="007436CB" w:rsidRPr="001F4C0B">
        <w:rPr>
          <w:lang w:val="ru-RU"/>
        </w:rPr>
        <w:t xml:space="preserve">. </w:t>
      </w:r>
      <w:r w:rsidR="007436CB">
        <w:rPr>
          <w:lang w:val="ru-RU"/>
        </w:rPr>
        <w:t>франков</w:t>
      </w:r>
      <w:r w:rsidR="00C27D5D" w:rsidRPr="001F4C0B">
        <w:rPr>
          <w:lang w:val="ru-RU"/>
        </w:rPr>
        <w:t xml:space="preserve">.  </w:t>
      </w:r>
      <w:r>
        <w:rPr>
          <w:lang w:val="ru-RU"/>
        </w:rPr>
        <w:t>Таким</w:t>
      </w:r>
      <w:r w:rsidRPr="001F4C0B">
        <w:rPr>
          <w:lang w:val="ru-RU"/>
        </w:rPr>
        <w:t xml:space="preserve"> </w:t>
      </w:r>
      <w:r>
        <w:rPr>
          <w:lang w:val="ru-RU"/>
        </w:rPr>
        <w:t>образом</w:t>
      </w:r>
      <w:r w:rsidRPr="001F4C0B">
        <w:rPr>
          <w:lang w:val="ru-RU"/>
        </w:rPr>
        <w:t xml:space="preserve">, </w:t>
      </w:r>
      <w:r>
        <w:rPr>
          <w:lang w:val="ru-RU"/>
        </w:rPr>
        <w:t>предлагаемый объем финансирования проектов ГПКР на 2018-2019 гг. в размере</w:t>
      </w:r>
      <w:r w:rsidR="00AE7A94">
        <w:rPr>
          <w:lang w:val="ru-RU"/>
        </w:rPr>
        <w:t xml:space="preserve"> 25,</w:t>
      </w:r>
      <w:r w:rsidR="00C27D5D" w:rsidRPr="001F4C0B">
        <w:rPr>
          <w:lang w:val="ru-RU"/>
        </w:rPr>
        <w:t xml:space="preserve">5 </w:t>
      </w:r>
      <w:r w:rsidR="007436CB">
        <w:rPr>
          <w:lang w:val="ru-RU"/>
        </w:rPr>
        <w:t>млн</w:t>
      </w:r>
      <w:r w:rsidR="007436CB" w:rsidRPr="001F4C0B">
        <w:rPr>
          <w:lang w:val="ru-RU"/>
        </w:rPr>
        <w:t xml:space="preserve">. </w:t>
      </w:r>
      <w:r w:rsidR="007436CB">
        <w:rPr>
          <w:lang w:val="ru-RU"/>
        </w:rPr>
        <w:t>шв</w:t>
      </w:r>
      <w:r w:rsidR="007436CB" w:rsidRPr="001F4C0B">
        <w:rPr>
          <w:lang w:val="ru-RU"/>
        </w:rPr>
        <w:t xml:space="preserve">. </w:t>
      </w:r>
      <w:r w:rsidR="007436CB">
        <w:rPr>
          <w:lang w:val="ru-RU"/>
        </w:rPr>
        <w:t>франков</w:t>
      </w:r>
      <w:r w:rsidR="00C27D5D" w:rsidRPr="001F4C0B">
        <w:rPr>
          <w:lang w:val="ru-RU"/>
        </w:rPr>
        <w:t xml:space="preserve"> </w:t>
      </w:r>
      <w:r w:rsidR="00AE7A94">
        <w:rPr>
          <w:lang w:val="ru-RU"/>
        </w:rPr>
        <w:t>значительно ниже целевого показателя РФОС на</w:t>
      </w:r>
      <w:r w:rsidR="00C27D5D" w:rsidRPr="001F4C0B">
        <w:rPr>
          <w:lang w:val="ru-RU"/>
        </w:rPr>
        <w:t xml:space="preserve"> 2018</w:t>
      </w:r>
      <w:r w:rsidR="00AE7A94">
        <w:rPr>
          <w:lang w:val="ru-RU"/>
        </w:rPr>
        <w:t>-20</w:t>
      </w:r>
      <w:r w:rsidR="00C27D5D" w:rsidRPr="001F4C0B">
        <w:rPr>
          <w:lang w:val="ru-RU"/>
        </w:rPr>
        <w:t>19</w:t>
      </w:r>
      <w:r w:rsidR="00AE7A94">
        <w:rPr>
          <w:lang w:val="ru-RU"/>
        </w:rPr>
        <w:t xml:space="preserve"> гг.</w:t>
      </w:r>
      <w:r w:rsidR="00A51A68" w:rsidRPr="001F4C0B">
        <w:rPr>
          <w:lang w:val="ru-RU"/>
        </w:rPr>
        <w:t>,</w:t>
      </w:r>
      <w:r w:rsidR="00C27D5D" w:rsidRPr="001F4C0B">
        <w:rPr>
          <w:lang w:val="ru-RU"/>
        </w:rPr>
        <w:t xml:space="preserve"> </w:t>
      </w:r>
      <w:r w:rsidR="00AE7A94">
        <w:rPr>
          <w:lang w:val="ru-RU"/>
        </w:rPr>
        <w:t>равного 159,</w:t>
      </w:r>
      <w:r w:rsidR="00C27D5D" w:rsidRPr="001F4C0B">
        <w:rPr>
          <w:lang w:val="ru-RU"/>
        </w:rPr>
        <w:t xml:space="preserve">8 </w:t>
      </w:r>
      <w:r w:rsidR="007436CB">
        <w:rPr>
          <w:lang w:val="ru-RU"/>
        </w:rPr>
        <w:t>млн</w:t>
      </w:r>
      <w:r w:rsidR="007436CB" w:rsidRPr="001F4C0B">
        <w:rPr>
          <w:lang w:val="ru-RU"/>
        </w:rPr>
        <w:t xml:space="preserve"> </w:t>
      </w:r>
      <w:r w:rsidR="007436CB">
        <w:rPr>
          <w:lang w:val="ru-RU"/>
        </w:rPr>
        <w:t>шв</w:t>
      </w:r>
      <w:r w:rsidR="007436CB" w:rsidRPr="001F4C0B">
        <w:rPr>
          <w:lang w:val="ru-RU"/>
        </w:rPr>
        <w:t xml:space="preserve">. </w:t>
      </w:r>
      <w:r w:rsidR="007436CB">
        <w:rPr>
          <w:lang w:val="ru-RU"/>
        </w:rPr>
        <w:t>франков</w:t>
      </w:r>
      <w:r w:rsidR="00C27D5D" w:rsidRPr="001F4C0B">
        <w:rPr>
          <w:lang w:val="ru-RU"/>
        </w:rPr>
        <w:t>.</w:t>
      </w:r>
      <w:r w:rsidR="00894AE4" w:rsidRPr="001F4C0B">
        <w:rPr>
          <w:lang w:val="ru-RU"/>
        </w:rPr>
        <w:t xml:space="preserve">    </w:t>
      </w:r>
    </w:p>
    <w:p w:rsidR="00C27D5D" w:rsidRPr="001F4C0B" w:rsidRDefault="00C27D5D" w:rsidP="00C27D5D">
      <w:pPr>
        <w:pStyle w:val="ListParagraph"/>
        <w:ind w:left="0"/>
        <w:rPr>
          <w:lang w:val="ru-RU"/>
        </w:rPr>
      </w:pPr>
    </w:p>
    <w:p w:rsidR="00C27D5D" w:rsidRPr="00AA162B" w:rsidRDefault="00A96012" w:rsidP="00D908E7">
      <w:pPr>
        <w:pStyle w:val="ListParagraph"/>
        <w:keepNext/>
        <w:keepLines/>
        <w:ind w:left="0"/>
        <w:rPr>
          <w:i/>
        </w:rPr>
      </w:pPr>
      <w:r>
        <w:rPr>
          <w:i/>
          <w:lang w:val="ru-RU"/>
        </w:rPr>
        <w:t>Принцип</w:t>
      </w:r>
      <w:r w:rsidR="00C27D5D" w:rsidRPr="00AA162B">
        <w:rPr>
          <w:i/>
        </w:rPr>
        <w:t xml:space="preserve"> 2</w:t>
      </w:r>
    </w:p>
    <w:p w:rsidR="00C27D5D" w:rsidRDefault="00C27D5D" w:rsidP="00D908E7">
      <w:pPr>
        <w:pStyle w:val="ListParagraph"/>
        <w:keepNext/>
        <w:keepLines/>
        <w:ind w:left="0"/>
      </w:pPr>
    </w:p>
    <w:p w:rsidR="00AA162B" w:rsidRPr="00AE7A94" w:rsidRDefault="00AE7A94" w:rsidP="00D908E7">
      <w:pPr>
        <w:pStyle w:val="ListParagraph"/>
        <w:keepNext/>
        <w:keepLines/>
        <w:numPr>
          <w:ilvl w:val="0"/>
          <w:numId w:val="31"/>
        </w:numPr>
        <w:ind w:left="0" w:firstLine="0"/>
        <w:rPr>
          <w:lang w:val="ru-RU"/>
        </w:rPr>
      </w:pPr>
      <w:r>
        <w:rPr>
          <w:lang w:val="ru-RU"/>
        </w:rPr>
        <w:t>При</w:t>
      </w:r>
      <w:r w:rsidRPr="00AE7A94">
        <w:rPr>
          <w:lang w:val="ru-RU"/>
        </w:rPr>
        <w:t xml:space="preserve"> </w:t>
      </w:r>
      <w:r>
        <w:rPr>
          <w:lang w:val="ru-RU"/>
        </w:rPr>
        <w:t>расчете</w:t>
      </w:r>
      <w:r w:rsidRPr="00AE7A94">
        <w:rPr>
          <w:lang w:val="ru-RU"/>
        </w:rPr>
        <w:t xml:space="preserve"> </w:t>
      </w:r>
      <w:r>
        <w:rPr>
          <w:lang w:val="ru-RU"/>
        </w:rPr>
        <w:t>объема</w:t>
      </w:r>
      <w:r w:rsidRPr="00AE7A94">
        <w:rPr>
          <w:lang w:val="ru-RU"/>
        </w:rPr>
        <w:t xml:space="preserve"> </w:t>
      </w:r>
      <w:r>
        <w:rPr>
          <w:lang w:val="ru-RU"/>
        </w:rPr>
        <w:t>имеющихся</w:t>
      </w:r>
      <w:r w:rsidRPr="00AE7A94">
        <w:rPr>
          <w:lang w:val="ru-RU"/>
        </w:rPr>
        <w:t xml:space="preserve"> </w:t>
      </w:r>
      <w:r>
        <w:rPr>
          <w:lang w:val="ru-RU"/>
        </w:rPr>
        <w:t>резервов</w:t>
      </w:r>
      <w:r w:rsidRPr="00AE7A94">
        <w:rPr>
          <w:lang w:val="ru-RU"/>
        </w:rPr>
        <w:t xml:space="preserve"> </w:t>
      </w:r>
      <w:r>
        <w:rPr>
          <w:lang w:val="ru-RU"/>
        </w:rPr>
        <w:t>исключаются</w:t>
      </w:r>
      <w:r w:rsidRPr="00AE7A94">
        <w:rPr>
          <w:lang w:val="ru-RU"/>
        </w:rPr>
        <w:t xml:space="preserve"> ФОС и профицит резерва для переоценки стоимости (</w:t>
      </w:r>
      <w:r>
        <w:rPr>
          <w:lang w:val="ru-RU"/>
        </w:rPr>
        <w:t>см</w:t>
      </w:r>
      <w:r w:rsidRPr="00AE7A94">
        <w:rPr>
          <w:lang w:val="ru-RU"/>
        </w:rPr>
        <w:t xml:space="preserve">. </w:t>
      </w:r>
      <w:r>
        <w:rPr>
          <w:lang w:val="ru-RU"/>
        </w:rPr>
        <w:t>таблицы 4 и 5)</w:t>
      </w:r>
      <w:r w:rsidR="00AA162B" w:rsidRPr="00AE7A94">
        <w:rPr>
          <w:lang w:val="ru-RU"/>
        </w:rPr>
        <w:t xml:space="preserve">.  </w:t>
      </w:r>
    </w:p>
    <w:p w:rsidR="00AA162B" w:rsidRPr="00AE7A94" w:rsidRDefault="00AA162B" w:rsidP="00C27D5D">
      <w:pPr>
        <w:pStyle w:val="ListParagraph"/>
        <w:ind w:left="0"/>
        <w:rPr>
          <w:lang w:val="ru-RU"/>
        </w:rPr>
      </w:pPr>
    </w:p>
    <w:p w:rsidR="00AA162B" w:rsidRPr="00AA162B" w:rsidRDefault="00A96012" w:rsidP="00C27D5D">
      <w:pPr>
        <w:pStyle w:val="ListParagraph"/>
        <w:ind w:left="0"/>
        <w:rPr>
          <w:i/>
        </w:rPr>
      </w:pPr>
      <w:r>
        <w:rPr>
          <w:i/>
          <w:lang w:val="ru-RU"/>
        </w:rPr>
        <w:t>Принцип</w:t>
      </w:r>
      <w:r w:rsidR="00AA162B" w:rsidRPr="00AA162B">
        <w:rPr>
          <w:i/>
        </w:rPr>
        <w:t xml:space="preserve"> 3</w:t>
      </w:r>
    </w:p>
    <w:p w:rsidR="00AA162B" w:rsidRDefault="00AA162B" w:rsidP="00C27D5D">
      <w:pPr>
        <w:pStyle w:val="ListParagraph"/>
        <w:ind w:left="0"/>
      </w:pPr>
    </w:p>
    <w:p w:rsidR="00AA162B" w:rsidRPr="00B33D64" w:rsidRDefault="00250C9F" w:rsidP="004445A8">
      <w:pPr>
        <w:pStyle w:val="ListParagraph"/>
        <w:numPr>
          <w:ilvl w:val="0"/>
          <w:numId w:val="31"/>
        </w:numPr>
        <w:ind w:left="0" w:firstLine="0"/>
        <w:rPr>
          <w:lang w:val="ru-RU"/>
        </w:rPr>
      </w:pPr>
      <w:r>
        <w:rPr>
          <w:lang w:val="ru-RU"/>
        </w:rPr>
        <w:t>Предлагаемые</w:t>
      </w:r>
      <w:r w:rsidRPr="00250C9F">
        <w:rPr>
          <w:lang w:val="ru-RU"/>
        </w:rPr>
        <w:t xml:space="preserve"> </w:t>
      </w:r>
      <w:r>
        <w:rPr>
          <w:lang w:val="ru-RU"/>
        </w:rPr>
        <w:t>проекты</w:t>
      </w:r>
      <w:r w:rsidRPr="00250C9F">
        <w:rPr>
          <w:lang w:val="ru-RU"/>
        </w:rPr>
        <w:t xml:space="preserve"> </w:t>
      </w:r>
      <w:r>
        <w:rPr>
          <w:lang w:val="ru-RU"/>
        </w:rPr>
        <w:t>представляют</w:t>
      </w:r>
      <w:r w:rsidRPr="00250C9F">
        <w:rPr>
          <w:lang w:val="ru-RU"/>
        </w:rPr>
        <w:t xml:space="preserve"> </w:t>
      </w:r>
      <w:r>
        <w:rPr>
          <w:lang w:val="ru-RU"/>
        </w:rPr>
        <w:t>собой</w:t>
      </w:r>
      <w:r w:rsidRPr="00250C9F">
        <w:rPr>
          <w:lang w:val="ru-RU"/>
        </w:rPr>
        <w:t xml:space="preserve"> </w:t>
      </w:r>
      <w:r>
        <w:rPr>
          <w:lang w:val="ru-RU"/>
        </w:rPr>
        <w:t>проекты</w:t>
      </w:r>
      <w:r w:rsidRPr="00250C9F">
        <w:rPr>
          <w:lang w:val="ru-RU"/>
        </w:rPr>
        <w:t xml:space="preserve"> </w:t>
      </w:r>
      <w:r>
        <w:rPr>
          <w:lang w:val="ru-RU"/>
        </w:rPr>
        <w:t>осуществления</w:t>
      </w:r>
      <w:r w:rsidRPr="00250C9F">
        <w:rPr>
          <w:lang w:val="ru-RU"/>
        </w:rPr>
        <w:t xml:space="preserve"> чрезвычайных единовременных </w:t>
      </w:r>
      <w:r>
        <w:rPr>
          <w:lang w:val="ru-RU"/>
        </w:rPr>
        <w:t>важнейших</w:t>
      </w:r>
      <w:r w:rsidRPr="00250C9F">
        <w:rPr>
          <w:lang w:val="ru-RU"/>
        </w:rPr>
        <w:t xml:space="preserve"> капитальных </w:t>
      </w:r>
      <w:r>
        <w:rPr>
          <w:lang w:val="ru-RU"/>
        </w:rPr>
        <w:t>вложений</w:t>
      </w:r>
      <w:r w:rsidRPr="00250C9F">
        <w:rPr>
          <w:lang w:val="ru-RU"/>
        </w:rPr>
        <w:t xml:space="preserve">, </w:t>
      </w:r>
      <w:r>
        <w:rPr>
          <w:lang w:val="ru-RU"/>
        </w:rPr>
        <w:t>связанных</w:t>
      </w:r>
      <w:r w:rsidRPr="00250C9F">
        <w:rPr>
          <w:lang w:val="ru-RU"/>
        </w:rPr>
        <w:t xml:space="preserve"> </w:t>
      </w:r>
      <w:r>
        <w:rPr>
          <w:lang w:val="ru-RU"/>
        </w:rPr>
        <w:t>либо</w:t>
      </w:r>
      <w:r w:rsidRPr="00250C9F">
        <w:rPr>
          <w:lang w:val="ru-RU"/>
        </w:rPr>
        <w:t xml:space="preserve"> </w:t>
      </w:r>
      <w:r>
        <w:rPr>
          <w:lang w:val="ru-RU"/>
        </w:rPr>
        <w:t>с</w:t>
      </w:r>
      <w:r w:rsidRPr="00250C9F">
        <w:rPr>
          <w:lang w:val="ru-RU"/>
        </w:rPr>
        <w:t xml:space="preserve"> </w:t>
      </w:r>
      <w:r>
        <w:rPr>
          <w:lang w:val="ru-RU"/>
        </w:rPr>
        <w:t>информационными</w:t>
      </w:r>
      <w:r w:rsidRPr="00250C9F">
        <w:rPr>
          <w:lang w:val="ru-RU"/>
        </w:rPr>
        <w:t xml:space="preserve"> </w:t>
      </w:r>
      <w:r>
        <w:rPr>
          <w:lang w:val="ru-RU"/>
        </w:rPr>
        <w:t>технологиями</w:t>
      </w:r>
      <w:r w:rsidRPr="00250C9F">
        <w:rPr>
          <w:lang w:val="ru-RU"/>
        </w:rPr>
        <w:t xml:space="preserve">, </w:t>
      </w:r>
      <w:r>
        <w:rPr>
          <w:lang w:val="ru-RU"/>
        </w:rPr>
        <w:t>либо</w:t>
      </w:r>
      <w:r w:rsidRPr="00250C9F">
        <w:rPr>
          <w:lang w:val="ru-RU"/>
        </w:rPr>
        <w:t xml:space="preserve"> </w:t>
      </w:r>
      <w:r>
        <w:rPr>
          <w:lang w:val="ru-RU"/>
        </w:rPr>
        <w:t>с</w:t>
      </w:r>
      <w:r w:rsidRPr="00250C9F">
        <w:rPr>
          <w:lang w:val="ru-RU"/>
        </w:rPr>
        <w:t xml:space="preserve"> </w:t>
      </w:r>
      <w:r>
        <w:rPr>
          <w:lang w:val="ru-RU"/>
        </w:rPr>
        <w:t>эксплуатацией</w:t>
      </w:r>
      <w:r w:rsidRPr="00250C9F">
        <w:rPr>
          <w:lang w:val="ru-RU"/>
        </w:rPr>
        <w:t xml:space="preserve"> </w:t>
      </w:r>
      <w:r>
        <w:rPr>
          <w:lang w:val="ru-RU"/>
        </w:rPr>
        <w:t>помещений</w:t>
      </w:r>
      <w:r w:rsidRPr="00250C9F">
        <w:rPr>
          <w:lang w:val="ru-RU"/>
        </w:rPr>
        <w:t xml:space="preserve"> </w:t>
      </w:r>
      <w:r>
        <w:rPr>
          <w:lang w:val="ru-RU"/>
        </w:rPr>
        <w:t>и</w:t>
      </w:r>
      <w:r w:rsidRPr="00250C9F">
        <w:rPr>
          <w:lang w:val="ru-RU"/>
        </w:rPr>
        <w:t xml:space="preserve"> </w:t>
      </w:r>
      <w:r>
        <w:rPr>
          <w:lang w:val="ru-RU"/>
        </w:rPr>
        <w:t>обеспечением</w:t>
      </w:r>
      <w:r w:rsidRPr="00250C9F">
        <w:rPr>
          <w:lang w:val="ru-RU"/>
        </w:rPr>
        <w:t xml:space="preserve"> </w:t>
      </w:r>
      <w:r>
        <w:rPr>
          <w:lang w:val="ru-RU"/>
        </w:rPr>
        <w:t>охраны</w:t>
      </w:r>
      <w:r w:rsidRPr="00250C9F">
        <w:rPr>
          <w:lang w:val="ru-RU"/>
        </w:rPr>
        <w:t xml:space="preserve"> </w:t>
      </w:r>
      <w:r>
        <w:rPr>
          <w:lang w:val="ru-RU"/>
        </w:rPr>
        <w:t>и</w:t>
      </w:r>
      <w:r w:rsidRPr="00250C9F">
        <w:rPr>
          <w:lang w:val="ru-RU"/>
        </w:rPr>
        <w:t xml:space="preserve"> </w:t>
      </w:r>
      <w:r>
        <w:rPr>
          <w:lang w:val="ru-RU"/>
        </w:rPr>
        <w:t>безопасности</w:t>
      </w:r>
      <w:r w:rsidRPr="00250C9F">
        <w:rPr>
          <w:lang w:val="ru-RU"/>
        </w:rPr>
        <w:t xml:space="preserve">. </w:t>
      </w:r>
      <w:r>
        <w:rPr>
          <w:lang w:val="ru-RU"/>
        </w:rPr>
        <w:t xml:space="preserve"> Описание</w:t>
      </w:r>
      <w:r w:rsidRPr="00B33D64">
        <w:rPr>
          <w:lang w:val="ru-RU"/>
        </w:rPr>
        <w:t xml:space="preserve"> </w:t>
      </w:r>
      <w:r>
        <w:rPr>
          <w:lang w:val="ru-RU"/>
        </w:rPr>
        <w:t>проектов</w:t>
      </w:r>
      <w:r w:rsidRPr="00B33D64">
        <w:rPr>
          <w:lang w:val="ru-RU"/>
        </w:rPr>
        <w:t xml:space="preserve"> </w:t>
      </w:r>
      <w:r>
        <w:rPr>
          <w:lang w:val="ru-RU"/>
        </w:rPr>
        <w:t>и</w:t>
      </w:r>
      <w:r w:rsidRPr="00B33D64">
        <w:rPr>
          <w:lang w:val="ru-RU"/>
        </w:rPr>
        <w:t xml:space="preserve"> </w:t>
      </w:r>
      <w:r>
        <w:rPr>
          <w:lang w:val="ru-RU"/>
        </w:rPr>
        <w:t>их</w:t>
      </w:r>
      <w:r w:rsidRPr="00B33D64">
        <w:rPr>
          <w:lang w:val="ru-RU"/>
        </w:rPr>
        <w:t xml:space="preserve"> </w:t>
      </w:r>
      <w:r>
        <w:rPr>
          <w:lang w:val="ru-RU"/>
        </w:rPr>
        <w:t>определяющих</w:t>
      </w:r>
      <w:r w:rsidRPr="00B33D64">
        <w:rPr>
          <w:lang w:val="ru-RU"/>
        </w:rPr>
        <w:t xml:space="preserve"> </w:t>
      </w:r>
      <w:r>
        <w:rPr>
          <w:lang w:val="ru-RU"/>
        </w:rPr>
        <w:t>факторов</w:t>
      </w:r>
      <w:r w:rsidRPr="00B33D64">
        <w:rPr>
          <w:lang w:val="ru-RU"/>
        </w:rPr>
        <w:t xml:space="preserve"> </w:t>
      </w:r>
      <w:r>
        <w:rPr>
          <w:lang w:val="ru-RU"/>
        </w:rPr>
        <w:t>см</w:t>
      </w:r>
      <w:r w:rsidRPr="00B33D64">
        <w:rPr>
          <w:lang w:val="ru-RU"/>
        </w:rPr>
        <w:t xml:space="preserve">. </w:t>
      </w:r>
      <w:r w:rsidR="0097681C">
        <w:rPr>
          <w:lang w:val="ru-RU"/>
        </w:rPr>
        <w:t>в</w:t>
      </w:r>
      <w:r>
        <w:rPr>
          <w:lang w:val="ru-RU"/>
        </w:rPr>
        <w:t xml:space="preserve"> приложениях</w:t>
      </w:r>
      <w:r w:rsidRPr="00B33D64">
        <w:rPr>
          <w:lang w:val="ru-RU"/>
        </w:rPr>
        <w:t xml:space="preserve"> </w:t>
      </w:r>
      <w:r>
        <w:t>II</w:t>
      </w:r>
      <w:r>
        <w:rPr>
          <w:lang w:val="ru-RU"/>
        </w:rPr>
        <w:t xml:space="preserve"> –</w:t>
      </w:r>
      <w:r w:rsidR="00AA162B" w:rsidRPr="00B33D64">
        <w:rPr>
          <w:lang w:val="ru-RU"/>
        </w:rPr>
        <w:t xml:space="preserve"> </w:t>
      </w:r>
      <w:r w:rsidR="00AA162B">
        <w:t>VII</w:t>
      </w:r>
      <w:r w:rsidR="00AA162B" w:rsidRPr="00B33D64">
        <w:rPr>
          <w:lang w:val="ru-RU"/>
        </w:rPr>
        <w:t>.</w:t>
      </w:r>
    </w:p>
    <w:p w:rsidR="00AA162B" w:rsidRPr="00B33D64" w:rsidRDefault="00AA162B" w:rsidP="00C27D5D">
      <w:pPr>
        <w:pStyle w:val="ListParagraph"/>
        <w:ind w:left="0"/>
        <w:rPr>
          <w:lang w:val="ru-RU"/>
        </w:rPr>
      </w:pPr>
    </w:p>
    <w:p w:rsidR="00AA162B" w:rsidRPr="00B22F66" w:rsidRDefault="00A96012" w:rsidP="00C27D5D">
      <w:pPr>
        <w:pStyle w:val="ListParagraph"/>
        <w:ind w:left="0"/>
        <w:rPr>
          <w:i/>
        </w:rPr>
      </w:pPr>
      <w:r>
        <w:rPr>
          <w:i/>
          <w:lang w:val="ru-RU"/>
        </w:rPr>
        <w:t>Принцип</w:t>
      </w:r>
      <w:r w:rsidR="00AA162B" w:rsidRPr="00B22F66">
        <w:rPr>
          <w:i/>
        </w:rPr>
        <w:t xml:space="preserve"> 4</w:t>
      </w:r>
    </w:p>
    <w:p w:rsidR="00AA162B" w:rsidRDefault="00AA162B" w:rsidP="00C27D5D">
      <w:pPr>
        <w:pStyle w:val="ListParagraph"/>
        <w:ind w:left="0"/>
      </w:pPr>
    </w:p>
    <w:p w:rsidR="0071027A" w:rsidRPr="0069273D" w:rsidRDefault="00AE7A94" w:rsidP="00250C9F">
      <w:pPr>
        <w:pStyle w:val="ListParagraph"/>
        <w:numPr>
          <w:ilvl w:val="0"/>
          <w:numId w:val="31"/>
        </w:numPr>
        <w:ind w:left="0" w:firstLine="0"/>
        <w:rPr>
          <w:lang w:val="ru-RU"/>
        </w:rPr>
      </w:pPr>
      <w:r w:rsidRPr="0069273D">
        <w:rPr>
          <w:lang w:val="ru-RU"/>
        </w:rPr>
        <w:t>В таблице 2 и приложении</w:t>
      </w:r>
      <w:r w:rsidR="00B22F66" w:rsidRPr="0069273D">
        <w:rPr>
          <w:lang w:val="ru-RU"/>
        </w:rPr>
        <w:t xml:space="preserve"> </w:t>
      </w:r>
      <w:r w:rsidR="00B22F66">
        <w:t>VIII</w:t>
      </w:r>
      <w:r w:rsidR="00B22F66" w:rsidRPr="0069273D">
        <w:rPr>
          <w:lang w:val="ru-RU"/>
        </w:rPr>
        <w:t xml:space="preserve"> </w:t>
      </w:r>
      <w:r w:rsidRPr="0069273D">
        <w:rPr>
          <w:lang w:val="ru-RU"/>
        </w:rPr>
        <w:t>всесторонне отражены предусмотренные на предстоящие дес</w:t>
      </w:r>
      <w:r w:rsidR="00250C9F" w:rsidRPr="0069273D">
        <w:rPr>
          <w:lang w:val="ru-RU"/>
        </w:rPr>
        <w:t>ять лет (2018-2027 гг.) важнейшие капитальные вложения</w:t>
      </w:r>
      <w:r w:rsidR="0069273D" w:rsidRPr="0069273D">
        <w:rPr>
          <w:lang w:val="ru-RU"/>
        </w:rPr>
        <w:t xml:space="preserve">, связанные с эксплуатацией помещений, обеспечением охраны и безопасности и ИКТ.  Информация о ежегодных периодических расходах по каждому проекту приводится по мере необходимости в приложениях </w:t>
      </w:r>
      <w:r w:rsidR="0071027A">
        <w:t>II</w:t>
      </w:r>
      <w:r w:rsidR="0071027A" w:rsidRPr="0069273D">
        <w:rPr>
          <w:lang w:val="ru-RU"/>
        </w:rPr>
        <w:t xml:space="preserve"> </w:t>
      </w:r>
      <w:r w:rsidR="0069273D">
        <w:rPr>
          <w:lang w:val="ru-RU"/>
        </w:rPr>
        <w:t>–</w:t>
      </w:r>
      <w:r w:rsidR="0071027A" w:rsidRPr="0069273D">
        <w:rPr>
          <w:lang w:val="ru-RU"/>
        </w:rPr>
        <w:t xml:space="preserve"> </w:t>
      </w:r>
      <w:r w:rsidR="0071027A">
        <w:t>VII</w:t>
      </w:r>
      <w:r w:rsidR="0071027A" w:rsidRPr="0069273D">
        <w:rPr>
          <w:lang w:val="ru-RU"/>
        </w:rPr>
        <w:t xml:space="preserve">.  </w:t>
      </w:r>
    </w:p>
    <w:p w:rsidR="0071027A" w:rsidRPr="0069273D" w:rsidRDefault="0071027A" w:rsidP="004445A8">
      <w:pPr>
        <w:pStyle w:val="ListParagraph"/>
        <w:ind w:left="0"/>
        <w:rPr>
          <w:lang w:val="ru-RU"/>
        </w:rPr>
      </w:pPr>
    </w:p>
    <w:p w:rsidR="00C0295A" w:rsidRPr="00913950" w:rsidRDefault="0069273D" w:rsidP="004445A8">
      <w:pPr>
        <w:pStyle w:val="ListParagraph"/>
        <w:numPr>
          <w:ilvl w:val="0"/>
          <w:numId w:val="31"/>
        </w:numPr>
        <w:ind w:left="0" w:firstLine="0"/>
        <w:rPr>
          <w:lang w:val="ru-RU"/>
        </w:rPr>
      </w:pPr>
      <w:r>
        <w:rPr>
          <w:lang w:val="ru-RU"/>
        </w:rPr>
        <w:t>Кроме</w:t>
      </w:r>
      <w:r w:rsidRPr="00913950">
        <w:rPr>
          <w:lang w:val="ru-RU"/>
        </w:rPr>
        <w:t xml:space="preserve"> </w:t>
      </w:r>
      <w:r>
        <w:rPr>
          <w:lang w:val="ru-RU"/>
        </w:rPr>
        <w:t>того</w:t>
      </w:r>
      <w:r w:rsidRPr="00913950">
        <w:rPr>
          <w:lang w:val="ru-RU"/>
        </w:rPr>
        <w:t xml:space="preserve">, </w:t>
      </w:r>
      <w:r>
        <w:rPr>
          <w:lang w:val="ru-RU"/>
        </w:rPr>
        <w:t>по</w:t>
      </w:r>
      <w:r w:rsidRPr="00913950">
        <w:rPr>
          <w:lang w:val="ru-RU"/>
        </w:rPr>
        <w:t xml:space="preserve"> </w:t>
      </w:r>
      <w:r>
        <w:rPr>
          <w:lang w:val="ru-RU"/>
        </w:rPr>
        <w:t>оценкам</w:t>
      </w:r>
      <w:r w:rsidRPr="00913950">
        <w:rPr>
          <w:lang w:val="ru-RU"/>
        </w:rPr>
        <w:t xml:space="preserve">, </w:t>
      </w:r>
      <w:r w:rsidR="00913950">
        <w:rPr>
          <w:lang w:val="ru-RU"/>
        </w:rPr>
        <w:t>предложенный ГПКР на 2018-2027 гг. не повлечет негативных последствий для потоков движения денежных средств и уровня ликвидности резервов (см. пункты 22-30</w:t>
      </w:r>
      <w:r w:rsidR="0071027A" w:rsidRPr="00913950">
        <w:rPr>
          <w:lang w:val="ru-RU"/>
        </w:rPr>
        <w:t>).</w:t>
      </w:r>
    </w:p>
    <w:p w:rsidR="00C0295A" w:rsidRPr="00913950" w:rsidRDefault="00C0295A" w:rsidP="00C27D5D">
      <w:pPr>
        <w:pStyle w:val="ListParagraph"/>
        <w:ind w:left="0"/>
        <w:rPr>
          <w:lang w:val="ru-RU"/>
        </w:rPr>
      </w:pPr>
    </w:p>
    <w:p w:rsidR="00C0295A" w:rsidRPr="00C0295A" w:rsidRDefault="00A96012" w:rsidP="00C27D5D">
      <w:pPr>
        <w:pStyle w:val="ListParagraph"/>
        <w:ind w:left="0"/>
        <w:rPr>
          <w:i/>
        </w:rPr>
      </w:pPr>
      <w:r>
        <w:rPr>
          <w:i/>
          <w:lang w:val="ru-RU"/>
        </w:rPr>
        <w:t>Принцип</w:t>
      </w:r>
      <w:r w:rsidR="00C0295A" w:rsidRPr="00C0295A">
        <w:rPr>
          <w:i/>
        </w:rPr>
        <w:t xml:space="preserve"> 5</w:t>
      </w:r>
    </w:p>
    <w:p w:rsidR="00C0295A" w:rsidRDefault="00C0295A" w:rsidP="00C27D5D">
      <w:pPr>
        <w:pStyle w:val="ListParagraph"/>
        <w:ind w:left="0"/>
      </w:pPr>
    </w:p>
    <w:p w:rsidR="00AA162B" w:rsidRPr="00913950" w:rsidRDefault="00913950" w:rsidP="004445A8">
      <w:pPr>
        <w:pStyle w:val="ListParagraph"/>
        <w:numPr>
          <w:ilvl w:val="0"/>
          <w:numId w:val="31"/>
        </w:numPr>
        <w:ind w:left="0" w:firstLine="0"/>
        <w:rPr>
          <w:lang w:val="ru-RU"/>
        </w:rPr>
      </w:pPr>
      <w:r>
        <w:rPr>
          <w:lang w:val="ru-RU"/>
        </w:rPr>
        <w:t>Предлагаемые</w:t>
      </w:r>
      <w:r w:rsidRPr="00913950">
        <w:rPr>
          <w:lang w:val="ru-RU"/>
        </w:rPr>
        <w:t xml:space="preserve"> </w:t>
      </w:r>
      <w:r>
        <w:rPr>
          <w:lang w:val="ru-RU"/>
        </w:rPr>
        <w:t>проекты</w:t>
      </w:r>
      <w:r w:rsidRPr="00913950">
        <w:rPr>
          <w:lang w:val="ru-RU"/>
        </w:rPr>
        <w:t>/</w:t>
      </w:r>
      <w:r>
        <w:rPr>
          <w:lang w:val="ru-RU"/>
        </w:rPr>
        <w:t>этапы</w:t>
      </w:r>
      <w:r w:rsidRPr="00913950">
        <w:rPr>
          <w:lang w:val="ru-RU"/>
        </w:rPr>
        <w:t xml:space="preserve"> </w:t>
      </w:r>
      <w:r>
        <w:rPr>
          <w:lang w:val="ru-RU"/>
        </w:rPr>
        <w:t>проектов</w:t>
      </w:r>
      <w:r w:rsidRPr="00913950">
        <w:rPr>
          <w:lang w:val="ru-RU"/>
        </w:rPr>
        <w:t xml:space="preserve"> </w:t>
      </w:r>
      <w:r>
        <w:rPr>
          <w:lang w:val="ru-RU"/>
        </w:rPr>
        <w:t>в</w:t>
      </w:r>
      <w:r w:rsidRPr="00913950">
        <w:rPr>
          <w:lang w:val="ru-RU"/>
        </w:rPr>
        <w:t xml:space="preserve"> </w:t>
      </w:r>
      <w:r>
        <w:rPr>
          <w:lang w:val="ru-RU"/>
        </w:rPr>
        <w:t>рамках</w:t>
      </w:r>
      <w:r w:rsidRPr="00913950">
        <w:rPr>
          <w:lang w:val="ru-RU"/>
        </w:rPr>
        <w:t xml:space="preserve"> </w:t>
      </w:r>
      <w:r>
        <w:rPr>
          <w:lang w:val="ru-RU"/>
        </w:rPr>
        <w:t>ГПКР</w:t>
      </w:r>
      <w:r w:rsidRPr="00913950">
        <w:rPr>
          <w:lang w:val="ru-RU"/>
        </w:rPr>
        <w:t xml:space="preserve"> </w:t>
      </w:r>
      <w:r>
        <w:rPr>
          <w:lang w:val="ru-RU"/>
        </w:rPr>
        <w:t>на</w:t>
      </w:r>
      <w:r w:rsidRPr="00913950">
        <w:rPr>
          <w:lang w:val="ru-RU"/>
        </w:rPr>
        <w:t xml:space="preserve"> 2018-2027 </w:t>
      </w:r>
      <w:r>
        <w:rPr>
          <w:lang w:val="ru-RU"/>
        </w:rPr>
        <w:t>гг</w:t>
      </w:r>
      <w:r w:rsidRPr="00913950">
        <w:rPr>
          <w:lang w:val="ru-RU"/>
        </w:rPr>
        <w:t xml:space="preserve">. </w:t>
      </w:r>
      <w:r>
        <w:rPr>
          <w:lang w:val="ru-RU"/>
        </w:rPr>
        <w:t>планируется</w:t>
      </w:r>
      <w:r w:rsidRPr="00913950">
        <w:rPr>
          <w:lang w:val="ru-RU"/>
        </w:rPr>
        <w:t xml:space="preserve"> </w:t>
      </w:r>
      <w:r>
        <w:rPr>
          <w:lang w:val="ru-RU"/>
        </w:rPr>
        <w:t>осуществить</w:t>
      </w:r>
      <w:r w:rsidRPr="00913950">
        <w:rPr>
          <w:lang w:val="ru-RU"/>
        </w:rPr>
        <w:t xml:space="preserve"> </w:t>
      </w:r>
      <w:r>
        <w:rPr>
          <w:lang w:val="ru-RU"/>
        </w:rPr>
        <w:t>в</w:t>
      </w:r>
      <w:r w:rsidRPr="00913950">
        <w:rPr>
          <w:lang w:val="ru-RU"/>
        </w:rPr>
        <w:t xml:space="preserve"> </w:t>
      </w:r>
      <w:r>
        <w:rPr>
          <w:lang w:val="ru-RU"/>
        </w:rPr>
        <w:t>течение</w:t>
      </w:r>
      <w:r w:rsidRPr="00913950">
        <w:rPr>
          <w:lang w:val="ru-RU"/>
        </w:rPr>
        <w:t xml:space="preserve"> </w:t>
      </w:r>
      <w:r>
        <w:rPr>
          <w:lang w:val="ru-RU"/>
        </w:rPr>
        <w:t>двухлетнего</w:t>
      </w:r>
      <w:r w:rsidRPr="00913950">
        <w:rPr>
          <w:lang w:val="ru-RU"/>
        </w:rPr>
        <w:t xml:space="preserve"> </w:t>
      </w:r>
      <w:r>
        <w:rPr>
          <w:lang w:val="ru-RU"/>
        </w:rPr>
        <w:t>периода</w:t>
      </w:r>
      <w:r w:rsidRPr="00913950">
        <w:rPr>
          <w:lang w:val="ru-RU"/>
        </w:rPr>
        <w:t xml:space="preserve"> 2018-2019 </w:t>
      </w:r>
      <w:r>
        <w:rPr>
          <w:lang w:val="ru-RU"/>
        </w:rPr>
        <w:t>гг</w:t>
      </w:r>
      <w:r w:rsidRPr="00913950">
        <w:rPr>
          <w:lang w:val="ru-RU"/>
        </w:rPr>
        <w:t>.</w:t>
      </w:r>
      <w:r w:rsidR="00C0295A" w:rsidRPr="00913950">
        <w:rPr>
          <w:lang w:val="ru-RU"/>
        </w:rPr>
        <w:t xml:space="preserve">  </w:t>
      </w:r>
      <w:r w:rsidR="0071027A" w:rsidRPr="00913950">
        <w:rPr>
          <w:lang w:val="ru-RU"/>
        </w:rPr>
        <w:t xml:space="preserve">  </w:t>
      </w:r>
    </w:p>
    <w:p w:rsidR="00C23409" w:rsidRPr="00913950" w:rsidRDefault="00C23409" w:rsidP="00C23409">
      <w:pPr>
        <w:pStyle w:val="ListParagraph"/>
        <w:ind w:left="0"/>
        <w:rPr>
          <w:lang w:val="ru-RU"/>
        </w:rPr>
      </w:pPr>
    </w:p>
    <w:p w:rsidR="00C23409" w:rsidRPr="00913950" w:rsidRDefault="00913950" w:rsidP="00913950">
      <w:pPr>
        <w:pStyle w:val="ListParagraph"/>
        <w:numPr>
          <w:ilvl w:val="0"/>
          <w:numId w:val="31"/>
        </w:numPr>
        <w:ind w:left="0" w:firstLine="0"/>
        <w:rPr>
          <w:lang w:val="ru-RU"/>
        </w:rPr>
      </w:pPr>
      <w:r w:rsidRPr="00913950">
        <w:rPr>
          <w:lang w:val="ru-RU"/>
        </w:rPr>
        <w:t>Предлагается</w:t>
      </w:r>
      <w:r w:rsidRPr="00913950">
        <w:t xml:space="preserve"> </w:t>
      </w:r>
      <w:r w:rsidRPr="00913950">
        <w:rPr>
          <w:lang w:val="ru-RU"/>
        </w:rPr>
        <w:t>следующий пункт решения</w:t>
      </w:r>
      <w:r w:rsidR="00C23409" w:rsidRPr="00913950">
        <w:rPr>
          <w:lang w:val="ru-RU"/>
        </w:rPr>
        <w:t>.</w:t>
      </w:r>
    </w:p>
    <w:p w:rsidR="00AA162B" w:rsidRDefault="00AA162B" w:rsidP="004445A8">
      <w:pPr>
        <w:pStyle w:val="ListParagraph"/>
        <w:ind w:left="0"/>
      </w:pPr>
    </w:p>
    <w:p w:rsidR="004445A8" w:rsidRDefault="004445A8" w:rsidP="004445A8">
      <w:pPr>
        <w:pStyle w:val="ListParagraph"/>
        <w:ind w:left="0"/>
      </w:pPr>
    </w:p>
    <w:p w:rsidR="004445A8" w:rsidRPr="0094688D" w:rsidRDefault="00913950" w:rsidP="001E7EE7">
      <w:pPr>
        <w:pStyle w:val="ListParagraph"/>
        <w:numPr>
          <w:ilvl w:val="0"/>
          <w:numId w:val="31"/>
        </w:numPr>
        <w:ind w:left="3544" w:firstLine="0"/>
        <w:rPr>
          <w:i/>
          <w:lang w:val="ru-RU"/>
        </w:rPr>
      </w:pPr>
      <w:r w:rsidRPr="0094688D">
        <w:rPr>
          <w:i/>
          <w:lang w:val="ru-RU"/>
        </w:rPr>
        <w:t xml:space="preserve">Комитет по программе и бюджету рекомендует Ассамблеям ВОИС, в той мере, в какой это касается каждой из них, утвердить </w:t>
      </w:r>
      <w:r w:rsidR="0094688D" w:rsidRPr="00B33D64">
        <w:rPr>
          <w:i/>
          <w:lang w:val="ru-RU"/>
        </w:rPr>
        <w:t>финансирование</w:t>
      </w:r>
      <w:r w:rsidR="0094688D" w:rsidRPr="0094688D">
        <w:rPr>
          <w:i/>
          <w:lang w:val="ru-RU"/>
        </w:rPr>
        <w:t xml:space="preserve"> </w:t>
      </w:r>
      <w:r w:rsidR="0094688D">
        <w:rPr>
          <w:i/>
          <w:lang w:val="ru-RU"/>
        </w:rPr>
        <w:t>за</w:t>
      </w:r>
      <w:r w:rsidR="0094688D" w:rsidRPr="0094688D">
        <w:rPr>
          <w:i/>
          <w:lang w:val="ru-RU"/>
        </w:rPr>
        <w:t xml:space="preserve"> </w:t>
      </w:r>
      <w:r w:rsidR="0094688D">
        <w:rPr>
          <w:i/>
          <w:lang w:val="ru-RU"/>
        </w:rPr>
        <w:t>счет</w:t>
      </w:r>
      <w:r w:rsidR="0094688D" w:rsidRPr="0094688D">
        <w:rPr>
          <w:i/>
          <w:lang w:val="ru-RU"/>
        </w:rPr>
        <w:t xml:space="preserve"> </w:t>
      </w:r>
      <w:r w:rsidR="0094688D">
        <w:rPr>
          <w:i/>
          <w:lang w:val="ru-RU"/>
        </w:rPr>
        <w:t>резервов</w:t>
      </w:r>
      <w:r w:rsidR="0094688D" w:rsidRPr="0094688D">
        <w:rPr>
          <w:i/>
          <w:lang w:val="ru-RU"/>
        </w:rPr>
        <w:t xml:space="preserve"> </w:t>
      </w:r>
      <w:r w:rsidR="0094688D">
        <w:rPr>
          <w:i/>
          <w:lang w:val="ru-RU"/>
        </w:rPr>
        <w:t>ВОИС</w:t>
      </w:r>
      <w:r w:rsidR="0094688D" w:rsidRPr="0094688D">
        <w:rPr>
          <w:i/>
          <w:lang w:val="ru-RU"/>
        </w:rPr>
        <w:t xml:space="preserve"> </w:t>
      </w:r>
      <w:r w:rsidR="0094688D">
        <w:rPr>
          <w:i/>
          <w:lang w:val="ru-RU"/>
        </w:rPr>
        <w:t>представленных</w:t>
      </w:r>
      <w:r w:rsidR="0094688D" w:rsidRPr="0094688D">
        <w:rPr>
          <w:i/>
          <w:lang w:val="ru-RU"/>
        </w:rPr>
        <w:t xml:space="preserve"> </w:t>
      </w:r>
      <w:r w:rsidR="0094688D">
        <w:rPr>
          <w:i/>
          <w:lang w:val="ru-RU"/>
        </w:rPr>
        <w:t>в</w:t>
      </w:r>
      <w:r w:rsidR="0094688D" w:rsidRPr="0094688D">
        <w:rPr>
          <w:i/>
          <w:lang w:val="ru-RU"/>
        </w:rPr>
        <w:t xml:space="preserve"> </w:t>
      </w:r>
      <w:r w:rsidR="0094688D">
        <w:rPr>
          <w:i/>
          <w:lang w:val="ru-RU"/>
        </w:rPr>
        <w:t>ГПКР</w:t>
      </w:r>
      <w:r w:rsidR="0094688D" w:rsidRPr="0094688D">
        <w:rPr>
          <w:i/>
          <w:lang w:val="ru-RU"/>
        </w:rPr>
        <w:t xml:space="preserve"> </w:t>
      </w:r>
      <w:r w:rsidR="0094688D">
        <w:rPr>
          <w:i/>
          <w:lang w:val="ru-RU"/>
        </w:rPr>
        <w:t>на</w:t>
      </w:r>
      <w:r w:rsidR="0094688D" w:rsidRPr="0094688D">
        <w:rPr>
          <w:i/>
          <w:lang w:val="ru-RU"/>
        </w:rPr>
        <w:t xml:space="preserve"> 2018-2027 </w:t>
      </w:r>
      <w:r w:rsidR="0094688D">
        <w:rPr>
          <w:i/>
          <w:lang w:val="ru-RU"/>
        </w:rPr>
        <w:t>гг</w:t>
      </w:r>
      <w:r w:rsidR="0094688D" w:rsidRPr="0094688D">
        <w:rPr>
          <w:i/>
          <w:lang w:val="ru-RU"/>
        </w:rPr>
        <w:t>.</w:t>
      </w:r>
      <w:r w:rsidR="0094688D">
        <w:rPr>
          <w:i/>
          <w:lang w:val="ru-RU"/>
        </w:rPr>
        <w:t xml:space="preserve"> </w:t>
      </w:r>
      <w:r w:rsidR="0094688D" w:rsidRPr="0094688D">
        <w:rPr>
          <w:i/>
          <w:lang w:val="ru-RU"/>
        </w:rPr>
        <w:t xml:space="preserve"> </w:t>
      </w:r>
      <w:r w:rsidR="0094688D">
        <w:rPr>
          <w:i/>
          <w:lang w:val="ru-RU"/>
        </w:rPr>
        <w:t>проектов</w:t>
      </w:r>
      <w:r w:rsidR="0094688D" w:rsidRPr="0094688D">
        <w:rPr>
          <w:i/>
          <w:lang w:val="ru-RU"/>
        </w:rPr>
        <w:t xml:space="preserve"> </w:t>
      </w:r>
      <w:r w:rsidR="0094688D">
        <w:rPr>
          <w:i/>
          <w:lang w:val="ru-RU"/>
        </w:rPr>
        <w:lastRenderedPageBreak/>
        <w:t>на</w:t>
      </w:r>
      <w:r w:rsidR="0094688D" w:rsidRPr="0094688D">
        <w:rPr>
          <w:i/>
          <w:lang w:val="ru-RU"/>
        </w:rPr>
        <w:t xml:space="preserve"> </w:t>
      </w:r>
      <w:r w:rsidR="0094688D">
        <w:rPr>
          <w:i/>
          <w:lang w:val="ru-RU"/>
        </w:rPr>
        <w:t>двухгодичный</w:t>
      </w:r>
      <w:r w:rsidR="0094688D" w:rsidRPr="0094688D">
        <w:rPr>
          <w:i/>
          <w:lang w:val="ru-RU"/>
        </w:rPr>
        <w:t xml:space="preserve"> </w:t>
      </w:r>
      <w:r w:rsidR="0094688D">
        <w:rPr>
          <w:i/>
          <w:lang w:val="ru-RU"/>
        </w:rPr>
        <w:t>период</w:t>
      </w:r>
      <w:r w:rsidR="0094688D" w:rsidRPr="0094688D">
        <w:rPr>
          <w:i/>
          <w:lang w:val="ru-RU"/>
        </w:rPr>
        <w:t xml:space="preserve"> 2018-2019 </w:t>
      </w:r>
      <w:r w:rsidR="0094688D">
        <w:rPr>
          <w:i/>
          <w:lang w:val="ru-RU"/>
        </w:rPr>
        <w:t>гг</w:t>
      </w:r>
      <w:r w:rsidR="0094688D" w:rsidRPr="0094688D">
        <w:rPr>
          <w:i/>
          <w:lang w:val="ru-RU"/>
        </w:rPr>
        <w:t xml:space="preserve">. </w:t>
      </w:r>
      <w:r w:rsidR="0094688D">
        <w:rPr>
          <w:i/>
          <w:lang w:val="ru-RU"/>
        </w:rPr>
        <w:t>в</w:t>
      </w:r>
      <w:r w:rsidR="0094688D" w:rsidRPr="0094688D">
        <w:rPr>
          <w:i/>
          <w:lang w:val="ru-RU"/>
        </w:rPr>
        <w:t xml:space="preserve"> </w:t>
      </w:r>
      <w:r w:rsidR="0094688D">
        <w:rPr>
          <w:i/>
          <w:lang w:val="ru-RU"/>
        </w:rPr>
        <w:t>общей</w:t>
      </w:r>
      <w:r w:rsidR="0094688D" w:rsidRPr="0094688D">
        <w:rPr>
          <w:i/>
          <w:lang w:val="ru-RU"/>
        </w:rPr>
        <w:t xml:space="preserve"> </w:t>
      </w:r>
      <w:r w:rsidR="0094688D">
        <w:rPr>
          <w:i/>
          <w:lang w:val="ru-RU"/>
        </w:rPr>
        <w:t>сложности</w:t>
      </w:r>
      <w:r w:rsidR="0094688D" w:rsidRPr="0094688D">
        <w:rPr>
          <w:i/>
          <w:lang w:val="ru-RU"/>
        </w:rPr>
        <w:t xml:space="preserve"> </w:t>
      </w:r>
      <w:r w:rsidR="0094688D">
        <w:rPr>
          <w:i/>
          <w:lang w:val="ru-RU"/>
        </w:rPr>
        <w:t>на</w:t>
      </w:r>
      <w:r w:rsidR="0094688D" w:rsidRPr="0094688D">
        <w:rPr>
          <w:i/>
          <w:lang w:val="ru-RU"/>
        </w:rPr>
        <w:t xml:space="preserve"> </w:t>
      </w:r>
      <w:r w:rsidR="0094688D">
        <w:rPr>
          <w:i/>
          <w:lang w:val="ru-RU"/>
        </w:rPr>
        <w:t>сумму</w:t>
      </w:r>
      <w:r w:rsidR="0094688D" w:rsidRPr="0094688D">
        <w:rPr>
          <w:i/>
          <w:lang w:val="ru-RU"/>
        </w:rPr>
        <w:t xml:space="preserve"> </w:t>
      </w:r>
      <w:r w:rsidR="0094688D">
        <w:rPr>
          <w:i/>
          <w:lang w:val="ru-RU"/>
        </w:rPr>
        <w:t>в</w:t>
      </w:r>
      <w:r w:rsidR="0094688D" w:rsidRPr="0094688D">
        <w:rPr>
          <w:i/>
          <w:lang w:val="ru-RU"/>
        </w:rPr>
        <w:t xml:space="preserve"> 25,5 </w:t>
      </w:r>
      <w:r w:rsidR="0094688D">
        <w:rPr>
          <w:i/>
          <w:lang w:val="ru-RU"/>
        </w:rPr>
        <w:t>млн</w:t>
      </w:r>
      <w:r w:rsidR="0094688D" w:rsidRPr="0094688D">
        <w:rPr>
          <w:i/>
          <w:lang w:val="ru-RU"/>
        </w:rPr>
        <w:t xml:space="preserve"> </w:t>
      </w:r>
      <w:r w:rsidR="0094688D">
        <w:rPr>
          <w:i/>
          <w:lang w:val="ru-RU"/>
        </w:rPr>
        <w:t>шв</w:t>
      </w:r>
      <w:r w:rsidR="0094688D" w:rsidRPr="0094688D">
        <w:rPr>
          <w:i/>
          <w:lang w:val="ru-RU"/>
        </w:rPr>
        <w:t xml:space="preserve">. </w:t>
      </w:r>
      <w:r w:rsidR="0094688D">
        <w:rPr>
          <w:i/>
          <w:lang w:val="ru-RU"/>
        </w:rPr>
        <w:t>франков</w:t>
      </w:r>
      <w:r w:rsidR="00C23409" w:rsidRPr="0094688D">
        <w:rPr>
          <w:i/>
          <w:lang w:val="ru-RU"/>
        </w:rPr>
        <w:t>.</w:t>
      </w:r>
    </w:p>
    <w:p w:rsidR="00894AE4" w:rsidRPr="0094688D" w:rsidRDefault="00894AE4" w:rsidP="004615A6">
      <w:pPr>
        <w:rPr>
          <w:lang w:val="ru-RU"/>
        </w:rPr>
      </w:pPr>
    </w:p>
    <w:p w:rsidR="004445A8" w:rsidRPr="0094688D" w:rsidRDefault="004445A8" w:rsidP="004615A6">
      <w:pPr>
        <w:rPr>
          <w:lang w:val="ru-RU"/>
        </w:rPr>
      </w:pPr>
    </w:p>
    <w:p w:rsidR="004445A8" w:rsidRPr="0094688D" w:rsidRDefault="004445A8" w:rsidP="004615A6">
      <w:pPr>
        <w:rPr>
          <w:lang w:val="ru-RU"/>
        </w:rPr>
      </w:pPr>
    </w:p>
    <w:p w:rsidR="00D06645" w:rsidRPr="0094688D" w:rsidRDefault="00D06645" w:rsidP="004615A6">
      <w:pPr>
        <w:rPr>
          <w:lang w:val="ru-RU"/>
        </w:rPr>
      </w:pPr>
    </w:p>
    <w:p w:rsidR="00207BFD" w:rsidRPr="0015383C" w:rsidRDefault="00207BFD" w:rsidP="00207BFD">
      <w:pPr>
        <w:ind w:left="5670"/>
        <w:rPr>
          <w:lang w:val="ru-RU"/>
        </w:rPr>
      </w:pPr>
      <w:r w:rsidRPr="0094688D">
        <w:rPr>
          <w:lang w:val="ru-RU"/>
        </w:rPr>
        <w:tab/>
      </w:r>
      <w:r w:rsidRPr="0015383C">
        <w:rPr>
          <w:lang w:val="ru-RU"/>
        </w:rPr>
        <w:t>[</w:t>
      </w:r>
      <w:r w:rsidR="00913950">
        <w:rPr>
          <w:lang w:val="ru-RU"/>
        </w:rPr>
        <w:t>Приложения</w:t>
      </w:r>
      <w:r w:rsidR="00913950" w:rsidRPr="0015383C">
        <w:rPr>
          <w:lang w:val="ru-RU"/>
        </w:rPr>
        <w:t xml:space="preserve"> </w:t>
      </w:r>
      <w:r w:rsidR="00913950">
        <w:rPr>
          <w:lang w:val="ru-RU"/>
        </w:rPr>
        <w:t>следуют</w:t>
      </w:r>
      <w:r w:rsidRPr="0015383C">
        <w:rPr>
          <w:lang w:val="ru-RU"/>
        </w:rPr>
        <w:t>]</w:t>
      </w:r>
    </w:p>
    <w:p w:rsidR="00207BFD" w:rsidRPr="0015383C" w:rsidRDefault="00207BFD">
      <w:pPr>
        <w:rPr>
          <w:bCs/>
          <w:iCs/>
          <w:caps/>
          <w:szCs w:val="28"/>
          <w:lang w:val="ru-RU"/>
        </w:rPr>
        <w:sectPr w:rsidR="00207BFD" w:rsidRPr="0015383C" w:rsidSect="00813CB5">
          <w:headerReference w:type="default" r:id="rId14"/>
          <w:pgSz w:w="11907" w:h="16840" w:code="9"/>
          <w:pgMar w:top="1417" w:right="1417" w:bottom="1417" w:left="1417" w:header="709" w:footer="709" w:gutter="0"/>
          <w:cols w:space="720"/>
          <w:titlePg/>
          <w:docGrid w:linePitch="299"/>
        </w:sectPr>
      </w:pPr>
    </w:p>
    <w:p w:rsidR="002524B5" w:rsidRPr="007A7738" w:rsidRDefault="002524B5" w:rsidP="002524B5">
      <w:pPr>
        <w:pStyle w:val="Heading1"/>
        <w:spacing w:before="0"/>
        <w:rPr>
          <w:lang w:val="ru-RU"/>
        </w:rPr>
      </w:pPr>
      <w:r w:rsidRPr="007A7738">
        <w:rPr>
          <w:lang w:val="ru-RU"/>
        </w:rPr>
        <w:lastRenderedPageBreak/>
        <w:t xml:space="preserve">ПРИЛОЖЕНИЕ I:  пересмотренная политика в отношении резервов </w:t>
      </w:r>
    </w:p>
    <w:p w:rsidR="002524B5" w:rsidRPr="007A7738" w:rsidRDefault="002524B5" w:rsidP="002524B5">
      <w:pPr>
        <w:rPr>
          <w:lang w:val="ru-RU"/>
        </w:rPr>
      </w:pPr>
    </w:p>
    <w:p w:rsidR="002524B5" w:rsidRPr="007A7738" w:rsidRDefault="002524B5" w:rsidP="002524B5">
      <w:pPr>
        <w:rPr>
          <w:lang w:val="ru-RU"/>
        </w:rPr>
      </w:pPr>
      <w:r w:rsidRPr="007A7738">
        <w:rPr>
          <w:lang w:val="ru-RU"/>
        </w:rPr>
        <w:t>Принципы использования резервов и фондов оборотных средств (РФОС) определены в Пересмотренной политике в отношении резервов</w:t>
      </w:r>
      <w:r w:rsidRPr="007A7738">
        <w:rPr>
          <w:rStyle w:val="FootnoteReference"/>
          <w:lang w:val="ru-RU"/>
        </w:rPr>
        <w:footnoteReference w:id="4"/>
      </w:r>
      <w:r w:rsidRPr="007A7738">
        <w:rPr>
          <w:lang w:val="ru-RU"/>
        </w:rPr>
        <w:t xml:space="preserve"> следующим образом:  </w:t>
      </w:r>
    </w:p>
    <w:p w:rsidR="002524B5" w:rsidRPr="007A7738" w:rsidRDefault="002524B5" w:rsidP="002524B5">
      <w:pPr>
        <w:rPr>
          <w:lang w:val="ru-RU"/>
        </w:rPr>
      </w:pPr>
    </w:p>
    <w:p w:rsidR="002524B5" w:rsidRPr="007A7738" w:rsidRDefault="002524B5" w:rsidP="002524B5">
      <w:pPr>
        <w:keepNext/>
        <w:keepLines/>
        <w:tabs>
          <w:tab w:val="left" w:pos="2970"/>
        </w:tabs>
        <w:ind w:left="567"/>
        <w:rPr>
          <w:lang w:val="ru-RU"/>
        </w:rPr>
      </w:pPr>
      <w:r w:rsidRPr="007A7738">
        <w:rPr>
          <w:b/>
          <w:lang w:val="ru-RU"/>
        </w:rPr>
        <w:t xml:space="preserve">ПРИНЦИП 1:  </w:t>
      </w:r>
      <w:r w:rsidRPr="007A7738">
        <w:rPr>
          <w:lang w:val="ru-RU"/>
        </w:rPr>
        <w:t xml:space="preserve">Предложения по использованию РФОС должны относиться только к суммам, имеющимся в наличии в РФОС, которые превышают целевой уровень, требуемый политикой ВОИС в области резервов.  Это применимо как на уровне отдельных союзов, так и на уровне Организации в целом. </w:t>
      </w:r>
    </w:p>
    <w:p w:rsidR="002524B5" w:rsidRPr="007A7738" w:rsidRDefault="002524B5" w:rsidP="002524B5">
      <w:pPr>
        <w:keepNext/>
        <w:keepLines/>
        <w:ind w:left="567"/>
        <w:rPr>
          <w:lang w:val="ru-RU"/>
        </w:rPr>
      </w:pPr>
    </w:p>
    <w:p w:rsidR="002524B5" w:rsidRPr="007A7738" w:rsidRDefault="002524B5" w:rsidP="002524B5">
      <w:pPr>
        <w:pStyle w:val="ONUME"/>
        <w:widowControl w:val="0"/>
        <w:numPr>
          <w:ilvl w:val="0"/>
          <w:numId w:val="0"/>
        </w:numPr>
        <w:tabs>
          <w:tab w:val="left" w:pos="1620"/>
        </w:tabs>
        <w:spacing w:after="0"/>
        <w:ind w:left="567"/>
        <w:rPr>
          <w:lang w:val="ru-RU"/>
        </w:rPr>
      </w:pPr>
      <w:r w:rsidRPr="007A7738">
        <w:rPr>
          <w:b/>
          <w:lang w:val="ru-RU"/>
        </w:rPr>
        <w:t xml:space="preserve">ПРИНЦИП 2:  </w:t>
      </w:r>
      <w:r w:rsidRPr="007A7738">
        <w:rPr>
          <w:lang w:val="ru-RU"/>
        </w:rPr>
        <w:t xml:space="preserve">Расчеты имеющихся резервов будут основаны на информации об уровне РФОС, содержащейся в последней финансовой отчетности, и будут должным образом учитывать фактические, зарезервированные и планируемые расходы за счет резервов на финансовый период (финансовые периоды), в течение которого (которых) предполагается осуществление предложенного проекта.  Из расчета сумм, имеющихся сверх целевого уровня РФОС, будут исключены суммы профицита резерва для переоценки стоимости (в результате переоценки стоимости земельного участка, на котором было построено новое здание) и фонда оборотных средств (который был создан за счет взносов государств-членов). </w:t>
      </w:r>
    </w:p>
    <w:p w:rsidR="002524B5" w:rsidRPr="007A7738" w:rsidRDefault="002524B5" w:rsidP="002524B5">
      <w:pPr>
        <w:ind w:left="993"/>
        <w:rPr>
          <w:lang w:val="ru-RU"/>
        </w:rPr>
      </w:pPr>
    </w:p>
    <w:p w:rsidR="002524B5" w:rsidRPr="007A7738" w:rsidRDefault="002524B5" w:rsidP="002524B5">
      <w:pPr>
        <w:tabs>
          <w:tab w:val="left" w:pos="3150"/>
          <w:tab w:val="left" w:pos="3420"/>
        </w:tabs>
        <w:spacing w:after="120"/>
        <w:ind w:left="567"/>
        <w:rPr>
          <w:lang w:val="ru-RU"/>
        </w:rPr>
      </w:pPr>
      <w:r w:rsidRPr="007A7738">
        <w:rPr>
          <w:b/>
          <w:lang w:val="ru-RU"/>
        </w:rPr>
        <w:t xml:space="preserve">ПРИНЦИП 3: </w:t>
      </w:r>
      <w:r w:rsidRPr="007A7738">
        <w:rPr>
          <w:lang w:val="ru-RU"/>
        </w:rPr>
        <w:t>Предложения об использовании резервов должны быть связаны с чрезвычайными единовременными капитальными проектами и расходами и в исключительных обстоятельствах со стратегическими инициативами, принимаемыми Ассамблеями союзов ВОИС.  Капитальные проекты, как правило, будут определяться в долгосрочном генеральном плане капитальных расходов и могут быть указаны как проекты, связанные со строительством/ремонтом помещений и информационно-коммуникационными технологиями, необходимыми для поддержания помещений и систем Организации в надлежащем рабочем состоянии путем их значительного расширения или ввода дополнительных объектов и систем.</w:t>
      </w:r>
    </w:p>
    <w:p w:rsidR="002524B5" w:rsidRPr="007A7738" w:rsidRDefault="002524B5" w:rsidP="002524B5">
      <w:pPr>
        <w:pStyle w:val="ONUME"/>
        <w:widowControl w:val="0"/>
        <w:numPr>
          <w:ilvl w:val="0"/>
          <w:numId w:val="0"/>
        </w:numPr>
        <w:tabs>
          <w:tab w:val="left" w:pos="1620"/>
        </w:tabs>
        <w:spacing w:after="0"/>
        <w:ind w:left="567"/>
        <w:rPr>
          <w:b/>
          <w:lang w:val="ru-RU"/>
        </w:rPr>
      </w:pPr>
    </w:p>
    <w:p w:rsidR="002524B5" w:rsidRPr="007A7738" w:rsidRDefault="002524B5" w:rsidP="002524B5">
      <w:pPr>
        <w:pStyle w:val="ONUME"/>
        <w:widowControl w:val="0"/>
        <w:numPr>
          <w:ilvl w:val="0"/>
          <w:numId w:val="0"/>
        </w:numPr>
        <w:tabs>
          <w:tab w:val="left" w:pos="1620"/>
        </w:tabs>
        <w:spacing w:after="0"/>
        <w:ind w:left="567"/>
        <w:rPr>
          <w:lang w:val="ru-RU"/>
        </w:rPr>
      </w:pPr>
      <w:r w:rsidRPr="007A7738">
        <w:rPr>
          <w:b/>
          <w:lang w:val="ru-RU"/>
        </w:rPr>
        <w:t xml:space="preserve">ПРИНЦИП 4: </w:t>
      </w:r>
      <w:r w:rsidRPr="007A7738">
        <w:rPr>
          <w:lang w:val="ru-RU"/>
        </w:rPr>
        <w:t>Предложения об использовании резервов должны комплексно прорабатываться и основываться на информации о стоимости всего цикла реализации проекта, прогнозируемых выгод (которые могут иметь как финансовое, так и качественное выражение), регулярных расходов, которые Организация будет обязана финансировать в рамках своего регулярного бюджета в последующие двухлетние периоды, а также последствий для оборота денежных средств и уровня ликвидности резервов.</w:t>
      </w:r>
    </w:p>
    <w:p w:rsidR="002524B5" w:rsidRPr="007A7738" w:rsidRDefault="002524B5" w:rsidP="002524B5">
      <w:pPr>
        <w:tabs>
          <w:tab w:val="left" w:pos="3150"/>
        </w:tabs>
        <w:rPr>
          <w:lang w:val="ru-RU"/>
        </w:rPr>
      </w:pPr>
    </w:p>
    <w:p w:rsidR="002524B5" w:rsidRPr="007A7738" w:rsidRDefault="002524B5" w:rsidP="002524B5">
      <w:pPr>
        <w:keepNext/>
        <w:keepLines/>
        <w:tabs>
          <w:tab w:val="left" w:pos="3330"/>
          <w:tab w:val="left" w:pos="3420"/>
        </w:tabs>
        <w:ind w:left="567"/>
        <w:rPr>
          <w:lang w:val="ru-RU"/>
        </w:rPr>
      </w:pPr>
      <w:r w:rsidRPr="007A7738">
        <w:rPr>
          <w:b/>
          <w:lang w:val="ru-RU"/>
        </w:rPr>
        <w:t>ПРИНЦИП 5:</w:t>
      </w:r>
      <w:r w:rsidRPr="007A7738">
        <w:rPr>
          <w:lang w:val="ru-RU"/>
        </w:rPr>
        <w:t xml:space="preserve"> Предложения об использовании резервов могут касаться проектов и инициатив, которые выходят за рамки двухлетнего финансового периода Организации и которые могут осуществляться на протяжении нескольких двухлетних периодов.</w:t>
      </w:r>
    </w:p>
    <w:p w:rsidR="002524B5" w:rsidRPr="007A7738" w:rsidRDefault="002524B5" w:rsidP="002524B5">
      <w:pPr>
        <w:rPr>
          <w:bCs/>
          <w:iCs/>
          <w:caps/>
          <w:szCs w:val="28"/>
          <w:lang w:val="ru-RU"/>
        </w:rPr>
      </w:pPr>
    </w:p>
    <w:p w:rsidR="002524B5" w:rsidRPr="007A7738" w:rsidRDefault="002524B5" w:rsidP="002524B5">
      <w:pPr>
        <w:rPr>
          <w:bCs/>
          <w:iCs/>
          <w:caps/>
          <w:szCs w:val="28"/>
          <w:lang w:val="ru-RU"/>
        </w:rPr>
      </w:pPr>
    </w:p>
    <w:p w:rsidR="002524B5" w:rsidRPr="007A7738" w:rsidRDefault="002524B5" w:rsidP="002524B5">
      <w:pPr>
        <w:tabs>
          <w:tab w:val="left" w:pos="5670"/>
        </w:tabs>
        <w:rPr>
          <w:lang w:val="ru-RU"/>
        </w:rPr>
        <w:sectPr w:rsidR="002524B5" w:rsidRPr="007A7738" w:rsidSect="00207BFD">
          <w:headerReference w:type="first" r:id="rId15"/>
          <w:pgSz w:w="11907" w:h="16840" w:code="9"/>
          <w:pgMar w:top="1417" w:right="1417" w:bottom="1417" w:left="1417" w:header="709" w:footer="709" w:gutter="0"/>
          <w:pgNumType w:start="1"/>
          <w:cols w:space="720"/>
          <w:titlePg/>
          <w:docGrid w:linePitch="299"/>
        </w:sectPr>
      </w:pPr>
      <w:r w:rsidRPr="007A7738">
        <w:rPr>
          <w:lang w:val="ru-RU"/>
        </w:rPr>
        <w:tab/>
        <w:t>[Приложение II следует]</w:t>
      </w:r>
    </w:p>
    <w:p w:rsidR="002524B5" w:rsidRPr="007A7738" w:rsidRDefault="002524B5" w:rsidP="002524B5">
      <w:pPr>
        <w:pStyle w:val="Heading1"/>
        <w:spacing w:before="0"/>
        <w:rPr>
          <w:lang w:val="ru-RU"/>
        </w:rPr>
      </w:pPr>
      <w:r w:rsidRPr="007A7738">
        <w:rPr>
          <w:lang w:val="ru-RU"/>
        </w:rPr>
        <w:lastRenderedPageBreak/>
        <w:t>ПРИЛОЖЕНИЕ II:  ГЛОБАЛЬНАЯ ПЛАТФОРМА ис – ЭТАП I</w:t>
      </w:r>
    </w:p>
    <w:p w:rsidR="002524B5" w:rsidRPr="007A7738" w:rsidRDefault="002524B5" w:rsidP="002524B5">
      <w:pPr>
        <w:rPr>
          <w:lang w:val="ru-RU"/>
        </w:rPr>
      </w:pPr>
    </w:p>
    <w:p w:rsidR="002524B5" w:rsidRPr="007A7738" w:rsidRDefault="002524B5" w:rsidP="002524B5">
      <w:pPr>
        <w:rPr>
          <w:i/>
          <w:lang w:val="ru-RU"/>
        </w:rPr>
      </w:pPr>
      <w:r w:rsidRPr="007A7738">
        <w:rPr>
          <w:i/>
          <w:lang w:val="ru-RU"/>
        </w:rPr>
        <w:t>Цели проекта и ожидаемые результаты</w:t>
      </w:r>
    </w:p>
    <w:p w:rsidR="002524B5" w:rsidRPr="007A7738" w:rsidRDefault="002524B5" w:rsidP="002524B5">
      <w:pPr>
        <w:rPr>
          <w:lang w:val="ru-RU"/>
        </w:rPr>
      </w:pPr>
    </w:p>
    <w:p w:rsidR="002524B5" w:rsidRPr="007A7738" w:rsidRDefault="002524B5" w:rsidP="002524B5">
      <w:pPr>
        <w:rPr>
          <w:lang w:val="ru-RU"/>
        </w:rPr>
      </w:pPr>
      <w:r w:rsidRPr="007A7738">
        <w:rPr>
          <w:lang w:val="ru-RU"/>
        </w:rPr>
        <w:t>Целью проекта является создание единой общей ИТ-платформы (далее именуемой «Глобальная платформа ИС»), которая соединит между собой различные ИТ</w:t>
      </w:r>
      <w:r w:rsidRPr="007A7738">
        <w:rPr>
          <w:lang w:val="ru-RU"/>
        </w:rPr>
        <w:noBreakHyphen/>
        <w:t xml:space="preserve">платформы платных сервисов ВОИС, таких как система PCT и Мадридская и Гаагская системы (глобальные системы ВОИС в области охраны ИС).  Предусмотрена ее интеграция с новой глобальной платежной системой, и, кроме того, в рамках проекта будет изучена возможность ее соединения с ИТ-системами обеспечения услуг, предоставляемых Центром по арбитражу и посредничеству ВОИС (ЦАП).  Глобальная платформа ИС будет служить единым входным порталом для пользователей услуг глобальных систем ВОИС в области охраны ИС и ЦАП посредством единой учетной записи каждого пользователя в ВОИС, и на ее основе будут реализованы меры политики в отношении ориентированной на пользователей системы навигации, общий пользовательский интерфейс и центральный платежный портал.  </w:t>
      </w:r>
    </w:p>
    <w:p w:rsidR="002524B5" w:rsidRPr="007A7738" w:rsidRDefault="002524B5" w:rsidP="002524B5">
      <w:pPr>
        <w:rPr>
          <w:lang w:val="ru-RU"/>
        </w:rPr>
      </w:pPr>
    </w:p>
    <w:p w:rsidR="002524B5" w:rsidRPr="007A7738" w:rsidRDefault="002524B5" w:rsidP="002524B5">
      <w:pPr>
        <w:rPr>
          <w:lang w:val="ru-RU"/>
        </w:rPr>
      </w:pPr>
      <w:r w:rsidRPr="007A7738">
        <w:rPr>
          <w:lang w:val="ru-RU"/>
        </w:rPr>
        <w:t>Вследствие значительного увеличения объема и расширения разнообразия данных по ИС, используемых в различных областях работы, интеграция множественных существующих платформ стала насущной задачей для Международного бюро (МБ) ВОИС.  С расширением использования глобальных систем ИС возникла необходимость в более комплексном подходе к обработке данных для уменьшения соответствующих издержек, возникающих в случае фрагментированных автономных программ обработки данных на базе самостоятельных ИТ-систем отдельных сервисов.</w:t>
      </w:r>
      <w:r w:rsidRPr="007A7738" w:rsidDel="00BC52A6">
        <w:rPr>
          <w:lang w:val="ru-RU"/>
        </w:rPr>
        <w:t xml:space="preserve"> </w:t>
      </w:r>
    </w:p>
    <w:p w:rsidR="002524B5" w:rsidRPr="007A7738" w:rsidRDefault="002524B5" w:rsidP="002524B5">
      <w:pPr>
        <w:rPr>
          <w:lang w:val="ru-RU"/>
        </w:rPr>
      </w:pPr>
    </w:p>
    <w:p w:rsidR="002524B5" w:rsidRPr="007A7738" w:rsidRDefault="002524B5" w:rsidP="002524B5">
      <w:pPr>
        <w:rPr>
          <w:lang w:val="ru-RU"/>
        </w:rPr>
      </w:pPr>
      <w:r w:rsidRPr="007A7738">
        <w:rPr>
          <w:lang w:val="ru-RU"/>
        </w:rPr>
        <w:t xml:space="preserve">Работа по созданию Глобальной платформы ИС будет опираться на уже осуществленные инвестиции ВОИС в ИКТ, и будут обеспечены возможности для принятия сквозных решений более стратегического характера в области ИКТ.  Благодаря стратегическим подходам и стандартизации архитектуры Глобальная платформа ИС будет способствовать ограничению роста инвестиций в ИКТ различными подразделениями и позволит более широко воспроизводить соответствующие организационные решения без ущерба для операций и качества данных.  Кроме того, ожидается, что будут обеспечены более быстрое реагирование на изменяющиеся производственные нужды и большая устойчивость системы. </w:t>
      </w:r>
    </w:p>
    <w:p w:rsidR="002524B5" w:rsidRPr="007A7738" w:rsidRDefault="002524B5" w:rsidP="002524B5">
      <w:pPr>
        <w:rPr>
          <w:lang w:val="ru-RU"/>
        </w:rPr>
      </w:pPr>
    </w:p>
    <w:p w:rsidR="002524B5" w:rsidRPr="007A7738" w:rsidRDefault="002524B5" w:rsidP="002524B5">
      <w:pPr>
        <w:rPr>
          <w:lang w:val="ru-RU"/>
        </w:rPr>
      </w:pPr>
      <w:r w:rsidRPr="007A7738">
        <w:rPr>
          <w:lang w:val="ru-RU"/>
        </w:rPr>
        <w:t xml:space="preserve">Единый входной портал, который будет включать в себя модернизированную платежную систему, позволит новым клиентам, например ВУЗам, СМП и индивидуальным предпринимателям, особенно из развивающихся стран, более эффективно пользоваться сервисами ВОИС при отсутствии глубоких предварительных знаний об ИС, а также легко управлять оплатой пошлин. </w:t>
      </w:r>
    </w:p>
    <w:p w:rsidR="002524B5" w:rsidRPr="007A7738" w:rsidRDefault="002524B5" w:rsidP="002524B5">
      <w:pPr>
        <w:rPr>
          <w:lang w:val="ru-RU"/>
        </w:rPr>
      </w:pPr>
    </w:p>
    <w:p w:rsidR="002524B5" w:rsidRPr="007A7738" w:rsidRDefault="002524B5" w:rsidP="002524B5">
      <w:pPr>
        <w:rPr>
          <w:lang w:val="ru-RU"/>
        </w:rPr>
      </w:pPr>
      <w:r w:rsidRPr="007A7738">
        <w:rPr>
          <w:lang w:val="ru-RU"/>
        </w:rPr>
        <w:t>В результате реализации проекта Глобальной платформы ИС ожидаются следующие выгоды:</w:t>
      </w:r>
    </w:p>
    <w:p w:rsidR="002524B5" w:rsidRPr="007A7738" w:rsidRDefault="002524B5" w:rsidP="002524B5">
      <w:pPr>
        <w:rPr>
          <w:szCs w:val="22"/>
          <w:lang w:val="ru-RU"/>
        </w:rPr>
      </w:pPr>
    </w:p>
    <w:p w:rsidR="002524B5" w:rsidRPr="007A7738" w:rsidRDefault="002524B5" w:rsidP="002524B5">
      <w:pPr>
        <w:pStyle w:val="ListParagraph"/>
        <w:numPr>
          <w:ilvl w:val="0"/>
          <w:numId w:val="27"/>
        </w:numPr>
        <w:spacing w:after="120"/>
        <w:contextualSpacing w:val="0"/>
        <w:rPr>
          <w:lang w:val="ru-RU"/>
        </w:rPr>
      </w:pPr>
      <w:r w:rsidRPr="007A7738">
        <w:rPr>
          <w:lang w:val="ru-RU"/>
        </w:rPr>
        <w:t xml:space="preserve">Организация сможет принимать сквозные решения более стратегического характера в области ИКТ, а также достичь синергии решений, принимаемых как различными подразделениями, так и в отношении различных ИТ-платформ, что будет способствовать ограничению роста инвестиций в ИКТ различными подразделениями и позволит более широко воспроизводить соответствующие организационные решения и повысить устойчивость создаваемых систем; </w:t>
      </w:r>
    </w:p>
    <w:p w:rsidR="002524B5" w:rsidRPr="007A7738" w:rsidRDefault="002524B5" w:rsidP="002524B5">
      <w:pPr>
        <w:pStyle w:val="ListParagraph"/>
        <w:numPr>
          <w:ilvl w:val="0"/>
          <w:numId w:val="27"/>
        </w:numPr>
        <w:spacing w:after="120"/>
        <w:contextualSpacing w:val="0"/>
        <w:rPr>
          <w:lang w:val="ru-RU"/>
        </w:rPr>
      </w:pPr>
      <w:r w:rsidRPr="007A7738">
        <w:rPr>
          <w:lang w:val="ru-RU"/>
        </w:rPr>
        <w:t xml:space="preserve">Глобальная платформа ИС позволит различным ИТ-системам разных подразделений ВОИС обрабатывать общие данные (такие как данные о профилях пользователей и платежные данные), а также управлять качеством данных; </w:t>
      </w:r>
    </w:p>
    <w:p w:rsidR="002524B5" w:rsidRPr="007A7738" w:rsidRDefault="002524B5" w:rsidP="002524B5">
      <w:pPr>
        <w:pStyle w:val="ListParagraph"/>
        <w:numPr>
          <w:ilvl w:val="0"/>
          <w:numId w:val="27"/>
        </w:numPr>
        <w:spacing w:after="120"/>
        <w:contextualSpacing w:val="0"/>
        <w:rPr>
          <w:lang w:val="ru-RU"/>
        </w:rPr>
      </w:pPr>
      <w:r w:rsidRPr="007A7738">
        <w:rPr>
          <w:lang w:val="ru-RU"/>
        </w:rPr>
        <w:lastRenderedPageBreak/>
        <w:t xml:space="preserve">появится возможность для налаживания более широкого сотрудничества с ведомствами ИС и заявителями, что позволит ведомствам ИС и другим клиентам, работающим с глобальными системами ВОИС, воспользоваться вышеперечисленными выгодами; </w:t>
      </w:r>
    </w:p>
    <w:p w:rsidR="002524B5" w:rsidRPr="007A7738" w:rsidRDefault="002524B5" w:rsidP="002524B5">
      <w:pPr>
        <w:pStyle w:val="ListParagraph"/>
        <w:numPr>
          <w:ilvl w:val="0"/>
          <w:numId w:val="27"/>
        </w:numPr>
        <w:spacing w:after="120"/>
        <w:contextualSpacing w:val="0"/>
        <w:rPr>
          <w:lang w:val="ru-RU"/>
        </w:rPr>
      </w:pPr>
      <w:r w:rsidRPr="007A7738">
        <w:rPr>
          <w:lang w:val="ru-RU"/>
        </w:rPr>
        <w:t xml:space="preserve">будет создан единый простой портал для оплаты пошлин клиентами и обработки платежей в ВОИС с применением современных технологий; </w:t>
      </w:r>
    </w:p>
    <w:p w:rsidR="002524B5" w:rsidRPr="007A7738" w:rsidRDefault="002524B5" w:rsidP="002524B5">
      <w:pPr>
        <w:pStyle w:val="ListParagraph"/>
        <w:numPr>
          <w:ilvl w:val="0"/>
          <w:numId w:val="27"/>
        </w:numPr>
        <w:spacing w:after="120"/>
        <w:contextualSpacing w:val="0"/>
        <w:rPr>
          <w:lang w:val="ru-RU"/>
        </w:rPr>
      </w:pPr>
      <w:r w:rsidRPr="007A7738">
        <w:rPr>
          <w:lang w:val="ru-RU"/>
        </w:rPr>
        <w:t xml:space="preserve">единый, простой и эффективный портал Глобальной платформы ИС позволит ВОИС информировать своих клиентов об оперативных возможностях и использовании всего диапазона сервисов ВОИС для внешних пользователей при обеспечении максимального удобства клиентов; </w:t>
      </w:r>
    </w:p>
    <w:p w:rsidR="002524B5" w:rsidRPr="007A7738" w:rsidRDefault="002524B5" w:rsidP="002524B5">
      <w:pPr>
        <w:pStyle w:val="ListParagraph"/>
        <w:numPr>
          <w:ilvl w:val="0"/>
          <w:numId w:val="27"/>
        </w:numPr>
        <w:spacing w:after="120"/>
        <w:contextualSpacing w:val="0"/>
        <w:rPr>
          <w:lang w:val="ru-RU"/>
        </w:rPr>
      </w:pPr>
      <w:r w:rsidRPr="007A7738">
        <w:rPr>
          <w:lang w:val="ru-RU"/>
        </w:rPr>
        <w:t xml:space="preserve">он будет служить важным инструментом стимулирования более широкого использования сервисов ВОИС за счет обеспечения единообразно более высокого нового качества обслуживания клиентов; </w:t>
      </w:r>
    </w:p>
    <w:p w:rsidR="002524B5" w:rsidRPr="007A7738" w:rsidRDefault="002524B5" w:rsidP="002524B5">
      <w:pPr>
        <w:pStyle w:val="ListParagraph"/>
        <w:numPr>
          <w:ilvl w:val="0"/>
          <w:numId w:val="27"/>
        </w:numPr>
        <w:spacing w:after="120"/>
        <w:contextualSpacing w:val="0"/>
        <w:rPr>
          <w:lang w:val="ru-RU"/>
        </w:rPr>
      </w:pPr>
      <w:r w:rsidRPr="007A7738">
        <w:rPr>
          <w:lang w:val="ru-RU"/>
        </w:rPr>
        <w:t>доступ ко всем сервисам будет обеспечиваться на основе надежно защищенной единой учетной записи пользователя, что повысит уровень безопасности ИТ</w:t>
      </w:r>
      <w:r w:rsidRPr="007A7738">
        <w:rPr>
          <w:lang w:val="ru-RU"/>
        </w:rPr>
        <w:noBreakHyphen/>
        <w:t xml:space="preserve">систем и данных и контроля за доступом к ним; </w:t>
      </w:r>
    </w:p>
    <w:p w:rsidR="002524B5" w:rsidRPr="007A7738" w:rsidRDefault="002524B5" w:rsidP="002524B5">
      <w:pPr>
        <w:pStyle w:val="ListParagraph"/>
        <w:numPr>
          <w:ilvl w:val="0"/>
          <w:numId w:val="27"/>
        </w:numPr>
        <w:spacing w:after="120"/>
        <w:contextualSpacing w:val="0"/>
        <w:rPr>
          <w:lang w:val="ru-RU"/>
        </w:rPr>
      </w:pPr>
      <w:r w:rsidRPr="007A7738">
        <w:rPr>
          <w:lang w:val="ru-RU"/>
        </w:rPr>
        <w:t xml:space="preserve">Глобальная платформа ИС повысит вклад ВОИС в инновации и творческую деятельность на благо всех сторон, сделав сервисы ВОИС более доступными для СМП и индивидуальных предпринимателей, особенно в развивающихся странах; </w:t>
      </w:r>
    </w:p>
    <w:p w:rsidR="002524B5" w:rsidRPr="007A7738" w:rsidRDefault="002524B5" w:rsidP="002524B5">
      <w:pPr>
        <w:pStyle w:val="ListParagraph"/>
        <w:numPr>
          <w:ilvl w:val="0"/>
          <w:numId w:val="27"/>
        </w:numPr>
        <w:spacing w:after="120"/>
        <w:contextualSpacing w:val="0"/>
        <w:rPr>
          <w:lang w:val="ru-RU"/>
        </w:rPr>
      </w:pPr>
      <w:r w:rsidRPr="007A7738">
        <w:rPr>
          <w:lang w:val="ru-RU"/>
        </w:rPr>
        <w:t>платформа обеспечит доступ МБ к общей клиентской информации и возможность управления ею, что облегчит поддержание связей с клиентами и продвижение сервисов.</w:t>
      </w:r>
    </w:p>
    <w:p w:rsidR="002524B5" w:rsidRPr="007A7738" w:rsidRDefault="002524B5" w:rsidP="002524B5">
      <w:pPr>
        <w:rPr>
          <w:i/>
          <w:lang w:val="ru-RU"/>
        </w:rPr>
      </w:pPr>
    </w:p>
    <w:p w:rsidR="002524B5" w:rsidRPr="007A7738" w:rsidRDefault="002524B5" w:rsidP="002524B5">
      <w:pPr>
        <w:rPr>
          <w:i/>
          <w:lang w:val="ru-RU"/>
        </w:rPr>
      </w:pPr>
      <w:r w:rsidRPr="007A7738">
        <w:rPr>
          <w:i/>
          <w:lang w:val="ru-RU"/>
        </w:rPr>
        <w:t xml:space="preserve">Реализация проекта </w:t>
      </w:r>
    </w:p>
    <w:p w:rsidR="002524B5" w:rsidRPr="007A7738" w:rsidRDefault="002524B5" w:rsidP="002524B5">
      <w:pPr>
        <w:rPr>
          <w:lang w:val="ru-RU"/>
        </w:rPr>
      </w:pPr>
    </w:p>
    <w:p w:rsidR="002524B5" w:rsidRPr="007A7738" w:rsidRDefault="002524B5" w:rsidP="002524B5">
      <w:pPr>
        <w:rPr>
          <w:lang w:val="ru-RU"/>
        </w:rPr>
      </w:pPr>
      <w:r w:rsidRPr="007A7738">
        <w:rPr>
          <w:lang w:val="ru-RU"/>
        </w:rPr>
        <w:t xml:space="preserve">Реализация проекта будет осуществляться в соответствии со стратегией поэтапного подхода.  Первый этап будет заключаться в разработке и согласовании технического решения;  создании первоначальной опытной платформы;  определении плана и структуры ИТ-систем для перехода на новую платформу на последующих этапах;  и разработке процедур и мер политики для обеспечения большей согласованности обработки данных и ИТ-решений в различных подразделениях. </w:t>
      </w:r>
    </w:p>
    <w:p w:rsidR="002524B5" w:rsidRPr="007A7738" w:rsidRDefault="002524B5" w:rsidP="002524B5">
      <w:pPr>
        <w:rPr>
          <w:i/>
          <w:lang w:val="ru-RU"/>
        </w:rPr>
      </w:pPr>
    </w:p>
    <w:p w:rsidR="002524B5" w:rsidRPr="007A7738" w:rsidRDefault="002524B5" w:rsidP="002524B5">
      <w:pPr>
        <w:rPr>
          <w:i/>
          <w:lang w:val="ru-RU"/>
        </w:rPr>
      </w:pPr>
      <w:r w:rsidRPr="007A7738">
        <w:rPr>
          <w:i/>
          <w:lang w:val="ru-RU"/>
        </w:rPr>
        <w:t xml:space="preserve">Определяющие факторы </w:t>
      </w:r>
    </w:p>
    <w:p w:rsidR="002524B5" w:rsidRPr="007A7738" w:rsidRDefault="002524B5" w:rsidP="002524B5">
      <w:pPr>
        <w:rPr>
          <w:lang w:val="ru-RU"/>
        </w:rPr>
      </w:pPr>
    </w:p>
    <w:p w:rsidR="002524B5" w:rsidRPr="007A7738" w:rsidRDefault="002524B5" w:rsidP="002524B5">
      <w:pPr>
        <w:rPr>
          <w:lang w:val="ru-RU"/>
        </w:rPr>
      </w:pPr>
      <w:r w:rsidRPr="007A7738">
        <w:rPr>
          <w:i/>
          <w:lang w:val="ru-RU"/>
        </w:rPr>
        <w:t>Производственные нужды</w:t>
      </w:r>
      <w:r w:rsidRPr="007A7738">
        <w:rPr>
          <w:lang w:val="ru-RU"/>
        </w:rPr>
        <w:t xml:space="preserve"> – ввиду роста числа пользователей сервисов ВОИС и все более широкого использования ИКТ в Организации для обеспечения оказываемых услуг все больший упор делается на единообразно более высокое новое качество обслуживания клиентов.  Это будет обеспечено в рамках реализации проекта за счет создания единого простого и эффективного портала для клиентов ВОИС, с помощью которого они будут получать информацию о всем диапазоне услуг и пользоваться поддержкой в их использовании. </w:t>
      </w:r>
    </w:p>
    <w:p w:rsidR="002524B5" w:rsidRPr="007A7738" w:rsidRDefault="002524B5" w:rsidP="002524B5">
      <w:pPr>
        <w:rPr>
          <w:lang w:val="ru-RU"/>
        </w:rPr>
      </w:pPr>
    </w:p>
    <w:p w:rsidR="002524B5" w:rsidRPr="007A7738" w:rsidRDefault="002524B5" w:rsidP="002524B5">
      <w:pPr>
        <w:rPr>
          <w:lang w:val="ru-RU"/>
        </w:rPr>
      </w:pPr>
      <w:r w:rsidRPr="007A7738">
        <w:rPr>
          <w:i/>
          <w:lang w:val="ru-RU"/>
        </w:rPr>
        <w:t>Эффективность затрат</w:t>
      </w:r>
      <w:r w:rsidRPr="007A7738">
        <w:rPr>
          <w:lang w:val="ru-RU"/>
        </w:rPr>
        <w:t xml:space="preserve"> – эффективность затрат может быть достигнута за счет:  (i) ограничения роста расходов на разработку различных ИТ-систем путем создания интегрированной платформы;  (ii) улучшения доступа к общей клиентской информации и управления ею путем соединения между собой различных ИТ-систем;  и (iii) создания для удобства пользователей и ведомств ИС единого клиентского портала, обеспечения более упорядоченной обработки платежей и расширения сотрудничества через интегрированную платформу с пользователями и ведомствами ИС. </w:t>
      </w:r>
    </w:p>
    <w:p w:rsidR="002524B5" w:rsidRPr="007A7738" w:rsidRDefault="002524B5" w:rsidP="002524B5">
      <w:pPr>
        <w:rPr>
          <w:lang w:val="ru-RU"/>
        </w:rPr>
      </w:pPr>
    </w:p>
    <w:p w:rsidR="002524B5" w:rsidRPr="007A7738" w:rsidRDefault="002524B5" w:rsidP="002524B5">
      <w:pPr>
        <w:rPr>
          <w:lang w:val="ru-RU"/>
        </w:rPr>
      </w:pPr>
      <w:r w:rsidRPr="007A7738">
        <w:rPr>
          <w:lang w:val="ru-RU"/>
        </w:rPr>
        <w:lastRenderedPageBreak/>
        <w:t xml:space="preserve">Исходя из размера и масштабов проекта, охватывающего все основные статьи доходов Организации, он отвечает принципу 3 Пересмотренной политики в отношении резервов как чрезвычайный единовременный проект капитальных расходов.  </w:t>
      </w:r>
    </w:p>
    <w:p w:rsidR="002524B5" w:rsidRPr="007A7738" w:rsidRDefault="002524B5" w:rsidP="002524B5">
      <w:pPr>
        <w:rPr>
          <w:lang w:val="ru-RU"/>
        </w:rPr>
      </w:pPr>
    </w:p>
    <w:p w:rsidR="002524B5" w:rsidRPr="007A7738" w:rsidRDefault="002524B5" w:rsidP="002524B5">
      <w:pPr>
        <w:rPr>
          <w:i/>
          <w:szCs w:val="22"/>
          <w:lang w:val="ru-RU"/>
        </w:rPr>
      </w:pPr>
      <w:r w:rsidRPr="007A7738">
        <w:rPr>
          <w:i/>
          <w:szCs w:val="22"/>
          <w:lang w:val="ru-RU"/>
        </w:rPr>
        <w:t xml:space="preserve">Расчетные периодические эксплуатационные расходы </w:t>
      </w:r>
    </w:p>
    <w:p w:rsidR="002524B5" w:rsidRPr="007A7738" w:rsidRDefault="002524B5" w:rsidP="002524B5">
      <w:pPr>
        <w:tabs>
          <w:tab w:val="left" w:pos="2949"/>
        </w:tabs>
        <w:rPr>
          <w:szCs w:val="22"/>
          <w:lang w:val="ru-RU"/>
        </w:rPr>
      </w:pPr>
    </w:p>
    <w:p w:rsidR="002524B5" w:rsidRPr="007A7738" w:rsidRDefault="002524B5" w:rsidP="002524B5">
      <w:pPr>
        <w:rPr>
          <w:szCs w:val="22"/>
          <w:lang w:val="ru-RU"/>
        </w:rPr>
      </w:pPr>
      <w:r w:rsidRPr="007A7738">
        <w:rPr>
          <w:szCs w:val="22"/>
          <w:lang w:val="ru-RU"/>
        </w:rPr>
        <w:t>В последующих предложениях по программе и бюджету периодические расходы на содержание и эксплуатацию Глобальной платформы ИС будут отражаться как часть регулярного бюджета.  Расчетные периодические эксплуатационные расходы по завершении этапа I оцениваются в 410 тыс. шв. франков в год.</w:t>
      </w:r>
    </w:p>
    <w:p w:rsidR="002524B5" w:rsidRPr="007A7738" w:rsidRDefault="002524B5" w:rsidP="002524B5">
      <w:pPr>
        <w:rPr>
          <w:lang w:val="ru-RU"/>
        </w:rPr>
      </w:pPr>
    </w:p>
    <w:p w:rsidR="002524B5" w:rsidRPr="007A7738" w:rsidRDefault="002524B5" w:rsidP="002524B5">
      <w:pPr>
        <w:tabs>
          <w:tab w:val="left" w:pos="5670"/>
        </w:tabs>
        <w:rPr>
          <w:lang w:val="ru-RU"/>
        </w:rPr>
      </w:pPr>
      <w:r w:rsidRPr="007A7738">
        <w:rPr>
          <w:lang w:val="ru-RU"/>
        </w:rPr>
        <w:tab/>
        <w:t>[Приложение III следует]</w:t>
      </w:r>
    </w:p>
    <w:p w:rsidR="002524B5" w:rsidRPr="007A7738" w:rsidRDefault="002524B5" w:rsidP="002524B5">
      <w:pPr>
        <w:tabs>
          <w:tab w:val="left" w:pos="5670"/>
        </w:tabs>
        <w:rPr>
          <w:lang w:val="ru-RU"/>
        </w:rPr>
      </w:pPr>
    </w:p>
    <w:p w:rsidR="002524B5" w:rsidRPr="007A7738" w:rsidRDefault="002524B5" w:rsidP="002524B5">
      <w:pPr>
        <w:tabs>
          <w:tab w:val="left" w:pos="5670"/>
        </w:tabs>
        <w:rPr>
          <w:lang w:val="ru-RU"/>
        </w:rPr>
        <w:sectPr w:rsidR="002524B5" w:rsidRPr="007A7738" w:rsidSect="00207BFD">
          <w:headerReference w:type="default" r:id="rId16"/>
          <w:headerReference w:type="first" r:id="rId17"/>
          <w:pgSz w:w="11907" w:h="16840" w:code="9"/>
          <w:pgMar w:top="1417" w:right="1417" w:bottom="1417" w:left="1417" w:header="709" w:footer="709" w:gutter="0"/>
          <w:pgNumType w:start="1"/>
          <w:cols w:space="720"/>
          <w:titlePg/>
          <w:docGrid w:linePitch="299"/>
        </w:sectPr>
      </w:pPr>
    </w:p>
    <w:p w:rsidR="002524B5" w:rsidRPr="007A7738" w:rsidRDefault="002524B5" w:rsidP="002524B5">
      <w:pPr>
        <w:pStyle w:val="Heading1"/>
        <w:spacing w:before="0"/>
        <w:rPr>
          <w:lang w:val="ru-RU"/>
        </w:rPr>
      </w:pPr>
      <w:r w:rsidRPr="007A7738">
        <w:rPr>
          <w:lang w:val="ru-RU"/>
        </w:rPr>
        <w:lastRenderedPageBreak/>
        <w:t>ПРИЛОЖЕНИЕ III:  УСТОЙЧИВАЯ И НАДЕЖНАЯ ПЛАТФОРМА ДЛЯ PCT – ЭТАП I</w:t>
      </w:r>
    </w:p>
    <w:p w:rsidR="002524B5" w:rsidRPr="007A7738" w:rsidRDefault="002524B5" w:rsidP="002524B5">
      <w:pPr>
        <w:rPr>
          <w:lang w:val="ru-RU"/>
        </w:rPr>
      </w:pPr>
    </w:p>
    <w:p w:rsidR="002524B5" w:rsidRPr="007A7738" w:rsidRDefault="002524B5" w:rsidP="002524B5">
      <w:pPr>
        <w:rPr>
          <w:i/>
          <w:lang w:val="ru-RU"/>
        </w:rPr>
      </w:pPr>
      <w:r w:rsidRPr="007A7738">
        <w:rPr>
          <w:i/>
          <w:lang w:val="ru-RU"/>
        </w:rPr>
        <w:t xml:space="preserve">Цели проекта и ожидаемые результаты </w:t>
      </w:r>
    </w:p>
    <w:p w:rsidR="002524B5" w:rsidRPr="007A7738" w:rsidRDefault="002524B5" w:rsidP="002524B5">
      <w:pPr>
        <w:rPr>
          <w:lang w:val="ru-RU"/>
        </w:rPr>
      </w:pPr>
    </w:p>
    <w:p w:rsidR="002524B5" w:rsidRPr="007A7738" w:rsidRDefault="002524B5" w:rsidP="002524B5">
      <w:pPr>
        <w:rPr>
          <w:szCs w:val="22"/>
          <w:lang w:val="ru-RU"/>
        </w:rPr>
      </w:pPr>
      <w:r w:rsidRPr="007A7738">
        <w:rPr>
          <w:szCs w:val="22"/>
          <w:lang w:val="ru-RU"/>
        </w:rPr>
        <w:t>Договор о патентной кооперации (PCT) является одним из главных активов ВОИС, так как он служит основным источником дохода Организации.</w:t>
      </w:r>
    </w:p>
    <w:p w:rsidR="002524B5" w:rsidRPr="007A7738" w:rsidRDefault="002524B5" w:rsidP="002524B5">
      <w:pPr>
        <w:rPr>
          <w:szCs w:val="22"/>
          <w:lang w:val="ru-RU"/>
        </w:rPr>
      </w:pPr>
    </w:p>
    <w:p w:rsidR="002524B5" w:rsidRPr="007A7738" w:rsidRDefault="002524B5" w:rsidP="002524B5">
      <w:pPr>
        <w:tabs>
          <w:tab w:val="left" w:pos="2160"/>
        </w:tabs>
        <w:rPr>
          <w:szCs w:val="22"/>
          <w:lang w:val="ru-RU"/>
        </w:rPr>
      </w:pPr>
      <w:r w:rsidRPr="007A7738">
        <w:rPr>
          <w:szCs w:val="22"/>
          <w:lang w:val="ru-RU"/>
        </w:rPr>
        <w:t>Поэтому устойчивость сервисов PCT имеет особо важное значение для коммерческой деятельности заявителей и ведомств, использующих процедуру PCT.  Нарушения в работе сервисов могут вести к задержкам в обработке заявок в ВОИС, а также задержкам в работе и/или утрате прав клиентов ВОИС.  Средние и крупные нарушения в работе сервисов могут причинить ущерб репутации и доходам ВОИС.  По мере того как различные учреждения все больше переходят на работу в цифровом режиме, обеспечение непрерывной работы сервисов становится важным способом сохранения доверия пользователей сервисов PCT и привлечения новых клиентов.</w:t>
      </w:r>
    </w:p>
    <w:p w:rsidR="002524B5" w:rsidRPr="007A7738" w:rsidRDefault="002524B5" w:rsidP="002524B5">
      <w:pPr>
        <w:tabs>
          <w:tab w:val="left" w:pos="2160"/>
        </w:tabs>
        <w:rPr>
          <w:szCs w:val="22"/>
          <w:lang w:val="ru-RU"/>
        </w:rPr>
      </w:pPr>
    </w:p>
    <w:p w:rsidR="002524B5" w:rsidRPr="007A7738" w:rsidRDefault="002524B5" w:rsidP="002524B5">
      <w:pPr>
        <w:tabs>
          <w:tab w:val="left" w:pos="2160"/>
        </w:tabs>
        <w:rPr>
          <w:szCs w:val="22"/>
          <w:lang w:val="ru-RU"/>
        </w:rPr>
      </w:pPr>
      <w:r w:rsidRPr="007A7738">
        <w:rPr>
          <w:szCs w:val="22"/>
          <w:lang w:val="ru-RU"/>
        </w:rPr>
        <w:t>В настоящее время ключевые сервисы инфраструктуры PCT являются общими с сервисами других подразделений ВОИС.  Таким образом, любая потенциальная угроза для ВОИС (кибератака, стихийное бедствие, серьезный технический сбой) может также сказаться на работе PCT.</w:t>
      </w:r>
    </w:p>
    <w:p w:rsidR="002524B5" w:rsidRPr="007A7738" w:rsidRDefault="002524B5" w:rsidP="002524B5">
      <w:pPr>
        <w:rPr>
          <w:szCs w:val="22"/>
          <w:lang w:val="ru-RU"/>
        </w:rPr>
      </w:pPr>
    </w:p>
    <w:p w:rsidR="002524B5" w:rsidRPr="007A7738" w:rsidRDefault="002524B5" w:rsidP="002524B5">
      <w:pPr>
        <w:rPr>
          <w:szCs w:val="22"/>
          <w:lang w:val="ru-RU"/>
        </w:rPr>
      </w:pPr>
      <w:r w:rsidRPr="007A7738">
        <w:rPr>
          <w:szCs w:val="22"/>
          <w:lang w:val="ru-RU"/>
        </w:rPr>
        <w:t xml:space="preserve">Для того чтобы эффективно и гибко реагировать на изменяющиеся условия при обеспечении возможно высокого уровня защиты, ВОИС требуется оперативный интерфейс связи между Организацией, ее государствами-членами, клиентами и основными заинтересованными сторонами.  Для этого необходимо: </w:t>
      </w:r>
    </w:p>
    <w:p w:rsidR="002524B5" w:rsidRPr="007A7738" w:rsidRDefault="002524B5" w:rsidP="002524B5">
      <w:pPr>
        <w:rPr>
          <w:szCs w:val="22"/>
          <w:lang w:val="ru-RU"/>
        </w:rPr>
      </w:pPr>
    </w:p>
    <w:p w:rsidR="002524B5" w:rsidRPr="007A7738" w:rsidRDefault="002524B5" w:rsidP="002524B5">
      <w:pPr>
        <w:pStyle w:val="ListParagraph"/>
        <w:numPr>
          <w:ilvl w:val="1"/>
          <w:numId w:val="29"/>
        </w:numPr>
        <w:rPr>
          <w:szCs w:val="22"/>
          <w:lang w:val="ru-RU"/>
        </w:rPr>
      </w:pPr>
      <w:r w:rsidRPr="007A7738">
        <w:rPr>
          <w:szCs w:val="22"/>
          <w:lang w:val="ru-RU"/>
        </w:rPr>
        <w:t>повысить безопасность систем хранения и обработки важных конфиденциальных данных PCT в ВОИС;</w:t>
      </w:r>
    </w:p>
    <w:p w:rsidR="002524B5" w:rsidRPr="007A7738" w:rsidRDefault="002524B5" w:rsidP="002524B5">
      <w:pPr>
        <w:pStyle w:val="ListParagraph"/>
        <w:numPr>
          <w:ilvl w:val="1"/>
          <w:numId w:val="29"/>
        </w:numPr>
        <w:rPr>
          <w:szCs w:val="22"/>
          <w:lang w:val="ru-RU"/>
        </w:rPr>
      </w:pPr>
      <w:r w:rsidRPr="007A7738">
        <w:rPr>
          <w:szCs w:val="22"/>
          <w:lang w:val="ru-RU"/>
        </w:rPr>
        <w:t>повысить операционные возможности и устойчивость организационных процессов и соответствующих систем PCT в ВОИС;</w:t>
      </w:r>
    </w:p>
    <w:p w:rsidR="002524B5" w:rsidRPr="007A7738" w:rsidRDefault="002524B5" w:rsidP="002524B5">
      <w:pPr>
        <w:pStyle w:val="ListParagraph"/>
        <w:numPr>
          <w:ilvl w:val="1"/>
          <w:numId w:val="29"/>
        </w:numPr>
        <w:rPr>
          <w:szCs w:val="22"/>
          <w:lang w:val="ru-RU"/>
        </w:rPr>
      </w:pPr>
      <w:r w:rsidRPr="007A7738">
        <w:rPr>
          <w:szCs w:val="22"/>
          <w:lang w:val="ru-RU"/>
        </w:rPr>
        <w:t xml:space="preserve">усовершенствовать процедуры идентификации, классификации и защиты данных;  и </w:t>
      </w:r>
    </w:p>
    <w:p w:rsidR="002524B5" w:rsidRPr="007A7738" w:rsidRDefault="002524B5" w:rsidP="002524B5">
      <w:pPr>
        <w:pStyle w:val="ListParagraph"/>
        <w:numPr>
          <w:ilvl w:val="1"/>
          <w:numId w:val="29"/>
        </w:numPr>
        <w:rPr>
          <w:szCs w:val="22"/>
          <w:lang w:val="ru-RU"/>
        </w:rPr>
      </w:pPr>
      <w:r w:rsidRPr="007A7738">
        <w:rPr>
          <w:szCs w:val="22"/>
          <w:lang w:val="ru-RU"/>
        </w:rPr>
        <w:t>повысить быстроту действия и равномерность работы операционных систем PCT.</w:t>
      </w:r>
    </w:p>
    <w:p w:rsidR="002524B5" w:rsidRPr="007A7738" w:rsidRDefault="002524B5" w:rsidP="002524B5">
      <w:pPr>
        <w:rPr>
          <w:szCs w:val="22"/>
          <w:lang w:val="ru-RU"/>
        </w:rPr>
      </w:pPr>
    </w:p>
    <w:p w:rsidR="002524B5" w:rsidRPr="007A7738" w:rsidRDefault="002524B5" w:rsidP="002524B5">
      <w:pPr>
        <w:rPr>
          <w:szCs w:val="22"/>
          <w:lang w:val="ru-RU"/>
        </w:rPr>
      </w:pPr>
      <w:r w:rsidRPr="007A7738">
        <w:rPr>
          <w:szCs w:val="22"/>
          <w:lang w:val="ru-RU"/>
        </w:rPr>
        <w:t>Ожидаемые результаты, связанные с созданием устойчивой и надежной платформы для PCT, позволят PCT:</w:t>
      </w:r>
    </w:p>
    <w:p w:rsidR="002524B5" w:rsidRPr="007A7738" w:rsidRDefault="002524B5" w:rsidP="002524B5">
      <w:pPr>
        <w:rPr>
          <w:szCs w:val="22"/>
          <w:lang w:val="ru-RU"/>
        </w:rPr>
      </w:pPr>
      <w:r w:rsidRPr="007A7738">
        <w:rPr>
          <w:szCs w:val="22"/>
          <w:lang w:val="ru-RU"/>
        </w:rPr>
        <w:t xml:space="preserve"> </w:t>
      </w:r>
    </w:p>
    <w:p w:rsidR="002524B5" w:rsidRPr="007A7738" w:rsidRDefault="002524B5" w:rsidP="002524B5">
      <w:pPr>
        <w:pStyle w:val="ListParagraph"/>
        <w:numPr>
          <w:ilvl w:val="0"/>
          <w:numId w:val="30"/>
        </w:numPr>
        <w:rPr>
          <w:szCs w:val="22"/>
          <w:lang w:val="ru-RU"/>
        </w:rPr>
      </w:pPr>
      <w:r w:rsidRPr="007A7738">
        <w:rPr>
          <w:szCs w:val="22"/>
          <w:lang w:val="ru-RU"/>
        </w:rPr>
        <w:t xml:space="preserve">обеспечить надлежащую идентификацию и защиту важных данных от угроз нарушения безопасности, в частности кибератак;  и </w:t>
      </w:r>
    </w:p>
    <w:p w:rsidR="002524B5" w:rsidRPr="007A7738" w:rsidRDefault="002524B5" w:rsidP="002524B5">
      <w:pPr>
        <w:pStyle w:val="ListParagraph"/>
        <w:numPr>
          <w:ilvl w:val="0"/>
          <w:numId w:val="30"/>
        </w:numPr>
        <w:rPr>
          <w:szCs w:val="22"/>
          <w:lang w:val="ru-RU"/>
        </w:rPr>
      </w:pPr>
      <w:r w:rsidRPr="007A7738">
        <w:rPr>
          <w:szCs w:val="22"/>
          <w:lang w:val="ru-RU"/>
        </w:rPr>
        <w:t>повысить операционные возможности, устойчивость  и непрерывность работы систем в случае серьезных технических сбоев и аварийных ситуаций.</w:t>
      </w:r>
    </w:p>
    <w:p w:rsidR="002524B5" w:rsidRPr="007A7738" w:rsidRDefault="002524B5" w:rsidP="002524B5">
      <w:pPr>
        <w:rPr>
          <w:szCs w:val="22"/>
          <w:lang w:val="ru-RU"/>
        </w:rPr>
      </w:pPr>
    </w:p>
    <w:p w:rsidR="002524B5" w:rsidRPr="007A7738" w:rsidRDefault="002524B5" w:rsidP="002524B5">
      <w:pPr>
        <w:rPr>
          <w:szCs w:val="22"/>
          <w:lang w:val="ru-RU"/>
        </w:rPr>
      </w:pPr>
      <w:r w:rsidRPr="007A7738">
        <w:rPr>
          <w:szCs w:val="22"/>
          <w:lang w:val="ru-RU"/>
        </w:rPr>
        <w:t>Устойчивая и надежная платформа предполагает использование подхода «высшего уровня безопасности» к рабочим данным РСТ при сегрегации информации и информационных систем РСТ (по возможности с учетом ограничений, обусловленных внешними прикладными программами, такими как ePCT) и остальной организационной сети ВОИС.  Высоко конфиденциальная сеть будет защищена на основе сегрегационного решения высокого уровня безопасности при жестком контроле за логическими соединениями с другими системами PCT (TEST, DEV).</w:t>
      </w:r>
    </w:p>
    <w:p w:rsidR="002524B5" w:rsidRPr="007A7738" w:rsidRDefault="002524B5" w:rsidP="002524B5">
      <w:pPr>
        <w:rPr>
          <w:lang w:val="ru-RU"/>
        </w:rPr>
      </w:pPr>
    </w:p>
    <w:p w:rsidR="002524B5" w:rsidRPr="007A7738" w:rsidRDefault="002524B5" w:rsidP="002524B5">
      <w:pPr>
        <w:keepNext/>
        <w:rPr>
          <w:i/>
          <w:szCs w:val="22"/>
          <w:lang w:val="ru-RU"/>
        </w:rPr>
      </w:pPr>
      <w:r w:rsidRPr="007A7738">
        <w:rPr>
          <w:i/>
          <w:szCs w:val="22"/>
          <w:lang w:val="ru-RU"/>
        </w:rPr>
        <w:lastRenderedPageBreak/>
        <w:t xml:space="preserve">Реализация проекта </w:t>
      </w:r>
    </w:p>
    <w:p w:rsidR="002524B5" w:rsidRPr="007A7738" w:rsidRDefault="002524B5" w:rsidP="002524B5">
      <w:pPr>
        <w:keepNext/>
        <w:rPr>
          <w:szCs w:val="22"/>
          <w:lang w:val="ru-RU"/>
        </w:rPr>
      </w:pPr>
    </w:p>
    <w:p w:rsidR="002524B5" w:rsidRPr="007A7738" w:rsidRDefault="002524B5" w:rsidP="002524B5">
      <w:pPr>
        <w:keepNext/>
        <w:rPr>
          <w:szCs w:val="22"/>
          <w:lang w:val="ru-RU"/>
        </w:rPr>
      </w:pPr>
      <w:r w:rsidRPr="007A7738">
        <w:rPr>
          <w:szCs w:val="22"/>
          <w:lang w:val="ru-RU"/>
        </w:rPr>
        <w:t xml:space="preserve">Целью этапа I проекта является создание в двухлетний период 2018-2019 гг. Первого центра обработки данных (DC1) взамен существующего Первичного центра обработки данных.  Данный этап будет включать в себя разработку технический решений в отношении архитектуры приложения и доступа пользователей, а также проведение анализа архитектуры данных. </w:t>
      </w:r>
    </w:p>
    <w:p w:rsidR="002524B5" w:rsidRPr="007A7738" w:rsidRDefault="002524B5" w:rsidP="002524B5">
      <w:pPr>
        <w:rPr>
          <w:szCs w:val="22"/>
          <w:lang w:val="ru-RU"/>
        </w:rPr>
      </w:pPr>
    </w:p>
    <w:p w:rsidR="002524B5" w:rsidRPr="007A7738" w:rsidRDefault="002524B5" w:rsidP="002524B5">
      <w:pPr>
        <w:rPr>
          <w:lang w:val="ru-RU"/>
        </w:rPr>
      </w:pPr>
      <w:r w:rsidRPr="007A7738">
        <w:rPr>
          <w:lang w:val="ru-RU"/>
        </w:rPr>
        <w:t>Несмотря на предполагаемую сегрегацию систем, будут изучены возможности взаимодействия Глобальной платформы ИС с ePCT в целях определения оптимального решения для технической интеграции двух платформ.</w:t>
      </w:r>
      <w:r w:rsidRPr="007A7738" w:rsidDel="00496BF8">
        <w:rPr>
          <w:lang w:val="ru-RU"/>
        </w:rPr>
        <w:t xml:space="preserve"> </w:t>
      </w:r>
    </w:p>
    <w:p w:rsidR="002524B5" w:rsidRPr="007A7738" w:rsidRDefault="002524B5" w:rsidP="002524B5">
      <w:pPr>
        <w:rPr>
          <w:lang w:val="ru-RU"/>
        </w:rPr>
      </w:pPr>
    </w:p>
    <w:p w:rsidR="002524B5" w:rsidRPr="007A7738" w:rsidRDefault="002524B5" w:rsidP="002524B5">
      <w:pPr>
        <w:rPr>
          <w:i/>
          <w:lang w:val="ru-RU"/>
        </w:rPr>
      </w:pPr>
      <w:r w:rsidRPr="007A7738">
        <w:rPr>
          <w:i/>
          <w:lang w:val="ru-RU"/>
        </w:rPr>
        <w:t>Определяющие факторы</w:t>
      </w:r>
    </w:p>
    <w:p w:rsidR="002524B5" w:rsidRPr="007A7738" w:rsidRDefault="002524B5" w:rsidP="002524B5">
      <w:pPr>
        <w:tabs>
          <w:tab w:val="left" w:pos="2108"/>
        </w:tabs>
        <w:rPr>
          <w:lang w:val="ru-RU"/>
        </w:rPr>
      </w:pPr>
    </w:p>
    <w:p w:rsidR="002524B5" w:rsidRPr="007A7738" w:rsidRDefault="002524B5" w:rsidP="002524B5">
      <w:pPr>
        <w:rPr>
          <w:lang w:val="ru-RU"/>
        </w:rPr>
      </w:pPr>
      <w:r w:rsidRPr="007A7738">
        <w:rPr>
          <w:i/>
          <w:lang w:val="ru-RU"/>
        </w:rPr>
        <w:t>Охрана и безопасность и целостность информации</w:t>
      </w:r>
      <w:r w:rsidRPr="007A7738">
        <w:rPr>
          <w:lang w:val="ru-RU"/>
        </w:rPr>
        <w:t xml:space="preserve"> – в условиях, когда угрозы кибератак постоянно нарастают, должны быть обеспечены непрерывность работы Организации и доверие пользователей к сервисам PCT. </w:t>
      </w:r>
    </w:p>
    <w:p w:rsidR="002524B5" w:rsidRPr="007A7738" w:rsidRDefault="002524B5" w:rsidP="002524B5">
      <w:pPr>
        <w:rPr>
          <w:lang w:val="ru-RU"/>
        </w:rPr>
      </w:pPr>
    </w:p>
    <w:p w:rsidR="002524B5" w:rsidRPr="007A7738" w:rsidRDefault="002524B5" w:rsidP="002524B5">
      <w:pPr>
        <w:rPr>
          <w:lang w:val="ru-RU"/>
        </w:rPr>
      </w:pPr>
      <w:r w:rsidRPr="007A7738">
        <w:rPr>
          <w:i/>
          <w:lang w:val="ru-RU"/>
        </w:rPr>
        <w:t>Производственные нужды</w:t>
      </w:r>
      <w:r w:rsidRPr="007A7738">
        <w:rPr>
          <w:lang w:val="ru-RU"/>
        </w:rPr>
        <w:t xml:space="preserve"> – работа ВОИС зависит от надежности и безопасности конфиденциальных данных, которыми она управляет в системе PCT.  Неспособность защитить данные от внешнего посягательства может иметь катастрофические последствия, причинить ущерб репутации ВОИС и привести к сокращению доходов. </w:t>
      </w:r>
    </w:p>
    <w:p w:rsidR="002524B5" w:rsidRPr="007A7738" w:rsidRDefault="002524B5" w:rsidP="002524B5">
      <w:pPr>
        <w:rPr>
          <w:lang w:val="ru-RU"/>
        </w:rPr>
      </w:pPr>
    </w:p>
    <w:p w:rsidR="002524B5" w:rsidRPr="007A7738" w:rsidRDefault="002524B5" w:rsidP="002524B5">
      <w:pPr>
        <w:rPr>
          <w:lang w:val="ru-RU"/>
        </w:rPr>
      </w:pPr>
      <w:r w:rsidRPr="007A7738">
        <w:rPr>
          <w:lang w:val="ru-RU"/>
        </w:rPr>
        <w:t>Исходя из размера и масштабов проекта, он отвечает принципу 3 Пересмотренной политики в отношении резервов как чрезвычайный единовременный проект капитальных расходов.</w:t>
      </w:r>
    </w:p>
    <w:p w:rsidR="002524B5" w:rsidRPr="007A7738" w:rsidRDefault="002524B5" w:rsidP="002524B5">
      <w:pPr>
        <w:rPr>
          <w:lang w:val="ru-RU"/>
        </w:rPr>
      </w:pPr>
    </w:p>
    <w:p w:rsidR="002524B5" w:rsidRPr="007A7738" w:rsidRDefault="002524B5" w:rsidP="002524B5">
      <w:pPr>
        <w:rPr>
          <w:i/>
          <w:szCs w:val="22"/>
          <w:lang w:val="ru-RU"/>
        </w:rPr>
      </w:pPr>
      <w:r w:rsidRPr="007A7738">
        <w:rPr>
          <w:i/>
          <w:szCs w:val="22"/>
          <w:lang w:val="ru-RU"/>
        </w:rPr>
        <w:t>Расчетные периодические эксплуатационные расходы</w:t>
      </w:r>
    </w:p>
    <w:p w:rsidR="002524B5" w:rsidRPr="007A7738" w:rsidRDefault="002524B5" w:rsidP="002524B5">
      <w:pPr>
        <w:rPr>
          <w:lang w:val="ru-RU"/>
        </w:rPr>
      </w:pPr>
    </w:p>
    <w:p w:rsidR="002524B5" w:rsidRPr="007A7738" w:rsidRDefault="002524B5" w:rsidP="002524B5">
      <w:pPr>
        <w:rPr>
          <w:szCs w:val="22"/>
          <w:lang w:val="ru-RU"/>
        </w:rPr>
      </w:pPr>
      <w:r w:rsidRPr="007A7738">
        <w:rPr>
          <w:szCs w:val="22"/>
          <w:lang w:val="ru-RU"/>
        </w:rPr>
        <w:t xml:space="preserve">В последующих предложениях по программе и бюджету периодические расходы на содержание и эксплуатацию Центра обработки данных будут отражаться как часть регулярного бюджета.  Расчетные периодические эксплуатационные расходы по завершении этапа I оцениваются в 4,06 млн шв. франков в год. </w:t>
      </w:r>
    </w:p>
    <w:p w:rsidR="002524B5" w:rsidRPr="007A7738" w:rsidRDefault="002524B5" w:rsidP="002524B5">
      <w:pPr>
        <w:rPr>
          <w:szCs w:val="22"/>
          <w:lang w:val="ru-RU"/>
        </w:rPr>
      </w:pPr>
    </w:p>
    <w:p w:rsidR="002524B5" w:rsidRPr="007A7738" w:rsidRDefault="002524B5" w:rsidP="002524B5">
      <w:pPr>
        <w:rPr>
          <w:lang w:val="ru-RU"/>
        </w:rPr>
      </w:pPr>
    </w:p>
    <w:p w:rsidR="002524B5" w:rsidRPr="007A7738" w:rsidRDefault="002524B5" w:rsidP="002524B5">
      <w:pPr>
        <w:rPr>
          <w:lang w:val="ru-RU"/>
        </w:rPr>
      </w:pPr>
    </w:p>
    <w:p w:rsidR="002524B5" w:rsidRPr="007A7738" w:rsidRDefault="002524B5" w:rsidP="002524B5">
      <w:pPr>
        <w:tabs>
          <w:tab w:val="left" w:pos="5670"/>
        </w:tabs>
        <w:rPr>
          <w:lang w:val="ru-RU"/>
        </w:rPr>
        <w:sectPr w:rsidR="002524B5" w:rsidRPr="007A7738" w:rsidSect="00207BFD">
          <w:headerReference w:type="default" r:id="rId18"/>
          <w:headerReference w:type="first" r:id="rId19"/>
          <w:pgSz w:w="11907" w:h="16840" w:code="9"/>
          <w:pgMar w:top="1417" w:right="1417" w:bottom="1417" w:left="1417" w:header="709" w:footer="709" w:gutter="0"/>
          <w:pgNumType w:start="1"/>
          <w:cols w:space="720"/>
          <w:titlePg/>
          <w:docGrid w:linePitch="299"/>
        </w:sectPr>
      </w:pPr>
      <w:r w:rsidRPr="007A7738">
        <w:rPr>
          <w:lang w:val="ru-RU"/>
        </w:rPr>
        <w:tab/>
        <w:t>[Приложение IV следует]</w:t>
      </w:r>
    </w:p>
    <w:p w:rsidR="002524B5" w:rsidRPr="007A7738" w:rsidRDefault="002524B5" w:rsidP="002524B5">
      <w:pPr>
        <w:pStyle w:val="Heading1"/>
        <w:spacing w:before="0"/>
        <w:rPr>
          <w:lang w:val="ru-RU"/>
        </w:rPr>
      </w:pPr>
      <w:r w:rsidRPr="007A7738">
        <w:rPr>
          <w:lang w:val="ru-RU"/>
        </w:rPr>
        <w:lastRenderedPageBreak/>
        <w:t xml:space="preserve">ПРИЛОЖЕНИЕ IV:  ИТ-платформа мадридской системы </w:t>
      </w:r>
    </w:p>
    <w:p w:rsidR="002524B5" w:rsidRPr="007A7738" w:rsidRDefault="002524B5" w:rsidP="002524B5">
      <w:pPr>
        <w:rPr>
          <w:lang w:val="ru-RU"/>
        </w:rPr>
      </w:pPr>
    </w:p>
    <w:p w:rsidR="002524B5" w:rsidRPr="007A7738" w:rsidRDefault="002524B5" w:rsidP="002524B5">
      <w:pPr>
        <w:rPr>
          <w:i/>
          <w:lang w:val="ru-RU"/>
        </w:rPr>
      </w:pPr>
      <w:r w:rsidRPr="007A7738">
        <w:rPr>
          <w:i/>
          <w:lang w:val="ru-RU"/>
        </w:rPr>
        <w:t>Цели проекта и ожидаемые результаты</w:t>
      </w:r>
    </w:p>
    <w:p w:rsidR="002524B5" w:rsidRPr="007A7738" w:rsidRDefault="002524B5" w:rsidP="002524B5">
      <w:pPr>
        <w:rPr>
          <w:lang w:val="ru-RU"/>
        </w:rPr>
      </w:pPr>
    </w:p>
    <w:p w:rsidR="002524B5" w:rsidRPr="007A7738" w:rsidRDefault="002524B5" w:rsidP="002524B5">
      <w:pPr>
        <w:rPr>
          <w:lang w:val="ru-RU"/>
        </w:rPr>
      </w:pPr>
      <w:r w:rsidRPr="007A7738">
        <w:rPr>
          <w:lang w:val="ru-RU"/>
        </w:rPr>
        <w:t>Модернизация ИТ-программ Мадридской системы, завершенная в 2016 г., позволила перевести все ИТ-системы, основанные на устаревших программах, разработанных в 1990-е гг., на более современные программы и дополнить их функциями, позволяющими осуществлять некоторые электронные операции.  Однако данная ИТ</w:t>
      </w:r>
      <w:r w:rsidRPr="007A7738">
        <w:rPr>
          <w:lang w:val="ru-RU"/>
        </w:rPr>
        <w:noBreakHyphen/>
        <w:t xml:space="preserve">система по-прежнему основана на процедурах и административной практике, сложившихся за многолетнюю историю существования Мадридского реестра, а не специально разработанных процедурах и практике, позволяющих использовать возможности современных технологических решений.  Таким образом, необходимо срочно осуществить технологический прорыв для внедрения оптимизированных, эффективных, устойчивых и гибких ИТ-процедур, которые были бы ориентированы на потребности клиентов.  </w:t>
      </w:r>
    </w:p>
    <w:p w:rsidR="002524B5" w:rsidRPr="007A7738" w:rsidRDefault="002524B5" w:rsidP="002524B5">
      <w:pPr>
        <w:rPr>
          <w:lang w:val="ru-RU"/>
        </w:rPr>
      </w:pPr>
    </w:p>
    <w:p w:rsidR="002524B5" w:rsidRPr="007A7738" w:rsidRDefault="002524B5" w:rsidP="002524B5">
      <w:pPr>
        <w:rPr>
          <w:szCs w:val="22"/>
          <w:lang w:val="ru-RU"/>
        </w:rPr>
      </w:pPr>
      <w:r w:rsidRPr="007A7738">
        <w:rPr>
          <w:szCs w:val="22"/>
          <w:lang w:val="ru-RU"/>
        </w:rPr>
        <w:t>Цель проекта ИТ-платформы Мадридской системы заключается в разработке, планировании и внедрении базовых компонентов комплексной, современной и быстродействующей операционной платформы для всех сервисов Мадридской системы.  Кроме того, ожидается, что она обеспечит будущую интеграцию Мадридской системы в Глобальную платформу ИС за счет принятия в тех случаях, когда это возможно, общей архитектуры и интерфейса и достижения большей эффективности посредством создания общих функциональных возможностей в таких областях, как управление идентификацией, безопасность и финансовое руководство.  Ожидается, что по завершении проекта будет также обеспечено большее согласование систем ИКТ национальных ведомств и МБ, что позволит повысить качество обмена данными и свести к минимуму число неавтоматизированных операций.</w:t>
      </w:r>
    </w:p>
    <w:p w:rsidR="002524B5" w:rsidRPr="007A7738" w:rsidRDefault="002524B5" w:rsidP="002524B5">
      <w:pPr>
        <w:rPr>
          <w:szCs w:val="22"/>
          <w:lang w:val="ru-RU"/>
        </w:rPr>
      </w:pPr>
    </w:p>
    <w:p w:rsidR="002524B5" w:rsidRPr="007A7738" w:rsidRDefault="002524B5" w:rsidP="002524B5">
      <w:pPr>
        <w:rPr>
          <w:szCs w:val="22"/>
          <w:lang w:val="ru-RU"/>
        </w:rPr>
      </w:pPr>
      <w:r w:rsidRPr="007A7738">
        <w:rPr>
          <w:szCs w:val="22"/>
          <w:lang w:val="ru-RU"/>
        </w:rPr>
        <w:t>Ожидается, что ИТ-платформа Мадридской системы будет служить единым отказоустойчивым центром для международной регистрации товарных знаков и обеспечения взаимодействия между МБ и ведомствами участников Мадридской системы.  Таким образом, ожидается, что в долгосрочной перспективе ИТ-платформа Мадридской системы позволит достичь следующих результатов:</w:t>
      </w:r>
    </w:p>
    <w:p w:rsidR="002524B5" w:rsidRPr="007A7738" w:rsidRDefault="002524B5" w:rsidP="002524B5">
      <w:pPr>
        <w:rPr>
          <w:szCs w:val="22"/>
          <w:lang w:val="ru-RU"/>
        </w:rPr>
      </w:pPr>
    </w:p>
    <w:p w:rsidR="002524B5" w:rsidRPr="007A7738" w:rsidRDefault="002524B5" w:rsidP="002524B5">
      <w:pPr>
        <w:pStyle w:val="ListParagraph"/>
        <w:numPr>
          <w:ilvl w:val="0"/>
          <w:numId w:val="34"/>
        </w:numPr>
        <w:rPr>
          <w:szCs w:val="22"/>
          <w:lang w:val="ru-RU"/>
        </w:rPr>
      </w:pPr>
      <w:r w:rsidRPr="007A7738">
        <w:rPr>
          <w:szCs w:val="22"/>
          <w:lang w:val="ru-RU"/>
        </w:rPr>
        <w:t xml:space="preserve">обеспечение синхронного доступа в режиме реального времени заявителей и владельцев международных регистраций, ведомств договаривающихся сторон и МБ ко всей информации и данным, касающимся международных заявок и регистраций; </w:t>
      </w:r>
    </w:p>
    <w:p w:rsidR="002524B5" w:rsidRPr="007A7738" w:rsidRDefault="002524B5" w:rsidP="002524B5">
      <w:pPr>
        <w:pStyle w:val="ListParagraph"/>
        <w:ind w:left="567"/>
        <w:rPr>
          <w:szCs w:val="22"/>
          <w:lang w:val="ru-RU"/>
        </w:rPr>
      </w:pPr>
    </w:p>
    <w:p w:rsidR="002524B5" w:rsidRPr="007A7738" w:rsidRDefault="002524B5" w:rsidP="002524B5">
      <w:pPr>
        <w:pStyle w:val="ListParagraph"/>
        <w:numPr>
          <w:ilvl w:val="0"/>
          <w:numId w:val="34"/>
        </w:numPr>
        <w:rPr>
          <w:szCs w:val="22"/>
          <w:lang w:val="ru-RU"/>
        </w:rPr>
      </w:pPr>
      <w:r w:rsidRPr="007A7738">
        <w:rPr>
          <w:szCs w:val="22"/>
          <w:lang w:val="ru-RU"/>
        </w:rPr>
        <w:t>устранение неопределенности в отношении передачи или неавтоматизированной обработки данных, обмениваемых между заявителями и владельцами, ведомствами договаривающихся сторон и МБ за счет повышения надежности, качества и контролируемости продуктов данных и уменьшения числа неавтоматизированных операций, осуществляемых экспертами в Мадридской системе;</w:t>
      </w:r>
    </w:p>
    <w:p w:rsidR="002524B5" w:rsidRPr="007A7738" w:rsidRDefault="002524B5" w:rsidP="002524B5">
      <w:pPr>
        <w:pStyle w:val="ListParagraph"/>
        <w:rPr>
          <w:szCs w:val="22"/>
          <w:lang w:val="ru-RU"/>
        </w:rPr>
      </w:pPr>
    </w:p>
    <w:p w:rsidR="002524B5" w:rsidRPr="007A7738" w:rsidRDefault="002524B5" w:rsidP="002524B5">
      <w:pPr>
        <w:pStyle w:val="NormalWeb"/>
        <w:numPr>
          <w:ilvl w:val="0"/>
          <w:numId w:val="34"/>
        </w:numPr>
        <w:rPr>
          <w:rFonts w:ascii="Arial" w:hAnsi="Arial" w:cs="Arial"/>
          <w:sz w:val="22"/>
          <w:szCs w:val="22"/>
          <w:lang w:val="ru-RU"/>
        </w:rPr>
      </w:pPr>
      <w:r w:rsidRPr="007A7738">
        <w:rPr>
          <w:rFonts w:ascii="Arial" w:hAnsi="Arial" w:cs="Arial"/>
          <w:sz w:val="22"/>
          <w:szCs w:val="22"/>
          <w:lang w:val="ru-RU"/>
        </w:rPr>
        <w:t>внедрение эффективной, последовательной и современной системы уведомлений для информирования пользователей о развитии системы товарных знаков и сокращения объема бумажного документооборота</w:t>
      </w:r>
      <w:r w:rsidRPr="007A7738">
        <w:rPr>
          <w:rFonts w:ascii="Arial" w:eastAsia="SimSun" w:hAnsi="Arial" w:cs="Arial"/>
          <w:sz w:val="22"/>
          <w:szCs w:val="22"/>
          <w:lang w:val="ru-RU" w:eastAsia="zh-CN"/>
        </w:rPr>
        <w:t>;</w:t>
      </w:r>
    </w:p>
    <w:p w:rsidR="002524B5" w:rsidRPr="007A7738" w:rsidRDefault="002524B5" w:rsidP="002524B5">
      <w:pPr>
        <w:pStyle w:val="NormalWeb"/>
        <w:ind w:left="720"/>
        <w:rPr>
          <w:rFonts w:ascii="Arial" w:hAnsi="Arial" w:cs="Arial"/>
          <w:sz w:val="22"/>
          <w:szCs w:val="22"/>
          <w:lang w:val="ru-RU"/>
        </w:rPr>
      </w:pPr>
    </w:p>
    <w:p w:rsidR="002524B5" w:rsidRPr="007A7738" w:rsidRDefault="002524B5" w:rsidP="002524B5">
      <w:pPr>
        <w:pStyle w:val="ListParagraph"/>
        <w:numPr>
          <w:ilvl w:val="0"/>
          <w:numId w:val="34"/>
        </w:numPr>
        <w:rPr>
          <w:szCs w:val="22"/>
          <w:lang w:val="ru-RU"/>
        </w:rPr>
      </w:pPr>
      <w:r w:rsidRPr="007A7738">
        <w:rPr>
          <w:szCs w:val="22"/>
          <w:lang w:val="ru-RU"/>
        </w:rPr>
        <w:t xml:space="preserve">обеспечение интерфейса с порталом электронных служб eMadrid для оказания содействия клиентам на протяжении всего жизненного цикла их знака;  и </w:t>
      </w:r>
    </w:p>
    <w:p w:rsidR="002524B5" w:rsidRPr="007A7738" w:rsidRDefault="002524B5" w:rsidP="002524B5">
      <w:pPr>
        <w:pStyle w:val="ListParagraph"/>
        <w:rPr>
          <w:szCs w:val="22"/>
          <w:lang w:val="ru-RU"/>
        </w:rPr>
      </w:pPr>
    </w:p>
    <w:p w:rsidR="002524B5" w:rsidRPr="007A7738" w:rsidRDefault="002524B5" w:rsidP="002524B5">
      <w:pPr>
        <w:pStyle w:val="ListParagraph"/>
        <w:numPr>
          <w:ilvl w:val="0"/>
          <w:numId w:val="34"/>
        </w:numPr>
        <w:rPr>
          <w:szCs w:val="22"/>
          <w:lang w:val="ru-RU"/>
        </w:rPr>
      </w:pPr>
      <w:r w:rsidRPr="007A7738">
        <w:rPr>
          <w:szCs w:val="22"/>
          <w:lang w:val="ru-RU"/>
        </w:rPr>
        <w:lastRenderedPageBreak/>
        <w:t>создание упорядоченной и устойчивой Мадридской системы, определяющим фактором в которой служит ориентация на удовлетворение потребностей клиентов, включая, когда это необходимо, адаптацию нормативно-правовой системы и операционной практики.</w:t>
      </w:r>
    </w:p>
    <w:p w:rsidR="002524B5" w:rsidRPr="007A7738" w:rsidRDefault="002524B5" w:rsidP="002524B5">
      <w:pPr>
        <w:rPr>
          <w:szCs w:val="22"/>
          <w:lang w:val="ru-RU"/>
        </w:rPr>
      </w:pPr>
    </w:p>
    <w:p w:rsidR="002524B5" w:rsidRPr="007A7738" w:rsidRDefault="002524B5" w:rsidP="002524B5">
      <w:pPr>
        <w:rPr>
          <w:i/>
          <w:szCs w:val="22"/>
          <w:lang w:val="ru-RU"/>
        </w:rPr>
      </w:pPr>
      <w:r w:rsidRPr="007A7738">
        <w:rPr>
          <w:i/>
          <w:szCs w:val="22"/>
          <w:lang w:val="ru-RU"/>
        </w:rPr>
        <w:t>Реализация проекта</w:t>
      </w:r>
    </w:p>
    <w:p w:rsidR="002524B5" w:rsidRPr="007A7738" w:rsidRDefault="002524B5" w:rsidP="002524B5">
      <w:pPr>
        <w:rPr>
          <w:szCs w:val="22"/>
          <w:lang w:val="ru-RU"/>
        </w:rPr>
      </w:pPr>
    </w:p>
    <w:p w:rsidR="002524B5" w:rsidRPr="007A7738" w:rsidRDefault="002524B5" w:rsidP="002524B5">
      <w:pPr>
        <w:rPr>
          <w:szCs w:val="22"/>
          <w:lang w:val="ru-RU"/>
        </w:rPr>
      </w:pPr>
      <w:r w:rsidRPr="007A7738">
        <w:rPr>
          <w:szCs w:val="22"/>
          <w:lang w:val="ru-RU"/>
        </w:rPr>
        <w:t xml:space="preserve">Базовые компоненты ИТ-платформы Мадридской системы будут поэтапно внедряться на протяжении двухлетнего периода 2018-2019 гг. на основе анализа производственных нужд и с учетом упорядочивания операционных процедур, а также опыта, накопленного при создании в двухлетний период 2016-2017 гг. ИТ-платформы Гаагской системы. </w:t>
      </w:r>
    </w:p>
    <w:p w:rsidR="002524B5" w:rsidRPr="007A7738" w:rsidRDefault="002524B5" w:rsidP="002524B5">
      <w:pPr>
        <w:rPr>
          <w:szCs w:val="22"/>
          <w:lang w:val="ru-RU"/>
        </w:rPr>
      </w:pPr>
    </w:p>
    <w:p w:rsidR="002524B5" w:rsidRPr="007A7738" w:rsidRDefault="002524B5" w:rsidP="002524B5">
      <w:pPr>
        <w:rPr>
          <w:i/>
          <w:szCs w:val="22"/>
          <w:lang w:val="ru-RU"/>
        </w:rPr>
      </w:pPr>
      <w:r w:rsidRPr="007A7738">
        <w:rPr>
          <w:i/>
          <w:szCs w:val="22"/>
          <w:lang w:val="ru-RU"/>
        </w:rPr>
        <w:t>Определяющие факторы</w:t>
      </w:r>
    </w:p>
    <w:p w:rsidR="002524B5" w:rsidRPr="007A7738" w:rsidRDefault="002524B5" w:rsidP="002524B5">
      <w:pPr>
        <w:rPr>
          <w:i/>
          <w:szCs w:val="22"/>
          <w:lang w:val="ru-RU"/>
        </w:rPr>
      </w:pPr>
    </w:p>
    <w:p w:rsidR="002524B5" w:rsidRPr="007A7738" w:rsidRDefault="002524B5" w:rsidP="002524B5">
      <w:pPr>
        <w:rPr>
          <w:szCs w:val="22"/>
          <w:lang w:val="ru-RU"/>
        </w:rPr>
      </w:pPr>
      <w:r w:rsidRPr="007A7738">
        <w:rPr>
          <w:i/>
          <w:szCs w:val="22"/>
          <w:lang w:val="ru-RU"/>
        </w:rPr>
        <w:t>Эффективность затрат</w:t>
      </w:r>
      <w:r w:rsidRPr="007A7738">
        <w:rPr>
          <w:szCs w:val="22"/>
          <w:lang w:val="ru-RU"/>
        </w:rPr>
        <w:t xml:space="preserve"> – существующая система, главным образом, основана на неавтоматизированной обработке, в которой участвуют значительные кадровые ресурсы МБ и ведомств участников Мадридской системы.  В предлагаемой системе будут использованы достижения технического прогресса и возможности автоматизации. </w:t>
      </w:r>
    </w:p>
    <w:p w:rsidR="002524B5" w:rsidRPr="007A7738" w:rsidRDefault="002524B5" w:rsidP="002524B5">
      <w:pPr>
        <w:rPr>
          <w:szCs w:val="22"/>
          <w:lang w:val="ru-RU"/>
        </w:rPr>
      </w:pPr>
    </w:p>
    <w:p w:rsidR="002524B5" w:rsidRPr="007A7738" w:rsidRDefault="002524B5" w:rsidP="002524B5">
      <w:pPr>
        <w:rPr>
          <w:szCs w:val="22"/>
          <w:lang w:val="ru-RU"/>
        </w:rPr>
      </w:pPr>
      <w:r w:rsidRPr="007A7738">
        <w:rPr>
          <w:i/>
          <w:szCs w:val="22"/>
          <w:lang w:val="ru-RU"/>
        </w:rPr>
        <w:t>Производственные нужды</w:t>
      </w:r>
      <w:r w:rsidRPr="007A7738">
        <w:rPr>
          <w:szCs w:val="22"/>
          <w:lang w:val="ru-RU"/>
        </w:rPr>
        <w:t xml:space="preserve"> – существующая Мадридская система является стабильной и высокопроизводительной, но основана на процедурах и административной практике, сложившихся за многолетнюю историю ее существования, а не специально разработанных процедурах и практике, позволяющих использовать возможности современных технологических решений.  Модернизация важна для обеспечения возможности МБ управлять ожидаемым увеличением объема заявок и действующих международной регистраций.  </w:t>
      </w:r>
    </w:p>
    <w:p w:rsidR="002524B5" w:rsidRPr="007A7738" w:rsidRDefault="002524B5" w:rsidP="002524B5">
      <w:pPr>
        <w:rPr>
          <w:szCs w:val="22"/>
          <w:lang w:val="ru-RU"/>
        </w:rPr>
      </w:pPr>
    </w:p>
    <w:p w:rsidR="002524B5" w:rsidRPr="007A7738" w:rsidRDefault="002524B5" w:rsidP="002524B5">
      <w:pPr>
        <w:rPr>
          <w:szCs w:val="22"/>
          <w:lang w:val="ru-RU"/>
        </w:rPr>
      </w:pPr>
      <w:r w:rsidRPr="007A7738">
        <w:rPr>
          <w:szCs w:val="22"/>
          <w:lang w:val="ru-RU"/>
        </w:rPr>
        <w:t xml:space="preserve">Исходя из размера и масштабов проекта, он отвечает принципу 3 Пересмотренной политики в отношении резервов как чрезвычайный единовременный проект капитальных расходов. </w:t>
      </w:r>
    </w:p>
    <w:p w:rsidR="002524B5" w:rsidRPr="007A7738" w:rsidRDefault="002524B5" w:rsidP="002524B5">
      <w:pPr>
        <w:rPr>
          <w:szCs w:val="22"/>
          <w:lang w:val="ru-RU"/>
        </w:rPr>
      </w:pPr>
    </w:p>
    <w:p w:rsidR="002524B5" w:rsidRPr="007A7738" w:rsidRDefault="002524B5" w:rsidP="002524B5">
      <w:pPr>
        <w:rPr>
          <w:i/>
          <w:szCs w:val="22"/>
          <w:lang w:val="ru-RU"/>
        </w:rPr>
      </w:pPr>
      <w:r w:rsidRPr="007A7738">
        <w:rPr>
          <w:i/>
          <w:szCs w:val="22"/>
          <w:lang w:val="ru-RU"/>
        </w:rPr>
        <w:t>Расчетные периодические эксплуатационные расходы</w:t>
      </w:r>
    </w:p>
    <w:p w:rsidR="002524B5" w:rsidRPr="007A7738" w:rsidRDefault="002524B5" w:rsidP="002524B5">
      <w:pPr>
        <w:rPr>
          <w:szCs w:val="22"/>
          <w:lang w:val="ru-RU"/>
        </w:rPr>
      </w:pPr>
    </w:p>
    <w:p w:rsidR="002524B5" w:rsidRPr="007A7738" w:rsidRDefault="002524B5" w:rsidP="002524B5">
      <w:pPr>
        <w:rPr>
          <w:szCs w:val="22"/>
          <w:lang w:val="ru-RU"/>
        </w:rPr>
      </w:pPr>
      <w:r w:rsidRPr="007A7738">
        <w:rPr>
          <w:szCs w:val="22"/>
          <w:lang w:val="ru-RU"/>
        </w:rPr>
        <w:t xml:space="preserve">В среднесрочной и долгосрочной перспективе периодические расходы на содержание и эксплуатацию ИТ-платформы Мадридской системы заменят периодические расходы существующей Мадридской ИТ-системы.  В последующих предложениях по программе и бюджету данные расходы будут отражаться как часть регулярного бюджета. </w:t>
      </w:r>
    </w:p>
    <w:p w:rsidR="002524B5" w:rsidRPr="007A7738" w:rsidRDefault="002524B5" w:rsidP="002524B5">
      <w:pPr>
        <w:rPr>
          <w:szCs w:val="22"/>
          <w:lang w:val="ru-RU"/>
        </w:rPr>
      </w:pPr>
    </w:p>
    <w:p w:rsidR="002524B5" w:rsidRPr="007A7738" w:rsidRDefault="002524B5" w:rsidP="002524B5">
      <w:pPr>
        <w:rPr>
          <w:szCs w:val="22"/>
          <w:lang w:val="ru-RU"/>
        </w:rPr>
      </w:pPr>
    </w:p>
    <w:p w:rsidR="002524B5" w:rsidRPr="007A7738" w:rsidRDefault="002524B5" w:rsidP="002524B5">
      <w:pPr>
        <w:tabs>
          <w:tab w:val="left" w:pos="5670"/>
        </w:tabs>
        <w:rPr>
          <w:szCs w:val="22"/>
          <w:lang w:val="ru-RU"/>
        </w:rPr>
      </w:pPr>
      <w:r w:rsidRPr="007A7738">
        <w:rPr>
          <w:szCs w:val="22"/>
          <w:lang w:val="ru-RU"/>
        </w:rPr>
        <w:tab/>
        <w:t>[Приложение V следует]</w:t>
      </w:r>
    </w:p>
    <w:p w:rsidR="002524B5" w:rsidRPr="007A7738" w:rsidRDefault="002524B5" w:rsidP="002524B5">
      <w:pPr>
        <w:tabs>
          <w:tab w:val="left" w:pos="5670"/>
        </w:tabs>
        <w:rPr>
          <w:szCs w:val="22"/>
          <w:lang w:val="ru-RU"/>
        </w:rPr>
      </w:pPr>
    </w:p>
    <w:p w:rsidR="002524B5" w:rsidRPr="007A7738" w:rsidRDefault="002524B5" w:rsidP="002524B5">
      <w:pPr>
        <w:tabs>
          <w:tab w:val="left" w:pos="5670"/>
        </w:tabs>
        <w:rPr>
          <w:lang w:val="ru-RU"/>
        </w:rPr>
        <w:sectPr w:rsidR="002524B5" w:rsidRPr="007A7738" w:rsidSect="00207BFD">
          <w:headerReference w:type="default" r:id="rId20"/>
          <w:headerReference w:type="first" r:id="rId21"/>
          <w:pgSz w:w="11907" w:h="16840" w:code="9"/>
          <w:pgMar w:top="1417" w:right="1417" w:bottom="1417" w:left="1417" w:header="709" w:footer="709" w:gutter="0"/>
          <w:pgNumType w:start="1"/>
          <w:cols w:space="720"/>
          <w:titlePg/>
          <w:docGrid w:linePitch="299"/>
        </w:sectPr>
      </w:pPr>
    </w:p>
    <w:p w:rsidR="002524B5" w:rsidRPr="007A7738" w:rsidRDefault="002524B5" w:rsidP="002524B5">
      <w:pPr>
        <w:pStyle w:val="Heading1"/>
        <w:spacing w:before="0"/>
        <w:rPr>
          <w:lang w:val="ru-RU"/>
        </w:rPr>
      </w:pPr>
      <w:r w:rsidRPr="007A7738">
        <w:rPr>
          <w:lang w:val="ru-RU"/>
        </w:rPr>
        <w:lastRenderedPageBreak/>
        <w:t>ПРИЛОЖЕНИЕ V:  Интегрированная платформа конференционных услуг</w:t>
      </w:r>
    </w:p>
    <w:p w:rsidR="002524B5" w:rsidRPr="007A7738" w:rsidRDefault="002524B5" w:rsidP="002524B5">
      <w:pPr>
        <w:rPr>
          <w:lang w:val="ru-RU"/>
        </w:rPr>
      </w:pPr>
    </w:p>
    <w:p w:rsidR="002524B5" w:rsidRPr="007A7738" w:rsidRDefault="002524B5" w:rsidP="002524B5">
      <w:pPr>
        <w:rPr>
          <w:i/>
          <w:lang w:val="ru-RU"/>
        </w:rPr>
      </w:pPr>
      <w:r w:rsidRPr="007A7738">
        <w:rPr>
          <w:i/>
          <w:lang w:val="ru-RU"/>
        </w:rPr>
        <w:t xml:space="preserve">Цели проекта и ожидаемые результаты </w:t>
      </w:r>
    </w:p>
    <w:p w:rsidR="002524B5" w:rsidRPr="007A7738" w:rsidRDefault="002524B5" w:rsidP="002524B5">
      <w:pPr>
        <w:rPr>
          <w:lang w:val="ru-RU"/>
        </w:rPr>
      </w:pPr>
    </w:p>
    <w:p w:rsidR="002524B5" w:rsidRPr="007A7738" w:rsidRDefault="002524B5" w:rsidP="002524B5">
      <w:pPr>
        <w:rPr>
          <w:lang w:val="ru-RU"/>
        </w:rPr>
      </w:pPr>
      <w:r w:rsidRPr="007A7738">
        <w:rPr>
          <w:lang w:val="ru-RU"/>
        </w:rPr>
        <w:t xml:space="preserve">В подготовленном в 2013 г. отчете о внутреннем аудите были отмечены трудности, возникающие при работе с рядом автономных программ в области конференционных услуг, включая обслуживание Генеральной Ассамблеи и других органов.  Было рекомендовано разработать/создать интегрированную высокопроизводительную систему управления конференционным обслуживанием в ВОИС. </w:t>
      </w:r>
    </w:p>
    <w:p w:rsidR="002524B5" w:rsidRPr="007A7738" w:rsidRDefault="002524B5" w:rsidP="002524B5">
      <w:pPr>
        <w:rPr>
          <w:lang w:val="ru-RU"/>
        </w:rPr>
      </w:pPr>
    </w:p>
    <w:p w:rsidR="002524B5" w:rsidRPr="007A7738" w:rsidRDefault="002524B5" w:rsidP="002524B5">
      <w:pPr>
        <w:rPr>
          <w:lang w:val="ru-RU"/>
        </w:rPr>
      </w:pPr>
      <w:r w:rsidRPr="007A7738">
        <w:rPr>
          <w:lang w:val="ru-RU"/>
        </w:rPr>
        <w:t xml:space="preserve">Существующие системы и базы данных в области конференционных услуг, включая обслуживание Генеральной Ассамблеи и других органов, были разработаны и эксплуатируются в течение нескольких лет, но приближаются к концу своего жизненного цикла, так как им недостает некоторых ключевых функций и они имеют ограниченные возможности для интеграции, а также основаны на инструментарии, который не является частью общеорганизационных решений в ВОИС.  Поэтому дальнейшая эксплуатация и обслуживание этих разнородных систем и баз данных становятся все более трудными и сопряжены с растущими расходами.  В настоящее время к числу таких систем относятся Система управления заседаниями, документами и контактами (MDCS), Система веб-регистраций (WebReg), Система электронного документооборота (EDOCS), Система бронирования конференционных залов (CRB) и База данных по устным переводчикам (IRCS). </w:t>
      </w:r>
    </w:p>
    <w:p w:rsidR="002524B5" w:rsidRPr="007A7738" w:rsidRDefault="002524B5" w:rsidP="002524B5">
      <w:pPr>
        <w:rPr>
          <w:lang w:val="ru-RU"/>
        </w:rPr>
      </w:pPr>
    </w:p>
    <w:p w:rsidR="002524B5" w:rsidRPr="007A7738" w:rsidRDefault="002524B5" w:rsidP="002524B5">
      <w:pPr>
        <w:rPr>
          <w:szCs w:val="22"/>
          <w:lang w:val="ru-RU"/>
        </w:rPr>
      </w:pPr>
      <w:r w:rsidRPr="007A7738">
        <w:rPr>
          <w:szCs w:val="22"/>
          <w:lang w:val="ru-RU"/>
        </w:rPr>
        <w:t>Кроме того, с учетом возросших угроз для безопасности, ВОИС необходимо рассмотреть возможность применения организационного подхода к проведению мероприятий, семинаров и конференций и управлению ими.  В свете проблемы безопасности в системе ООН все чаще ставится вопрос о том, «</w:t>
      </w:r>
      <w:r w:rsidRPr="007A7738">
        <w:rPr>
          <w:i/>
          <w:szCs w:val="22"/>
          <w:lang w:val="ru-RU"/>
        </w:rPr>
        <w:t>как наладить контроль за тем, кто приглашается и находится в помещениях ООН</w:t>
      </w:r>
      <w:r w:rsidRPr="007A7738">
        <w:rPr>
          <w:szCs w:val="22"/>
          <w:lang w:val="ru-RU"/>
        </w:rPr>
        <w:t xml:space="preserve">».  Применяемая Службой </w:t>
      </w:r>
      <w:r w:rsidRPr="007A7738">
        <w:rPr>
          <w:lang w:val="ru-RU"/>
        </w:rPr>
        <w:t>конференционных услуг процедура регистрации и аккредитации, по всей видимости, должна включать протокол проверки на безопасность, который еще предстоит разработать.  Взамен существующих систем должно быть принято проверенное коммерческое решение.  Оно должно отвечать требованиям Службы охраны и безопасности, а также Департамента по вопросам охраны и безопасности ООН</w:t>
      </w:r>
      <w:r w:rsidRPr="007A7738">
        <w:rPr>
          <w:szCs w:val="22"/>
          <w:lang w:val="ru-RU"/>
        </w:rPr>
        <w:t>.</w:t>
      </w:r>
    </w:p>
    <w:p w:rsidR="002524B5" w:rsidRPr="007A7738" w:rsidRDefault="002524B5" w:rsidP="002524B5">
      <w:pPr>
        <w:rPr>
          <w:szCs w:val="22"/>
          <w:lang w:val="ru-RU"/>
        </w:rPr>
      </w:pPr>
    </w:p>
    <w:p w:rsidR="002524B5" w:rsidRPr="007A7738" w:rsidRDefault="002524B5" w:rsidP="002524B5">
      <w:pPr>
        <w:rPr>
          <w:lang w:val="ru-RU"/>
        </w:rPr>
      </w:pPr>
      <w:r w:rsidRPr="007A7738">
        <w:rPr>
          <w:szCs w:val="22"/>
          <w:lang w:val="ru-RU"/>
        </w:rPr>
        <w:t>Завершение проекта, включая его разработку и внедрение, ожидается в период 2018-2019 гг</w:t>
      </w:r>
      <w:r w:rsidRPr="007A7738">
        <w:rPr>
          <w:lang w:val="ru-RU"/>
        </w:rPr>
        <w:t>.</w:t>
      </w:r>
    </w:p>
    <w:p w:rsidR="002524B5" w:rsidRPr="007A7738" w:rsidRDefault="002524B5" w:rsidP="002524B5">
      <w:pPr>
        <w:rPr>
          <w:lang w:val="ru-RU"/>
        </w:rPr>
      </w:pPr>
    </w:p>
    <w:p w:rsidR="002524B5" w:rsidRPr="007A7738" w:rsidRDefault="002524B5" w:rsidP="002524B5">
      <w:pPr>
        <w:rPr>
          <w:i/>
          <w:lang w:val="ru-RU"/>
        </w:rPr>
      </w:pPr>
      <w:r w:rsidRPr="007A7738">
        <w:rPr>
          <w:i/>
          <w:lang w:val="ru-RU"/>
        </w:rPr>
        <w:t>Определяющие факторы</w:t>
      </w:r>
    </w:p>
    <w:p w:rsidR="002524B5" w:rsidRPr="007A7738" w:rsidRDefault="002524B5" w:rsidP="002524B5">
      <w:pPr>
        <w:rPr>
          <w:lang w:val="ru-RU"/>
        </w:rPr>
      </w:pPr>
    </w:p>
    <w:p w:rsidR="002524B5" w:rsidRPr="007A7738" w:rsidRDefault="002524B5" w:rsidP="002524B5">
      <w:pPr>
        <w:rPr>
          <w:lang w:val="ru-RU"/>
        </w:rPr>
      </w:pPr>
      <w:r w:rsidRPr="007A7738">
        <w:rPr>
          <w:i/>
          <w:lang w:val="ru-RU"/>
        </w:rPr>
        <w:t>Эффективность затрат</w:t>
      </w:r>
      <w:r w:rsidRPr="007A7738">
        <w:rPr>
          <w:lang w:val="ru-RU"/>
        </w:rPr>
        <w:t xml:space="preserve"> – существующие системы основаны на устаревших программах, которые не интегрированы между собой или в систему ERP ВОИС.  Интегрированная модель позволит исключить дублирование и повысить ее эффективность для пользователей. </w:t>
      </w:r>
    </w:p>
    <w:p w:rsidR="002524B5" w:rsidRPr="007A7738" w:rsidRDefault="002524B5" w:rsidP="002524B5">
      <w:pPr>
        <w:rPr>
          <w:lang w:val="ru-RU"/>
        </w:rPr>
      </w:pPr>
    </w:p>
    <w:p w:rsidR="002524B5" w:rsidRPr="007A7738" w:rsidRDefault="002524B5" w:rsidP="002524B5">
      <w:pPr>
        <w:rPr>
          <w:lang w:val="ru-RU"/>
        </w:rPr>
      </w:pPr>
      <w:r w:rsidRPr="007A7738">
        <w:rPr>
          <w:i/>
          <w:lang w:val="ru-RU"/>
        </w:rPr>
        <w:t>Производственные нужды</w:t>
      </w:r>
      <w:r w:rsidRPr="007A7738">
        <w:rPr>
          <w:lang w:val="ru-RU"/>
        </w:rPr>
        <w:t xml:space="preserve"> – базы данных, используемые в области конференционных услуг, основаны на устаревших программах, которые приближаются к концу своего жизненного цикла.  Эти базы данных и генерирующее их программное обеспечение важны для дальнейшего осуществления функций Организации по проведению эффективных мероприятий, семинаров и конференций.  Их замена современной интегрированной системой обеспечит эффективное управление ресурсами. </w:t>
      </w:r>
    </w:p>
    <w:p w:rsidR="002524B5" w:rsidRPr="007A7738" w:rsidRDefault="002524B5" w:rsidP="002524B5">
      <w:pPr>
        <w:rPr>
          <w:lang w:val="ru-RU"/>
        </w:rPr>
      </w:pPr>
    </w:p>
    <w:p w:rsidR="002524B5" w:rsidRPr="007A7738" w:rsidRDefault="002524B5" w:rsidP="002524B5">
      <w:pPr>
        <w:rPr>
          <w:lang w:val="ru-RU"/>
        </w:rPr>
      </w:pPr>
      <w:r w:rsidRPr="007A7738">
        <w:rPr>
          <w:i/>
          <w:lang w:val="ru-RU"/>
        </w:rPr>
        <w:t>Охрана и безопасность и целостность информации</w:t>
      </w:r>
      <w:r w:rsidRPr="007A7738">
        <w:rPr>
          <w:lang w:val="ru-RU"/>
        </w:rPr>
        <w:t xml:space="preserve"> – новая интегрированная система позволит Организации выполнить требования служб безопасности ВОИС и </w:t>
      </w:r>
      <w:r w:rsidRPr="007A7738">
        <w:rPr>
          <w:lang w:val="ru-RU"/>
        </w:rPr>
        <w:lastRenderedPageBreak/>
        <w:t>ООН, а также обеспечить охрану и безопасность делегатов и участников семинаров и других мероприятий.</w:t>
      </w:r>
    </w:p>
    <w:p w:rsidR="002524B5" w:rsidRPr="007A7738" w:rsidRDefault="002524B5" w:rsidP="002524B5">
      <w:pPr>
        <w:rPr>
          <w:lang w:val="ru-RU"/>
        </w:rPr>
      </w:pPr>
    </w:p>
    <w:p w:rsidR="002524B5" w:rsidRPr="007A7738" w:rsidRDefault="002524B5" w:rsidP="002524B5">
      <w:pPr>
        <w:rPr>
          <w:lang w:val="ru-RU"/>
        </w:rPr>
      </w:pPr>
      <w:r w:rsidRPr="007A7738">
        <w:rPr>
          <w:lang w:val="ru-RU"/>
        </w:rPr>
        <w:t xml:space="preserve">Проект отвечает требованиям Пересмотренной политики в отношении резервов как чрезвычайный единовременный проект. </w:t>
      </w:r>
    </w:p>
    <w:p w:rsidR="002524B5" w:rsidRPr="007A7738" w:rsidRDefault="002524B5" w:rsidP="002524B5">
      <w:pPr>
        <w:rPr>
          <w:lang w:val="ru-RU"/>
        </w:rPr>
      </w:pPr>
    </w:p>
    <w:p w:rsidR="002524B5" w:rsidRPr="007A7738" w:rsidRDefault="002524B5" w:rsidP="002524B5">
      <w:pPr>
        <w:keepNext/>
        <w:keepLines/>
        <w:rPr>
          <w:i/>
          <w:szCs w:val="22"/>
          <w:lang w:val="ru-RU"/>
        </w:rPr>
      </w:pPr>
      <w:r w:rsidRPr="007A7738">
        <w:rPr>
          <w:i/>
          <w:szCs w:val="22"/>
          <w:lang w:val="ru-RU"/>
        </w:rPr>
        <w:t>Расчетные периодические эксплуатационные расходы</w:t>
      </w:r>
    </w:p>
    <w:p w:rsidR="002524B5" w:rsidRPr="007A7738" w:rsidRDefault="002524B5" w:rsidP="002524B5">
      <w:pPr>
        <w:keepNext/>
        <w:keepLines/>
        <w:rPr>
          <w:i/>
          <w:szCs w:val="22"/>
          <w:lang w:val="ru-RU"/>
        </w:rPr>
      </w:pPr>
    </w:p>
    <w:p w:rsidR="002524B5" w:rsidRPr="007A7738" w:rsidRDefault="002524B5" w:rsidP="002524B5">
      <w:pPr>
        <w:keepNext/>
        <w:keepLines/>
        <w:rPr>
          <w:szCs w:val="22"/>
          <w:lang w:val="ru-RU"/>
        </w:rPr>
      </w:pPr>
      <w:r w:rsidRPr="007A7738">
        <w:rPr>
          <w:szCs w:val="22"/>
          <w:lang w:val="ru-RU"/>
        </w:rPr>
        <w:t xml:space="preserve">Периодические расходы на содержание и эксплуатацию Интегрированной платформы </w:t>
      </w:r>
      <w:r w:rsidRPr="007A7738">
        <w:rPr>
          <w:lang w:val="ru-RU"/>
        </w:rPr>
        <w:t>конференционных услуг</w:t>
      </w:r>
      <w:r w:rsidRPr="007A7738">
        <w:rPr>
          <w:szCs w:val="22"/>
          <w:lang w:val="ru-RU"/>
        </w:rPr>
        <w:t xml:space="preserve"> оцениваются в 86 тыс. шв. франков в год.  В последующих предложениях по программе и бюджету данные расходы будут отражаться как часть регулярного бюджета. </w:t>
      </w:r>
    </w:p>
    <w:p w:rsidR="002524B5" w:rsidRPr="007A7738" w:rsidRDefault="002524B5" w:rsidP="002524B5">
      <w:pPr>
        <w:rPr>
          <w:i/>
          <w:szCs w:val="22"/>
          <w:lang w:val="ru-RU"/>
        </w:rPr>
      </w:pPr>
    </w:p>
    <w:p w:rsidR="002524B5" w:rsidRPr="007A7738" w:rsidRDefault="002524B5" w:rsidP="002524B5">
      <w:pPr>
        <w:tabs>
          <w:tab w:val="left" w:pos="5670"/>
        </w:tabs>
        <w:rPr>
          <w:lang w:val="ru-RU"/>
        </w:rPr>
      </w:pPr>
    </w:p>
    <w:p w:rsidR="002524B5" w:rsidRPr="007A7738" w:rsidRDefault="002524B5" w:rsidP="002524B5">
      <w:pPr>
        <w:tabs>
          <w:tab w:val="left" w:pos="5670"/>
        </w:tabs>
        <w:jc w:val="right"/>
        <w:rPr>
          <w:lang w:val="ru-RU"/>
        </w:rPr>
      </w:pPr>
      <w:r w:rsidRPr="007A7738">
        <w:rPr>
          <w:lang w:val="ru-RU"/>
        </w:rPr>
        <w:t>[Приложение VI следует]</w:t>
      </w:r>
    </w:p>
    <w:p w:rsidR="002524B5" w:rsidRPr="007A7738" w:rsidRDefault="002524B5" w:rsidP="002524B5">
      <w:pPr>
        <w:tabs>
          <w:tab w:val="left" w:pos="5670"/>
        </w:tabs>
        <w:jc w:val="right"/>
        <w:rPr>
          <w:lang w:val="ru-RU"/>
        </w:rPr>
      </w:pPr>
    </w:p>
    <w:p w:rsidR="002524B5" w:rsidRPr="007A7738" w:rsidRDefault="002524B5" w:rsidP="002524B5">
      <w:pPr>
        <w:tabs>
          <w:tab w:val="left" w:pos="5670"/>
        </w:tabs>
        <w:rPr>
          <w:lang w:val="ru-RU"/>
        </w:rPr>
      </w:pPr>
    </w:p>
    <w:p w:rsidR="002524B5" w:rsidRPr="007A7738" w:rsidRDefault="002524B5" w:rsidP="002524B5">
      <w:pPr>
        <w:tabs>
          <w:tab w:val="left" w:pos="5670"/>
        </w:tabs>
        <w:rPr>
          <w:lang w:val="ru-RU"/>
        </w:rPr>
        <w:sectPr w:rsidR="002524B5" w:rsidRPr="007A7738" w:rsidSect="00207BFD">
          <w:headerReference w:type="default" r:id="rId22"/>
          <w:headerReference w:type="first" r:id="rId23"/>
          <w:pgSz w:w="11907" w:h="16840" w:code="9"/>
          <w:pgMar w:top="1417" w:right="1417" w:bottom="1417" w:left="1417" w:header="709" w:footer="709" w:gutter="0"/>
          <w:pgNumType w:start="1"/>
          <w:cols w:space="720"/>
          <w:titlePg/>
          <w:docGrid w:linePitch="299"/>
        </w:sectPr>
      </w:pPr>
    </w:p>
    <w:p w:rsidR="002524B5" w:rsidRPr="007A7738" w:rsidRDefault="002524B5" w:rsidP="002524B5">
      <w:pPr>
        <w:pStyle w:val="Heading1"/>
        <w:spacing w:before="0"/>
        <w:rPr>
          <w:lang w:val="ru-RU"/>
        </w:rPr>
      </w:pPr>
      <w:r w:rsidRPr="007A7738">
        <w:rPr>
          <w:lang w:val="ru-RU"/>
        </w:rPr>
        <w:lastRenderedPageBreak/>
        <w:t>ПРИЛОЖЕНИЕ VI:  технико-эксплуатационная модернизация/ремонт зданий в 2018-2019 гг.</w:t>
      </w:r>
    </w:p>
    <w:p w:rsidR="002524B5" w:rsidRPr="007A7738" w:rsidRDefault="002524B5" w:rsidP="002524B5">
      <w:pPr>
        <w:rPr>
          <w:lang w:val="ru-RU"/>
        </w:rPr>
      </w:pPr>
    </w:p>
    <w:p w:rsidR="002524B5" w:rsidRPr="007A7738" w:rsidRDefault="002524B5" w:rsidP="002524B5">
      <w:pPr>
        <w:rPr>
          <w:lang w:val="ru-RU"/>
        </w:rPr>
      </w:pPr>
      <w:r w:rsidRPr="007A7738">
        <w:rPr>
          <w:lang w:val="ru-RU"/>
        </w:rPr>
        <w:t>Основные приоритетные проекты ГПКР на 2018-2019 гг. должны обеспечить надлежащее функционирование некоторых из основных строений и/или оборудования Организации.</w:t>
      </w:r>
    </w:p>
    <w:p w:rsidR="002524B5" w:rsidRPr="007A7738" w:rsidRDefault="002524B5" w:rsidP="002524B5">
      <w:pPr>
        <w:rPr>
          <w:lang w:val="ru-RU"/>
        </w:rPr>
      </w:pPr>
    </w:p>
    <w:p w:rsidR="002524B5" w:rsidRPr="007A7738" w:rsidRDefault="002524B5" w:rsidP="002524B5">
      <w:pPr>
        <w:rPr>
          <w:i/>
          <w:lang w:val="ru-RU"/>
        </w:rPr>
      </w:pPr>
      <w:r w:rsidRPr="007A7738">
        <w:rPr>
          <w:i/>
          <w:lang w:val="ru-RU"/>
        </w:rPr>
        <w:t>Цели проекта и ожидаемые результаты</w:t>
      </w:r>
    </w:p>
    <w:p w:rsidR="002524B5" w:rsidRPr="007A7738" w:rsidRDefault="002524B5" w:rsidP="002524B5">
      <w:pPr>
        <w:pStyle w:val="Heading3"/>
        <w:spacing w:before="0" w:after="120"/>
        <w:rPr>
          <w:lang w:val="ru-RU"/>
        </w:rPr>
      </w:pPr>
    </w:p>
    <w:p w:rsidR="002524B5" w:rsidRPr="007A7738" w:rsidRDefault="002524B5" w:rsidP="002524B5">
      <w:pPr>
        <w:pStyle w:val="Heading3"/>
        <w:spacing w:before="0" w:after="0"/>
        <w:rPr>
          <w:lang w:val="ru-RU"/>
        </w:rPr>
      </w:pPr>
      <w:r w:rsidRPr="007A7738">
        <w:rPr>
          <w:lang w:val="ru-RU"/>
        </w:rPr>
        <w:t xml:space="preserve">Мультимедийная студия </w:t>
      </w:r>
    </w:p>
    <w:p w:rsidR="002524B5" w:rsidRPr="007A7738" w:rsidRDefault="002524B5" w:rsidP="002524B5">
      <w:pPr>
        <w:rPr>
          <w:lang w:val="ru-RU"/>
        </w:rPr>
      </w:pPr>
    </w:p>
    <w:p w:rsidR="002524B5" w:rsidRPr="007A7738" w:rsidRDefault="002524B5" w:rsidP="002524B5">
      <w:pPr>
        <w:spacing w:after="120"/>
        <w:rPr>
          <w:lang w:val="ru-RU"/>
        </w:rPr>
      </w:pPr>
      <w:r w:rsidRPr="007A7738">
        <w:rPr>
          <w:lang w:val="ru-RU"/>
        </w:rPr>
        <w:t xml:space="preserve">Создание мультимедийной студии позволит производить внутри Организации материалы о новых событиях в области интеллектуальной собственности для использования в целях коммуникаций с государствами-членами, информирования общественности и организации обучения. </w:t>
      </w:r>
    </w:p>
    <w:p w:rsidR="002524B5" w:rsidRPr="007A7738" w:rsidRDefault="002524B5" w:rsidP="002524B5">
      <w:pPr>
        <w:pStyle w:val="Heading3"/>
        <w:spacing w:before="0" w:after="0"/>
        <w:rPr>
          <w:lang w:val="ru-RU"/>
        </w:rPr>
      </w:pPr>
    </w:p>
    <w:p w:rsidR="002524B5" w:rsidRPr="007A7738" w:rsidRDefault="002524B5" w:rsidP="002524B5">
      <w:pPr>
        <w:pStyle w:val="Heading3"/>
        <w:spacing w:before="0" w:after="0"/>
        <w:rPr>
          <w:lang w:val="ru-RU"/>
        </w:rPr>
      </w:pPr>
      <w:r w:rsidRPr="007A7738">
        <w:rPr>
          <w:lang w:val="ru-RU"/>
        </w:rPr>
        <w:t xml:space="preserve">Ремонт здания PCT </w:t>
      </w:r>
    </w:p>
    <w:p w:rsidR="002524B5" w:rsidRPr="007A7738" w:rsidRDefault="002524B5" w:rsidP="002524B5">
      <w:pPr>
        <w:rPr>
          <w:lang w:val="ru-RU"/>
        </w:rPr>
      </w:pPr>
    </w:p>
    <w:p w:rsidR="002524B5" w:rsidRPr="007A7738" w:rsidRDefault="002524B5" w:rsidP="002524B5">
      <w:pPr>
        <w:rPr>
          <w:lang w:val="ru-RU"/>
        </w:rPr>
      </w:pPr>
      <w:r w:rsidRPr="007A7738">
        <w:rPr>
          <w:lang w:val="ru-RU"/>
        </w:rPr>
        <w:t>ГПКР на 2014-2019 гг. включал крупный проект ремонта фасада, а также системы охлаждения и отопления здания РСТ путем установки «активных» фальш-потолков.  Основная часть данных ремонтных работ теперь запланирована на двухлетний период 2018-2019 гг.  При проведении анализа проектных работ было установлено, что на этапе ремонта могут быть одновременно произведены некоторые другие работы по ремонту здания PCT, что позволит свести к минимуму потери рабочего времени персоналом PCT и перемещение сотрудников на время работ в другие помещения за счет оптимизации объема работ, достичь экономии затрат, избежать некоторых расходов, обеспечить более эффективную интеграцию новых технологий и различных технических и электро-технических систем и систем охраны и безопасности, а также избежать необходимости возобновления крупных ремонтных работ во всем здании всего пару лет спустя после завершения первоначального ремонта.  Эти дополнительные ремонтные работы включают:</w:t>
      </w:r>
    </w:p>
    <w:p w:rsidR="002524B5" w:rsidRPr="007A7738" w:rsidRDefault="002524B5" w:rsidP="002524B5">
      <w:pPr>
        <w:rPr>
          <w:lang w:val="ru-RU"/>
        </w:rPr>
      </w:pPr>
    </w:p>
    <w:p w:rsidR="002524B5" w:rsidRPr="007A7738" w:rsidRDefault="002524B5" w:rsidP="002524B5">
      <w:pPr>
        <w:pStyle w:val="ListParagraph"/>
        <w:numPr>
          <w:ilvl w:val="0"/>
          <w:numId w:val="33"/>
        </w:numPr>
        <w:spacing w:after="120"/>
        <w:ind w:left="777" w:hanging="357"/>
        <w:rPr>
          <w:lang w:val="ru-RU"/>
        </w:rPr>
      </w:pPr>
      <w:r w:rsidRPr="007A7738">
        <w:rPr>
          <w:lang w:val="ru-RU"/>
        </w:rPr>
        <w:t>замену «неактивных» фальш-потолков одновременно с проведением работ по модернизации электро-технических систем и систем охраны и безопасности;</w:t>
      </w:r>
    </w:p>
    <w:p w:rsidR="002524B5" w:rsidRPr="007A7738" w:rsidRDefault="002524B5" w:rsidP="002524B5">
      <w:pPr>
        <w:pStyle w:val="ListParagraph"/>
        <w:spacing w:after="120"/>
        <w:ind w:left="777"/>
        <w:rPr>
          <w:sz w:val="12"/>
          <w:szCs w:val="12"/>
          <w:lang w:val="ru-RU"/>
        </w:rPr>
      </w:pPr>
    </w:p>
    <w:p w:rsidR="002524B5" w:rsidRPr="007A7738" w:rsidRDefault="002524B5" w:rsidP="002524B5">
      <w:pPr>
        <w:pStyle w:val="ListParagraph"/>
        <w:numPr>
          <w:ilvl w:val="0"/>
          <w:numId w:val="33"/>
        </w:numPr>
        <w:spacing w:after="120"/>
        <w:ind w:left="777" w:hanging="357"/>
        <w:rPr>
          <w:lang w:val="ru-RU"/>
        </w:rPr>
      </w:pPr>
      <w:r w:rsidRPr="007A7738">
        <w:rPr>
          <w:lang w:val="ru-RU"/>
        </w:rPr>
        <w:t>модернизацию систем дымоудаления;</w:t>
      </w:r>
    </w:p>
    <w:p w:rsidR="002524B5" w:rsidRPr="007A7738" w:rsidRDefault="002524B5" w:rsidP="002524B5">
      <w:pPr>
        <w:pStyle w:val="ListParagraph"/>
        <w:spacing w:after="120"/>
        <w:ind w:left="777"/>
        <w:rPr>
          <w:sz w:val="12"/>
          <w:szCs w:val="12"/>
          <w:lang w:val="ru-RU"/>
        </w:rPr>
      </w:pPr>
    </w:p>
    <w:p w:rsidR="002524B5" w:rsidRPr="007A7738" w:rsidRDefault="002524B5" w:rsidP="002524B5">
      <w:pPr>
        <w:pStyle w:val="ListParagraph"/>
        <w:numPr>
          <w:ilvl w:val="0"/>
          <w:numId w:val="33"/>
        </w:numPr>
        <w:spacing w:after="120"/>
        <w:ind w:left="777" w:hanging="357"/>
        <w:rPr>
          <w:lang w:val="ru-RU"/>
        </w:rPr>
      </w:pPr>
      <w:r w:rsidRPr="007A7738">
        <w:rPr>
          <w:lang w:val="ru-RU"/>
        </w:rPr>
        <w:t xml:space="preserve">реконструкцию дверей и оборудование новых аварийных выходов в соответствии с швейцарскими нормативами в отношении эвакуации зданий; </w:t>
      </w:r>
    </w:p>
    <w:p w:rsidR="002524B5" w:rsidRPr="007A7738" w:rsidRDefault="002524B5" w:rsidP="002524B5">
      <w:pPr>
        <w:pStyle w:val="ListParagraph"/>
        <w:spacing w:after="120"/>
        <w:ind w:left="777"/>
        <w:rPr>
          <w:sz w:val="12"/>
          <w:szCs w:val="12"/>
          <w:lang w:val="ru-RU"/>
        </w:rPr>
      </w:pPr>
    </w:p>
    <w:p w:rsidR="002524B5" w:rsidRPr="007A7738" w:rsidRDefault="002524B5" w:rsidP="002524B5">
      <w:pPr>
        <w:pStyle w:val="ListParagraph"/>
        <w:numPr>
          <w:ilvl w:val="0"/>
          <w:numId w:val="33"/>
        </w:numPr>
        <w:spacing w:after="120"/>
        <w:rPr>
          <w:lang w:val="ru-RU"/>
        </w:rPr>
      </w:pPr>
      <w:r w:rsidRPr="007A7738">
        <w:rPr>
          <w:lang w:val="ru-RU"/>
        </w:rPr>
        <w:t>установку дополнительного вентиляционного оборудования на некоторых верхних этажах;</w:t>
      </w:r>
    </w:p>
    <w:p w:rsidR="002524B5" w:rsidRPr="007A7738" w:rsidRDefault="002524B5" w:rsidP="002524B5">
      <w:pPr>
        <w:pStyle w:val="ListParagraph"/>
        <w:spacing w:after="120"/>
        <w:ind w:left="777"/>
        <w:rPr>
          <w:sz w:val="12"/>
          <w:szCs w:val="12"/>
          <w:lang w:val="ru-RU"/>
        </w:rPr>
      </w:pPr>
    </w:p>
    <w:p w:rsidR="002524B5" w:rsidRPr="007A7738" w:rsidRDefault="002524B5" w:rsidP="002524B5">
      <w:pPr>
        <w:pStyle w:val="ListParagraph"/>
        <w:numPr>
          <w:ilvl w:val="0"/>
          <w:numId w:val="33"/>
        </w:numPr>
        <w:spacing w:after="120"/>
        <w:rPr>
          <w:lang w:val="ru-RU"/>
        </w:rPr>
      </w:pPr>
      <w:r w:rsidRPr="007A7738">
        <w:rPr>
          <w:lang w:val="ru-RU"/>
        </w:rPr>
        <w:t>установку системы общего оповещения нового поколения;  и</w:t>
      </w:r>
    </w:p>
    <w:p w:rsidR="002524B5" w:rsidRPr="007A7738" w:rsidRDefault="002524B5" w:rsidP="002524B5">
      <w:pPr>
        <w:pStyle w:val="ListParagraph"/>
        <w:spacing w:after="120"/>
        <w:ind w:left="777"/>
        <w:rPr>
          <w:sz w:val="12"/>
          <w:szCs w:val="12"/>
          <w:lang w:val="ru-RU"/>
        </w:rPr>
      </w:pPr>
    </w:p>
    <w:p w:rsidR="002524B5" w:rsidRPr="007A7738" w:rsidRDefault="002524B5" w:rsidP="002524B5">
      <w:pPr>
        <w:pStyle w:val="ListParagraph"/>
        <w:numPr>
          <w:ilvl w:val="0"/>
          <w:numId w:val="33"/>
        </w:numPr>
        <w:spacing w:after="120"/>
        <w:ind w:left="777" w:hanging="357"/>
        <w:rPr>
          <w:lang w:val="ru-RU"/>
        </w:rPr>
      </w:pPr>
      <w:r w:rsidRPr="007A7738">
        <w:rPr>
          <w:lang w:val="ru-RU"/>
        </w:rPr>
        <w:t>серьезную модернизацию системы аварийного освещения.</w:t>
      </w:r>
    </w:p>
    <w:p w:rsidR="002524B5" w:rsidRPr="007A7738" w:rsidRDefault="002524B5" w:rsidP="002524B5">
      <w:pPr>
        <w:rPr>
          <w:lang w:val="ru-RU"/>
        </w:rPr>
      </w:pPr>
    </w:p>
    <w:p w:rsidR="002524B5" w:rsidRPr="007A7738" w:rsidRDefault="002524B5" w:rsidP="002524B5">
      <w:pPr>
        <w:pStyle w:val="Heading3"/>
        <w:spacing w:before="0" w:after="0"/>
        <w:rPr>
          <w:lang w:val="ru-RU"/>
        </w:rPr>
      </w:pPr>
      <w:r w:rsidRPr="007A7738">
        <w:rPr>
          <w:lang w:val="ru-RU"/>
        </w:rPr>
        <w:t xml:space="preserve">Электро-технические системы и механическое оборудование в здании AB </w:t>
      </w:r>
    </w:p>
    <w:p w:rsidR="002524B5" w:rsidRPr="007A7738" w:rsidRDefault="002524B5" w:rsidP="002524B5">
      <w:pPr>
        <w:rPr>
          <w:lang w:val="ru-RU"/>
        </w:rPr>
      </w:pPr>
    </w:p>
    <w:p w:rsidR="002524B5" w:rsidRPr="007A7738" w:rsidRDefault="002524B5" w:rsidP="002524B5">
      <w:pPr>
        <w:rPr>
          <w:lang w:val="ru-RU"/>
        </w:rPr>
      </w:pPr>
      <w:r w:rsidRPr="007A7738">
        <w:rPr>
          <w:lang w:val="ru-RU"/>
        </w:rPr>
        <w:t>Предлагается произвести финансирование следующих работ, связанных с электро-техническими системами и лифтовым оборудованием:</w:t>
      </w:r>
    </w:p>
    <w:p w:rsidR="002524B5" w:rsidRPr="007A7738" w:rsidRDefault="002524B5" w:rsidP="002524B5">
      <w:pPr>
        <w:rPr>
          <w:lang w:val="ru-RU"/>
        </w:rPr>
      </w:pPr>
    </w:p>
    <w:p w:rsidR="002524B5" w:rsidRPr="007A7738" w:rsidRDefault="002524B5" w:rsidP="002524B5">
      <w:pPr>
        <w:ind w:left="567"/>
        <w:rPr>
          <w:lang w:val="ru-RU"/>
        </w:rPr>
      </w:pPr>
      <w:r w:rsidRPr="007A7738">
        <w:rPr>
          <w:lang w:val="ru-RU"/>
        </w:rPr>
        <w:t xml:space="preserve">Электро-технические системы – модернизация резервных энергетических систем в здании AB путем установки крупного электрогенератора, подключенного ко всей </w:t>
      </w:r>
      <w:r w:rsidRPr="007A7738">
        <w:rPr>
          <w:lang w:val="ru-RU"/>
        </w:rPr>
        <w:lastRenderedPageBreak/>
        <w:t xml:space="preserve">энергосети, для уменьшения последствий перебоев энергоснабжения и создания избыточных мощностей для обеспечения работы дополнительного оборудования. </w:t>
      </w:r>
    </w:p>
    <w:p w:rsidR="002524B5" w:rsidRPr="007A7738" w:rsidRDefault="002524B5" w:rsidP="002524B5">
      <w:pPr>
        <w:ind w:left="567"/>
        <w:rPr>
          <w:lang w:val="ru-RU"/>
        </w:rPr>
      </w:pPr>
    </w:p>
    <w:p w:rsidR="002524B5" w:rsidRPr="007A7738" w:rsidRDefault="002524B5" w:rsidP="002524B5">
      <w:pPr>
        <w:ind w:left="567"/>
        <w:rPr>
          <w:lang w:val="ru-RU"/>
        </w:rPr>
      </w:pPr>
      <w:r w:rsidRPr="007A7738">
        <w:rPr>
          <w:lang w:val="ru-RU"/>
        </w:rPr>
        <w:t xml:space="preserve">Лифтовое оборудование – модернизация мотор-редукторов лифтов (на основе применения новой технологии) в здании AB для обеспечения дальнейшей полноценной службы лифтов на новый полный срок эксплуатации. </w:t>
      </w:r>
    </w:p>
    <w:p w:rsidR="002524B5" w:rsidRPr="007A7738" w:rsidRDefault="002524B5" w:rsidP="002524B5">
      <w:pPr>
        <w:ind w:left="567"/>
        <w:rPr>
          <w:lang w:val="ru-RU"/>
        </w:rPr>
      </w:pPr>
    </w:p>
    <w:p w:rsidR="002524B5" w:rsidRPr="007A7738" w:rsidRDefault="002524B5" w:rsidP="002524B5">
      <w:pPr>
        <w:rPr>
          <w:bCs/>
          <w:i/>
          <w:lang w:val="ru-RU"/>
        </w:rPr>
      </w:pPr>
      <w:r w:rsidRPr="007A7738">
        <w:rPr>
          <w:bCs/>
          <w:i/>
          <w:lang w:val="ru-RU"/>
        </w:rPr>
        <w:t>Определяющие факторы</w:t>
      </w:r>
    </w:p>
    <w:p w:rsidR="002524B5" w:rsidRPr="007A7738" w:rsidRDefault="002524B5" w:rsidP="002524B5">
      <w:pPr>
        <w:ind w:left="567"/>
        <w:rPr>
          <w:lang w:val="ru-RU"/>
        </w:rPr>
      </w:pPr>
    </w:p>
    <w:p w:rsidR="002524B5" w:rsidRPr="007A7738" w:rsidRDefault="002524B5" w:rsidP="002524B5">
      <w:pPr>
        <w:rPr>
          <w:lang w:val="ru-RU"/>
        </w:rPr>
      </w:pPr>
      <w:r w:rsidRPr="007A7738">
        <w:rPr>
          <w:i/>
          <w:lang w:val="ru-RU"/>
        </w:rPr>
        <w:t>Срок эксплуатации</w:t>
      </w:r>
      <w:r w:rsidRPr="007A7738">
        <w:rPr>
          <w:lang w:val="ru-RU"/>
        </w:rPr>
        <w:t xml:space="preserve"> – проведение надлежащего ремонта здания PCT для обеспечения его полноценного использования на протяжении жизненного цикла и усовершенствование существующих систем в целях необходимой модернизации в соответствии с действующими нормативами.  Возобновление жизненного цикла лифтового оборудования и систем освещения в здании AB. </w:t>
      </w:r>
    </w:p>
    <w:p w:rsidR="002524B5" w:rsidRPr="007A7738" w:rsidRDefault="002524B5" w:rsidP="002524B5">
      <w:pPr>
        <w:rPr>
          <w:lang w:val="ru-RU"/>
        </w:rPr>
      </w:pPr>
    </w:p>
    <w:p w:rsidR="002524B5" w:rsidRPr="007A7738" w:rsidRDefault="002524B5" w:rsidP="002524B5">
      <w:pPr>
        <w:rPr>
          <w:lang w:val="ru-RU"/>
        </w:rPr>
      </w:pPr>
      <w:r w:rsidRPr="007A7738">
        <w:rPr>
          <w:i/>
          <w:lang w:val="ru-RU"/>
        </w:rPr>
        <w:t>Охрана и безопасность и целостность информации</w:t>
      </w:r>
      <w:r w:rsidRPr="007A7738">
        <w:rPr>
          <w:lang w:val="ru-RU"/>
        </w:rPr>
        <w:t xml:space="preserve"> – обеспечение соответствия здания PCT нормативам, разработанным Департаментом по вопросам охраны и безопасности Организации Объединенных Наций. </w:t>
      </w:r>
    </w:p>
    <w:p w:rsidR="002524B5" w:rsidRPr="007A7738" w:rsidRDefault="002524B5" w:rsidP="002524B5">
      <w:pPr>
        <w:ind w:left="567"/>
        <w:rPr>
          <w:lang w:val="ru-RU"/>
        </w:rPr>
      </w:pPr>
    </w:p>
    <w:p w:rsidR="002524B5" w:rsidRPr="007A7738" w:rsidRDefault="002524B5" w:rsidP="002524B5">
      <w:pPr>
        <w:rPr>
          <w:lang w:val="ru-RU"/>
        </w:rPr>
      </w:pPr>
      <w:r w:rsidRPr="007A7738">
        <w:rPr>
          <w:i/>
          <w:lang w:val="ru-RU"/>
        </w:rPr>
        <w:t>Нормативные требования</w:t>
      </w:r>
      <w:r w:rsidRPr="007A7738">
        <w:rPr>
          <w:lang w:val="ru-RU"/>
        </w:rPr>
        <w:t xml:space="preserve"> – обеспечение соответствия здания PCT недавно принятым швейцарским нормативам противопожарной безопасности. </w:t>
      </w:r>
    </w:p>
    <w:p w:rsidR="002524B5" w:rsidRPr="007A7738" w:rsidRDefault="002524B5" w:rsidP="002524B5">
      <w:pPr>
        <w:ind w:left="567"/>
        <w:rPr>
          <w:lang w:val="ru-RU"/>
        </w:rPr>
      </w:pPr>
    </w:p>
    <w:p w:rsidR="002524B5" w:rsidRPr="007A7738" w:rsidRDefault="002524B5" w:rsidP="002524B5">
      <w:pPr>
        <w:rPr>
          <w:lang w:val="ru-RU"/>
        </w:rPr>
      </w:pPr>
      <w:r w:rsidRPr="007A7738">
        <w:rPr>
          <w:i/>
          <w:lang w:val="ru-RU"/>
        </w:rPr>
        <w:t>Производственные нужды</w:t>
      </w:r>
      <w:r w:rsidRPr="007A7738">
        <w:rPr>
          <w:lang w:val="ru-RU"/>
        </w:rPr>
        <w:t xml:space="preserve"> – создание мультимедийной студии позволит Организации более эффективно распространять информацию по вопросам интеллектуальной собственности среди широкой общественности и государств-членов.</w:t>
      </w:r>
    </w:p>
    <w:p w:rsidR="002524B5" w:rsidRPr="007A7738" w:rsidRDefault="002524B5" w:rsidP="002524B5">
      <w:pPr>
        <w:rPr>
          <w:lang w:val="ru-RU"/>
        </w:rPr>
      </w:pPr>
    </w:p>
    <w:p w:rsidR="002524B5" w:rsidRPr="007A7738" w:rsidRDefault="002524B5" w:rsidP="002524B5">
      <w:pPr>
        <w:rPr>
          <w:lang w:val="ru-RU"/>
        </w:rPr>
      </w:pPr>
      <w:r w:rsidRPr="007A7738">
        <w:rPr>
          <w:i/>
          <w:lang w:val="ru-RU"/>
        </w:rPr>
        <w:t xml:space="preserve">Эффективность затрат </w:t>
      </w:r>
      <w:r w:rsidRPr="007A7738">
        <w:rPr>
          <w:lang w:val="ru-RU"/>
        </w:rPr>
        <w:t>– предлагаемые работы по модернизации систем освещения в зданиях PCT и AB приведут к сокращению потребления энергии и эксплуатационных расходов, а также «углеродного следа» Организации.</w:t>
      </w:r>
    </w:p>
    <w:p w:rsidR="002524B5" w:rsidRPr="007A7738" w:rsidRDefault="002524B5" w:rsidP="002524B5">
      <w:pPr>
        <w:rPr>
          <w:lang w:val="ru-RU"/>
        </w:rPr>
      </w:pPr>
    </w:p>
    <w:p w:rsidR="002524B5" w:rsidRPr="007A7738" w:rsidRDefault="002524B5" w:rsidP="002524B5">
      <w:pPr>
        <w:rPr>
          <w:lang w:val="ru-RU"/>
        </w:rPr>
      </w:pPr>
      <w:r w:rsidRPr="007A7738">
        <w:rPr>
          <w:lang w:val="ru-RU"/>
        </w:rPr>
        <w:t>Проекты в отношении зданий отвечают требованиям к использованию резервов, так как предусматривают одноразовое выделение средств на осуществление крупной модернизации и ремонта.</w:t>
      </w:r>
    </w:p>
    <w:p w:rsidR="002524B5" w:rsidRPr="007A7738" w:rsidRDefault="002524B5" w:rsidP="002524B5">
      <w:pPr>
        <w:rPr>
          <w:lang w:val="ru-RU"/>
        </w:rPr>
      </w:pPr>
    </w:p>
    <w:p w:rsidR="002524B5" w:rsidRPr="007A7738" w:rsidRDefault="002524B5" w:rsidP="002524B5">
      <w:pPr>
        <w:rPr>
          <w:lang w:val="ru-RU"/>
        </w:rPr>
      </w:pPr>
    </w:p>
    <w:p w:rsidR="002524B5" w:rsidRPr="007A7738" w:rsidRDefault="002524B5" w:rsidP="002524B5">
      <w:pPr>
        <w:rPr>
          <w:lang w:val="ru-RU"/>
        </w:rPr>
      </w:pPr>
    </w:p>
    <w:p w:rsidR="002524B5" w:rsidRPr="007A7738" w:rsidRDefault="002524B5" w:rsidP="002524B5">
      <w:pPr>
        <w:rPr>
          <w:lang w:val="ru-RU"/>
        </w:rPr>
      </w:pPr>
    </w:p>
    <w:p w:rsidR="002524B5" w:rsidRPr="007A7738" w:rsidRDefault="002524B5" w:rsidP="002524B5">
      <w:pPr>
        <w:rPr>
          <w:lang w:val="ru-RU"/>
        </w:rPr>
      </w:pPr>
    </w:p>
    <w:p w:rsidR="002524B5" w:rsidRPr="007A7738" w:rsidRDefault="002524B5" w:rsidP="002524B5">
      <w:pPr>
        <w:jc w:val="right"/>
        <w:rPr>
          <w:lang w:val="ru-RU"/>
        </w:rPr>
      </w:pPr>
      <w:r w:rsidRPr="007A7738">
        <w:rPr>
          <w:lang w:val="ru-RU"/>
        </w:rPr>
        <w:t>[Приложение VII следует]</w:t>
      </w:r>
    </w:p>
    <w:p w:rsidR="002524B5" w:rsidRPr="007A7738" w:rsidRDefault="002524B5" w:rsidP="002524B5">
      <w:pPr>
        <w:jc w:val="right"/>
        <w:rPr>
          <w:lang w:val="ru-RU"/>
        </w:rPr>
      </w:pPr>
    </w:p>
    <w:p w:rsidR="002524B5" w:rsidRPr="007A7738" w:rsidRDefault="002524B5" w:rsidP="002524B5">
      <w:pPr>
        <w:rPr>
          <w:lang w:val="ru-RU"/>
        </w:rPr>
      </w:pPr>
    </w:p>
    <w:p w:rsidR="002524B5" w:rsidRPr="007A7738" w:rsidRDefault="002524B5" w:rsidP="002524B5">
      <w:pPr>
        <w:rPr>
          <w:lang w:val="ru-RU"/>
        </w:rPr>
        <w:sectPr w:rsidR="002524B5" w:rsidRPr="007A7738" w:rsidSect="00207BFD">
          <w:headerReference w:type="default" r:id="rId24"/>
          <w:headerReference w:type="first" r:id="rId25"/>
          <w:pgSz w:w="11907" w:h="16840" w:code="9"/>
          <w:pgMar w:top="1417" w:right="1417" w:bottom="1417" w:left="1417" w:header="709" w:footer="709" w:gutter="0"/>
          <w:pgNumType w:start="1"/>
          <w:cols w:space="720"/>
          <w:titlePg/>
          <w:docGrid w:linePitch="299"/>
        </w:sectPr>
      </w:pPr>
    </w:p>
    <w:p w:rsidR="002524B5" w:rsidRPr="007A7738" w:rsidRDefault="002524B5" w:rsidP="002524B5">
      <w:pPr>
        <w:pStyle w:val="Heading2"/>
        <w:spacing w:before="0" w:after="0"/>
        <w:rPr>
          <w:b/>
          <w:iCs w:val="0"/>
          <w:lang w:val="ru-RU"/>
        </w:rPr>
      </w:pPr>
      <w:r w:rsidRPr="007A7738">
        <w:rPr>
          <w:b/>
          <w:iCs w:val="0"/>
          <w:lang w:val="ru-RU"/>
        </w:rPr>
        <w:lastRenderedPageBreak/>
        <w:t xml:space="preserve">ПРИЛОЖЕНИЕ VII: совершенствование ситем охраны и безопасности в 2018-2019 гг. </w:t>
      </w:r>
    </w:p>
    <w:p w:rsidR="002524B5" w:rsidRPr="007A7738" w:rsidRDefault="002524B5" w:rsidP="002524B5">
      <w:pPr>
        <w:rPr>
          <w:lang w:val="ru-RU"/>
        </w:rPr>
      </w:pPr>
    </w:p>
    <w:p w:rsidR="002524B5" w:rsidRPr="007A7738" w:rsidRDefault="002524B5" w:rsidP="002524B5">
      <w:pPr>
        <w:rPr>
          <w:i/>
          <w:iCs/>
          <w:lang w:val="ru-RU"/>
        </w:rPr>
      </w:pPr>
      <w:r w:rsidRPr="007A7738">
        <w:rPr>
          <w:i/>
          <w:iCs/>
          <w:lang w:val="ru-RU"/>
        </w:rPr>
        <w:t>Цели проекта и ожидаемые результаты</w:t>
      </w:r>
    </w:p>
    <w:p w:rsidR="002524B5" w:rsidRPr="007A7738" w:rsidRDefault="002524B5" w:rsidP="002524B5">
      <w:pPr>
        <w:rPr>
          <w:rFonts w:eastAsiaTheme="minorHAnsi"/>
          <w:lang w:val="ru-RU"/>
        </w:rPr>
      </w:pPr>
    </w:p>
    <w:p w:rsidR="002524B5" w:rsidRPr="007A7738" w:rsidRDefault="002524B5" w:rsidP="002524B5">
      <w:pPr>
        <w:rPr>
          <w:color w:val="000000" w:themeColor="text1"/>
          <w:lang w:val="ru-RU"/>
        </w:rPr>
      </w:pPr>
      <w:r w:rsidRPr="007A7738">
        <w:rPr>
          <w:color w:val="000000" w:themeColor="text1"/>
          <w:lang w:val="ru-RU"/>
        </w:rPr>
        <w:t xml:space="preserve">Целью политики охраны и безопасности ВОИС является обеспечение надежных и безопасных рабочих условий для сотрудников, делегаций и посетителей.  Для достижения этой цели необходимо, чтобы ВОИС неизменно выполняла нормативные требования принимающей страны и соответствующие положения политики и стандарты Системы обеспечения безопасности Организации Объединенных Наций (UNSMS).  Кроме того, ВОИС должна непрерывно следить за внешними угрозами безопасности и поддерживать современную комплексную инфраструктуру контроля за рисками для безопасности и охраны в штаб-квартире за счет применения перспективных и эффективных с точки зрения технологии и затрат долгосрочных подходов к выполнению своих обязательств по охране и обеспечению безопасности сотрудников, делегатов и посетителей. </w:t>
      </w:r>
    </w:p>
    <w:p w:rsidR="002524B5" w:rsidRPr="007A7738" w:rsidRDefault="002524B5" w:rsidP="002524B5">
      <w:pPr>
        <w:pStyle w:val="Heading3"/>
        <w:spacing w:before="0" w:after="0"/>
        <w:rPr>
          <w:rFonts w:eastAsia="Times New Roman"/>
          <w:color w:val="000000" w:themeColor="text1"/>
          <w:lang w:val="ru-RU"/>
        </w:rPr>
      </w:pPr>
    </w:p>
    <w:p w:rsidR="002524B5" w:rsidRPr="007A7738" w:rsidRDefault="002524B5" w:rsidP="002524B5">
      <w:pPr>
        <w:pStyle w:val="Heading3"/>
        <w:spacing w:before="0" w:after="0"/>
        <w:rPr>
          <w:rFonts w:eastAsia="Times New Roman"/>
          <w:color w:val="000000" w:themeColor="text1"/>
          <w:lang w:val="ru-RU"/>
        </w:rPr>
      </w:pPr>
      <w:r w:rsidRPr="007A7738">
        <w:rPr>
          <w:rFonts w:eastAsia="Times New Roman"/>
          <w:color w:val="000000" w:themeColor="text1"/>
          <w:lang w:val="ru-RU"/>
        </w:rPr>
        <w:t xml:space="preserve">Выполнение требований федерального законодательства Швейцарии и местных противопожарных правил </w:t>
      </w:r>
    </w:p>
    <w:p w:rsidR="002524B5" w:rsidRPr="007A7738" w:rsidRDefault="002524B5" w:rsidP="002524B5">
      <w:pPr>
        <w:rPr>
          <w:rFonts w:eastAsiaTheme="minorHAnsi"/>
          <w:color w:val="000000" w:themeColor="text1"/>
          <w:lang w:val="ru-RU"/>
        </w:rPr>
      </w:pPr>
    </w:p>
    <w:p w:rsidR="002524B5" w:rsidRPr="007A7738" w:rsidRDefault="002524B5" w:rsidP="002524B5">
      <w:pPr>
        <w:rPr>
          <w:color w:val="000000" w:themeColor="text1"/>
          <w:lang w:val="ru-RU"/>
        </w:rPr>
      </w:pPr>
      <w:r w:rsidRPr="007A7738">
        <w:rPr>
          <w:color w:val="000000" w:themeColor="text1"/>
          <w:lang w:val="ru-RU"/>
        </w:rPr>
        <w:t xml:space="preserve">В соответствии с швейцарскими противопожарными правилами </w:t>
      </w:r>
      <w:r w:rsidRPr="007A7738">
        <w:rPr>
          <w:i/>
          <w:color w:val="000000" w:themeColor="text1"/>
          <w:lang w:val="ru-RU"/>
        </w:rPr>
        <w:t xml:space="preserve">«Association des Etablissements cantonaux d’Assurance Incendie» </w:t>
      </w:r>
      <w:r w:rsidRPr="007A7738">
        <w:rPr>
          <w:color w:val="000000" w:themeColor="text1"/>
          <w:lang w:val="ru-RU"/>
        </w:rPr>
        <w:t xml:space="preserve">(AEAI) ВОИС установит противопожарные двери/перегородки для предотвращения распространения огня и дыма в случае пожара.  Это также обеспечит выполнение политики противопожарной и физической безопасности UNSMS. </w:t>
      </w:r>
    </w:p>
    <w:p w:rsidR="002524B5" w:rsidRPr="007A7738" w:rsidRDefault="002524B5" w:rsidP="002524B5">
      <w:pPr>
        <w:pStyle w:val="Heading3"/>
        <w:spacing w:before="0" w:after="0"/>
        <w:rPr>
          <w:rFonts w:eastAsia="Times New Roman"/>
          <w:color w:val="000000" w:themeColor="text1"/>
          <w:lang w:val="ru-RU"/>
        </w:rPr>
      </w:pPr>
    </w:p>
    <w:p w:rsidR="002524B5" w:rsidRPr="007A7738" w:rsidRDefault="002524B5" w:rsidP="002524B5">
      <w:pPr>
        <w:pStyle w:val="Heading3"/>
        <w:spacing w:before="0" w:after="0"/>
        <w:rPr>
          <w:rFonts w:eastAsia="Times New Roman"/>
          <w:color w:val="000000" w:themeColor="text1"/>
          <w:lang w:val="ru-RU"/>
        </w:rPr>
      </w:pPr>
      <w:r w:rsidRPr="007A7738">
        <w:rPr>
          <w:rFonts w:eastAsia="Times New Roman"/>
          <w:color w:val="000000" w:themeColor="text1"/>
          <w:lang w:val="ru-RU"/>
        </w:rPr>
        <w:t xml:space="preserve">Управление физической безопасностью штаб-квартиры в соответствии с политикой UNSMS и с учетом известных рисков </w:t>
      </w:r>
    </w:p>
    <w:p w:rsidR="002524B5" w:rsidRPr="007A7738" w:rsidRDefault="002524B5" w:rsidP="002524B5">
      <w:pPr>
        <w:rPr>
          <w:rFonts w:eastAsiaTheme="minorHAnsi"/>
          <w:color w:val="000000" w:themeColor="text1"/>
          <w:lang w:val="ru-RU"/>
        </w:rPr>
      </w:pPr>
    </w:p>
    <w:p w:rsidR="002524B5" w:rsidRPr="007A7738" w:rsidRDefault="002524B5" w:rsidP="002524B5">
      <w:pPr>
        <w:rPr>
          <w:color w:val="000000" w:themeColor="text1"/>
          <w:lang w:val="ru-RU"/>
        </w:rPr>
      </w:pPr>
      <w:r w:rsidRPr="007A7738">
        <w:rPr>
          <w:color w:val="000000" w:themeColor="text1"/>
          <w:lang w:val="ru-RU"/>
        </w:rPr>
        <w:t xml:space="preserve">В контексте формирующихся условий в области безопасности в Европе и в соответствии с существующими рисками для ООН, определенными в подготовленной ООН оценке рисков в области безопасности в Швейцарии, требуется дальнейшее принятие мер для снижения рисков путем осуществления инвестиций в системы охраны и безопасности.  Это включает в себя поэтапное создание зон локализации рисков, внедрение систем динамичного блокирования зон, применения покрытия из защитной пленки </w:t>
      </w:r>
      <w:r w:rsidR="00614311">
        <w:rPr>
          <w:color w:val="000000" w:themeColor="text1"/>
          <w:lang w:val="ru-RU"/>
        </w:rPr>
        <w:t xml:space="preserve">на окнах </w:t>
      </w:r>
      <w:r w:rsidRPr="007A7738">
        <w:rPr>
          <w:color w:val="000000" w:themeColor="text1"/>
          <w:lang w:val="ru-RU"/>
        </w:rPr>
        <w:t xml:space="preserve">и создание зон безопасности, начиная с двух зданий ВОИС. </w:t>
      </w:r>
    </w:p>
    <w:p w:rsidR="002524B5" w:rsidRPr="007A7738" w:rsidRDefault="002524B5" w:rsidP="002524B5">
      <w:pPr>
        <w:rPr>
          <w:color w:val="000000" w:themeColor="text1"/>
          <w:lang w:val="ru-RU"/>
        </w:rPr>
      </w:pPr>
    </w:p>
    <w:p w:rsidR="002524B5" w:rsidRPr="007A7738" w:rsidRDefault="002524B5" w:rsidP="002524B5">
      <w:pPr>
        <w:keepNext/>
        <w:keepLines/>
        <w:rPr>
          <w:bCs/>
          <w:i/>
          <w:lang w:val="ru-RU"/>
        </w:rPr>
      </w:pPr>
      <w:r w:rsidRPr="007A7738">
        <w:rPr>
          <w:bCs/>
          <w:i/>
          <w:lang w:val="ru-RU"/>
        </w:rPr>
        <w:t>Определяющие факторы</w:t>
      </w:r>
    </w:p>
    <w:p w:rsidR="002524B5" w:rsidRPr="007A7738" w:rsidRDefault="002524B5" w:rsidP="002524B5">
      <w:pPr>
        <w:keepNext/>
        <w:keepLines/>
        <w:rPr>
          <w:lang w:val="ru-RU"/>
        </w:rPr>
      </w:pPr>
    </w:p>
    <w:p w:rsidR="002524B5" w:rsidRPr="007A7738" w:rsidRDefault="002524B5" w:rsidP="002524B5">
      <w:pPr>
        <w:rPr>
          <w:i/>
          <w:lang w:val="ru-RU"/>
        </w:rPr>
      </w:pPr>
      <w:r w:rsidRPr="007A7738">
        <w:rPr>
          <w:i/>
          <w:lang w:val="ru-RU"/>
        </w:rPr>
        <w:t xml:space="preserve">Охрана и безопасность и целостность информации – </w:t>
      </w:r>
      <w:r w:rsidRPr="007A7738">
        <w:rPr>
          <w:lang w:val="ru-RU"/>
        </w:rPr>
        <w:t>обеспечение дальнейшего соответствия требованиям и постоянное совершенствование систем управления безопасностью в ВОИС в соответствии с передовой практикой в отрасли и с учетом известных внешних рисков для безопасности.</w:t>
      </w:r>
    </w:p>
    <w:p w:rsidR="002524B5" w:rsidRPr="007A7738" w:rsidRDefault="002524B5" w:rsidP="002524B5">
      <w:pPr>
        <w:rPr>
          <w:i/>
          <w:lang w:val="ru-RU"/>
        </w:rPr>
      </w:pPr>
    </w:p>
    <w:p w:rsidR="002524B5" w:rsidRPr="007A7738" w:rsidRDefault="002524B5" w:rsidP="002524B5">
      <w:pPr>
        <w:rPr>
          <w:i/>
          <w:lang w:val="ru-RU"/>
        </w:rPr>
      </w:pPr>
      <w:r w:rsidRPr="007A7738">
        <w:rPr>
          <w:i/>
          <w:lang w:val="ru-RU"/>
        </w:rPr>
        <w:t xml:space="preserve">Нормативные требования – </w:t>
      </w:r>
      <w:r w:rsidRPr="007A7738">
        <w:rPr>
          <w:lang w:val="ru-RU"/>
        </w:rPr>
        <w:t xml:space="preserve">обеспечение соответствия помещений ВОИС применимым стандартам и политике Системы обеспечения безопасности Организации Объединенных Наций (UNSMS), федеральному законодательству </w:t>
      </w:r>
      <w:r w:rsidRPr="007A7738">
        <w:rPr>
          <w:color w:val="000000" w:themeColor="text1"/>
          <w:lang w:val="ru-RU"/>
        </w:rPr>
        <w:t>принимающей страны и местным противопожарным правилам и правилам безопасности кантона Женева</w:t>
      </w:r>
      <w:r w:rsidRPr="007A7738">
        <w:rPr>
          <w:lang w:val="ru-RU"/>
        </w:rPr>
        <w:t>.</w:t>
      </w:r>
      <w:r w:rsidRPr="007A7738">
        <w:rPr>
          <w:i/>
          <w:lang w:val="ru-RU"/>
        </w:rPr>
        <w:t xml:space="preserve"> </w:t>
      </w:r>
    </w:p>
    <w:p w:rsidR="002524B5" w:rsidRPr="007A7738" w:rsidRDefault="002524B5" w:rsidP="002524B5">
      <w:pPr>
        <w:rPr>
          <w:i/>
          <w:lang w:val="ru-RU"/>
        </w:rPr>
      </w:pPr>
    </w:p>
    <w:p w:rsidR="002524B5" w:rsidRPr="007A7738" w:rsidRDefault="002524B5" w:rsidP="002524B5">
      <w:pPr>
        <w:rPr>
          <w:lang w:val="ru-RU"/>
        </w:rPr>
      </w:pPr>
      <w:r w:rsidRPr="007A7738">
        <w:rPr>
          <w:i/>
          <w:lang w:val="ru-RU"/>
        </w:rPr>
        <w:t xml:space="preserve">Эффективность затрат </w:t>
      </w:r>
      <w:r w:rsidRPr="007A7738">
        <w:rPr>
          <w:lang w:val="ru-RU"/>
        </w:rPr>
        <w:t xml:space="preserve">– путем согласования физических работ с другой планируемой в ГПКР деятельностью для уменьшения до минимума нарушений в работе и достижения максимальной эффективности расходов путем общего управления проектами и их реализации. </w:t>
      </w:r>
    </w:p>
    <w:p w:rsidR="002524B5" w:rsidRPr="007A7738" w:rsidRDefault="002524B5" w:rsidP="002524B5">
      <w:pPr>
        <w:rPr>
          <w:lang w:val="ru-RU"/>
        </w:rPr>
      </w:pPr>
    </w:p>
    <w:p w:rsidR="002524B5" w:rsidRPr="007A7738" w:rsidRDefault="002524B5" w:rsidP="002524B5">
      <w:pPr>
        <w:rPr>
          <w:lang w:val="ru-RU"/>
        </w:rPr>
      </w:pPr>
      <w:r w:rsidRPr="007A7738">
        <w:rPr>
          <w:lang w:val="ru-RU"/>
        </w:rPr>
        <w:lastRenderedPageBreak/>
        <w:t xml:space="preserve">Проект отвечает требованиям к использованию резервов, так как предусматривает одноразовое выделение средств на осуществление крупной модернизации и ремонта. </w:t>
      </w:r>
    </w:p>
    <w:p w:rsidR="002524B5" w:rsidRPr="007A7738" w:rsidRDefault="002524B5" w:rsidP="002524B5">
      <w:pPr>
        <w:rPr>
          <w:lang w:val="ru-RU"/>
        </w:rPr>
      </w:pPr>
    </w:p>
    <w:p w:rsidR="002524B5" w:rsidRPr="007A7738" w:rsidRDefault="002524B5" w:rsidP="002524B5">
      <w:pPr>
        <w:rPr>
          <w:lang w:val="ru-RU"/>
        </w:rPr>
      </w:pPr>
    </w:p>
    <w:p w:rsidR="002524B5" w:rsidRPr="007A7738" w:rsidRDefault="002524B5" w:rsidP="002524B5">
      <w:pPr>
        <w:tabs>
          <w:tab w:val="left" w:pos="5670"/>
        </w:tabs>
        <w:rPr>
          <w:lang w:val="ru-RU"/>
        </w:rPr>
      </w:pPr>
    </w:p>
    <w:p w:rsidR="002524B5" w:rsidRPr="007A7738" w:rsidRDefault="002524B5" w:rsidP="002524B5">
      <w:pPr>
        <w:tabs>
          <w:tab w:val="left" w:pos="5670"/>
        </w:tabs>
        <w:rPr>
          <w:lang w:val="ru-RU"/>
        </w:rPr>
      </w:pPr>
    </w:p>
    <w:p w:rsidR="002524B5" w:rsidRPr="007A7738" w:rsidRDefault="002524B5" w:rsidP="002524B5">
      <w:pPr>
        <w:tabs>
          <w:tab w:val="left" w:pos="5670"/>
        </w:tabs>
        <w:jc w:val="right"/>
        <w:rPr>
          <w:lang w:val="ru-RU"/>
        </w:rPr>
      </w:pPr>
      <w:r w:rsidRPr="007A7738">
        <w:rPr>
          <w:lang w:val="ru-RU"/>
        </w:rPr>
        <w:t>[Приложение VIII следует]</w:t>
      </w:r>
    </w:p>
    <w:p w:rsidR="00FD717A" w:rsidRPr="0015383C" w:rsidRDefault="00FD717A" w:rsidP="00895921">
      <w:pPr>
        <w:tabs>
          <w:tab w:val="left" w:pos="5670"/>
        </w:tabs>
        <w:rPr>
          <w:lang w:val="ru-RU"/>
        </w:rPr>
      </w:pPr>
    </w:p>
    <w:p w:rsidR="00895921" w:rsidRPr="0015383C" w:rsidRDefault="00895921" w:rsidP="00FD717A">
      <w:pPr>
        <w:tabs>
          <w:tab w:val="left" w:pos="5670"/>
        </w:tabs>
        <w:jc w:val="right"/>
        <w:rPr>
          <w:lang w:val="ru-RU"/>
        </w:rPr>
      </w:pPr>
    </w:p>
    <w:p w:rsidR="002524B5" w:rsidRPr="0015383C" w:rsidRDefault="002524B5" w:rsidP="00FD717A">
      <w:pPr>
        <w:tabs>
          <w:tab w:val="left" w:pos="5670"/>
        </w:tabs>
        <w:jc w:val="right"/>
        <w:rPr>
          <w:lang w:val="ru-RU"/>
        </w:rPr>
        <w:sectPr w:rsidR="002524B5" w:rsidRPr="0015383C" w:rsidSect="003B05E6">
          <w:headerReference w:type="default" r:id="rId26"/>
          <w:headerReference w:type="first" r:id="rId27"/>
          <w:type w:val="evenPage"/>
          <w:pgSz w:w="11907" w:h="16840" w:code="9"/>
          <w:pgMar w:top="1417" w:right="1417" w:bottom="1417" w:left="1417" w:header="709" w:footer="709" w:gutter="0"/>
          <w:pgNumType w:start="1"/>
          <w:cols w:space="720"/>
          <w:titlePg/>
          <w:docGrid w:linePitch="299"/>
        </w:sectPr>
      </w:pPr>
    </w:p>
    <w:p w:rsidR="00895921" w:rsidRPr="005B3B47" w:rsidRDefault="005B3B47" w:rsidP="00895921">
      <w:pPr>
        <w:pStyle w:val="Heading1"/>
        <w:spacing w:before="0"/>
        <w:rPr>
          <w:lang w:val="ru-RU"/>
        </w:rPr>
      </w:pPr>
      <w:bookmarkStart w:id="1" w:name="_GoBack"/>
      <w:bookmarkEnd w:id="1"/>
      <w:r>
        <w:rPr>
          <w:lang w:val="ru-RU"/>
        </w:rPr>
        <w:lastRenderedPageBreak/>
        <w:t>приложение</w:t>
      </w:r>
      <w:r w:rsidR="00895921" w:rsidRPr="005B3B47">
        <w:rPr>
          <w:lang w:val="ru-RU"/>
        </w:rPr>
        <w:t xml:space="preserve"> </w:t>
      </w:r>
      <w:r w:rsidR="00895921" w:rsidRPr="00973B06">
        <w:t>VI</w:t>
      </w:r>
      <w:r w:rsidR="00AA162B">
        <w:t>I</w:t>
      </w:r>
      <w:r w:rsidR="00895921">
        <w:t>I</w:t>
      </w:r>
      <w:r w:rsidR="00895921" w:rsidRPr="005B3B47">
        <w:rPr>
          <w:lang w:val="ru-RU"/>
        </w:rPr>
        <w:t xml:space="preserve">:  </w:t>
      </w:r>
      <w:r w:rsidRPr="007A7738">
        <w:rPr>
          <w:lang w:val="ru-RU"/>
        </w:rPr>
        <w:t>генеральный план капитальных расходов на помещения, охрану и безопасность в 2018-2027 гг.</w:t>
      </w:r>
    </w:p>
    <w:p w:rsidR="00895921" w:rsidRDefault="005B3B47" w:rsidP="008E6E53">
      <w:pPr>
        <w:spacing w:before="240"/>
        <w:jc w:val="center"/>
      </w:pPr>
      <w:r>
        <w:rPr>
          <w:noProof/>
          <w:lang w:eastAsia="en-US"/>
        </w:rPr>
        <w:drawing>
          <wp:inline distT="0" distB="0" distL="0" distR="0">
            <wp:extent cx="12616405" cy="807419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618911" cy="8075797"/>
                    </a:xfrm>
                    <a:prstGeom prst="rect">
                      <a:avLst/>
                    </a:prstGeom>
                    <a:noFill/>
                    <a:ln>
                      <a:noFill/>
                    </a:ln>
                  </pic:spPr>
                </pic:pic>
              </a:graphicData>
            </a:graphic>
          </wp:inline>
        </w:drawing>
      </w:r>
    </w:p>
    <w:p w:rsidR="00895921" w:rsidRDefault="00895921" w:rsidP="00E52514">
      <w:pPr>
        <w:tabs>
          <w:tab w:val="left" w:pos="9639"/>
        </w:tabs>
        <w:jc w:val="center"/>
      </w:pPr>
    </w:p>
    <w:p w:rsidR="00FF31C1" w:rsidRPr="005B3B47" w:rsidRDefault="00895921" w:rsidP="005B3B47">
      <w:pPr>
        <w:tabs>
          <w:tab w:val="left" w:pos="15876"/>
        </w:tabs>
        <w:jc w:val="right"/>
        <w:rPr>
          <w:lang w:val="ru-RU"/>
        </w:rPr>
      </w:pPr>
      <w:r>
        <w:tab/>
      </w:r>
      <w:r w:rsidR="0004621A" w:rsidRPr="005B3B47">
        <w:rPr>
          <w:lang w:val="ru-RU"/>
        </w:rPr>
        <w:t>[</w:t>
      </w:r>
      <w:r w:rsidR="005B3B47">
        <w:rPr>
          <w:lang w:val="ru-RU"/>
        </w:rPr>
        <w:t xml:space="preserve">Конец приложения </w:t>
      </w:r>
      <w:r w:rsidR="0004621A">
        <w:t>V</w:t>
      </w:r>
      <w:r w:rsidR="00FD717A">
        <w:t>I</w:t>
      </w:r>
      <w:r>
        <w:t>I</w:t>
      </w:r>
      <w:r w:rsidR="0004621A">
        <w:t>I</w:t>
      </w:r>
      <w:r w:rsidR="0004621A" w:rsidRPr="005B3B47">
        <w:rPr>
          <w:lang w:val="ru-RU"/>
        </w:rPr>
        <w:t xml:space="preserve"> </w:t>
      </w:r>
      <w:r w:rsidR="005B3B47">
        <w:rPr>
          <w:lang w:val="ru-RU"/>
        </w:rPr>
        <w:t>и документа</w:t>
      </w:r>
      <w:r w:rsidR="0004621A" w:rsidRPr="005B3B47">
        <w:rPr>
          <w:lang w:val="ru-RU"/>
        </w:rPr>
        <w:t>]</w:t>
      </w:r>
    </w:p>
    <w:sectPr w:rsidR="00FF31C1" w:rsidRPr="005B3B47" w:rsidSect="00895921">
      <w:headerReference w:type="default" r:id="rId29"/>
      <w:headerReference w:type="first" r:id="rId30"/>
      <w:pgSz w:w="23814" w:h="16840" w:orient="landscape" w:code="8"/>
      <w:pgMar w:top="1418" w:right="1134" w:bottom="1418" w:left="1134"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83C" w:rsidRDefault="0015383C" w:rsidP="00D83854">
      <w:r>
        <w:separator/>
      </w:r>
    </w:p>
  </w:endnote>
  <w:endnote w:type="continuationSeparator" w:id="0">
    <w:p w:rsidR="0015383C" w:rsidRDefault="0015383C" w:rsidP="00D83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83C" w:rsidRDefault="0015383C" w:rsidP="00D83854">
      <w:r>
        <w:separator/>
      </w:r>
    </w:p>
  </w:footnote>
  <w:footnote w:type="continuationSeparator" w:id="0">
    <w:p w:rsidR="0015383C" w:rsidRDefault="0015383C" w:rsidP="00D83854">
      <w:r>
        <w:continuationSeparator/>
      </w:r>
    </w:p>
  </w:footnote>
  <w:footnote w:id="1">
    <w:p w:rsidR="0015383C" w:rsidRPr="008B0AF4" w:rsidRDefault="0015383C" w:rsidP="00C33FF4">
      <w:pPr>
        <w:pStyle w:val="FootnoteText"/>
        <w:rPr>
          <w:lang w:val="ru-RU"/>
        </w:rPr>
      </w:pPr>
      <w:r>
        <w:rPr>
          <w:rStyle w:val="FootnoteReference"/>
        </w:rPr>
        <w:footnoteRef/>
      </w:r>
      <w:r w:rsidRPr="008B0AF4">
        <w:rPr>
          <w:lang w:val="ru-RU"/>
        </w:rPr>
        <w:t xml:space="preserve"> </w:t>
      </w:r>
      <w:r>
        <w:rPr>
          <w:lang w:val="ru-RU"/>
        </w:rPr>
        <w:t>См</w:t>
      </w:r>
      <w:r w:rsidRPr="008B0AF4">
        <w:rPr>
          <w:lang w:val="ru-RU"/>
        </w:rPr>
        <w:t xml:space="preserve">. </w:t>
      </w:r>
      <w:r>
        <w:rPr>
          <w:lang w:val="ru-RU"/>
        </w:rPr>
        <w:t xml:space="preserve">документ </w:t>
      </w:r>
      <w:r>
        <w:t>WO</w:t>
      </w:r>
      <w:r w:rsidRPr="008B0AF4">
        <w:rPr>
          <w:lang w:val="ru-RU"/>
        </w:rPr>
        <w:t>/</w:t>
      </w:r>
      <w:r>
        <w:t>PBC</w:t>
      </w:r>
      <w:r w:rsidRPr="008B0AF4">
        <w:rPr>
          <w:lang w:val="ru-RU"/>
        </w:rPr>
        <w:t xml:space="preserve">/15/7 </w:t>
      </w:r>
      <w:r>
        <w:t>Rev</w:t>
      </w:r>
      <w:r w:rsidRPr="008B0AF4">
        <w:rPr>
          <w:lang w:val="ru-RU"/>
        </w:rPr>
        <w:t>.</w:t>
      </w:r>
    </w:p>
  </w:footnote>
  <w:footnote w:id="2">
    <w:p w:rsidR="0015383C" w:rsidRPr="006C4248" w:rsidRDefault="0015383C">
      <w:pPr>
        <w:pStyle w:val="FootnoteText"/>
        <w:rPr>
          <w:lang w:val="ru-RU"/>
        </w:rPr>
      </w:pPr>
      <w:r>
        <w:rPr>
          <w:rStyle w:val="FootnoteReference"/>
        </w:rPr>
        <w:footnoteRef/>
      </w:r>
      <w:r w:rsidRPr="006C4248">
        <w:rPr>
          <w:lang w:val="ru-RU"/>
        </w:rPr>
        <w:t xml:space="preserve"> </w:t>
      </w:r>
      <w:r>
        <w:rPr>
          <w:lang w:val="ru-RU"/>
        </w:rPr>
        <w:t>См</w:t>
      </w:r>
      <w:r w:rsidRPr="006C4248">
        <w:rPr>
          <w:lang w:val="ru-RU"/>
        </w:rPr>
        <w:t xml:space="preserve">. </w:t>
      </w:r>
      <w:r>
        <w:rPr>
          <w:lang w:val="ru-RU"/>
        </w:rPr>
        <w:t>документ</w:t>
      </w:r>
      <w:r w:rsidRPr="006C4248">
        <w:rPr>
          <w:lang w:val="ru-RU"/>
        </w:rPr>
        <w:t xml:space="preserve"> </w:t>
      </w:r>
      <w:r>
        <w:t>WO</w:t>
      </w:r>
      <w:r w:rsidRPr="006C4248">
        <w:rPr>
          <w:lang w:val="ru-RU"/>
        </w:rPr>
        <w:t>/</w:t>
      </w:r>
      <w:r>
        <w:t>PBC</w:t>
      </w:r>
      <w:r w:rsidRPr="006C4248">
        <w:rPr>
          <w:lang w:val="ru-RU"/>
        </w:rPr>
        <w:t xml:space="preserve">/23/8. </w:t>
      </w:r>
    </w:p>
  </w:footnote>
  <w:footnote w:id="3">
    <w:p w:rsidR="0015383C" w:rsidRPr="003C5D25" w:rsidRDefault="0015383C">
      <w:pPr>
        <w:pStyle w:val="FootnoteText"/>
        <w:rPr>
          <w:lang w:val="ru-RU"/>
        </w:rPr>
      </w:pPr>
      <w:r>
        <w:rPr>
          <w:rStyle w:val="FootnoteReference"/>
        </w:rPr>
        <w:footnoteRef/>
      </w:r>
      <w:r w:rsidRPr="003C5D25">
        <w:rPr>
          <w:lang w:val="ru-RU"/>
        </w:rPr>
        <w:t xml:space="preserve"> </w:t>
      </w:r>
      <w:r>
        <w:rPr>
          <w:i/>
          <w:sz w:val="16"/>
          <w:szCs w:val="16"/>
          <w:lang w:val="ru-RU"/>
        </w:rPr>
        <w:t>В</w:t>
      </w:r>
      <w:r w:rsidRPr="003C5D25">
        <w:rPr>
          <w:i/>
          <w:sz w:val="16"/>
          <w:szCs w:val="16"/>
          <w:lang w:val="ru-RU"/>
        </w:rPr>
        <w:t xml:space="preserve"> </w:t>
      </w:r>
      <w:r>
        <w:rPr>
          <w:i/>
          <w:sz w:val="16"/>
          <w:szCs w:val="16"/>
          <w:lang w:val="ru-RU"/>
        </w:rPr>
        <w:t>прогнозе</w:t>
      </w:r>
      <w:r w:rsidRPr="003C5D25">
        <w:rPr>
          <w:i/>
          <w:sz w:val="16"/>
          <w:szCs w:val="16"/>
          <w:lang w:val="ru-RU"/>
        </w:rPr>
        <w:t xml:space="preserve"> </w:t>
      </w:r>
      <w:r>
        <w:rPr>
          <w:i/>
          <w:sz w:val="16"/>
          <w:szCs w:val="16"/>
          <w:lang w:val="ru-RU"/>
        </w:rPr>
        <w:t>не</w:t>
      </w:r>
      <w:r w:rsidRPr="003C5D25">
        <w:rPr>
          <w:i/>
          <w:sz w:val="16"/>
          <w:szCs w:val="16"/>
          <w:lang w:val="ru-RU"/>
        </w:rPr>
        <w:t xml:space="preserve"> </w:t>
      </w:r>
      <w:r>
        <w:rPr>
          <w:i/>
          <w:sz w:val="16"/>
          <w:szCs w:val="16"/>
          <w:lang w:val="ru-RU"/>
        </w:rPr>
        <w:t>учтена</w:t>
      </w:r>
      <w:r w:rsidRPr="003C5D25">
        <w:rPr>
          <w:i/>
          <w:sz w:val="16"/>
          <w:szCs w:val="16"/>
          <w:lang w:val="ru-RU"/>
        </w:rPr>
        <w:t xml:space="preserve"> </w:t>
      </w:r>
      <w:r>
        <w:rPr>
          <w:i/>
          <w:sz w:val="16"/>
          <w:szCs w:val="16"/>
          <w:lang w:val="ru-RU"/>
        </w:rPr>
        <w:t>предполагаемая</w:t>
      </w:r>
      <w:r w:rsidRPr="003C5D25">
        <w:rPr>
          <w:i/>
          <w:sz w:val="16"/>
          <w:szCs w:val="16"/>
          <w:lang w:val="ru-RU"/>
        </w:rPr>
        <w:t xml:space="preserve"> </w:t>
      </w:r>
      <w:r>
        <w:rPr>
          <w:i/>
          <w:sz w:val="16"/>
          <w:szCs w:val="16"/>
          <w:lang w:val="ru-RU"/>
        </w:rPr>
        <w:t>величина</w:t>
      </w:r>
      <w:r w:rsidRPr="003C5D25">
        <w:rPr>
          <w:i/>
          <w:sz w:val="16"/>
          <w:szCs w:val="16"/>
          <w:lang w:val="ru-RU"/>
        </w:rPr>
        <w:t xml:space="preserve"> </w:t>
      </w:r>
      <w:r>
        <w:rPr>
          <w:i/>
          <w:sz w:val="16"/>
          <w:szCs w:val="16"/>
          <w:lang w:val="ru-RU"/>
        </w:rPr>
        <w:t>общего</w:t>
      </w:r>
      <w:r w:rsidRPr="003C5D25">
        <w:rPr>
          <w:i/>
          <w:sz w:val="16"/>
          <w:szCs w:val="16"/>
          <w:lang w:val="ru-RU"/>
        </w:rPr>
        <w:t xml:space="preserve"> </w:t>
      </w:r>
      <w:r>
        <w:rPr>
          <w:i/>
          <w:sz w:val="16"/>
          <w:szCs w:val="16"/>
          <w:lang w:val="ru-RU"/>
        </w:rPr>
        <w:t>итога</w:t>
      </w:r>
      <w:r w:rsidRPr="003C5D25">
        <w:rPr>
          <w:i/>
          <w:sz w:val="16"/>
          <w:szCs w:val="16"/>
          <w:lang w:val="ru-RU"/>
        </w:rPr>
        <w:t xml:space="preserve"> </w:t>
      </w:r>
      <w:r>
        <w:rPr>
          <w:i/>
          <w:sz w:val="16"/>
          <w:szCs w:val="16"/>
          <w:lang w:val="ru-RU"/>
        </w:rPr>
        <w:t>за</w:t>
      </w:r>
      <w:r w:rsidRPr="003C5D25">
        <w:rPr>
          <w:i/>
          <w:sz w:val="16"/>
          <w:szCs w:val="16"/>
          <w:lang w:val="ru-RU"/>
        </w:rPr>
        <w:t xml:space="preserve"> </w:t>
      </w:r>
      <w:r>
        <w:rPr>
          <w:i/>
          <w:sz w:val="16"/>
          <w:szCs w:val="16"/>
          <w:lang w:val="ru-RU"/>
        </w:rPr>
        <w:t>вычетом</w:t>
      </w:r>
      <w:r w:rsidRPr="003C5D25">
        <w:rPr>
          <w:i/>
          <w:sz w:val="16"/>
          <w:szCs w:val="16"/>
          <w:lang w:val="ru-RU"/>
        </w:rPr>
        <w:t xml:space="preserve"> </w:t>
      </w:r>
      <w:r>
        <w:rPr>
          <w:i/>
          <w:sz w:val="16"/>
          <w:szCs w:val="16"/>
          <w:lang w:val="ru-RU"/>
        </w:rPr>
        <w:t>расходов</w:t>
      </w:r>
      <w:r w:rsidRPr="003C5D25">
        <w:rPr>
          <w:i/>
          <w:sz w:val="16"/>
          <w:szCs w:val="16"/>
          <w:lang w:val="ru-RU"/>
        </w:rPr>
        <w:t xml:space="preserve"> </w:t>
      </w:r>
      <w:r>
        <w:rPr>
          <w:i/>
          <w:sz w:val="16"/>
          <w:szCs w:val="16"/>
          <w:lang w:val="ru-RU"/>
        </w:rPr>
        <w:t>за</w:t>
      </w:r>
      <w:r w:rsidRPr="003C5D25">
        <w:rPr>
          <w:i/>
          <w:sz w:val="16"/>
          <w:szCs w:val="16"/>
          <w:lang w:val="ru-RU"/>
        </w:rPr>
        <w:t xml:space="preserve"> </w:t>
      </w:r>
      <w:r>
        <w:rPr>
          <w:i/>
          <w:sz w:val="16"/>
          <w:szCs w:val="16"/>
          <w:lang w:val="ru-RU"/>
        </w:rPr>
        <w:t>счет</w:t>
      </w:r>
      <w:r w:rsidRPr="003C5D25">
        <w:rPr>
          <w:i/>
          <w:sz w:val="16"/>
          <w:szCs w:val="16"/>
          <w:lang w:val="ru-RU"/>
        </w:rPr>
        <w:t xml:space="preserve"> </w:t>
      </w:r>
      <w:r>
        <w:rPr>
          <w:i/>
          <w:sz w:val="16"/>
          <w:szCs w:val="16"/>
          <w:lang w:val="ru-RU"/>
        </w:rPr>
        <w:t>резервных</w:t>
      </w:r>
      <w:r w:rsidRPr="003C5D25">
        <w:rPr>
          <w:i/>
          <w:sz w:val="16"/>
          <w:szCs w:val="16"/>
          <w:lang w:val="ru-RU"/>
        </w:rPr>
        <w:t xml:space="preserve"> </w:t>
      </w:r>
      <w:r>
        <w:rPr>
          <w:i/>
          <w:sz w:val="16"/>
          <w:szCs w:val="16"/>
          <w:lang w:val="ru-RU"/>
        </w:rPr>
        <w:t>средств</w:t>
      </w:r>
      <w:r w:rsidRPr="003C5D25">
        <w:rPr>
          <w:i/>
          <w:sz w:val="16"/>
          <w:szCs w:val="16"/>
          <w:lang w:val="ru-RU"/>
        </w:rPr>
        <w:t xml:space="preserve"> </w:t>
      </w:r>
      <w:r>
        <w:rPr>
          <w:i/>
          <w:sz w:val="16"/>
          <w:szCs w:val="16"/>
          <w:lang w:val="ru-RU"/>
        </w:rPr>
        <w:t>в</w:t>
      </w:r>
      <w:r w:rsidRPr="003C5D25">
        <w:rPr>
          <w:i/>
          <w:sz w:val="16"/>
          <w:szCs w:val="16"/>
          <w:lang w:val="ru-RU"/>
        </w:rPr>
        <w:t xml:space="preserve"> 2017 </w:t>
      </w:r>
      <w:r>
        <w:rPr>
          <w:i/>
          <w:sz w:val="16"/>
          <w:szCs w:val="16"/>
          <w:lang w:val="ru-RU"/>
        </w:rPr>
        <w:t>г</w:t>
      </w:r>
      <w:r w:rsidRPr="003C5D25">
        <w:rPr>
          <w:i/>
          <w:sz w:val="16"/>
          <w:szCs w:val="16"/>
          <w:lang w:val="ru-RU"/>
        </w:rPr>
        <w:t>.</w:t>
      </w:r>
      <w:r>
        <w:rPr>
          <w:i/>
          <w:sz w:val="16"/>
          <w:szCs w:val="16"/>
          <w:lang w:val="ru-RU"/>
        </w:rPr>
        <w:t xml:space="preserve"> в сумме </w:t>
      </w:r>
      <w:r w:rsidRPr="003C5D25">
        <w:rPr>
          <w:rFonts w:eastAsia="Times New Roman"/>
          <w:i/>
          <w:color w:val="000000"/>
          <w:sz w:val="16"/>
          <w:szCs w:val="16"/>
          <w:lang w:val="ru-RU" w:eastAsia="en-US"/>
        </w:rPr>
        <w:t>24</w:t>
      </w:r>
      <w:r>
        <w:rPr>
          <w:rFonts w:eastAsia="Times New Roman"/>
          <w:i/>
          <w:color w:val="000000"/>
          <w:sz w:val="16"/>
          <w:szCs w:val="16"/>
          <w:lang w:val="ru-RU" w:eastAsia="en-US"/>
        </w:rPr>
        <w:t>,</w:t>
      </w:r>
      <w:r w:rsidRPr="003C5D25">
        <w:rPr>
          <w:rFonts w:eastAsia="Times New Roman"/>
          <w:i/>
          <w:color w:val="000000"/>
          <w:sz w:val="16"/>
          <w:szCs w:val="16"/>
          <w:lang w:val="ru-RU" w:eastAsia="en-US"/>
        </w:rPr>
        <w:t xml:space="preserve">3 </w:t>
      </w:r>
      <w:r>
        <w:rPr>
          <w:rFonts w:eastAsia="Times New Roman"/>
          <w:i/>
          <w:color w:val="000000"/>
          <w:sz w:val="16"/>
          <w:szCs w:val="16"/>
          <w:lang w:val="ru-RU" w:eastAsia="en-US"/>
        </w:rPr>
        <w:t>млн шв. франков.</w:t>
      </w:r>
    </w:p>
  </w:footnote>
  <w:footnote w:id="4">
    <w:p w:rsidR="0015383C" w:rsidRDefault="0015383C" w:rsidP="002524B5">
      <w:pPr>
        <w:pStyle w:val="FootnoteText"/>
      </w:pPr>
      <w:r>
        <w:rPr>
          <w:rStyle w:val="FootnoteReference"/>
        </w:rPr>
        <w:footnoteRef/>
      </w:r>
      <w:r>
        <w:t xml:space="preserve"> </w:t>
      </w:r>
      <w:r>
        <w:rPr>
          <w:lang w:val="ru-RU"/>
        </w:rPr>
        <w:t>Документ</w:t>
      </w:r>
      <w:r>
        <w:t xml:space="preserve"> WO/PBC/23/8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83C" w:rsidRDefault="0015383C" w:rsidP="00207BFD">
    <w:pPr>
      <w:jc w:val="right"/>
    </w:pPr>
    <w:r>
      <w:t>WO/PBC/26/9</w:t>
    </w:r>
  </w:p>
  <w:p w:rsidR="0015383C" w:rsidRDefault="0015383C" w:rsidP="00207BFD">
    <w:pPr>
      <w:pStyle w:val="Header"/>
      <w:jc w:val="right"/>
    </w:pPr>
    <w:r>
      <w:rPr>
        <w:lang w:val="ru-RU"/>
      </w:rPr>
      <w:t>стр</w:t>
    </w:r>
    <w:r w:rsidRPr="008B0AF4">
      <w:t>.</w:t>
    </w:r>
    <w:r>
      <w:t xml:space="preserve"> </w:t>
    </w:r>
    <w:r>
      <w:fldChar w:fldCharType="begin"/>
    </w:r>
    <w:r>
      <w:instrText xml:space="preserve"> PAGE   \* MERGEFORMAT </w:instrText>
    </w:r>
    <w:r>
      <w:fldChar w:fldCharType="separate"/>
    </w:r>
    <w:r w:rsidR="00E41F30">
      <w:rPr>
        <w:noProof/>
      </w:rPr>
      <w:t>13</w:t>
    </w:r>
    <w:r>
      <w:rPr>
        <w:noProof/>
      </w:rPr>
      <w:fldChar w:fldCharType="end"/>
    </w:r>
  </w:p>
  <w:p w:rsidR="0015383C" w:rsidRPr="00207BFD" w:rsidRDefault="0015383C" w:rsidP="00207BFD">
    <w:pPr>
      <w:pStyle w:val="Heade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83C" w:rsidRDefault="0015383C" w:rsidP="00207BFD">
    <w:pPr>
      <w:jc w:val="right"/>
    </w:pPr>
    <w:r>
      <w:t>WO/PBC/26/9</w:t>
    </w:r>
  </w:p>
  <w:p w:rsidR="0015383C" w:rsidRDefault="0015383C" w:rsidP="00207BFD">
    <w:pPr>
      <w:pStyle w:val="Header"/>
      <w:jc w:val="right"/>
    </w:pPr>
    <w:r>
      <w:t>ПРИЛОЖЕНИЕ V</w:t>
    </w:r>
  </w:p>
  <w:p w:rsidR="0015383C" w:rsidRDefault="0015383C" w:rsidP="00207BFD">
    <w:pPr>
      <w:pStyle w:val="Heade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83C" w:rsidRPr="004C3915" w:rsidRDefault="0015383C" w:rsidP="00207BFD">
    <w:pPr>
      <w:jc w:val="right"/>
      <w:rPr>
        <w:lang w:val="ru-RU"/>
      </w:rPr>
    </w:pPr>
    <w:r w:rsidRPr="0004621A">
      <w:rPr>
        <w:lang w:val="fr-FR"/>
      </w:rPr>
      <w:t>WO</w:t>
    </w:r>
    <w:r w:rsidRPr="004C3915">
      <w:rPr>
        <w:lang w:val="ru-RU"/>
      </w:rPr>
      <w:t>/</w:t>
    </w:r>
    <w:r w:rsidRPr="0004621A">
      <w:rPr>
        <w:lang w:val="fr-FR"/>
      </w:rPr>
      <w:t>PBC</w:t>
    </w:r>
    <w:r w:rsidRPr="004C3915">
      <w:rPr>
        <w:lang w:val="ru-RU"/>
      </w:rPr>
      <w:t>/26/9</w:t>
    </w:r>
  </w:p>
  <w:p w:rsidR="0015383C" w:rsidRPr="0004621A" w:rsidRDefault="0015383C" w:rsidP="00895921">
    <w:pPr>
      <w:pStyle w:val="Header"/>
      <w:jc w:val="right"/>
      <w:rPr>
        <w:lang w:val="fr-FR"/>
      </w:rPr>
    </w:pPr>
    <w:r w:rsidRPr="004C3915">
      <w:rPr>
        <w:lang w:val="ru-RU"/>
      </w:rPr>
      <w:t xml:space="preserve">Приложение </w:t>
    </w:r>
    <w:r>
      <w:rPr>
        <w:lang w:val="fr-FR"/>
      </w:rPr>
      <w:t>V</w:t>
    </w:r>
    <w:r w:rsidRPr="0004621A">
      <w:rPr>
        <w:lang w:val="fr-FR"/>
      </w:rPr>
      <w:t>I</w:t>
    </w:r>
    <w:r w:rsidRPr="004C3915">
      <w:rPr>
        <w:lang w:val="ru-RU"/>
      </w:rPr>
      <w:t xml:space="preserve">, </w:t>
    </w:r>
    <w:r>
      <w:rPr>
        <w:lang w:val="ru-RU"/>
      </w:rPr>
      <w:t>стр</w:t>
    </w:r>
    <w:r w:rsidRPr="004C3915">
      <w:rPr>
        <w:lang w:val="ru-RU"/>
      </w:rPr>
      <w:t xml:space="preserve">. </w:t>
    </w:r>
    <w:r>
      <w:fldChar w:fldCharType="begin"/>
    </w:r>
    <w:r w:rsidRPr="004C3915">
      <w:rPr>
        <w:lang w:val="ru-RU"/>
      </w:rPr>
      <w:instrText xml:space="preserve"> </w:instrText>
    </w:r>
    <w:r w:rsidRPr="0004621A">
      <w:rPr>
        <w:lang w:val="fr-FR"/>
      </w:rPr>
      <w:instrText>PAGE</w:instrText>
    </w:r>
    <w:r w:rsidRPr="004C3915">
      <w:rPr>
        <w:lang w:val="ru-RU"/>
      </w:rPr>
      <w:instrText xml:space="preserve">   \* </w:instrText>
    </w:r>
    <w:r w:rsidRPr="0004621A">
      <w:rPr>
        <w:lang w:val="fr-FR"/>
      </w:rPr>
      <w:instrText>MERGEFORMAT</w:instrText>
    </w:r>
    <w:r w:rsidRPr="004C3915">
      <w:rPr>
        <w:lang w:val="ru-RU"/>
      </w:rPr>
      <w:instrText xml:space="preserve"> </w:instrText>
    </w:r>
    <w:r>
      <w:fldChar w:fldCharType="separate"/>
    </w:r>
    <w:r w:rsidR="00E41F30" w:rsidRPr="00E41F30">
      <w:rPr>
        <w:noProof/>
        <w:lang w:val="fr-FR"/>
      </w:rPr>
      <w:t>2</w:t>
    </w:r>
    <w:r>
      <w:rPr>
        <w:noProof/>
      </w:rPr>
      <w:fldChar w:fldCharType="end"/>
    </w:r>
  </w:p>
  <w:p w:rsidR="0015383C" w:rsidRPr="0004621A" w:rsidRDefault="0015383C" w:rsidP="00207BFD">
    <w:pPr>
      <w:pStyle w:val="Header"/>
      <w:jc w:val="right"/>
      <w:rPr>
        <w:lang w:val="fr-FR"/>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83C" w:rsidRDefault="0015383C" w:rsidP="00207BFD">
    <w:pPr>
      <w:jc w:val="right"/>
    </w:pPr>
    <w:r>
      <w:t>WO/PBC/26/9</w:t>
    </w:r>
  </w:p>
  <w:p w:rsidR="0015383C" w:rsidRDefault="0015383C" w:rsidP="00895921">
    <w:pPr>
      <w:pStyle w:val="Header"/>
      <w:jc w:val="right"/>
    </w:pPr>
    <w:r>
      <w:t>ПРИЛОЖЕНИЕ VI</w:t>
    </w:r>
  </w:p>
  <w:p w:rsidR="0015383C" w:rsidRDefault="0015383C" w:rsidP="00207BFD">
    <w:pPr>
      <w:pStyle w:val="Heade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83C" w:rsidRPr="004C3915" w:rsidRDefault="0015383C" w:rsidP="00207BFD">
    <w:pPr>
      <w:jc w:val="right"/>
      <w:rPr>
        <w:lang w:val="ru-RU"/>
      </w:rPr>
    </w:pPr>
    <w:r w:rsidRPr="0004621A">
      <w:rPr>
        <w:lang w:val="fr-FR"/>
      </w:rPr>
      <w:t>WO</w:t>
    </w:r>
    <w:r w:rsidRPr="004C3915">
      <w:rPr>
        <w:lang w:val="ru-RU"/>
      </w:rPr>
      <w:t>/</w:t>
    </w:r>
    <w:r w:rsidRPr="0004621A">
      <w:rPr>
        <w:lang w:val="fr-FR"/>
      </w:rPr>
      <w:t>PBC</w:t>
    </w:r>
    <w:r w:rsidRPr="004C3915">
      <w:rPr>
        <w:lang w:val="ru-RU"/>
      </w:rPr>
      <w:t>/26/9</w:t>
    </w:r>
  </w:p>
  <w:p w:rsidR="0015383C" w:rsidRPr="0004621A" w:rsidRDefault="0015383C" w:rsidP="00E41F30">
    <w:pPr>
      <w:pStyle w:val="Header"/>
      <w:jc w:val="right"/>
      <w:rPr>
        <w:lang w:val="fr-FR"/>
      </w:rPr>
    </w:pPr>
    <w:r w:rsidRPr="004C3915">
      <w:rPr>
        <w:lang w:val="ru-RU"/>
      </w:rPr>
      <w:t xml:space="preserve">Приложение </w:t>
    </w:r>
    <w:r>
      <w:rPr>
        <w:lang w:val="fr-FR"/>
      </w:rPr>
      <w:t>V</w:t>
    </w:r>
    <w:r w:rsidRPr="0004621A">
      <w:rPr>
        <w:lang w:val="fr-FR"/>
      </w:rPr>
      <w:t>I</w:t>
    </w:r>
    <w:r>
      <w:rPr>
        <w:lang w:val="fr-FR"/>
      </w:rPr>
      <w:t>I</w:t>
    </w:r>
    <w:r w:rsidRPr="004C3915">
      <w:rPr>
        <w:lang w:val="ru-RU"/>
      </w:rPr>
      <w:t xml:space="preserve">, </w:t>
    </w:r>
    <w:r>
      <w:rPr>
        <w:lang w:val="ru-RU"/>
      </w:rPr>
      <w:t>стр</w:t>
    </w:r>
    <w:r w:rsidRPr="004C3915">
      <w:rPr>
        <w:lang w:val="ru-RU"/>
      </w:rPr>
      <w:t xml:space="preserve">. </w:t>
    </w:r>
    <w:r w:rsidR="00E41F30">
      <w:t>2</w:t>
    </w:r>
  </w:p>
  <w:p w:rsidR="0015383C" w:rsidRPr="0004621A" w:rsidRDefault="0015383C" w:rsidP="00207BFD">
    <w:pPr>
      <w:pStyle w:val="Header"/>
      <w:jc w:val="right"/>
      <w:rPr>
        <w:lang w:val="fr-FR"/>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83C" w:rsidRDefault="0015383C" w:rsidP="00207BFD">
    <w:pPr>
      <w:jc w:val="right"/>
    </w:pPr>
    <w:r>
      <w:t>WO/PBC/26/9</w:t>
    </w:r>
  </w:p>
  <w:p w:rsidR="0015383C" w:rsidRDefault="0015383C" w:rsidP="00895921">
    <w:pPr>
      <w:pStyle w:val="Header"/>
      <w:jc w:val="right"/>
    </w:pPr>
    <w:r>
      <w:rPr>
        <w:lang w:val="ru-RU"/>
      </w:rPr>
      <w:t>ПРИЛОЖЕНИЕ</w:t>
    </w:r>
    <w:r>
      <w:t xml:space="preserve"> VII</w:t>
    </w:r>
  </w:p>
  <w:p w:rsidR="0015383C" w:rsidRDefault="0015383C" w:rsidP="00207BFD">
    <w:pPr>
      <w:pStyle w:val="Heade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83C" w:rsidRPr="00207BFD" w:rsidRDefault="0015383C" w:rsidP="00207BFD">
    <w:pPr>
      <w:jc w:val="right"/>
      <w:rPr>
        <w:lang w:val="fr-FR"/>
      </w:rPr>
    </w:pPr>
    <w:r w:rsidRPr="00207BFD">
      <w:rPr>
        <w:lang w:val="fr-FR"/>
      </w:rPr>
      <w:t>WO/PBC/24/9</w:t>
    </w:r>
  </w:p>
  <w:p w:rsidR="0015383C" w:rsidRPr="00207BFD" w:rsidRDefault="0015383C" w:rsidP="009C75B6">
    <w:pPr>
      <w:pStyle w:val="Header"/>
      <w:jc w:val="right"/>
      <w:rPr>
        <w:lang w:val="fr-FR"/>
      </w:rPr>
    </w:pPr>
    <w:proofErr w:type="spellStart"/>
    <w:r w:rsidRPr="00207BFD">
      <w:rPr>
        <w:lang w:val="fr-FR"/>
      </w:rPr>
      <w:t>Annex</w:t>
    </w:r>
    <w:proofErr w:type="spellEnd"/>
    <w:r w:rsidRPr="00207BFD">
      <w:rPr>
        <w:lang w:val="fr-FR"/>
      </w:rPr>
      <w:t xml:space="preserve"> </w:t>
    </w:r>
    <w:r>
      <w:rPr>
        <w:lang w:val="fr-FR"/>
      </w:rPr>
      <w:t>VI</w:t>
    </w:r>
    <w:r w:rsidRPr="00207BFD">
      <w:rPr>
        <w:lang w:val="fr-FR"/>
      </w:rPr>
      <w:t xml:space="preserve">, page </w:t>
    </w:r>
    <w:r>
      <w:fldChar w:fldCharType="begin"/>
    </w:r>
    <w:r w:rsidRPr="00207BFD">
      <w:rPr>
        <w:lang w:val="fr-FR"/>
      </w:rPr>
      <w:instrText xml:space="preserve"> PAGE   \* MERGEFORMAT </w:instrText>
    </w:r>
    <w:r>
      <w:fldChar w:fldCharType="separate"/>
    </w:r>
    <w:r>
      <w:rPr>
        <w:noProof/>
        <w:lang w:val="fr-FR"/>
      </w:rPr>
      <w:t>2</w:t>
    </w:r>
    <w:r>
      <w:rPr>
        <w:noProof/>
      </w:rPr>
      <w:fldChar w:fldCharType="end"/>
    </w:r>
  </w:p>
  <w:p w:rsidR="0015383C" w:rsidRPr="00207BFD" w:rsidRDefault="0015383C" w:rsidP="00207BFD">
    <w:pPr>
      <w:pStyle w:val="Header"/>
      <w:jc w:val="right"/>
      <w:rPr>
        <w:lang w:val="fr-FR"/>
      </w:rPr>
    </w:pPr>
  </w:p>
  <w:p w:rsidR="0015383C" w:rsidRPr="0015383C" w:rsidRDefault="0015383C">
    <w:pPr>
      <w:rPr>
        <w:lang w:val="fr-CH"/>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83C" w:rsidRDefault="0015383C" w:rsidP="00207BFD">
    <w:pPr>
      <w:jc w:val="right"/>
    </w:pPr>
    <w:r>
      <w:t>WO/PBC/26/9</w:t>
    </w:r>
  </w:p>
  <w:p w:rsidR="0015383C" w:rsidRDefault="0015383C" w:rsidP="0004621A">
    <w:pPr>
      <w:pStyle w:val="Header"/>
      <w:jc w:val="right"/>
    </w:pPr>
    <w:r>
      <w:rPr>
        <w:lang w:val="ru-RU"/>
      </w:rPr>
      <w:t>ПРИЛОЖЕНИЕ</w:t>
    </w:r>
    <w:r>
      <w:t xml:space="preserve"> VIII</w:t>
    </w:r>
  </w:p>
  <w:p w:rsidR="0015383C" w:rsidRDefault="0015383C" w:rsidP="00207BFD">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83C" w:rsidRDefault="0015383C" w:rsidP="00207BFD">
    <w:pPr>
      <w:jc w:val="right"/>
    </w:pPr>
    <w:r>
      <w:t>WO/PBC/26/9</w:t>
    </w:r>
  </w:p>
  <w:p w:rsidR="0015383C" w:rsidRDefault="0015383C" w:rsidP="00207BFD">
    <w:pPr>
      <w:pStyle w:val="Header"/>
      <w:jc w:val="right"/>
    </w:pPr>
    <w:r>
      <w:t>ПРИЛОЖЕНИЕ I</w:t>
    </w:r>
  </w:p>
  <w:p w:rsidR="0015383C" w:rsidRDefault="0015383C" w:rsidP="00207BF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83C" w:rsidRPr="004C3915" w:rsidRDefault="0015383C" w:rsidP="00207BFD">
    <w:pPr>
      <w:jc w:val="right"/>
      <w:rPr>
        <w:lang w:val="ru-RU"/>
      </w:rPr>
    </w:pPr>
    <w:r w:rsidRPr="0004621A">
      <w:rPr>
        <w:lang w:val="fr-FR"/>
      </w:rPr>
      <w:t>WO</w:t>
    </w:r>
    <w:r w:rsidRPr="004C3915">
      <w:rPr>
        <w:lang w:val="ru-RU"/>
      </w:rPr>
      <w:t>/</w:t>
    </w:r>
    <w:r w:rsidRPr="0004621A">
      <w:rPr>
        <w:lang w:val="fr-FR"/>
      </w:rPr>
      <w:t>PBC</w:t>
    </w:r>
    <w:r w:rsidRPr="004C3915">
      <w:rPr>
        <w:lang w:val="ru-RU"/>
      </w:rPr>
      <w:t>/26/9</w:t>
    </w:r>
  </w:p>
  <w:p w:rsidR="0015383C" w:rsidRPr="0004621A" w:rsidRDefault="0015383C" w:rsidP="00207BFD">
    <w:pPr>
      <w:pStyle w:val="Header"/>
      <w:jc w:val="right"/>
      <w:rPr>
        <w:lang w:val="fr-FR"/>
      </w:rPr>
    </w:pPr>
    <w:r w:rsidRPr="004C3915">
      <w:rPr>
        <w:lang w:val="ru-RU"/>
      </w:rPr>
      <w:t xml:space="preserve">Приложение </w:t>
    </w:r>
    <w:r w:rsidRPr="0004621A">
      <w:rPr>
        <w:lang w:val="fr-FR"/>
      </w:rPr>
      <w:t>II</w:t>
    </w:r>
    <w:r w:rsidRPr="004C3915">
      <w:rPr>
        <w:lang w:val="ru-RU"/>
      </w:rPr>
      <w:t xml:space="preserve">, </w:t>
    </w:r>
    <w:r>
      <w:rPr>
        <w:lang w:val="ru-RU"/>
      </w:rPr>
      <w:t>стр</w:t>
    </w:r>
    <w:r w:rsidRPr="004C3915">
      <w:rPr>
        <w:lang w:val="ru-RU"/>
      </w:rPr>
      <w:t xml:space="preserve">. </w:t>
    </w:r>
    <w:r>
      <w:fldChar w:fldCharType="begin"/>
    </w:r>
    <w:r w:rsidRPr="004C3915">
      <w:rPr>
        <w:lang w:val="ru-RU"/>
      </w:rPr>
      <w:instrText xml:space="preserve"> </w:instrText>
    </w:r>
    <w:r w:rsidRPr="0004621A">
      <w:rPr>
        <w:lang w:val="fr-FR"/>
      </w:rPr>
      <w:instrText>PAGE</w:instrText>
    </w:r>
    <w:r w:rsidRPr="004C3915">
      <w:rPr>
        <w:lang w:val="ru-RU"/>
      </w:rPr>
      <w:instrText xml:space="preserve">   \* </w:instrText>
    </w:r>
    <w:r w:rsidRPr="0004621A">
      <w:rPr>
        <w:lang w:val="fr-FR"/>
      </w:rPr>
      <w:instrText>MERGEFORMAT</w:instrText>
    </w:r>
    <w:r w:rsidRPr="004C3915">
      <w:rPr>
        <w:lang w:val="ru-RU"/>
      </w:rPr>
      <w:instrText xml:space="preserve"> </w:instrText>
    </w:r>
    <w:r>
      <w:fldChar w:fldCharType="separate"/>
    </w:r>
    <w:r w:rsidR="00E41F30" w:rsidRPr="00E41F30">
      <w:rPr>
        <w:noProof/>
        <w:lang w:val="fr-FR"/>
      </w:rPr>
      <w:t>3</w:t>
    </w:r>
    <w:r>
      <w:rPr>
        <w:noProof/>
      </w:rPr>
      <w:fldChar w:fldCharType="end"/>
    </w:r>
  </w:p>
  <w:p w:rsidR="0015383C" w:rsidRPr="0004621A" w:rsidRDefault="0015383C" w:rsidP="00207BFD">
    <w:pPr>
      <w:pStyle w:val="Header"/>
      <w:jc w:val="right"/>
      <w:rPr>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83C" w:rsidRDefault="0015383C" w:rsidP="00207BFD">
    <w:pPr>
      <w:jc w:val="right"/>
    </w:pPr>
    <w:r>
      <w:t>WO/PBC/26/9</w:t>
    </w:r>
  </w:p>
  <w:p w:rsidR="0015383C" w:rsidRDefault="0015383C" w:rsidP="00207BFD">
    <w:pPr>
      <w:pStyle w:val="Header"/>
      <w:jc w:val="right"/>
    </w:pPr>
    <w:r>
      <w:t>ПРИЛОЖЕНИЕ II</w:t>
    </w:r>
  </w:p>
  <w:p w:rsidR="0015383C" w:rsidRDefault="0015383C" w:rsidP="00207BFD">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83C" w:rsidRPr="004C3915" w:rsidRDefault="0015383C" w:rsidP="00207BFD">
    <w:pPr>
      <w:jc w:val="right"/>
      <w:rPr>
        <w:lang w:val="ru-RU"/>
      </w:rPr>
    </w:pPr>
    <w:r w:rsidRPr="0004621A">
      <w:rPr>
        <w:lang w:val="fr-FR"/>
      </w:rPr>
      <w:t>WO</w:t>
    </w:r>
    <w:r w:rsidRPr="004C3915">
      <w:rPr>
        <w:lang w:val="ru-RU"/>
      </w:rPr>
      <w:t>/</w:t>
    </w:r>
    <w:r w:rsidRPr="0004621A">
      <w:rPr>
        <w:lang w:val="fr-FR"/>
      </w:rPr>
      <w:t>PBC</w:t>
    </w:r>
    <w:r w:rsidRPr="004C3915">
      <w:rPr>
        <w:lang w:val="ru-RU"/>
      </w:rPr>
      <w:t>/26/9</w:t>
    </w:r>
  </w:p>
  <w:p w:rsidR="0015383C" w:rsidRPr="0004621A" w:rsidRDefault="0015383C" w:rsidP="00207BFD">
    <w:pPr>
      <w:pStyle w:val="Header"/>
      <w:jc w:val="right"/>
      <w:rPr>
        <w:lang w:val="fr-FR"/>
      </w:rPr>
    </w:pPr>
    <w:r w:rsidRPr="004C3915">
      <w:rPr>
        <w:lang w:val="ru-RU"/>
      </w:rPr>
      <w:t xml:space="preserve">Приложение </w:t>
    </w:r>
    <w:r w:rsidRPr="0004621A">
      <w:rPr>
        <w:lang w:val="fr-FR"/>
      </w:rPr>
      <w:t>I</w:t>
    </w:r>
    <w:r>
      <w:rPr>
        <w:lang w:val="fr-FR"/>
      </w:rPr>
      <w:t>I</w:t>
    </w:r>
    <w:r w:rsidRPr="0004621A">
      <w:rPr>
        <w:lang w:val="fr-FR"/>
      </w:rPr>
      <w:t>I</w:t>
    </w:r>
    <w:r w:rsidRPr="004C3915">
      <w:rPr>
        <w:lang w:val="ru-RU"/>
      </w:rPr>
      <w:t xml:space="preserve">, </w:t>
    </w:r>
    <w:r>
      <w:rPr>
        <w:lang w:val="ru-RU"/>
      </w:rPr>
      <w:t>стр</w:t>
    </w:r>
    <w:r w:rsidRPr="004C3915">
      <w:rPr>
        <w:lang w:val="ru-RU"/>
      </w:rPr>
      <w:t xml:space="preserve">. </w:t>
    </w:r>
    <w:r>
      <w:fldChar w:fldCharType="begin"/>
    </w:r>
    <w:r w:rsidRPr="004C3915">
      <w:rPr>
        <w:lang w:val="ru-RU"/>
      </w:rPr>
      <w:instrText xml:space="preserve"> </w:instrText>
    </w:r>
    <w:r w:rsidRPr="0004621A">
      <w:rPr>
        <w:lang w:val="fr-FR"/>
      </w:rPr>
      <w:instrText>PAGE</w:instrText>
    </w:r>
    <w:r w:rsidRPr="004C3915">
      <w:rPr>
        <w:lang w:val="ru-RU"/>
      </w:rPr>
      <w:instrText xml:space="preserve">   \* </w:instrText>
    </w:r>
    <w:r w:rsidRPr="0004621A">
      <w:rPr>
        <w:lang w:val="fr-FR"/>
      </w:rPr>
      <w:instrText>MERGEFORMAT</w:instrText>
    </w:r>
    <w:r w:rsidRPr="004C3915">
      <w:rPr>
        <w:lang w:val="ru-RU"/>
      </w:rPr>
      <w:instrText xml:space="preserve"> </w:instrText>
    </w:r>
    <w:r>
      <w:fldChar w:fldCharType="separate"/>
    </w:r>
    <w:r w:rsidR="00E41F30" w:rsidRPr="00E41F30">
      <w:rPr>
        <w:noProof/>
        <w:lang w:val="fr-FR"/>
      </w:rPr>
      <w:t>2</w:t>
    </w:r>
    <w:r>
      <w:rPr>
        <w:noProof/>
      </w:rPr>
      <w:fldChar w:fldCharType="end"/>
    </w:r>
  </w:p>
  <w:p w:rsidR="0015383C" w:rsidRPr="0004621A" w:rsidRDefault="0015383C" w:rsidP="00207BFD">
    <w:pPr>
      <w:pStyle w:val="Header"/>
      <w:jc w:val="right"/>
      <w:rPr>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83C" w:rsidRDefault="0015383C" w:rsidP="00207BFD">
    <w:pPr>
      <w:jc w:val="right"/>
    </w:pPr>
    <w:r>
      <w:t>WO/PBC/26/9</w:t>
    </w:r>
  </w:p>
  <w:p w:rsidR="0015383C" w:rsidRDefault="0015383C" w:rsidP="00207BFD">
    <w:pPr>
      <w:pStyle w:val="Header"/>
      <w:jc w:val="right"/>
    </w:pPr>
    <w:r>
      <w:t>ПРИЛОЖЕНИЕ III</w:t>
    </w:r>
  </w:p>
  <w:p w:rsidR="0015383C" w:rsidRDefault="0015383C" w:rsidP="00207BFD">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83C" w:rsidRPr="004C3915" w:rsidRDefault="0015383C" w:rsidP="00207BFD">
    <w:pPr>
      <w:jc w:val="right"/>
      <w:rPr>
        <w:lang w:val="ru-RU"/>
      </w:rPr>
    </w:pPr>
    <w:r w:rsidRPr="0004621A">
      <w:rPr>
        <w:lang w:val="fr-FR"/>
      </w:rPr>
      <w:t>WO</w:t>
    </w:r>
    <w:r w:rsidRPr="004C3915">
      <w:rPr>
        <w:lang w:val="ru-RU"/>
      </w:rPr>
      <w:t>/</w:t>
    </w:r>
    <w:r w:rsidRPr="0004621A">
      <w:rPr>
        <w:lang w:val="fr-FR"/>
      </w:rPr>
      <w:t>PBC</w:t>
    </w:r>
    <w:r w:rsidRPr="004C3915">
      <w:rPr>
        <w:lang w:val="ru-RU"/>
      </w:rPr>
      <w:t>/26/9</w:t>
    </w:r>
  </w:p>
  <w:p w:rsidR="0015383C" w:rsidRPr="0004621A" w:rsidRDefault="0015383C" w:rsidP="009C75B6">
    <w:pPr>
      <w:pStyle w:val="Header"/>
      <w:jc w:val="right"/>
      <w:rPr>
        <w:lang w:val="fr-FR"/>
      </w:rPr>
    </w:pPr>
    <w:r w:rsidRPr="004C3915">
      <w:rPr>
        <w:lang w:val="ru-RU"/>
      </w:rPr>
      <w:t xml:space="preserve">Приложение </w:t>
    </w:r>
    <w:r w:rsidRPr="0004621A">
      <w:rPr>
        <w:lang w:val="fr-FR"/>
      </w:rPr>
      <w:t>I</w:t>
    </w:r>
    <w:r>
      <w:rPr>
        <w:lang w:val="fr-FR"/>
      </w:rPr>
      <w:t>V</w:t>
    </w:r>
    <w:r w:rsidRPr="004C3915">
      <w:rPr>
        <w:lang w:val="ru-RU"/>
      </w:rPr>
      <w:t xml:space="preserve">, </w:t>
    </w:r>
    <w:r>
      <w:rPr>
        <w:lang w:val="ru-RU"/>
      </w:rPr>
      <w:t>стр</w:t>
    </w:r>
    <w:r w:rsidRPr="004C3915">
      <w:rPr>
        <w:lang w:val="ru-RU"/>
      </w:rPr>
      <w:t xml:space="preserve">. </w:t>
    </w:r>
    <w:r>
      <w:fldChar w:fldCharType="begin"/>
    </w:r>
    <w:r w:rsidRPr="004C3915">
      <w:rPr>
        <w:lang w:val="ru-RU"/>
      </w:rPr>
      <w:instrText xml:space="preserve"> </w:instrText>
    </w:r>
    <w:r w:rsidRPr="0004621A">
      <w:rPr>
        <w:lang w:val="fr-FR"/>
      </w:rPr>
      <w:instrText>PAGE</w:instrText>
    </w:r>
    <w:r w:rsidRPr="004C3915">
      <w:rPr>
        <w:lang w:val="ru-RU"/>
      </w:rPr>
      <w:instrText xml:space="preserve">   \* </w:instrText>
    </w:r>
    <w:r w:rsidRPr="0004621A">
      <w:rPr>
        <w:lang w:val="fr-FR"/>
      </w:rPr>
      <w:instrText>MERGEFORMAT</w:instrText>
    </w:r>
    <w:r w:rsidRPr="004C3915">
      <w:rPr>
        <w:lang w:val="ru-RU"/>
      </w:rPr>
      <w:instrText xml:space="preserve"> </w:instrText>
    </w:r>
    <w:r>
      <w:fldChar w:fldCharType="separate"/>
    </w:r>
    <w:r w:rsidR="00E41F30" w:rsidRPr="00E41F30">
      <w:rPr>
        <w:noProof/>
        <w:lang w:val="fr-FR"/>
      </w:rPr>
      <w:t>2</w:t>
    </w:r>
    <w:r>
      <w:rPr>
        <w:noProof/>
      </w:rPr>
      <w:fldChar w:fldCharType="end"/>
    </w:r>
  </w:p>
  <w:p w:rsidR="0015383C" w:rsidRPr="0004621A" w:rsidRDefault="0015383C" w:rsidP="00207BFD">
    <w:pPr>
      <w:pStyle w:val="Header"/>
      <w:jc w:val="right"/>
      <w:rPr>
        <w:lang w:val="fr-F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83C" w:rsidRDefault="0015383C" w:rsidP="00207BFD">
    <w:pPr>
      <w:jc w:val="right"/>
    </w:pPr>
    <w:r>
      <w:t>WO/PBC/26/9</w:t>
    </w:r>
  </w:p>
  <w:p w:rsidR="0015383C" w:rsidRDefault="0015383C" w:rsidP="00207BFD">
    <w:pPr>
      <w:pStyle w:val="Header"/>
      <w:jc w:val="right"/>
    </w:pPr>
    <w:r>
      <w:t>ПРИЛОЖЕНИЕ IV</w:t>
    </w:r>
  </w:p>
  <w:p w:rsidR="0015383C" w:rsidRDefault="0015383C" w:rsidP="00207BFD">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83C" w:rsidRPr="004C3915" w:rsidRDefault="0015383C" w:rsidP="00207BFD">
    <w:pPr>
      <w:jc w:val="right"/>
      <w:rPr>
        <w:lang w:val="ru-RU"/>
      </w:rPr>
    </w:pPr>
    <w:r w:rsidRPr="0004621A">
      <w:rPr>
        <w:lang w:val="fr-FR"/>
      </w:rPr>
      <w:t>WO</w:t>
    </w:r>
    <w:r w:rsidRPr="004C3915">
      <w:rPr>
        <w:lang w:val="ru-RU"/>
      </w:rPr>
      <w:t>/</w:t>
    </w:r>
    <w:r w:rsidRPr="0004621A">
      <w:rPr>
        <w:lang w:val="fr-FR"/>
      </w:rPr>
      <w:t>PBC</w:t>
    </w:r>
    <w:r w:rsidRPr="004C3915">
      <w:rPr>
        <w:lang w:val="ru-RU"/>
      </w:rPr>
      <w:t>/26/9</w:t>
    </w:r>
  </w:p>
  <w:p w:rsidR="0015383C" w:rsidRPr="0004621A" w:rsidRDefault="0015383C" w:rsidP="00207BFD">
    <w:pPr>
      <w:pStyle w:val="Header"/>
      <w:jc w:val="right"/>
      <w:rPr>
        <w:lang w:val="fr-FR"/>
      </w:rPr>
    </w:pPr>
    <w:r w:rsidRPr="004C3915">
      <w:rPr>
        <w:lang w:val="ru-RU"/>
      </w:rPr>
      <w:t xml:space="preserve">Приложение </w:t>
    </w:r>
    <w:r>
      <w:rPr>
        <w:lang w:val="fr-FR"/>
      </w:rPr>
      <w:t>V</w:t>
    </w:r>
    <w:r w:rsidRPr="004C3915">
      <w:rPr>
        <w:lang w:val="ru-RU"/>
      </w:rPr>
      <w:t xml:space="preserve">, </w:t>
    </w:r>
    <w:r>
      <w:rPr>
        <w:lang w:val="ru-RU"/>
      </w:rPr>
      <w:t>стр</w:t>
    </w:r>
    <w:r w:rsidRPr="004C3915">
      <w:rPr>
        <w:lang w:val="ru-RU"/>
      </w:rPr>
      <w:t xml:space="preserve">. </w:t>
    </w:r>
    <w:r>
      <w:fldChar w:fldCharType="begin"/>
    </w:r>
    <w:r w:rsidRPr="004C3915">
      <w:rPr>
        <w:lang w:val="ru-RU"/>
      </w:rPr>
      <w:instrText xml:space="preserve"> </w:instrText>
    </w:r>
    <w:r w:rsidRPr="0004621A">
      <w:rPr>
        <w:lang w:val="fr-FR"/>
      </w:rPr>
      <w:instrText>PAGE</w:instrText>
    </w:r>
    <w:r w:rsidRPr="004C3915">
      <w:rPr>
        <w:lang w:val="ru-RU"/>
      </w:rPr>
      <w:instrText xml:space="preserve">   \* </w:instrText>
    </w:r>
    <w:r w:rsidRPr="0004621A">
      <w:rPr>
        <w:lang w:val="fr-FR"/>
      </w:rPr>
      <w:instrText>MERGEFORMAT</w:instrText>
    </w:r>
    <w:r w:rsidRPr="004C3915">
      <w:rPr>
        <w:lang w:val="ru-RU"/>
      </w:rPr>
      <w:instrText xml:space="preserve"> </w:instrText>
    </w:r>
    <w:r>
      <w:fldChar w:fldCharType="separate"/>
    </w:r>
    <w:r w:rsidR="00E41F30" w:rsidRPr="00E41F30">
      <w:rPr>
        <w:noProof/>
        <w:lang w:val="fr-FR"/>
      </w:rPr>
      <w:t>2</w:t>
    </w:r>
    <w:r>
      <w:rPr>
        <w:noProof/>
      </w:rPr>
      <w:fldChar w:fldCharType="end"/>
    </w:r>
  </w:p>
  <w:p w:rsidR="0015383C" w:rsidRPr="0004621A" w:rsidRDefault="0015383C" w:rsidP="00207BFD">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F6953CB"/>
    <w:multiLevelType w:val="hybridMultilevel"/>
    <w:tmpl w:val="BC2447DE"/>
    <w:lvl w:ilvl="0" w:tplc="DFEE2808">
      <w:start w:val="270"/>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6D03EA"/>
    <w:multiLevelType w:val="hybridMultilevel"/>
    <w:tmpl w:val="EFBED9DA"/>
    <w:lvl w:ilvl="0" w:tplc="5EAED6BA">
      <w:start w:val="1"/>
      <w:numFmt w:val="decimal"/>
      <w:lvlText w:val="%1."/>
      <w:lvlJc w:val="left"/>
      <w:pPr>
        <w:tabs>
          <w:tab w:val="num" w:pos="567"/>
        </w:tabs>
        <w:ind w:left="0" w:firstLine="0"/>
      </w:pPr>
      <w:rPr>
        <w:rFonts w:hint="default"/>
      </w:rPr>
    </w:lvl>
    <w:lvl w:ilvl="1" w:tplc="160E8812">
      <w:start w:val="1"/>
      <w:numFmt w:val="lowerLetter"/>
      <w:lvlText w:val="(%2)"/>
      <w:lvlJc w:val="left"/>
      <w:pPr>
        <w:tabs>
          <w:tab w:val="num" w:pos="1440"/>
        </w:tabs>
        <w:ind w:left="1440" w:hanging="360"/>
      </w:pPr>
      <w:rPr>
        <w:rFonts w:hint="default"/>
      </w:rPr>
    </w:lvl>
    <w:lvl w:ilvl="2" w:tplc="8968E54A">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7E848DC">
      <w:start w:val="1"/>
      <w:numFmt w:val="lowerRoman"/>
      <w:lvlText w:val="(%6)"/>
      <w:lvlJc w:val="left"/>
      <w:pPr>
        <w:tabs>
          <w:tab w:val="num" w:pos="4310"/>
        </w:tabs>
        <w:ind w:left="4140" w:firstLine="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A597882"/>
    <w:multiLevelType w:val="hybridMultilevel"/>
    <w:tmpl w:val="CB0055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201C06"/>
    <w:multiLevelType w:val="hybridMultilevel"/>
    <w:tmpl w:val="ABF8D9AC"/>
    <w:lvl w:ilvl="0" w:tplc="100C0001">
      <w:start w:val="1"/>
      <w:numFmt w:val="bullet"/>
      <w:lvlText w:val=""/>
      <w:lvlJc w:val="left"/>
      <w:pPr>
        <w:ind w:left="778" w:hanging="360"/>
      </w:pPr>
      <w:rPr>
        <w:rFonts w:ascii="Symbol" w:hAnsi="Symbol" w:hint="default"/>
      </w:rPr>
    </w:lvl>
    <w:lvl w:ilvl="1" w:tplc="100C0003" w:tentative="1">
      <w:start w:val="1"/>
      <w:numFmt w:val="bullet"/>
      <w:lvlText w:val="o"/>
      <w:lvlJc w:val="left"/>
      <w:pPr>
        <w:ind w:left="1498" w:hanging="360"/>
      </w:pPr>
      <w:rPr>
        <w:rFonts w:ascii="Courier New" w:hAnsi="Courier New" w:cs="Courier New" w:hint="default"/>
      </w:rPr>
    </w:lvl>
    <w:lvl w:ilvl="2" w:tplc="100C0005" w:tentative="1">
      <w:start w:val="1"/>
      <w:numFmt w:val="bullet"/>
      <w:lvlText w:val=""/>
      <w:lvlJc w:val="left"/>
      <w:pPr>
        <w:ind w:left="2218" w:hanging="360"/>
      </w:pPr>
      <w:rPr>
        <w:rFonts w:ascii="Wingdings" w:hAnsi="Wingdings" w:hint="default"/>
      </w:rPr>
    </w:lvl>
    <w:lvl w:ilvl="3" w:tplc="100C0001" w:tentative="1">
      <w:start w:val="1"/>
      <w:numFmt w:val="bullet"/>
      <w:lvlText w:val=""/>
      <w:lvlJc w:val="left"/>
      <w:pPr>
        <w:ind w:left="2938" w:hanging="360"/>
      </w:pPr>
      <w:rPr>
        <w:rFonts w:ascii="Symbol" w:hAnsi="Symbol" w:hint="default"/>
      </w:rPr>
    </w:lvl>
    <w:lvl w:ilvl="4" w:tplc="100C0003" w:tentative="1">
      <w:start w:val="1"/>
      <w:numFmt w:val="bullet"/>
      <w:lvlText w:val="o"/>
      <w:lvlJc w:val="left"/>
      <w:pPr>
        <w:ind w:left="3658" w:hanging="360"/>
      </w:pPr>
      <w:rPr>
        <w:rFonts w:ascii="Courier New" w:hAnsi="Courier New" w:cs="Courier New" w:hint="default"/>
      </w:rPr>
    </w:lvl>
    <w:lvl w:ilvl="5" w:tplc="100C0005" w:tentative="1">
      <w:start w:val="1"/>
      <w:numFmt w:val="bullet"/>
      <w:lvlText w:val=""/>
      <w:lvlJc w:val="left"/>
      <w:pPr>
        <w:ind w:left="4378" w:hanging="360"/>
      </w:pPr>
      <w:rPr>
        <w:rFonts w:ascii="Wingdings" w:hAnsi="Wingdings" w:hint="default"/>
      </w:rPr>
    </w:lvl>
    <w:lvl w:ilvl="6" w:tplc="100C0001" w:tentative="1">
      <w:start w:val="1"/>
      <w:numFmt w:val="bullet"/>
      <w:lvlText w:val=""/>
      <w:lvlJc w:val="left"/>
      <w:pPr>
        <w:ind w:left="5098" w:hanging="360"/>
      </w:pPr>
      <w:rPr>
        <w:rFonts w:ascii="Symbol" w:hAnsi="Symbol" w:hint="default"/>
      </w:rPr>
    </w:lvl>
    <w:lvl w:ilvl="7" w:tplc="100C0003" w:tentative="1">
      <w:start w:val="1"/>
      <w:numFmt w:val="bullet"/>
      <w:lvlText w:val="o"/>
      <w:lvlJc w:val="left"/>
      <w:pPr>
        <w:ind w:left="5818" w:hanging="360"/>
      </w:pPr>
      <w:rPr>
        <w:rFonts w:ascii="Courier New" w:hAnsi="Courier New" w:cs="Courier New" w:hint="default"/>
      </w:rPr>
    </w:lvl>
    <w:lvl w:ilvl="8" w:tplc="100C0005" w:tentative="1">
      <w:start w:val="1"/>
      <w:numFmt w:val="bullet"/>
      <w:lvlText w:val=""/>
      <w:lvlJc w:val="left"/>
      <w:pPr>
        <w:ind w:left="6538" w:hanging="360"/>
      </w:pPr>
      <w:rPr>
        <w:rFonts w:ascii="Wingdings" w:hAnsi="Wingdings" w:hint="default"/>
      </w:rPr>
    </w:lvl>
  </w:abstractNum>
  <w:abstractNum w:abstractNumId="6">
    <w:nsid w:val="22BB164B"/>
    <w:multiLevelType w:val="hybridMultilevel"/>
    <w:tmpl w:val="D584B60C"/>
    <w:lvl w:ilvl="0" w:tplc="87984120">
      <w:start w:val="1"/>
      <w:numFmt w:val="lowerRoman"/>
      <w:lvlText w:val="(%1)"/>
      <w:lvlJc w:val="left"/>
      <w:pPr>
        <w:ind w:left="720" w:hanging="360"/>
      </w:pPr>
      <w:rPr>
        <w:rFonts w:ascii="Arial" w:hAnsi="Arial" w:cs="Arial"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0539C6"/>
    <w:multiLevelType w:val="hybridMultilevel"/>
    <w:tmpl w:val="DD3006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D85B20"/>
    <w:multiLevelType w:val="hybridMultilevel"/>
    <w:tmpl w:val="20780070"/>
    <w:lvl w:ilvl="0" w:tplc="7CC65126">
      <w:start w:val="1"/>
      <w:numFmt w:val="decimal"/>
      <w:lvlText w:val="%1."/>
      <w:lvlJc w:val="left"/>
      <w:pPr>
        <w:ind w:left="720" w:hanging="360"/>
      </w:pPr>
      <w:rPr>
        <w:b w:val="0"/>
        <w:bCs w:val="0"/>
      </w:rPr>
    </w:lvl>
    <w:lvl w:ilvl="1" w:tplc="87984120">
      <w:start w:val="1"/>
      <w:numFmt w:val="lowerRoman"/>
      <w:lvlText w:val="(%2)"/>
      <w:lvlJc w:val="left"/>
      <w:pPr>
        <w:ind w:left="1440" w:hanging="360"/>
      </w:pPr>
      <w:rPr>
        <w:rFonts w:ascii="Arial" w:hAnsi="Arial" w:cs="Arial" w:hint="default"/>
        <w:sz w:val="21"/>
        <w:szCs w:val="21"/>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A17373"/>
    <w:multiLevelType w:val="hybridMultilevel"/>
    <w:tmpl w:val="8DB8656C"/>
    <w:lvl w:ilvl="0" w:tplc="0538A8FE">
      <w:start w:val="1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523799"/>
    <w:multiLevelType w:val="hybridMultilevel"/>
    <w:tmpl w:val="507AA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7D5DCC"/>
    <w:multiLevelType w:val="hybridMultilevel"/>
    <w:tmpl w:val="0DE8C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BE7BF8"/>
    <w:multiLevelType w:val="hybridMultilevel"/>
    <w:tmpl w:val="6AF22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4D03E7A"/>
    <w:multiLevelType w:val="hybridMultilevel"/>
    <w:tmpl w:val="1158CE02"/>
    <w:lvl w:ilvl="0" w:tplc="DFEE2808">
      <w:start w:val="270"/>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8433A1"/>
    <w:multiLevelType w:val="hybridMultilevel"/>
    <w:tmpl w:val="ACBC1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594C6A"/>
    <w:multiLevelType w:val="hybridMultilevel"/>
    <w:tmpl w:val="FE50C8F8"/>
    <w:lvl w:ilvl="0" w:tplc="DFEE2808">
      <w:start w:val="270"/>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CD670EA"/>
    <w:multiLevelType w:val="hybridMultilevel"/>
    <w:tmpl w:val="02527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C512A0"/>
    <w:multiLevelType w:val="hybridMultilevel"/>
    <w:tmpl w:val="D74A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2B1340"/>
    <w:multiLevelType w:val="hybridMultilevel"/>
    <w:tmpl w:val="52862DE6"/>
    <w:lvl w:ilvl="0" w:tplc="DFEE2808">
      <w:start w:val="270"/>
      <w:numFmt w:val="bullet"/>
      <w:lvlText w:val="-"/>
      <w:lvlJc w:val="left"/>
      <w:pPr>
        <w:ind w:left="778" w:hanging="360"/>
      </w:pPr>
      <w:rPr>
        <w:rFonts w:ascii="Arial" w:eastAsia="SimSun" w:hAnsi="Arial" w:cs="Arial" w:hint="default"/>
      </w:rPr>
    </w:lvl>
    <w:lvl w:ilvl="1" w:tplc="100C0003" w:tentative="1">
      <w:start w:val="1"/>
      <w:numFmt w:val="bullet"/>
      <w:lvlText w:val="o"/>
      <w:lvlJc w:val="left"/>
      <w:pPr>
        <w:ind w:left="1498" w:hanging="360"/>
      </w:pPr>
      <w:rPr>
        <w:rFonts w:ascii="Courier New" w:hAnsi="Courier New" w:cs="Courier New" w:hint="default"/>
      </w:rPr>
    </w:lvl>
    <w:lvl w:ilvl="2" w:tplc="100C0005" w:tentative="1">
      <w:start w:val="1"/>
      <w:numFmt w:val="bullet"/>
      <w:lvlText w:val=""/>
      <w:lvlJc w:val="left"/>
      <w:pPr>
        <w:ind w:left="2218" w:hanging="360"/>
      </w:pPr>
      <w:rPr>
        <w:rFonts w:ascii="Wingdings" w:hAnsi="Wingdings" w:hint="default"/>
      </w:rPr>
    </w:lvl>
    <w:lvl w:ilvl="3" w:tplc="100C0001" w:tentative="1">
      <w:start w:val="1"/>
      <w:numFmt w:val="bullet"/>
      <w:lvlText w:val=""/>
      <w:lvlJc w:val="left"/>
      <w:pPr>
        <w:ind w:left="2938" w:hanging="360"/>
      </w:pPr>
      <w:rPr>
        <w:rFonts w:ascii="Symbol" w:hAnsi="Symbol" w:hint="default"/>
      </w:rPr>
    </w:lvl>
    <w:lvl w:ilvl="4" w:tplc="100C0003" w:tentative="1">
      <w:start w:val="1"/>
      <w:numFmt w:val="bullet"/>
      <w:lvlText w:val="o"/>
      <w:lvlJc w:val="left"/>
      <w:pPr>
        <w:ind w:left="3658" w:hanging="360"/>
      </w:pPr>
      <w:rPr>
        <w:rFonts w:ascii="Courier New" w:hAnsi="Courier New" w:cs="Courier New" w:hint="default"/>
      </w:rPr>
    </w:lvl>
    <w:lvl w:ilvl="5" w:tplc="100C0005" w:tentative="1">
      <w:start w:val="1"/>
      <w:numFmt w:val="bullet"/>
      <w:lvlText w:val=""/>
      <w:lvlJc w:val="left"/>
      <w:pPr>
        <w:ind w:left="4378" w:hanging="360"/>
      </w:pPr>
      <w:rPr>
        <w:rFonts w:ascii="Wingdings" w:hAnsi="Wingdings" w:hint="default"/>
      </w:rPr>
    </w:lvl>
    <w:lvl w:ilvl="6" w:tplc="100C0001" w:tentative="1">
      <w:start w:val="1"/>
      <w:numFmt w:val="bullet"/>
      <w:lvlText w:val=""/>
      <w:lvlJc w:val="left"/>
      <w:pPr>
        <w:ind w:left="5098" w:hanging="360"/>
      </w:pPr>
      <w:rPr>
        <w:rFonts w:ascii="Symbol" w:hAnsi="Symbol" w:hint="default"/>
      </w:rPr>
    </w:lvl>
    <w:lvl w:ilvl="7" w:tplc="100C0003" w:tentative="1">
      <w:start w:val="1"/>
      <w:numFmt w:val="bullet"/>
      <w:lvlText w:val="o"/>
      <w:lvlJc w:val="left"/>
      <w:pPr>
        <w:ind w:left="5818" w:hanging="360"/>
      </w:pPr>
      <w:rPr>
        <w:rFonts w:ascii="Courier New" w:hAnsi="Courier New" w:cs="Courier New" w:hint="default"/>
      </w:rPr>
    </w:lvl>
    <w:lvl w:ilvl="8" w:tplc="100C0005" w:tentative="1">
      <w:start w:val="1"/>
      <w:numFmt w:val="bullet"/>
      <w:lvlText w:val=""/>
      <w:lvlJc w:val="left"/>
      <w:pPr>
        <w:ind w:left="6538" w:hanging="360"/>
      </w:pPr>
      <w:rPr>
        <w:rFonts w:ascii="Wingdings" w:hAnsi="Wingdings" w:hint="default"/>
      </w:rPr>
    </w:lvl>
  </w:abstractNum>
  <w:abstractNum w:abstractNumId="20">
    <w:nsid w:val="58103276"/>
    <w:multiLevelType w:val="hybridMultilevel"/>
    <w:tmpl w:val="50342B02"/>
    <w:lvl w:ilvl="0" w:tplc="DFEE2808">
      <w:start w:val="27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62796B"/>
    <w:multiLevelType w:val="hybridMultilevel"/>
    <w:tmpl w:val="9D7649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0F15563"/>
    <w:multiLevelType w:val="hybridMultilevel"/>
    <w:tmpl w:val="06D6A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971702"/>
    <w:multiLevelType w:val="hybridMultilevel"/>
    <w:tmpl w:val="EC4E2B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726741"/>
    <w:multiLevelType w:val="hybridMultilevel"/>
    <w:tmpl w:val="F3886446"/>
    <w:lvl w:ilvl="0" w:tplc="5EBCA74E">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nsid w:val="69FE7540"/>
    <w:multiLevelType w:val="hybridMultilevel"/>
    <w:tmpl w:val="CC7E92C4"/>
    <w:lvl w:ilvl="0" w:tplc="DFEE2808">
      <w:start w:val="27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F16638"/>
    <w:multiLevelType w:val="hybridMultilevel"/>
    <w:tmpl w:val="8034B5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000E65"/>
    <w:multiLevelType w:val="hybridMultilevel"/>
    <w:tmpl w:val="BD002FB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nsid w:val="7043784B"/>
    <w:multiLevelType w:val="hybridMultilevel"/>
    <w:tmpl w:val="560C9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743FAC"/>
    <w:multiLevelType w:val="hybridMultilevel"/>
    <w:tmpl w:val="F06E4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nsid w:val="76CC4620"/>
    <w:multiLevelType w:val="hybridMultilevel"/>
    <w:tmpl w:val="94CCF9CC"/>
    <w:lvl w:ilvl="0" w:tplc="DFEE2808">
      <w:start w:val="270"/>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E84FC5"/>
    <w:multiLevelType w:val="hybridMultilevel"/>
    <w:tmpl w:val="EB8A8CEE"/>
    <w:lvl w:ilvl="0" w:tplc="F78A101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A70109"/>
    <w:multiLevelType w:val="hybridMultilevel"/>
    <w:tmpl w:val="D4880E24"/>
    <w:lvl w:ilvl="0" w:tplc="0809000F">
      <w:start w:val="1"/>
      <w:numFmt w:val="decimal"/>
      <w:lvlText w:val="%1."/>
      <w:lvlJc w:val="left"/>
      <w:pPr>
        <w:ind w:left="720" w:hanging="360"/>
      </w:pPr>
      <w:rPr>
        <w:rFonts w:hint="default"/>
      </w:rPr>
    </w:lvl>
    <w:lvl w:ilvl="1" w:tplc="87984120">
      <w:start w:val="1"/>
      <w:numFmt w:val="lowerRoman"/>
      <w:lvlText w:val="(%2)"/>
      <w:lvlJc w:val="left"/>
      <w:pPr>
        <w:ind w:left="1440" w:hanging="360"/>
      </w:pPr>
      <w:rPr>
        <w:rFonts w:ascii="Arial" w:hAnsi="Arial" w:cs="Arial" w:hint="default"/>
        <w:sz w:val="21"/>
        <w:szCs w:val="2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6"/>
  </w:num>
  <w:num w:numId="3">
    <w:abstractNumId w:val="32"/>
  </w:num>
  <w:num w:numId="4">
    <w:abstractNumId w:val="26"/>
  </w:num>
  <w:num w:numId="5">
    <w:abstractNumId w:val="0"/>
  </w:num>
  <w:num w:numId="6">
    <w:abstractNumId w:val="22"/>
  </w:num>
  <w:num w:numId="7">
    <w:abstractNumId w:val="7"/>
  </w:num>
  <w:num w:numId="8">
    <w:abstractNumId w:val="25"/>
  </w:num>
  <w:num w:numId="9">
    <w:abstractNumId w:val="4"/>
  </w:num>
  <w:num w:numId="10">
    <w:abstractNumId w:val="23"/>
  </w:num>
  <w:num w:numId="11">
    <w:abstractNumId w:val="21"/>
  </w:num>
  <w:num w:numId="12">
    <w:abstractNumId w:val="28"/>
  </w:num>
  <w:num w:numId="13">
    <w:abstractNumId w:val="31"/>
  </w:num>
  <w:num w:numId="14">
    <w:abstractNumId w:val="12"/>
  </w:num>
  <w:num w:numId="15">
    <w:abstractNumId w:val="24"/>
  </w:num>
  <w:num w:numId="16">
    <w:abstractNumId w:val="5"/>
  </w:num>
  <w:num w:numId="17">
    <w:abstractNumId w:val="2"/>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30"/>
  </w:num>
  <w:num w:numId="21">
    <w:abstractNumId w:val="18"/>
  </w:num>
  <w:num w:numId="22">
    <w:abstractNumId w:val="9"/>
  </w:num>
  <w:num w:numId="23">
    <w:abstractNumId w:val="15"/>
  </w:num>
  <w:num w:numId="24">
    <w:abstractNumId w:val="1"/>
  </w:num>
  <w:num w:numId="25">
    <w:abstractNumId w:val="33"/>
  </w:num>
  <w:num w:numId="26">
    <w:abstractNumId w:val="11"/>
  </w:num>
  <w:num w:numId="27">
    <w:abstractNumId w:val="13"/>
  </w:num>
  <w:num w:numId="28">
    <w:abstractNumId w:val="29"/>
  </w:num>
  <w:num w:numId="29">
    <w:abstractNumId w:val="35"/>
  </w:num>
  <w:num w:numId="30">
    <w:abstractNumId w:val="27"/>
  </w:num>
  <w:num w:numId="31">
    <w:abstractNumId w:val="8"/>
  </w:num>
  <w:num w:numId="32">
    <w:abstractNumId w:val="6"/>
  </w:num>
  <w:num w:numId="33">
    <w:abstractNumId w:val="19"/>
  </w:num>
  <w:num w:numId="34">
    <w:abstractNumId w:val="20"/>
  </w:num>
  <w:num w:numId="35">
    <w:abstractNumId w:val="17"/>
  </w:num>
  <w:num w:numId="36">
    <w:abstractNumId w:val="10"/>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47A"/>
    <w:rsid w:val="00011824"/>
    <w:rsid w:val="00011C66"/>
    <w:rsid w:val="000200CF"/>
    <w:rsid w:val="000203FA"/>
    <w:rsid w:val="00026EAC"/>
    <w:rsid w:val="0003042D"/>
    <w:rsid w:val="00033E56"/>
    <w:rsid w:val="00040809"/>
    <w:rsid w:val="00040FDF"/>
    <w:rsid w:val="0004545E"/>
    <w:rsid w:val="0004621A"/>
    <w:rsid w:val="00051179"/>
    <w:rsid w:val="00061674"/>
    <w:rsid w:val="00062073"/>
    <w:rsid w:val="00063B55"/>
    <w:rsid w:val="00064B27"/>
    <w:rsid w:val="00065EFB"/>
    <w:rsid w:val="00066A75"/>
    <w:rsid w:val="000733CC"/>
    <w:rsid w:val="00076B1C"/>
    <w:rsid w:val="00080032"/>
    <w:rsid w:val="00080399"/>
    <w:rsid w:val="00080E57"/>
    <w:rsid w:val="00087428"/>
    <w:rsid w:val="0008742F"/>
    <w:rsid w:val="00090CC3"/>
    <w:rsid w:val="000929B3"/>
    <w:rsid w:val="00093F4A"/>
    <w:rsid w:val="00095D91"/>
    <w:rsid w:val="000A0F0F"/>
    <w:rsid w:val="000A14B7"/>
    <w:rsid w:val="000A3E5D"/>
    <w:rsid w:val="000A4E18"/>
    <w:rsid w:val="000A52FE"/>
    <w:rsid w:val="000A7F5B"/>
    <w:rsid w:val="000B1D60"/>
    <w:rsid w:val="000C47FD"/>
    <w:rsid w:val="000C4943"/>
    <w:rsid w:val="000C4998"/>
    <w:rsid w:val="000C4CD2"/>
    <w:rsid w:val="000C7049"/>
    <w:rsid w:val="000C7785"/>
    <w:rsid w:val="000D29E6"/>
    <w:rsid w:val="000D3314"/>
    <w:rsid w:val="000D3644"/>
    <w:rsid w:val="000D5F5B"/>
    <w:rsid w:val="000E35E7"/>
    <w:rsid w:val="000F09CE"/>
    <w:rsid w:val="000F0FB7"/>
    <w:rsid w:val="000F228A"/>
    <w:rsid w:val="000F5E56"/>
    <w:rsid w:val="0010054E"/>
    <w:rsid w:val="00104C70"/>
    <w:rsid w:val="00106ABB"/>
    <w:rsid w:val="00107169"/>
    <w:rsid w:val="00114EE8"/>
    <w:rsid w:val="00120936"/>
    <w:rsid w:val="00132C18"/>
    <w:rsid w:val="00135E10"/>
    <w:rsid w:val="0013762C"/>
    <w:rsid w:val="00140805"/>
    <w:rsid w:val="001419B4"/>
    <w:rsid w:val="00141EDA"/>
    <w:rsid w:val="001423E1"/>
    <w:rsid w:val="00146525"/>
    <w:rsid w:val="001518C1"/>
    <w:rsid w:val="0015383C"/>
    <w:rsid w:val="001617BC"/>
    <w:rsid w:val="001667C9"/>
    <w:rsid w:val="0017043C"/>
    <w:rsid w:val="001718CC"/>
    <w:rsid w:val="001735FF"/>
    <w:rsid w:val="001739A1"/>
    <w:rsid w:val="00173D6A"/>
    <w:rsid w:val="00173FDE"/>
    <w:rsid w:val="0018205C"/>
    <w:rsid w:val="00182AA9"/>
    <w:rsid w:val="00187721"/>
    <w:rsid w:val="00190B57"/>
    <w:rsid w:val="0019259C"/>
    <w:rsid w:val="0019426F"/>
    <w:rsid w:val="00194298"/>
    <w:rsid w:val="00194FAB"/>
    <w:rsid w:val="00197BF4"/>
    <w:rsid w:val="001A06F4"/>
    <w:rsid w:val="001A3413"/>
    <w:rsid w:val="001A3EA7"/>
    <w:rsid w:val="001A6CD3"/>
    <w:rsid w:val="001B111E"/>
    <w:rsid w:val="001B4DF4"/>
    <w:rsid w:val="001B60AD"/>
    <w:rsid w:val="001B612E"/>
    <w:rsid w:val="001C2541"/>
    <w:rsid w:val="001C4865"/>
    <w:rsid w:val="001D1FE7"/>
    <w:rsid w:val="001D4851"/>
    <w:rsid w:val="001E54F8"/>
    <w:rsid w:val="001E7EE7"/>
    <w:rsid w:val="001F130F"/>
    <w:rsid w:val="001F24E3"/>
    <w:rsid w:val="001F4C0B"/>
    <w:rsid w:val="00201B22"/>
    <w:rsid w:val="002049AA"/>
    <w:rsid w:val="0020788D"/>
    <w:rsid w:val="00207BFD"/>
    <w:rsid w:val="00214BCA"/>
    <w:rsid w:val="00221618"/>
    <w:rsid w:val="002265E4"/>
    <w:rsid w:val="00226F0B"/>
    <w:rsid w:val="0023007B"/>
    <w:rsid w:val="00234B88"/>
    <w:rsid w:val="002417F4"/>
    <w:rsid w:val="00241835"/>
    <w:rsid w:val="0024444B"/>
    <w:rsid w:val="00245C66"/>
    <w:rsid w:val="00250B29"/>
    <w:rsid w:val="00250C9F"/>
    <w:rsid w:val="00251C01"/>
    <w:rsid w:val="002524B5"/>
    <w:rsid w:val="00252C39"/>
    <w:rsid w:val="00273294"/>
    <w:rsid w:val="00275137"/>
    <w:rsid w:val="002771BA"/>
    <w:rsid w:val="00284D5B"/>
    <w:rsid w:val="002861E5"/>
    <w:rsid w:val="00290252"/>
    <w:rsid w:val="00290D03"/>
    <w:rsid w:val="00292242"/>
    <w:rsid w:val="002A3AAC"/>
    <w:rsid w:val="002B207F"/>
    <w:rsid w:val="002B35EF"/>
    <w:rsid w:val="002B44CB"/>
    <w:rsid w:val="002B6780"/>
    <w:rsid w:val="002C04F5"/>
    <w:rsid w:val="002C2304"/>
    <w:rsid w:val="002C23B5"/>
    <w:rsid w:val="002D70EC"/>
    <w:rsid w:val="002F135C"/>
    <w:rsid w:val="002F7014"/>
    <w:rsid w:val="002F77FB"/>
    <w:rsid w:val="00304AE4"/>
    <w:rsid w:val="00322EB5"/>
    <w:rsid w:val="0032390A"/>
    <w:rsid w:val="00331982"/>
    <w:rsid w:val="00335CA1"/>
    <w:rsid w:val="00345017"/>
    <w:rsid w:val="0035245F"/>
    <w:rsid w:val="00352FA4"/>
    <w:rsid w:val="00353B01"/>
    <w:rsid w:val="00355B1E"/>
    <w:rsid w:val="00356243"/>
    <w:rsid w:val="003573F0"/>
    <w:rsid w:val="0037118C"/>
    <w:rsid w:val="00371DFE"/>
    <w:rsid w:val="00372A12"/>
    <w:rsid w:val="00377769"/>
    <w:rsid w:val="00384DB6"/>
    <w:rsid w:val="003868F7"/>
    <w:rsid w:val="00396E12"/>
    <w:rsid w:val="003A7FE7"/>
    <w:rsid w:val="003B037D"/>
    <w:rsid w:val="003B05E6"/>
    <w:rsid w:val="003B1985"/>
    <w:rsid w:val="003B7A80"/>
    <w:rsid w:val="003C25B2"/>
    <w:rsid w:val="003C25D8"/>
    <w:rsid w:val="003C51B4"/>
    <w:rsid w:val="003C5538"/>
    <w:rsid w:val="003C5D25"/>
    <w:rsid w:val="003C7F9F"/>
    <w:rsid w:val="003D5C85"/>
    <w:rsid w:val="003E4CC5"/>
    <w:rsid w:val="003F2F9A"/>
    <w:rsid w:val="00400E2A"/>
    <w:rsid w:val="00401C27"/>
    <w:rsid w:val="00405ECF"/>
    <w:rsid w:val="004061CE"/>
    <w:rsid w:val="004105E2"/>
    <w:rsid w:val="0042192C"/>
    <w:rsid w:val="00425D78"/>
    <w:rsid w:val="00431118"/>
    <w:rsid w:val="0043347A"/>
    <w:rsid w:val="004348A1"/>
    <w:rsid w:val="004350C7"/>
    <w:rsid w:val="00436A96"/>
    <w:rsid w:val="00437181"/>
    <w:rsid w:val="0044082F"/>
    <w:rsid w:val="004445A8"/>
    <w:rsid w:val="00447D87"/>
    <w:rsid w:val="004556F5"/>
    <w:rsid w:val="00460C2F"/>
    <w:rsid w:val="004615A6"/>
    <w:rsid w:val="00470A2A"/>
    <w:rsid w:val="00481F42"/>
    <w:rsid w:val="004827D6"/>
    <w:rsid w:val="00482837"/>
    <w:rsid w:val="0048572C"/>
    <w:rsid w:val="004860C9"/>
    <w:rsid w:val="00486738"/>
    <w:rsid w:val="00497490"/>
    <w:rsid w:val="0049794C"/>
    <w:rsid w:val="00497BD2"/>
    <w:rsid w:val="004C23E8"/>
    <w:rsid w:val="004C41C8"/>
    <w:rsid w:val="004C7705"/>
    <w:rsid w:val="004E0B03"/>
    <w:rsid w:val="004E0BD1"/>
    <w:rsid w:val="004E7110"/>
    <w:rsid w:val="004E775B"/>
    <w:rsid w:val="004F7559"/>
    <w:rsid w:val="00500E10"/>
    <w:rsid w:val="00502985"/>
    <w:rsid w:val="00503ADA"/>
    <w:rsid w:val="005101D2"/>
    <w:rsid w:val="0051047B"/>
    <w:rsid w:val="00516365"/>
    <w:rsid w:val="005174E1"/>
    <w:rsid w:val="00517BC1"/>
    <w:rsid w:val="005235F9"/>
    <w:rsid w:val="00525858"/>
    <w:rsid w:val="00527D27"/>
    <w:rsid w:val="00541F39"/>
    <w:rsid w:val="005444C4"/>
    <w:rsid w:val="005471FB"/>
    <w:rsid w:val="00551056"/>
    <w:rsid w:val="00562B47"/>
    <w:rsid w:val="005760A9"/>
    <w:rsid w:val="00581E45"/>
    <w:rsid w:val="005825E3"/>
    <w:rsid w:val="00582B6C"/>
    <w:rsid w:val="0059122A"/>
    <w:rsid w:val="005A2B22"/>
    <w:rsid w:val="005A5AC6"/>
    <w:rsid w:val="005B2A5D"/>
    <w:rsid w:val="005B3B47"/>
    <w:rsid w:val="005B7808"/>
    <w:rsid w:val="005C126C"/>
    <w:rsid w:val="005C327D"/>
    <w:rsid w:val="005C6A80"/>
    <w:rsid w:val="005D3BBC"/>
    <w:rsid w:val="005D7C23"/>
    <w:rsid w:val="005E16FA"/>
    <w:rsid w:val="005E226A"/>
    <w:rsid w:val="005E2BC4"/>
    <w:rsid w:val="005F1CAB"/>
    <w:rsid w:val="005F5996"/>
    <w:rsid w:val="005F5C58"/>
    <w:rsid w:val="005F68FF"/>
    <w:rsid w:val="006012D2"/>
    <w:rsid w:val="00603A36"/>
    <w:rsid w:val="00604792"/>
    <w:rsid w:val="00604B94"/>
    <w:rsid w:val="006112C9"/>
    <w:rsid w:val="00611A6B"/>
    <w:rsid w:val="0061246F"/>
    <w:rsid w:val="00614311"/>
    <w:rsid w:val="00620A95"/>
    <w:rsid w:val="00622AAE"/>
    <w:rsid w:val="00623B29"/>
    <w:rsid w:val="006250B1"/>
    <w:rsid w:val="00625F97"/>
    <w:rsid w:val="00634275"/>
    <w:rsid w:val="0064155B"/>
    <w:rsid w:val="00646A86"/>
    <w:rsid w:val="006476FE"/>
    <w:rsid w:val="00653B7A"/>
    <w:rsid w:val="00666C23"/>
    <w:rsid w:val="006674FF"/>
    <w:rsid w:val="006709DE"/>
    <w:rsid w:val="00682B63"/>
    <w:rsid w:val="006856A1"/>
    <w:rsid w:val="00691105"/>
    <w:rsid w:val="0069268D"/>
    <w:rsid w:val="0069273D"/>
    <w:rsid w:val="006A256F"/>
    <w:rsid w:val="006A73F2"/>
    <w:rsid w:val="006B4E78"/>
    <w:rsid w:val="006B4F85"/>
    <w:rsid w:val="006C165A"/>
    <w:rsid w:val="006C379E"/>
    <w:rsid w:val="006C4248"/>
    <w:rsid w:val="006D2D44"/>
    <w:rsid w:val="006E606D"/>
    <w:rsid w:val="006F11C2"/>
    <w:rsid w:val="006F26F0"/>
    <w:rsid w:val="006F7707"/>
    <w:rsid w:val="0070133E"/>
    <w:rsid w:val="00702E1E"/>
    <w:rsid w:val="0071027A"/>
    <w:rsid w:val="00714347"/>
    <w:rsid w:val="00715559"/>
    <w:rsid w:val="00721904"/>
    <w:rsid w:val="007231D8"/>
    <w:rsid w:val="0072641B"/>
    <w:rsid w:val="00730476"/>
    <w:rsid w:val="00736B7E"/>
    <w:rsid w:val="007436CB"/>
    <w:rsid w:val="00753464"/>
    <w:rsid w:val="00755C05"/>
    <w:rsid w:val="007710F4"/>
    <w:rsid w:val="00773CB9"/>
    <w:rsid w:val="00774E21"/>
    <w:rsid w:val="00782B49"/>
    <w:rsid w:val="00783E32"/>
    <w:rsid w:val="0078664B"/>
    <w:rsid w:val="00787511"/>
    <w:rsid w:val="00793653"/>
    <w:rsid w:val="007A2108"/>
    <w:rsid w:val="007B136D"/>
    <w:rsid w:val="007B240C"/>
    <w:rsid w:val="007C36A3"/>
    <w:rsid w:val="007D53C7"/>
    <w:rsid w:val="007D568E"/>
    <w:rsid w:val="007D7B44"/>
    <w:rsid w:val="007E6B5E"/>
    <w:rsid w:val="007E6B7D"/>
    <w:rsid w:val="007F2DCD"/>
    <w:rsid w:val="007F4A91"/>
    <w:rsid w:val="007F6B25"/>
    <w:rsid w:val="00804DB7"/>
    <w:rsid w:val="0080625D"/>
    <w:rsid w:val="00806E47"/>
    <w:rsid w:val="00811659"/>
    <w:rsid w:val="00813CB5"/>
    <w:rsid w:val="00832549"/>
    <w:rsid w:val="00835290"/>
    <w:rsid w:val="00843D71"/>
    <w:rsid w:val="00850C08"/>
    <w:rsid w:val="00851D9C"/>
    <w:rsid w:val="0086217A"/>
    <w:rsid w:val="00871F49"/>
    <w:rsid w:val="00872963"/>
    <w:rsid w:val="008776E4"/>
    <w:rsid w:val="00881824"/>
    <w:rsid w:val="008861D5"/>
    <w:rsid w:val="00894AE4"/>
    <w:rsid w:val="00894DB5"/>
    <w:rsid w:val="00895921"/>
    <w:rsid w:val="008A7E18"/>
    <w:rsid w:val="008B092D"/>
    <w:rsid w:val="008B0AF4"/>
    <w:rsid w:val="008B4DB9"/>
    <w:rsid w:val="008B7186"/>
    <w:rsid w:val="008C284C"/>
    <w:rsid w:val="008C2ECF"/>
    <w:rsid w:val="008C350E"/>
    <w:rsid w:val="008C75DC"/>
    <w:rsid w:val="008D0387"/>
    <w:rsid w:val="008D1E46"/>
    <w:rsid w:val="008E5052"/>
    <w:rsid w:val="008E6E53"/>
    <w:rsid w:val="008F2D9F"/>
    <w:rsid w:val="008F4D76"/>
    <w:rsid w:val="00911806"/>
    <w:rsid w:val="00913950"/>
    <w:rsid w:val="0091509E"/>
    <w:rsid w:val="00915483"/>
    <w:rsid w:val="0092101F"/>
    <w:rsid w:val="0092207D"/>
    <w:rsid w:val="009354E4"/>
    <w:rsid w:val="00942303"/>
    <w:rsid w:val="0094688D"/>
    <w:rsid w:val="00954BCB"/>
    <w:rsid w:val="009556CE"/>
    <w:rsid w:val="009603A5"/>
    <w:rsid w:val="00961996"/>
    <w:rsid w:val="00965D6B"/>
    <w:rsid w:val="009667F9"/>
    <w:rsid w:val="00970894"/>
    <w:rsid w:val="00973B06"/>
    <w:rsid w:val="0097681C"/>
    <w:rsid w:val="00980D47"/>
    <w:rsid w:val="00987143"/>
    <w:rsid w:val="0099107E"/>
    <w:rsid w:val="009A588D"/>
    <w:rsid w:val="009B0223"/>
    <w:rsid w:val="009C48F5"/>
    <w:rsid w:val="009C6F71"/>
    <w:rsid w:val="009C7018"/>
    <w:rsid w:val="009C75B6"/>
    <w:rsid w:val="009D27D3"/>
    <w:rsid w:val="009D2C5F"/>
    <w:rsid w:val="009D4512"/>
    <w:rsid w:val="009E7382"/>
    <w:rsid w:val="009F39B7"/>
    <w:rsid w:val="009F5E62"/>
    <w:rsid w:val="00A162C5"/>
    <w:rsid w:val="00A20C9C"/>
    <w:rsid w:val="00A25998"/>
    <w:rsid w:val="00A26BD6"/>
    <w:rsid w:val="00A30BF2"/>
    <w:rsid w:val="00A32631"/>
    <w:rsid w:val="00A40CB1"/>
    <w:rsid w:val="00A416AE"/>
    <w:rsid w:val="00A51A68"/>
    <w:rsid w:val="00A51DA7"/>
    <w:rsid w:val="00A52A50"/>
    <w:rsid w:val="00A545FE"/>
    <w:rsid w:val="00A70747"/>
    <w:rsid w:val="00A720F7"/>
    <w:rsid w:val="00A7231E"/>
    <w:rsid w:val="00A732A0"/>
    <w:rsid w:val="00A77D1C"/>
    <w:rsid w:val="00A95462"/>
    <w:rsid w:val="00A96012"/>
    <w:rsid w:val="00AA162B"/>
    <w:rsid w:val="00AB1246"/>
    <w:rsid w:val="00AB747C"/>
    <w:rsid w:val="00AB786C"/>
    <w:rsid w:val="00AC01D6"/>
    <w:rsid w:val="00AC0770"/>
    <w:rsid w:val="00AC5671"/>
    <w:rsid w:val="00AC5F4B"/>
    <w:rsid w:val="00AC6C69"/>
    <w:rsid w:val="00AC6E8D"/>
    <w:rsid w:val="00AD0F36"/>
    <w:rsid w:val="00AD44AA"/>
    <w:rsid w:val="00AD4B21"/>
    <w:rsid w:val="00AD6D24"/>
    <w:rsid w:val="00AD784B"/>
    <w:rsid w:val="00AE02F8"/>
    <w:rsid w:val="00AE7A94"/>
    <w:rsid w:val="00AE7B26"/>
    <w:rsid w:val="00AF0542"/>
    <w:rsid w:val="00AF0878"/>
    <w:rsid w:val="00B03E5E"/>
    <w:rsid w:val="00B1492D"/>
    <w:rsid w:val="00B22F66"/>
    <w:rsid w:val="00B25249"/>
    <w:rsid w:val="00B264CA"/>
    <w:rsid w:val="00B33D64"/>
    <w:rsid w:val="00B35A79"/>
    <w:rsid w:val="00B36C2B"/>
    <w:rsid w:val="00B44BB5"/>
    <w:rsid w:val="00B4685C"/>
    <w:rsid w:val="00B471A7"/>
    <w:rsid w:val="00B53115"/>
    <w:rsid w:val="00B60CFA"/>
    <w:rsid w:val="00B631B1"/>
    <w:rsid w:val="00B65503"/>
    <w:rsid w:val="00B80E44"/>
    <w:rsid w:val="00B83F7E"/>
    <w:rsid w:val="00B85D3C"/>
    <w:rsid w:val="00B921CB"/>
    <w:rsid w:val="00BA511B"/>
    <w:rsid w:val="00BB3E02"/>
    <w:rsid w:val="00BB5A80"/>
    <w:rsid w:val="00BB753C"/>
    <w:rsid w:val="00BE4C15"/>
    <w:rsid w:val="00BF2459"/>
    <w:rsid w:val="00C0295A"/>
    <w:rsid w:val="00C04A28"/>
    <w:rsid w:val="00C07BED"/>
    <w:rsid w:val="00C15272"/>
    <w:rsid w:val="00C220CE"/>
    <w:rsid w:val="00C23409"/>
    <w:rsid w:val="00C24AE0"/>
    <w:rsid w:val="00C25034"/>
    <w:rsid w:val="00C25C67"/>
    <w:rsid w:val="00C27D5D"/>
    <w:rsid w:val="00C33FF4"/>
    <w:rsid w:val="00C34889"/>
    <w:rsid w:val="00C3752C"/>
    <w:rsid w:val="00C407FA"/>
    <w:rsid w:val="00C42894"/>
    <w:rsid w:val="00C44D39"/>
    <w:rsid w:val="00C454C9"/>
    <w:rsid w:val="00C52082"/>
    <w:rsid w:val="00C554EC"/>
    <w:rsid w:val="00C64CF5"/>
    <w:rsid w:val="00C730BD"/>
    <w:rsid w:val="00C74667"/>
    <w:rsid w:val="00C83B65"/>
    <w:rsid w:val="00C853CC"/>
    <w:rsid w:val="00C85441"/>
    <w:rsid w:val="00C94BA1"/>
    <w:rsid w:val="00CA058B"/>
    <w:rsid w:val="00CA3B7C"/>
    <w:rsid w:val="00CA458E"/>
    <w:rsid w:val="00CA5E06"/>
    <w:rsid w:val="00CA6F47"/>
    <w:rsid w:val="00CB3654"/>
    <w:rsid w:val="00CC49C4"/>
    <w:rsid w:val="00CE312A"/>
    <w:rsid w:val="00CF16A2"/>
    <w:rsid w:val="00CF37CA"/>
    <w:rsid w:val="00CF5060"/>
    <w:rsid w:val="00CF6833"/>
    <w:rsid w:val="00D06645"/>
    <w:rsid w:val="00D165BE"/>
    <w:rsid w:val="00D166BA"/>
    <w:rsid w:val="00D224A7"/>
    <w:rsid w:val="00D30DA4"/>
    <w:rsid w:val="00D323E6"/>
    <w:rsid w:val="00D32AA3"/>
    <w:rsid w:val="00D34959"/>
    <w:rsid w:val="00D36186"/>
    <w:rsid w:val="00D36EE7"/>
    <w:rsid w:val="00D43026"/>
    <w:rsid w:val="00D45F87"/>
    <w:rsid w:val="00D46C10"/>
    <w:rsid w:val="00D47D45"/>
    <w:rsid w:val="00D54B7D"/>
    <w:rsid w:val="00D63F20"/>
    <w:rsid w:val="00D640D3"/>
    <w:rsid w:val="00D64B6C"/>
    <w:rsid w:val="00D75646"/>
    <w:rsid w:val="00D83854"/>
    <w:rsid w:val="00D84167"/>
    <w:rsid w:val="00D908E7"/>
    <w:rsid w:val="00D90DFC"/>
    <w:rsid w:val="00D93619"/>
    <w:rsid w:val="00DA44D1"/>
    <w:rsid w:val="00DB1104"/>
    <w:rsid w:val="00DB1F15"/>
    <w:rsid w:val="00DB70A6"/>
    <w:rsid w:val="00DC14C5"/>
    <w:rsid w:val="00DC47A6"/>
    <w:rsid w:val="00DC61EA"/>
    <w:rsid w:val="00DD46E4"/>
    <w:rsid w:val="00DE3CDE"/>
    <w:rsid w:val="00DF0869"/>
    <w:rsid w:val="00DF1219"/>
    <w:rsid w:val="00DF5612"/>
    <w:rsid w:val="00E0104F"/>
    <w:rsid w:val="00E0315F"/>
    <w:rsid w:val="00E0721A"/>
    <w:rsid w:val="00E1155C"/>
    <w:rsid w:val="00E115AC"/>
    <w:rsid w:val="00E13D8B"/>
    <w:rsid w:val="00E20CEB"/>
    <w:rsid w:val="00E23B76"/>
    <w:rsid w:val="00E254CC"/>
    <w:rsid w:val="00E31CC4"/>
    <w:rsid w:val="00E32813"/>
    <w:rsid w:val="00E35F27"/>
    <w:rsid w:val="00E4111B"/>
    <w:rsid w:val="00E413D0"/>
    <w:rsid w:val="00E41F30"/>
    <w:rsid w:val="00E42150"/>
    <w:rsid w:val="00E46337"/>
    <w:rsid w:val="00E52514"/>
    <w:rsid w:val="00E567E5"/>
    <w:rsid w:val="00E71B92"/>
    <w:rsid w:val="00E71D73"/>
    <w:rsid w:val="00E72ABD"/>
    <w:rsid w:val="00E8145F"/>
    <w:rsid w:val="00E81B0E"/>
    <w:rsid w:val="00E956D7"/>
    <w:rsid w:val="00E95A3E"/>
    <w:rsid w:val="00E97F0B"/>
    <w:rsid w:val="00EA6DBC"/>
    <w:rsid w:val="00EB0B88"/>
    <w:rsid w:val="00EB4EF9"/>
    <w:rsid w:val="00EC02D9"/>
    <w:rsid w:val="00EC50A6"/>
    <w:rsid w:val="00ED015E"/>
    <w:rsid w:val="00ED285D"/>
    <w:rsid w:val="00ED3F0D"/>
    <w:rsid w:val="00ED694E"/>
    <w:rsid w:val="00EF1F5E"/>
    <w:rsid w:val="00EF5D02"/>
    <w:rsid w:val="00EF6BD0"/>
    <w:rsid w:val="00EF6C4D"/>
    <w:rsid w:val="00F005FF"/>
    <w:rsid w:val="00F021AE"/>
    <w:rsid w:val="00F15B69"/>
    <w:rsid w:val="00F22A9E"/>
    <w:rsid w:val="00F2666A"/>
    <w:rsid w:val="00F35355"/>
    <w:rsid w:val="00F373B5"/>
    <w:rsid w:val="00F37605"/>
    <w:rsid w:val="00F5248D"/>
    <w:rsid w:val="00F56C27"/>
    <w:rsid w:val="00F613CD"/>
    <w:rsid w:val="00F6375B"/>
    <w:rsid w:val="00F644D5"/>
    <w:rsid w:val="00F647E7"/>
    <w:rsid w:val="00F72166"/>
    <w:rsid w:val="00F737AB"/>
    <w:rsid w:val="00F97C5F"/>
    <w:rsid w:val="00FA0EA3"/>
    <w:rsid w:val="00FA2C25"/>
    <w:rsid w:val="00FA3BDD"/>
    <w:rsid w:val="00FA5B68"/>
    <w:rsid w:val="00FA6F7E"/>
    <w:rsid w:val="00FA71B8"/>
    <w:rsid w:val="00FA7D54"/>
    <w:rsid w:val="00FB1239"/>
    <w:rsid w:val="00FB1556"/>
    <w:rsid w:val="00FB217E"/>
    <w:rsid w:val="00FB4310"/>
    <w:rsid w:val="00FC361C"/>
    <w:rsid w:val="00FC392E"/>
    <w:rsid w:val="00FC3D79"/>
    <w:rsid w:val="00FC73E5"/>
    <w:rsid w:val="00FD09B7"/>
    <w:rsid w:val="00FD1959"/>
    <w:rsid w:val="00FD717A"/>
    <w:rsid w:val="00FD7501"/>
    <w:rsid w:val="00FE02F3"/>
    <w:rsid w:val="00FF31C1"/>
    <w:rsid w:val="00FF49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347A"/>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link w:val="Heading3Char"/>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paragraph" w:styleId="BalloonText">
    <w:name w:val="Balloon Text"/>
    <w:basedOn w:val="Normal"/>
    <w:link w:val="BalloonTextChar"/>
    <w:rsid w:val="0043347A"/>
    <w:rPr>
      <w:rFonts w:ascii="Tahoma" w:hAnsi="Tahoma" w:cs="Tahoma"/>
      <w:sz w:val="16"/>
      <w:szCs w:val="16"/>
    </w:rPr>
  </w:style>
  <w:style w:type="character" w:customStyle="1" w:styleId="BalloonTextChar">
    <w:name w:val="Balloon Text Char"/>
    <w:basedOn w:val="DefaultParagraphFont"/>
    <w:link w:val="BalloonText"/>
    <w:rsid w:val="0043347A"/>
    <w:rPr>
      <w:rFonts w:ascii="Tahoma" w:eastAsia="SimSun" w:hAnsi="Tahoma" w:cs="Tahoma"/>
      <w:sz w:val="16"/>
      <w:szCs w:val="16"/>
      <w:lang w:eastAsia="zh-CN"/>
    </w:rPr>
  </w:style>
  <w:style w:type="paragraph" w:styleId="ListParagraph">
    <w:name w:val="List Paragraph"/>
    <w:basedOn w:val="Normal"/>
    <w:uiPriority w:val="34"/>
    <w:qFormat/>
    <w:rsid w:val="00190B57"/>
    <w:pPr>
      <w:ind w:left="720"/>
      <w:contextualSpacing/>
    </w:pPr>
  </w:style>
  <w:style w:type="character" w:styleId="FootnoteReference">
    <w:name w:val="footnote reference"/>
    <w:basedOn w:val="DefaultParagraphFont"/>
    <w:rsid w:val="00D83854"/>
    <w:rPr>
      <w:vertAlign w:val="superscript"/>
    </w:rPr>
  </w:style>
  <w:style w:type="character" w:customStyle="1" w:styleId="ONUMEChar">
    <w:name w:val="ONUM E Char"/>
    <w:link w:val="ONUME"/>
    <w:rsid w:val="00290D03"/>
    <w:rPr>
      <w:rFonts w:ascii="Arial" w:hAnsi="Arial" w:cs="Arial"/>
      <w:sz w:val="22"/>
    </w:rPr>
  </w:style>
  <w:style w:type="table" w:styleId="TableGrid">
    <w:name w:val="Table Grid"/>
    <w:basedOn w:val="TableNormal"/>
    <w:rsid w:val="00DB7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F7707"/>
    <w:rPr>
      <w:sz w:val="16"/>
      <w:szCs w:val="16"/>
    </w:rPr>
  </w:style>
  <w:style w:type="paragraph" w:styleId="CommentSubject">
    <w:name w:val="annotation subject"/>
    <w:basedOn w:val="CommentText"/>
    <w:next w:val="CommentText"/>
    <w:link w:val="CommentSubjectChar"/>
    <w:rsid w:val="006F7707"/>
    <w:rPr>
      <w:b/>
      <w:bCs/>
      <w:sz w:val="20"/>
    </w:rPr>
  </w:style>
  <w:style w:type="character" w:customStyle="1" w:styleId="CommentTextChar">
    <w:name w:val="Comment Text Char"/>
    <w:basedOn w:val="DefaultParagraphFont"/>
    <w:link w:val="CommentText"/>
    <w:semiHidden/>
    <w:rsid w:val="006F7707"/>
    <w:rPr>
      <w:rFonts w:ascii="Arial" w:eastAsia="SimSun" w:hAnsi="Arial" w:cs="Arial"/>
      <w:sz w:val="18"/>
      <w:lang w:eastAsia="zh-CN"/>
    </w:rPr>
  </w:style>
  <w:style w:type="character" w:customStyle="1" w:styleId="CommentSubjectChar">
    <w:name w:val="Comment Subject Char"/>
    <w:basedOn w:val="CommentTextChar"/>
    <w:link w:val="CommentSubject"/>
    <w:rsid w:val="006F7707"/>
    <w:rPr>
      <w:rFonts w:ascii="Arial" w:eastAsia="SimSun" w:hAnsi="Arial" w:cs="Arial"/>
      <w:b/>
      <w:bCs/>
      <w:sz w:val="18"/>
      <w:lang w:eastAsia="zh-CN"/>
    </w:rPr>
  </w:style>
  <w:style w:type="character" w:customStyle="1" w:styleId="HeaderChar">
    <w:name w:val="Header Char"/>
    <w:basedOn w:val="DefaultParagraphFont"/>
    <w:link w:val="Header"/>
    <w:uiPriority w:val="99"/>
    <w:rsid w:val="00E567E5"/>
    <w:rPr>
      <w:rFonts w:ascii="Arial" w:eastAsia="SimSun" w:hAnsi="Arial" w:cs="Arial"/>
      <w:sz w:val="22"/>
      <w:lang w:eastAsia="zh-CN"/>
    </w:rPr>
  </w:style>
  <w:style w:type="paragraph" w:styleId="Revision">
    <w:name w:val="Revision"/>
    <w:hidden/>
    <w:uiPriority w:val="99"/>
    <w:semiHidden/>
    <w:rsid w:val="004350C7"/>
    <w:rPr>
      <w:rFonts w:ascii="Arial" w:eastAsia="SimSun" w:hAnsi="Arial" w:cs="Arial"/>
      <w:sz w:val="22"/>
      <w:lang w:eastAsia="zh-CN"/>
    </w:rPr>
  </w:style>
  <w:style w:type="paragraph" w:customStyle="1" w:styleId="StyleStyleHeading3ComplexItalicLatin">
    <w:name w:val="Style Style Heading 3 + (Complex) Italic + (Latin)"/>
    <w:basedOn w:val="Normal"/>
    <w:link w:val="StyleStyleHeading3ComplexItalicLatinChar"/>
    <w:rsid w:val="009C75B6"/>
    <w:pPr>
      <w:keepNext/>
      <w:tabs>
        <w:tab w:val="left" w:pos="2835"/>
      </w:tabs>
      <w:ind w:left="2835" w:hanging="2835"/>
      <w:outlineLvl w:val="2"/>
    </w:pPr>
    <w:rPr>
      <w:rFonts w:eastAsia="Times New Roman"/>
      <w:b/>
      <w:bCs/>
      <w:szCs w:val="22"/>
      <w:lang w:eastAsia="en-US"/>
    </w:rPr>
  </w:style>
  <w:style w:type="character" w:customStyle="1" w:styleId="StyleStyleHeading3ComplexItalicLatinChar">
    <w:name w:val="Style Style Heading 3 + (Complex) Italic + (Latin) Char"/>
    <w:link w:val="StyleStyleHeading3ComplexItalicLatin"/>
    <w:rsid w:val="009C75B6"/>
    <w:rPr>
      <w:rFonts w:ascii="Arial" w:hAnsi="Arial" w:cs="Arial"/>
      <w:b/>
      <w:bCs/>
      <w:sz w:val="22"/>
      <w:szCs w:val="22"/>
    </w:rPr>
  </w:style>
  <w:style w:type="paragraph" w:styleId="NormalWeb">
    <w:name w:val="Normal (Web)"/>
    <w:basedOn w:val="Normal"/>
    <w:uiPriority w:val="99"/>
    <w:unhideWhenUsed/>
    <w:rsid w:val="008C350E"/>
    <w:rPr>
      <w:rFonts w:ascii="Times New Roman" w:eastAsiaTheme="minorHAnsi" w:hAnsi="Times New Roman" w:cs="Times New Roman"/>
      <w:sz w:val="24"/>
      <w:szCs w:val="24"/>
      <w:lang w:eastAsia="en-US"/>
    </w:rPr>
  </w:style>
  <w:style w:type="character" w:customStyle="1" w:styleId="Heading2Char">
    <w:name w:val="Heading 2 Char"/>
    <w:basedOn w:val="DefaultParagraphFont"/>
    <w:link w:val="Heading2"/>
    <w:rsid w:val="008C284C"/>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8C284C"/>
    <w:rPr>
      <w:rFonts w:ascii="Arial" w:eastAsia="SimSun" w:hAnsi="Arial" w:cs="Arial"/>
      <w:bCs/>
      <w:sz w:val="22"/>
      <w:szCs w:val="26"/>
      <w:u w:val="single"/>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347A"/>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link w:val="Heading3Char"/>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paragraph" w:styleId="BalloonText">
    <w:name w:val="Balloon Text"/>
    <w:basedOn w:val="Normal"/>
    <w:link w:val="BalloonTextChar"/>
    <w:rsid w:val="0043347A"/>
    <w:rPr>
      <w:rFonts w:ascii="Tahoma" w:hAnsi="Tahoma" w:cs="Tahoma"/>
      <w:sz w:val="16"/>
      <w:szCs w:val="16"/>
    </w:rPr>
  </w:style>
  <w:style w:type="character" w:customStyle="1" w:styleId="BalloonTextChar">
    <w:name w:val="Balloon Text Char"/>
    <w:basedOn w:val="DefaultParagraphFont"/>
    <w:link w:val="BalloonText"/>
    <w:rsid w:val="0043347A"/>
    <w:rPr>
      <w:rFonts w:ascii="Tahoma" w:eastAsia="SimSun" w:hAnsi="Tahoma" w:cs="Tahoma"/>
      <w:sz w:val="16"/>
      <w:szCs w:val="16"/>
      <w:lang w:eastAsia="zh-CN"/>
    </w:rPr>
  </w:style>
  <w:style w:type="paragraph" w:styleId="ListParagraph">
    <w:name w:val="List Paragraph"/>
    <w:basedOn w:val="Normal"/>
    <w:uiPriority w:val="34"/>
    <w:qFormat/>
    <w:rsid w:val="00190B57"/>
    <w:pPr>
      <w:ind w:left="720"/>
      <w:contextualSpacing/>
    </w:pPr>
  </w:style>
  <w:style w:type="character" w:styleId="FootnoteReference">
    <w:name w:val="footnote reference"/>
    <w:basedOn w:val="DefaultParagraphFont"/>
    <w:rsid w:val="00D83854"/>
    <w:rPr>
      <w:vertAlign w:val="superscript"/>
    </w:rPr>
  </w:style>
  <w:style w:type="character" w:customStyle="1" w:styleId="ONUMEChar">
    <w:name w:val="ONUM E Char"/>
    <w:link w:val="ONUME"/>
    <w:rsid w:val="00290D03"/>
    <w:rPr>
      <w:rFonts w:ascii="Arial" w:hAnsi="Arial" w:cs="Arial"/>
      <w:sz w:val="22"/>
    </w:rPr>
  </w:style>
  <w:style w:type="table" w:styleId="TableGrid">
    <w:name w:val="Table Grid"/>
    <w:basedOn w:val="TableNormal"/>
    <w:rsid w:val="00DB7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F7707"/>
    <w:rPr>
      <w:sz w:val="16"/>
      <w:szCs w:val="16"/>
    </w:rPr>
  </w:style>
  <w:style w:type="paragraph" w:styleId="CommentSubject">
    <w:name w:val="annotation subject"/>
    <w:basedOn w:val="CommentText"/>
    <w:next w:val="CommentText"/>
    <w:link w:val="CommentSubjectChar"/>
    <w:rsid w:val="006F7707"/>
    <w:rPr>
      <w:b/>
      <w:bCs/>
      <w:sz w:val="20"/>
    </w:rPr>
  </w:style>
  <w:style w:type="character" w:customStyle="1" w:styleId="CommentTextChar">
    <w:name w:val="Comment Text Char"/>
    <w:basedOn w:val="DefaultParagraphFont"/>
    <w:link w:val="CommentText"/>
    <w:semiHidden/>
    <w:rsid w:val="006F7707"/>
    <w:rPr>
      <w:rFonts w:ascii="Arial" w:eastAsia="SimSun" w:hAnsi="Arial" w:cs="Arial"/>
      <w:sz w:val="18"/>
      <w:lang w:eastAsia="zh-CN"/>
    </w:rPr>
  </w:style>
  <w:style w:type="character" w:customStyle="1" w:styleId="CommentSubjectChar">
    <w:name w:val="Comment Subject Char"/>
    <w:basedOn w:val="CommentTextChar"/>
    <w:link w:val="CommentSubject"/>
    <w:rsid w:val="006F7707"/>
    <w:rPr>
      <w:rFonts w:ascii="Arial" w:eastAsia="SimSun" w:hAnsi="Arial" w:cs="Arial"/>
      <w:b/>
      <w:bCs/>
      <w:sz w:val="18"/>
      <w:lang w:eastAsia="zh-CN"/>
    </w:rPr>
  </w:style>
  <w:style w:type="character" w:customStyle="1" w:styleId="HeaderChar">
    <w:name w:val="Header Char"/>
    <w:basedOn w:val="DefaultParagraphFont"/>
    <w:link w:val="Header"/>
    <w:uiPriority w:val="99"/>
    <w:rsid w:val="00E567E5"/>
    <w:rPr>
      <w:rFonts w:ascii="Arial" w:eastAsia="SimSun" w:hAnsi="Arial" w:cs="Arial"/>
      <w:sz w:val="22"/>
      <w:lang w:eastAsia="zh-CN"/>
    </w:rPr>
  </w:style>
  <w:style w:type="paragraph" w:styleId="Revision">
    <w:name w:val="Revision"/>
    <w:hidden/>
    <w:uiPriority w:val="99"/>
    <w:semiHidden/>
    <w:rsid w:val="004350C7"/>
    <w:rPr>
      <w:rFonts w:ascii="Arial" w:eastAsia="SimSun" w:hAnsi="Arial" w:cs="Arial"/>
      <w:sz w:val="22"/>
      <w:lang w:eastAsia="zh-CN"/>
    </w:rPr>
  </w:style>
  <w:style w:type="paragraph" w:customStyle="1" w:styleId="StyleStyleHeading3ComplexItalicLatin">
    <w:name w:val="Style Style Heading 3 + (Complex) Italic + (Latin)"/>
    <w:basedOn w:val="Normal"/>
    <w:link w:val="StyleStyleHeading3ComplexItalicLatinChar"/>
    <w:rsid w:val="009C75B6"/>
    <w:pPr>
      <w:keepNext/>
      <w:tabs>
        <w:tab w:val="left" w:pos="2835"/>
      </w:tabs>
      <w:ind w:left="2835" w:hanging="2835"/>
      <w:outlineLvl w:val="2"/>
    </w:pPr>
    <w:rPr>
      <w:rFonts w:eastAsia="Times New Roman"/>
      <w:b/>
      <w:bCs/>
      <w:szCs w:val="22"/>
      <w:lang w:eastAsia="en-US"/>
    </w:rPr>
  </w:style>
  <w:style w:type="character" w:customStyle="1" w:styleId="StyleStyleHeading3ComplexItalicLatinChar">
    <w:name w:val="Style Style Heading 3 + (Complex) Italic + (Latin) Char"/>
    <w:link w:val="StyleStyleHeading3ComplexItalicLatin"/>
    <w:rsid w:val="009C75B6"/>
    <w:rPr>
      <w:rFonts w:ascii="Arial" w:hAnsi="Arial" w:cs="Arial"/>
      <w:b/>
      <w:bCs/>
      <w:sz w:val="22"/>
      <w:szCs w:val="22"/>
    </w:rPr>
  </w:style>
  <w:style w:type="paragraph" w:styleId="NormalWeb">
    <w:name w:val="Normal (Web)"/>
    <w:basedOn w:val="Normal"/>
    <w:uiPriority w:val="99"/>
    <w:unhideWhenUsed/>
    <w:rsid w:val="008C350E"/>
    <w:rPr>
      <w:rFonts w:ascii="Times New Roman" w:eastAsiaTheme="minorHAnsi" w:hAnsi="Times New Roman" w:cs="Times New Roman"/>
      <w:sz w:val="24"/>
      <w:szCs w:val="24"/>
      <w:lang w:eastAsia="en-US"/>
    </w:rPr>
  </w:style>
  <w:style w:type="character" w:customStyle="1" w:styleId="Heading2Char">
    <w:name w:val="Heading 2 Char"/>
    <w:basedOn w:val="DefaultParagraphFont"/>
    <w:link w:val="Heading2"/>
    <w:rsid w:val="008C284C"/>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8C284C"/>
    <w:rPr>
      <w:rFonts w:ascii="Arial" w:eastAsia="SimSun" w:hAnsi="Arial" w:cs="Arial"/>
      <w:bCs/>
      <w:sz w:val="22"/>
      <w:szCs w:val="26"/>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96137">
      <w:bodyDiv w:val="1"/>
      <w:marLeft w:val="0"/>
      <w:marRight w:val="0"/>
      <w:marTop w:val="0"/>
      <w:marBottom w:val="0"/>
      <w:divBdr>
        <w:top w:val="none" w:sz="0" w:space="0" w:color="auto"/>
        <w:left w:val="none" w:sz="0" w:space="0" w:color="auto"/>
        <w:bottom w:val="none" w:sz="0" w:space="0" w:color="auto"/>
        <w:right w:val="none" w:sz="0" w:space="0" w:color="auto"/>
      </w:divBdr>
    </w:div>
    <w:div w:id="242833405">
      <w:bodyDiv w:val="1"/>
      <w:marLeft w:val="0"/>
      <w:marRight w:val="0"/>
      <w:marTop w:val="0"/>
      <w:marBottom w:val="0"/>
      <w:divBdr>
        <w:top w:val="none" w:sz="0" w:space="0" w:color="auto"/>
        <w:left w:val="none" w:sz="0" w:space="0" w:color="auto"/>
        <w:bottom w:val="none" w:sz="0" w:space="0" w:color="auto"/>
        <w:right w:val="none" w:sz="0" w:space="0" w:color="auto"/>
      </w:divBdr>
    </w:div>
    <w:div w:id="364332285">
      <w:bodyDiv w:val="1"/>
      <w:marLeft w:val="0"/>
      <w:marRight w:val="0"/>
      <w:marTop w:val="0"/>
      <w:marBottom w:val="0"/>
      <w:divBdr>
        <w:top w:val="none" w:sz="0" w:space="0" w:color="auto"/>
        <w:left w:val="none" w:sz="0" w:space="0" w:color="auto"/>
        <w:bottom w:val="none" w:sz="0" w:space="0" w:color="auto"/>
        <w:right w:val="none" w:sz="0" w:space="0" w:color="auto"/>
      </w:divBdr>
    </w:div>
    <w:div w:id="439761012">
      <w:bodyDiv w:val="1"/>
      <w:marLeft w:val="0"/>
      <w:marRight w:val="0"/>
      <w:marTop w:val="0"/>
      <w:marBottom w:val="0"/>
      <w:divBdr>
        <w:top w:val="none" w:sz="0" w:space="0" w:color="auto"/>
        <w:left w:val="none" w:sz="0" w:space="0" w:color="auto"/>
        <w:bottom w:val="none" w:sz="0" w:space="0" w:color="auto"/>
        <w:right w:val="none" w:sz="0" w:space="0" w:color="auto"/>
      </w:divBdr>
    </w:div>
    <w:div w:id="483275653">
      <w:bodyDiv w:val="1"/>
      <w:marLeft w:val="0"/>
      <w:marRight w:val="0"/>
      <w:marTop w:val="0"/>
      <w:marBottom w:val="0"/>
      <w:divBdr>
        <w:top w:val="none" w:sz="0" w:space="0" w:color="auto"/>
        <w:left w:val="none" w:sz="0" w:space="0" w:color="auto"/>
        <w:bottom w:val="none" w:sz="0" w:space="0" w:color="auto"/>
        <w:right w:val="none" w:sz="0" w:space="0" w:color="auto"/>
      </w:divBdr>
    </w:div>
    <w:div w:id="561327156">
      <w:bodyDiv w:val="1"/>
      <w:marLeft w:val="0"/>
      <w:marRight w:val="0"/>
      <w:marTop w:val="0"/>
      <w:marBottom w:val="0"/>
      <w:divBdr>
        <w:top w:val="none" w:sz="0" w:space="0" w:color="auto"/>
        <w:left w:val="none" w:sz="0" w:space="0" w:color="auto"/>
        <w:bottom w:val="none" w:sz="0" w:space="0" w:color="auto"/>
        <w:right w:val="none" w:sz="0" w:space="0" w:color="auto"/>
      </w:divBdr>
    </w:div>
    <w:div w:id="642583610">
      <w:bodyDiv w:val="1"/>
      <w:marLeft w:val="0"/>
      <w:marRight w:val="0"/>
      <w:marTop w:val="0"/>
      <w:marBottom w:val="0"/>
      <w:divBdr>
        <w:top w:val="none" w:sz="0" w:space="0" w:color="auto"/>
        <w:left w:val="none" w:sz="0" w:space="0" w:color="auto"/>
        <w:bottom w:val="none" w:sz="0" w:space="0" w:color="auto"/>
        <w:right w:val="none" w:sz="0" w:space="0" w:color="auto"/>
      </w:divBdr>
    </w:div>
    <w:div w:id="668289672">
      <w:bodyDiv w:val="1"/>
      <w:marLeft w:val="0"/>
      <w:marRight w:val="0"/>
      <w:marTop w:val="0"/>
      <w:marBottom w:val="0"/>
      <w:divBdr>
        <w:top w:val="none" w:sz="0" w:space="0" w:color="auto"/>
        <w:left w:val="none" w:sz="0" w:space="0" w:color="auto"/>
        <w:bottom w:val="none" w:sz="0" w:space="0" w:color="auto"/>
        <w:right w:val="none" w:sz="0" w:space="0" w:color="auto"/>
      </w:divBdr>
    </w:div>
    <w:div w:id="669529500">
      <w:bodyDiv w:val="1"/>
      <w:marLeft w:val="0"/>
      <w:marRight w:val="0"/>
      <w:marTop w:val="0"/>
      <w:marBottom w:val="0"/>
      <w:divBdr>
        <w:top w:val="none" w:sz="0" w:space="0" w:color="auto"/>
        <w:left w:val="none" w:sz="0" w:space="0" w:color="auto"/>
        <w:bottom w:val="none" w:sz="0" w:space="0" w:color="auto"/>
        <w:right w:val="none" w:sz="0" w:space="0" w:color="auto"/>
      </w:divBdr>
    </w:div>
    <w:div w:id="687682915">
      <w:bodyDiv w:val="1"/>
      <w:marLeft w:val="0"/>
      <w:marRight w:val="0"/>
      <w:marTop w:val="0"/>
      <w:marBottom w:val="0"/>
      <w:divBdr>
        <w:top w:val="none" w:sz="0" w:space="0" w:color="auto"/>
        <w:left w:val="none" w:sz="0" w:space="0" w:color="auto"/>
        <w:bottom w:val="none" w:sz="0" w:space="0" w:color="auto"/>
        <w:right w:val="none" w:sz="0" w:space="0" w:color="auto"/>
      </w:divBdr>
    </w:div>
    <w:div w:id="714353782">
      <w:bodyDiv w:val="1"/>
      <w:marLeft w:val="0"/>
      <w:marRight w:val="0"/>
      <w:marTop w:val="0"/>
      <w:marBottom w:val="0"/>
      <w:divBdr>
        <w:top w:val="none" w:sz="0" w:space="0" w:color="auto"/>
        <w:left w:val="none" w:sz="0" w:space="0" w:color="auto"/>
        <w:bottom w:val="none" w:sz="0" w:space="0" w:color="auto"/>
        <w:right w:val="none" w:sz="0" w:space="0" w:color="auto"/>
      </w:divBdr>
    </w:div>
    <w:div w:id="724960209">
      <w:bodyDiv w:val="1"/>
      <w:marLeft w:val="0"/>
      <w:marRight w:val="0"/>
      <w:marTop w:val="0"/>
      <w:marBottom w:val="0"/>
      <w:divBdr>
        <w:top w:val="none" w:sz="0" w:space="0" w:color="auto"/>
        <w:left w:val="none" w:sz="0" w:space="0" w:color="auto"/>
        <w:bottom w:val="none" w:sz="0" w:space="0" w:color="auto"/>
        <w:right w:val="none" w:sz="0" w:space="0" w:color="auto"/>
      </w:divBdr>
    </w:div>
    <w:div w:id="729353510">
      <w:bodyDiv w:val="1"/>
      <w:marLeft w:val="0"/>
      <w:marRight w:val="0"/>
      <w:marTop w:val="0"/>
      <w:marBottom w:val="0"/>
      <w:divBdr>
        <w:top w:val="none" w:sz="0" w:space="0" w:color="auto"/>
        <w:left w:val="none" w:sz="0" w:space="0" w:color="auto"/>
        <w:bottom w:val="none" w:sz="0" w:space="0" w:color="auto"/>
        <w:right w:val="none" w:sz="0" w:space="0" w:color="auto"/>
      </w:divBdr>
    </w:div>
    <w:div w:id="831338856">
      <w:bodyDiv w:val="1"/>
      <w:marLeft w:val="0"/>
      <w:marRight w:val="0"/>
      <w:marTop w:val="0"/>
      <w:marBottom w:val="0"/>
      <w:divBdr>
        <w:top w:val="none" w:sz="0" w:space="0" w:color="auto"/>
        <w:left w:val="none" w:sz="0" w:space="0" w:color="auto"/>
        <w:bottom w:val="none" w:sz="0" w:space="0" w:color="auto"/>
        <w:right w:val="none" w:sz="0" w:space="0" w:color="auto"/>
      </w:divBdr>
    </w:div>
    <w:div w:id="886187773">
      <w:bodyDiv w:val="1"/>
      <w:marLeft w:val="0"/>
      <w:marRight w:val="0"/>
      <w:marTop w:val="0"/>
      <w:marBottom w:val="0"/>
      <w:divBdr>
        <w:top w:val="none" w:sz="0" w:space="0" w:color="auto"/>
        <w:left w:val="none" w:sz="0" w:space="0" w:color="auto"/>
        <w:bottom w:val="none" w:sz="0" w:space="0" w:color="auto"/>
        <w:right w:val="none" w:sz="0" w:space="0" w:color="auto"/>
      </w:divBdr>
    </w:div>
    <w:div w:id="929434812">
      <w:bodyDiv w:val="1"/>
      <w:marLeft w:val="0"/>
      <w:marRight w:val="0"/>
      <w:marTop w:val="0"/>
      <w:marBottom w:val="0"/>
      <w:divBdr>
        <w:top w:val="none" w:sz="0" w:space="0" w:color="auto"/>
        <w:left w:val="none" w:sz="0" w:space="0" w:color="auto"/>
        <w:bottom w:val="none" w:sz="0" w:space="0" w:color="auto"/>
        <w:right w:val="none" w:sz="0" w:space="0" w:color="auto"/>
      </w:divBdr>
    </w:div>
    <w:div w:id="936988453">
      <w:bodyDiv w:val="1"/>
      <w:marLeft w:val="0"/>
      <w:marRight w:val="0"/>
      <w:marTop w:val="0"/>
      <w:marBottom w:val="0"/>
      <w:divBdr>
        <w:top w:val="none" w:sz="0" w:space="0" w:color="auto"/>
        <w:left w:val="none" w:sz="0" w:space="0" w:color="auto"/>
        <w:bottom w:val="none" w:sz="0" w:space="0" w:color="auto"/>
        <w:right w:val="none" w:sz="0" w:space="0" w:color="auto"/>
      </w:divBdr>
    </w:div>
    <w:div w:id="973635559">
      <w:bodyDiv w:val="1"/>
      <w:marLeft w:val="0"/>
      <w:marRight w:val="0"/>
      <w:marTop w:val="0"/>
      <w:marBottom w:val="0"/>
      <w:divBdr>
        <w:top w:val="none" w:sz="0" w:space="0" w:color="auto"/>
        <w:left w:val="none" w:sz="0" w:space="0" w:color="auto"/>
        <w:bottom w:val="none" w:sz="0" w:space="0" w:color="auto"/>
        <w:right w:val="none" w:sz="0" w:space="0" w:color="auto"/>
      </w:divBdr>
    </w:div>
    <w:div w:id="1305544905">
      <w:bodyDiv w:val="1"/>
      <w:marLeft w:val="0"/>
      <w:marRight w:val="0"/>
      <w:marTop w:val="0"/>
      <w:marBottom w:val="0"/>
      <w:divBdr>
        <w:top w:val="none" w:sz="0" w:space="0" w:color="auto"/>
        <w:left w:val="none" w:sz="0" w:space="0" w:color="auto"/>
        <w:bottom w:val="none" w:sz="0" w:space="0" w:color="auto"/>
        <w:right w:val="none" w:sz="0" w:space="0" w:color="auto"/>
      </w:divBdr>
    </w:div>
    <w:div w:id="1355884413">
      <w:bodyDiv w:val="1"/>
      <w:marLeft w:val="0"/>
      <w:marRight w:val="0"/>
      <w:marTop w:val="0"/>
      <w:marBottom w:val="0"/>
      <w:divBdr>
        <w:top w:val="none" w:sz="0" w:space="0" w:color="auto"/>
        <w:left w:val="none" w:sz="0" w:space="0" w:color="auto"/>
        <w:bottom w:val="none" w:sz="0" w:space="0" w:color="auto"/>
        <w:right w:val="none" w:sz="0" w:space="0" w:color="auto"/>
      </w:divBdr>
    </w:div>
    <w:div w:id="1520046114">
      <w:bodyDiv w:val="1"/>
      <w:marLeft w:val="0"/>
      <w:marRight w:val="0"/>
      <w:marTop w:val="0"/>
      <w:marBottom w:val="0"/>
      <w:divBdr>
        <w:top w:val="none" w:sz="0" w:space="0" w:color="auto"/>
        <w:left w:val="none" w:sz="0" w:space="0" w:color="auto"/>
        <w:bottom w:val="none" w:sz="0" w:space="0" w:color="auto"/>
        <w:right w:val="none" w:sz="0" w:space="0" w:color="auto"/>
      </w:divBdr>
    </w:div>
    <w:div w:id="1823541823">
      <w:bodyDiv w:val="1"/>
      <w:marLeft w:val="0"/>
      <w:marRight w:val="0"/>
      <w:marTop w:val="0"/>
      <w:marBottom w:val="0"/>
      <w:divBdr>
        <w:top w:val="none" w:sz="0" w:space="0" w:color="auto"/>
        <w:left w:val="none" w:sz="0" w:space="0" w:color="auto"/>
        <w:bottom w:val="none" w:sz="0" w:space="0" w:color="auto"/>
        <w:right w:val="none" w:sz="0" w:space="0" w:color="auto"/>
      </w:divBdr>
    </w:div>
    <w:div w:id="1864705211">
      <w:bodyDiv w:val="1"/>
      <w:marLeft w:val="0"/>
      <w:marRight w:val="0"/>
      <w:marTop w:val="0"/>
      <w:marBottom w:val="0"/>
      <w:divBdr>
        <w:top w:val="none" w:sz="0" w:space="0" w:color="auto"/>
        <w:left w:val="none" w:sz="0" w:space="0" w:color="auto"/>
        <w:bottom w:val="none" w:sz="0" w:space="0" w:color="auto"/>
        <w:right w:val="none" w:sz="0" w:space="0" w:color="auto"/>
      </w:divBdr>
    </w:div>
    <w:div w:id="1901280633">
      <w:bodyDiv w:val="1"/>
      <w:marLeft w:val="0"/>
      <w:marRight w:val="0"/>
      <w:marTop w:val="0"/>
      <w:marBottom w:val="0"/>
      <w:divBdr>
        <w:top w:val="none" w:sz="0" w:space="0" w:color="auto"/>
        <w:left w:val="none" w:sz="0" w:space="0" w:color="auto"/>
        <w:bottom w:val="none" w:sz="0" w:space="0" w:color="auto"/>
        <w:right w:val="none" w:sz="0" w:space="0" w:color="auto"/>
      </w:divBdr>
    </w:div>
    <w:div w:id="2110809098">
      <w:bodyDiv w:val="1"/>
      <w:marLeft w:val="0"/>
      <w:marRight w:val="0"/>
      <w:marTop w:val="0"/>
      <w:marBottom w:val="0"/>
      <w:divBdr>
        <w:top w:val="none" w:sz="0" w:space="0" w:color="auto"/>
        <w:left w:val="none" w:sz="0" w:space="0" w:color="auto"/>
        <w:bottom w:val="none" w:sz="0" w:space="0" w:color="auto"/>
        <w:right w:val="none" w:sz="0" w:space="0" w:color="auto"/>
      </w:divBdr>
    </w:div>
    <w:div w:id="2132703240">
      <w:bodyDiv w:val="1"/>
      <w:marLeft w:val="0"/>
      <w:marRight w:val="0"/>
      <w:marTop w:val="0"/>
      <w:marBottom w:val="0"/>
      <w:divBdr>
        <w:top w:val="none" w:sz="0" w:space="0" w:color="auto"/>
        <w:left w:val="none" w:sz="0" w:space="0" w:color="auto"/>
        <w:bottom w:val="none" w:sz="0" w:space="0" w:color="auto"/>
        <w:right w:val="none" w:sz="0" w:space="0" w:color="auto"/>
      </w:divBdr>
    </w:div>
    <w:div w:id="213424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image" Target="media/image6.emf"/><Relationship Id="rId10" Type="http://schemas.openxmlformats.org/officeDocument/2006/relationships/image" Target="media/image2.emf"/><Relationship Id="rId19" Type="http://schemas.openxmlformats.org/officeDocument/2006/relationships/header" Target="header6.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F1C0C-D1C1-4C05-9904-51C0CFCDE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6678</Words>
  <Characters>46729</Characters>
  <Application>Microsoft Office Word</Application>
  <DocSecurity>0</DocSecurity>
  <Lines>1229</Lines>
  <Paragraphs>363</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53044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Michael Gotthainer</dc:creator>
  <cp:lastModifiedBy>ZEBARJADI-SAR Nahal</cp:lastModifiedBy>
  <cp:revision>5</cp:revision>
  <cp:lastPrinted>2017-06-20T16:29:00Z</cp:lastPrinted>
  <dcterms:created xsi:type="dcterms:W3CDTF">2017-06-21T07:26:00Z</dcterms:created>
  <dcterms:modified xsi:type="dcterms:W3CDTF">2017-06-21T16:07:00Z</dcterms:modified>
</cp:coreProperties>
</file>