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0913" w:rsidP="00916EE2">
            <w:r w:rsidRPr="004365E9">
              <w:rPr>
                <w:noProof/>
                <w:lang w:val="fr-CH" w:eastAsia="fr-CH"/>
              </w:rPr>
              <w:drawing>
                <wp:inline distT="0" distB="0" distL="0" distR="0" wp14:anchorId="351381EB" wp14:editId="486BEC43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B20C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5362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 w:rsidR="00BD2450">
              <w:rPr>
                <w:rFonts w:ascii="Arial Black" w:hAnsi="Arial Black"/>
                <w:caps/>
                <w:sz w:val="15"/>
              </w:rPr>
              <w:t>4</w:t>
            </w:r>
            <w:r w:rsidR="00B54066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B20C7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B20C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E94DB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5189C" w:rsidRDefault="003B20C7" w:rsidP="00E94DB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_GoBack" w:colFirst="0" w:colLast="0"/>
            <w:r w:rsidRPr="003B20C7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E94DB6" w:rsidRPr="00E94DB6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E94DB6" w:rsidRPr="003B20C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94DB6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E94DB6" w:rsidRPr="003B20C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3B20C7">
              <w:rPr>
                <w:rFonts w:ascii="Arial Black" w:hAnsi="Arial Black"/>
                <w:caps/>
                <w:sz w:val="15"/>
                <w:lang w:val="ru-RU"/>
              </w:rPr>
              <w:t>2017 г.</w:t>
            </w:r>
          </w:p>
        </w:tc>
      </w:tr>
      <w:bookmarkEnd w:id="1"/>
    </w:tbl>
    <w:p w:rsidR="008B2CC1" w:rsidRPr="00E94DB6" w:rsidRDefault="008B2CC1" w:rsidP="008B2CC1">
      <w:pPr>
        <w:rPr>
          <w:lang w:val="ru-RU"/>
        </w:rPr>
      </w:pPr>
    </w:p>
    <w:p w:rsidR="008B2CC1" w:rsidRPr="00E94DB6" w:rsidRDefault="008B2CC1" w:rsidP="008B2CC1">
      <w:pPr>
        <w:rPr>
          <w:lang w:val="ru-RU"/>
        </w:rPr>
      </w:pPr>
    </w:p>
    <w:p w:rsidR="008B2CC1" w:rsidRPr="00E94DB6" w:rsidRDefault="008B2CC1" w:rsidP="008B2CC1">
      <w:pPr>
        <w:rPr>
          <w:lang w:val="ru-RU"/>
        </w:rPr>
      </w:pPr>
    </w:p>
    <w:p w:rsidR="008B2CC1" w:rsidRPr="00E94DB6" w:rsidRDefault="008B2CC1" w:rsidP="008B2CC1">
      <w:pPr>
        <w:rPr>
          <w:lang w:val="ru-RU"/>
        </w:rPr>
      </w:pPr>
    </w:p>
    <w:p w:rsidR="008B2CC1" w:rsidRPr="00E94DB6" w:rsidRDefault="008B2CC1" w:rsidP="008B2CC1">
      <w:pPr>
        <w:rPr>
          <w:lang w:val="ru-RU"/>
        </w:rPr>
      </w:pPr>
    </w:p>
    <w:p w:rsidR="008B2CC1" w:rsidRPr="00E94DB6" w:rsidRDefault="003B20C7" w:rsidP="008B2CC1">
      <w:pPr>
        <w:rPr>
          <w:b/>
          <w:sz w:val="28"/>
          <w:szCs w:val="28"/>
          <w:lang w:val="ru-RU"/>
        </w:rPr>
      </w:pPr>
      <w:r w:rsidRPr="003B20C7"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Pr="003B20C7" w:rsidRDefault="003845C1" w:rsidP="003845C1">
      <w:pPr>
        <w:rPr>
          <w:lang w:val="ru-RU"/>
        </w:rPr>
      </w:pPr>
    </w:p>
    <w:p w:rsidR="003845C1" w:rsidRPr="003B20C7" w:rsidRDefault="003845C1" w:rsidP="003845C1">
      <w:pPr>
        <w:rPr>
          <w:lang w:val="ru-RU"/>
        </w:rPr>
      </w:pPr>
    </w:p>
    <w:p w:rsidR="003B20C7" w:rsidRPr="003B20C7" w:rsidRDefault="003B20C7" w:rsidP="003B20C7">
      <w:pPr>
        <w:rPr>
          <w:b/>
          <w:sz w:val="24"/>
          <w:szCs w:val="24"/>
          <w:lang w:val="ru-RU"/>
        </w:rPr>
      </w:pPr>
      <w:r w:rsidRPr="003B20C7">
        <w:rPr>
          <w:b/>
          <w:sz w:val="24"/>
          <w:szCs w:val="24"/>
          <w:lang w:val="ru-RU"/>
        </w:rPr>
        <w:t>Двадцать шестая сессия</w:t>
      </w:r>
    </w:p>
    <w:p w:rsidR="008B2CC1" w:rsidRPr="003B20C7" w:rsidRDefault="003B20C7" w:rsidP="003B20C7">
      <w:pPr>
        <w:rPr>
          <w:b/>
          <w:sz w:val="24"/>
          <w:szCs w:val="24"/>
          <w:lang w:val="ru-RU"/>
        </w:rPr>
      </w:pPr>
      <w:r w:rsidRPr="003B20C7">
        <w:rPr>
          <w:b/>
          <w:sz w:val="24"/>
          <w:szCs w:val="24"/>
          <w:lang w:val="ru-RU"/>
        </w:rPr>
        <w:t xml:space="preserve">Женева, 10–14 июля 2017 г. </w:t>
      </w:r>
    </w:p>
    <w:p w:rsidR="008B2CC1" w:rsidRPr="003B20C7" w:rsidRDefault="008B2CC1" w:rsidP="008B2CC1">
      <w:pPr>
        <w:rPr>
          <w:lang w:val="ru-RU"/>
        </w:rPr>
      </w:pPr>
    </w:p>
    <w:p w:rsidR="008B2CC1" w:rsidRPr="003B20C7" w:rsidRDefault="008B2CC1" w:rsidP="008B2CC1">
      <w:pPr>
        <w:rPr>
          <w:lang w:val="ru-RU"/>
        </w:rPr>
      </w:pPr>
    </w:p>
    <w:p w:rsidR="003B20C7" w:rsidRDefault="003B20C7" w:rsidP="008B2CC1">
      <w:pPr>
        <w:rPr>
          <w:caps/>
          <w:sz w:val="24"/>
          <w:lang w:val="ru-RU"/>
        </w:rPr>
      </w:pPr>
      <w:bookmarkStart w:id="2" w:name="TitleOfDoc"/>
      <w:bookmarkEnd w:id="2"/>
    </w:p>
    <w:p w:rsidR="008B2CC1" w:rsidRPr="003B20C7" w:rsidRDefault="00192086" w:rsidP="008B2CC1">
      <w:pPr>
        <w:rPr>
          <w:caps/>
          <w:sz w:val="24"/>
          <w:lang w:val="ru-RU"/>
        </w:rPr>
      </w:pPr>
      <w:r w:rsidRPr="00192086">
        <w:rPr>
          <w:caps/>
          <w:sz w:val="24"/>
          <w:lang w:val="ru-RU"/>
        </w:rPr>
        <w:t>Поправки к Политике в отношении инвестиций</w:t>
      </w:r>
      <w:r>
        <w:rPr>
          <w:caps/>
          <w:sz w:val="24"/>
          <w:lang w:val="ru-RU"/>
        </w:rPr>
        <w:t xml:space="preserve"> </w:t>
      </w:r>
    </w:p>
    <w:p w:rsidR="008B2CC1" w:rsidRPr="003B20C7" w:rsidRDefault="008B2CC1" w:rsidP="008B2CC1">
      <w:pPr>
        <w:rPr>
          <w:lang w:val="ru-RU"/>
        </w:rPr>
      </w:pPr>
    </w:p>
    <w:p w:rsidR="008B2CC1" w:rsidRPr="008B2CC1" w:rsidRDefault="003B20C7" w:rsidP="008B2CC1">
      <w:pPr>
        <w:rPr>
          <w:i/>
        </w:rPr>
      </w:pPr>
      <w:bookmarkStart w:id="3" w:name="Prepared"/>
      <w:bookmarkEnd w:id="3"/>
      <w:r w:rsidRPr="003B20C7">
        <w:rPr>
          <w:i/>
          <w:lang w:val="ru-RU"/>
        </w:rPr>
        <w:t>Документ</w:t>
      </w:r>
      <w:r w:rsidRPr="003B20C7">
        <w:rPr>
          <w:i/>
        </w:rPr>
        <w:t xml:space="preserve"> </w:t>
      </w:r>
      <w:r w:rsidRPr="003B20C7">
        <w:rPr>
          <w:i/>
          <w:lang w:val="ru-RU"/>
        </w:rPr>
        <w:t>подготовлен</w:t>
      </w:r>
      <w:r w:rsidRPr="003B20C7">
        <w:rPr>
          <w:i/>
        </w:rPr>
        <w:t xml:space="preserve"> </w:t>
      </w:r>
      <w:r w:rsidRPr="003B20C7"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E279B7" w:rsidRPr="00E279B7" w:rsidRDefault="00E279B7" w:rsidP="005228AC">
      <w:pPr>
        <w:pStyle w:val="ONUME"/>
        <w:numPr>
          <w:ilvl w:val="0"/>
          <w:numId w:val="32"/>
        </w:numPr>
        <w:ind w:left="0" w:firstLine="0"/>
        <w:rPr>
          <w:rFonts w:eastAsia="Times New Roman"/>
          <w:lang w:val="ru-RU" w:eastAsia="en-US"/>
        </w:rPr>
      </w:pPr>
      <w:bookmarkStart w:id="4" w:name="_Toc160346571"/>
      <w:r>
        <w:rPr>
          <w:szCs w:val="22"/>
          <w:lang w:val="ru-RU"/>
        </w:rPr>
        <w:t>В</w:t>
      </w:r>
      <w:r w:rsidRPr="00E279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сентябре</w:t>
      </w:r>
      <w:r w:rsidRPr="00E279B7">
        <w:rPr>
          <w:szCs w:val="22"/>
          <w:lang w:val="ru-RU"/>
        </w:rPr>
        <w:t xml:space="preserve"> 2015 </w:t>
      </w:r>
      <w:r>
        <w:rPr>
          <w:szCs w:val="22"/>
          <w:lang w:val="ru-RU"/>
        </w:rPr>
        <w:t>г</w:t>
      </w:r>
      <w:r w:rsidRPr="00E279B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Комитет по программе и бюджету рекомендовал вниманию Ассамблей ВОИС пересмотренную </w:t>
      </w:r>
      <w:r w:rsidR="005E2C0C">
        <w:rPr>
          <w:szCs w:val="22"/>
          <w:lang w:val="ru-RU"/>
        </w:rPr>
        <w:t xml:space="preserve">инвестиционную </w:t>
      </w:r>
      <w:r>
        <w:rPr>
          <w:szCs w:val="22"/>
          <w:lang w:val="ru-RU"/>
        </w:rPr>
        <w:t xml:space="preserve">политику </w:t>
      </w:r>
      <w:r w:rsidRPr="00E279B7">
        <w:rPr>
          <w:lang w:val="ru-RU"/>
        </w:rPr>
        <w:t>(</w:t>
      </w:r>
      <w:r w:rsidRPr="000850CF">
        <w:t>WO</w:t>
      </w:r>
      <w:r w:rsidRPr="00E279B7">
        <w:rPr>
          <w:lang w:val="ru-RU"/>
        </w:rPr>
        <w:t>/</w:t>
      </w:r>
      <w:r w:rsidRPr="000850CF">
        <w:t>PBC</w:t>
      </w:r>
      <w:r w:rsidRPr="00E279B7">
        <w:rPr>
          <w:lang w:val="ru-RU"/>
        </w:rPr>
        <w:t>/24/10)</w:t>
      </w:r>
      <w:r>
        <w:rPr>
          <w:lang w:val="ru-RU"/>
        </w:rPr>
        <w:t xml:space="preserve">, которая затем была принята Ассамблеями </w:t>
      </w:r>
      <w:r w:rsidRPr="00E279B7">
        <w:rPr>
          <w:lang w:val="ru-RU"/>
        </w:rPr>
        <w:t>(</w:t>
      </w:r>
      <w:r>
        <w:t>A</w:t>
      </w:r>
      <w:r w:rsidRPr="00E279B7">
        <w:rPr>
          <w:lang w:val="ru-RU"/>
        </w:rPr>
        <w:t>/55/4).</w:t>
      </w:r>
      <w:r>
        <w:rPr>
          <w:lang w:val="ru-RU"/>
        </w:rPr>
        <w:t xml:space="preserve">  </w:t>
      </w:r>
      <w:r w:rsidR="005E2C0C">
        <w:rPr>
          <w:lang w:val="ru-RU"/>
        </w:rPr>
        <w:t>Инвестиционная п</w:t>
      </w:r>
      <w:r>
        <w:rPr>
          <w:lang w:val="ru-RU"/>
        </w:rPr>
        <w:t xml:space="preserve">олитика была утверждена в соответствии с финансовыми положениями 4.10 и 4.11, </w:t>
      </w:r>
      <w:r w:rsidR="0027514E">
        <w:rPr>
          <w:lang w:val="ru-RU"/>
        </w:rPr>
        <w:t xml:space="preserve">в которых предусмотрены полномочия Генерального директора  </w:t>
      </w:r>
      <w:r w:rsidR="0027514E" w:rsidRPr="0027514E">
        <w:rPr>
          <w:lang w:val="ru-RU"/>
        </w:rPr>
        <w:t>производить в соответствии с инвестиционной политикой Организации, утвержденной государствами-членами,</w:t>
      </w:r>
      <w:r w:rsidR="0027514E">
        <w:rPr>
          <w:lang w:val="ru-RU"/>
        </w:rPr>
        <w:t xml:space="preserve"> </w:t>
      </w:r>
      <w:r w:rsidR="0027514E" w:rsidRPr="0027514E">
        <w:rPr>
          <w:lang w:val="ru-RU"/>
        </w:rPr>
        <w:t>краткосрочное инвестирование денежных средств, в которых нет немедленной потребности,</w:t>
      </w:r>
      <w:r>
        <w:rPr>
          <w:lang w:val="ru-RU"/>
        </w:rPr>
        <w:t xml:space="preserve"> </w:t>
      </w:r>
      <w:r w:rsidR="0027514E">
        <w:rPr>
          <w:lang w:val="ru-RU"/>
        </w:rPr>
        <w:t xml:space="preserve">или </w:t>
      </w:r>
      <w:r w:rsidR="0027514E" w:rsidRPr="0027514E">
        <w:rPr>
          <w:lang w:val="ru-RU"/>
        </w:rPr>
        <w:t>долгосрочное инвестирование денежных средств, имеющихся у Организации</w:t>
      </w:r>
      <w:r w:rsidR="0027514E">
        <w:rPr>
          <w:lang w:val="ru-RU"/>
        </w:rPr>
        <w:t xml:space="preserve">.  </w:t>
      </w:r>
      <w:r>
        <w:rPr>
          <w:lang w:val="ru-RU"/>
        </w:rPr>
        <w:t xml:space="preserve"> </w:t>
      </w:r>
      <w:r w:rsidR="0027514E">
        <w:rPr>
          <w:lang w:val="ru-RU"/>
        </w:rPr>
        <w:t>Данная п</w:t>
      </w:r>
      <w:r w:rsidR="0027514E" w:rsidRPr="0027514E">
        <w:rPr>
          <w:lang w:val="ru-RU"/>
        </w:rPr>
        <w:t xml:space="preserve">олитика применяется </w:t>
      </w:r>
      <w:r w:rsidR="0027514E">
        <w:rPr>
          <w:lang w:val="ru-RU"/>
        </w:rPr>
        <w:t>в отношении вложения</w:t>
      </w:r>
      <w:r w:rsidR="0027514E" w:rsidRPr="0027514E">
        <w:rPr>
          <w:lang w:val="ru-RU"/>
        </w:rPr>
        <w:t xml:space="preserve"> средств ВОИС и </w:t>
      </w:r>
      <w:r w:rsidR="0027514E">
        <w:rPr>
          <w:lang w:val="ru-RU"/>
        </w:rPr>
        <w:t>ц</w:t>
      </w:r>
      <w:r w:rsidR="0027514E" w:rsidRPr="0027514E">
        <w:rPr>
          <w:lang w:val="ru-RU"/>
        </w:rPr>
        <w:t xml:space="preserve">елевых фондов (ЦФ) и охватывает </w:t>
      </w:r>
      <w:r w:rsidR="0027514E">
        <w:rPr>
          <w:lang w:val="ru-RU"/>
        </w:rPr>
        <w:t>три</w:t>
      </w:r>
      <w:r w:rsidR="0027514E" w:rsidRPr="0027514E">
        <w:rPr>
          <w:lang w:val="ru-RU"/>
        </w:rPr>
        <w:t xml:space="preserve"> категории средств</w:t>
      </w:r>
      <w:r w:rsidR="0027514E">
        <w:rPr>
          <w:lang w:val="ru-RU"/>
        </w:rPr>
        <w:t>:</w:t>
      </w:r>
    </w:p>
    <w:p w:rsidR="00BD2450" w:rsidRPr="0027514E" w:rsidRDefault="0027514E" w:rsidP="005228AC">
      <w:pPr>
        <w:pStyle w:val="ONUME"/>
        <w:numPr>
          <w:ilvl w:val="1"/>
          <w:numId w:val="32"/>
        </w:numPr>
        <w:ind w:left="1134" w:hanging="567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операционные средства</w:t>
      </w:r>
      <w:r w:rsidRPr="0027514E">
        <w:rPr>
          <w:rFonts w:eastAsia="Times New Roman"/>
          <w:lang w:val="ru-RU" w:eastAsia="en-US"/>
        </w:rPr>
        <w:t>, которые необходимы Организации для выполнения повседневных платежных обязательств и обеспечения наличия ликвидных активов в сумме, эквивалентной целевому показателю резервов</w:t>
      </w:r>
      <w:r w:rsidR="00BD2450" w:rsidRPr="0027514E">
        <w:rPr>
          <w:rFonts w:eastAsia="Times New Roman"/>
          <w:lang w:val="ru-RU" w:eastAsia="en-US"/>
        </w:rPr>
        <w:t xml:space="preserve">; </w:t>
      </w:r>
    </w:p>
    <w:p w:rsidR="00BD2450" w:rsidRPr="0027514E" w:rsidRDefault="0027514E" w:rsidP="005228AC">
      <w:pPr>
        <w:pStyle w:val="ONUME"/>
        <w:numPr>
          <w:ilvl w:val="1"/>
          <w:numId w:val="32"/>
        </w:numPr>
        <w:ind w:left="1134" w:hanging="567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стратегические</w:t>
      </w:r>
      <w:r w:rsidRPr="0027514E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средства</w:t>
      </w:r>
      <w:r w:rsidRPr="0027514E">
        <w:rPr>
          <w:rFonts w:eastAsia="Times New Roman"/>
          <w:lang w:val="ru-RU" w:eastAsia="en-US"/>
        </w:rPr>
        <w:t xml:space="preserve">, которые уже сформированы или формирование которых может быть продолжено в будущем для финансирования </w:t>
      </w:r>
      <w:r w:rsidR="004C4C3B">
        <w:rPr>
          <w:rFonts w:eastAsia="Times New Roman"/>
          <w:lang w:val="ru-RU" w:eastAsia="en-US"/>
        </w:rPr>
        <w:t xml:space="preserve">обязательств по </w:t>
      </w:r>
      <w:r w:rsidR="004C4C3B" w:rsidRPr="004C4C3B">
        <w:rPr>
          <w:rFonts w:eastAsia="Times New Roman"/>
          <w:lang w:val="ru-RU" w:eastAsia="en-US"/>
        </w:rPr>
        <w:t>медицинскому страхованию после прекращения службы (МСПС)</w:t>
      </w:r>
      <w:r>
        <w:rPr>
          <w:rFonts w:eastAsia="Times New Roman"/>
          <w:lang w:val="ru-RU" w:eastAsia="en-US"/>
        </w:rPr>
        <w:t>; и</w:t>
      </w:r>
      <w:r w:rsidR="00BD2450" w:rsidRPr="0027514E">
        <w:rPr>
          <w:rFonts w:eastAsia="Times New Roman"/>
          <w:lang w:val="ru-RU" w:eastAsia="en-US"/>
        </w:rPr>
        <w:t xml:space="preserve"> </w:t>
      </w:r>
    </w:p>
    <w:p w:rsidR="00BD2450" w:rsidRPr="004C4C3B" w:rsidRDefault="000567D7" w:rsidP="005228AC">
      <w:pPr>
        <w:pStyle w:val="ONUME"/>
        <w:numPr>
          <w:ilvl w:val="1"/>
          <w:numId w:val="32"/>
        </w:numPr>
        <w:ind w:left="1134" w:hanging="567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основные</w:t>
      </w:r>
      <w:r w:rsidR="004C4C3B" w:rsidRPr="004C4C3B">
        <w:rPr>
          <w:rFonts w:eastAsia="Times New Roman"/>
          <w:lang w:val="ru-RU" w:eastAsia="en-US"/>
        </w:rPr>
        <w:t xml:space="preserve"> денежные средства</w:t>
      </w:r>
      <w:r w:rsidR="004C4C3B">
        <w:rPr>
          <w:rFonts w:eastAsia="Times New Roman"/>
          <w:lang w:val="ru-RU" w:eastAsia="en-US"/>
        </w:rPr>
        <w:t xml:space="preserve">, представляющие собой </w:t>
      </w:r>
      <w:r w:rsidR="004C4C3B" w:rsidRPr="004C4C3B">
        <w:rPr>
          <w:rFonts w:eastAsia="Times New Roman"/>
          <w:lang w:val="ru-RU" w:eastAsia="en-US"/>
        </w:rPr>
        <w:t xml:space="preserve">остаток денежных средств за вычетом операционных и стратегических денежных средств.  </w:t>
      </w:r>
      <w:r>
        <w:rPr>
          <w:rFonts w:eastAsia="Times New Roman"/>
          <w:lang w:val="ru-RU" w:eastAsia="en-US"/>
        </w:rPr>
        <w:t>Основные</w:t>
      </w:r>
      <w:r w:rsidR="004C4C3B" w:rsidRPr="004C4C3B">
        <w:rPr>
          <w:rFonts w:eastAsia="Times New Roman"/>
          <w:lang w:val="ru-RU" w:eastAsia="en-US"/>
        </w:rPr>
        <w:t xml:space="preserve"> средства не предназначены для использования в краткосрочной перспективе (в течение периода менее одного года)</w:t>
      </w:r>
      <w:r w:rsidR="00BD2450" w:rsidRPr="004C4C3B">
        <w:rPr>
          <w:rFonts w:eastAsia="Times New Roman"/>
          <w:lang w:val="ru-RU" w:eastAsia="en-US"/>
        </w:rPr>
        <w:t>.</w:t>
      </w:r>
    </w:p>
    <w:p w:rsidR="00BD2450" w:rsidRPr="004C4C3B" w:rsidRDefault="004C4C3B" w:rsidP="005228AC">
      <w:pPr>
        <w:pStyle w:val="ONUME"/>
        <w:keepNext/>
        <w:keepLines/>
        <w:numPr>
          <w:ilvl w:val="0"/>
          <w:numId w:val="31"/>
        </w:numPr>
        <w:snapToGrid w:val="0"/>
        <w:rPr>
          <w:szCs w:val="22"/>
          <w:lang w:val="ru-RU"/>
        </w:rPr>
      </w:pPr>
      <w:r>
        <w:rPr>
          <w:lang w:val="ru-RU"/>
        </w:rPr>
        <w:lastRenderedPageBreak/>
        <w:t>За период после утверждения упомянутой политики были предприняты следующие шаги в целях ее практической реализации к концу 2017 г.</w:t>
      </w:r>
      <w:r w:rsidR="00BD2450" w:rsidRPr="004C4C3B">
        <w:rPr>
          <w:lang w:val="ru-RU"/>
        </w:rPr>
        <w:t xml:space="preserve">:  </w:t>
      </w:r>
    </w:p>
    <w:p w:rsidR="004C4C3B" w:rsidRPr="004C4C3B" w:rsidRDefault="004C4C3B" w:rsidP="005228AC">
      <w:pPr>
        <w:pStyle w:val="ONUME"/>
        <w:keepNext/>
        <w:keepLines/>
        <w:numPr>
          <w:ilvl w:val="1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 xml:space="preserve">образован </w:t>
      </w:r>
      <w:r w:rsidRPr="004C4C3B">
        <w:rPr>
          <w:szCs w:val="22"/>
          <w:lang w:val="ru-RU"/>
        </w:rPr>
        <w:t>Консультативн</w:t>
      </w:r>
      <w:r>
        <w:rPr>
          <w:szCs w:val="22"/>
          <w:lang w:val="ru-RU"/>
        </w:rPr>
        <w:t>ый</w:t>
      </w:r>
      <w:r w:rsidRPr="004C4C3B">
        <w:rPr>
          <w:szCs w:val="22"/>
          <w:lang w:val="ru-RU"/>
        </w:rPr>
        <w:t xml:space="preserve"> комитет по инвестициям (ККИ)</w:t>
      </w:r>
      <w:r>
        <w:rPr>
          <w:szCs w:val="22"/>
          <w:lang w:val="ru-RU"/>
        </w:rPr>
        <w:t>, который провел ряд заседаний</w:t>
      </w:r>
      <w:r w:rsidR="003C447E">
        <w:rPr>
          <w:szCs w:val="22"/>
          <w:lang w:val="ru-RU"/>
        </w:rPr>
        <w:t xml:space="preserve"> для</w:t>
      </w:r>
      <w:r>
        <w:rPr>
          <w:szCs w:val="22"/>
          <w:lang w:val="ru-RU"/>
        </w:rPr>
        <w:t xml:space="preserve"> выработки</w:t>
      </w:r>
      <w:r w:rsidR="003C447E">
        <w:rPr>
          <w:szCs w:val="22"/>
          <w:lang w:val="ru-RU"/>
        </w:rPr>
        <w:t xml:space="preserve"> в</w:t>
      </w:r>
      <w:r>
        <w:rPr>
          <w:szCs w:val="22"/>
          <w:lang w:val="ru-RU"/>
        </w:rPr>
        <w:t xml:space="preserve"> </w:t>
      </w:r>
      <w:r w:rsidR="003C447E">
        <w:rPr>
          <w:szCs w:val="22"/>
          <w:lang w:val="ru-RU"/>
        </w:rPr>
        <w:t xml:space="preserve">соответствии со своим кругом ведения </w:t>
      </w:r>
      <w:r>
        <w:rPr>
          <w:szCs w:val="22"/>
          <w:lang w:val="ru-RU"/>
        </w:rPr>
        <w:t>рекомендаций Генеральному директору в отношении</w:t>
      </w:r>
      <w:r w:rsidR="003C447E">
        <w:rPr>
          <w:szCs w:val="22"/>
          <w:lang w:val="ru-RU"/>
        </w:rPr>
        <w:t xml:space="preserve"> распределения инвестиционных активов; </w:t>
      </w:r>
      <w:r>
        <w:rPr>
          <w:szCs w:val="22"/>
          <w:lang w:val="ru-RU"/>
        </w:rPr>
        <w:t xml:space="preserve">  </w:t>
      </w:r>
    </w:p>
    <w:p w:rsidR="00583F0F" w:rsidRPr="00583F0F" w:rsidRDefault="00583F0F" w:rsidP="005228AC">
      <w:pPr>
        <w:pStyle w:val="ONUME"/>
        <w:numPr>
          <w:ilvl w:val="1"/>
          <w:numId w:val="31"/>
        </w:numPr>
        <w:snapToGrid w:val="0"/>
        <w:rPr>
          <w:szCs w:val="22"/>
          <w:lang w:val="ru-RU"/>
        </w:rPr>
      </w:pPr>
      <w:r>
        <w:rPr>
          <w:lang w:val="ru-RU"/>
        </w:rPr>
        <w:t>подготовлено</w:t>
      </w:r>
      <w:r w:rsidRPr="00583F0F">
        <w:rPr>
          <w:lang w:val="ru-RU"/>
        </w:rPr>
        <w:t xml:space="preserve"> </w:t>
      </w:r>
      <w:r>
        <w:rPr>
          <w:lang w:val="ru-RU"/>
        </w:rPr>
        <w:t>профессиональным</w:t>
      </w:r>
      <w:r w:rsidRPr="00583F0F">
        <w:rPr>
          <w:lang w:val="ru-RU"/>
        </w:rPr>
        <w:t xml:space="preserve"> </w:t>
      </w:r>
      <w:r>
        <w:rPr>
          <w:lang w:val="ru-RU"/>
        </w:rPr>
        <w:t>финансовым</w:t>
      </w:r>
      <w:r w:rsidRPr="00583F0F">
        <w:rPr>
          <w:lang w:val="ru-RU"/>
        </w:rPr>
        <w:t xml:space="preserve"> </w:t>
      </w:r>
      <w:r>
        <w:rPr>
          <w:lang w:val="ru-RU"/>
        </w:rPr>
        <w:t>консультантом</w:t>
      </w:r>
      <w:r w:rsidRPr="00583F0F">
        <w:rPr>
          <w:lang w:val="ru-RU"/>
        </w:rPr>
        <w:t xml:space="preserve"> </w:t>
      </w:r>
      <w:r>
        <w:rPr>
          <w:lang w:val="ru-RU"/>
        </w:rPr>
        <w:t>и</w:t>
      </w:r>
      <w:r w:rsidRPr="00583F0F">
        <w:rPr>
          <w:lang w:val="ru-RU"/>
        </w:rPr>
        <w:t xml:space="preserve"> </w:t>
      </w:r>
      <w:r>
        <w:rPr>
          <w:lang w:val="ru-RU"/>
        </w:rPr>
        <w:t>рассмотрено</w:t>
      </w:r>
      <w:r w:rsidRPr="00583F0F">
        <w:rPr>
          <w:szCs w:val="22"/>
          <w:lang w:val="ru-RU"/>
        </w:rPr>
        <w:t xml:space="preserve"> </w:t>
      </w:r>
      <w:r w:rsidRPr="00583F0F">
        <w:rPr>
          <w:lang w:val="ru-RU"/>
        </w:rPr>
        <w:t>Консультативны</w:t>
      </w:r>
      <w:r>
        <w:rPr>
          <w:lang w:val="ru-RU"/>
        </w:rPr>
        <w:t>м</w:t>
      </w:r>
      <w:r w:rsidRPr="00583F0F">
        <w:rPr>
          <w:lang w:val="ru-RU"/>
        </w:rPr>
        <w:t xml:space="preserve"> комитет</w:t>
      </w:r>
      <w:r>
        <w:rPr>
          <w:lang w:val="ru-RU"/>
        </w:rPr>
        <w:t>ом</w:t>
      </w:r>
      <w:r w:rsidRPr="00583F0F">
        <w:rPr>
          <w:lang w:val="ru-RU"/>
        </w:rPr>
        <w:t xml:space="preserve"> по инвестициям (ККИ) исследовани</w:t>
      </w:r>
      <w:r>
        <w:rPr>
          <w:lang w:val="ru-RU"/>
        </w:rPr>
        <w:t>е</w:t>
      </w:r>
      <w:r w:rsidRPr="00583F0F">
        <w:rPr>
          <w:lang w:val="ru-RU"/>
        </w:rPr>
        <w:t xml:space="preserve"> по вопросам управления активами и пассивами (УАП)</w:t>
      </w:r>
      <w:r>
        <w:rPr>
          <w:lang w:val="ru-RU"/>
        </w:rPr>
        <w:t>.  На основе этого исследования ККИ установил  п</w:t>
      </w:r>
      <w:r w:rsidRPr="00583F0F">
        <w:rPr>
          <w:lang w:val="ru-RU"/>
        </w:rPr>
        <w:t xml:space="preserve">ервоначальное распределение </w:t>
      </w:r>
      <w:r>
        <w:rPr>
          <w:lang w:val="ru-RU"/>
        </w:rPr>
        <w:t xml:space="preserve">стратегических средств, которое </w:t>
      </w:r>
      <w:r w:rsidRPr="00583F0F">
        <w:rPr>
          <w:lang w:val="ru-RU"/>
        </w:rPr>
        <w:t>определяется финансовыми и актуарными характеристиками обязательств по МСПС</w:t>
      </w:r>
      <w:r>
        <w:rPr>
          <w:lang w:val="ru-RU"/>
        </w:rPr>
        <w:t xml:space="preserve"> и которое было утверждено Генеральным директором. </w:t>
      </w:r>
      <w:r w:rsidRPr="00583F0F">
        <w:rPr>
          <w:lang w:val="ru-RU"/>
        </w:rPr>
        <w:t xml:space="preserve">  </w:t>
      </w:r>
    </w:p>
    <w:p w:rsidR="00583F0F" w:rsidRPr="005D1140" w:rsidRDefault="0081544D" w:rsidP="005228AC">
      <w:pPr>
        <w:pStyle w:val="ONUME"/>
        <w:numPr>
          <w:ilvl w:val="1"/>
          <w:numId w:val="31"/>
        </w:numPr>
        <w:snapToGrid w:val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в</w:t>
      </w:r>
      <w:r w:rsidR="005D1140">
        <w:rPr>
          <w:rFonts w:eastAsia="Times New Roman"/>
          <w:lang w:val="ru-RU" w:eastAsia="en-US"/>
        </w:rPr>
        <w:t xml:space="preserve"> соответствии пунктом 9 приложений </w:t>
      </w:r>
      <w:r w:rsidR="005D1140">
        <w:rPr>
          <w:rFonts w:eastAsia="Times New Roman"/>
          <w:lang w:eastAsia="en-US"/>
        </w:rPr>
        <w:t>I</w:t>
      </w:r>
      <w:r w:rsidR="005D1140" w:rsidRPr="005D1140">
        <w:rPr>
          <w:rFonts w:eastAsia="Times New Roman"/>
          <w:lang w:val="ru-RU" w:eastAsia="en-US"/>
        </w:rPr>
        <w:t xml:space="preserve"> </w:t>
      </w:r>
      <w:r w:rsidR="005D1140">
        <w:rPr>
          <w:rFonts w:eastAsia="Times New Roman"/>
          <w:lang w:val="ru-RU" w:eastAsia="en-US"/>
        </w:rPr>
        <w:t>и</w:t>
      </w:r>
      <w:r w:rsidR="005D1140" w:rsidRPr="005D1140">
        <w:rPr>
          <w:rFonts w:eastAsia="Times New Roman"/>
          <w:lang w:val="ru-RU" w:eastAsia="en-US"/>
        </w:rPr>
        <w:t xml:space="preserve"> </w:t>
      </w:r>
      <w:r w:rsidR="005D1140">
        <w:rPr>
          <w:rFonts w:eastAsia="Times New Roman"/>
          <w:lang w:eastAsia="en-US"/>
        </w:rPr>
        <w:t>II</w:t>
      </w:r>
      <w:r w:rsidR="005D1140">
        <w:rPr>
          <w:rFonts w:eastAsia="Times New Roman"/>
          <w:lang w:val="ru-RU" w:eastAsia="en-US"/>
        </w:rPr>
        <w:t xml:space="preserve"> о</w:t>
      </w:r>
      <w:r w:rsidR="005E2C0C">
        <w:rPr>
          <w:rFonts w:eastAsia="Times New Roman"/>
          <w:lang w:val="ru-RU" w:eastAsia="en-US"/>
        </w:rPr>
        <w:t>б инвестиционной</w:t>
      </w:r>
      <w:r w:rsidR="005D1140">
        <w:rPr>
          <w:rFonts w:eastAsia="Times New Roman"/>
          <w:lang w:val="ru-RU" w:eastAsia="en-US"/>
        </w:rPr>
        <w:t xml:space="preserve"> политике после опубликования официального запроса </w:t>
      </w:r>
      <w:r w:rsidR="00980126">
        <w:rPr>
          <w:rFonts w:eastAsia="Times New Roman"/>
          <w:lang w:val="ru-RU" w:eastAsia="en-US"/>
        </w:rPr>
        <w:t xml:space="preserve">на подачу </w:t>
      </w:r>
      <w:r w:rsidR="00194316">
        <w:rPr>
          <w:rFonts w:eastAsia="Times New Roman"/>
          <w:lang w:val="ru-RU" w:eastAsia="en-US"/>
        </w:rPr>
        <w:t>предложени</w:t>
      </w:r>
      <w:r w:rsidR="00980126">
        <w:rPr>
          <w:rFonts w:eastAsia="Times New Roman"/>
          <w:lang w:val="ru-RU" w:eastAsia="en-US"/>
        </w:rPr>
        <w:t>й</w:t>
      </w:r>
      <w:r w:rsidR="00194316">
        <w:rPr>
          <w:rFonts w:eastAsia="Times New Roman"/>
          <w:lang w:val="ru-RU" w:eastAsia="en-US"/>
        </w:rPr>
        <w:t xml:space="preserve"> (З</w:t>
      </w:r>
      <w:r w:rsidR="005D1140" w:rsidRPr="005D1140">
        <w:rPr>
          <w:rFonts w:eastAsia="Times New Roman"/>
          <w:lang w:val="ru-RU" w:eastAsia="en-US"/>
        </w:rPr>
        <w:t>П)</w:t>
      </w:r>
      <w:r w:rsidR="005D1140">
        <w:rPr>
          <w:rFonts w:eastAsia="Times New Roman"/>
          <w:lang w:val="ru-RU" w:eastAsia="en-US"/>
        </w:rPr>
        <w:t xml:space="preserve"> была нанята компания</w:t>
      </w:r>
      <w:r>
        <w:rPr>
          <w:rFonts w:eastAsia="Times New Roman"/>
          <w:lang w:val="ru-RU" w:eastAsia="en-US"/>
        </w:rPr>
        <w:t xml:space="preserve"> консультантов</w:t>
      </w:r>
      <w:r w:rsidR="005D1140">
        <w:rPr>
          <w:rFonts w:eastAsia="Times New Roman"/>
          <w:lang w:val="ru-RU" w:eastAsia="en-US"/>
        </w:rPr>
        <w:t xml:space="preserve"> по </w:t>
      </w:r>
      <w:r w:rsidR="005E2C0C">
        <w:rPr>
          <w:rFonts w:eastAsia="Times New Roman"/>
          <w:lang w:val="ru-RU" w:eastAsia="en-US"/>
        </w:rPr>
        <w:t xml:space="preserve">инвестиционным </w:t>
      </w:r>
      <w:r w:rsidR="005D1140">
        <w:rPr>
          <w:rFonts w:eastAsia="Times New Roman"/>
          <w:lang w:val="ru-RU" w:eastAsia="en-US"/>
        </w:rPr>
        <w:t>вопросам для оказания помощи Контролеру и ККИ в выполнении</w:t>
      </w:r>
      <w:r>
        <w:rPr>
          <w:rFonts w:eastAsia="Times New Roman"/>
          <w:lang w:val="ru-RU" w:eastAsia="en-US"/>
        </w:rPr>
        <w:t xml:space="preserve"> их</w:t>
      </w:r>
      <w:r w:rsidR="005D1140">
        <w:rPr>
          <w:rFonts w:eastAsia="Times New Roman"/>
          <w:lang w:val="ru-RU" w:eastAsia="en-US"/>
        </w:rPr>
        <w:t xml:space="preserve"> обязанностей</w:t>
      </w:r>
      <w:r>
        <w:rPr>
          <w:rFonts w:eastAsia="Times New Roman"/>
          <w:lang w:val="ru-RU" w:eastAsia="en-US"/>
        </w:rPr>
        <w:t xml:space="preserve"> по </w:t>
      </w:r>
      <w:r w:rsidR="007E543C">
        <w:rPr>
          <w:rFonts w:eastAsia="Times New Roman"/>
          <w:lang w:val="ru-RU" w:eastAsia="en-US"/>
        </w:rPr>
        <w:t>инвестированию</w:t>
      </w:r>
      <w:r>
        <w:rPr>
          <w:rFonts w:eastAsia="Times New Roman"/>
          <w:lang w:val="ru-RU" w:eastAsia="en-US"/>
        </w:rPr>
        <w:t xml:space="preserve"> перечисленных выше трех категорий денежных средств.  Существующая международная финансовая ситуация, особенно с учетом решений центральных банков об установлении низких и даже отрицательных процентных ставок для некоторых видов инвестиций, традиционно используемых неправительственными организациями, сложна и требует опыта работы в финансовом секторе.  Внешние эксперты </w:t>
      </w:r>
      <w:r w:rsidR="000B01F9">
        <w:rPr>
          <w:rFonts w:eastAsia="Times New Roman"/>
          <w:lang w:val="ru-RU" w:eastAsia="en-US"/>
        </w:rPr>
        <w:t>будут оказывать помощь</w:t>
      </w:r>
      <w:r>
        <w:rPr>
          <w:rFonts w:eastAsia="Times New Roman"/>
          <w:lang w:val="ru-RU" w:eastAsia="en-US"/>
        </w:rPr>
        <w:t xml:space="preserve"> ККИ, в частности при решении вопросов осуществления первоначальных вложений;    </w:t>
      </w:r>
      <w:r w:rsidR="005D1140">
        <w:rPr>
          <w:rFonts w:eastAsia="Times New Roman"/>
          <w:lang w:val="ru-RU" w:eastAsia="en-US"/>
        </w:rPr>
        <w:t xml:space="preserve">  </w:t>
      </w:r>
    </w:p>
    <w:p w:rsidR="0081544D" w:rsidRPr="0081544D" w:rsidRDefault="0081544D" w:rsidP="005228AC">
      <w:pPr>
        <w:pStyle w:val="ONUME"/>
        <w:numPr>
          <w:ilvl w:val="1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 xml:space="preserve">по рекомендации консультантов </w:t>
      </w:r>
      <w:r w:rsidR="005E2C0C" w:rsidRPr="005E2C0C">
        <w:rPr>
          <w:szCs w:val="22"/>
          <w:lang w:val="ru-RU"/>
        </w:rPr>
        <w:t xml:space="preserve">по инвестиционным вопросам </w:t>
      </w:r>
      <w:r>
        <w:rPr>
          <w:szCs w:val="22"/>
          <w:lang w:val="ru-RU"/>
        </w:rPr>
        <w:t xml:space="preserve">Контролер внес в ККИ предложение </w:t>
      </w:r>
      <w:r w:rsidR="00B1111B">
        <w:rPr>
          <w:szCs w:val="22"/>
          <w:lang w:val="ru-RU"/>
        </w:rPr>
        <w:t xml:space="preserve">досрочно погасить оставшуюся часть кредита, предоставленного Организации кантональными банками Во и Женевы.  </w:t>
      </w:r>
      <w:r w:rsidR="005D307D">
        <w:rPr>
          <w:szCs w:val="22"/>
          <w:lang w:val="ru-RU"/>
        </w:rPr>
        <w:t>Э</w:t>
      </w:r>
      <w:r w:rsidR="00B1111B">
        <w:rPr>
          <w:szCs w:val="22"/>
          <w:lang w:val="ru-RU"/>
        </w:rPr>
        <w:t>то решени</w:t>
      </w:r>
      <w:r w:rsidR="005D307D">
        <w:rPr>
          <w:szCs w:val="22"/>
          <w:lang w:val="ru-RU"/>
        </w:rPr>
        <w:t>е основывалось на результатах анализа, показавшего, что</w:t>
      </w:r>
      <w:r w:rsidR="00B1111B">
        <w:rPr>
          <w:szCs w:val="22"/>
          <w:lang w:val="ru-RU"/>
        </w:rPr>
        <w:t xml:space="preserve"> </w:t>
      </w:r>
      <w:r w:rsidR="005D307D">
        <w:rPr>
          <w:szCs w:val="22"/>
          <w:lang w:val="ru-RU"/>
        </w:rPr>
        <w:t xml:space="preserve">при незначительных штрафных санкциях за досрочное погашение </w:t>
      </w:r>
      <w:r w:rsidR="00B1111B">
        <w:rPr>
          <w:szCs w:val="22"/>
          <w:lang w:val="ru-RU"/>
        </w:rPr>
        <w:t>возможная доходность инвестиционных средств в швейцарских франках</w:t>
      </w:r>
      <w:r w:rsidR="005D307D">
        <w:rPr>
          <w:szCs w:val="22"/>
          <w:lang w:val="ru-RU"/>
        </w:rPr>
        <w:t xml:space="preserve"> ниже установленной банками процентной ставки.  К тому же, в случае досрочного погашения снижался риск того, что Организации придется платить отрицательные проценты по наличным авуарам сверх пороговых уровней, установленных банками, в которых депонированы остатки средств в швейцарских франках.  Предложение досрочно погасить этот кредит было одобрено ККИ и Генеральным директором и реализовано в 2017 г.</w:t>
      </w:r>
      <w:r w:rsidR="006D44E3">
        <w:rPr>
          <w:szCs w:val="22"/>
          <w:lang w:val="ru-RU"/>
        </w:rPr>
        <w:t>;</w:t>
      </w:r>
      <w:r w:rsidR="005D307D">
        <w:rPr>
          <w:szCs w:val="22"/>
          <w:lang w:val="ru-RU"/>
        </w:rPr>
        <w:t xml:space="preserve"> </w:t>
      </w:r>
      <w:r w:rsidR="00B1111B">
        <w:rPr>
          <w:szCs w:val="22"/>
          <w:lang w:val="ru-RU"/>
        </w:rPr>
        <w:t xml:space="preserve">  </w:t>
      </w:r>
    </w:p>
    <w:p w:rsidR="005E2C0C" w:rsidRPr="005E2C0C" w:rsidRDefault="005E2C0C" w:rsidP="005228AC">
      <w:pPr>
        <w:pStyle w:val="ONUME"/>
        <w:numPr>
          <w:ilvl w:val="1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>б</w:t>
      </w:r>
      <w:r w:rsidRPr="005E2C0C">
        <w:rPr>
          <w:szCs w:val="22"/>
          <w:lang w:val="ru-RU"/>
        </w:rPr>
        <w:t xml:space="preserve">ыл опубликован </w:t>
      </w:r>
      <w:r w:rsidR="00194316">
        <w:rPr>
          <w:szCs w:val="22"/>
          <w:lang w:val="ru-RU"/>
        </w:rPr>
        <w:t>З</w:t>
      </w:r>
      <w:r>
        <w:rPr>
          <w:szCs w:val="22"/>
          <w:lang w:val="ru-RU"/>
        </w:rPr>
        <w:t>П</w:t>
      </w:r>
      <w:r w:rsidRPr="005E2C0C">
        <w:rPr>
          <w:szCs w:val="22"/>
          <w:lang w:val="ru-RU"/>
        </w:rPr>
        <w:t xml:space="preserve"> </w:t>
      </w:r>
      <w:r w:rsidR="006B1653">
        <w:rPr>
          <w:szCs w:val="22"/>
          <w:lang w:val="ru-RU"/>
        </w:rPr>
        <w:t>с целью</w:t>
      </w:r>
      <w:r w:rsidRPr="005E2C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привлечения </w:t>
      </w:r>
      <w:r w:rsidRPr="005E2C0C">
        <w:rPr>
          <w:szCs w:val="22"/>
          <w:lang w:val="ru-RU"/>
        </w:rPr>
        <w:t xml:space="preserve">банка в качестве </w:t>
      </w:r>
      <w:r>
        <w:rPr>
          <w:szCs w:val="22"/>
          <w:lang w:val="ru-RU"/>
        </w:rPr>
        <w:t>единого доверительного управляющего Организации, отвечающего за хранение всех</w:t>
      </w:r>
      <w:r w:rsidRPr="005E2C0C">
        <w:rPr>
          <w:szCs w:val="22"/>
          <w:lang w:val="ru-RU"/>
        </w:rPr>
        <w:t xml:space="preserve"> инвестици</w:t>
      </w:r>
      <w:r>
        <w:rPr>
          <w:szCs w:val="22"/>
          <w:lang w:val="ru-RU"/>
        </w:rPr>
        <w:t>онных авуаров</w:t>
      </w:r>
      <w:r w:rsidRPr="005E2C0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осуществление</w:t>
      </w:r>
      <w:r w:rsidRPr="005E2C0C">
        <w:rPr>
          <w:szCs w:val="22"/>
          <w:lang w:val="ru-RU"/>
        </w:rPr>
        <w:t xml:space="preserve"> всех</w:t>
      </w:r>
      <w:r>
        <w:rPr>
          <w:szCs w:val="22"/>
          <w:lang w:val="ru-RU"/>
        </w:rPr>
        <w:t xml:space="preserve"> операций по</w:t>
      </w:r>
      <w:r w:rsidRPr="005E2C0C">
        <w:rPr>
          <w:szCs w:val="22"/>
          <w:lang w:val="ru-RU"/>
        </w:rPr>
        <w:t xml:space="preserve"> покуп</w:t>
      </w:r>
      <w:r>
        <w:rPr>
          <w:szCs w:val="22"/>
          <w:lang w:val="ru-RU"/>
        </w:rPr>
        <w:t>ке</w:t>
      </w:r>
      <w:r w:rsidRPr="005E2C0C">
        <w:rPr>
          <w:szCs w:val="22"/>
          <w:lang w:val="ru-RU"/>
        </w:rPr>
        <w:t xml:space="preserve"> и продаж</w:t>
      </w:r>
      <w:r>
        <w:rPr>
          <w:szCs w:val="22"/>
          <w:lang w:val="ru-RU"/>
        </w:rPr>
        <w:t>е</w:t>
      </w:r>
      <w:r w:rsidRPr="005E2C0C">
        <w:rPr>
          <w:szCs w:val="22"/>
          <w:lang w:val="ru-RU"/>
        </w:rPr>
        <w:t xml:space="preserve"> инвестиций, </w:t>
      </w:r>
      <w:r w:rsidR="006B1653">
        <w:rPr>
          <w:szCs w:val="22"/>
          <w:lang w:val="ru-RU"/>
        </w:rPr>
        <w:t>получение денежных средств в виде дохода</w:t>
      </w:r>
      <w:r w:rsidRPr="005E2C0C">
        <w:rPr>
          <w:szCs w:val="22"/>
          <w:lang w:val="ru-RU"/>
        </w:rPr>
        <w:t xml:space="preserve"> </w:t>
      </w:r>
      <w:r w:rsidR="006B1653">
        <w:rPr>
          <w:szCs w:val="22"/>
          <w:lang w:val="ru-RU"/>
        </w:rPr>
        <w:t xml:space="preserve">от </w:t>
      </w:r>
      <w:r w:rsidRPr="005E2C0C">
        <w:rPr>
          <w:szCs w:val="22"/>
          <w:lang w:val="ru-RU"/>
        </w:rPr>
        <w:t>инвестици</w:t>
      </w:r>
      <w:r w:rsidR="006B1653">
        <w:rPr>
          <w:szCs w:val="22"/>
          <w:lang w:val="ru-RU"/>
        </w:rPr>
        <w:t>й</w:t>
      </w:r>
      <w:r w:rsidRPr="005E2C0C">
        <w:rPr>
          <w:szCs w:val="22"/>
          <w:lang w:val="ru-RU"/>
        </w:rPr>
        <w:t>,</w:t>
      </w:r>
      <w:r w:rsidR="006B1653">
        <w:rPr>
          <w:szCs w:val="22"/>
          <w:lang w:val="ru-RU"/>
        </w:rPr>
        <w:t xml:space="preserve"> истребование </w:t>
      </w:r>
      <w:r w:rsidRPr="005E2C0C">
        <w:rPr>
          <w:szCs w:val="22"/>
          <w:lang w:val="ru-RU"/>
        </w:rPr>
        <w:t>подлежащих возмещению</w:t>
      </w:r>
      <w:r w:rsidR="006B1653">
        <w:rPr>
          <w:szCs w:val="22"/>
          <w:lang w:val="ru-RU"/>
        </w:rPr>
        <w:t xml:space="preserve"> </w:t>
      </w:r>
      <w:r w:rsidR="006B1653" w:rsidRPr="005E2C0C">
        <w:rPr>
          <w:szCs w:val="22"/>
          <w:lang w:val="ru-RU"/>
        </w:rPr>
        <w:t>удержанных налогов</w:t>
      </w:r>
      <w:r w:rsidRPr="005E2C0C">
        <w:rPr>
          <w:szCs w:val="22"/>
          <w:lang w:val="ru-RU"/>
        </w:rPr>
        <w:t xml:space="preserve">, </w:t>
      </w:r>
      <w:r w:rsidR="006B1653">
        <w:rPr>
          <w:szCs w:val="22"/>
          <w:lang w:val="ru-RU"/>
        </w:rPr>
        <w:t>выполнение функций</w:t>
      </w:r>
      <w:r w:rsidRPr="005E2C0C">
        <w:rPr>
          <w:szCs w:val="22"/>
          <w:lang w:val="ru-RU"/>
        </w:rPr>
        <w:t xml:space="preserve"> онлайн-портала, </w:t>
      </w:r>
      <w:r w:rsidR="006B1653">
        <w:rPr>
          <w:szCs w:val="22"/>
          <w:lang w:val="ru-RU"/>
        </w:rPr>
        <w:t>позволяющего</w:t>
      </w:r>
      <w:r w:rsidRPr="005E2C0C">
        <w:rPr>
          <w:szCs w:val="22"/>
          <w:lang w:val="ru-RU"/>
        </w:rPr>
        <w:t xml:space="preserve"> в реальном времени</w:t>
      </w:r>
      <w:r w:rsidR="006B1653">
        <w:rPr>
          <w:szCs w:val="22"/>
          <w:lang w:val="ru-RU"/>
        </w:rPr>
        <w:t xml:space="preserve"> контролировать состояние</w:t>
      </w:r>
      <w:r w:rsidRPr="005E2C0C">
        <w:rPr>
          <w:szCs w:val="22"/>
          <w:lang w:val="ru-RU"/>
        </w:rPr>
        <w:t xml:space="preserve"> инвестиционных </w:t>
      </w:r>
      <w:r w:rsidR="006B1653">
        <w:rPr>
          <w:szCs w:val="22"/>
          <w:lang w:val="ru-RU"/>
        </w:rPr>
        <w:t>авуаров,</w:t>
      </w:r>
      <w:r w:rsidRPr="005E2C0C">
        <w:rPr>
          <w:szCs w:val="22"/>
          <w:lang w:val="ru-RU"/>
        </w:rPr>
        <w:t xml:space="preserve"> и </w:t>
      </w:r>
      <w:r w:rsidR="006B1653">
        <w:rPr>
          <w:szCs w:val="22"/>
          <w:lang w:val="ru-RU"/>
        </w:rPr>
        <w:t xml:space="preserve">представление </w:t>
      </w:r>
      <w:r w:rsidRPr="005E2C0C">
        <w:rPr>
          <w:szCs w:val="22"/>
          <w:lang w:val="ru-RU"/>
        </w:rPr>
        <w:t>отчет</w:t>
      </w:r>
      <w:r w:rsidR="006B1653">
        <w:rPr>
          <w:szCs w:val="22"/>
          <w:lang w:val="ru-RU"/>
        </w:rPr>
        <w:t>ов</w:t>
      </w:r>
      <w:r w:rsidRPr="005E2C0C">
        <w:rPr>
          <w:szCs w:val="22"/>
          <w:lang w:val="ru-RU"/>
        </w:rPr>
        <w:t xml:space="preserve"> о работе внешних управляющих фондами. </w:t>
      </w:r>
      <w:r w:rsidR="006B1653">
        <w:rPr>
          <w:szCs w:val="22"/>
          <w:lang w:val="ru-RU"/>
        </w:rPr>
        <w:t xml:space="preserve"> Проработка </w:t>
      </w:r>
      <w:r w:rsidR="00194316">
        <w:rPr>
          <w:szCs w:val="22"/>
          <w:lang w:val="ru-RU"/>
        </w:rPr>
        <w:t>З</w:t>
      </w:r>
      <w:r w:rsidRPr="005E2C0C">
        <w:rPr>
          <w:szCs w:val="22"/>
          <w:lang w:val="ru-RU"/>
        </w:rPr>
        <w:t>П находится на завершающей стадии, и</w:t>
      </w:r>
      <w:r w:rsidR="006B1653">
        <w:rPr>
          <w:szCs w:val="22"/>
          <w:lang w:val="ru-RU"/>
        </w:rPr>
        <w:t>, как</w:t>
      </w:r>
      <w:r w:rsidRPr="005E2C0C">
        <w:rPr>
          <w:szCs w:val="22"/>
          <w:lang w:val="ru-RU"/>
        </w:rPr>
        <w:t xml:space="preserve"> ожидается, </w:t>
      </w:r>
      <w:r w:rsidR="006B1653">
        <w:rPr>
          <w:szCs w:val="22"/>
          <w:lang w:val="ru-RU"/>
        </w:rPr>
        <w:t xml:space="preserve">единый доверительный управляющий </w:t>
      </w:r>
      <w:r w:rsidRPr="005E2C0C">
        <w:rPr>
          <w:szCs w:val="22"/>
          <w:lang w:val="ru-RU"/>
        </w:rPr>
        <w:t>будет назначен до конца мая 2017 года</w:t>
      </w:r>
      <w:r w:rsidR="006B1653">
        <w:rPr>
          <w:szCs w:val="22"/>
          <w:lang w:val="ru-RU"/>
        </w:rPr>
        <w:t>;</w:t>
      </w:r>
    </w:p>
    <w:p w:rsidR="006B1653" w:rsidRPr="006B1653" w:rsidRDefault="006B1653" w:rsidP="005228AC">
      <w:pPr>
        <w:pStyle w:val="ONUME"/>
        <w:numPr>
          <w:ilvl w:val="1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>помимо</w:t>
      </w:r>
      <w:r w:rsidR="000567D7">
        <w:rPr>
          <w:szCs w:val="22"/>
          <w:lang w:val="ru-RU"/>
        </w:rPr>
        <w:t xml:space="preserve"> первоначального </w:t>
      </w:r>
      <w:r w:rsidRPr="006B1653">
        <w:rPr>
          <w:szCs w:val="22"/>
          <w:lang w:val="ru-RU"/>
        </w:rPr>
        <w:t>распределения акти</w:t>
      </w:r>
      <w:r w:rsidR="000567D7">
        <w:rPr>
          <w:szCs w:val="22"/>
          <w:lang w:val="ru-RU"/>
        </w:rPr>
        <w:t xml:space="preserve">вов для стратегических </w:t>
      </w:r>
      <w:r w:rsidRPr="006B1653">
        <w:rPr>
          <w:szCs w:val="22"/>
          <w:lang w:val="ru-RU"/>
        </w:rPr>
        <w:t xml:space="preserve">средств </w:t>
      </w:r>
      <w:r w:rsidR="000567D7">
        <w:rPr>
          <w:szCs w:val="22"/>
          <w:lang w:val="ru-RU"/>
        </w:rPr>
        <w:t>ККИ</w:t>
      </w:r>
      <w:r w:rsidRPr="006B1653">
        <w:rPr>
          <w:szCs w:val="22"/>
          <w:lang w:val="ru-RU"/>
        </w:rPr>
        <w:t xml:space="preserve"> принял, </w:t>
      </w:r>
      <w:r w:rsidR="000567D7">
        <w:rPr>
          <w:szCs w:val="22"/>
          <w:lang w:val="ru-RU"/>
        </w:rPr>
        <w:t>а</w:t>
      </w:r>
      <w:r w:rsidRPr="006B1653">
        <w:rPr>
          <w:szCs w:val="22"/>
          <w:lang w:val="ru-RU"/>
        </w:rPr>
        <w:t xml:space="preserve"> Генеральный директор утвердил первоначальную стратегию </w:t>
      </w:r>
      <w:r w:rsidR="000567D7">
        <w:rPr>
          <w:szCs w:val="22"/>
          <w:lang w:val="ru-RU"/>
        </w:rPr>
        <w:t xml:space="preserve">в отношении </w:t>
      </w:r>
      <w:r w:rsidRPr="006B1653">
        <w:rPr>
          <w:szCs w:val="22"/>
          <w:lang w:val="ru-RU"/>
        </w:rPr>
        <w:t>инвести</w:t>
      </w:r>
      <w:r w:rsidR="007D35D6">
        <w:rPr>
          <w:szCs w:val="22"/>
          <w:lang w:val="ru-RU"/>
        </w:rPr>
        <w:t>ций, приобретаемых в случае</w:t>
      </w:r>
      <w:r w:rsidRPr="006B1653">
        <w:rPr>
          <w:szCs w:val="22"/>
          <w:lang w:val="ru-RU"/>
        </w:rPr>
        <w:t xml:space="preserve"> как </w:t>
      </w:r>
      <w:r w:rsidR="000567D7">
        <w:rPr>
          <w:szCs w:val="22"/>
          <w:lang w:val="ru-RU"/>
        </w:rPr>
        <w:t>основных</w:t>
      </w:r>
      <w:r w:rsidRPr="006B1653">
        <w:rPr>
          <w:szCs w:val="22"/>
          <w:lang w:val="ru-RU"/>
        </w:rPr>
        <w:t>, так и операционн</w:t>
      </w:r>
      <w:r w:rsidR="007D35D6">
        <w:rPr>
          <w:szCs w:val="22"/>
          <w:lang w:val="ru-RU"/>
        </w:rPr>
        <w:t>ых средств</w:t>
      </w:r>
      <w:r w:rsidRPr="006B1653">
        <w:rPr>
          <w:szCs w:val="22"/>
          <w:lang w:val="ru-RU"/>
        </w:rPr>
        <w:t xml:space="preserve"> в соответствии с </w:t>
      </w:r>
      <w:r w:rsidR="007D35D6">
        <w:rPr>
          <w:szCs w:val="22"/>
          <w:lang w:val="ru-RU"/>
        </w:rPr>
        <w:t xml:space="preserve">налагаемыми инвестиционной политикой </w:t>
      </w:r>
      <w:r w:rsidRPr="006B1653">
        <w:rPr>
          <w:szCs w:val="22"/>
          <w:lang w:val="ru-RU"/>
        </w:rPr>
        <w:t xml:space="preserve">ограничениями в отношении </w:t>
      </w:r>
      <w:r w:rsidR="007D35D6">
        <w:rPr>
          <w:szCs w:val="22"/>
          <w:lang w:val="ru-RU"/>
        </w:rPr>
        <w:t>допустимого уровня риска</w:t>
      </w:r>
      <w:r w:rsidRPr="006B1653">
        <w:rPr>
          <w:szCs w:val="22"/>
          <w:lang w:val="ru-RU"/>
        </w:rPr>
        <w:t xml:space="preserve">, </w:t>
      </w:r>
      <w:r w:rsidR="007D35D6">
        <w:rPr>
          <w:szCs w:val="22"/>
          <w:lang w:val="ru-RU"/>
        </w:rPr>
        <w:t>уровня</w:t>
      </w:r>
      <w:r w:rsidRPr="006B1653">
        <w:rPr>
          <w:szCs w:val="22"/>
          <w:lang w:val="ru-RU"/>
        </w:rPr>
        <w:t xml:space="preserve"> ликвидности, </w:t>
      </w:r>
      <w:r w:rsidRPr="006B1653">
        <w:rPr>
          <w:szCs w:val="22"/>
          <w:lang w:val="ru-RU"/>
        </w:rPr>
        <w:lastRenderedPageBreak/>
        <w:t>кредитоспособност</w:t>
      </w:r>
      <w:r w:rsidR="007D35D6">
        <w:rPr>
          <w:szCs w:val="22"/>
          <w:lang w:val="ru-RU"/>
        </w:rPr>
        <w:t>и</w:t>
      </w:r>
      <w:r w:rsidRPr="006B1653">
        <w:rPr>
          <w:szCs w:val="22"/>
          <w:lang w:val="ru-RU"/>
        </w:rPr>
        <w:t>, валют</w:t>
      </w:r>
      <w:r w:rsidR="007D35D6">
        <w:rPr>
          <w:szCs w:val="22"/>
          <w:lang w:val="ru-RU"/>
        </w:rPr>
        <w:t>ы</w:t>
      </w:r>
      <w:r w:rsidRPr="006B1653">
        <w:rPr>
          <w:szCs w:val="22"/>
          <w:lang w:val="ru-RU"/>
        </w:rPr>
        <w:t xml:space="preserve"> инвестиций, диверсификаци</w:t>
      </w:r>
      <w:r w:rsidR="007D35D6">
        <w:rPr>
          <w:szCs w:val="22"/>
          <w:lang w:val="ru-RU"/>
        </w:rPr>
        <w:t>и</w:t>
      </w:r>
      <w:r w:rsidRPr="006B1653">
        <w:rPr>
          <w:szCs w:val="22"/>
          <w:lang w:val="ru-RU"/>
        </w:rPr>
        <w:t xml:space="preserve"> контрагентов, лимит</w:t>
      </w:r>
      <w:r w:rsidR="007D35D6">
        <w:rPr>
          <w:szCs w:val="22"/>
          <w:lang w:val="ru-RU"/>
        </w:rPr>
        <w:t>ов</w:t>
      </w:r>
      <w:r w:rsidRPr="006B1653">
        <w:rPr>
          <w:szCs w:val="22"/>
          <w:lang w:val="ru-RU"/>
        </w:rPr>
        <w:t xml:space="preserve"> кредитования, этически</w:t>
      </w:r>
      <w:r w:rsidR="007D35D6">
        <w:rPr>
          <w:szCs w:val="22"/>
          <w:lang w:val="ru-RU"/>
        </w:rPr>
        <w:t>х</w:t>
      </w:r>
      <w:r w:rsidRPr="006B1653">
        <w:rPr>
          <w:szCs w:val="22"/>
          <w:lang w:val="ru-RU"/>
        </w:rPr>
        <w:t xml:space="preserve"> соображени</w:t>
      </w:r>
      <w:r w:rsidR="007D35D6">
        <w:rPr>
          <w:szCs w:val="22"/>
          <w:lang w:val="ru-RU"/>
        </w:rPr>
        <w:t>й</w:t>
      </w:r>
      <w:r w:rsidRPr="006B1653">
        <w:rPr>
          <w:szCs w:val="22"/>
          <w:lang w:val="ru-RU"/>
        </w:rPr>
        <w:t xml:space="preserve"> и допустимы</w:t>
      </w:r>
      <w:r w:rsidR="007D35D6">
        <w:rPr>
          <w:szCs w:val="22"/>
          <w:lang w:val="ru-RU"/>
        </w:rPr>
        <w:t>х</w:t>
      </w:r>
      <w:r w:rsidRPr="006B1653">
        <w:rPr>
          <w:szCs w:val="22"/>
          <w:lang w:val="ru-RU"/>
        </w:rPr>
        <w:t xml:space="preserve"> класс</w:t>
      </w:r>
      <w:r w:rsidR="007D35D6">
        <w:rPr>
          <w:szCs w:val="22"/>
          <w:lang w:val="ru-RU"/>
        </w:rPr>
        <w:t>ов</w:t>
      </w:r>
      <w:r w:rsidRPr="006B1653">
        <w:rPr>
          <w:szCs w:val="22"/>
          <w:lang w:val="ru-RU"/>
        </w:rPr>
        <w:t xml:space="preserve"> активов.</w:t>
      </w:r>
    </w:p>
    <w:p w:rsidR="00397BC1" w:rsidRPr="00397BC1" w:rsidRDefault="00EC5D0C" w:rsidP="005228AC">
      <w:pPr>
        <w:pStyle w:val="ONUME"/>
        <w:numPr>
          <w:ilvl w:val="0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>Рассмотрев</w:t>
      </w:r>
      <w:r w:rsidR="00397BC1" w:rsidRPr="00397B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согласованные с Контролером </w:t>
      </w:r>
      <w:r w:rsidR="00397BC1" w:rsidRPr="00397BC1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и</w:t>
      </w:r>
      <w:r w:rsidR="00397BC1" w:rsidRPr="00397BC1">
        <w:rPr>
          <w:szCs w:val="22"/>
          <w:lang w:val="ru-RU"/>
        </w:rPr>
        <w:t xml:space="preserve"> внешних </w:t>
      </w:r>
      <w:r>
        <w:rPr>
          <w:szCs w:val="22"/>
          <w:lang w:val="ru-RU"/>
        </w:rPr>
        <w:t>консультантов по инвестициям, ККИ</w:t>
      </w:r>
      <w:r w:rsidR="00397BC1" w:rsidRPr="00397B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пришел к выводу,</w:t>
      </w:r>
      <w:r w:rsidR="00397BC1" w:rsidRPr="00397BC1">
        <w:rPr>
          <w:szCs w:val="22"/>
          <w:lang w:val="ru-RU"/>
        </w:rPr>
        <w:t xml:space="preserve"> что привлечение внешних управляющих фондами к </w:t>
      </w:r>
      <w:r>
        <w:rPr>
          <w:szCs w:val="22"/>
          <w:lang w:val="ru-RU"/>
        </w:rPr>
        <w:t xml:space="preserve">операциям по </w:t>
      </w:r>
      <w:r w:rsidR="00397BC1" w:rsidRPr="00397BC1">
        <w:rPr>
          <w:szCs w:val="22"/>
          <w:lang w:val="ru-RU"/>
        </w:rPr>
        <w:t xml:space="preserve">приобретению </w:t>
      </w:r>
      <w:r w:rsidRPr="00397BC1">
        <w:rPr>
          <w:szCs w:val="22"/>
          <w:lang w:val="ru-RU"/>
        </w:rPr>
        <w:t>портфел</w:t>
      </w:r>
      <w:r>
        <w:rPr>
          <w:szCs w:val="22"/>
          <w:lang w:val="ru-RU"/>
        </w:rPr>
        <w:t>ей</w:t>
      </w:r>
      <w:r w:rsidRPr="00397BC1">
        <w:rPr>
          <w:szCs w:val="22"/>
          <w:lang w:val="ru-RU"/>
        </w:rPr>
        <w:t xml:space="preserve"> индивидуальных инвестиций </w:t>
      </w:r>
      <w:r w:rsidR="00397BC1" w:rsidRPr="00397BC1">
        <w:rPr>
          <w:szCs w:val="22"/>
          <w:lang w:val="ru-RU"/>
        </w:rPr>
        <w:t xml:space="preserve">и управлению </w:t>
      </w:r>
      <w:r>
        <w:rPr>
          <w:szCs w:val="22"/>
          <w:lang w:val="ru-RU"/>
        </w:rPr>
        <w:t xml:space="preserve">ими </w:t>
      </w:r>
      <w:r w:rsidR="00397BC1" w:rsidRPr="00397BC1">
        <w:rPr>
          <w:szCs w:val="22"/>
          <w:lang w:val="ru-RU"/>
        </w:rPr>
        <w:t xml:space="preserve">не будет отвечать интересам </w:t>
      </w:r>
      <w:r>
        <w:rPr>
          <w:szCs w:val="22"/>
          <w:lang w:val="ru-RU"/>
        </w:rPr>
        <w:t>О</w:t>
      </w:r>
      <w:r w:rsidR="00397BC1" w:rsidRPr="00397BC1">
        <w:rPr>
          <w:szCs w:val="22"/>
          <w:lang w:val="ru-RU"/>
        </w:rPr>
        <w:t xml:space="preserve">рганизации. </w:t>
      </w:r>
      <w:r>
        <w:rPr>
          <w:szCs w:val="22"/>
          <w:lang w:val="ru-RU"/>
        </w:rPr>
        <w:t xml:space="preserve"> Это объясняется </w:t>
      </w:r>
      <w:r w:rsidR="00066F29">
        <w:rPr>
          <w:szCs w:val="22"/>
          <w:lang w:val="ru-RU"/>
        </w:rPr>
        <w:t>комиссионными</w:t>
      </w:r>
      <w:r>
        <w:rPr>
          <w:szCs w:val="22"/>
          <w:lang w:val="ru-RU"/>
        </w:rPr>
        <w:t xml:space="preserve"> за</w:t>
      </w:r>
      <w:r w:rsidR="00397BC1" w:rsidRPr="00397BC1">
        <w:rPr>
          <w:szCs w:val="22"/>
          <w:lang w:val="ru-RU"/>
        </w:rPr>
        <w:t xml:space="preserve"> такое управление, транзакционны</w:t>
      </w:r>
      <w:r>
        <w:rPr>
          <w:szCs w:val="22"/>
          <w:lang w:val="ru-RU"/>
        </w:rPr>
        <w:t>ми</w:t>
      </w:r>
      <w:r w:rsidR="00397BC1" w:rsidRPr="00397BC1">
        <w:rPr>
          <w:szCs w:val="22"/>
          <w:lang w:val="ru-RU"/>
        </w:rPr>
        <w:t xml:space="preserve"> издерж</w:t>
      </w:r>
      <w:r>
        <w:rPr>
          <w:szCs w:val="22"/>
          <w:lang w:val="ru-RU"/>
        </w:rPr>
        <w:t xml:space="preserve">ками операций по </w:t>
      </w:r>
      <w:r w:rsidR="00397BC1" w:rsidRPr="00397BC1">
        <w:rPr>
          <w:szCs w:val="22"/>
          <w:lang w:val="ru-RU"/>
        </w:rPr>
        <w:t>покупк</w:t>
      </w:r>
      <w:r>
        <w:rPr>
          <w:szCs w:val="22"/>
          <w:lang w:val="ru-RU"/>
        </w:rPr>
        <w:t>е</w:t>
      </w:r>
      <w:r w:rsidR="00397BC1" w:rsidRPr="00397BC1">
        <w:rPr>
          <w:szCs w:val="22"/>
          <w:lang w:val="ru-RU"/>
        </w:rPr>
        <w:t xml:space="preserve"> и продаже инвестиций и </w:t>
      </w:r>
      <w:r>
        <w:rPr>
          <w:szCs w:val="22"/>
          <w:lang w:val="ru-RU"/>
        </w:rPr>
        <w:t>нынешней низкой доходностью вложений</w:t>
      </w:r>
      <w:r w:rsidR="00397BC1" w:rsidRPr="00397BC1">
        <w:rPr>
          <w:szCs w:val="22"/>
          <w:lang w:val="ru-RU"/>
        </w:rPr>
        <w:t xml:space="preserve">, </w:t>
      </w:r>
      <w:r w:rsidR="00435F5C">
        <w:rPr>
          <w:szCs w:val="22"/>
          <w:lang w:val="ru-RU"/>
        </w:rPr>
        <w:t>причем не только в</w:t>
      </w:r>
      <w:r w:rsidR="00397BC1" w:rsidRPr="00397BC1">
        <w:rPr>
          <w:szCs w:val="22"/>
          <w:lang w:val="ru-RU"/>
        </w:rPr>
        <w:t xml:space="preserve"> швейцарских франках, но и в других валютах, </w:t>
      </w:r>
      <w:r>
        <w:rPr>
          <w:szCs w:val="22"/>
          <w:lang w:val="ru-RU"/>
        </w:rPr>
        <w:t xml:space="preserve">если учесть расходы на </w:t>
      </w:r>
      <w:r w:rsidR="00397BC1" w:rsidRPr="00397BC1">
        <w:rPr>
          <w:szCs w:val="22"/>
          <w:lang w:val="ru-RU"/>
        </w:rPr>
        <w:t>хеджировани</w:t>
      </w:r>
      <w:r w:rsidR="00435F5C">
        <w:rPr>
          <w:szCs w:val="22"/>
          <w:lang w:val="ru-RU"/>
        </w:rPr>
        <w:t>е</w:t>
      </w:r>
      <w:r w:rsidR="00397BC1" w:rsidRPr="00397B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отношению к</w:t>
      </w:r>
      <w:r w:rsidR="00397BC1" w:rsidRPr="00397BC1">
        <w:rPr>
          <w:szCs w:val="22"/>
          <w:lang w:val="ru-RU"/>
        </w:rPr>
        <w:t xml:space="preserve"> швейцарск</w:t>
      </w:r>
      <w:r>
        <w:rPr>
          <w:szCs w:val="22"/>
          <w:lang w:val="ru-RU"/>
        </w:rPr>
        <w:t>ому</w:t>
      </w:r>
      <w:r w:rsidR="00397BC1" w:rsidRPr="00397BC1">
        <w:rPr>
          <w:szCs w:val="22"/>
          <w:lang w:val="ru-RU"/>
        </w:rPr>
        <w:t xml:space="preserve"> франк</w:t>
      </w:r>
      <w:r>
        <w:rPr>
          <w:szCs w:val="22"/>
          <w:lang w:val="ru-RU"/>
        </w:rPr>
        <w:t>у</w:t>
      </w:r>
      <w:r w:rsidR="00397BC1" w:rsidRPr="00397BC1">
        <w:rPr>
          <w:szCs w:val="22"/>
          <w:lang w:val="ru-RU"/>
        </w:rPr>
        <w:t xml:space="preserve"> и валютны</w:t>
      </w:r>
      <w:r>
        <w:rPr>
          <w:szCs w:val="22"/>
          <w:lang w:val="ru-RU"/>
        </w:rPr>
        <w:t>е</w:t>
      </w:r>
      <w:r w:rsidR="00397BC1" w:rsidRPr="00397BC1">
        <w:rPr>
          <w:szCs w:val="22"/>
          <w:lang w:val="ru-RU"/>
        </w:rPr>
        <w:t xml:space="preserve"> риск</w:t>
      </w:r>
      <w:r>
        <w:rPr>
          <w:szCs w:val="22"/>
          <w:lang w:val="ru-RU"/>
        </w:rPr>
        <w:t xml:space="preserve">и.  </w:t>
      </w:r>
      <w:r w:rsidR="00435F5C">
        <w:rPr>
          <w:szCs w:val="22"/>
          <w:lang w:val="ru-RU"/>
        </w:rPr>
        <w:t>Ввиду этого ККИ</w:t>
      </w:r>
      <w:r w:rsidR="00397BC1" w:rsidRPr="00397BC1">
        <w:rPr>
          <w:szCs w:val="22"/>
          <w:lang w:val="ru-RU"/>
        </w:rPr>
        <w:t>, с одобрения Генерального директора, определил, что инвестиции будут осуществляться в существующи</w:t>
      </w:r>
      <w:r w:rsidR="00435F5C">
        <w:rPr>
          <w:szCs w:val="22"/>
          <w:lang w:val="ru-RU"/>
        </w:rPr>
        <w:t>е</w:t>
      </w:r>
      <w:r w:rsidR="00397BC1" w:rsidRPr="00397BC1">
        <w:rPr>
          <w:szCs w:val="22"/>
          <w:lang w:val="ru-RU"/>
        </w:rPr>
        <w:t xml:space="preserve"> инвестиционны</w:t>
      </w:r>
      <w:r w:rsidR="00435F5C">
        <w:rPr>
          <w:szCs w:val="22"/>
          <w:lang w:val="ru-RU"/>
        </w:rPr>
        <w:t>е</w:t>
      </w:r>
      <w:r w:rsidR="00397BC1" w:rsidRPr="00397BC1">
        <w:rPr>
          <w:szCs w:val="22"/>
          <w:lang w:val="ru-RU"/>
        </w:rPr>
        <w:t xml:space="preserve"> фонд</w:t>
      </w:r>
      <w:r w:rsidR="00435F5C">
        <w:rPr>
          <w:szCs w:val="22"/>
          <w:lang w:val="ru-RU"/>
        </w:rPr>
        <w:t>ы</w:t>
      </w:r>
      <w:r w:rsidR="00397BC1" w:rsidRPr="00397BC1">
        <w:rPr>
          <w:szCs w:val="22"/>
          <w:lang w:val="ru-RU"/>
        </w:rPr>
        <w:t>, в которых Организация могла бы приобретать акции, обращающиеся на рынке.</w:t>
      </w:r>
    </w:p>
    <w:p w:rsidR="00397BC1" w:rsidRPr="00397BC1" w:rsidRDefault="00435F5C" w:rsidP="005228AC">
      <w:pPr>
        <w:pStyle w:val="ONUME"/>
        <w:numPr>
          <w:ilvl w:val="0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>После того как</w:t>
      </w:r>
      <w:r w:rsidR="00397BC1" w:rsidRPr="00397B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будет назначен </w:t>
      </w:r>
      <w:r w:rsidR="00397BC1" w:rsidRPr="00397BC1">
        <w:rPr>
          <w:szCs w:val="22"/>
          <w:lang w:val="ru-RU"/>
        </w:rPr>
        <w:t xml:space="preserve"> </w:t>
      </w:r>
      <w:r w:rsidR="00194316">
        <w:rPr>
          <w:szCs w:val="22"/>
          <w:lang w:val="ru-RU"/>
        </w:rPr>
        <w:t>и приступит к исполнению своих функций единый доверительный управляющий</w:t>
      </w:r>
      <w:r w:rsidR="00397BC1" w:rsidRPr="00397BC1">
        <w:rPr>
          <w:szCs w:val="22"/>
          <w:lang w:val="ru-RU"/>
        </w:rPr>
        <w:t xml:space="preserve">, начнется процесс </w:t>
      </w:r>
      <w:r w:rsidR="00194316">
        <w:rPr>
          <w:szCs w:val="22"/>
          <w:lang w:val="ru-RU"/>
        </w:rPr>
        <w:t xml:space="preserve">поиска и приобретения </w:t>
      </w:r>
      <w:r w:rsidR="00397BC1" w:rsidRPr="00397BC1">
        <w:rPr>
          <w:szCs w:val="22"/>
          <w:lang w:val="ru-RU"/>
        </w:rPr>
        <w:t xml:space="preserve">индивидуальных инвестиций. </w:t>
      </w:r>
      <w:r w:rsidR="00194316">
        <w:rPr>
          <w:szCs w:val="22"/>
          <w:lang w:val="ru-RU"/>
        </w:rPr>
        <w:t xml:space="preserve"> Д</w:t>
      </w:r>
      <w:r w:rsidR="00194316" w:rsidRPr="00397BC1">
        <w:rPr>
          <w:szCs w:val="22"/>
          <w:lang w:val="ru-RU"/>
        </w:rPr>
        <w:t>ля найма внешних управляющих фондами, которые управляют существующими инвестиционными фондами</w:t>
      </w:r>
      <w:r w:rsidR="00194316">
        <w:rPr>
          <w:szCs w:val="22"/>
          <w:lang w:val="ru-RU"/>
        </w:rPr>
        <w:t>, принятая инвестиционная политика предусматривает официальную процедуру ЗП.  В</w:t>
      </w:r>
      <w:r w:rsidR="00397BC1" w:rsidRPr="00397BC1">
        <w:rPr>
          <w:szCs w:val="22"/>
          <w:lang w:val="ru-RU"/>
        </w:rPr>
        <w:t xml:space="preserve"> настоящее время </w:t>
      </w:r>
      <w:r w:rsidR="00194316">
        <w:rPr>
          <w:szCs w:val="22"/>
          <w:lang w:val="ru-RU"/>
        </w:rPr>
        <w:t xml:space="preserve">Финансовый отдел </w:t>
      </w:r>
      <w:r w:rsidR="00980126">
        <w:rPr>
          <w:szCs w:val="22"/>
          <w:lang w:val="ru-RU"/>
        </w:rPr>
        <w:t>совместно</w:t>
      </w:r>
      <w:r w:rsidR="00397BC1" w:rsidRPr="00397BC1">
        <w:rPr>
          <w:szCs w:val="22"/>
          <w:lang w:val="ru-RU"/>
        </w:rPr>
        <w:t xml:space="preserve"> с Отделом закупок и </w:t>
      </w:r>
      <w:r w:rsidR="00980126">
        <w:rPr>
          <w:szCs w:val="22"/>
          <w:lang w:val="ru-RU"/>
        </w:rPr>
        <w:t>поездок</w:t>
      </w:r>
      <w:r w:rsidR="00397BC1" w:rsidRPr="00397BC1">
        <w:rPr>
          <w:szCs w:val="22"/>
          <w:lang w:val="ru-RU"/>
        </w:rPr>
        <w:t xml:space="preserve"> </w:t>
      </w:r>
      <w:r w:rsidR="00980126">
        <w:rPr>
          <w:szCs w:val="22"/>
          <w:lang w:val="ru-RU"/>
        </w:rPr>
        <w:t xml:space="preserve">готовит к опубликованию запросы на подачу предложений </w:t>
      </w:r>
      <w:r w:rsidR="00397BC1" w:rsidRPr="00397BC1">
        <w:rPr>
          <w:szCs w:val="22"/>
          <w:lang w:val="ru-RU"/>
        </w:rPr>
        <w:t xml:space="preserve">для приобретения первоначальных инвестиций в акционерные фонды, инвестиционные фонды недвижимости и фонды облигаций, которые могут </w:t>
      </w:r>
      <w:r w:rsidR="00980126">
        <w:rPr>
          <w:szCs w:val="22"/>
          <w:lang w:val="ru-RU"/>
        </w:rPr>
        <w:t>осуществляться</w:t>
      </w:r>
      <w:r w:rsidR="00397BC1" w:rsidRPr="00397BC1">
        <w:rPr>
          <w:szCs w:val="22"/>
          <w:lang w:val="ru-RU"/>
        </w:rPr>
        <w:t xml:space="preserve"> в соответствии с </w:t>
      </w:r>
      <w:r w:rsidR="00354AA9">
        <w:rPr>
          <w:szCs w:val="22"/>
          <w:lang w:val="ru-RU"/>
        </w:rPr>
        <w:t>действующей инвестиционной</w:t>
      </w:r>
      <w:r w:rsidR="00397BC1" w:rsidRPr="00397BC1">
        <w:rPr>
          <w:szCs w:val="22"/>
          <w:lang w:val="ru-RU"/>
        </w:rPr>
        <w:t xml:space="preserve"> политикой</w:t>
      </w:r>
      <w:r w:rsidR="00354AA9">
        <w:rPr>
          <w:szCs w:val="22"/>
          <w:lang w:val="ru-RU"/>
        </w:rPr>
        <w:t>,</w:t>
      </w:r>
      <w:r w:rsidR="00397BC1" w:rsidRPr="00397BC1">
        <w:rPr>
          <w:szCs w:val="22"/>
          <w:lang w:val="ru-RU"/>
        </w:rPr>
        <w:t xml:space="preserve"> принят</w:t>
      </w:r>
      <w:r w:rsidR="00354AA9">
        <w:rPr>
          <w:szCs w:val="22"/>
          <w:lang w:val="ru-RU"/>
        </w:rPr>
        <w:t>ой</w:t>
      </w:r>
      <w:r w:rsidR="00397BC1" w:rsidRPr="00397BC1">
        <w:rPr>
          <w:szCs w:val="22"/>
          <w:lang w:val="ru-RU"/>
        </w:rPr>
        <w:t xml:space="preserve"> в 2015 г. </w:t>
      </w:r>
      <w:r w:rsidR="00354AA9">
        <w:rPr>
          <w:szCs w:val="22"/>
          <w:lang w:val="ru-RU"/>
        </w:rPr>
        <w:t xml:space="preserve"> </w:t>
      </w:r>
      <w:r w:rsidR="00397BC1" w:rsidRPr="00397BC1">
        <w:rPr>
          <w:szCs w:val="22"/>
          <w:lang w:val="ru-RU"/>
        </w:rPr>
        <w:t xml:space="preserve">Цель </w:t>
      </w:r>
      <w:r w:rsidR="00354AA9">
        <w:rPr>
          <w:szCs w:val="22"/>
          <w:lang w:val="ru-RU"/>
        </w:rPr>
        <w:t>заключается</w:t>
      </w:r>
      <w:r w:rsidR="00397BC1" w:rsidRPr="00397BC1">
        <w:rPr>
          <w:szCs w:val="22"/>
          <w:lang w:val="ru-RU"/>
        </w:rPr>
        <w:t xml:space="preserve"> в том, чтобы завершить приобретение этих инвестиций, которые </w:t>
      </w:r>
      <w:r w:rsidR="00354AA9">
        <w:rPr>
          <w:szCs w:val="22"/>
          <w:lang w:val="ru-RU"/>
        </w:rPr>
        <w:t xml:space="preserve">в общей сложности </w:t>
      </w:r>
      <w:r w:rsidR="00397BC1" w:rsidRPr="00397BC1">
        <w:rPr>
          <w:szCs w:val="22"/>
          <w:lang w:val="ru-RU"/>
        </w:rPr>
        <w:t>составят приблизительно 65</w:t>
      </w:r>
      <w:r w:rsidR="00354AA9">
        <w:rPr>
          <w:szCs w:val="22"/>
          <w:lang w:val="ru-RU"/>
        </w:rPr>
        <w:t xml:space="preserve"> процентов от</w:t>
      </w:r>
      <w:r w:rsidR="00397BC1" w:rsidRPr="00397BC1">
        <w:rPr>
          <w:szCs w:val="22"/>
          <w:lang w:val="ru-RU"/>
        </w:rPr>
        <w:t xml:space="preserve"> </w:t>
      </w:r>
      <w:r w:rsidR="00354AA9">
        <w:rPr>
          <w:szCs w:val="22"/>
          <w:lang w:val="ru-RU"/>
        </w:rPr>
        <w:t>совокупного объема</w:t>
      </w:r>
      <w:r w:rsidR="00397BC1" w:rsidRPr="00397BC1">
        <w:rPr>
          <w:szCs w:val="22"/>
          <w:lang w:val="ru-RU"/>
        </w:rPr>
        <w:t xml:space="preserve"> основн</w:t>
      </w:r>
      <w:r w:rsidR="00354AA9">
        <w:rPr>
          <w:szCs w:val="22"/>
          <w:lang w:val="ru-RU"/>
        </w:rPr>
        <w:t>ых</w:t>
      </w:r>
      <w:r w:rsidR="00397BC1" w:rsidRPr="00397BC1">
        <w:rPr>
          <w:szCs w:val="22"/>
          <w:lang w:val="ru-RU"/>
        </w:rPr>
        <w:t xml:space="preserve"> и стратегическ</w:t>
      </w:r>
      <w:r w:rsidR="00354AA9">
        <w:rPr>
          <w:szCs w:val="22"/>
          <w:lang w:val="ru-RU"/>
        </w:rPr>
        <w:t xml:space="preserve">их средств, </w:t>
      </w:r>
      <w:r w:rsidR="00397BC1" w:rsidRPr="00397BC1">
        <w:rPr>
          <w:szCs w:val="22"/>
          <w:lang w:val="ru-RU"/>
        </w:rPr>
        <w:t>до конца третьего квартала 2017 г.</w:t>
      </w:r>
    </w:p>
    <w:p w:rsidR="00397BC1" w:rsidRPr="00E94DB6" w:rsidRDefault="00397BC1" w:rsidP="00E94DB6">
      <w:pPr>
        <w:pStyle w:val="ONUME"/>
        <w:numPr>
          <w:ilvl w:val="0"/>
          <w:numId w:val="31"/>
        </w:numPr>
        <w:snapToGrid w:val="0"/>
        <w:rPr>
          <w:szCs w:val="22"/>
          <w:lang w:val="ru-RU"/>
        </w:rPr>
      </w:pPr>
      <w:r w:rsidRPr="00E94DB6">
        <w:rPr>
          <w:szCs w:val="22"/>
          <w:lang w:val="ru-RU"/>
        </w:rPr>
        <w:t>В соответствии с положениями политики в отношении инвестиций</w:t>
      </w:r>
      <w:r w:rsidR="00354AA9" w:rsidRPr="00E94DB6">
        <w:rPr>
          <w:szCs w:val="22"/>
          <w:lang w:val="ru-RU"/>
        </w:rPr>
        <w:t>, изложенными в документе</w:t>
      </w:r>
      <w:r w:rsidRPr="00E94DB6">
        <w:rPr>
          <w:szCs w:val="22"/>
          <w:lang w:val="ru-RU"/>
        </w:rPr>
        <w:t xml:space="preserve"> </w:t>
      </w:r>
      <w:r w:rsidRPr="00E94DB6">
        <w:rPr>
          <w:szCs w:val="22"/>
        </w:rPr>
        <w:t>WO</w:t>
      </w:r>
      <w:r w:rsidRPr="00E94DB6">
        <w:rPr>
          <w:szCs w:val="22"/>
          <w:lang w:val="ru-RU"/>
        </w:rPr>
        <w:t>/</w:t>
      </w:r>
      <w:r w:rsidRPr="00E94DB6">
        <w:rPr>
          <w:szCs w:val="22"/>
        </w:rPr>
        <w:t>PBC</w:t>
      </w:r>
      <w:r w:rsidRPr="00E94DB6">
        <w:rPr>
          <w:szCs w:val="22"/>
          <w:lang w:val="ru-RU"/>
        </w:rPr>
        <w:t>/24/10</w:t>
      </w:r>
      <w:r w:rsidR="00354AA9" w:rsidRPr="00E94DB6">
        <w:rPr>
          <w:szCs w:val="22"/>
          <w:lang w:val="ru-RU"/>
        </w:rPr>
        <w:t>,</w:t>
      </w:r>
      <w:r w:rsidRPr="00E94DB6">
        <w:rPr>
          <w:szCs w:val="22"/>
          <w:lang w:val="ru-RU"/>
        </w:rPr>
        <w:t xml:space="preserve"> </w:t>
      </w:r>
      <w:r w:rsidR="00354AA9" w:rsidRPr="00E94DB6">
        <w:rPr>
          <w:szCs w:val="22"/>
          <w:lang w:val="ru-RU"/>
        </w:rPr>
        <w:t>ККИ, в частности, обязан</w:t>
      </w:r>
      <w:r w:rsidRPr="00E94DB6">
        <w:rPr>
          <w:szCs w:val="22"/>
          <w:lang w:val="ru-RU"/>
        </w:rPr>
        <w:t xml:space="preserve"> ежегодно </w:t>
      </w:r>
      <w:r w:rsidR="00354AA9" w:rsidRPr="00E94DB6">
        <w:rPr>
          <w:szCs w:val="22"/>
          <w:lang w:val="ru-RU"/>
        </w:rPr>
        <w:t>анализировать инвестиционную</w:t>
      </w:r>
      <w:r w:rsidRPr="00E94DB6">
        <w:rPr>
          <w:szCs w:val="22"/>
          <w:lang w:val="ru-RU"/>
        </w:rPr>
        <w:t xml:space="preserve"> политик</w:t>
      </w:r>
      <w:r w:rsidR="00354AA9" w:rsidRPr="00E94DB6">
        <w:rPr>
          <w:szCs w:val="22"/>
          <w:lang w:val="ru-RU"/>
        </w:rPr>
        <w:t>у</w:t>
      </w:r>
      <w:r w:rsidRPr="00E94DB6">
        <w:rPr>
          <w:szCs w:val="22"/>
          <w:lang w:val="ru-RU"/>
        </w:rPr>
        <w:t xml:space="preserve"> на основе </w:t>
      </w:r>
      <w:r w:rsidR="00354AA9" w:rsidRPr="00E94DB6">
        <w:rPr>
          <w:szCs w:val="22"/>
          <w:lang w:val="ru-RU"/>
        </w:rPr>
        <w:t xml:space="preserve">полученных от Контролера </w:t>
      </w:r>
      <w:r w:rsidRPr="00E94DB6">
        <w:rPr>
          <w:szCs w:val="22"/>
          <w:lang w:val="ru-RU"/>
        </w:rPr>
        <w:t xml:space="preserve">рекомендаций </w:t>
      </w:r>
      <w:r w:rsidR="00354AA9" w:rsidRPr="00E94DB6">
        <w:rPr>
          <w:szCs w:val="22"/>
          <w:lang w:val="ru-RU"/>
        </w:rPr>
        <w:t xml:space="preserve">в отношении внесения изменений </w:t>
      </w:r>
      <w:r w:rsidRPr="00E94DB6">
        <w:rPr>
          <w:szCs w:val="22"/>
          <w:lang w:val="ru-RU"/>
        </w:rPr>
        <w:t xml:space="preserve">и/или </w:t>
      </w:r>
      <w:r w:rsidR="00354AA9" w:rsidRPr="00E94DB6">
        <w:rPr>
          <w:szCs w:val="22"/>
          <w:lang w:val="ru-RU"/>
        </w:rPr>
        <w:t>уточнений</w:t>
      </w:r>
      <w:r w:rsidRPr="00E94DB6">
        <w:rPr>
          <w:szCs w:val="22"/>
          <w:lang w:val="ru-RU"/>
        </w:rPr>
        <w:t>.</w:t>
      </w:r>
      <w:r w:rsidR="00354AA9" w:rsidRPr="00E94DB6">
        <w:rPr>
          <w:szCs w:val="22"/>
          <w:lang w:val="ru-RU"/>
        </w:rPr>
        <w:t xml:space="preserve"> </w:t>
      </w:r>
      <w:r w:rsidRPr="00E94DB6">
        <w:rPr>
          <w:szCs w:val="22"/>
          <w:lang w:val="ru-RU"/>
        </w:rPr>
        <w:t xml:space="preserve"> По просьбе Контролера внешнему </w:t>
      </w:r>
      <w:r w:rsidR="00354AA9" w:rsidRPr="00E94DB6">
        <w:rPr>
          <w:szCs w:val="22"/>
          <w:lang w:val="ru-RU"/>
        </w:rPr>
        <w:t>консультанту</w:t>
      </w:r>
      <w:r w:rsidRPr="00E94DB6">
        <w:rPr>
          <w:szCs w:val="22"/>
          <w:lang w:val="ru-RU"/>
        </w:rPr>
        <w:t xml:space="preserve"> по инвестициям было предложено </w:t>
      </w:r>
      <w:r w:rsidR="00354AA9" w:rsidRPr="00E94DB6">
        <w:rPr>
          <w:szCs w:val="22"/>
          <w:lang w:val="ru-RU"/>
        </w:rPr>
        <w:t>выявить</w:t>
      </w:r>
      <w:r w:rsidRPr="00E94DB6">
        <w:rPr>
          <w:szCs w:val="22"/>
          <w:lang w:val="ru-RU"/>
        </w:rPr>
        <w:t xml:space="preserve"> любые элементы </w:t>
      </w:r>
      <w:r w:rsidR="00354AA9" w:rsidRPr="00E94DB6">
        <w:rPr>
          <w:szCs w:val="22"/>
          <w:lang w:val="ru-RU"/>
        </w:rPr>
        <w:t xml:space="preserve">принятой </w:t>
      </w:r>
      <w:r w:rsidRPr="00E94DB6">
        <w:rPr>
          <w:szCs w:val="22"/>
          <w:lang w:val="ru-RU"/>
        </w:rPr>
        <w:t>политики, ограничиваю</w:t>
      </w:r>
      <w:r w:rsidR="00354AA9" w:rsidRPr="00E94DB6">
        <w:rPr>
          <w:szCs w:val="22"/>
          <w:lang w:val="ru-RU"/>
        </w:rPr>
        <w:t>щие</w:t>
      </w:r>
      <w:r w:rsidRPr="00E94DB6">
        <w:rPr>
          <w:szCs w:val="22"/>
          <w:lang w:val="ru-RU"/>
        </w:rPr>
        <w:t xml:space="preserve"> способность Организации </w:t>
      </w:r>
      <w:r w:rsidR="00354AA9" w:rsidRPr="00E94DB6">
        <w:rPr>
          <w:szCs w:val="22"/>
          <w:lang w:val="ru-RU"/>
        </w:rPr>
        <w:t xml:space="preserve">добиваться достижения своих целей в плане </w:t>
      </w:r>
      <w:r w:rsidRPr="00E94DB6">
        <w:rPr>
          <w:szCs w:val="22"/>
          <w:lang w:val="ru-RU"/>
        </w:rPr>
        <w:t>сохранени</w:t>
      </w:r>
      <w:r w:rsidR="00354AA9" w:rsidRPr="00E94DB6">
        <w:rPr>
          <w:szCs w:val="22"/>
          <w:lang w:val="ru-RU"/>
        </w:rPr>
        <w:t>я</w:t>
      </w:r>
      <w:r w:rsidRPr="00E94DB6">
        <w:rPr>
          <w:szCs w:val="22"/>
          <w:lang w:val="ru-RU"/>
        </w:rPr>
        <w:t xml:space="preserve"> капитала</w:t>
      </w:r>
      <w:r w:rsidR="00354AA9" w:rsidRPr="00E94DB6">
        <w:rPr>
          <w:szCs w:val="22"/>
          <w:lang w:val="ru-RU"/>
        </w:rPr>
        <w:t xml:space="preserve"> и</w:t>
      </w:r>
      <w:r w:rsidRPr="00E94DB6">
        <w:rPr>
          <w:szCs w:val="22"/>
          <w:lang w:val="ru-RU"/>
        </w:rPr>
        <w:t xml:space="preserve"> обеспечени</w:t>
      </w:r>
      <w:r w:rsidR="00354AA9" w:rsidRPr="00E94DB6">
        <w:rPr>
          <w:szCs w:val="22"/>
          <w:lang w:val="ru-RU"/>
        </w:rPr>
        <w:t>я</w:t>
      </w:r>
      <w:r w:rsidRPr="00E94DB6">
        <w:rPr>
          <w:szCs w:val="22"/>
          <w:lang w:val="ru-RU"/>
        </w:rPr>
        <w:t xml:space="preserve"> ликвидности и </w:t>
      </w:r>
      <w:r w:rsidR="00354AA9" w:rsidRPr="00E94DB6">
        <w:rPr>
          <w:szCs w:val="22"/>
          <w:lang w:val="ru-RU"/>
        </w:rPr>
        <w:t>доходности</w:t>
      </w:r>
      <w:r w:rsidRPr="00E94DB6">
        <w:rPr>
          <w:szCs w:val="22"/>
          <w:lang w:val="ru-RU"/>
        </w:rPr>
        <w:t xml:space="preserve"> с учетом </w:t>
      </w:r>
      <w:r w:rsidR="00354AA9" w:rsidRPr="00E94DB6">
        <w:rPr>
          <w:szCs w:val="22"/>
          <w:lang w:val="ru-RU"/>
        </w:rPr>
        <w:t>существующей</w:t>
      </w:r>
      <w:r w:rsidR="000921DF" w:rsidRPr="00E94DB6">
        <w:rPr>
          <w:szCs w:val="22"/>
          <w:lang w:val="ru-RU"/>
        </w:rPr>
        <w:t xml:space="preserve"> конъюнктуры</w:t>
      </w:r>
      <w:r w:rsidRPr="00E94DB6">
        <w:rPr>
          <w:szCs w:val="22"/>
          <w:lang w:val="ru-RU"/>
        </w:rPr>
        <w:t xml:space="preserve"> и ограниченн</w:t>
      </w:r>
      <w:r w:rsidR="000921DF" w:rsidRPr="00E94DB6">
        <w:rPr>
          <w:szCs w:val="22"/>
          <w:lang w:val="ru-RU"/>
        </w:rPr>
        <w:t>ой</w:t>
      </w:r>
      <w:r w:rsidRPr="00E94DB6">
        <w:rPr>
          <w:szCs w:val="22"/>
          <w:lang w:val="ru-RU"/>
        </w:rPr>
        <w:t xml:space="preserve"> </w:t>
      </w:r>
      <w:r w:rsidR="000921DF" w:rsidRPr="00E94DB6">
        <w:rPr>
          <w:szCs w:val="22"/>
          <w:lang w:val="ru-RU"/>
        </w:rPr>
        <w:t xml:space="preserve">доходности </w:t>
      </w:r>
      <w:r w:rsidRPr="00E94DB6">
        <w:rPr>
          <w:szCs w:val="22"/>
          <w:lang w:val="ru-RU"/>
        </w:rPr>
        <w:t xml:space="preserve">инвестиций. </w:t>
      </w:r>
      <w:r w:rsidR="000921DF" w:rsidRPr="00E94DB6">
        <w:rPr>
          <w:szCs w:val="22"/>
          <w:lang w:val="ru-RU"/>
        </w:rPr>
        <w:t xml:space="preserve"> </w:t>
      </w:r>
      <w:r w:rsidRPr="00E94DB6">
        <w:rPr>
          <w:szCs w:val="22"/>
          <w:lang w:val="ru-RU"/>
        </w:rPr>
        <w:t>Был</w:t>
      </w:r>
      <w:r w:rsidR="000921DF" w:rsidRPr="00E94DB6">
        <w:rPr>
          <w:szCs w:val="22"/>
          <w:lang w:val="ru-RU"/>
        </w:rPr>
        <w:t xml:space="preserve"> сформулирован ряд</w:t>
      </w:r>
      <w:r w:rsidRPr="00E94DB6">
        <w:rPr>
          <w:szCs w:val="22"/>
          <w:lang w:val="ru-RU"/>
        </w:rPr>
        <w:t xml:space="preserve"> предложени</w:t>
      </w:r>
      <w:r w:rsidR="000921DF" w:rsidRPr="00E94DB6">
        <w:rPr>
          <w:szCs w:val="22"/>
          <w:lang w:val="ru-RU"/>
        </w:rPr>
        <w:t>й</w:t>
      </w:r>
      <w:r w:rsidRPr="00E94DB6">
        <w:rPr>
          <w:szCs w:val="22"/>
          <w:lang w:val="ru-RU"/>
        </w:rPr>
        <w:t xml:space="preserve"> по </w:t>
      </w:r>
      <w:r w:rsidR="000921DF" w:rsidRPr="00E94DB6">
        <w:rPr>
          <w:szCs w:val="22"/>
          <w:lang w:val="ru-RU"/>
        </w:rPr>
        <w:t>оптимизации</w:t>
      </w:r>
      <w:r w:rsidRPr="00E94DB6">
        <w:rPr>
          <w:szCs w:val="22"/>
          <w:lang w:val="ru-RU"/>
        </w:rPr>
        <w:t xml:space="preserve"> политики и изменению существующих ограничений, </w:t>
      </w:r>
      <w:r w:rsidR="000921DF" w:rsidRPr="00E94DB6">
        <w:rPr>
          <w:szCs w:val="22"/>
          <w:lang w:val="ru-RU"/>
        </w:rPr>
        <w:t xml:space="preserve">реализация </w:t>
      </w:r>
      <w:r w:rsidRPr="00E94DB6">
        <w:rPr>
          <w:szCs w:val="22"/>
          <w:lang w:val="ru-RU"/>
        </w:rPr>
        <w:t>которы</w:t>
      </w:r>
      <w:r w:rsidR="000921DF" w:rsidRPr="00E94DB6">
        <w:rPr>
          <w:szCs w:val="22"/>
          <w:lang w:val="ru-RU"/>
        </w:rPr>
        <w:t>х</w:t>
      </w:r>
      <w:r w:rsidRPr="00E94DB6">
        <w:rPr>
          <w:szCs w:val="22"/>
          <w:lang w:val="ru-RU"/>
        </w:rPr>
        <w:t xml:space="preserve"> необходим</w:t>
      </w:r>
      <w:r w:rsidR="000921DF" w:rsidRPr="00E94DB6">
        <w:rPr>
          <w:szCs w:val="22"/>
          <w:lang w:val="ru-RU"/>
        </w:rPr>
        <w:t>а</w:t>
      </w:r>
      <w:r w:rsidRPr="00E94DB6">
        <w:rPr>
          <w:szCs w:val="22"/>
          <w:lang w:val="ru-RU"/>
        </w:rPr>
        <w:t xml:space="preserve"> для </w:t>
      </w:r>
      <w:r w:rsidR="000921DF" w:rsidRPr="00E94DB6">
        <w:rPr>
          <w:szCs w:val="22"/>
          <w:lang w:val="ru-RU"/>
        </w:rPr>
        <w:t xml:space="preserve">увязки </w:t>
      </w:r>
      <w:r w:rsidRPr="00E94DB6">
        <w:rPr>
          <w:szCs w:val="22"/>
          <w:lang w:val="ru-RU"/>
        </w:rPr>
        <w:t xml:space="preserve">политики в отношении инвестиций с инвестиционной стратегией, принятой </w:t>
      </w:r>
      <w:r w:rsidR="000921DF" w:rsidRPr="00E94DB6">
        <w:rPr>
          <w:szCs w:val="22"/>
          <w:lang w:val="ru-RU"/>
        </w:rPr>
        <w:t>ККИ по рекомендации</w:t>
      </w:r>
      <w:r w:rsidRPr="00E94DB6">
        <w:rPr>
          <w:szCs w:val="22"/>
          <w:lang w:val="ru-RU"/>
        </w:rPr>
        <w:t xml:space="preserve"> Контролера и утвержденной Генеральным директором</w:t>
      </w:r>
      <w:r w:rsidR="000921DF" w:rsidRPr="00E94DB6">
        <w:rPr>
          <w:szCs w:val="22"/>
          <w:lang w:val="ru-RU"/>
        </w:rPr>
        <w:t>.</w:t>
      </w:r>
      <w:r w:rsidR="00E94DB6" w:rsidRPr="00E94DB6">
        <w:rPr>
          <w:szCs w:val="22"/>
          <w:lang w:val="ru-RU"/>
        </w:rPr>
        <w:t xml:space="preserve"> </w:t>
      </w:r>
      <w:bookmarkEnd w:id="4"/>
      <w:r w:rsidR="00E94DB6">
        <w:rPr>
          <w:szCs w:val="22"/>
          <w:lang w:val="ru-RU"/>
        </w:rPr>
        <w:t xml:space="preserve"> </w:t>
      </w:r>
      <w:r w:rsidR="00651789" w:rsidRPr="00E94DB6">
        <w:rPr>
          <w:szCs w:val="22"/>
          <w:lang w:val="ru-RU"/>
        </w:rPr>
        <w:t>Принятие</w:t>
      </w:r>
      <w:r w:rsidRPr="00E94DB6">
        <w:rPr>
          <w:szCs w:val="22"/>
          <w:lang w:val="ru-RU"/>
        </w:rPr>
        <w:t xml:space="preserve"> предлагаемых </w:t>
      </w:r>
      <w:r w:rsidR="00192086" w:rsidRPr="00E94DB6">
        <w:rPr>
          <w:szCs w:val="22"/>
          <w:lang w:val="ru-RU"/>
        </w:rPr>
        <w:t>поправок</w:t>
      </w:r>
      <w:r w:rsidRPr="00E94DB6">
        <w:rPr>
          <w:szCs w:val="22"/>
          <w:lang w:val="ru-RU"/>
        </w:rPr>
        <w:t xml:space="preserve"> </w:t>
      </w:r>
      <w:r w:rsidR="000921DF" w:rsidRPr="00E94DB6">
        <w:rPr>
          <w:szCs w:val="22"/>
          <w:lang w:val="ru-RU"/>
        </w:rPr>
        <w:t>повысит степень</w:t>
      </w:r>
      <w:r w:rsidRPr="00E94DB6">
        <w:rPr>
          <w:szCs w:val="22"/>
          <w:lang w:val="ru-RU"/>
        </w:rPr>
        <w:t xml:space="preserve"> гибкост</w:t>
      </w:r>
      <w:r w:rsidR="000921DF" w:rsidRPr="00E94DB6">
        <w:rPr>
          <w:szCs w:val="22"/>
          <w:lang w:val="ru-RU"/>
        </w:rPr>
        <w:t>и</w:t>
      </w:r>
      <w:r w:rsidRPr="00E94DB6">
        <w:rPr>
          <w:szCs w:val="22"/>
          <w:lang w:val="ru-RU"/>
        </w:rPr>
        <w:t>,</w:t>
      </w:r>
      <w:r w:rsidR="000921DF" w:rsidRPr="00E94DB6">
        <w:rPr>
          <w:szCs w:val="22"/>
          <w:lang w:val="ru-RU"/>
        </w:rPr>
        <w:t xml:space="preserve"> что позволит</w:t>
      </w:r>
      <w:r w:rsidRPr="00E94DB6">
        <w:rPr>
          <w:szCs w:val="22"/>
          <w:lang w:val="ru-RU"/>
        </w:rPr>
        <w:t xml:space="preserve"> Организации расширять инвестиции, в частности в фонды </w:t>
      </w:r>
      <w:r w:rsidR="00651789" w:rsidRPr="00E94DB6">
        <w:rPr>
          <w:szCs w:val="22"/>
          <w:lang w:val="ru-RU"/>
        </w:rPr>
        <w:t xml:space="preserve">обращающихся на рынке </w:t>
      </w:r>
      <w:r w:rsidRPr="00E94DB6">
        <w:rPr>
          <w:szCs w:val="22"/>
          <w:lang w:val="ru-RU"/>
        </w:rPr>
        <w:t>облигаций.</w:t>
      </w:r>
      <w:r w:rsidR="00651789" w:rsidRPr="00E94DB6">
        <w:rPr>
          <w:szCs w:val="22"/>
          <w:lang w:val="ru-RU"/>
        </w:rPr>
        <w:t xml:space="preserve"> </w:t>
      </w:r>
      <w:r w:rsidRPr="00E94DB6">
        <w:rPr>
          <w:szCs w:val="22"/>
          <w:lang w:val="ru-RU"/>
        </w:rPr>
        <w:t xml:space="preserve"> </w:t>
      </w:r>
      <w:r w:rsidR="00651789" w:rsidRPr="00E94DB6">
        <w:rPr>
          <w:szCs w:val="22"/>
          <w:lang w:val="ru-RU"/>
        </w:rPr>
        <w:t xml:space="preserve">В случае принятия </w:t>
      </w:r>
      <w:r w:rsidR="00192086" w:rsidRPr="00E94DB6">
        <w:rPr>
          <w:szCs w:val="22"/>
          <w:lang w:val="ru-RU"/>
        </w:rPr>
        <w:t>поправок</w:t>
      </w:r>
      <w:r w:rsidRPr="00E94DB6">
        <w:rPr>
          <w:szCs w:val="22"/>
          <w:lang w:val="ru-RU"/>
        </w:rPr>
        <w:t xml:space="preserve"> цель будет заключаться в том, чтобы завершить инвестирование всех основных и стратегических средств к концу 2017 года.</w:t>
      </w:r>
    </w:p>
    <w:p w:rsidR="00397BC1" w:rsidRPr="00397BC1" w:rsidRDefault="00651789" w:rsidP="005228AC">
      <w:pPr>
        <w:pStyle w:val="ONUME"/>
        <w:numPr>
          <w:ilvl w:val="0"/>
          <w:numId w:val="31"/>
        </w:numPr>
        <w:snapToGrid w:val="0"/>
        <w:rPr>
          <w:szCs w:val="22"/>
          <w:lang w:val="ru-RU"/>
        </w:rPr>
      </w:pPr>
      <w:r>
        <w:rPr>
          <w:szCs w:val="22"/>
          <w:lang w:val="ru-RU"/>
        </w:rPr>
        <w:t xml:space="preserve">Кроме того, </w:t>
      </w:r>
      <w:r w:rsidR="00397BC1" w:rsidRPr="00397BC1">
        <w:rPr>
          <w:szCs w:val="22"/>
          <w:lang w:val="ru-RU"/>
        </w:rPr>
        <w:t xml:space="preserve">Контролер </w:t>
      </w:r>
      <w:r>
        <w:rPr>
          <w:szCs w:val="22"/>
          <w:lang w:val="ru-RU"/>
        </w:rPr>
        <w:t>ККИ проанализировали ф</w:t>
      </w:r>
      <w:r w:rsidR="00397BC1" w:rsidRPr="00397BC1">
        <w:rPr>
          <w:szCs w:val="22"/>
          <w:lang w:val="ru-RU"/>
        </w:rPr>
        <w:t>инансовые положения</w:t>
      </w:r>
      <w:r>
        <w:rPr>
          <w:szCs w:val="22"/>
          <w:lang w:val="ru-RU"/>
        </w:rPr>
        <w:t xml:space="preserve"> на предмет</w:t>
      </w:r>
      <w:r w:rsidR="00397BC1" w:rsidRPr="00397BC1">
        <w:rPr>
          <w:szCs w:val="22"/>
          <w:lang w:val="ru-RU"/>
        </w:rPr>
        <w:t xml:space="preserve"> необходим</w:t>
      </w:r>
      <w:r>
        <w:rPr>
          <w:szCs w:val="22"/>
          <w:lang w:val="ru-RU"/>
        </w:rPr>
        <w:t>ости внесения</w:t>
      </w:r>
      <w:r w:rsidR="00397BC1" w:rsidRPr="00397BC1">
        <w:rPr>
          <w:szCs w:val="22"/>
          <w:lang w:val="ru-RU"/>
        </w:rPr>
        <w:t xml:space="preserve"> каки</w:t>
      </w:r>
      <w:r>
        <w:rPr>
          <w:szCs w:val="22"/>
          <w:lang w:val="ru-RU"/>
        </w:rPr>
        <w:t>х</w:t>
      </w:r>
      <w:r w:rsidR="00397BC1" w:rsidRPr="00397BC1">
        <w:rPr>
          <w:szCs w:val="22"/>
          <w:lang w:val="ru-RU"/>
        </w:rPr>
        <w:t>-либо поправ</w:t>
      </w:r>
      <w:r>
        <w:rPr>
          <w:szCs w:val="22"/>
          <w:lang w:val="ru-RU"/>
        </w:rPr>
        <w:t>ок</w:t>
      </w:r>
      <w:r w:rsidR="00397BC1" w:rsidRPr="00397BC1">
        <w:rPr>
          <w:szCs w:val="22"/>
          <w:lang w:val="ru-RU"/>
        </w:rPr>
        <w:t xml:space="preserve"> для устранения люб</w:t>
      </w:r>
      <w:r>
        <w:rPr>
          <w:szCs w:val="22"/>
          <w:lang w:val="ru-RU"/>
        </w:rPr>
        <w:t>ых</w:t>
      </w:r>
      <w:r w:rsidR="00397BC1" w:rsidRPr="00397BC1">
        <w:rPr>
          <w:szCs w:val="22"/>
          <w:lang w:val="ru-RU"/>
        </w:rPr>
        <w:t xml:space="preserve"> потенциальн</w:t>
      </w:r>
      <w:r>
        <w:rPr>
          <w:szCs w:val="22"/>
          <w:lang w:val="ru-RU"/>
        </w:rPr>
        <w:t>ых</w:t>
      </w:r>
      <w:r w:rsidR="00397BC1" w:rsidRPr="00397B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коллизий</w:t>
      </w:r>
      <w:r w:rsidR="00397BC1" w:rsidRPr="00397BC1">
        <w:rPr>
          <w:szCs w:val="22"/>
          <w:lang w:val="ru-RU"/>
        </w:rPr>
        <w:t xml:space="preserve"> с </w:t>
      </w:r>
      <w:r>
        <w:rPr>
          <w:szCs w:val="22"/>
          <w:lang w:val="ru-RU"/>
        </w:rPr>
        <w:t xml:space="preserve">инвестиционной </w:t>
      </w:r>
      <w:r w:rsidR="00397BC1" w:rsidRPr="00397BC1">
        <w:rPr>
          <w:szCs w:val="22"/>
          <w:lang w:val="ru-RU"/>
        </w:rPr>
        <w:t xml:space="preserve">политикой. </w:t>
      </w:r>
      <w:r>
        <w:rPr>
          <w:szCs w:val="22"/>
          <w:lang w:val="ru-RU"/>
        </w:rPr>
        <w:t xml:space="preserve"> </w:t>
      </w:r>
    </w:p>
    <w:p w:rsidR="00397BC1" w:rsidRPr="00397BC1" w:rsidRDefault="00397BC1" w:rsidP="005228AC">
      <w:pPr>
        <w:pStyle w:val="ONUME"/>
        <w:numPr>
          <w:ilvl w:val="0"/>
          <w:numId w:val="31"/>
        </w:numPr>
        <w:snapToGrid w:val="0"/>
        <w:rPr>
          <w:szCs w:val="22"/>
          <w:lang w:val="ru-RU"/>
        </w:rPr>
      </w:pPr>
      <w:r w:rsidRPr="00397BC1">
        <w:rPr>
          <w:szCs w:val="22"/>
          <w:lang w:val="ru-RU"/>
        </w:rPr>
        <w:t xml:space="preserve">После </w:t>
      </w:r>
      <w:r w:rsidR="00192086">
        <w:rPr>
          <w:szCs w:val="22"/>
          <w:lang w:val="ru-RU"/>
        </w:rPr>
        <w:t>одобрения</w:t>
      </w:r>
      <w:r w:rsidRPr="00397BC1">
        <w:rPr>
          <w:szCs w:val="22"/>
          <w:lang w:val="ru-RU"/>
        </w:rPr>
        <w:t xml:space="preserve"> Генеральным директором любые такие </w:t>
      </w:r>
      <w:r w:rsidR="00192086">
        <w:rPr>
          <w:szCs w:val="22"/>
          <w:lang w:val="ru-RU"/>
        </w:rPr>
        <w:t>поправки к</w:t>
      </w:r>
      <w:r w:rsidR="00AE6E82">
        <w:rPr>
          <w:szCs w:val="22"/>
          <w:lang w:val="ru-RU"/>
        </w:rPr>
        <w:t xml:space="preserve"> инвестиционной</w:t>
      </w:r>
      <w:r w:rsidRPr="00397BC1">
        <w:rPr>
          <w:szCs w:val="22"/>
          <w:lang w:val="ru-RU"/>
        </w:rPr>
        <w:t xml:space="preserve"> политик</w:t>
      </w:r>
      <w:r w:rsidR="00192086">
        <w:rPr>
          <w:szCs w:val="22"/>
          <w:lang w:val="ru-RU"/>
        </w:rPr>
        <w:t>е</w:t>
      </w:r>
      <w:r w:rsidR="00AE6E82">
        <w:rPr>
          <w:szCs w:val="22"/>
          <w:lang w:val="ru-RU"/>
        </w:rPr>
        <w:t xml:space="preserve"> </w:t>
      </w:r>
      <w:r w:rsidRPr="00397BC1">
        <w:rPr>
          <w:szCs w:val="22"/>
          <w:lang w:val="ru-RU"/>
        </w:rPr>
        <w:t>должны утверждаться Генеральной Ассамблеей ВОИС.</w:t>
      </w:r>
      <w:r w:rsidR="00AE6E82">
        <w:rPr>
          <w:szCs w:val="22"/>
          <w:lang w:val="ru-RU"/>
        </w:rPr>
        <w:t xml:space="preserve"> </w:t>
      </w:r>
      <w:r w:rsidR="00192086">
        <w:rPr>
          <w:szCs w:val="22"/>
          <w:lang w:val="ru-RU"/>
        </w:rPr>
        <w:t xml:space="preserve"> </w:t>
      </w:r>
      <w:r w:rsidR="00AE6E82">
        <w:rPr>
          <w:szCs w:val="22"/>
          <w:lang w:val="ru-RU"/>
        </w:rPr>
        <w:t>Все</w:t>
      </w:r>
      <w:r w:rsidRPr="00397BC1">
        <w:rPr>
          <w:szCs w:val="22"/>
          <w:lang w:val="ru-RU"/>
        </w:rPr>
        <w:t xml:space="preserve"> предлагаемы</w:t>
      </w:r>
      <w:r w:rsidR="00AE6E82">
        <w:rPr>
          <w:szCs w:val="22"/>
          <w:lang w:val="ru-RU"/>
        </w:rPr>
        <w:t xml:space="preserve">е </w:t>
      </w:r>
      <w:r w:rsidR="00192086">
        <w:rPr>
          <w:szCs w:val="22"/>
          <w:lang w:val="ru-RU"/>
        </w:rPr>
        <w:t>поправки</w:t>
      </w:r>
      <w:r w:rsidRPr="00397BC1">
        <w:rPr>
          <w:szCs w:val="22"/>
          <w:lang w:val="ru-RU"/>
        </w:rPr>
        <w:t xml:space="preserve"> вместе с </w:t>
      </w:r>
      <w:r w:rsidR="00AE6E82">
        <w:rPr>
          <w:szCs w:val="22"/>
          <w:lang w:val="ru-RU"/>
        </w:rPr>
        <w:t>разъ</w:t>
      </w:r>
      <w:r w:rsidRPr="00397BC1">
        <w:rPr>
          <w:szCs w:val="22"/>
          <w:lang w:val="ru-RU"/>
        </w:rPr>
        <w:t>яснением причин</w:t>
      </w:r>
      <w:r w:rsidR="00AE6E82">
        <w:rPr>
          <w:szCs w:val="22"/>
          <w:lang w:val="ru-RU"/>
        </w:rPr>
        <w:t>, по которым вносится соответствующее предложение,</w:t>
      </w:r>
      <w:r w:rsidRPr="00397BC1">
        <w:rPr>
          <w:szCs w:val="22"/>
          <w:lang w:val="ru-RU"/>
        </w:rPr>
        <w:t xml:space="preserve"> привод</w:t>
      </w:r>
      <w:r w:rsidR="00AE6E82">
        <w:rPr>
          <w:szCs w:val="22"/>
          <w:lang w:val="ru-RU"/>
        </w:rPr>
        <w:t>я</w:t>
      </w:r>
      <w:r w:rsidRPr="00397BC1">
        <w:rPr>
          <w:szCs w:val="22"/>
          <w:lang w:val="ru-RU"/>
        </w:rPr>
        <w:t>тся в Приложении.</w:t>
      </w:r>
    </w:p>
    <w:p w:rsidR="00BD2450" w:rsidRPr="000850CF" w:rsidRDefault="00192086" w:rsidP="005228AC">
      <w:pPr>
        <w:pStyle w:val="ONUME"/>
        <w:numPr>
          <w:ilvl w:val="0"/>
          <w:numId w:val="31"/>
        </w:numPr>
        <w:snapToGrid w:val="0"/>
        <w:spacing w:after="0"/>
        <w:rPr>
          <w:szCs w:val="22"/>
        </w:rPr>
      </w:pPr>
      <w:r>
        <w:rPr>
          <w:szCs w:val="22"/>
          <w:lang w:val="ru-RU"/>
        </w:rPr>
        <w:t>Предлагается следующий пункт решения</w:t>
      </w:r>
      <w:r w:rsidR="00BD2450" w:rsidRPr="000850CF">
        <w:rPr>
          <w:szCs w:val="22"/>
        </w:rPr>
        <w:t>.</w:t>
      </w:r>
    </w:p>
    <w:p w:rsidR="00BD2450" w:rsidRPr="000850CF" w:rsidRDefault="00BD2450" w:rsidP="00BD2450">
      <w:pPr>
        <w:pStyle w:val="ONUME"/>
        <w:spacing w:after="0"/>
        <w:rPr>
          <w:i/>
          <w:szCs w:val="22"/>
        </w:rPr>
      </w:pPr>
    </w:p>
    <w:p w:rsidR="00BD2450" w:rsidRPr="00192086" w:rsidRDefault="00E94DB6">
      <w:pPr>
        <w:tabs>
          <w:tab w:val="left" w:pos="6050"/>
        </w:tabs>
        <w:spacing w:line="250" w:lineRule="auto"/>
        <w:ind w:left="5387" w:right="230"/>
        <w:rPr>
          <w:i/>
          <w:lang w:val="ru-RU"/>
        </w:rPr>
      </w:pPr>
      <w:r>
        <w:rPr>
          <w:i/>
          <w:lang w:val="ru-RU"/>
        </w:rPr>
        <w:t>9</w:t>
      </w:r>
      <w:r w:rsidR="00BD2450" w:rsidRPr="00192086">
        <w:rPr>
          <w:i/>
          <w:lang w:val="ru-RU"/>
        </w:rPr>
        <w:t>.</w:t>
      </w:r>
      <w:r w:rsidR="00BD2450" w:rsidRPr="00192086">
        <w:rPr>
          <w:i/>
          <w:lang w:val="ru-RU"/>
        </w:rPr>
        <w:tab/>
      </w:r>
      <w:r w:rsidR="00C20913">
        <w:rPr>
          <w:i/>
          <w:lang w:val="ru-RU"/>
        </w:rPr>
        <w:t>Комитет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по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программе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и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бюджету</w:t>
      </w:r>
      <w:r w:rsidR="00C20913" w:rsidRPr="00192086">
        <w:rPr>
          <w:i/>
          <w:lang w:val="ru-RU"/>
        </w:rPr>
        <w:t xml:space="preserve"> (</w:t>
      </w:r>
      <w:r w:rsidR="00C20913">
        <w:rPr>
          <w:i/>
          <w:lang w:val="ru-RU"/>
        </w:rPr>
        <w:t>КПБ</w:t>
      </w:r>
      <w:r w:rsidR="00C20913" w:rsidRPr="00192086">
        <w:rPr>
          <w:i/>
          <w:lang w:val="ru-RU"/>
        </w:rPr>
        <w:t xml:space="preserve">) </w:t>
      </w:r>
      <w:r w:rsidR="00C20913">
        <w:rPr>
          <w:i/>
          <w:lang w:val="ru-RU"/>
        </w:rPr>
        <w:t>рекомендовал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Ассамблеям</w:t>
      </w:r>
      <w:r w:rsidR="00C20913" w:rsidRPr="00192086">
        <w:rPr>
          <w:i/>
          <w:lang w:val="ru-RU"/>
        </w:rPr>
        <w:t xml:space="preserve"> </w:t>
      </w:r>
      <w:r w:rsidR="00C20913">
        <w:rPr>
          <w:i/>
          <w:lang w:val="ru-RU"/>
        </w:rPr>
        <w:t>ВОИС</w:t>
      </w:r>
      <w:r w:rsidR="00C20913" w:rsidRPr="00192086">
        <w:rPr>
          <w:i/>
          <w:lang w:val="ru-RU"/>
        </w:rPr>
        <w:t>,</w:t>
      </w:r>
      <w:r w:rsidR="00BD2450" w:rsidRPr="00192086">
        <w:rPr>
          <w:i/>
          <w:lang w:val="ru-RU"/>
        </w:rPr>
        <w:t xml:space="preserve"> </w:t>
      </w:r>
      <w:r w:rsidR="00192086" w:rsidRPr="00192086">
        <w:rPr>
          <w:i/>
          <w:lang w:val="ru-RU"/>
        </w:rPr>
        <w:t>в той мере, в какой это касается каждой из них,</w:t>
      </w:r>
      <w:r w:rsidR="00192086">
        <w:rPr>
          <w:i/>
          <w:lang w:val="ru-RU"/>
        </w:rPr>
        <w:t xml:space="preserve"> </w:t>
      </w:r>
      <w:r w:rsidR="00BD2450" w:rsidRPr="00192086">
        <w:rPr>
          <w:i/>
          <w:lang w:val="ru-RU"/>
        </w:rPr>
        <w:t xml:space="preserve"> </w:t>
      </w:r>
      <w:r w:rsidR="00192086">
        <w:rPr>
          <w:i/>
          <w:lang w:val="ru-RU"/>
        </w:rPr>
        <w:t xml:space="preserve">утвердить поправки к политике в отношении инвестиций </w:t>
      </w:r>
      <w:r w:rsidR="00BD2450" w:rsidRPr="00192086">
        <w:rPr>
          <w:i/>
          <w:lang w:val="ru-RU"/>
        </w:rPr>
        <w:t>(</w:t>
      </w:r>
      <w:r w:rsidR="00192086">
        <w:rPr>
          <w:i/>
          <w:lang w:val="ru-RU"/>
        </w:rPr>
        <w:t>документ</w:t>
      </w:r>
      <w:r w:rsidR="00BD2450" w:rsidRPr="000850CF">
        <w:rPr>
          <w:i/>
        </w:rPr>
        <w:t> WO</w:t>
      </w:r>
      <w:r w:rsidR="00BD2450" w:rsidRPr="00192086">
        <w:rPr>
          <w:i/>
          <w:lang w:val="ru-RU"/>
        </w:rPr>
        <w:t>/</w:t>
      </w:r>
      <w:r w:rsidR="00BD2450" w:rsidRPr="000850CF">
        <w:rPr>
          <w:i/>
        </w:rPr>
        <w:t>PBC</w:t>
      </w:r>
      <w:r w:rsidR="00BD2450" w:rsidRPr="00192086">
        <w:rPr>
          <w:i/>
          <w:lang w:val="ru-RU"/>
        </w:rPr>
        <w:t>/26/4</w:t>
      </w:r>
      <w:r w:rsidR="00371F99">
        <w:rPr>
          <w:i/>
          <w:lang w:val="ru-RU"/>
        </w:rPr>
        <w:t xml:space="preserve"> </w:t>
      </w:r>
      <w:r w:rsidR="00371F99">
        <w:rPr>
          <w:i/>
        </w:rPr>
        <w:t>Rev</w:t>
      </w:r>
      <w:r w:rsidR="00371F99" w:rsidRPr="00371F99">
        <w:rPr>
          <w:i/>
          <w:lang w:val="ru-RU"/>
        </w:rPr>
        <w:t>.</w:t>
      </w:r>
      <w:r w:rsidR="00BD2450" w:rsidRPr="00192086">
        <w:rPr>
          <w:i/>
          <w:lang w:val="ru-RU"/>
        </w:rPr>
        <w:t>)</w:t>
      </w:r>
      <w:r w:rsidR="009F1578" w:rsidRPr="00192086">
        <w:rPr>
          <w:i/>
          <w:lang w:val="ru-RU"/>
        </w:rPr>
        <w:t>.</w:t>
      </w:r>
    </w:p>
    <w:p w:rsidR="00016956" w:rsidRPr="00192086" w:rsidRDefault="00016956" w:rsidP="00016956">
      <w:pPr>
        <w:tabs>
          <w:tab w:val="left" w:pos="6050"/>
        </w:tabs>
        <w:spacing w:line="250" w:lineRule="auto"/>
        <w:ind w:left="5387" w:right="230"/>
        <w:rPr>
          <w:i/>
          <w:lang w:val="ru-RU"/>
        </w:rPr>
      </w:pPr>
    </w:p>
    <w:p w:rsidR="00016956" w:rsidRPr="00192086" w:rsidRDefault="00016956" w:rsidP="00016956">
      <w:pPr>
        <w:tabs>
          <w:tab w:val="left" w:pos="6050"/>
        </w:tabs>
        <w:spacing w:line="250" w:lineRule="auto"/>
        <w:ind w:left="5387" w:right="230"/>
        <w:rPr>
          <w:i/>
          <w:lang w:val="ru-RU"/>
        </w:rPr>
      </w:pPr>
    </w:p>
    <w:p w:rsidR="00016956" w:rsidRPr="00566356" w:rsidRDefault="00016956" w:rsidP="00016956">
      <w:pPr>
        <w:tabs>
          <w:tab w:val="left" w:pos="6050"/>
        </w:tabs>
        <w:spacing w:line="250" w:lineRule="auto"/>
        <w:ind w:left="5387" w:right="230"/>
        <w:rPr>
          <w:lang w:val="ru-RU"/>
        </w:rPr>
      </w:pPr>
      <w:r w:rsidRPr="00566356">
        <w:rPr>
          <w:lang w:val="ru-RU"/>
        </w:rPr>
        <w:t>[</w:t>
      </w:r>
      <w:r w:rsidR="00192086">
        <w:rPr>
          <w:lang w:val="ru-RU"/>
        </w:rPr>
        <w:t>Приложения следуют</w:t>
      </w:r>
      <w:r w:rsidRPr="00566356">
        <w:rPr>
          <w:lang w:val="ru-RU"/>
        </w:rPr>
        <w:t>]</w:t>
      </w:r>
    </w:p>
    <w:p w:rsidR="00BD2450" w:rsidRPr="00566356" w:rsidRDefault="00BD2450" w:rsidP="00BD2450">
      <w:pPr>
        <w:spacing w:after="160" w:line="259" w:lineRule="auto"/>
        <w:rPr>
          <w:lang w:val="ru-RU"/>
        </w:rPr>
        <w:sectPr w:rsidR="00BD2450" w:rsidRPr="00566356" w:rsidSect="00016956">
          <w:headerReference w:type="default" r:id="rId10"/>
          <w:endnotePr>
            <w:numFmt w:val="decimal"/>
          </w:endnotePr>
          <w:pgSz w:w="11907" w:h="16840" w:code="9"/>
          <w:pgMar w:top="680" w:right="1361" w:bottom="1304" w:left="1418" w:header="624" w:footer="1021" w:gutter="0"/>
          <w:cols w:space="720"/>
          <w:titlePg/>
          <w:docGrid w:linePitch="299"/>
        </w:sectPr>
      </w:pPr>
    </w:p>
    <w:p w:rsidR="00BD2450" w:rsidRPr="00566356" w:rsidRDefault="00566356" w:rsidP="00BD2450">
      <w:pPr>
        <w:spacing w:after="220"/>
        <w:rPr>
          <w:b/>
          <w:lang w:val="ru-RU"/>
        </w:rPr>
      </w:pPr>
      <w:r w:rsidRPr="00566356">
        <w:rPr>
          <w:b/>
          <w:lang w:val="ru-RU"/>
        </w:rPr>
        <w:lastRenderedPageBreak/>
        <w:t>ИНВЕСТИЦИОННАЯ ПОЛИТИКА – ОПЕРАЦИОННЫЕ И ОСНОВНЫЕ СРЕДСТВА</w:t>
      </w:r>
      <w:r>
        <w:rPr>
          <w:b/>
          <w:lang w:val="ru-RU"/>
        </w:rPr>
        <w:t xml:space="preserve"> </w:t>
      </w:r>
      <w:r w:rsidR="00BD2450" w:rsidRPr="00566356">
        <w:rPr>
          <w:b/>
          <w:lang w:val="ru-RU"/>
        </w:rPr>
        <w:t xml:space="preserve"> </w:t>
      </w:r>
    </w:p>
    <w:p w:rsidR="009043F3" w:rsidRPr="00566356" w:rsidRDefault="009043F3" w:rsidP="000023DB">
      <w:pPr>
        <w:rPr>
          <w:lang w:val="ru-RU"/>
        </w:rPr>
      </w:pPr>
    </w:p>
    <w:p w:rsidR="00BD2450" w:rsidRPr="00566356" w:rsidRDefault="009043F3" w:rsidP="009043F3">
      <w:pPr>
        <w:rPr>
          <w:b/>
          <w:lang w:val="ru-RU"/>
        </w:rPr>
      </w:pPr>
      <w:r>
        <w:rPr>
          <w:b/>
        </w:rPr>
        <w:t>A</w:t>
      </w:r>
      <w:r w:rsidRPr="00566356">
        <w:rPr>
          <w:b/>
          <w:lang w:val="ru-RU"/>
        </w:rPr>
        <w:t>.</w:t>
      </w:r>
      <w:r w:rsidR="00BD2450" w:rsidRPr="00566356">
        <w:rPr>
          <w:b/>
          <w:lang w:val="ru-RU"/>
        </w:rPr>
        <w:tab/>
      </w:r>
      <w:r w:rsidR="00566356" w:rsidRPr="00566356">
        <w:rPr>
          <w:b/>
          <w:lang w:val="ru-RU"/>
        </w:rPr>
        <w:t>СФЕРА ДЕЙСТВИЯ И ПРЕДНАЗНАЧЕНИЕ</w:t>
      </w:r>
    </w:p>
    <w:p w:rsidR="009043F3" w:rsidRPr="00566356" w:rsidRDefault="009043F3" w:rsidP="009043F3">
      <w:pPr>
        <w:rPr>
          <w:b/>
          <w:lang w:val="ru-RU"/>
        </w:rPr>
      </w:pPr>
    </w:p>
    <w:p w:rsidR="00BD2450" w:rsidRPr="00566356" w:rsidRDefault="00566356" w:rsidP="009043F3">
      <w:pPr>
        <w:spacing w:after="220"/>
        <w:rPr>
          <w:lang w:val="ru-RU"/>
        </w:rPr>
      </w:pPr>
      <w:r w:rsidRPr="00566356">
        <w:rPr>
          <w:lang w:val="ru-RU"/>
        </w:rPr>
        <w:t>ОПИСАНИЕ ИНВЕСТОРА</w:t>
      </w:r>
    </w:p>
    <w:p w:rsidR="00566356" w:rsidRPr="00853918" w:rsidRDefault="00566356" w:rsidP="00566356">
      <w:pPr>
        <w:numPr>
          <w:ilvl w:val="0"/>
          <w:numId w:val="4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Всемирная организация интеллектуальной собственности (ВОИС) была создана в соответствии с Конвенцией, учреждающей Всемирную организацию интеллектуальной собственности, заключенной в 1967 г. и вступившей в силу в 1970 г., и заменила собой Бюро по охране интеллектуальной собственности (БИРПИ), которое было основано в 1893 г. (БИРПИ является французским сокращением, означающим Bureaux Internationaux Réunis pour la Protection de la Propriété Intellectuelle) для выполнения административных функций Парижской конвенции по охране промышленной собственности (1883 г.) и Бернской конвенции по охране литературных и художественных произведений (1866 г.).  В 1974 г. ВОИС была признана специализированным учреждением Организации Объединенных Наций. </w:t>
      </w:r>
    </w:p>
    <w:p w:rsidR="00BD2450" w:rsidRPr="00566356" w:rsidRDefault="00566356" w:rsidP="00566356">
      <w:pPr>
        <w:numPr>
          <w:ilvl w:val="0"/>
          <w:numId w:val="4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ВОИС выполняет широкий спектр задач, связанных с охраной прав ИС, включая: оказание помощи правительствам и организациям в разработке политики, создании структур и развитии профессиональных навыков, необходимых для задействования потенциала ИС в целях экономического развития;  взаимодействие с государствами-членами в целях развития международного права ИС;  выполнение административных функций в отношении договоров;  управление глобальными регистрационными системами в области товарных знаков, промышленных образцов и наименований мест происхождения и системой подачи заявок на выдачу патентов;  оказание услуг по урегулированию споров;  и выполнение функций форума для проведения обсуждений на основе имеющейся информации и обмена экспертными знаниями</w:t>
      </w:r>
      <w:r w:rsidR="00BD2450" w:rsidRPr="00566356">
        <w:rPr>
          <w:lang w:val="ru-RU"/>
        </w:rPr>
        <w:t xml:space="preserve">. </w:t>
      </w:r>
    </w:p>
    <w:p w:rsidR="00BD2450" w:rsidRDefault="00566356" w:rsidP="00184380">
      <w:pPr>
        <w:spacing w:after="220"/>
      </w:pPr>
      <w:r w:rsidRPr="00566356">
        <w:rPr>
          <w:lang w:val="ru-RU"/>
        </w:rPr>
        <w:t>ПОЛНОМОЧИЯ</w:t>
      </w:r>
    </w:p>
    <w:p w:rsidR="00566356" w:rsidRPr="00853918" w:rsidRDefault="00566356" w:rsidP="00566356">
      <w:pPr>
        <w:numPr>
          <w:ilvl w:val="0"/>
          <w:numId w:val="5"/>
        </w:numPr>
        <w:spacing w:after="220"/>
        <w:ind w:left="-4" w:right="58" w:hanging="10"/>
        <w:rPr>
          <w:lang w:val="ru-RU"/>
        </w:rPr>
      </w:pPr>
      <w:r w:rsidRPr="00853918">
        <w:rPr>
          <w:lang w:val="ru-RU"/>
        </w:rPr>
        <w:t xml:space="preserve">Настоящая инвестиционная политика была разработана в соответствии с финансовым положением 4.10, которое наделяет Генерального директора полномочиями производить краткосрочное инвестирование денежных средств, в которых нет немедленной потребности, согласно утвержденной государствами-членами инвестиционной политике Организации, а также в соответствии с финансовым положением 4.11, которое наделяет Генерального директора полномочиями производить долгосрочное инвестирование денежных средств, имеющихся у Организации, согласно утвержденной государствами-членами инвестиционной политике Организации.  Политика применяется к инвестированию средств ВОИС и Целевых фондов (ЦФ) и охватывает две категории средств: операционные и основные средства.  Операционные средства – это средства, которые необходимы Организации для выполнения повседневных платежных обязательств и обеспечения наличия ликвидных активов в сумме, эквивалентной целевому показателю резервов.  Основные средства – это остаток средств за вычетом операционных и стратегических средств (охватываются отдельной инвестиционной политикой).  Основные средства не предназначены для использования в краткосрочной перспективе (в течение периода менее одного года). </w:t>
      </w:r>
    </w:p>
    <w:p w:rsidR="00BD2450" w:rsidRPr="00566356" w:rsidRDefault="00566356" w:rsidP="00566356">
      <w:pPr>
        <w:numPr>
          <w:ilvl w:val="0"/>
          <w:numId w:val="5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Настоящая политика содержит общие принципы в отношении инвестирования средств Организации и, таким образом, распространяется на руководящие принципы в отношении инвестиций, предназначенные для внешних управляющих фондами (определяются в пункте 16)</w:t>
      </w:r>
      <w:r w:rsidR="00BD2450" w:rsidRPr="00566356">
        <w:rPr>
          <w:lang w:val="ru-RU"/>
        </w:rPr>
        <w:t xml:space="preserve">. </w:t>
      </w:r>
    </w:p>
    <w:p w:rsidR="00300FF6" w:rsidRPr="00300FF6" w:rsidRDefault="00300FF6">
      <w:pPr>
        <w:rPr>
          <w:b/>
          <w:lang w:val="ru-RU"/>
        </w:rPr>
      </w:pPr>
      <w:r w:rsidRPr="00300FF6">
        <w:rPr>
          <w:b/>
          <w:lang w:val="ru-RU"/>
        </w:rPr>
        <w:br w:type="page"/>
      </w:r>
    </w:p>
    <w:p w:rsidR="00BD2450" w:rsidRPr="00566356" w:rsidRDefault="00184380" w:rsidP="00184380">
      <w:pPr>
        <w:spacing w:after="220"/>
        <w:rPr>
          <w:b/>
          <w:lang w:val="ru-RU"/>
        </w:rPr>
      </w:pPr>
      <w:r>
        <w:rPr>
          <w:b/>
        </w:rPr>
        <w:lastRenderedPageBreak/>
        <w:t>B</w:t>
      </w:r>
      <w:r w:rsidRPr="00566356">
        <w:rPr>
          <w:b/>
          <w:lang w:val="ru-RU"/>
        </w:rPr>
        <w:t>.</w:t>
      </w:r>
      <w:r w:rsidR="00BD2450" w:rsidRPr="00566356">
        <w:rPr>
          <w:b/>
          <w:lang w:val="ru-RU"/>
        </w:rPr>
        <w:tab/>
      </w:r>
      <w:r w:rsidR="00566356" w:rsidRPr="00566356">
        <w:rPr>
          <w:b/>
          <w:lang w:val="ru-RU"/>
        </w:rPr>
        <w:t>ЗАИНТЕРЕСОВАННЫЕ СТОРОНЫ, ФУНКЦИИ И ОБЯЗАННОСТИ</w:t>
      </w:r>
    </w:p>
    <w:p w:rsidR="00BD2450" w:rsidRDefault="00566356" w:rsidP="00184380">
      <w:pPr>
        <w:spacing w:after="220"/>
      </w:pPr>
      <w:r w:rsidRPr="00566356">
        <w:rPr>
          <w:lang w:val="ru-RU"/>
        </w:rPr>
        <w:t>ГЕНЕРАЛЬНЫЙ ДИРЕКТОР</w:t>
      </w:r>
      <w:r w:rsidR="00184380">
        <w:t xml:space="preserve"> </w:t>
      </w:r>
    </w:p>
    <w:p w:rsidR="00566356" w:rsidRPr="00853918" w:rsidRDefault="00566356" w:rsidP="00566356">
      <w:pPr>
        <w:numPr>
          <w:ilvl w:val="0"/>
          <w:numId w:val="6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Генеральный директор рассматривает и окончательно утверждает отчеты, предложения и рекомендации, представляемые Консультативным комитетом по инвестициям (ККИ). </w:t>
      </w:r>
    </w:p>
    <w:p w:rsidR="00BD2450" w:rsidRPr="00566356" w:rsidRDefault="00566356" w:rsidP="00566356">
      <w:pPr>
        <w:numPr>
          <w:ilvl w:val="0"/>
          <w:numId w:val="6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Согласно финансовым положениям 4.10 и 4.11, Комитет по программе и бюджету (КПБ) регулярно информируется Генеральным директором о кратко- и долгосрочных инвестициях</w:t>
      </w:r>
      <w:r w:rsidR="00BD2450" w:rsidRPr="00566356">
        <w:rPr>
          <w:lang w:val="ru-RU"/>
        </w:rPr>
        <w:t xml:space="preserve">. </w:t>
      </w:r>
    </w:p>
    <w:p w:rsidR="00BD2450" w:rsidRDefault="00566356" w:rsidP="00C655E6">
      <w:pPr>
        <w:keepNext/>
        <w:keepLines/>
        <w:spacing w:after="220"/>
      </w:pPr>
      <w:r w:rsidRPr="00566356">
        <w:rPr>
          <w:lang w:val="ru-RU"/>
        </w:rPr>
        <w:t>КОНСУЛЬТАТИВНЫЙ КОМИТЕТ ПО ИНВЕСТИЦИЯМ</w:t>
      </w:r>
    </w:p>
    <w:p w:rsidR="00566356" w:rsidRPr="00853918" w:rsidRDefault="00566356" w:rsidP="00566356">
      <w:pPr>
        <w:keepNext/>
        <w:keepLines/>
        <w:numPr>
          <w:ilvl w:val="0"/>
          <w:numId w:val="7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Члены Комитета назначаются Генеральным директором.  Генеральный директор издает служебную инструкцию об учреждении Комитета. </w:t>
      </w:r>
    </w:p>
    <w:p w:rsidR="00566356" w:rsidRDefault="00566356" w:rsidP="00566356">
      <w:pPr>
        <w:numPr>
          <w:ilvl w:val="0"/>
          <w:numId w:val="7"/>
        </w:numPr>
        <w:spacing w:after="220"/>
        <w:ind w:right="58" w:hanging="10"/>
      </w:pPr>
      <w:r w:rsidRPr="00853918">
        <w:rPr>
          <w:lang w:val="ru-RU"/>
        </w:rPr>
        <w:t>Комитет консультирует Генерального директора относительно инвестирования средств Организации в соответствии с разделом С главы 4 Финансовых положений и правил.  Его рекомендации касаются таких вопросов, как содержание инвестиционной политики, стратегия, распределение активов, определение надлежащих контрольных показателей и руководящие принципы.  В частности, в его обязанности входит следующее:</w:t>
      </w:r>
      <w:r>
        <w:t xml:space="preserve"> </w:t>
      </w:r>
    </w:p>
    <w:p w:rsidR="00566356" w:rsidRPr="00853918" w:rsidRDefault="00566356" w:rsidP="00566356">
      <w:pPr>
        <w:pStyle w:val="BodyText"/>
        <w:numPr>
          <w:ilvl w:val="0"/>
          <w:numId w:val="33"/>
        </w:numPr>
        <w:ind w:left="1134" w:hanging="567"/>
        <w:rPr>
          <w:u w:val="single"/>
          <w:lang w:val="ru-RU"/>
        </w:rPr>
      </w:pPr>
      <w:r w:rsidRPr="00853918">
        <w:rPr>
          <w:u w:val="single"/>
          <w:lang w:val="ru-RU"/>
        </w:rPr>
        <w:t xml:space="preserve">Реализация инвестиционной политики и контроль за ее соблюдением </w:t>
      </w:r>
    </w:p>
    <w:p w:rsidR="00566356" w:rsidRPr="00853918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t xml:space="preserve">ККИ осуществляет надзор за реализацией инвестиционной политики и контролирует все ее аспекты.  Данная работа ведется на основе предложений и отчетности, представляемых Казначеем, и проводимых им исследований и сводится к направлению рекомендаций ККИ Генеральному директору. </w:t>
      </w:r>
    </w:p>
    <w:p w:rsidR="00566356" w:rsidRDefault="00566356" w:rsidP="00566356">
      <w:pPr>
        <w:pStyle w:val="BodyText"/>
        <w:numPr>
          <w:ilvl w:val="0"/>
          <w:numId w:val="33"/>
        </w:numPr>
        <w:ind w:left="1134" w:hanging="567"/>
        <w:rPr>
          <w:u w:val="single"/>
        </w:rPr>
      </w:pPr>
      <w:r w:rsidRPr="00853918">
        <w:rPr>
          <w:u w:val="single"/>
          <w:lang w:val="ru-RU"/>
        </w:rPr>
        <w:t>Пересмотр и актуализация инвестиционной политики</w:t>
      </w:r>
      <w:r w:rsidRPr="00184380">
        <w:rPr>
          <w:u w:val="single"/>
        </w:rPr>
        <w:t xml:space="preserve"> </w:t>
      </w:r>
    </w:p>
    <w:p w:rsidR="00566356" w:rsidRPr="00853918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t xml:space="preserve">Инвестиционная политика ежегодно пересматривается ККИ на основе рекомендаций о внесении изменений и/или ее актуализации, полученных от Контролера.  </w:t>
      </w:r>
    </w:p>
    <w:p w:rsidR="00566356" w:rsidRPr="00853918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t xml:space="preserve">После ее такого пересмотра рекомендации ККИ представляются Генеральному директору и, в конечном итоге, государствам-членам для их одобрения.  Специальный пересмотр политики может проводиться при определенных рыночных условиях или наличии других факторов. </w:t>
      </w:r>
    </w:p>
    <w:p w:rsidR="00566356" w:rsidRPr="00853918" w:rsidRDefault="00566356" w:rsidP="00566356">
      <w:pPr>
        <w:pStyle w:val="BodyText"/>
        <w:numPr>
          <w:ilvl w:val="0"/>
          <w:numId w:val="33"/>
        </w:numPr>
        <w:ind w:left="1134" w:hanging="567"/>
        <w:rPr>
          <w:lang w:val="ru-RU"/>
        </w:rPr>
      </w:pPr>
      <w:r w:rsidRPr="00853918">
        <w:rPr>
          <w:u w:val="single"/>
          <w:lang w:val="ru-RU"/>
        </w:rPr>
        <w:t>Наем и увольнение внешних управляющих фондами и доверительного управляющего</w:t>
      </w:r>
      <w:r w:rsidRPr="00853918">
        <w:rPr>
          <w:lang w:val="ru-RU"/>
        </w:rPr>
        <w:t xml:space="preserve"> </w:t>
      </w:r>
    </w:p>
    <w:p w:rsidR="00566356" w:rsidRPr="00853918" w:rsidRDefault="00566356" w:rsidP="00566356">
      <w:pPr>
        <w:pStyle w:val="BodyText"/>
        <w:ind w:left="1134"/>
        <w:rPr>
          <w:lang w:val="ru-RU"/>
        </w:rPr>
      </w:pPr>
      <w:r w:rsidRPr="00853918">
        <w:rPr>
          <w:lang w:val="ru-RU"/>
        </w:rPr>
        <w:t xml:space="preserve">ККИ отвечает за наем и увольнение с одобрения Генерального директора внешних управляющих фондами и доверительного управляющего (определяется в пункте 17). </w:t>
      </w:r>
    </w:p>
    <w:p w:rsidR="00566356" w:rsidRPr="00853918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t xml:space="preserve">Для отбора внешних управляющих фондами и доверительного управляющего в соответствии с существующими правилами осуществления закупок Организацией публикуется запрос о предложениях (ЗОП).  Оценки полученных предложений вместе с соответствующими рекомендациями представляются ККИ для их окончательного рассмотрения. </w:t>
      </w:r>
    </w:p>
    <w:p w:rsidR="00BD2450" w:rsidRPr="00566356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lastRenderedPageBreak/>
        <w:t>Для участия в процедуре отбора внешние управляющие фондами должны выполнить следующие предварительные требования:</w:t>
      </w:r>
      <w:r w:rsidR="00FC4373" w:rsidRPr="00566356">
        <w:rPr>
          <w:lang w:val="ru-RU"/>
        </w:rPr>
        <w:t xml:space="preserve"> </w:t>
      </w:r>
    </w:p>
    <w:p w:rsidR="00566356" w:rsidRPr="00853918" w:rsidRDefault="00566356" w:rsidP="00566356">
      <w:pPr>
        <w:numPr>
          <w:ilvl w:val="0"/>
          <w:numId w:val="8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 xml:space="preserve">управляющий должен соблюдать нормативно-правовые акты соответствующей страны об оказании финансовых услуг, включая инструкции компетентного регулирующего органа; </w:t>
      </w:r>
    </w:p>
    <w:p w:rsidR="00566356" w:rsidRPr="00853918" w:rsidRDefault="00566356" w:rsidP="00566356">
      <w:pPr>
        <w:numPr>
          <w:ilvl w:val="0"/>
          <w:numId w:val="8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>управляющий должен стремиться соблюдать Глобальные стандарты эффективности инвестирования (GIPS)</w:t>
      </w:r>
      <w:r>
        <w:rPr>
          <w:vertAlign w:val="superscript"/>
        </w:rPr>
        <w:footnoteReference w:id="2"/>
      </w:r>
      <w:r w:rsidRPr="00853918">
        <w:rPr>
          <w:lang w:val="ru-RU"/>
        </w:rPr>
        <w:t xml:space="preserve"> и предоставить, по крайней мере, данные об эффективности инвестиций за прошедшие кварталы, составленные как с учетом, так и без учета комиссионных сборов; </w:t>
      </w:r>
    </w:p>
    <w:p w:rsidR="00566356" w:rsidRPr="00853918" w:rsidRDefault="00566356" w:rsidP="00566356">
      <w:pPr>
        <w:numPr>
          <w:ilvl w:val="0"/>
          <w:numId w:val="8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 xml:space="preserve">управляющий должен предоставить подобную информацию об истории фирмы, основных сотрудниках, главных клиентах, структуре комиссионных сборов и вспомогательном персонале; </w:t>
      </w:r>
    </w:p>
    <w:p w:rsidR="00566356" w:rsidRPr="00853918" w:rsidRDefault="00566356" w:rsidP="00566356">
      <w:pPr>
        <w:numPr>
          <w:ilvl w:val="0"/>
          <w:numId w:val="8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 xml:space="preserve">управляющий должен четко определить инвестиционную стратегию, которая будет проводиться, и документально подтвердить, что стратегия применялась в течение определенного периода времени. </w:t>
      </w:r>
    </w:p>
    <w:p w:rsidR="00BD2450" w:rsidRPr="00566356" w:rsidRDefault="00566356" w:rsidP="00566356">
      <w:pPr>
        <w:spacing w:after="220"/>
        <w:ind w:left="1182" w:right="58"/>
        <w:rPr>
          <w:lang w:val="ru-RU"/>
        </w:rPr>
      </w:pPr>
      <w:r w:rsidRPr="00853918">
        <w:rPr>
          <w:lang w:val="ru-RU"/>
        </w:rPr>
        <w:t>Отобранные внешние управляющие фондами нанимаются путем заключения договора на управление инвестициями.  В договоре подробно указываются обязанности управляющего фондами</w:t>
      </w:r>
      <w:r>
        <w:rPr>
          <w:vertAlign w:val="superscript"/>
        </w:rPr>
        <w:footnoteReference w:id="3"/>
      </w:r>
      <w:r w:rsidRPr="00853918">
        <w:rPr>
          <w:lang w:val="ru-RU"/>
        </w:rPr>
        <w:t>.  Такие договоры, основанные на рекомендациях ККИ, подписываются от имени ВОИС в соответствии с ее правилами осуществления закупок</w:t>
      </w:r>
      <w:r w:rsidR="00BD2450" w:rsidRPr="00566356">
        <w:rPr>
          <w:lang w:val="ru-RU"/>
        </w:rPr>
        <w:t>.</w:t>
      </w:r>
    </w:p>
    <w:p w:rsidR="00566356" w:rsidRPr="00853918" w:rsidRDefault="00566356" w:rsidP="00566356">
      <w:pPr>
        <w:pStyle w:val="BodyText"/>
        <w:numPr>
          <w:ilvl w:val="0"/>
          <w:numId w:val="33"/>
        </w:numPr>
        <w:ind w:left="1134" w:hanging="567"/>
        <w:rPr>
          <w:u w:val="single"/>
          <w:lang w:val="ru-RU"/>
        </w:rPr>
      </w:pPr>
      <w:r w:rsidRPr="00853918">
        <w:rPr>
          <w:u w:val="single"/>
          <w:lang w:val="ru-RU"/>
        </w:rPr>
        <w:t xml:space="preserve">Контроль за внешними управляющими фондами и доверительным управляющим </w:t>
      </w:r>
    </w:p>
    <w:p w:rsidR="00566356" w:rsidRPr="00853918" w:rsidRDefault="00566356" w:rsidP="00566356">
      <w:pPr>
        <w:spacing w:after="220"/>
        <w:ind w:left="1144" w:right="58"/>
        <w:rPr>
          <w:lang w:val="ru-RU"/>
        </w:rPr>
      </w:pPr>
      <w:r w:rsidRPr="00853918">
        <w:rPr>
          <w:lang w:val="ru-RU"/>
        </w:rPr>
        <w:t xml:space="preserve">ККИ подотчетен Генеральному директору и обеспечивает выполнение назначенными управляющими фондами их мандатов согласно договорным обязательствам, определенным в соответствующих договорах на управление инвестициями, включая руководящие принципы в отношении инвестиций, являющиеся частью каждого договора.  Эта работа ведется на основе представляемых Казначеем ежеквартальных отчетов о деятельности внешних управляющих фондами в сопоставлении с контрольными и другими показателями эффективности, а также с учетом данных об эффективности и рисках, предоставляемых доверительным управляющим.  ККИ проводит ежеквартальные обзоры инвестиционных стратегий (или при необходимости специальные обзоры), а также проводит регулярные встречи с внешними управляющими фондами и другими поставщиками услуг для обзора их деятельности. </w:t>
      </w:r>
    </w:p>
    <w:p w:rsidR="00566356" w:rsidRDefault="00566356" w:rsidP="00566356">
      <w:pPr>
        <w:spacing w:after="220"/>
        <w:ind w:left="1182" w:right="58"/>
      </w:pPr>
      <w:r w:rsidRPr="00853918">
        <w:rPr>
          <w:lang w:val="ru-RU"/>
        </w:rPr>
        <w:t>Что касается доверительного управляющего, то ККИ, используя отчеты, представляемые Казначеем, а также отчетность, направляемую Генеральному директору, обеспечивает следующее:</w:t>
      </w:r>
    </w:p>
    <w:p w:rsidR="00566356" w:rsidRPr="00853918" w:rsidRDefault="00566356" w:rsidP="00566356">
      <w:pPr>
        <w:numPr>
          <w:ilvl w:val="0"/>
          <w:numId w:val="9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lastRenderedPageBreak/>
        <w:t>соблюдение генерального соглашения о доверительном управлении</w:t>
      </w:r>
      <w:r w:rsidR="00985C72" w:rsidRPr="00985C72">
        <w:rPr>
          <w:vertAlign w:val="superscript"/>
        </w:rPr>
        <w:footnoteReference w:id="4"/>
      </w:r>
      <w:r w:rsidRPr="00853918">
        <w:rPr>
          <w:lang w:val="ru-RU"/>
        </w:rPr>
        <w:t xml:space="preserve">; </w:t>
      </w:r>
    </w:p>
    <w:p w:rsidR="00566356" w:rsidRPr="00853918" w:rsidRDefault="00566356" w:rsidP="00566356">
      <w:pPr>
        <w:numPr>
          <w:ilvl w:val="0"/>
          <w:numId w:val="9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 xml:space="preserve">соблюдение соглашения об уровне обслуживания и основных показателей эффективности, являющихся частью генерального соглашения о доверительном управлении;  и </w:t>
      </w:r>
    </w:p>
    <w:p w:rsidR="00566356" w:rsidRPr="00853918" w:rsidRDefault="00566356" w:rsidP="00566356">
      <w:pPr>
        <w:numPr>
          <w:ilvl w:val="0"/>
          <w:numId w:val="9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 xml:space="preserve">проведение регулярных совещаний по обзору оказываемых услуг. </w:t>
      </w:r>
    </w:p>
    <w:p w:rsidR="00BD2450" w:rsidRPr="00B31A1C" w:rsidRDefault="00566356" w:rsidP="00566356">
      <w:pPr>
        <w:pStyle w:val="BodyText"/>
        <w:numPr>
          <w:ilvl w:val="0"/>
          <w:numId w:val="33"/>
        </w:numPr>
        <w:ind w:left="1134" w:hanging="567"/>
        <w:rPr>
          <w:u w:val="single"/>
        </w:rPr>
      </w:pPr>
      <w:r w:rsidRPr="00853918">
        <w:rPr>
          <w:u w:val="single"/>
          <w:lang w:val="ru-RU"/>
        </w:rPr>
        <w:t>Распределение активов</w:t>
      </w:r>
    </w:p>
    <w:p w:rsidR="00BD2450" w:rsidRPr="006310CC" w:rsidRDefault="006310CC" w:rsidP="00B31A1C">
      <w:pPr>
        <w:spacing w:after="220"/>
        <w:ind w:left="1144" w:right="58"/>
        <w:rPr>
          <w:lang w:val="ru-RU"/>
        </w:rPr>
      </w:pPr>
      <w:r>
        <w:rPr>
          <w:lang w:val="ru-RU"/>
        </w:rPr>
        <w:t>Р</w:t>
      </w:r>
      <w:r w:rsidRPr="006310CC">
        <w:rPr>
          <w:lang w:val="ru-RU"/>
        </w:rPr>
        <w:t>аспределение активов, связанных с операционными и основными средствами</w:t>
      </w:r>
      <w:r>
        <w:rPr>
          <w:lang w:val="ru-RU"/>
        </w:rPr>
        <w:t>,</w:t>
      </w:r>
      <w:r w:rsidRPr="006310CC">
        <w:rPr>
          <w:lang w:val="ru-RU"/>
        </w:rPr>
        <w:t xml:space="preserve"> определяет ККИ. </w:t>
      </w:r>
      <w:r>
        <w:rPr>
          <w:lang w:val="ru-RU"/>
        </w:rPr>
        <w:t xml:space="preserve"> </w:t>
      </w:r>
      <w:r w:rsidRPr="006310CC">
        <w:rPr>
          <w:lang w:val="ru-RU"/>
        </w:rPr>
        <w:t>Рекомендации ККИ представляются на утверждение Генеральному директору.</w:t>
      </w:r>
    </w:p>
    <w:p w:rsidR="00BD2450" w:rsidRPr="006310CC" w:rsidRDefault="006310CC" w:rsidP="005228AC">
      <w:pPr>
        <w:pStyle w:val="ListParagraph"/>
        <w:numPr>
          <w:ilvl w:val="0"/>
          <w:numId w:val="7"/>
        </w:numPr>
        <w:spacing w:after="120"/>
        <w:ind w:right="58"/>
        <w:rPr>
          <w:lang w:val="ru-RU"/>
        </w:rPr>
      </w:pPr>
      <w:r w:rsidRPr="00853918">
        <w:rPr>
          <w:lang w:val="ru-RU"/>
        </w:rPr>
        <w:t>Для выполнения обязанностей, описанных в пункте 8 выше, Комитет может нанимать внешних экспертов, обладающих значительным опытом работы в финансовом секторе.  ККИ проводит свои совещания не реже одного раза в квартал</w:t>
      </w:r>
      <w:r w:rsidR="00BD2450" w:rsidRPr="006310CC">
        <w:rPr>
          <w:lang w:val="ru-RU"/>
        </w:rPr>
        <w:t xml:space="preserve">. </w:t>
      </w:r>
    </w:p>
    <w:p w:rsidR="00BD2450" w:rsidRDefault="006310CC" w:rsidP="00B31A1C">
      <w:pPr>
        <w:spacing w:after="220"/>
      </w:pPr>
      <w:r>
        <w:rPr>
          <w:lang w:val="ru-RU"/>
        </w:rPr>
        <w:t>КОНТРОЛЕР</w:t>
      </w:r>
      <w:r w:rsidR="00B31A1C">
        <w:t xml:space="preserve"> </w:t>
      </w:r>
    </w:p>
    <w:p w:rsidR="006310CC" w:rsidRPr="00853918" w:rsidRDefault="006310CC" w:rsidP="006310CC">
      <w:pPr>
        <w:numPr>
          <w:ilvl w:val="0"/>
          <w:numId w:val="10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Согласно правилу 104.10, полномочия на осуществление инвестиций и пруденциальное управление ими в соответствии с инвестиционной политикой, утвержденной государствами-членами на основании положений 4.10 и 4.11, делегируются Контролеру. </w:t>
      </w:r>
    </w:p>
    <w:p w:rsidR="00BD2450" w:rsidRPr="006310CC" w:rsidRDefault="006310CC" w:rsidP="006310CC">
      <w:pPr>
        <w:numPr>
          <w:ilvl w:val="0"/>
          <w:numId w:val="10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Контролер обеспечивает путем определения надлежащих руководящих принципов</w:t>
      </w:r>
      <w:r w:rsidR="00985C72" w:rsidRPr="00985C72">
        <w:rPr>
          <w:vertAlign w:val="superscript"/>
        </w:rPr>
        <w:footnoteReference w:id="5"/>
      </w:r>
      <w:r w:rsidRPr="00853918">
        <w:rPr>
          <w:lang w:val="ru-RU"/>
        </w:rPr>
        <w:t xml:space="preserve"> размещение средств в такой валюте и в активах таких классов, которые позволяют сделать упор на минимизации рисков для главных средств при обеспечении ликвидности, необходимой для удовлетворения потребностей Организации в денежной наличности.  Кроме того, инвестиции и валюты, в которых они выражены, выбираются Контролером исходя из данной инвестиционной политики и отчетов, исследований и предложений, представляемых Казначеем, и любых сделанных на их основании рекомендаций ККИ</w:t>
      </w:r>
      <w:r w:rsidR="00985C72">
        <w:rPr>
          <w:lang w:val="ru-RU"/>
        </w:rPr>
        <w:t>.</w:t>
      </w:r>
    </w:p>
    <w:p w:rsidR="00BD2450" w:rsidRDefault="006310CC" w:rsidP="00B31A1C">
      <w:pPr>
        <w:spacing w:after="220"/>
      </w:pPr>
      <w:r w:rsidRPr="00853918">
        <w:rPr>
          <w:lang w:val="ru-RU"/>
        </w:rPr>
        <w:t>КАЗНАЧЕЙ, ФИНАНСОВЫЙ ОТДЕЛ</w:t>
      </w:r>
      <w:r w:rsidR="00B31A1C">
        <w:t xml:space="preserve"> </w:t>
      </w:r>
    </w:p>
    <w:p w:rsidR="006310CC" w:rsidRPr="00853918" w:rsidRDefault="006310CC" w:rsidP="006310CC">
      <w:pPr>
        <w:numPr>
          <w:ilvl w:val="0"/>
          <w:numId w:val="11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Это подотчетное Финансовому директору лицо, которое, в частности, выполняет функции секретаря ККИ, отвечает за осуществление инвестиционной деятельности и представляет отчетность о всех произведенных инвестициях.  Казначей поддерживает связь с внешними управляющими фондов и доверительным управляющим, а также готовит ежеквартальные отчеты о текущем состоянии инвестиций для представления ККИ через Контролера.  Данные отчеты отражают эффективность инвестиций в сопоставлении с контрольными показателями и данными о рисках.  Еще одной обязанностью Казначея является контроль за соблюдением критериев, при нарушении которых внешний управляющий фондами переводится на работу в режиме «под наблюдением» в целях его возможной замены в будущем.  Подготавливаемая таким образом отчетность представляется ККИ через Контролера.  По окончании каждого месяца Казначей также проводит обзор заключенных сделок. </w:t>
      </w:r>
    </w:p>
    <w:p w:rsidR="006310CC" w:rsidRPr="00853918" w:rsidRDefault="006310CC" w:rsidP="006310CC">
      <w:pPr>
        <w:numPr>
          <w:ilvl w:val="0"/>
          <w:numId w:val="11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lastRenderedPageBreak/>
        <w:t xml:space="preserve">Прогнозы движения денежных средств для обеих категорий инвестиций составляются Казначеем на ежемесячной основе в целях обеспечения достаточности средств обеих категорий для удовлетворения потребностей в ликвидности.  Казначей также отвечает за взаимодействие с банками и всеми другими финансовыми контрагентами, включая осуществление ежеквартального мониторинга их кредитных рейтингов. </w:t>
      </w:r>
    </w:p>
    <w:p w:rsidR="006310CC" w:rsidRPr="00853918" w:rsidRDefault="006310CC" w:rsidP="006310CC">
      <w:pPr>
        <w:numPr>
          <w:ilvl w:val="0"/>
          <w:numId w:val="11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 xml:space="preserve">Ответственность за инвестирование операционных средств возлагается на Казначея.  Она включает в себя следующее, но не ограничивается нижеприведенным перечнем:  </w:t>
      </w:r>
    </w:p>
    <w:p w:rsidR="006310CC" w:rsidRPr="00B25696" w:rsidRDefault="006310CC" w:rsidP="006310CC">
      <w:pPr>
        <w:numPr>
          <w:ilvl w:val="1"/>
          <w:numId w:val="11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>формирование инвестиционного портфеля, отвечающего потребностям Организации в ликвидности;</w:t>
      </w:r>
      <w:r w:rsidRPr="00B25696">
        <w:rPr>
          <w:lang w:val="ru-RU"/>
        </w:rPr>
        <w:t xml:space="preserve"> </w:t>
      </w:r>
    </w:p>
    <w:p w:rsidR="006310CC" w:rsidRPr="00B25696" w:rsidRDefault="006310CC" w:rsidP="006310CC">
      <w:pPr>
        <w:numPr>
          <w:ilvl w:val="1"/>
          <w:numId w:val="11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>осуществление операций с установленными инвестиционными контрагентами и проведение операций с классами активов, которые отвечают требованиям данной инвестиционной политики;</w:t>
      </w:r>
      <w:r w:rsidRPr="00B25696">
        <w:rPr>
          <w:lang w:val="ru-RU"/>
        </w:rPr>
        <w:t xml:space="preserve"> </w:t>
      </w:r>
    </w:p>
    <w:p w:rsidR="006310CC" w:rsidRPr="00B25696" w:rsidRDefault="006310CC" w:rsidP="006310CC">
      <w:pPr>
        <w:numPr>
          <w:ilvl w:val="1"/>
          <w:numId w:val="11"/>
        </w:numPr>
        <w:spacing w:after="220"/>
        <w:ind w:right="58" w:hanging="540"/>
        <w:rPr>
          <w:lang w:val="ru-RU"/>
        </w:rPr>
      </w:pPr>
      <w:r w:rsidRPr="00853918">
        <w:rPr>
          <w:lang w:val="ru-RU"/>
        </w:rPr>
        <w:t>оценка инвестиционных контрагентов и поддержание отношений с ними, включая координацию правовой документации;</w:t>
      </w:r>
      <w:r w:rsidRPr="00B25696">
        <w:rPr>
          <w:lang w:val="ru-RU"/>
        </w:rPr>
        <w:t xml:space="preserve"> </w:t>
      </w:r>
    </w:p>
    <w:p w:rsidR="006310CC" w:rsidRDefault="006310CC" w:rsidP="006310CC">
      <w:pPr>
        <w:numPr>
          <w:ilvl w:val="1"/>
          <w:numId w:val="11"/>
        </w:numPr>
        <w:spacing w:after="220"/>
        <w:ind w:right="58" w:hanging="540"/>
      </w:pPr>
      <w:r w:rsidRPr="00853918">
        <w:rPr>
          <w:lang w:val="ru-RU"/>
        </w:rPr>
        <w:t>анализ кредитного риска контрагентов;</w:t>
      </w:r>
      <w:r>
        <w:t xml:space="preserve"> </w:t>
      </w:r>
    </w:p>
    <w:p w:rsidR="006310CC" w:rsidRDefault="006310CC" w:rsidP="006310CC">
      <w:pPr>
        <w:numPr>
          <w:ilvl w:val="1"/>
          <w:numId w:val="11"/>
        </w:numPr>
        <w:spacing w:after="220"/>
        <w:ind w:right="58" w:hanging="540"/>
      </w:pPr>
      <w:r w:rsidRPr="00853918">
        <w:rPr>
          <w:lang w:val="ru-RU"/>
        </w:rPr>
        <w:t>анализ суверенного риска;  и</w:t>
      </w:r>
      <w:r>
        <w:t xml:space="preserve"> </w:t>
      </w:r>
    </w:p>
    <w:p w:rsidR="006310CC" w:rsidRDefault="006310CC" w:rsidP="006310CC">
      <w:pPr>
        <w:numPr>
          <w:ilvl w:val="1"/>
          <w:numId w:val="11"/>
        </w:numPr>
        <w:spacing w:after="220"/>
        <w:ind w:right="58" w:hanging="540"/>
      </w:pPr>
      <w:r w:rsidRPr="00853918">
        <w:rPr>
          <w:lang w:val="ru-RU"/>
        </w:rPr>
        <w:t>мониторинг финансовых рынков.</w:t>
      </w:r>
      <w:r>
        <w:t xml:space="preserve"> </w:t>
      </w:r>
    </w:p>
    <w:p w:rsidR="00BD2450" w:rsidRPr="006310CC" w:rsidRDefault="006310CC" w:rsidP="006310CC">
      <w:pPr>
        <w:numPr>
          <w:ilvl w:val="0"/>
          <w:numId w:val="11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Казначей ежеквартально представляет ККИ через Контролера отчеты об эффективности использования операционных средств</w:t>
      </w:r>
      <w:r w:rsidR="00BD2450" w:rsidRPr="006310CC">
        <w:rPr>
          <w:lang w:val="ru-RU"/>
        </w:rPr>
        <w:t xml:space="preserve">. </w:t>
      </w:r>
    </w:p>
    <w:p w:rsidR="00BD2450" w:rsidRPr="006310CC" w:rsidRDefault="006310CC" w:rsidP="00B82BDD">
      <w:pPr>
        <w:keepNext/>
        <w:keepLines/>
        <w:spacing w:after="220"/>
        <w:rPr>
          <w:lang w:val="ru-RU"/>
        </w:rPr>
      </w:pPr>
      <w:r w:rsidRPr="00853918">
        <w:rPr>
          <w:lang w:val="ru-RU"/>
        </w:rPr>
        <w:t>ВНЕШНИЕ УПРАВЛЯЮЩИЕ ФОНДАМИ</w:t>
      </w:r>
      <w:r w:rsidR="00B31A1C" w:rsidRPr="006310CC">
        <w:rPr>
          <w:lang w:val="ru-RU"/>
        </w:rPr>
        <w:t xml:space="preserve"> </w:t>
      </w:r>
    </w:p>
    <w:p w:rsidR="00BD2450" w:rsidRPr="006310CC" w:rsidRDefault="00B31A1C" w:rsidP="00B82BDD">
      <w:pPr>
        <w:keepNext/>
        <w:keepLines/>
        <w:spacing w:after="220"/>
        <w:ind w:left="-4" w:right="58"/>
        <w:rPr>
          <w:lang w:val="ru-RU"/>
        </w:rPr>
      </w:pPr>
      <w:r w:rsidRPr="006310CC">
        <w:rPr>
          <w:lang w:val="ru-RU"/>
        </w:rPr>
        <w:t>16.</w:t>
      </w:r>
      <w:r w:rsidR="00BD2450" w:rsidRPr="006310CC">
        <w:rPr>
          <w:lang w:val="ru-RU"/>
        </w:rPr>
        <w:tab/>
      </w:r>
      <w:r w:rsidR="006310CC" w:rsidRPr="006310CC">
        <w:rPr>
          <w:lang w:val="ru-RU"/>
        </w:rPr>
        <w:t>Этот термин охватывает отдельных лиц и фирмы, которые оказывают услуги по управлению инвестициями, в рамках которых такие активы, как акции, облигации и недвижимость, подлежат профессиональному управлению для достижения указанных инвестиционных целей Организации</w:t>
      </w:r>
      <w:r w:rsidR="00BD2450" w:rsidRPr="006310CC">
        <w:rPr>
          <w:lang w:val="ru-RU"/>
        </w:rPr>
        <w:t xml:space="preserve">. </w:t>
      </w:r>
    </w:p>
    <w:p w:rsidR="00BD2450" w:rsidRPr="006310CC" w:rsidRDefault="006310CC" w:rsidP="00B82BDD">
      <w:pPr>
        <w:spacing w:after="220"/>
        <w:rPr>
          <w:lang w:val="ru-RU"/>
        </w:rPr>
      </w:pPr>
      <w:r w:rsidRPr="006310CC">
        <w:rPr>
          <w:lang w:val="ru-RU"/>
        </w:rPr>
        <w:t>ДОВЕРИТЕЛЬНЫЙ УПРАВЛЯЮЩИЙ</w:t>
      </w:r>
      <w:r w:rsidR="00B31A1C" w:rsidRPr="006310CC">
        <w:rPr>
          <w:lang w:val="ru-RU"/>
        </w:rPr>
        <w:t xml:space="preserve"> </w:t>
      </w:r>
    </w:p>
    <w:p w:rsidR="00BD2450" w:rsidRPr="006310CC" w:rsidRDefault="00211AED" w:rsidP="00B82BDD">
      <w:pPr>
        <w:spacing w:after="220"/>
        <w:ind w:left="-4" w:right="58"/>
        <w:rPr>
          <w:lang w:val="ru-RU"/>
        </w:rPr>
      </w:pPr>
      <w:r w:rsidRPr="006310CC">
        <w:rPr>
          <w:lang w:val="ru-RU"/>
        </w:rPr>
        <w:t>17.</w:t>
      </w:r>
      <w:r w:rsidR="00BD2450" w:rsidRPr="006310CC">
        <w:rPr>
          <w:lang w:val="ru-RU"/>
        </w:rPr>
        <w:tab/>
      </w:r>
      <w:r w:rsidR="006310CC" w:rsidRPr="006310CC">
        <w:rPr>
          <w:lang w:val="ru-RU"/>
        </w:rPr>
        <w:t>Это финансовое учреждение, ответственное за обеспечение сохранности финансовых активов Организации.  Доверительный управляющий держит активы, такие как акции и облигации, и осуществляет расчеты в связи с любыми покупками и продажами таких активов и получением дохода на них.  Доверительный управляющий может оказывать другие услуги, такие как анализ рисков, контроль за эффективностью работы внешних управляющих фондами и составление нормативной отчетности</w:t>
      </w:r>
      <w:r w:rsidR="00BD2450" w:rsidRPr="006310CC">
        <w:rPr>
          <w:lang w:val="ru-RU"/>
        </w:rPr>
        <w:t xml:space="preserve">. </w:t>
      </w:r>
    </w:p>
    <w:p w:rsidR="00BD2450" w:rsidRPr="006310CC" w:rsidRDefault="000023DB" w:rsidP="00B31A1C">
      <w:pPr>
        <w:spacing w:after="220"/>
        <w:ind w:left="1"/>
        <w:rPr>
          <w:b/>
          <w:lang w:val="ru-RU"/>
        </w:rPr>
      </w:pPr>
      <w:r>
        <w:rPr>
          <w:b/>
        </w:rPr>
        <w:t>C</w:t>
      </w:r>
      <w:r w:rsidRPr="006310CC">
        <w:rPr>
          <w:b/>
          <w:lang w:val="ru-RU"/>
        </w:rPr>
        <w:t>.</w:t>
      </w:r>
      <w:r w:rsidR="00BD2450" w:rsidRPr="006310CC">
        <w:rPr>
          <w:b/>
          <w:lang w:val="ru-RU"/>
        </w:rPr>
        <w:tab/>
      </w:r>
      <w:r w:rsidR="006310CC" w:rsidRPr="00853918">
        <w:rPr>
          <w:b/>
          <w:lang w:val="ru-RU"/>
        </w:rPr>
        <w:t>ИНВЕСТИЦИОННЫЕ ЦЕЛИ, ТЕРПИМОСТЬ К УРОВНЮ РИСКА И ОГРАНИЧЕНИЯ</w:t>
      </w:r>
    </w:p>
    <w:p w:rsidR="00BD2450" w:rsidRDefault="006310CC" w:rsidP="00B31A1C">
      <w:pPr>
        <w:spacing w:after="220"/>
      </w:pPr>
      <w:r w:rsidRPr="006310CC">
        <w:rPr>
          <w:lang w:val="ru-RU"/>
        </w:rPr>
        <w:t>ЦЕЛИ</w:t>
      </w:r>
      <w:r w:rsidR="00B31A1C">
        <w:t xml:space="preserve"> </w:t>
      </w:r>
    </w:p>
    <w:p w:rsidR="006310CC" w:rsidRPr="00B25696" w:rsidRDefault="006310CC" w:rsidP="006310CC">
      <w:pPr>
        <w:numPr>
          <w:ilvl w:val="0"/>
          <w:numId w:val="12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Цели настоящей инвестиционной политики определяются финансовым правилом 104.10(b), согласно которому Контролер «обеспечивает размещение средств в такой валюте и такое их инвестирование, при котором основной акцент делается на минимизацию риска для главных средств при обеспечении ликвидности, необходимой для удовлетворения потребностей Организации в денежной наличности».</w:t>
      </w:r>
      <w:r w:rsidRPr="00B25696">
        <w:rPr>
          <w:lang w:val="ru-RU"/>
        </w:rPr>
        <w:t xml:space="preserve">  </w:t>
      </w:r>
      <w:r w:rsidRPr="00853918">
        <w:rPr>
          <w:lang w:val="ru-RU"/>
        </w:rPr>
        <w:t xml:space="preserve">Главными целями управления инвестициями Организации – по степени важности – являются (i) </w:t>
      </w:r>
      <w:r w:rsidRPr="00853918">
        <w:rPr>
          <w:lang w:val="ru-RU"/>
        </w:rPr>
        <w:lastRenderedPageBreak/>
        <w:t>сохранение капитала; (ii) ликвидность и (iii) доходность, при условии соблюдения ограничений (i) и (ii).</w:t>
      </w:r>
      <w:r w:rsidRPr="00B25696">
        <w:rPr>
          <w:lang w:val="ru-RU"/>
        </w:rPr>
        <w:t xml:space="preserve"> </w:t>
      </w:r>
    </w:p>
    <w:p w:rsidR="00BD2450" w:rsidRPr="006310CC" w:rsidRDefault="006310CC" w:rsidP="006310CC">
      <w:pPr>
        <w:numPr>
          <w:ilvl w:val="0"/>
          <w:numId w:val="12"/>
        </w:numPr>
        <w:spacing w:after="220"/>
        <w:ind w:right="58" w:hanging="10"/>
        <w:rPr>
          <w:lang w:val="ru-RU"/>
        </w:rPr>
      </w:pPr>
      <w:r w:rsidRPr="00853918">
        <w:rPr>
          <w:lang w:val="ru-RU"/>
        </w:rPr>
        <w:t>Организация стремится получать рыночную норму прибыли, когда это целесообразно и возможно, в отношении как своих операционных, так и своих основных средств в соответствии с либо контрольными показателями, указанными в разделе F, либо контрольными показателями, определенными в соответствующих руководящих принципах в отношении инвестиций.</w:t>
      </w:r>
      <w:r w:rsidRPr="00B25696">
        <w:rPr>
          <w:lang w:val="ru-RU"/>
        </w:rPr>
        <w:t xml:space="preserve">  </w:t>
      </w:r>
      <w:r w:rsidRPr="00853918">
        <w:rPr>
          <w:lang w:val="ru-RU"/>
        </w:rPr>
        <w:t>В исключительных случаях, когда для базовой валюты преобладают отрицательные процентные ставки, Организация стремится свести к минимуму последствия таких ставок, размещая инвестиции среди контрагентов, удовлетворяющих требованиям к кредитному рейтингу и предлагающих положительные или нулевые процентные ставки.</w:t>
      </w:r>
      <w:r w:rsidR="00BD2450" w:rsidRPr="006310CC">
        <w:rPr>
          <w:b/>
          <w:lang w:val="ru-RU"/>
        </w:rPr>
        <w:t xml:space="preserve"> </w:t>
      </w:r>
    </w:p>
    <w:p w:rsidR="00BD2450" w:rsidRPr="0046137D" w:rsidRDefault="006310CC" w:rsidP="00211AED">
      <w:pPr>
        <w:spacing w:after="220"/>
        <w:rPr>
          <w:lang w:val="ru-RU"/>
        </w:rPr>
      </w:pPr>
      <w:r w:rsidRPr="00853918">
        <w:rPr>
          <w:lang w:val="ru-RU"/>
        </w:rPr>
        <w:t>ТЕРПИМОСТЬ К УРОВНЮ РИСКА</w:t>
      </w:r>
      <w:r w:rsidR="00211AED" w:rsidRPr="0046137D">
        <w:rPr>
          <w:lang w:val="ru-RU"/>
        </w:rPr>
        <w:t xml:space="preserve"> </w:t>
      </w:r>
    </w:p>
    <w:p w:rsidR="0046137D" w:rsidRPr="0046137D" w:rsidRDefault="0046137D" w:rsidP="0046137D">
      <w:pPr>
        <w:pStyle w:val="ListParagraph"/>
        <w:numPr>
          <w:ilvl w:val="0"/>
          <w:numId w:val="12"/>
        </w:numPr>
        <w:spacing w:after="220"/>
        <w:ind w:right="58"/>
        <w:rPr>
          <w:lang w:val="ru-RU"/>
        </w:rPr>
      </w:pPr>
      <w:r w:rsidRPr="0046137D">
        <w:rPr>
          <w:lang w:val="ru-RU"/>
        </w:rPr>
        <w:t>Уровень принимаемого риска соответствует инвестиционным целям в отношении двух категорий средств:  операционные и основные средства.  В случае операционных средств установлен нулевой уровень терпимости к рискам.  В случае основных средств признается, что для достижения инвестиционных целей необходимо принятие определенного риска.  Учитывая задачу сохранения капитала, уровень терпимости к риску может быть повышен при определенных рыночных условиях, таких как преобладание отрицательных процентных ставок.  Уровни терпимости к риску определяются и утверждаются Генеральным директором на основе рекомендаций ККИ.  ККИ</w:t>
      </w:r>
      <w:r w:rsidRPr="0046137D">
        <w:t xml:space="preserve"> </w:t>
      </w:r>
      <w:r w:rsidRPr="0046137D">
        <w:rPr>
          <w:lang w:val="ru-RU"/>
        </w:rPr>
        <w:t>отвечает</w:t>
      </w:r>
      <w:r w:rsidRPr="0046137D">
        <w:t xml:space="preserve"> </w:t>
      </w:r>
      <w:r w:rsidRPr="0046137D">
        <w:rPr>
          <w:lang w:val="ru-RU"/>
        </w:rPr>
        <w:t>за</w:t>
      </w:r>
      <w:r w:rsidRPr="0046137D">
        <w:t xml:space="preserve"> </w:t>
      </w:r>
      <w:r w:rsidRPr="0046137D">
        <w:rPr>
          <w:lang w:val="ru-RU"/>
        </w:rPr>
        <w:t>понимание</w:t>
      </w:r>
      <w:r w:rsidRPr="0046137D">
        <w:t xml:space="preserve"> </w:t>
      </w:r>
      <w:r w:rsidRPr="0046137D">
        <w:rPr>
          <w:lang w:val="ru-RU"/>
        </w:rPr>
        <w:t>рисков</w:t>
      </w:r>
      <w:r w:rsidRPr="0046137D">
        <w:t xml:space="preserve"> </w:t>
      </w:r>
      <w:r w:rsidRPr="0046137D">
        <w:rPr>
          <w:lang w:val="ru-RU"/>
        </w:rPr>
        <w:t>и</w:t>
      </w:r>
      <w:r w:rsidRPr="0046137D">
        <w:t xml:space="preserve"> </w:t>
      </w:r>
      <w:r w:rsidRPr="0046137D">
        <w:rPr>
          <w:lang w:val="ru-RU"/>
        </w:rPr>
        <w:t>их</w:t>
      </w:r>
      <w:r w:rsidRPr="0046137D">
        <w:t xml:space="preserve"> </w:t>
      </w:r>
      <w:r w:rsidRPr="0046137D">
        <w:rPr>
          <w:lang w:val="ru-RU"/>
        </w:rPr>
        <w:t>непрерывный</w:t>
      </w:r>
      <w:r w:rsidRPr="0046137D">
        <w:t xml:space="preserve"> </w:t>
      </w:r>
      <w:r w:rsidRPr="0046137D">
        <w:rPr>
          <w:lang w:val="ru-RU"/>
        </w:rPr>
        <w:t>мониторинг</w:t>
      </w:r>
      <w:r>
        <w:rPr>
          <w:lang w:val="ru-RU"/>
        </w:rPr>
        <w:t>.</w:t>
      </w:r>
    </w:p>
    <w:p w:rsidR="00BD2450" w:rsidRDefault="0046137D" w:rsidP="00211AED">
      <w:pPr>
        <w:spacing w:after="220"/>
      </w:pPr>
      <w:r>
        <w:rPr>
          <w:lang w:val="ru-RU"/>
        </w:rPr>
        <w:t>ОГРАНИЧЕНИЯ</w:t>
      </w:r>
      <w:r w:rsidR="00211AED">
        <w:t xml:space="preserve"> </w:t>
      </w:r>
    </w:p>
    <w:p w:rsidR="0046137D" w:rsidRPr="0046137D" w:rsidRDefault="0046137D" w:rsidP="005228AC">
      <w:pPr>
        <w:numPr>
          <w:ilvl w:val="0"/>
          <w:numId w:val="13"/>
        </w:numPr>
        <w:spacing w:after="220"/>
        <w:ind w:right="58" w:hanging="10"/>
        <w:rPr>
          <w:lang w:val="ru-RU"/>
        </w:rPr>
      </w:pPr>
      <w:r w:rsidRPr="0046137D">
        <w:rPr>
          <w:lang w:val="ru-RU"/>
        </w:rPr>
        <w:t>Ликвидность:  остатки операционных средств, эквивалентные уровню целевых резервов, инвестируются на короткий срок (до двенадцати месяцев) в классы активов с низким риском, которые являются высоколиквидными при низком комиссионном сбое или при отсутствии такового.  Задачей является выполнение требований Организации к ликвидности.  Основные средства инвестируются с целью получения положительной нормы прибыли за вычетом любых комиссионных за управление средствами</w:t>
      </w:r>
      <w:r w:rsidR="00BE3832">
        <w:rPr>
          <w:lang w:val="ru-RU"/>
        </w:rPr>
        <w:t xml:space="preserve"> и расходов на хеджирование по отношению к швейцарскому франку</w:t>
      </w:r>
      <w:r w:rsidR="005C0895">
        <w:rPr>
          <w:lang w:val="ru-RU"/>
        </w:rPr>
        <w:t xml:space="preserve"> за скользящие пятилетние периоды</w:t>
      </w:r>
      <w:r w:rsidR="00BE3832">
        <w:rPr>
          <w:lang w:val="ru-RU"/>
        </w:rPr>
        <w:t xml:space="preserve"> </w:t>
      </w:r>
      <w:r w:rsidRPr="0046137D">
        <w:rPr>
          <w:lang w:val="ru-RU"/>
        </w:rPr>
        <w:t>.  В идеале основные средства инвестируются таким образом, чтобы был возможен эпизодический доступ к части средств.</w:t>
      </w:r>
    </w:p>
    <w:p w:rsidR="005C0895" w:rsidRDefault="005C0895" w:rsidP="003E49F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i/>
          <w:lang w:val="ru-RU"/>
        </w:rPr>
      </w:pPr>
      <w:r>
        <w:rPr>
          <w:i/>
          <w:lang w:val="ru-RU"/>
        </w:rPr>
        <w:t>Проведенный ККИ а</w:t>
      </w:r>
      <w:r w:rsidR="00BE3832" w:rsidRPr="00BE3832">
        <w:rPr>
          <w:i/>
          <w:lang w:val="ru-RU"/>
        </w:rPr>
        <w:t xml:space="preserve">нализ подхода, который </w:t>
      </w:r>
      <w:r>
        <w:rPr>
          <w:i/>
          <w:lang w:val="ru-RU"/>
        </w:rPr>
        <w:t>следует применять в рамках осуществления</w:t>
      </w:r>
      <w:r w:rsidR="00BE3832" w:rsidRPr="00BE3832">
        <w:rPr>
          <w:i/>
          <w:lang w:val="ru-RU"/>
        </w:rPr>
        <w:t xml:space="preserve"> инвестиционной политики, а также информация, предоставленная внешним </w:t>
      </w:r>
      <w:r>
        <w:rPr>
          <w:i/>
          <w:lang w:val="ru-RU"/>
        </w:rPr>
        <w:t>консультантом по инвестициям, показали, что ввиду существующей низкой доходности инвестиций в швейцарских франках</w:t>
      </w:r>
      <w:r w:rsidR="00BE3832" w:rsidRPr="00BE3832">
        <w:rPr>
          <w:i/>
          <w:lang w:val="ru-RU"/>
        </w:rPr>
        <w:t xml:space="preserve"> реалистичн</w:t>
      </w:r>
      <w:r>
        <w:rPr>
          <w:i/>
          <w:lang w:val="ru-RU"/>
        </w:rPr>
        <w:t>ее поставить</w:t>
      </w:r>
      <w:r w:rsidR="00BE3832" w:rsidRPr="00BE3832">
        <w:rPr>
          <w:i/>
          <w:lang w:val="ru-RU"/>
        </w:rPr>
        <w:t xml:space="preserve"> цель </w:t>
      </w:r>
      <w:r w:rsidRPr="005C0895">
        <w:rPr>
          <w:i/>
          <w:lang w:val="ru-RU"/>
        </w:rPr>
        <w:t xml:space="preserve">получения положительной нормы прибыли за вычетом комиссионных за управление средствами и расходов на хеджирование </w:t>
      </w:r>
      <w:r>
        <w:rPr>
          <w:i/>
          <w:lang w:val="ru-RU"/>
        </w:rPr>
        <w:t>инвестиций</w:t>
      </w:r>
      <w:r w:rsidR="00BA188F">
        <w:rPr>
          <w:i/>
          <w:lang w:val="ru-RU"/>
        </w:rPr>
        <w:t>, номинированных в иных, помимо</w:t>
      </w:r>
      <w:r w:rsidRPr="005C0895">
        <w:rPr>
          <w:i/>
          <w:lang w:val="ru-RU"/>
        </w:rPr>
        <w:t xml:space="preserve"> швейцарско</w:t>
      </w:r>
      <w:r w:rsidR="00BA188F">
        <w:rPr>
          <w:i/>
          <w:lang w:val="ru-RU"/>
        </w:rPr>
        <w:t>го</w:t>
      </w:r>
      <w:r w:rsidRPr="005C0895">
        <w:rPr>
          <w:i/>
          <w:lang w:val="ru-RU"/>
        </w:rPr>
        <w:t xml:space="preserve"> франк</w:t>
      </w:r>
      <w:r w:rsidR="00BA188F">
        <w:rPr>
          <w:i/>
          <w:lang w:val="ru-RU"/>
        </w:rPr>
        <w:t>а, валютах</w:t>
      </w:r>
      <w:r w:rsidRPr="005C0895">
        <w:rPr>
          <w:i/>
          <w:lang w:val="ru-RU"/>
        </w:rPr>
        <w:t xml:space="preserve"> за скользящие пятилетние периоды</w:t>
      </w:r>
      <w:r w:rsidR="00BA188F">
        <w:rPr>
          <w:i/>
          <w:lang w:val="ru-RU"/>
        </w:rPr>
        <w:t xml:space="preserve">.  </w:t>
      </w:r>
      <w:r w:rsidR="00BE3832" w:rsidRPr="00BE3832">
        <w:rPr>
          <w:i/>
          <w:lang w:val="ru-RU"/>
        </w:rPr>
        <w:t xml:space="preserve">Это особенно </w:t>
      </w:r>
      <w:r w:rsidR="00BA188F">
        <w:rPr>
          <w:i/>
          <w:lang w:val="ru-RU"/>
        </w:rPr>
        <w:t>существенно</w:t>
      </w:r>
      <w:r w:rsidR="00BE3832" w:rsidRPr="00BE3832">
        <w:rPr>
          <w:i/>
          <w:lang w:val="ru-RU"/>
        </w:rPr>
        <w:t xml:space="preserve"> с учетом профи</w:t>
      </w:r>
      <w:r w:rsidR="00BA188F">
        <w:rPr>
          <w:i/>
          <w:lang w:val="ru-RU"/>
        </w:rPr>
        <w:t xml:space="preserve">ля рисков Организации и </w:t>
      </w:r>
      <w:r w:rsidR="00BE3832" w:rsidRPr="00BE3832">
        <w:rPr>
          <w:i/>
          <w:lang w:val="ru-RU"/>
        </w:rPr>
        <w:t xml:space="preserve">важности </w:t>
      </w:r>
      <w:r w:rsidR="00BA188F">
        <w:rPr>
          <w:i/>
          <w:lang w:val="ru-RU"/>
        </w:rPr>
        <w:t xml:space="preserve">не только </w:t>
      </w:r>
      <w:r w:rsidR="00BE3832" w:rsidRPr="00BE3832">
        <w:rPr>
          <w:i/>
          <w:lang w:val="ru-RU"/>
        </w:rPr>
        <w:t xml:space="preserve">ограничения </w:t>
      </w:r>
      <w:r w:rsidR="00BA188F">
        <w:rPr>
          <w:i/>
          <w:lang w:val="ru-RU"/>
        </w:rPr>
        <w:t>инвестиционных авуаров,</w:t>
      </w:r>
      <w:r w:rsidR="00BA188F" w:rsidRPr="00BE3832">
        <w:rPr>
          <w:i/>
          <w:lang w:val="ru-RU"/>
        </w:rPr>
        <w:t xml:space="preserve"> </w:t>
      </w:r>
      <w:r w:rsidR="00BA188F">
        <w:rPr>
          <w:i/>
          <w:lang w:val="ru-RU"/>
        </w:rPr>
        <w:t xml:space="preserve">сопряженных с риском, но </w:t>
      </w:r>
      <w:r w:rsidR="00BE3832" w:rsidRPr="00BE3832">
        <w:rPr>
          <w:i/>
          <w:lang w:val="ru-RU"/>
        </w:rPr>
        <w:t xml:space="preserve">и ограничения волатильности. </w:t>
      </w:r>
      <w:r w:rsidR="00BA188F">
        <w:rPr>
          <w:i/>
          <w:lang w:val="ru-RU"/>
        </w:rPr>
        <w:t xml:space="preserve"> В силу этого</w:t>
      </w:r>
      <w:r w:rsidR="00BE3832" w:rsidRPr="00BA188F">
        <w:rPr>
          <w:i/>
          <w:lang w:val="ru-RU"/>
        </w:rPr>
        <w:t xml:space="preserve"> треть</w:t>
      </w:r>
      <w:r w:rsidR="00BA188F">
        <w:rPr>
          <w:i/>
          <w:lang w:val="ru-RU"/>
        </w:rPr>
        <w:t>я фраза</w:t>
      </w:r>
      <w:r w:rsidR="00120DC1">
        <w:rPr>
          <w:i/>
          <w:lang w:val="ru-RU"/>
        </w:rPr>
        <w:t xml:space="preserve"> </w:t>
      </w:r>
      <w:r w:rsidR="00BE3832" w:rsidRPr="00BA188F">
        <w:rPr>
          <w:i/>
          <w:lang w:val="ru-RU"/>
        </w:rPr>
        <w:t>был</w:t>
      </w:r>
      <w:r w:rsidR="00BA188F">
        <w:rPr>
          <w:i/>
          <w:lang w:val="ru-RU"/>
        </w:rPr>
        <w:t>а изменена</w:t>
      </w:r>
      <w:r w:rsidR="00BE3832" w:rsidRPr="00BA188F">
        <w:rPr>
          <w:i/>
          <w:lang w:val="ru-RU"/>
        </w:rPr>
        <w:t xml:space="preserve"> соответствующим образом.</w:t>
      </w:r>
    </w:p>
    <w:p w:rsidR="005C0895" w:rsidRDefault="005C0895" w:rsidP="003E49F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i/>
          <w:lang w:val="ru-RU"/>
        </w:rPr>
      </w:pPr>
    </w:p>
    <w:p w:rsidR="00BA188F" w:rsidRDefault="005C0895" w:rsidP="003E49F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i/>
          <w:lang w:val="ru-RU"/>
        </w:rPr>
      </w:pPr>
      <w:r w:rsidRPr="00BA188F">
        <w:rPr>
          <w:i/>
          <w:lang w:val="ru-RU"/>
        </w:rPr>
        <w:t>К</w:t>
      </w:r>
      <w:r w:rsidR="00BA188F">
        <w:rPr>
          <w:i/>
          <w:lang w:val="ru-RU"/>
        </w:rPr>
        <w:t xml:space="preserve"> тому же</w:t>
      </w:r>
      <w:r w:rsidRPr="00BA188F">
        <w:rPr>
          <w:i/>
          <w:lang w:val="ru-RU"/>
        </w:rPr>
        <w:t xml:space="preserve">, поскольку погашение </w:t>
      </w:r>
      <w:r w:rsidR="00BA188F">
        <w:rPr>
          <w:i/>
          <w:lang w:val="ru-RU"/>
        </w:rPr>
        <w:t>кредитов</w:t>
      </w:r>
      <w:r w:rsidRPr="00BA188F">
        <w:rPr>
          <w:i/>
          <w:lang w:val="ru-RU"/>
        </w:rPr>
        <w:t xml:space="preserve"> кантональных банков полностью завершено, </w:t>
      </w:r>
      <w:r w:rsidR="00FE1FF3">
        <w:rPr>
          <w:i/>
          <w:lang w:val="ru-RU"/>
        </w:rPr>
        <w:t xml:space="preserve">элемент </w:t>
      </w:r>
      <w:r w:rsidRPr="00BA188F">
        <w:rPr>
          <w:i/>
          <w:lang w:val="ru-RU"/>
        </w:rPr>
        <w:t>фраз</w:t>
      </w:r>
      <w:r w:rsidR="00FE1FF3">
        <w:rPr>
          <w:i/>
          <w:lang w:val="ru-RU"/>
        </w:rPr>
        <w:t>ы</w:t>
      </w:r>
      <w:r w:rsidRPr="00BA188F">
        <w:rPr>
          <w:i/>
          <w:lang w:val="ru-RU"/>
        </w:rPr>
        <w:t xml:space="preserve"> «</w:t>
      </w:r>
      <w:r w:rsidR="00FE1FF3" w:rsidRPr="00FE1FF3">
        <w:rPr>
          <w:i/>
          <w:lang w:val="ru-RU"/>
        </w:rPr>
        <w:t>что должно облегчать осуществление крупных плановых платежей, таких как погашение кредитов</w:t>
      </w:r>
      <w:r w:rsidRPr="00BA188F">
        <w:rPr>
          <w:i/>
          <w:lang w:val="ru-RU"/>
        </w:rPr>
        <w:t xml:space="preserve">», </w:t>
      </w:r>
      <w:r w:rsidR="00E777BF">
        <w:rPr>
          <w:i/>
          <w:lang w:val="ru-RU"/>
        </w:rPr>
        <w:t xml:space="preserve">стал </w:t>
      </w:r>
      <w:r w:rsidRPr="00BA188F">
        <w:rPr>
          <w:i/>
          <w:lang w:val="ru-RU"/>
        </w:rPr>
        <w:t>излиш</w:t>
      </w:r>
      <w:r w:rsidR="00FE1FF3">
        <w:rPr>
          <w:i/>
          <w:lang w:val="ru-RU"/>
        </w:rPr>
        <w:t>ен</w:t>
      </w:r>
      <w:r w:rsidRPr="00BA188F">
        <w:rPr>
          <w:i/>
          <w:lang w:val="ru-RU"/>
        </w:rPr>
        <w:t xml:space="preserve"> и </w:t>
      </w:r>
      <w:r w:rsidR="00120DC1">
        <w:rPr>
          <w:i/>
          <w:lang w:val="ru-RU"/>
        </w:rPr>
        <w:t>поэтому</w:t>
      </w:r>
      <w:r w:rsidR="00E777BF">
        <w:rPr>
          <w:i/>
          <w:lang w:val="ru-RU"/>
        </w:rPr>
        <w:t xml:space="preserve"> был</w:t>
      </w:r>
      <w:r w:rsidR="00120DC1">
        <w:rPr>
          <w:i/>
          <w:lang w:val="ru-RU"/>
        </w:rPr>
        <w:t xml:space="preserve"> </w:t>
      </w:r>
      <w:r w:rsidRPr="00BA188F">
        <w:rPr>
          <w:i/>
          <w:lang w:val="ru-RU"/>
        </w:rPr>
        <w:t>удален.</w:t>
      </w:r>
    </w:p>
    <w:p w:rsidR="003E49F7" w:rsidRPr="00120DC1" w:rsidRDefault="003E49F7" w:rsidP="003E49F7">
      <w:pPr>
        <w:rPr>
          <w:rFonts w:eastAsia="Times New Roman"/>
          <w:lang w:val="ru-RU"/>
        </w:rPr>
      </w:pPr>
    </w:p>
    <w:p w:rsidR="00BD2450" w:rsidRDefault="00EF1F0D" w:rsidP="00211AED">
      <w:pPr>
        <w:spacing w:after="220"/>
        <w:ind w:left="-4"/>
      </w:pPr>
      <w:r w:rsidRPr="00EF1F0D">
        <w:rPr>
          <w:u w:val="single" w:color="000000"/>
          <w:lang w:val="ru-RU"/>
        </w:rPr>
        <w:lastRenderedPageBreak/>
        <w:t>Диверсификация контрагентов</w:t>
      </w:r>
      <w:r w:rsidR="00BD2450">
        <w:t xml:space="preserve">:   </w:t>
      </w:r>
    </w:p>
    <w:p w:rsidR="007672B8" w:rsidRPr="00EF1F0D" w:rsidRDefault="00EF1F0D" w:rsidP="005228AC">
      <w:pPr>
        <w:numPr>
          <w:ilvl w:val="0"/>
          <w:numId w:val="13"/>
        </w:numPr>
        <w:spacing w:after="220"/>
        <w:ind w:right="58" w:hanging="10"/>
        <w:rPr>
          <w:lang w:val="ru-RU"/>
        </w:rPr>
      </w:pPr>
      <w:r w:rsidRPr="00EF1F0D">
        <w:rPr>
          <w:lang w:val="ru-RU"/>
        </w:rPr>
        <w:t>Все инвестиции операционных и основных средств Организации могут размещаться в одном учреждении с суверенным риском и рейтингом уровня AAA/Aaa при условии, что такое учреждение может быть найдено и будет готово принимать такие инвестиционные средства.  В противном случае инвестиционные средства распределяются между множеством учреждений с целью поделить инвестируемые средства, по крайней мере, между четырьмя учреждениями, если это возможно, при том что в любом отдельно взятом учреждении хранится не более 30 процентов операционных средств.  Основные средства должны быть поделены, по крайней мере, между двумя внешними управляющими фондами</w:t>
      </w:r>
      <w:r>
        <w:rPr>
          <w:lang w:val="ru-RU"/>
        </w:rPr>
        <w:t>.</w:t>
      </w:r>
    </w:p>
    <w:p w:rsidR="00EF1F0D" w:rsidRPr="00EF1F0D" w:rsidRDefault="00EF1F0D" w:rsidP="005228AC">
      <w:pPr>
        <w:numPr>
          <w:ilvl w:val="0"/>
          <w:numId w:val="13"/>
        </w:numPr>
        <w:spacing w:after="220"/>
        <w:ind w:left="-4" w:right="58" w:hanging="10"/>
        <w:rPr>
          <w:lang w:val="ru-RU"/>
        </w:rPr>
      </w:pPr>
      <w:r w:rsidRPr="00EF1F0D">
        <w:rPr>
          <w:lang w:val="ru-RU"/>
        </w:rPr>
        <w:t>Инвестиции как операционных, так и основных средств могут храниться только в учреждениях, имеющих</w:t>
      </w:r>
      <w:r w:rsidR="00046F2E">
        <w:rPr>
          <w:lang w:val="ru-RU"/>
        </w:rPr>
        <w:t xml:space="preserve"> </w:t>
      </w:r>
      <w:r w:rsidR="00985C72">
        <w:rPr>
          <w:lang w:val="ru-RU"/>
        </w:rPr>
        <w:t xml:space="preserve"> кредитный рейтинг, указанный в разделе </w:t>
      </w:r>
      <w:r w:rsidR="00985C72">
        <w:t>D</w:t>
      </w:r>
      <w:r w:rsidR="00985C72" w:rsidRPr="00140EF4">
        <w:rPr>
          <w:vertAlign w:val="superscript"/>
        </w:rPr>
        <w:footnoteReference w:id="6"/>
      </w:r>
      <w:r w:rsidRPr="00EF1F0D">
        <w:rPr>
          <w:lang w:val="ru-RU"/>
        </w:rPr>
        <w:t xml:space="preserve">.  </w:t>
      </w:r>
    </w:p>
    <w:p w:rsidR="00EA4C5E" w:rsidRDefault="00EA4C5E" w:rsidP="003E49F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i/>
          <w:lang w:val="ru-RU"/>
        </w:rPr>
      </w:pPr>
      <w:r>
        <w:rPr>
          <w:i/>
          <w:lang w:val="ru-RU"/>
        </w:rPr>
        <w:t>Вторая фраза исключена в силу того, что минимальн</w:t>
      </w:r>
      <w:r w:rsidR="00EB405D">
        <w:rPr>
          <w:i/>
          <w:lang w:val="ru-RU"/>
        </w:rPr>
        <w:t>ые</w:t>
      </w:r>
      <w:r>
        <w:rPr>
          <w:i/>
          <w:lang w:val="ru-RU"/>
        </w:rPr>
        <w:t xml:space="preserve"> кредитные рейтинги для каждого класса активов указаны в таблице, приведенной в разделе</w:t>
      </w:r>
      <w:r w:rsidR="003E49F7" w:rsidRPr="00EA4C5E">
        <w:rPr>
          <w:i/>
          <w:lang w:val="ru-RU"/>
        </w:rPr>
        <w:t xml:space="preserve"> </w:t>
      </w:r>
      <w:r w:rsidR="003E49F7" w:rsidRPr="003E49F7">
        <w:rPr>
          <w:i/>
        </w:rPr>
        <w:t>D</w:t>
      </w:r>
      <w:r w:rsidR="003E49F7" w:rsidRPr="00EA4C5E">
        <w:rPr>
          <w:i/>
          <w:lang w:val="ru-RU"/>
        </w:rPr>
        <w:t>.</w:t>
      </w:r>
      <w:r w:rsidR="003E49F7" w:rsidRPr="00EA4C5E">
        <w:rPr>
          <w:i/>
          <w:lang w:val="ru-RU"/>
        </w:rPr>
        <w:br/>
      </w:r>
      <w:r w:rsidR="003E49F7" w:rsidRPr="00EA4C5E">
        <w:rPr>
          <w:i/>
          <w:lang w:val="ru-RU"/>
        </w:rPr>
        <w:br/>
      </w:r>
      <w:r>
        <w:rPr>
          <w:i/>
          <w:lang w:val="ru-RU"/>
        </w:rPr>
        <w:t>Удалена и последняя фраза</w:t>
      </w:r>
      <w:r w:rsidRPr="00EA4C5E">
        <w:rPr>
          <w:i/>
          <w:lang w:val="ru-RU"/>
        </w:rPr>
        <w:t xml:space="preserve">. </w:t>
      </w:r>
      <w:r>
        <w:rPr>
          <w:i/>
          <w:lang w:val="ru-RU"/>
        </w:rPr>
        <w:t xml:space="preserve"> </w:t>
      </w:r>
      <w:r w:rsidRPr="00EA4C5E">
        <w:rPr>
          <w:i/>
          <w:lang w:val="ru-RU"/>
        </w:rPr>
        <w:t xml:space="preserve">Цена ценных бумаг </w:t>
      </w:r>
      <w:r>
        <w:rPr>
          <w:i/>
          <w:lang w:val="ru-RU"/>
        </w:rPr>
        <w:t xml:space="preserve">упала </w:t>
      </w:r>
      <w:r w:rsidRPr="00EA4C5E">
        <w:rPr>
          <w:i/>
          <w:lang w:val="ru-RU"/>
        </w:rPr>
        <w:t xml:space="preserve">бы до понижения рейтинга ниже </w:t>
      </w:r>
      <w:r w:rsidR="00623ED8">
        <w:rPr>
          <w:i/>
          <w:lang w:val="ru-RU"/>
        </w:rPr>
        <w:t>самого низкого</w:t>
      </w:r>
      <w:r w:rsidRPr="00EA4C5E">
        <w:rPr>
          <w:i/>
          <w:lang w:val="ru-RU"/>
        </w:rPr>
        <w:t xml:space="preserve"> допустимого кредитного рейтинга BBB-. Поэтому продажа </w:t>
      </w:r>
      <w:r>
        <w:rPr>
          <w:i/>
          <w:lang w:val="ru-RU"/>
        </w:rPr>
        <w:t xml:space="preserve">соответствующих </w:t>
      </w:r>
      <w:r w:rsidRPr="00EA4C5E">
        <w:rPr>
          <w:i/>
          <w:lang w:val="ru-RU"/>
        </w:rPr>
        <w:t xml:space="preserve">ценных бумаг в </w:t>
      </w:r>
      <w:r>
        <w:rPr>
          <w:i/>
          <w:lang w:val="ru-RU"/>
        </w:rPr>
        <w:t>э</w:t>
      </w:r>
      <w:r w:rsidRPr="00EA4C5E">
        <w:rPr>
          <w:i/>
          <w:lang w:val="ru-RU"/>
        </w:rPr>
        <w:t>тот момент не защи</w:t>
      </w:r>
      <w:r>
        <w:rPr>
          <w:i/>
          <w:lang w:val="ru-RU"/>
        </w:rPr>
        <w:t>тит</w:t>
      </w:r>
      <w:r w:rsidRPr="00EA4C5E">
        <w:rPr>
          <w:i/>
          <w:lang w:val="ru-RU"/>
        </w:rPr>
        <w:t xml:space="preserve"> портфель, а </w:t>
      </w:r>
      <w:r w:rsidR="00874D1F">
        <w:rPr>
          <w:i/>
          <w:lang w:val="ru-RU"/>
        </w:rPr>
        <w:t>лишь приведет к фиксации учетного убытка</w:t>
      </w:r>
      <w:r w:rsidRPr="00EA4C5E">
        <w:rPr>
          <w:i/>
          <w:lang w:val="ru-RU"/>
        </w:rPr>
        <w:t>. Поскольку</w:t>
      </w:r>
      <w:r w:rsidR="00874D1F">
        <w:rPr>
          <w:i/>
          <w:lang w:val="ru-RU"/>
        </w:rPr>
        <w:t>, как показывает</w:t>
      </w:r>
      <w:r w:rsidRPr="00EA4C5E">
        <w:rPr>
          <w:i/>
          <w:lang w:val="ru-RU"/>
        </w:rPr>
        <w:t xml:space="preserve"> опыт</w:t>
      </w:r>
      <w:r w:rsidR="00874D1F">
        <w:rPr>
          <w:i/>
          <w:lang w:val="ru-RU"/>
        </w:rPr>
        <w:t>, стоимость</w:t>
      </w:r>
      <w:r w:rsidRPr="00EA4C5E">
        <w:rPr>
          <w:i/>
          <w:lang w:val="ru-RU"/>
        </w:rPr>
        <w:t xml:space="preserve"> большинств</w:t>
      </w:r>
      <w:r w:rsidR="00874D1F">
        <w:rPr>
          <w:i/>
          <w:lang w:val="ru-RU"/>
        </w:rPr>
        <w:t>а</w:t>
      </w:r>
      <w:r w:rsidRPr="00EA4C5E">
        <w:rPr>
          <w:i/>
          <w:lang w:val="ru-RU"/>
        </w:rPr>
        <w:t xml:space="preserve"> ценных бумаг с пониженным рейтингом </w:t>
      </w:r>
      <w:r w:rsidR="00874D1F">
        <w:rPr>
          <w:i/>
          <w:lang w:val="ru-RU"/>
        </w:rPr>
        <w:t>со временем восстанавливается</w:t>
      </w:r>
      <w:r w:rsidRPr="00EA4C5E">
        <w:rPr>
          <w:i/>
          <w:lang w:val="ru-RU"/>
        </w:rPr>
        <w:t xml:space="preserve">, </w:t>
      </w:r>
      <w:r w:rsidR="00344FAC">
        <w:rPr>
          <w:i/>
          <w:lang w:val="ru-RU"/>
        </w:rPr>
        <w:t>безоговорочное положение</w:t>
      </w:r>
      <w:r w:rsidRPr="00EA4C5E">
        <w:rPr>
          <w:i/>
          <w:lang w:val="ru-RU"/>
        </w:rPr>
        <w:t xml:space="preserve"> о</w:t>
      </w:r>
      <w:r w:rsidR="00344FAC">
        <w:rPr>
          <w:i/>
          <w:lang w:val="ru-RU"/>
        </w:rPr>
        <w:t>б обязательной</w:t>
      </w:r>
      <w:r w:rsidRPr="00EA4C5E">
        <w:rPr>
          <w:i/>
          <w:lang w:val="ru-RU"/>
        </w:rPr>
        <w:t xml:space="preserve"> ликвидации ценных бумаг может не </w:t>
      </w:r>
      <w:r w:rsidR="00D805F2">
        <w:rPr>
          <w:i/>
          <w:lang w:val="ru-RU"/>
        </w:rPr>
        <w:t>отвечать</w:t>
      </w:r>
      <w:r w:rsidRPr="00EA4C5E">
        <w:rPr>
          <w:i/>
          <w:lang w:val="ru-RU"/>
        </w:rPr>
        <w:t xml:space="preserve"> интересам </w:t>
      </w:r>
      <w:r w:rsidR="00344FAC">
        <w:rPr>
          <w:i/>
          <w:lang w:val="ru-RU"/>
        </w:rPr>
        <w:t>О</w:t>
      </w:r>
      <w:r w:rsidRPr="00EA4C5E">
        <w:rPr>
          <w:i/>
          <w:lang w:val="ru-RU"/>
        </w:rPr>
        <w:t>рганизации.</w:t>
      </w:r>
    </w:p>
    <w:p w:rsidR="003E49F7" w:rsidRPr="0025504E" w:rsidRDefault="003E49F7" w:rsidP="003E49F7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lang w:val="ru-RU"/>
        </w:rPr>
      </w:pPr>
    </w:p>
    <w:p w:rsidR="007672B8" w:rsidRPr="0025504E" w:rsidRDefault="007672B8" w:rsidP="003E49F7">
      <w:pPr>
        <w:ind w:left="10" w:right="58"/>
        <w:jc w:val="both"/>
        <w:rPr>
          <w:lang w:val="ru-RU"/>
        </w:rPr>
      </w:pPr>
    </w:p>
    <w:p w:rsidR="00BD2450" w:rsidRPr="00344FAC" w:rsidRDefault="00344FAC" w:rsidP="005228AC">
      <w:pPr>
        <w:numPr>
          <w:ilvl w:val="0"/>
          <w:numId w:val="13"/>
        </w:numPr>
        <w:spacing w:after="220"/>
        <w:ind w:right="58" w:hanging="10"/>
        <w:rPr>
          <w:lang w:val="ru-RU"/>
        </w:rPr>
      </w:pPr>
      <w:r w:rsidRPr="00344FAC">
        <w:rPr>
          <w:lang w:val="ru-RU"/>
        </w:rPr>
        <w:t>При определении процентной доли средств, которые хранятся в определенном учреждении, учитываются также инвестиции, размещенные в его дочерних или аффилированных предприятиях.  Временное превышение лимитов возможно в случае колебаний курсов валют, истечения сроков погашения крупных инвестиций, изменений в обороте денежных средств или понижения рейтингов учреждений.  Кроме того, в периоды отрицательных процентных ставок, из-за ограниченного числа доступных контрагентов, уровень инвестиций операционных средств в отдельных контрагентах может превышать установленные процентные доли.  Случаи превышения установленных лимитов немедленно докладываются Контролеру, и Казначей стремится исправить ситуацию в возможно короткий срок без оплаты штрафных санкций.  Если уровень сложно откорректировать (из-за связанных с этим затрат), требуется подтверждение ситуации Контролером.  В случаях, когда необходимо принятие отрицательных процентных ставок, подробные объяснения причин этого представляются Казначеем на утверждение Контролера через Финансового директора</w:t>
      </w:r>
      <w:r w:rsidR="00BD2450" w:rsidRPr="00344FAC">
        <w:rPr>
          <w:lang w:val="ru-RU"/>
        </w:rPr>
        <w:t xml:space="preserve">. </w:t>
      </w:r>
    </w:p>
    <w:p w:rsidR="00BD2450" w:rsidRDefault="00344FAC" w:rsidP="007672B8">
      <w:pPr>
        <w:pStyle w:val="BodyText"/>
      </w:pPr>
      <w:r w:rsidRPr="00344FAC">
        <w:rPr>
          <w:lang w:val="ru-RU"/>
        </w:rPr>
        <w:t>ВАЛЮТА ИНВЕСТИЦИЙ</w:t>
      </w:r>
      <w:r w:rsidR="007672B8">
        <w:t xml:space="preserve"> </w:t>
      </w:r>
    </w:p>
    <w:p w:rsidR="00344FAC" w:rsidRPr="004F7980" w:rsidRDefault="00344FAC" w:rsidP="00344FAC">
      <w:pPr>
        <w:numPr>
          <w:ilvl w:val="0"/>
          <w:numId w:val="14"/>
        </w:numPr>
        <w:spacing w:after="220"/>
        <w:ind w:right="58"/>
        <w:rPr>
          <w:lang w:val="ru-RU"/>
        </w:rPr>
      </w:pPr>
      <w:r w:rsidRPr="004F7980">
        <w:rPr>
          <w:lang w:val="ru-RU"/>
        </w:rPr>
        <w:t xml:space="preserve">Выбор валюты для инвестиций осуществляется с учетом валюты, в которой ведется финансовая отчетность и которой в настоящее время является швейцарский франк. </w:t>
      </w:r>
    </w:p>
    <w:p w:rsidR="00BD2450" w:rsidRPr="00344FAC" w:rsidRDefault="00344FAC" w:rsidP="00344FAC">
      <w:pPr>
        <w:numPr>
          <w:ilvl w:val="0"/>
          <w:numId w:val="14"/>
        </w:numPr>
        <w:spacing w:after="220"/>
        <w:ind w:right="58" w:hanging="10"/>
        <w:rPr>
          <w:lang w:val="ru-RU"/>
        </w:rPr>
      </w:pPr>
      <w:r w:rsidRPr="004F7980">
        <w:rPr>
          <w:lang w:val="ru-RU"/>
        </w:rPr>
        <w:t xml:space="preserve">Если инвестиции осуществляются в иной валюте, чем швейцарский франк, Контролер, по согласованию с ККИ, может санкционировать использование инструментов хеджирования для минимизации рисков, связанных с колебаниями </w:t>
      </w:r>
      <w:r w:rsidRPr="004F7980">
        <w:rPr>
          <w:lang w:val="ru-RU"/>
        </w:rPr>
        <w:lastRenderedPageBreak/>
        <w:t>курсов валют соответствующих инвестиций по отношению к швейцарскому франку, во избежание чистых инвестиционных убытков</w:t>
      </w:r>
      <w:r w:rsidR="00BD2450" w:rsidRPr="00344FAC">
        <w:rPr>
          <w:lang w:val="ru-RU"/>
        </w:rPr>
        <w:t xml:space="preserve">.   </w:t>
      </w:r>
    </w:p>
    <w:p w:rsidR="00BD2450" w:rsidRPr="00344FAC" w:rsidRDefault="00344FAC" w:rsidP="007672B8">
      <w:pPr>
        <w:pStyle w:val="BodyText"/>
        <w:rPr>
          <w:lang w:val="ru-RU"/>
        </w:rPr>
      </w:pPr>
      <w:r w:rsidRPr="00344FAC">
        <w:rPr>
          <w:lang w:val="ru-RU"/>
        </w:rPr>
        <w:t>КРЕДИТНЫЕ ЛИМИТЫ</w:t>
      </w:r>
      <w:r w:rsidR="007672B8" w:rsidRPr="00344FAC">
        <w:rPr>
          <w:lang w:val="ru-RU"/>
        </w:rPr>
        <w:t xml:space="preserve">  </w:t>
      </w:r>
    </w:p>
    <w:p w:rsidR="00BD2450" w:rsidRPr="00344FAC" w:rsidRDefault="007672B8" w:rsidP="007672B8">
      <w:pPr>
        <w:spacing w:after="220"/>
        <w:ind w:left="-4" w:right="58"/>
        <w:rPr>
          <w:lang w:val="ru-RU"/>
        </w:rPr>
      </w:pPr>
      <w:r w:rsidRPr="00344FAC">
        <w:rPr>
          <w:lang w:val="ru-RU"/>
        </w:rPr>
        <w:t>27.</w:t>
      </w:r>
      <w:r w:rsidR="00BD2450" w:rsidRPr="00344FAC">
        <w:rPr>
          <w:lang w:val="ru-RU"/>
        </w:rPr>
        <w:tab/>
      </w:r>
      <w:r w:rsidR="00344FAC" w:rsidRPr="00344FAC">
        <w:rPr>
          <w:lang w:val="ru-RU"/>
        </w:rPr>
        <w:t>Общий размер инвестиций в любом отдельно взятом учреждении не превышает 5 процентов собственного капитала банка или компании, указанного в последней опубликованной финансовой отчетности.  В случае ценных бумаг с фиксированным доходом допускаются инвестиции в размере до 5 процентов всего объема эмиссии данных ценных бумаг</w:t>
      </w:r>
      <w:r w:rsidR="00BD2450" w:rsidRPr="00344FAC">
        <w:rPr>
          <w:lang w:val="ru-RU"/>
        </w:rPr>
        <w:t xml:space="preserve">. </w:t>
      </w:r>
    </w:p>
    <w:p w:rsidR="00BD2450" w:rsidRPr="0025504E" w:rsidRDefault="00344FAC" w:rsidP="007672B8">
      <w:pPr>
        <w:pStyle w:val="BodyText"/>
        <w:keepNext/>
        <w:keepLines/>
        <w:rPr>
          <w:lang w:val="ru-RU"/>
        </w:rPr>
      </w:pPr>
      <w:r w:rsidRPr="00344FAC">
        <w:rPr>
          <w:lang w:val="ru-RU"/>
        </w:rPr>
        <w:t>ЭТИЧЕСКИЕ СООБРАЖЕНИЯ</w:t>
      </w:r>
      <w:r w:rsidR="007672B8" w:rsidRPr="0025504E">
        <w:rPr>
          <w:lang w:val="ru-RU"/>
        </w:rPr>
        <w:t xml:space="preserve"> </w:t>
      </w:r>
    </w:p>
    <w:p w:rsidR="00BD2450" w:rsidRPr="00344FAC" w:rsidRDefault="00BD2450" w:rsidP="007672B8">
      <w:pPr>
        <w:keepNext/>
        <w:keepLines/>
        <w:spacing w:after="220"/>
        <w:ind w:left="-4" w:right="58"/>
        <w:rPr>
          <w:lang w:val="ru-RU"/>
        </w:rPr>
      </w:pPr>
      <w:r w:rsidRPr="0025504E">
        <w:rPr>
          <w:lang w:val="ru-RU"/>
        </w:rPr>
        <w:t xml:space="preserve">28. </w:t>
      </w:r>
      <w:r w:rsidRPr="0025504E">
        <w:rPr>
          <w:lang w:val="ru-RU"/>
        </w:rPr>
        <w:tab/>
      </w:r>
      <w:r w:rsidR="00344FAC" w:rsidRPr="00344FAC">
        <w:rPr>
          <w:lang w:val="ru-RU"/>
        </w:rPr>
        <w:t>При осуществлении инвестиций учитывается, соблюдает ли учреждение, в которое инвестируются средства, десять принципов Глобального договора Организации Объединенных Наций в области прав человека, трудовых норм, охраны окружающей среды и борьбы с коррупцией</w:t>
      </w:r>
      <w:r w:rsidRPr="00344FAC">
        <w:rPr>
          <w:lang w:val="ru-RU"/>
        </w:rPr>
        <w:t xml:space="preserve"> (</w:t>
      </w:r>
      <w:hyperlink r:id="rId11">
        <w:r>
          <w:rPr>
            <w:color w:val="0000FF"/>
            <w:u w:val="single" w:color="0000FF"/>
          </w:rPr>
          <w:t>www</w:t>
        </w:r>
        <w:r w:rsidRPr="00344FA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unglobalcompact</w:t>
        </w:r>
        <w:r w:rsidRPr="00344FA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org</w:t>
        </w:r>
      </w:hyperlink>
      <w:hyperlink r:id="rId12">
        <w:r w:rsidRPr="00344FAC">
          <w:rPr>
            <w:lang w:val="ru-RU"/>
          </w:rPr>
          <w:t>)</w:t>
        </w:r>
      </w:hyperlink>
      <w:r w:rsidRPr="00344FAC">
        <w:rPr>
          <w:lang w:val="ru-RU"/>
        </w:rPr>
        <w:t xml:space="preserve">.  </w:t>
      </w:r>
      <w:r w:rsidR="00344FAC" w:rsidRPr="00344FAC">
        <w:rPr>
          <w:lang w:val="ru-RU"/>
        </w:rPr>
        <w:t>Вся инвестиционная деятельность соответствует принципам, изложенным в политике ВОИС в области предотвращения и борьбы с коррупцией, мошенничеством, сговором, принуждением, отмыванием денег и финансированием терроризма</w:t>
      </w:r>
      <w:r w:rsidRPr="00344FAC">
        <w:rPr>
          <w:lang w:val="ru-RU"/>
        </w:rPr>
        <w:t xml:space="preserve">. </w:t>
      </w:r>
    </w:p>
    <w:p w:rsidR="00BD2450" w:rsidRPr="0025504E" w:rsidRDefault="00344FAC" w:rsidP="007672B8">
      <w:pPr>
        <w:pStyle w:val="BodyText"/>
        <w:rPr>
          <w:lang w:val="ru-RU"/>
        </w:rPr>
      </w:pPr>
      <w:r w:rsidRPr="00344FAC">
        <w:rPr>
          <w:lang w:val="ru-RU"/>
        </w:rPr>
        <w:t>ЗАИМСТВОВАН</w:t>
      </w:r>
      <w:r w:rsidR="007C1A31">
        <w:rPr>
          <w:lang w:val="ru-RU"/>
        </w:rPr>
        <w:t>ИЯ</w:t>
      </w:r>
      <w:r w:rsidR="007672B8" w:rsidRPr="0025504E">
        <w:rPr>
          <w:lang w:val="ru-RU"/>
        </w:rPr>
        <w:t xml:space="preserve">  </w:t>
      </w:r>
    </w:p>
    <w:p w:rsidR="00BD2450" w:rsidRPr="00344FAC" w:rsidRDefault="00BD2450" w:rsidP="007672B8">
      <w:pPr>
        <w:spacing w:after="220"/>
        <w:ind w:left="-4" w:right="58"/>
        <w:rPr>
          <w:lang w:val="ru-RU"/>
        </w:rPr>
      </w:pPr>
      <w:r w:rsidRPr="0025504E">
        <w:rPr>
          <w:lang w:val="ru-RU"/>
        </w:rPr>
        <w:t xml:space="preserve">29. </w:t>
      </w:r>
      <w:r w:rsidRPr="0025504E">
        <w:rPr>
          <w:lang w:val="ru-RU"/>
        </w:rPr>
        <w:tab/>
      </w:r>
      <w:r w:rsidR="00344FAC" w:rsidRPr="00344FAC">
        <w:rPr>
          <w:lang w:val="ru-RU"/>
        </w:rPr>
        <w:t>ВОИС не заимствует средства ни в каких учреждениях для левериджа инвестиций.  Внешние управляющие фондами также не заимствуют средства ни в каких учреждениях для левериджа инвестиций</w:t>
      </w:r>
      <w:r w:rsidRPr="00344FAC">
        <w:rPr>
          <w:lang w:val="ru-RU"/>
        </w:rPr>
        <w:t xml:space="preserve">. </w:t>
      </w:r>
    </w:p>
    <w:p w:rsidR="00BD2450" w:rsidRPr="00344FAC" w:rsidRDefault="00BD2450" w:rsidP="007672B8">
      <w:pPr>
        <w:spacing w:after="220"/>
        <w:ind w:left="1"/>
        <w:rPr>
          <w:b/>
          <w:lang w:val="ru-RU"/>
        </w:rPr>
      </w:pPr>
      <w:r w:rsidRPr="007672B8">
        <w:rPr>
          <w:b/>
        </w:rPr>
        <w:t>D</w:t>
      </w:r>
      <w:r w:rsidRPr="00344FAC">
        <w:rPr>
          <w:b/>
          <w:lang w:val="ru-RU"/>
        </w:rPr>
        <w:t>.</w:t>
      </w:r>
      <w:r w:rsidRPr="00344FAC">
        <w:rPr>
          <w:b/>
          <w:lang w:val="ru-RU"/>
        </w:rPr>
        <w:tab/>
      </w:r>
      <w:r w:rsidR="00344FAC" w:rsidRPr="00344FAC">
        <w:rPr>
          <w:b/>
          <w:lang w:val="ru-RU"/>
        </w:rPr>
        <w:t>ДОПУСТИМЫЕ КЛАССЫ АКТИВОВ</w:t>
      </w:r>
    </w:p>
    <w:p w:rsidR="00142D6B" w:rsidRPr="00142D6B" w:rsidRDefault="007672B8" w:rsidP="00142D6B">
      <w:pPr>
        <w:spacing w:after="220"/>
        <w:ind w:left="-4" w:right="58"/>
        <w:rPr>
          <w:lang w:val="ru-RU"/>
        </w:rPr>
      </w:pPr>
      <w:r w:rsidRPr="00344FAC">
        <w:rPr>
          <w:lang w:val="ru-RU"/>
        </w:rPr>
        <w:t>30.</w:t>
      </w:r>
      <w:r w:rsidR="00BD2450" w:rsidRPr="00344FAC">
        <w:rPr>
          <w:lang w:val="ru-RU"/>
        </w:rPr>
        <w:tab/>
      </w:r>
      <w:r w:rsidR="00344FAC" w:rsidRPr="00344FAC">
        <w:rPr>
          <w:lang w:val="ru-RU"/>
        </w:rPr>
        <w:t>Допустимые классы активов и их минимальные кредитные рейтинги указаны в нижеследующей таблице.  Активы любых таких классов могут быть выражены в иной валюте, чем швейцарский франк</w:t>
      </w:r>
      <w:r w:rsidR="00BD2450" w:rsidRPr="00344FAC">
        <w:rPr>
          <w:lang w:val="ru-RU"/>
        </w:rPr>
        <w:t>.</w:t>
      </w:r>
      <w:r w:rsidR="009D308F">
        <w:rPr>
          <w:lang w:val="ru-RU"/>
        </w:rPr>
        <w:t xml:space="preserve">  </w:t>
      </w:r>
      <w:r w:rsidR="00142D6B" w:rsidRPr="00142D6B">
        <w:rPr>
          <w:lang w:val="ru-RU"/>
        </w:rPr>
        <w:t>Операционные средства могут держаться в виде инвестиций, срок погашения которых не превышает двенадцати месяцев с даты их приобретения.  Инвестиции операционных средств в ценные бумаги какого-либо одного эмитента не должны превышать 5 процентов от общего объема активов.  Инвестиции основных средств в ценные бумаги какого-либо одного эмитента не должны превышать 5 процентов от общей суммы основных средств.  Инвестиции основных средств в суверенные облигации какой-либо одной страной с рейтингом не ниже AA не должны превышать 30 процентов от общего объема вложений основных средств.  В пределах ограничений, установленных ниже, вложения могут осуществляться в форме прямого инвестирования или через структуры коллективных инвестиций.</w:t>
      </w:r>
    </w:p>
    <w:p w:rsidR="009D308F" w:rsidRDefault="00142D6B" w:rsidP="00C3246C">
      <w:pPr>
        <w:keepNext/>
        <w:keepLines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4"/>
        <w:rPr>
          <w:i/>
          <w:lang w:val="ru-RU"/>
        </w:rPr>
      </w:pPr>
      <w:r>
        <w:rPr>
          <w:i/>
          <w:lang w:val="ru-RU"/>
        </w:rPr>
        <w:lastRenderedPageBreak/>
        <w:t>Четыре</w:t>
      </w:r>
      <w:r w:rsidRPr="00142D6B">
        <w:rPr>
          <w:i/>
          <w:lang w:val="ru-RU"/>
        </w:rPr>
        <w:t xml:space="preserve"> </w:t>
      </w:r>
      <w:r>
        <w:rPr>
          <w:i/>
          <w:lang w:val="ru-RU"/>
        </w:rPr>
        <w:t>фразы</w:t>
      </w:r>
      <w:r w:rsidRPr="00142D6B">
        <w:rPr>
          <w:i/>
          <w:lang w:val="ru-RU"/>
        </w:rPr>
        <w:t xml:space="preserve"> </w:t>
      </w:r>
      <w:r>
        <w:rPr>
          <w:i/>
          <w:lang w:val="ru-RU"/>
        </w:rPr>
        <w:t>со</w:t>
      </w:r>
      <w:r w:rsidRPr="00142D6B">
        <w:rPr>
          <w:i/>
          <w:lang w:val="ru-RU"/>
        </w:rPr>
        <w:t xml:space="preserve"> </w:t>
      </w:r>
      <w:r>
        <w:rPr>
          <w:i/>
          <w:lang w:val="ru-RU"/>
        </w:rPr>
        <w:t>слов</w:t>
      </w:r>
      <w:r w:rsidRPr="00142D6B">
        <w:rPr>
          <w:i/>
          <w:lang w:val="ru-RU"/>
        </w:rPr>
        <w:t xml:space="preserve"> «Операционные средства могут держаться…» </w:t>
      </w:r>
      <w:r>
        <w:rPr>
          <w:i/>
          <w:lang w:val="ru-RU"/>
        </w:rPr>
        <w:t>до</w:t>
      </w:r>
      <w:r w:rsidRPr="00142D6B">
        <w:rPr>
          <w:i/>
          <w:lang w:val="ru-RU"/>
        </w:rPr>
        <w:t xml:space="preserve"> </w:t>
      </w:r>
      <w:r>
        <w:rPr>
          <w:i/>
          <w:lang w:val="ru-RU"/>
        </w:rPr>
        <w:t>оборота</w:t>
      </w:r>
      <w:r w:rsidRPr="00142D6B">
        <w:rPr>
          <w:i/>
          <w:lang w:val="ru-RU"/>
        </w:rPr>
        <w:t xml:space="preserve"> «…не должны превышать 30 процентов от общего объема вложений основных средств» </w:t>
      </w:r>
      <w:r>
        <w:rPr>
          <w:i/>
          <w:lang w:val="ru-RU"/>
        </w:rPr>
        <w:t xml:space="preserve">включены дополнительно для того, чтобы ограничить </w:t>
      </w:r>
      <w:r w:rsidR="00CC1036">
        <w:rPr>
          <w:i/>
          <w:lang w:val="ru-RU"/>
        </w:rPr>
        <w:t>размеры потенциальных убытков в связи с отдельным эмитентом и тем самым повысить степень диверсификации и понизить уровень риска.  В рамках утвержденной политики конкретные лимиты н</w:t>
      </w:r>
      <w:r w:rsidR="009D308F">
        <w:rPr>
          <w:i/>
          <w:lang w:val="ru-RU"/>
        </w:rPr>
        <w:t>е</w:t>
      </w:r>
      <w:r w:rsidR="00CC1036">
        <w:rPr>
          <w:i/>
          <w:lang w:val="ru-RU"/>
        </w:rPr>
        <w:t xml:space="preserve"> оговариваются.</w:t>
      </w:r>
    </w:p>
    <w:p w:rsidR="00142D6B" w:rsidRPr="00142D6B" w:rsidRDefault="00CC1036" w:rsidP="00C3246C">
      <w:pPr>
        <w:keepNext/>
        <w:keepLines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4"/>
        <w:rPr>
          <w:i/>
          <w:lang w:val="ru-RU"/>
        </w:rPr>
      </w:pPr>
      <w:r>
        <w:rPr>
          <w:i/>
          <w:lang w:val="ru-RU"/>
        </w:rPr>
        <w:t xml:space="preserve"> </w:t>
      </w:r>
      <w:r w:rsidR="00142D6B">
        <w:rPr>
          <w:i/>
          <w:lang w:val="ru-RU"/>
        </w:rPr>
        <w:t xml:space="preserve"> </w:t>
      </w:r>
    </w:p>
    <w:p w:rsidR="00CC1036" w:rsidRDefault="00CC1036" w:rsidP="00C3246C">
      <w:pPr>
        <w:keepNext/>
        <w:keepLines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4"/>
        <w:rPr>
          <w:i/>
          <w:lang w:val="ru-RU"/>
        </w:rPr>
      </w:pPr>
      <w:r>
        <w:rPr>
          <w:i/>
          <w:lang w:val="ru-RU"/>
        </w:rPr>
        <w:t xml:space="preserve">Последняя фраза добавлена в целях уточнения того, что </w:t>
      </w:r>
      <w:r w:rsidR="004816B4">
        <w:rPr>
          <w:i/>
          <w:lang w:val="ru-RU"/>
        </w:rPr>
        <w:t xml:space="preserve">вместо </w:t>
      </w:r>
      <w:r>
        <w:rPr>
          <w:i/>
          <w:lang w:val="ru-RU"/>
        </w:rPr>
        <w:t xml:space="preserve">прямого владения индивидуальными инвестициями разрешено использовать структуры коллективных инвестиций, которые позволяют повысить степень </w:t>
      </w:r>
      <w:r w:rsidRPr="00CC1036">
        <w:rPr>
          <w:i/>
          <w:lang w:val="ru-RU"/>
        </w:rPr>
        <w:t>диверсификации и понизить уровень риска</w:t>
      </w:r>
      <w:r>
        <w:rPr>
          <w:i/>
          <w:lang w:val="ru-RU"/>
        </w:rPr>
        <w:t xml:space="preserve"> и затрат.  Вместе с тем, на </w:t>
      </w:r>
      <w:r w:rsidRPr="00CC1036">
        <w:rPr>
          <w:i/>
          <w:lang w:val="ru-RU"/>
        </w:rPr>
        <w:t>структуры коллективных инвестиций</w:t>
      </w:r>
      <w:r>
        <w:rPr>
          <w:i/>
          <w:lang w:val="ru-RU"/>
        </w:rPr>
        <w:t xml:space="preserve"> будут распространяться ограничения, изложенные в приводимой ниже таблице. </w:t>
      </w:r>
    </w:p>
    <w:p w:rsidR="003E49F7" w:rsidRPr="00046F2E" w:rsidRDefault="003E49F7" w:rsidP="00C3246C">
      <w:pPr>
        <w:keepNext/>
        <w:keepLines/>
        <w:ind w:right="624"/>
        <w:rPr>
          <w:i/>
          <w:lang w:val="ru-RU"/>
        </w:rPr>
      </w:pPr>
    </w:p>
    <w:p w:rsidR="00BF3FDD" w:rsidRPr="0025504E" w:rsidRDefault="00BF3FDD" w:rsidP="00BD2450">
      <w:pPr>
        <w:rPr>
          <w:lang w:val="ru-RU"/>
        </w:rPr>
      </w:pPr>
    </w:p>
    <w:p w:rsidR="003E49F7" w:rsidRPr="0025504E" w:rsidRDefault="003E49F7" w:rsidP="00BD2450">
      <w:pPr>
        <w:rPr>
          <w:lang w:val="ru-RU"/>
        </w:rPr>
      </w:pPr>
    </w:p>
    <w:tbl>
      <w:tblPr>
        <w:tblW w:w="9640" w:type="dxa"/>
        <w:tblInd w:w="-17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8"/>
        <w:gridCol w:w="1842"/>
        <w:gridCol w:w="142"/>
        <w:gridCol w:w="2126"/>
        <w:gridCol w:w="2552"/>
      </w:tblGrid>
      <w:tr w:rsidR="00F463F6" w:rsidRPr="0021282B" w:rsidTr="00D22163">
        <w:trPr>
          <w:trHeight w:val="379"/>
          <w:tblHeader/>
        </w:trPr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3F6" w:rsidRPr="0025504E" w:rsidRDefault="00F463F6" w:rsidP="003F1B3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A" w:rsidRPr="003F1B3C" w:rsidRDefault="00CC1036" w:rsidP="00CC1036">
            <w:pPr>
              <w:jc w:val="center"/>
              <w:rPr>
                <w:b/>
                <w:sz w:val="18"/>
                <w:szCs w:val="18"/>
              </w:rPr>
            </w:pPr>
            <w:r w:rsidRPr="00CC1036">
              <w:rPr>
                <w:b/>
                <w:sz w:val="18"/>
                <w:szCs w:val="18"/>
                <w:lang w:val="ru-RU"/>
              </w:rPr>
              <w:t>Минимальны</w:t>
            </w:r>
            <w:r>
              <w:rPr>
                <w:b/>
                <w:sz w:val="18"/>
                <w:szCs w:val="18"/>
                <w:lang w:val="ru-RU"/>
              </w:rPr>
              <w:t>й</w:t>
            </w:r>
            <w:r w:rsidRPr="00CC1036">
              <w:rPr>
                <w:b/>
                <w:sz w:val="18"/>
                <w:szCs w:val="18"/>
                <w:lang w:val="ru-RU"/>
              </w:rPr>
              <w:t xml:space="preserve"> кредитны</w:t>
            </w:r>
            <w:r>
              <w:rPr>
                <w:b/>
                <w:sz w:val="18"/>
                <w:szCs w:val="18"/>
                <w:lang w:val="ru-RU"/>
              </w:rPr>
              <w:t>й</w:t>
            </w:r>
            <w:r w:rsidRPr="00CC1036">
              <w:rPr>
                <w:b/>
                <w:sz w:val="18"/>
                <w:szCs w:val="18"/>
                <w:lang w:val="ru-RU"/>
              </w:rPr>
              <w:t xml:space="preserve"> рейтинг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3F6" w:rsidRPr="00353C4C" w:rsidRDefault="00F463F6" w:rsidP="003F1B3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F463F6" w:rsidRPr="0021282B" w:rsidTr="00D22163">
        <w:trPr>
          <w:trHeight w:val="207"/>
          <w:tblHeader/>
        </w:trPr>
        <w:tc>
          <w:tcPr>
            <w:tcW w:w="29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F6" w:rsidRPr="0021282B" w:rsidRDefault="00F463F6" w:rsidP="00BD245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463F6" w:rsidRPr="0021282B" w:rsidRDefault="00CC1036" w:rsidP="00B02798">
            <w:pPr>
              <w:jc w:val="center"/>
              <w:rPr>
                <w:sz w:val="18"/>
                <w:szCs w:val="18"/>
              </w:rPr>
            </w:pPr>
            <w:r w:rsidRPr="00CC1036">
              <w:rPr>
                <w:sz w:val="18"/>
                <w:szCs w:val="18"/>
                <w:lang w:val="ru-RU"/>
              </w:rPr>
              <w:t>Краткосрочны</w:t>
            </w:r>
            <w:r w:rsidR="00B02798">
              <w:rPr>
                <w:sz w:val="18"/>
                <w:szCs w:val="18"/>
                <w:lang w:val="ru-RU"/>
              </w:rPr>
              <w:t>й</w:t>
            </w:r>
            <w:r w:rsidRPr="00CC1036">
              <w:rPr>
                <w:sz w:val="18"/>
                <w:szCs w:val="18"/>
                <w:lang w:val="ru-RU"/>
              </w:rPr>
              <w:t xml:space="preserve"> </w:t>
            </w:r>
            <w:r w:rsidRPr="00CC1036">
              <w:rPr>
                <w:sz w:val="18"/>
                <w:szCs w:val="18"/>
                <w:lang w:val="ru-RU"/>
              </w:rPr>
              <w:br/>
              <w:t>(до одного года</w:t>
            </w:r>
            <w:r w:rsidR="00B02798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F6" w:rsidRPr="00B02798" w:rsidRDefault="00B02798" w:rsidP="00B02798">
            <w:pPr>
              <w:jc w:val="center"/>
              <w:rPr>
                <w:sz w:val="18"/>
                <w:szCs w:val="18"/>
                <w:lang w:val="ru-RU"/>
              </w:rPr>
            </w:pPr>
            <w:r w:rsidRPr="00B02798">
              <w:rPr>
                <w:sz w:val="18"/>
                <w:szCs w:val="18"/>
                <w:lang w:val="ru-RU"/>
              </w:rPr>
              <w:t>Долгосрочны</w:t>
            </w:r>
            <w:r>
              <w:rPr>
                <w:sz w:val="18"/>
                <w:szCs w:val="18"/>
                <w:lang w:val="ru-RU"/>
              </w:rPr>
              <w:t>й</w:t>
            </w:r>
            <w:r w:rsidRPr="00B02798">
              <w:rPr>
                <w:sz w:val="18"/>
                <w:szCs w:val="18"/>
                <w:lang w:val="ru-RU"/>
              </w:rPr>
              <w:br/>
              <w:t>(</w:t>
            </w:r>
            <w:r>
              <w:rPr>
                <w:sz w:val="18"/>
                <w:szCs w:val="18"/>
                <w:lang w:val="ru-RU"/>
              </w:rPr>
              <w:t xml:space="preserve">от года и </w:t>
            </w:r>
            <w:r w:rsidRPr="00B02798">
              <w:rPr>
                <w:sz w:val="18"/>
                <w:szCs w:val="18"/>
                <w:lang w:val="ru-RU"/>
              </w:rPr>
              <w:t>более)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F6" w:rsidRPr="00B02798" w:rsidRDefault="00B02798" w:rsidP="00E67B39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Разъяснение изменений</w:t>
            </w:r>
          </w:p>
        </w:tc>
      </w:tr>
      <w:tr w:rsidR="002A6538" w:rsidRPr="0021282B" w:rsidTr="00D22163">
        <w:trPr>
          <w:trHeight w:val="2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538" w:rsidRPr="00016956" w:rsidRDefault="00B02798" w:rsidP="00BD2450">
            <w:pPr>
              <w:rPr>
                <w:sz w:val="18"/>
                <w:szCs w:val="18"/>
              </w:rPr>
            </w:pPr>
            <w:r w:rsidRPr="00B02798">
              <w:rPr>
                <w:b/>
                <w:sz w:val="18"/>
                <w:szCs w:val="18"/>
              </w:rPr>
              <w:t>Наличные или эквивалентные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38" w:rsidRPr="003F1B3C" w:rsidRDefault="002A6538" w:rsidP="00BD2450">
            <w:pPr>
              <w:rPr>
                <w:i/>
                <w:sz w:val="18"/>
                <w:szCs w:val="18"/>
              </w:rPr>
            </w:pPr>
          </w:p>
        </w:tc>
      </w:tr>
      <w:tr w:rsidR="00E47735" w:rsidRPr="00E5189C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B02798" w:rsidRDefault="00B02798" w:rsidP="00BD2450">
            <w:pPr>
              <w:rPr>
                <w:sz w:val="18"/>
                <w:szCs w:val="18"/>
                <w:lang w:val="ru-RU"/>
              </w:rPr>
            </w:pPr>
            <w:r w:rsidRPr="00B02798">
              <w:rPr>
                <w:sz w:val="18"/>
                <w:szCs w:val="18"/>
                <w:lang w:val="ru-RU"/>
              </w:rPr>
              <w:t>Счета до востребования, сберегательные или депозитные счета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A-2/P-2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50" w:rsidRPr="0021282B" w:rsidRDefault="00B02798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A/A2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7E212B" w:rsidRDefault="00B02798" w:rsidP="007E212B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И</w:t>
            </w:r>
            <w:r w:rsidRPr="00B02798">
              <w:rPr>
                <w:i/>
                <w:sz w:val="18"/>
                <w:szCs w:val="18"/>
                <w:lang w:val="ru-RU"/>
              </w:rPr>
              <w:t>нвестици</w:t>
            </w:r>
            <w:r>
              <w:rPr>
                <w:i/>
                <w:sz w:val="18"/>
                <w:szCs w:val="18"/>
                <w:lang w:val="ru-RU"/>
              </w:rPr>
              <w:t xml:space="preserve">и такого рода </w:t>
            </w:r>
            <w:r w:rsidRPr="00B02798">
              <w:rPr>
                <w:i/>
                <w:sz w:val="18"/>
                <w:szCs w:val="18"/>
                <w:lang w:val="ru-RU"/>
              </w:rPr>
              <w:t xml:space="preserve"> буд</w:t>
            </w:r>
            <w:r>
              <w:rPr>
                <w:i/>
                <w:sz w:val="18"/>
                <w:szCs w:val="18"/>
                <w:lang w:val="ru-RU"/>
              </w:rPr>
              <w:t>у</w:t>
            </w:r>
            <w:r w:rsidRPr="00B02798">
              <w:rPr>
                <w:i/>
                <w:sz w:val="18"/>
                <w:szCs w:val="18"/>
                <w:lang w:val="ru-RU"/>
              </w:rPr>
              <w:t xml:space="preserve">т использоваться </w:t>
            </w:r>
            <w:r>
              <w:rPr>
                <w:i/>
                <w:sz w:val="18"/>
                <w:szCs w:val="18"/>
                <w:lang w:val="ru-RU"/>
              </w:rPr>
              <w:t>главным образом в случае</w:t>
            </w:r>
            <w:r w:rsidRPr="00B02798">
              <w:rPr>
                <w:i/>
                <w:sz w:val="18"/>
                <w:szCs w:val="18"/>
                <w:lang w:val="ru-RU"/>
              </w:rPr>
              <w:t xml:space="preserve"> операционн</w:t>
            </w:r>
            <w:r>
              <w:rPr>
                <w:i/>
                <w:sz w:val="18"/>
                <w:szCs w:val="18"/>
                <w:lang w:val="ru-RU"/>
              </w:rPr>
              <w:t>ых средств</w:t>
            </w:r>
            <w:r w:rsidR="007E212B">
              <w:rPr>
                <w:i/>
                <w:sz w:val="18"/>
                <w:szCs w:val="18"/>
                <w:lang w:val="ru-RU"/>
              </w:rPr>
              <w:t xml:space="preserve">.  С учетом </w:t>
            </w:r>
            <w:r w:rsidR="007E212B" w:rsidRPr="00B02798">
              <w:rPr>
                <w:i/>
                <w:sz w:val="18"/>
                <w:szCs w:val="18"/>
                <w:lang w:val="ru-RU"/>
              </w:rPr>
              <w:t>профил</w:t>
            </w:r>
            <w:r w:rsidR="007E212B">
              <w:rPr>
                <w:i/>
                <w:sz w:val="18"/>
                <w:szCs w:val="18"/>
                <w:lang w:val="ru-RU"/>
              </w:rPr>
              <w:t>я</w:t>
            </w:r>
            <w:r w:rsidR="007E212B" w:rsidRPr="00B02798">
              <w:rPr>
                <w:i/>
                <w:sz w:val="18"/>
                <w:szCs w:val="18"/>
                <w:lang w:val="ru-RU"/>
              </w:rPr>
              <w:t xml:space="preserve"> риска ВОИС для этого</w:t>
            </w:r>
            <w:r w:rsidR="007E212B">
              <w:rPr>
                <w:i/>
                <w:sz w:val="18"/>
                <w:szCs w:val="18"/>
                <w:lang w:val="ru-RU"/>
              </w:rPr>
              <w:t xml:space="preserve"> кассового ресурса консультанты ВОИС по вопросам инвестиций </w:t>
            </w:r>
            <w:r w:rsidRPr="00B02798">
              <w:rPr>
                <w:i/>
                <w:sz w:val="18"/>
                <w:szCs w:val="18"/>
                <w:lang w:val="ru-RU"/>
              </w:rPr>
              <w:t>рекомендуют</w:t>
            </w:r>
            <w:r w:rsidR="007E212B">
              <w:rPr>
                <w:i/>
                <w:sz w:val="18"/>
                <w:szCs w:val="18"/>
                <w:lang w:val="ru-RU"/>
              </w:rPr>
              <w:t xml:space="preserve"> соответствующий </w:t>
            </w:r>
            <w:r w:rsidRPr="00B02798">
              <w:rPr>
                <w:i/>
                <w:sz w:val="18"/>
                <w:szCs w:val="18"/>
                <w:lang w:val="ru-RU"/>
              </w:rPr>
              <w:t xml:space="preserve"> более высокий кредитный рейтинг</w:t>
            </w:r>
            <w:r w:rsidR="00BD2450" w:rsidRPr="007E212B">
              <w:rPr>
                <w:i/>
                <w:sz w:val="18"/>
                <w:szCs w:val="18"/>
                <w:lang w:val="ru-RU"/>
              </w:rPr>
              <w:t>.</w:t>
            </w:r>
          </w:p>
        </w:tc>
      </w:tr>
      <w:tr w:rsidR="00E47735" w:rsidRPr="0021282B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02798" w:rsidP="00BD2450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Депозитные сертификаты/срочные депозиты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E47735" w:rsidRPr="0021282B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02798" w:rsidP="00BD2450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Структурированные депозиты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E47735" w:rsidRPr="0021282B" w:rsidTr="00D2216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02798" w:rsidP="00BD2450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Многовалютные депозиты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BD2450" w:rsidRPr="0021282B" w:rsidTr="00D22163"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016956" w:rsidRDefault="007E212B" w:rsidP="00353C4C">
            <w:pPr>
              <w:keepNext/>
              <w:keepLines/>
              <w:rPr>
                <w:sz w:val="18"/>
                <w:szCs w:val="18"/>
              </w:rPr>
            </w:pPr>
            <w:r w:rsidRPr="007E212B">
              <w:rPr>
                <w:b/>
                <w:sz w:val="18"/>
                <w:szCs w:val="18"/>
                <w:lang w:val="ru-RU"/>
              </w:rPr>
              <w:t>Инвестиции на денежном рынке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F43F81" w:rsidRPr="0021282B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7E212B" w:rsidP="00353C4C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7E212B">
              <w:rPr>
                <w:sz w:val="18"/>
                <w:szCs w:val="18"/>
                <w:lang w:val="ru-RU"/>
              </w:rPr>
              <w:t>оммерческие ценные бумаги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BBB-/Baa3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F43F81" w:rsidRPr="00E5189C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7E212B" w:rsidRDefault="007E212B" w:rsidP="007E212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7E212B">
              <w:rPr>
                <w:sz w:val="18"/>
                <w:szCs w:val="18"/>
                <w:lang w:val="ru-RU"/>
              </w:rPr>
              <w:t>оглашения репо/соглашения обратного репо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A-2/P-2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50" w:rsidRPr="007E212B" w:rsidRDefault="007E212B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A/A2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7E212B" w:rsidRDefault="007E212B" w:rsidP="00F879B6">
            <w:pPr>
              <w:rPr>
                <w:i/>
                <w:sz w:val="18"/>
                <w:szCs w:val="18"/>
                <w:lang w:val="ru-RU"/>
              </w:rPr>
            </w:pPr>
            <w:r w:rsidRPr="007E212B">
              <w:rPr>
                <w:i/>
                <w:sz w:val="18"/>
                <w:szCs w:val="18"/>
                <w:lang w:val="ru-RU"/>
              </w:rPr>
              <w:t>Инвестиции такого рода  будут использоваться главным образом в случае операционных средств.  С учетом профиля риска ВОИС для этого кассового ресурса консультанты ВОИС по вопросам инвестиций рекомендуют соответствующий  более высокий кредитный рейтинг.</w:t>
            </w:r>
          </w:p>
        </w:tc>
      </w:tr>
      <w:tr w:rsidR="00242B0A" w:rsidRPr="0021282B" w:rsidTr="00D2216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7E212B" w:rsidP="00BD2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7E212B">
              <w:rPr>
                <w:sz w:val="18"/>
                <w:szCs w:val="18"/>
                <w:lang w:val="ru-RU"/>
              </w:rPr>
              <w:t>анковские акцепты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3F1B3C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BD2450" w:rsidRPr="00B54066" w:rsidTr="00D22163"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BF687A" w:rsidRDefault="00433AFA" w:rsidP="00C3246C">
            <w:pPr>
              <w:keepNext/>
              <w:keepLines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lastRenderedPageBreak/>
              <w:t>Долговые обязательства</w:t>
            </w:r>
            <w:r w:rsidR="00BF687A" w:rsidRPr="00BF687A">
              <w:rPr>
                <w:b/>
                <w:sz w:val="18"/>
                <w:szCs w:val="18"/>
                <w:lang w:val="ru-RU"/>
              </w:rPr>
              <w:t xml:space="preserve">, векселя или другие облигации и </w:t>
            </w:r>
            <w:r w:rsidR="00AA4BDA">
              <w:rPr>
                <w:b/>
                <w:sz w:val="18"/>
                <w:szCs w:val="18"/>
                <w:lang w:val="ru-RU"/>
              </w:rPr>
              <w:t xml:space="preserve">другие </w:t>
            </w:r>
            <w:r w:rsidR="00BF687A" w:rsidRPr="00BF687A">
              <w:rPr>
                <w:b/>
                <w:sz w:val="18"/>
                <w:szCs w:val="18"/>
                <w:lang w:val="ru-RU"/>
              </w:rPr>
              <w:t>продукты с фиксированным доходом</w:t>
            </w:r>
            <w:r w:rsidR="00BF687A">
              <w:rPr>
                <w:b/>
                <w:sz w:val="18"/>
                <w:szCs w:val="18"/>
                <w:lang w:val="ru-RU"/>
              </w:rPr>
              <w:t>, покупку которых производит непосредственно ВОИС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50" w:rsidRPr="00BF687A" w:rsidRDefault="00BD2450" w:rsidP="00C3246C">
            <w:pPr>
              <w:keepNext/>
              <w:keepLines/>
              <w:rPr>
                <w:i/>
                <w:sz w:val="18"/>
                <w:szCs w:val="18"/>
                <w:lang w:val="ru-RU"/>
              </w:rPr>
            </w:pPr>
          </w:p>
        </w:tc>
      </w:tr>
      <w:tr w:rsidR="00D22163" w:rsidRPr="00B54066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BF687A" w:rsidP="00C3246C">
            <w:pPr>
              <w:keepNext/>
              <w:keepLines/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63" w:rsidRPr="00D22163" w:rsidRDefault="00BF687A" w:rsidP="00C3246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63" w:rsidRPr="00D22163" w:rsidRDefault="00A35A06" w:rsidP="00C3246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BF687A">
              <w:rPr>
                <w:sz w:val="18"/>
                <w:szCs w:val="18"/>
              </w:rPr>
              <w:t>BBB-</w:t>
            </w:r>
            <w:r>
              <w:rPr>
                <w:sz w:val="18"/>
                <w:szCs w:val="18"/>
                <w:lang w:val="ru-RU"/>
              </w:rPr>
              <w:t>/</w:t>
            </w:r>
            <w:r w:rsidR="00BF687A">
              <w:rPr>
                <w:sz w:val="18"/>
                <w:szCs w:val="18"/>
              </w:rPr>
              <w:t>Baa3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8136A1" w:rsidRDefault="00BF687A" w:rsidP="00C3246C">
            <w:pPr>
              <w:keepNext/>
              <w:keepLines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Ввиду</w:t>
            </w:r>
            <w:r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о</w:t>
            </w:r>
            <w:r>
              <w:rPr>
                <w:i/>
                <w:sz w:val="18"/>
                <w:szCs w:val="18"/>
                <w:lang w:val="ru-RU"/>
              </w:rPr>
              <w:t>граниченн</w:t>
            </w:r>
            <w:r w:rsidR="00591633">
              <w:rPr>
                <w:i/>
                <w:sz w:val="18"/>
                <w:szCs w:val="18"/>
                <w:lang w:val="ru-RU"/>
              </w:rPr>
              <w:t>ых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возможностей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при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существующем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состоянии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рынка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, </w:t>
            </w:r>
            <w:r w:rsidR="00591633">
              <w:rPr>
                <w:i/>
                <w:sz w:val="18"/>
                <w:szCs w:val="18"/>
                <w:lang w:val="ru-RU"/>
              </w:rPr>
              <w:t>по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мнению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консультант</w:t>
            </w:r>
            <w:r w:rsidR="00591633">
              <w:rPr>
                <w:i/>
                <w:sz w:val="18"/>
                <w:szCs w:val="18"/>
                <w:lang w:val="ru-RU"/>
              </w:rPr>
              <w:t>ов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ВОИС</w:t>
            </w:r>
            <w:r w:rsidR="008136A1">
              <w:rPr>
                <w:i/>
                <w:sz w:val="18"/>
                <w:szCs w:val="18"/>
                <w:lang w:val="ru-RU"/>
              </w:rPr>
              <w:t xml:space="preserve"> по вопросам инвестиций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, </w:t>
            </w:r>
            <w:r w:rsidR="00591633">
              <w:rPr>
                <w:i/>
                <w:sz w:val="18"/>
                <w:szCs w:val="18"/>
                <w:lang w:val="ru-RU"/>
              </w:rPr>
              <w:t>важно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диверсифицировать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структуру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инвестиций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с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включением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всех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продуктов инвестиционного класса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с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фиксированным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 </w:t>
            </w:r>
            <w:r w:rsidR="00591633">
              <w:rPr>
                <w:i/>
                <w:sz w:val="18"/>
                <w:szCs w:val="18"/>
                <w:lang w:val="ru-RU"/>
              </w:rPr>
              <w:t>доходом</w:t>
            </w:r>
            <w:r w:rsidR="00591633" w:rsidRPr="00591633">
              <w:rPr>
                <w:i/>
                <w:sz w:val="18"/>
                <w:szCs w:val="18"/>
                <w:lang w:val="ru-RU"/>
              </w:rPr>
              <w:t xml:space="preserve">.  </w:t>
            </w:r>
          </w:p>
        </w:tc>
      </w:tr>
      <w:tr w:rsidR="00D22163" w:rsidRPr="00B54066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BF687A" w:rsidRDefault="00BF687A" w:rsidP="00BD2450">
            <w:pPr>
              <w:rPr>
                <w:sz w:val="18"/>
                <w:szCs w:val="18"/>
                <w:lang w:val="ru-RU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</w:t>
            </w:r>
            <w:r w:rsidRPr="0025504E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субнациональных</w:t>
            </w:r>
            <w:r w:rsidRPr="0025504E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органов: облигации региональных, муниципальных или территориальных органов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BF687A" w:rsidRDefault="00D22163" w:rsidP="00BD24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BF687A" w:rsidRDefault="00D22163" w:rsidP="00BD24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BF687A" w:rsidRDefault="00D22163" w:rsidP="00BD2450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D22163" w:rsidRPr="0021282B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BF687A" w:rsidP="00BD2450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D22163" w:rsidP="00BD24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D22163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3F1B3C" w:rsidRDefault="00D22163" w:rsidP="00BD2450">
            <w:pPr>
              <w:rPr>
                <w:i/>
                <w:sz w:val="18"/>
                <w:szCs w:val="18"/>
              </w:rPr>
            </w:pPr>
          </w:p>
        </w:tc>
      </w:tr>
      <w:tr w:rsidR="00D22163" w:rsidRPr="0021282B" w:rsidTr="00D22163">
        <w:trPr>
          <w:trHeight w:val="373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BF687A" w:rsidP="00BD2450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Частное размещение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D22163" w:rsidP="00BD24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D22163" w:rsidP="00BD24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3F1B3C" w:rsidRDefault="00D22163" w:rsidP="00BD2450">
            <w:pPr>
              <w:rPr>
                <w:i/>
                <w:sz w:val="18"/>
                <w:szCs w:val="18"/>
              </w:rPr>
            </w:pPr>
          </w:p>
        </w:tc>
      </w:tr>
      <w:tr w:rsidR="00D22163" w:rsidRPr="0021282B" w:rsidTr="00D22163">
        <w:trPr>
          <w:trHeight w:val="61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21282B" w:rsidRDefault="00A349D4" w:rsidP="00BD2450">
            <w:pPr>
              <w:rPr>
                <w:sz w:val="18"/>
                <w:szCs w:val="18"/>
              </w:rPr>
            </w:pPr>
            <w:r w:rsidRPr="00A349D4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63" w:rsidRPr="0021282B" w:rsidRDefault="00D22163" w:rsidP="00E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63" w:rsidRPr="0021282B" w:rsidRDefault="00E21FD5" w:rsidP="00351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BBB-/Baa3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3F1B3C" w:rsidRDefault="00D22163" w:rsidP="00BD2450">
            <w:pPr>
              <w:rPr>
                <w:i/>
                <w:sz w:val="18"/>
                <w:szCs w:val="18"/>
              </w:rPr>
            </w:pPr>
          </w:p>
        </w:tc>
      </w:tr>
      <w:tr w:rsidR="00D22163" w:rsidRPr="00B54066" w:rsidTr="00D22163"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A349D4" w:rsidDel="002C612A" w:rsidRDefault="00142546" w:rsidP="00142546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Долговые обязательства</w:t>
            </w:r>
            <w:r w:rsidR="00A349D4" w:rsidRPr="00A349D4">
              <w:rPr>
                <w:b/>
                <w:sz w:val="18"/>
                <w:szCs w:val="18"/>
                <w:lang w:val="ru-RU"/>
              </w:rPr>
              <w:t xml:space="preserve">, векселя или другие облигации и </w:t>
            </w:r>
            <w:r w:rsidR="00A35A06">
              <w:rPr>
                <w:b/>
                <w:sz w:val="18"/>
                <w:szCs w:val="18"/>
                <w:lang w:val="ru-RU"/>
              </w:rPr>
              <w:t xml:space="preserve">другие </w:t>
            </w:r>
            <w:r w:rsidR="00A349D4" w:rsidRPr="00A349D4">
              <w:rPr>
                <w:b/>
                <w:sz w:val="18"/>
                <w:szCs w:val="18"/>
                <w:lang w:val="ru-RU"/>
              </w:rPr>
              <w:t>продукты с фиксированным доходом, приобретаемые при вложении средств в обращающиеся на рынке ценные бумаги объединенных инвестиционных фондов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63" w:rsidRPr="00A349D4" w:rsidRDefault="00D22163" w:rsidP="00BD2450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A349D4" w:rsidRPr="00E5189C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21282B" w:rsidRDefault="00A349D4" w:rsidP="007B115A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8136A1" w:rsidRDefault="008136A1" w:rsidP="008136A1">
            <w:pPr>
              <w:rPr>
                <w:sz w:val="18"/>
                <w:szCs w:val="18"/>
                <w:lang w:val="ru-RU"/>
              </w:rPr>
            </w:pPr>
            <w:r w:rsidRPr="008136A1">
              <w:rPr>
                <w:sz w:val="18"/>
                <w:szCs w:val="18"/>
                <w:lang w:val="ru-RU"/>
              </w:rPr>
              <w:t>Не менее 65% авуаров инвестиционного класса (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 xml:space="preserve"> -</w:t>
            </w:r>
            <w:r w:rsidRPr="008136A1">
              <w:rPr>
                <w:sz w:val="18"/>
                <w:szCs w:val="18"/>
              </w:rPr>
              <w:t>BBB</w:t>
            </w:r>
            <w:r w:rsidRPr="008136A1">
              <w:rPr>
                <w:sz w:val="18"/>
                <w:szCs w:val="18"/>
                <w:lang w:val="ru-RU"/>
              </w:rPr>
              <w:t>-/</w:t>
            </w:r>
            <w:r w:rsidRPr="008136A1">
              <w:rPr>
                <w:sz w:val="18"/>
                <w:szCs w:val="18"/>
              </w:rPr>
              <w:t>Baa</w:t>
            </w:r>
            <w:r w:rsidRPr="008136A1">
              <w:rPr>
                <w:sz w:val="18"/>
                <w:szCs w:val="18"/>
                <w:lang w:val="ru-RU"/>
              </w:rPr>
              <w:t xml:space="preserve">3), остальная часть средств в размере до 35% может вкладываться в высокодоходные облигации классов от </w:t>
            </w:r>
            <w:r w:rsidRPr="008136A1">
              <w:rPr>
                <w:sz w:val="18"/>
                <w:szCs w:val="18"/>
              </w:rPr>
              <w:t>BB</w:t>
            </w:r>
            <w:r w:rsidRPr="008136A1">
              <w:rPr>
                <w:sz w:val="18"/>
                <w:szCs w:val="18"/>
                <w:lang w:val="ru-RU"/>
              </w:rPr>
              <w:t>+/</w:t>
            </w:r>
            <w:r w:rsidRPr="008136A1">
              <w:rPr>
                <w:sz w:val="18"/>
                <w:szCs w:val="18"/>
              </w:rPr>
              <w:t>Ba</w:t>
            </w:r>
            <w:r w:rsidRPr="008136A1">
              <w:rPr>
                <w:sz w:val="18"/>
                <w:szCs w:val="18"/>
                <w:lang w:val="ru-RU"/>
              </w:rPr>
              <w:t xml:space="preserve">1 до </w:t>
            </w:r>
            <w:r w:rsidRPr="008136A1">
              <w:rPr>
                <w:sz w:val="18"/>
                <w:szCs w:val="18"/>
              </w:rPr>
              <w:t>C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Ca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8136A1" w:rsidDel="002C612A" w:rsidRDefault="008136A1" w:rsidP="00E67B39">
            <w:pPr>
              <w:rPr>
                <w:sz w:val="18"/>
                <w:szCs w:val="18"/>
                <w:lang w:val="ru-RU"/>
              </w:rPr>
            </w:pPr>
            <w:r w:rsidRPr="008136A1">
              <w:rPr>
                <w:sz w:val="18"/>
                <w:szCs w:val="18"/>
                <w:lang w:val="ru-RU"/>
              </w:rPr>
              <w:t>Не менее 65% авуаров инвестиционного класса (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 xml:space="preserve"> -</w:t>
            </w:r>
            <w:r w:rsidRPr="008136A1">
              <w:rPr>
                <w:sz w:val="18"/>
                <w:szCs w:val="18"/>
              </w:rPr>
              <w:t>BBB</w:t>
            </w:r>
            <w:r w:rsidRPr="008136A1">
              <w:rPr>
                <w:sz w:val="18"/>
                <w:szCs w:val="18"/>
                <w:lang w:val="ru-RU"/>
              </w:rPr>
              <w:t>-/</w:t>
            </w:r>
            <w:r w:rsidRPr="008136A1">
              <w:rPr>
                <w:sz w:val="18"/>
                <w:szCs w:val="18"/>
              </w:rPr>
              <w:t>Baa</w:t>
            </w:r>
            <w:r w:rsidRPr="008136A1">
              <w:rPr>
                <w:sz w:val="18"/>
                <w:szCs w:val="18"/>
                <w:lang w:val="ru-RU"/>
              </w:rPr>
              <w:t xml:space="preserve">3), остальная часть средств в размере до 35% может вкладываться в высокодоходные облигации классов от </w:t>
            </w:r>
            <w:r w:rsidRPr="008136A1">
              <w:rPr>
                <w:sz w:val="18"/>
                <w:szCs w:val="18"/>
              </w:rPr>
              <w:t>BB</w:t>
            </w:r>
            <w:r w:rsidRPr="008136A1">
              <w:rPr>
                <w:sz w:val="18"/>
                <w:szCs w:val="18"/>
                <w:lang w:val="ru-RU"/>
              </w:rPr>
              <w:t>+/</w:t>
            </w:r>
            <w:r w:rsidRPr="008136A1">
              <w:rPr>
                <w:sz w:val="18"/>
                <w:szCs w:val="18"/>
              </w:rPr>
              <w:t>Ba</w:t>
            </w:r>
            <w:r w:rsidRPr="008136A1">
              <w:rPr>
                <w:sz w:val="18"/>
                <w:szCs w:val="18"/>
                <w:lang w:val="ru-RU"/>
              </w:rPr>
              <w:t xml:space="preserve">1 до </w:t>
            </w:r>
            <w:r w:rsidRPr="008136A1">
              <w:rPr>
                <w:sz w:val="18"/>
                <w:szCs w:val="18"/>
              </w:rPr>
              <w:t>C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Ca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E15214" w:rsidRDefault="00E15214" w:rsidP="00E15214">
            <w:pPr>
              <w:rPr>
                <w:i/>
                <w:sz w:val="18"/>
                <w:szCs w:val="18"/>
                <w:lang w:val="ru-RU"/>
              </w:rPr>
            </w:pPr>
            <w:r w:rsidRPr="00E15214">
              <w:rPr>
                <w:i/>
                <w:sz w:val="18"/>
                <w:szCs w:val="18"/>
                <w:lang w:val="ru-RU"/>
              </w:rPr>
              <w:t xml:space="preserve">Ввиду ограниченных возможностей при существующем состоянии рынка, по мнению консультантов ВОИС по вопросам инвестиций, </w:t>
            </w:r>
            <w:r>
              <w:rPr>
                <w:i/>
                <w:sz w:val="18"/>
                <w:szCs w:val="18"/>
                <w:lang w:val="ru-RU"/>
              </w:rPr>
              <w:t>необходимо</w:t>
            </w:r>
            <w:r w:rsidRPr="00E15214">
              <w:rPr>
                <w:i/>
                <w:sz w:val="18"/>
                <w:szCs w:val="18"/>
                <w:lang w:val="ru-RU"/>
              </w:rPr>
              <w:t xml:space="preserve"> диверсифицировать структуру инвестиций с включением </w:t>
            </w:r>
            <w:r>
              <w:rPr>
                <w:i/>
                <w:sz w:val="18"/>
                <w:szCs w:val="18"/>
                <w:lang w:val="ru-RU"/>
              </w:rPr>
              <w:t xml:space="preserve">некоторых высокодоходных </w:t>
            </w:r>
            <w:r w:rsidRPr="00E15214">
              <w:rPr>
                <w:i/>
                <w:sz w:val="18"/>
                <w:szCs w:val="18"/>
                <w:lang w:val="ru-RU"/>
              </w:rPr>
              <w:t>продуктов с фиксированным доходом.</w:t>
            </w:r>
            <w:r>
              <w:rPr>
                <w:i/>
                <w:sz w:val="18"/>
                <w:szCs w:val="18"/>
                <w:lang w:val="ru-RU"/>
              </w:rPr>
              <w:t xml:space="preserve"> </w:t>
            </w:r>
            <w:r w:rsidRPr="00E15214">
              <w:rPr>
                <w:i/>
                <w:sz w:val="18"/>
                <w:szCs w:val="18"/>
                <w:lang w:val="ru-RU"/>
              </w:rPr>
              <w:t>Данный подход позволит фондам сохранять авуары в облигациях с пониженным рейтингом, если, по мнению управляющего фондом, это отвечает интересам его участников</w:t>
            </w:r>
            <w:r w:rsidR="00A349D4" w:rsidRPr="00E15214">
              <w:rPr>
                <w:i/>
                <w:sz w:val="18"/>
                <w:szCs w:val="18"/>
                <w:lang w:val="ru-RU"/>
              </w:rPr>
              <w:t>.</w:t>
            </w:r>
            <w:r>
              <w:rPr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A349D4" w:rsidRPr="00E5189C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BF687A" w:rsidRDefault="00A349D4" w:rsidP="007B115A">
            <w:pPr>
              <w:rPr>
                <w:sz w:val="18"/>
                <w:szCs w:val="18"/>
                <w:lang w:val="ru-RU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</w:t>
            </w:r>
            <w:r w:rsidRPr="00A349D4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субнациональных</w:t>
            </w:r>
            <w:r w:rsidRPr="00A349D4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органов: облигации региональных, муниципальных или территориальных органов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A349D4" w:rsidRDefault="00A349D4" w:rsidP="00BD245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A349D4" w:rsidDel="002C612A" w:rsidRDefault="00A349D4" w:rsidP="00BD245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A349D4" w:rsidRDefault="00A349D4" w:rsidP="00BD2450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A349D4" w:rsidRPr="0021282B" w:rsidTr="00D22163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21282B" w:rsidRDefault="00A349D4" w:rsidP="007B115A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Default="00A349D4" w:rsidP="00BD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Del="002C612A" w:rsidRDefault="00A349D4" w:rsidP="00BD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D4" w:rsidRPr="003F1B3C" w:rsidRDefault="00A349D4" w:rsidP="00BD2450">
            <w:pPr>
              <w:rPr>
                <w:i/>
                <w:sz w:val="18"/>
                <w:szCs w:val="18"/>
              </w:rPr>
            </w:pPr>
          </w:p>
        </w:tc>
      </w:tr>
      <w:tr w:rsidR="001952B3" w:rsidRPr="0021282B" w:rsidTr="00D2216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Default="00A349D4" w:rsidP="00BD2450">
            <w:pPr>
              <w:rPr>
                <w:sz w:val="18"/>
                <w:szCs w:val="18"/>
              </w:rPr>
            </w:pPr>
            <w:r w:rsidRPr="00A349D4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Default="001952B3" w:rsidP="00BD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Del="002C612A" w:rsidRDefault="001952B3" w:rsidP="00BD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3F1B3C" w:rsidRDefault="001952B3" w:rsidP="00BD2450">
            <w:pPr>
              <w:rPr>
                <w:i/>
                <w:sz w:val="18"/>
                <w:szCs w:val="18"/>
              </w:rPr>
            </w:pPr>
          </w:p>
        </w:tc>
      </w:tr>
      <w:tr w:rsidR="001952B3" w:rsidRPr="0021282B" w:rsidTr="00D22163">
        <w:tc>
          <w:tcPr>
            <w:tcW w:w="70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E76372" w:rsidRDefault="00E76372" w:rsidP="00BD245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Недвижимость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3F1B3C" w:rsidRDefault="001952B3" w:rsidP="00BD2450">
            <w:pPr>
              <w:rPr>
                <w:i/>
                <w:sz w:val="18"/>
                <w:szCs w:val="18"/>
              </w:rPr>
            </w:pPr>
          </w:p>
        </w:tc>
      </w:tr>
      <w:tr w:rsidR="001952B3" w:rsidRPr="0021282B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21282B" w:rsidRDefault="00E76372" w:rsidP="00BD2450">
            <w:pPr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Ипотечные инвестиционные трасты (ИИТ)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B3" w:rsidRPr="0021282B" w:rsidRDefault="00E76372" w:rsidP="00E67B39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B3" w:rsidRPr="0021282B" w:rsidRDefault="00E76372" w:rsidP="00E67B39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3F1B3C" w:rsidRDefault="001952B3" w:rsidP="00BD245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52B3" w:rsidRPr="00B54066" w:rsidTr="00D2216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B3" w:rsidRPr="007B115A" w:rsidRDefault="007B115A" w:rsidP="00E67B39">
            <w:pPr>
              <w:rPr>
                <w:sz w:val="18"/>
                <w:szCs w:val="18"/>
                <w:lang w:val="ru-RU"/>
              </w:rPr>
            </w:pPr>
            <w:r w:rsidRPr="007B115A">
              <w:rPr>
                <w:sz w:val="18"/>
                <w:szCs w:val="18"/>
                <w:lang w:val="ru-RU"/>
              </w:rPr>
              <w:t>Инвестиционные фонды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B3" w:rsidRDefault="00E76372" w:rsidP="00E67B39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B3" w:rsidRDefault="00E76372" w:rsidP="00E67B39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B3" w:rsidRPr="007B115A" w:rsidRDefault="007B115A" w:rsidP="007B115A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Данный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вариант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добавлен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i/>
                <w:sz w:val="18"/>
                <w:szCs w:val="18"/>
                <w:lang w:val="ru-RU"/>
              </w:rPr>
              <w:t>чтобы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в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рамках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портфеля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можно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было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вкладывать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средства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в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диверсифицированные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инвестиционные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фонды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недвижимости</w:t>
            </w:r>
            <w:r w:rsidRPr="007B115A">
              <w:rPr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i/>
                <w:sz w:val="18"/>
                <w:szCs w:val="18"/>
                <w:lang w:val="ru-RU"/>
              </w:rPr>
              <w:t>юридически образованные не в качестве ИИТ</w:t>
            </w:r>
            <w:r w:rsidR="001952B3" w:rsidRPr="007B115A">
              <w:rPr>
                <w:i/>
                <w:sz w:val="18"/>
                <w:szCs w:val="18"/>
                <w:lang w:val="ru-RU"/>
              </w:rPr>
              <w:t>.</w:t>
            </w:r>
          </w:p>
        </w:tc>
      </w:tr>
    </w:tbl>
    <w:p w:rsidR="00BD2450" w:rsidRPr="007B115A" w:rsidRDefault="00BD2450" w:rsidP="00BD2450">
      <w:pPr>
        <w:rPr>
          <w:lang w:val="ru-RU"/>
        </w:rPr>
      </w:pPr>
    </w:p>
    <w:p w:rsidR="00BD2450" w:rsidRPr="007B115A" w:rsidRDefault="007B115A" w:rsidP="008A1E5A">
      <w:pPr>
        <w:pStyle w:val="Heading2"/>
        <w:keepLines/>
        <w:spacing w:after="218"/>
        <w:ind w:left="-4"/>
        <w:rPr>
          <w:lang w:val="ru-RU"/>
        </w:rPr>
      </w:pPr>
      <w:r w:rsidRPr="007B115A">
        <w:rPr>
          <w:lang w:val="ru-RU"/>
        </w:rPr>
        <w:lastRenderedPageBreak/>
        <w:t>Руководящие принципы в отношении инвестиций для внешних управляющих фондами</w:t>
      </w:r>
    </w:p>
    <w:p w:rsidR="007B115A" w:rsidRPr="004F7980" w:rsidRDefault="007B115A" w:rsidP="007B115A">
      <w:pPr>
        <w:keepNext/>
        <w:keepLines/>
        <w:numPr>
          <w:ilvl w:val="0"/>
          <w:numId w:val="15"/>
        </w:numPr>
        <w:spacing w:after="110" w:line="249" w:lineRule="auto"/>
        <w:ind w:right="58"/>
        <w:rPr>
          <w:lang w:val="ru-RU"/>
        </w:rPr>
      </w:pPr>
      <w:r w:rsidRPr="004F7980">
        <w:rPr>
          <w:lang w:val="ru-RU"/>
        </w:rPr>
        <w:t xml:space="preserve">Внешние управляющие фондами могут инвестировать средства в активы любых показанных выше классов при соблюдении ограничений в отношении рисков, установленных в руководящих принципах в отношении инвестиций. </w:t>
      </w:r>
    </w:p>
    <w:p w:rsidR="007B115A" w:rsidRPr="004F7980" w:rsidRDefault="007B115A" w:rsidP="007B115A">
      <w:pPr>
        <w:keepNext/>
        <w:keepLines/>
        <w:numPr>
          <w:ilvl w:val="0"/>
          <w:numId w:val="15"/>
        </w:numPr>
        <w:spacing w:after="3" w:line="239" w:lineRule="auto"/>
        <w:ind w:right="58"/>
        <w:rPr>
          <w:lang w:val="ru-RU"/>
        </w:rPr>
      </w:pPr>
      <w:r w:rsidRPr="004F7980">
        <w:rPr>
          <w:lang w:val="ru-RU"/>
        </w:rPr>
        <w:t xml:space="preserve">Определенные ККИ и утвержденные Генеральным директором руководящие принципы в отношении инвестиций являются частью каждого договора на управление инвестициями и включают в себя, по крайней мере, следующие компоненты: </w:t>
      </w:r>
    </w:p>
    <w:p w:rsidR="007B115A" w:rsidRPr="004F7980" w:rsidRDefault="007B115A" w:rsidP="007B115A">
      <w:pPr>
        <w:spacing w:after="3" w:line="239" w:lineRule="auto"/>
        <w:ind w:left="10" w:right="58"/>
        <w:rPr>
          <w:lang w:val="ru-RU"/>
        </w:rPr>
      </w:pPr>
    </w:p>
    <w:p w:rsidR="007B115A" w:rsidRPr="004F7980" w:rsidRDefault="007B115A" w:rsidP="007B115A">
      <w:pPr>
        <w:numPr>
          <w:ilvl w:val="1"/>
          <w:numId w:val="15"/>
        </w:numPr>
        <w:spacing w:after="208" w:line="249" w:lineRule="auto"/>
        <w:ind w:right="58"/>
        <w:rPr>
          <w:lang w:val="ru-RU"/>
        </w:rPr>
      </w:pPr>
      <w:r w:rsidRPr="004F7980">
        <w:rPr>
          <w:lang w:val="ru-RU"/>
        </w:rPr>
        <w:t xml:space="preserve">инвестиционные цели, определяющие ожидаемую прибыль и риски; </w:t>
      </w:r>
    </w:p>
    <w:p w:rsidR="007B115A" w:rsidRPr="004F7980" w:rsidRDefault="007B115A" w:rsidP="007B115A">
      <w:pPr>
        <w:numPr>
          <w:ilvl w:val="1"/>
          <w:numId w:val="15"/>
        </w:numPr>
        <w:spacing w:after="211" w:line="249" w:lineRule="auto"/>
        <w:ind w:right="58"/>
        <w:rPr>
          <w:lang w:val="ru-RU"/>
        </w:rPr>
      </w:pPr>
      <w:r w:rsidRPr="004F7980">
        <w:rPr>
          <w:lang w:val="ru-RU"/>
        </w:rPr>
        <w:t xml:space="preserve">стиль управления портфелем – активный или пассивный;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базовую валюту;</w:t>
      </w:r>
      <w:r w:rsidRPr="000019EF">
        <w:t xml:space="preserve">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контрольные показатели эффективности;</w:t>
      </w:r>
      <w:r w:rsidRPr="000019EF">
        <w:t xml:space="preserve">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допустимые валюты;</w:t>
      </w:r>
      <w:r w:rsidRPr="000019EF">
        <w:t xml:space="preserve">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допустимые инструменты;</w:t>
      </w:r>
      <w:r w:rsidRPr="000019EF">
        <w:t xml:space="preserve"> </w:t>
      </w:r>
    </w:p>
    <w:p w:rsidR="007B115A" w:rsidRPr="004F7980" w:rsidRDefault="007B115A" w:rsidP="007B115A">
      <w:pPr>
        <w:numPr>
          <w:ilvl w:val="1"/>
          <w:numId w:val="15"/>
        </w:numPr>
        <w:spacing w:after="208" w:line="249" w:lineRule="auto"/>
        <w:ind w:right="58"/>
        <w:rPr>
          <w:lang w:val="ru-RU"/>
        </w:rPr>
      </w:pPr>
      <w:r w:rsidRPr="004F7980">
        <w:rPr>
          <w:lang w:val="ru-RU"/>
        </w:rPr>
        <w:t xml:space="preserve">минимальную и максимальную дюрацию портфеля;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кредитное качество;</w:t>
      </w:r>
      <w:r w:rsidRPr="000019EF">
        <w:t xml:space="preserve"> </w:t>
      </w:r>
    </w:p>
    <w:p w:rsidR="007B115A" w:rsidRDefault="007B115A" w:rsidP="007B115A">
      <w:pPr>
        <w:numPr>
          <w:ilvl w:val="1"/>
          <w:numId w:val="15"/>
        </w:numPr>
        <w:spacing w:after="208" w:line="249" w:lineRule="auto"/>
        <w:ind w:right="58"/>
      </w:pPr>
      <w:r w:rsidRPr="004F7980">
        <w:rPr>
          <w:lang w:val="ru-RU"/>
        </w:rPr>
        <w:t>требования к диверсификации.</w:t>
      </w:r>
      <w:r w:rsidRPr="000019EF">
        <w:t xml:space="preserve"> </w:t>
      </w:r>
    </w:p>
    <w:p w:rsidR="00BD2450" w:rsidRPr="007B115A" w:rsidRDefault="007B115A" w:rsidP="007B115A">
      <w:pPr>
        <w:numPr>
          <w:ilvl w:val="0"/>
          <w:numId w:val="15"/>
        </w:numPr>
        <w:spacing w:after="5" w:line="249" w:lineRule="auto"/>
        <w:ind w:right="58" w:hanging="10"/>
        <w:rPr>
          <w:lang w:val="ru-RU"/>
        </w:rPr>
      </w:pPr>
      <w:r w:rsidRPr="004F7980">
        <w:rPr>
          <w:lang w:val="ru-RU"/>
        </w:rPr>
        <w:t>Другие аспекты, такие как бюджетное покрытие рисков, рассматриваются в контексте выданного мандата на внешнее управление инвестициями</w:t>
      </w:r>
      <w:r w:rsidR="00BD2450" w:rsidRPr="007B115A">
        <w:rPr>
          <w:lang w:val="ru-RU"/>
        </w:rPr>
        <w:t>.</w:t>
      </w:r>
    </w:p>
    <w:p w:rsidR="00EF0C4E" w:rsidRPr="007B115A" w:rsidRDefault="00EF0C4E" w:rsidP="00016956">
      <w:pPr>
        <w:spacing w:after="5" w:line="249" w:lineRule="auto"/>
        <w:ind w:left="10" w:right="58"/>
        <w:rPr>
          <w:lang w:val="ru-RU"/>
        </w:rPr>
      </w:pPr>
    </w:p>
    <w:p w:rsidR="00BD2450" w:rsidRPr="007B115A" w:rsidRDefault="00016956" w:rsidP="00016956">
      <w:pPr>
        <w:spacing w:line="259" w:lineRule="auto"/>
        <w:rPr>
          <w:b/>
          <w:lang w:val="ru-RU"/>
        </w:rPr>
      </w:pPr>
      <w:r>
        <w:rPr>
          <w:b/>
        </w:rPr>
        <w:t>E</w:t>
      </w:r>
      <w:r w:rsidRPr="007B115A">
        <w:rPr>
          <w:b/>
          <w:lang w:val="ru-RU"/>
        </w:rPr>
        <w:t>.</w:t>
      </w:r>
      <w:r w:rsidR="00BD2450" w:rsidRPr="007B115A">
        <w:rPr>
          <w:b/>
          <w:lang w:val="ru-RU"/>
        </w:rPr>
        <w:tab/>
      </w:r>
      <w:r w:rsidR="007B115A" w:rsidRPr="007B115A">
        <w:rPr>
          <w:b/>
          <w:lang w:val="ru-RU"/>
        </w:rPr>
        <w:t>ПРИВИЛЕГИИ И ИММУНИТЕТЫ ОРГАНИЗАЦИИ</w:t>
      </w:r>
    </w:p>
    <w:p w:rsidR="00BD2450" w:rsidRPr="007B115A" w:rsidRDefault="00BD2450" w:rsidP="00016956">
      <w:pPr>
        <w:spacing w:line="259" w:lineRule="auto"/>
        <w:rPr>
          <w:lang w:val="ru-RU"/>
        </w:rPr>
      </w:pPr>
    </w:p>
    <w:p w:rsidR="00BD2450" w:rsidRPr="007B115A" w:rsidRDefault="00016956" w:rsidP="00016956">
      <w:pPr>
        <w:spacing w:after="220"/>
        <w:ind w:left="-6" w:right="57"/>
        <w:rPr>
          <w:lang w:val="ru-RU"/>
        </w:rPr>
      </w:pPr>
      <w:r w:rsidRPr="007B115A">
        <w:rPr>
          <w:lang w:val="ru-RU"/>
        </w:rPr>
        <w:t>34.</w:t>
      </w:r>
      <w:r w:rsidR="00BD2450" w:rsidRPr="007B115A">
        <w:rPr>
          <w:lang w:val="ru-RU"/>
        </w:rPr>
        <w:tab/>
      </w:r>
      <w:r w:rsidR="007B115A" w:rsidRPr="007B115A">
        <w:rPr>
          <w:lang w:val="ru-RU"/>
        </w:rPr>
        <w:t>При открытии новой инвестиционной операции с контрагентом Организация указывает, что инвестиция размещается с учетом ее привилегий и иммунитетов.  Контрагенты соглашаются не удерживать налогов и не обременять счета/активы правовыми исками.</w:t>
      </w:r>
      <w:r w:rsidR="00BD2450" w:rsidRPr="007B115A">
        <w:rPr>
          <w:lang w:val="ru-RU"/>
        </w:rPr>
        <w:t xml:space="preserve"> </w:t>
      </w:r>
    </w:p>
    <w:p w:rsidR="00BD2450" w:rsidRPr="00C3246C" w:rsidRDefault="00BD2450" w:rsidP="00016956">
      <w:pPr>
        <w:spacing w:after="220" w:line="259" w:lineRule="auto"/>
        <w:rPr>
          <w:b/>
          <w:lang w:val="ru-RU"/>
        </w:rPr>
      </w:pPr>
      <w:r w:rsidRPr="00C3246C">
        <w:rPr>
          <w:b/>
        </w:rPr>
        <w:t>F</w:t>
      </w:r>
      <w:r w:rsidRPr="00C3246C">
        <w:rPr>
          <w:b/>
          <w:lang w:val="ru-RU"/>
        </w:rPr>
        <w:t xml:space="preserve">. </w:t>
      </w:r>
      <w:r w:rsidRPr="00C3246C">
        <w:rPr>
          <w:b/>
          <w:lang w:val="ru-RU"/>
        </w:rPr>
        <w:tab/>
      </w:r>
      <w:r w:rsidR="007B115A" w:rsidRPr="00C3246C">
        <w:rPr>
          <w:b/>
          <w:caps/>
          <w:kern w:val="32"/>
          <w:szCs w:val="32"/>
          <w:lang w:val="ru-RU" w:eastAsia="en-US"/>
        </w:rPr>
        <w:t>показатели эффективности</w:t>
      </w:r>
    </w:p>
    <w:p w:rsidR="00BD2450" w:rsidRPr="007B115A" w:rsidRDefault="007B115A" w:rsidP="00016956">
      <w:pPr>
        <w:pStyle w:val="BodyText"/>
        <w:rPr>
          <w:lang w:val="ru-RU"/>
        </w:rPr>
      </w:pPr>
      <w:r w:rsidRPr="007B115A">
        <w:rPr>
          <w:lang w:val="ru-RU"/>
        </w:rPr>
        <w:t xml:space="preserve">КОНТРОЛЬНЫЕ ПОКАЗАТЕЛИ </w:t>
      </w:r>
    </w:p>
    <w:p w:rsidR="00BD2450" w:rsidRPr="007B115A" w:rsidRDefault="007B115A" w:rsidP="005228AC">
      <w:pPr>
        <w:numPr>
          <w:ilvl w:val="0"/>
          <w:numId w:val="16"/>
        </w:numPr>
        <w:spacing w:after="5" w:line="249" w:lineRule="auto"/>
        <w:ind w:right="58" w:hanging="10"/>
        <w:rPr>
          <w:lang w:val="ru-RU"/>
        </w:rPr>
      </w:pPr>
      <w:r w:rsidRPr="007B115A">
        <w:rPr>
          <w:lang w:val="ru-RU"/>
        </w:rPr>
        <w:t>Управление операционными средствами осуществляется внутри Организации с использованием в качестве ориентира трехмесячной ставки Swiss Libor для средств в швейцарских франках, трехмесячной ставки Euribor для средств в евро и трехмесячной ставки по казначейским векселям для средств в долларах США или контрольного показателя, который является наиболее целесообразным для соответствующего инвестиционного инструмента на рынке его обращения</w:t>
      </w:r>
      <w:r w:rsidR="00BD2450" w:rsidRPr="007B115A">
        <w:rPr>
          <w:lang w:val="ru-RU"/>
        </w:rPr>
        <w:t xml:space="preserve">. </w:t>
      </w:r>
    </w:p>
    <w:p w:rsidR="00BD2450" w:rsidRPr="007B115A" w:rsidRDefault="00BD2450" w:rsidP="00016956">
      <w:pPr>
        <w:spacing w:line="259" w:lineRule="auto"/>
        <w:rPr>
          <w:lang w:val="ru-RU"/>
        </w:rPr>
      </w:pPr>
    </w:p>
    <w:p w:rsidR="007B115A" w:rsidRPr="007B115A" w:rsidRDefault="007B115A" w:rsidP="00C3246C">
      <w:pPr>
        <w:keepNext/>
        <w:keepLines/>
        <w:numPr>
          <w:ilvl w:val="0"/>
          <w:numId w:val="16"/>
        </w:numPr>
        <w:spacing w:after="233" w:line="249" w:lineRule="auto"/>
        <w:ind w:right="58" w:hanging="10"/>
        <w:rPr>
          <w:lang w:val="ru-RU"/>
        </w:rPr>
      </w:pPr>
      <w:r w:rsidRPr="007B115A">
        <w:rPr>
          <w:lang w:val="ru-RU"/>
        </w:rPr>
        <w:lastRenderedPageBreak/>
        <w:t>Управление основными средствами осуществляется внешними управляющими фондами.  Каждый инвестиционный портфель имеет контрольный показатель эффективности, указываемый в применимых к нему руководящих принципах в отношении инвестиций.  Такие контрольные показатели должны отвечать следующим критериям:  (i) однозначность, прозрачность и простота;  (ii) инвестируемость и воспроизводимость;  (iii) измеримость и стабильность;  (iv) соответствие инвестиционной цели;    и</w:t>
      </w:r>
      <w:r w:rsidR="00D61EC7">
        <w:rPr>
          <w:lang w:val="ru-RU"/>
        </w:rPr>
        <w:t>(</w:t>
      </w:r>
      <w:r w:rsidR="00D61EC7">
        <w:t>v</w:t>
      </w:r>
      <w:r w:rsidR="00D61EC7">
        <w:rPr>
          <w:lang w:val="ru-RU"/>
        </w:rPr>
        <w:t>)</w:t>
      </w:r>
      <w:r w:rsidRPr="007B115A">
        <w:rPr>
          <w:lang w:val="ru-RU"/>
        </w:rPr>
        <w:t> возможность заблаговременного определения</w:t>
      </w:r>
      <w:r>
        <w:rPr>
          <w:lang w:val="ru-RU"/>
        </w:rPr>
        <w:t>.</w:t>
      </w:r>
    </w:p>
    <w:p w:rsidR="00BD2450" w:rsidRPr="00C3246C" w:rsidRDefault="00D61EC7" w:rsidP="00C3246C">
      <w:pPr>
        <w:keepNext/>
        <w:keepLines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360"/>
        <w:ind w:left="567" w:right="622"/>
        <w:jc w:val="both"/>
        <w:rPr>
          <w:lang w:val="ru-RU"/>
        </w:rPr>
      </w:pPr>
      <w:r>
        <w:rPr>
          <w:i/>
          <w:iCs/>
          <w:lang w:val="ru-RU"/>
        </w:rPr>
        <w:t>Было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сочтено</w:t>
      </w:r>
      <w:r w:rsidRPr="00D61EC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что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элемент</w:t>
      </w:r>
      <w:r w:rsidRPr="00D61EC7">
        <w:rPr>
          <w:i/>
          <w:iCs/>
          <w:lang w:val="ru-RU"/>
        </w:rPr>
        <w:t xml:space="preserve"> </w:t>
      </w:r>
      <w:r w:rsidR="003E49F7" w:rsidRPr="00D61EC7">
        <w:rPr>
          <w:i/>
          <w:iCs/>
          <w:lang w:val="ru-RU"/>
        </w:rPr>
        <w:t>(</w:t>
      </w:r>
      <w:r w:rsidR="003E49F7" w:rsidRPr="004921A2">
        <w:rPr>
          <w:i/>
          <w:iCs/>
        </w:rPr>
        <w:t>v</w:t>
      </w:r>
      <w:r w:rsidR="003E49F7" w:rsidRPr="00D61EC7">
        <w:rPr>
          <w:i/>
          <w:iCs/>
          <w:lang w:val="ru-RU"/>
        </w:rPr>
        <w:t>)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фразы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первоначальной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редакции</w:t>
      </w:r>
      <w:r w:rsidRPr="00D61EC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допускает неверное толкование и что доверительному управляющему трудно использовать его при оценке.  Ввиду</w:t>
      </w:r>
      <w:r w:rsidRPr="00C3246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этого</w:t>
      </w:r>
      <w:r w:rsidRPr="00C3246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данный</w:t>
      </w:r>
      <w:r w:rsidRPr="00C3246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элемент</w:t>
      </w:r>
      <w:r w:rsidRPr="00C3246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был</w:t>
      </w:r>
      <w:r w:rsidRPr="00C3246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исключен</w:t>
      </w:r>
      <w:r w:rsidRPr="00C3246C">
        <w:rPr>
          <w:i/>
          <w:iCs/>
          <w:lang w:val="ru-RU"/>
        </w:rPr>
        <w:t>.</w:t>
      </w:r>
      <w:r w:rsidR="003E49F7" w:rsidRPr="00C3246C">
        <w:rPr>
          <w:i/>
          <w:iCs/>
          <w:lang w:val="ru-RU"/>
        </w:rPr>
        <w:t xml:space="preserve"> </w:t>
      </w:r>
    </w:p>
    <w:p w:rsidR="00D61EC7" w:rsidRPr="00D61EC7" w:rsidRDefault="00D61EC7" w:rsidP="00D61EC7">
      <w:pPr>
        <w:keepNext/>
        <w:spacing w:after="240"/>
        <w:rPr>
          <w:rFonts w:eastAsia="Times New Roman"/>
          <w:lang w:val="ru-RU" w:eastAsia="en-US"/>
        </w:rPr>
      </w:pPr>
      <w:r w:rsidRPr="00D61EC7">
        <w:rPr>
          <w:rFonts w:eastAsia="Times New Roman"/>
          <w:lang w:val="ru-RU" w:eastAsia="en-US"/>
        </w:rPr>
        <w:t>ПОКАЗАТЕЛИ ЭФФЕКТИВНОСТИ И ОТЧЕТНОСТЬ</w:t>
      </w:r>
    </w:p>
    <w:p w:rsidR="00D61EC7" w:rsidRPr="004365E9" w:rsidRDefault="00D61EC7" w:rsidP="00D61EC7">
      <w:pPr>
        <w:pStyle w:val="ONUME"/>
        <w:keepNext/>
        <w:numPr>
          <w:ilvl w:val="0"/>
          <w:numId w:val="17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 случае основных средств доверительный управляющий ежемесячно представляет отчеты об эффективности портфелей во внешнем управлении и обеспечивает соблюдение внешними управляющими фондами применимых к ним руководящих принципов в отношении инвестиций.  Эффективность размещения денежных средств как управляемых внутри Организации, так и находящихся во внешнем управлении рассчитывается в швейцарских франках, т.е. за вычетом влияния колебаний курсов валют, в которых размещены денежные средства. </w:t>
      </w:r>
    </w:p>
    <w:p w:rsidR="00D61EC7" w:rsidRPr="004365E9" w:rsidRDefault="00D61EC7" w:rsidP="00D61EC7">
      <w:pPr>
        <w:pStyle w:val="ONUME"/>
        <w:numPr>
          <w:ilvl w:val="0"/>
          <w:numId w:val="17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Эффективность размещения операционных средств сопоставляется с соответствующими контрольными показателями.  Показатели эффективности внешних управляющих фондами определяется в сопоставлении с контрольными показателями и любыми дополнительными показателями, установленными в руководящих принципах в отношении инвестиций. </w:t>
      </w:r>
    </w:p>
    <w:p w:rsidR="00D61EC7" w:rsidRPr="004365E9" w:rsidRDefault="00D61EC7" w:rsidP="00D61EC7">
      <w:pPr>
        <w:pStyle w:val="ONUME"/>
        <w:numPr>
          <w:ilvl w:val="0"/>
          <w:numId w:val="17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общей эффективности портфеля и контрольные показатели в швейцарских франках сообщаются ККИ ежеквартально.  В этих отчетах приводятся данные об эффективности в сопоставлении с предыдущими кварталами и годами.  В случае если один или несколько управляющих фондами в течение трех месяцев и более имеют значительно более низкие показатели эффективности или в каком-либо месяце наблюдается неожиданное изменение тренда эффективности работы внешнего управляющего фондами, у такого внешнего управляющего фондами запрашивается письменное объяснение наблюдаемого тренда эффективности.  При сохранении низких показателей эффективности ККИ принимает необходимые меры к принятию соответствующей стратегии и коррективных мер в случае внешнего управляющего фондами с низкими показателями.  </w:t>
      </w:r>
    </w:p>
    <w:p w:rsidR="00BD2450" w:rsidRPr="00D61EC7" w:rsidRDefault="00D61EC7" w:rsidP="00D61EC7">
      <w:pPr>
        <w:numPr>
          <w:ilvl w:val="0"/>
          <w:numId w:val="17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В годовой финансовой отчетности приводятся подробные данные о всех инвестициях в соответствии с Международными стандартами учета в государственном секторе (МСУГС), и в отношении инвестиций проводятся соответствующие аудиторские проверки.  Кроме того, согласно финансовому положению 6.6, отчет об управлении финансовой деятельностью (ОУФД) за каждый финансовый период включает в себя отчет об инвестициях.</w:t>
      </w:r>
    </w:p>
    <w:p w:rsidR="00655343" w:rsidRPr="00D61EC7" w:rsidRDefault="00655343">
      <w:pPr>
        <w:rPr>
          <w:b/>
          <w:lang w:val="ru-RU"/>
        </w:rPr>
      </w:pPr>
      <w:r w:rsidRPr="00D61EC7">
        <w:rPr>
          <w:b/>
          <w:lang w:val="ru-RU"/>
        </w:rPr>
        <w:br w:type="page"/>
      </w:r>
    </w:p>
    <w:p w:rsidR="00BD2450" w:rsidRPr="00D61EC7" w:rsidRDefault="00D61EC7" w:rsidP="00655343">
      <w:pPr>
        <w:pStyle w:val="BodyText"/>
        <w:rPr>
          <w:b/>
          <w:lang w:val="ru-RU"/>
        </w:rPr>
      </w:pPr>
      <w:r w:rsidRPr="00D61EC7">
        <w:rPr>
          <w:b/>
          <w:lang w:val="ru-RU"/>
        </w:rPr>
        <w:lastRenderedPageBreak/>
        <w:t>КРЕДИТНЫЕ ЛИМИТЫ</w:t>
      </w:r>
      <w:r w:rsidR="00BD2450" w:rsidRPr="00D61EC7">
        <w:rPr>
          <w:b/>
          <w:lang w:val="ru-RU"/>
        </w:rPr>
        <w:t xml:space="preserve"> </w:t>
      </w:r>
    </w:p>
    <w:p w:rsidR="00655343" w:rsidRPr="00D61EC7" w:rsidRDefault="00D61EC7" w:rsidP="00655343">
      <w:pPr>
        <w:spacing w:after="220"/>
        <w:rPr>
          <w:lang w:val="ru-RU"/>
        </w:rPr>
      </w:pPr>
      <w:r w:rsidRPr="00D61EC7">
        <w:rPr>
          <w:lang w:val="ru-RU"/>
        </w:rPr>
        <w:t>Для обеспечения кредитного качества и последовательности кредитных оценок Организация при определении кредитоспособности пользуется рейтингами утвержденных агентств кредитного рейтинга.  По состоянию на 2015 г. утвержденными агентствами кредитного рейтинга являются Moody’s, Standard and Poor’s и Fitch IBCA</w:t>
      </w:r>
      <w:r w:rsidR="00BD2450" w:rsidRPr="00D61EC7">
        <w:rPr>
          <w:lang w:val="ru-RU"/>
        </w:rPr>
        <w:t xml:space="preserve">.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238"/>
        <w:gridCol w:w="1136"/>
        <w:gridCol w:w="1283"/>
        <w:gridCol w:w="1089"/>
        <w:gridCol w:w="1238"/>
        <w:gridCol w:w="2126"/>
      </w:tblGrid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1243" w:type="pct"/>
            <w:gridSpan w:val="2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  <w:rPr>
                <w:b/>
                <w:bCs/>
              </w:rPr>
            </w:pPr>
            <w:r w:rsidRPr="008F7615">
              <w:rPr>
                <w:b/>
                <w:bCs/>
              </w:rPr>
              <w:t>MOODY’S</w:t>
            </w:r>
          </w:p>
        </w:tc>
        <w:tc>
          <w:tcPr>
            <w:tcW w:w="129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  <w:rPr>
                <w:b/>
                <w:bCs/>
              </w:rPr>
            </w:pPr>
            <w:r w:rsidRPr="008F7615">
              <w:rPr>
                <w:b/>
                <w:bCs/>
              </w:rPr>
              <w:t>STANDARD &amp; POOR’S</w:t>
            </w:r>
          </w:p>
        </w:tc>
        <w:tc>
          <w:tcPr>
            <w:tcW w:w="1242" w:type="pct"/>
            <w:gridSpan w:val="2"/>
            <w:shd w:val="clear" w:color="auto" w:fill="00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  <w:rPr>
                <w:b/>
                <w:bCs/>
              </w:rPr>
            </w:pPr>
            <w:r w:rsidRPr="008F7615">
              <w:rPr>
                <w:b/>
                <w:bCs/>
              </w:rPr>
              <w:t>FITCH</w:t>
            </w:r>
          </w:p>
        </w:tc>
        <w:tc>
          <w:tcPr>
            <w:tcW w:w="11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  <w:rPr>
                <w:b/>
                <w:bCs/>
              </w:rPr>
            </w:pPr>
            <w:r w:rsidRPr="008F7615">
              <w:rPr>
                <w:b/>
                <w:bCs/>
              </w:rPr>
              <w:t> </w:t>
            </w: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46" w:type="pc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Кратко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69" w:type="pc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Кратко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46" w:type="pc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D61EC7" w:rsidP="00BD2450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Кратко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11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  <w:rPr>
                <w:b/>
                <w:bCs/>
              </w:rPr>
            </w:pPr>
            <w:r w:rsidRPr="008F7615">
              <w:rPr>
                <w:b/>
                <w:bCs/>
              </w:rPr>
              <w:t> </w:t>
            </w: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Aaa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P-1</w:t>
            </w:r>
          </w:p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AAA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A-1+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AAA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F1+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Default="0011628D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Инвестиционный</w:t>
            </w:r>
          </w:p>
          <w:p w:rsidR="0011628D" w:rsidRPr="0011628D" w:rsidRDefault="0011628D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</w:tr>
      <w:tr w:rsidR="00BD2450" w:rsidRPr="008F7615" w:rsidTr="00655343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Aa1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AA+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AA+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Aa2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Aa3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AA-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AA-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A1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A-1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A+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F1</w:t>
            </w:r>
          </w:p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A2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A3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P-2</w:t>
            </w:r>
          </w:p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A-2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F2</w:t>
            </w:r>
          </w:p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Baa1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BBB+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BBB+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Baa2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P-3</w:t>
            </w:r>
          </w:p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A-3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F3</w:t>
            </w:r>
          </w:p>
        </w:tc>
        <w:tc>
          <w:tcPr>
            <w:tcW w:w="1140" w:type="pct"/>
            <w:vMerge/>
            <w:vAlign w:val="center"/>
          </w:tcPr>
          <w:p w:rsidR="00BD2450" w:rsidRPr="008F7615" w:rsidRDefault="00BD2450" w:rsidP="00BD2450"/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Baa3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BBB-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BBB-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/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Ba1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Default="0011628D" w:rsidP="00346C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Неперво-классны</w:t>
            </w:r>
            <w:r w:rsidR="00346CD0">
              <w:rPr>
                <w:lang w:val="ru-RU"/>
              </w:rPr>
              <w:t>е</w:t>
            </w:r>
          </w:p>
          <w:p w:rsidR="00346CD0" w:rsidRDefault="00346CD0" w:rsidP="00346C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ценные</w:t>
            </w:r>
          </w:p>
          <w:p w:rsidR="00346CD0" w:rsidRPr="0011628D" w:rsidRDefault="00346CD0" w:rsidP="00346C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бумаги</w:t>
            </w:r>
          </w:p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BB+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Default="0011628D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Высоко-</w:t>
            </w:r>
          </w:p>
          <w:p w:rsidR="0011628D" w:rsidRDefault="0011628D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доходные</w:t>
            </w:r>
          </w:p>
          <w:p w:rsidR="00346CD0" w:rsidRDefault="00346CD0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ценные</w:t>
            </w:r>
          </w:p>
          <w:p w:rsidR="0011628D" w:rsidRDefault="0011628D" w:rsidP="00BD24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бумаги</w:t>
            </w:r>
          </w:p>
          <w:p w:rsidR="0011628D" w:rsidRPr="0011628D" w:rsidRDefault="0011628D" w:rsidP="00BD2450">
            <w:pPr>
              <w:jc w:val="center"/>
              <w:rPr>
                <w:lang w:val="ru-RU"/>
              </w:rPr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Ba2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Ba3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BB-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BB-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B1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B+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B+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B2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B3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B-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B-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Caa1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>
              <w:t xml:space="preserve"> </w:t>
            </w:r>
            <w:r w:rsidRPr="008F7615">
              <w:t>CCC+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</w:t>
            </w:r>
          </w:p>
        </w:tc>
        <w:tc>
          <w:tcPr>
            <w:tcW w:w="580" w:type="pct"/>
            <w:vMerge w:val="restar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CCC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</w:t>
            </w:r>
          </w:p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Caa2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CCC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vMerge/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Caa3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CCC-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vMerge/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</w:tr>
      <w:tr w:rsidR="00BD2450" w:rsidRPr="008F7615" w:rsidTr="00655343">
        <w:trPr>
          <w:trHeight w:val="242"/>
          <w:tblCellSpacing w:w="15" w:type="dxa"/>
          <w:jc w:val="center"/>
        </w:trPr>
        <w:tc>
          <w:tcPr>
            <w:tcW w:w="581" w:type="pct"/>
            <w:vMerge w:val="restar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Ca</w:t>
            </w: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CC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vMerge/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/>
        </w:tc>
      </w:tr>
      <w:tr w:rsidR="00BD2450" w:rsidRPr="008F7615" w:rsidTr="00655343">
        <w:trPr>
          <w:trHeight w:val="123"/>
          <w:tblCellSpacing w:w="15" w:type="dxa"/>
          <w:jc w:val="center"/>
        </w:trPr>
        <w:tc>
          <w:tcPr>
            <w:tcW w:w="581" w:type="pct"/>
            <w:vMerge/>
            <w:shd w:val="clear" w:color="auto" w:fill="FF0000"/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  <w:r w:rsidRPr="008F7615">
              <w:t>C</w:t>
            </w:r>
          </w:p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vMerge/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/>
        </w:tc>
      </w:tr>
      <w:tr w:rsidR="00BD2450" w:rsidRPr="00C11A99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C11A99" w:rsidRDefault="00BD2450" w:rsidP="00BD2450">
            <w:pPr>
              <w:jc w:val="center"/>
              <w:rPr>
                <w:b/>
              </w:rPr>
            </w:pPr>
            <w:r w:rsidRPr="00C11A99">
              <w:rPr>
                <w:b/>
              </w:rPr>
              <w:t>C</w:t>
            </w:r>
          </w:p>
        </w:tc>
        <w:tc>
          <w:tcPr>
            <w:tcW w:w="646" w:type="pct"/>
            <w:vMerge/>
            <w:vAlign w:val="center"/>
          </w:tcPr>
          <w:p w:rsidR="00BD2450" w:rsidRPr="00C11A99" w:rsidRDefault="00BD2450" w:rsidP="00BD2450">
            <w:pPr>
              <w:rPr>
                <w:b/>
              </w:rPr>
            </w:pPr>
          </w:p>
        </w:tc>
        <w:tc>
          <w:tcPr>
            <w:tcW w:w="606" w:type="pct"/>
            <w:vMerge w:val="restar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C11A99" w:rsidRDefault="00BD2450" w:rsidP="00BD2450">
            <w:pPr>
              <w:jc w:val="center"/>
              <w:rPr>
                <w:b/>
              </w:rPr>
            </w:pPr>
            <w:r w:rsidRPr="00C11A99">
              <w:rPr>
                <w:b/>
              </w:rPr>
              <w:t>D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C11A99" w:rsidRDefault="00BD2450" w:rsidP="00BD2450">
            <w:pPr>
              <w:jc w:val="center"/>
              <w:rPr>
                <w:b/>
              </w:rPr>
            </w:pPr>
            <w:r w:rsidRPr="00C11A99">
              <w:rPr>
                <w:b/>
              </w:rPr>
              <w:t>/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C11A99" w:rsidRDefault="00BD2450" w:rsidP="00BD2450">
            <w:pPr>
              <w:jc w:val="center"/>
              <w:rPr>
                <w:b/>
              </w:rPr>
            </w:pPr>
            <w:r w:rsidRPr="00C11A99">
              <w:rPr>
                <w:b/>
              </w:rPr>
              <w:t>DDD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C11A99" w:rsidRDefault="00BD2450" w:rsidP="00BD2450">
            <w:pPr>
              <w:jc w:val="center"/>
              <w:rPr>
                <w:b/>
              </w:rPr>
            </w:pPr>
            <w:r w:rsidRPr="00C11A99">
              <w:rPr>
                <w:b/>
              </w:rPr>
              <w:t>/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11628D" w:rsidRDefault="0011628D" w:rsidP="00BD245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Дефолт</w:t>
            </w:r>
          </w:p>
        </w:tc>
      </w:tr>
      <w:tr w:rsidR="00BD2450" w:rsidRPr="008F7615" w:rsidTr="00655343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>
            <w:pPr>
              <w:jc w:val="center"/>
            </w:pPr>
          </w:p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606" w:type="pct"/>
            <w:vMerge/>
            <w:vAlign w:val="center"/>
          </w:tcPr>
          <w:p w:rsidR="00BD2450" w:rsidRPr="008F7615" w:rsidRDefault="00BD2450" w:rsidP="00BD2450"/>
        </w:tc>
        <w:tc>
          <w:tcPr>
            <w:tcW w:w="669" w:type="pct"/>
            <w:vMerge/>
            <w:vAlign w:val="center"/>
          </w:tcPr>
          <w:p w:rsidR="00BD2450" w:rsidRPr="008F7615" w:rsidRDefault="00BD2450" w:rsidP="00BD2450"/>
        </w:tc>
        <w:tc>
          <w:tcPr>
            <w:tcW w:w="580" w:type="pct"/>
            <w:shd w:val="clear" w:color="auto" w:fill="33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8F7615" w:rsidRDefault="00BD2450" w:rsidP="00BD2450"/>
        </w:tc>
        <w:tc>
          <w:tcPr>
            <w:tcW w:w="646" w:type="pct"/>
            <w:vMerge/>
            <w:vAlign w:val="center"/>
          </w:tcPr>
          <w:p w:rsidR="00BD2450" w:rsidRPr="008F7615" w:rsidRDefault="00BD2450" w:rsidP="00BD2450"/>
        </w:tc>
        <w:tc>
          <w:tcPr>
            <w:tcW w:w="1140" w:type="pct"/>
            <w:vMerge/>
            <w:vAlign w:val="center"/>
          </w:tcPr>
          <w:p w:rsidR="00BD2450" w:rsidRPr="008F7615" w:rsidRDefault="00BD2450" w:rsidP="00BD2450"/>
        </w:tc>
      </w:tr>
    </w:tbl>
    <w:p w:rsidR="00BD2450" w:rsidRDefault="00BD2450" w:rsidP="00BD2450"/>
    <w:p w:rsidR="00346CD0" w:rsidRDefault="00346CD0" w:rsidP="00B34FB9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622"/>
        <w:rPr>
          <w:i/>
          <w:iCs/>
          <w:lang w:val="ru-RU"/>
        </w:rPr>
      </w:pPr>
      <w:r w:rsidRPr="00346CD0">
        <w:rPr>
          <w:i/>
          <w:iCs/>
          <w:lang w:val="ru-RU"/>
        </w:rPr>
        <w:t>Описания кредитных рейтингов в приведенной выше таблице упрощены</w:t>
      </w:r>
      <w:r>
        <w:rPr>
          <w:i/>
          <w:iCs/>
          <w:lang w:val="ru-RU"/>
        </w:rPr>
        <w:t xml:space="preserve"> с указанием лишь того,</w:t>
      </w:r>
      <w:r w:rsidRPr="00346CD0">
        <w:rPr>
          <w:i/>
          <w:iCs/>
          <w:lang w:val="ru-RU"/>
        </w:rPr>
        <w:t xml:space="preserve"> является ли кредитный рейтинг инвестиционным или высок</w:t>
      </w:r>
      <w:r>
        <w:rPr>
          <w:i/>
          <w:iCs/>
          <w:lang w:val="ru-RU"/>
        </w:rPr>
        <w:t>одоходным</w:t>
      </w:r>
      <w:r w:rsidRPr="00346CD0">
        <w:rPr>
          <w:i/>
          <w:iCs/>
          <w:lang w:val="ru-RU"/>
        </w:rPr>
        <w:t xml:space="preserve">. </w:t>
      </w:r>
      <w:r w:rsidR="00B941FA">
        <w:rPr>
          <w:i/>
          <w:iCs/>
          <w:lang w:val="ru-RU"/>
        </w:rPr>
        <w:t xml:space="preserve"> </w:t>
      </w:r>
      <w:r w:rsidRPr="00346CD0">
        <w:rPr>
          <w:i/>
          <w:iCs/>
          <w:lang w:val="ru-RU"/>
        </w:rPr>
        <w:t xml:space="preserve">Понятно, что чем выше </w:t>
      </w:r>
      <w:r w:rsidR="00B941FA">
        <w:rPr>
          <w:i/>
          <w:iCs/>
          <w:lang w:val="ru-RU"/>
        </w:rPr>
        <w:t>класс ценной бумаги</w:t>
      </w:r>
      <w:r w:rsidRPr="00346CD0">
        <w:rPr>
          <w:i/>
          <w:iCs/>
          <w:lang w:val="ru-RU"/>
        </w:rPr>
        <w:t xml:space="preserve">, тем ниже </w:t>
      </w:r>
      <w:r w:rsidR="00B941FA">
        <w:rPr>
          <w:i/>
          <w:iCs/>
          <w:lang w:val="ru-RU"/>
        </w:rPr>
        <w:t>презюмируемый</w:t>
      </w:r>
      <w:r w:rsidRPr="00346CD0">
        <w:rPr>
          <w:i/>
          <w:iCs/>
          <w:lang w:val="ru-RU"/>
        </w:rPr>
        <w:t xml:space="preserve"> кредитный риск. </w:t>
      </w:r>
      <w:r w:rsidR="00B941FA">
        <w:rPr>
          <w:i/>
          <w:iCs/>
          <w:lang w:val="ru-RU"/>
        </w:rPr>
        <w:t xml:space="preserve"> Вместе с тем</w:t>
      </w:r>
      <w:r w:rsidRPr="00346CD0">
        <w:rPr>
          <w:i/>
          <w:iCs/>
          <w:lang w:val="ru-RU"/>
        </w:rPr>
        <w:t xml:space="preserve">, </w:t>
      </w:r>
      <w:r w:rsidR="00B941FA">
        <w:rPr>
          <w:i/>
          <w:iCs/>
          <w:lang w:val="ru-RU"/>
        </w:rPr>
        <w:t xml:space="preserve">было сочтено, что </w:t>
      </w:r>
      <w:r w:rsidR="001257BA">
        <w:rPr>
          <w:i/>
          <w:iCs/>
          <w:lang w:val="ru-RU"/>
        </w:rPr>
        <w:t xml:space="preserve">в плане использования для целей оценки </w:t>
      </w:r>
      <w:r w:rsidRPr="00346CD0">
        <w:rPr>
          <w:i/>
          <w:iCs/>
          <w:lang w:val="ru-RU"/>
        </w:rPr>
        <w:t>описания</w:t>
      </w:r>
      <w:r w:rsidR="00B941FA">
        <w:rPr>
          <w:i/>
          <w:iCs/>
          <w:lang w:val="ru-RU"/>
        </w:rPr>
        <w:t xml:space="preserve"> категорий</w:t>
      </w:r>
      <w:r w:rsidRPr="00346CD0">
        <w:rPr>
          <w:i/>
          <w:iCs/>
          <w:lang w:val="ru-RU"/>
        </w:rPr>
        <w:t xml:space="preserve"> рейтингов в исходной таблице</w:t>
      </w:r>
      <w:r w:rsidR="00B941FA">
        <w:rPr>
          <w:i/>
          <w:iCs/>
          <w:lang w:val="ru-RU"/>
        </w:rPr>
        <w:t xml:space="preserve"> даны в</w:t>
      </w:r>
      <w:r w:rsidRPr="00346CD0">
        <w:rPr>
          <w:i/>
          <w:iCs/>
          <w:lang w:val="ru-RU"/>
        </w:rPr>
        <w:t xml:space="preserve"> слишком обобщенн</w:t>
      </w:r>
      <w:r w:rsidR="00B941FA">
        <w:rPr>
          <w:i/>
          <w:iCs/>
          <w:lang w:val="ru-RU"/>
        </w:rPr>
        <w:t>ой форме</w:t>
      </w:r>
      <w:r w:rsidRPr="00346CD0">
        <w:rPr>
          <w:i/>
          <w:iCs/>
          <w:lang w:val="ru-RU"/>
        </w:rPr>
        <w:t>.</w:t>
      </w:r>
    </w:p>
    <w:p w:rsidR="00B34FB9" w:rsidRPr="0025504E" w:rsidRDefault="00B34FB9" w:rsidP="00BD2450">
      <w:pPr>
        <w:rPr>
          <w:lang w:val="ru-RU"/>
        </w:rPr>
      </w:pPr>
    </w:p>
    <w:p w:rsidR="00655343" w:rsidRPr="001257BA" w:rsidRDefault="001257BA" w:rsidP="00655343">
      <w:pPr>
        <w:rPr>
          <w:lang w:val="ru-RU"/>
        </w:rPr>
      </w:pPr>
      <w:r w:rsidRPr="001257BA">
        <w:rPr>
          <w:lang w:val="ru-RU"/>
        </w:rPr>
        <w:t>В случае ценных бумаг, которым три утвержденных агентства не присваивают рейтингов, в порядке исключения могут использоваться рейтинги равнозначных независимых агентств.  Использование рейтингов, помимо рейтингов трех утвержденных агентств, допускается только при условии, если альтернативные рейтинги считаются объективными и основанными на независимом анализе.</w:t>
      </w:r>
      <w:r w:rsidR="00655343" w:rsidRPr="001257BA">
        <w:rPr>
          <w:lang w:val="ru-RU"/>
        </w:rPr>
        <w:t xml:space="preserve">   </w:t>
      </w:r>
    </w:p>
    <w:p w:rsidR="00655343" w:rsidRPr="001257BA" w:rsidRDefault="00655343" w:rsidP="00655343">
      <w:pPr>
        <w:pStyle w:val="Endofdocument-Annex"/>
        <w:rPr>
          <w:lang w:val="ru-RU"/>
        </w:rPr>
      </w:pPr>
    </w:p>
    <w:p w:rsidR="00BD2450" w:rsidRPr="00487E95" w:rsidRDefault="00655343" w:rsidP="00FE1F24">
      <w:pPr>
        <w:pStyle w:val="Endofdocument-Annex"/>
        <w:rPr>
          <w:lang w:val="ru-RU"/>
        </w:rPr>
      </w:pPr>
      <w:r w:rsidRPr="00487E95">
        <w:rPr>
          <w:lang w:val="ru-RU"/>
        </w:rPr>
        <w:t>[</w:t>
      </w:r>
      <w:r w:rsidR="00726BED" w:rsidRPr="00726BED">
        <w:rPr>
          <w:lang w:val="ru-RU"/>
        </w:rPr>
        <w:t>Приложение II следует</w:t>
      </w:r>
      <w:r w:rsidRPr="00487E95">
        <w:rPr>
          <w:lang w:val="ru-RU"/>
        </w:rPr>
        <w:t>]</w:t>
      </w:r>
      <w:r w:rsidR="00BD2450" w:rsidRPr="00487E95">
        <w:rPr>
          <w:lang w:val="ru-RU"/>
        </w:rPr>
        <w:t xml:space="preserve"> </w:t>
      </w:r>
    </w:p>
    <w:p w:rsidR="00BD2450" w:rsidRPr="00487E95" w:rsidRDefault="00BD2450">
      <w:pPr>
        <w:pStyle w:val="Heading1"/>
        <w:ind w:left="-4"/>
        <w:rPr>
          <w:lang w:val="ru-RU"/>
        </w:rPr>
        <w:sectPr w:rsidR="00BD2450" w:rsidRPr="00487E95" w:rsidSect="00655343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41"/>
          <w:pgMar w:top="680" w:right="1361" w:bottom="1304" w:left="1418" w:header="624" w:footer="857" w:gutter="0"/>
          <w:pgNumType w:start="1"/>
          <w:cols w:space="720"/>
          <w:titlePg/>
          <w:docGrid w:linePitch="299"/>
        </w:sectPr>
      </w:pPr>
    </w:p>
    <w:p w:rsidR="00BD2450" w:rsidRPr="00487E95" w:rsidRDefault="00487E95" w:rsidP="00FE1F24">
      <w:pPr>
        <w:pStyle w:val="BodyText"/>
        <w:rPr>
          <w:b/>
          <w:lang w:val="ru-RU"/>
        </w:rPr>
      </w:pPr>
      <w:r w:rsidRPr="00487E95">
        <w:rPr>
          <w:b/>
          <w:lang w:val="ru-RU"/>
        </w:rPr>
        <w:lastRenderedPageBreak/>
        <w:t>ИНВЕСТИЦИОННАЯ ПОЛИТИКА – СТРАТЕГИЧЕСКИЕ СРЕДСТВА</w:t>
      </w:r>
      <w:r w:rsidR="00BD2450" w:rsidRPr="00487E95">
        <w:rPr>
          <w:b/>
          <w:lang w:val="ru-RU"/>
        </w:rPr>
        <w:t xml:space="preserve"> </w:t>
      </w:r>
    </w:p>
    <w:p w:rsidR="00BD2450" w:rsidRPr="00C3246C" w:rsidRDefault="00BD2450" w:rsidP="00FE1F24">
      <w:pPr>
        <w:pStyle w:val="BodyText"/>
        <w:rPr>
          <w:b/>
          <w:lang w:val="ru-RU"/>
        </w:rPr>
      </w:pPr>
      <w:r w:rsidRPr="00C3246C">
        <w:rPr>
          <w:b/>
        </w:rPr>
        <w:t>A</w:t>
      </w:r>
      <w:r w:rsidRPr="00C3246C">
        <w:rPr>
          <w:b/>
          <w:lang w:val="ru-RU"/>
        </w:rPr>
        <w:t xml:space="preserve">. </w:t>
      </w:r>
      <w:r w:rsidRPr="00C3246C">
        <w:rPr>
          <w:b/>
          <w:lang w:val="ru-RU"/>
        </w:rPr>
        <w:tab/>
      </w:r>
      <w:r w:rsidR="00487E95" w:rsidRPr="00C3246C">
        <w:rPr>
          <w:rFonts w:eastAsia="Times New Roman"/>
          <w:b/>
          <w:lang w:val="ru-RU" w:eastAsia="en-US"/>
        </w:rPr>
        <w:t>СФЕРА ДЕЙСТВИЯ И ПРЕДНАЗНАЧЕНИЕ</w:t>
      </w:r>
    </w:p>
    <w:p w:rsidR="00BD2450" w:rsidRPr="00487E95" w:rsidRDefault="00487E95" w:rsidP="00FE1F24">
      <w:pPr>
        <w:spacing w:after="220"/>
        <w:rPr>
          <w:lang w:val="ru-RU"/>
        </w:rPr>
      </w:pPr>
      <w:r w:rsidRPr="0025504E">
        <w:rPr>
          <w:lang w:val="ru-RU"/>
        </w:rPr>
        <w:t>ОПИСАНИЕ ИНВЕСТОРА</w:t>
      </w:r>
    </w:p>
    <w:p w:rsidR="00487E95" w:rsidRPr="004365E9" w:rsidRDefault="00487E95" w:rsidP="00487E95">
      <w:pPr>
        <w:pStyle w:val="ONUME"/>
        <w:numPr>
          <w:ilvl w:val="0"/>
          <w:numId w:val="18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Всемирная организация интеллектуальной собственности (ВОИС) была создана в соответствии с Конвенцией, учреждающей Всемирную организацию интеллектуальной собственности, заключенной в 1967 г. и вступившей в силу в 1970 г., и заменила собой Бюро по охране интеллектуальной собственности (БИРПИ), которое было основано в 1893 г. (БИРПИ является французским сокращением, означающим Bureaux Internationaux Réunis pour la Protection de la Propriété Intellectuelle) для выполнения административных функций Парижской конвенции по охране промышленной собственности (1883 г.) и Бернской конвенции по охране литературных и художественных произведений (1866 г.).  В 1974 г. ВОИС была признана специализированным учреждением Организации Объединенных Наций. </w:t>
      </w:r>
    </w:p>
    <w:p w:rsidR="00BD2450" w:rsidRPr="00487E95" w:rsidRDefault="00487E95" w:rsidP="00487E95">
      <w:pPr>
        <w:numPr>
          <w:ilvl w:val="0"/>
          <w:numId w:val="18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ВОИС выполняет широкий спектр задач, связанных с охраной прав ИС, включая: оказание помощи правительствам и организациям в разработке политики, создании структур и развитии профессиональных навыков, необходимых для задействования потенциала ИС в целях экономического развития;  взаимодействие с государствами-членами в целях развития международного права ИС;  выполнение административных функций в отношении договоров;  управление глобальными регистрационными системами в области товарных знаков, промышленных образцов и наименований мест происхождения и системой подачи заявок на выдачу патентов;  оказание услуг по урегулированию споров;  и выполнение функций форума для проведения обсуждений н</w:t>
      </w:r>
      <w:r>
        <w:rPr>
          <w:rFonts w:eastAsia="Times New Roman"/>
          <w:lang w:val="ru-RU" w:eastAsia="en-US"/>
        </w:rPr>
        <w:t>а</w:t>
      </w:r>
      <w:r w:rsidRPr="004365E9">
        <w:rPr>
          <w:rFonts w:eastAsia="Times New Roman"/>
          <w:lang w:val="ru-RU" w:eastAsia="en-US"/>
        </w:rPr>
        <w:t xml:space="preserve"> основе имеющейся информации и обмена экспертными знаниями</w:t>
      </w:r>
      <w:r w:rsidR="00BD2450" w:rsidRPr="00487E95">
        <w:rPr>
          <w:lang w:val="ru-RU"/>
        </w:rPr>
        <w:t>.</w:t>
      </w:r>
    </w:p>
    <w:p w:rsidR="00BD2450" w:rsidRDefault="00487E95" w:rsidP="00FE1F24">
      <w:pPr>
        <w:spacing w:after="220"/>
      </w:pPr>
      <w:r>
        <w:rPr>
          <w:lang w:val="ru-RU"/>
        </w:rPr>
        <w:t>ПОЛНОМОЧИЯ</w:t>
      </w:r>
      <w:r w:rsidR="00FE1F24">
        <w:t xml:space="preserve">  </w:t>
      </w:r>
    </w:p>
    <w:p w:rsidR="00487E95" w:rsidRPr="004365E9" w:rsidRDefault="00487E95" w:rsidP="00487E95">
      <w:pPr>
        <w:pStyle w:val="ONUME"/>
        <w:numPr>
          <w:ilvl w:val="0"/>
          <w:numId w:val="19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Настоящая инвестиционная политика была разработана в соответствии с финансовым положением 4.10, которое наделяет Генерального директора полномочиями производить краткосрочное инвестирование денежных средств, в которых нет немедленной потребности, согласно утвержденной государствами-членами инвестиционной политике Организации, а также в соответствии с финансовым положением 4.11, которое наделяет Генерального директора полномочиями производить долгосрочное инвестирование денежных средств, имеющихся у Организации, согласно утвержденной государствами-членами инвестиционной политике Организации.  Ввиду долгосрочного характера обязательств, связанных с системой медицинских пособий сотрудникам ВОИС после увольнения со службы (также известной как Медицинское страхование после прекращения службы (МСПС)), в сентябре 2014 г. Комитетом по программе и бюджету (КПБ) было принято решение о подготовке отдельной инвестиционной политики в отношении финансовых средств МСПС, и данная рекомендация была позднее утверждена на пятьдесят четвертой сессии Ассамблей в 2014г.  Настоящая политика соответствует данному положению и применяется к средствам, которые уже сформированы или формирование которых может быть продолжено в будущем для финансирования обязательств в рамках МСПС.  Эти средства определяются как стратегические (долгосрочные) средства.</w:t>
      </w:r>
    </w:p>
    <w:p w:rsidR="00FE1F24" w:rsidRPr="00487E95" w:rsidRDefault="00487E95" w:rsidP="00487E95">
      <w:pPr>
        <w:numPr>
          <w:ilvl w:val="0"/>
          <w:numId w:val="19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Настоящая политика содержит общие принципы в отношении инвестирования средств Организации и, таким образом, распространяется на руководящие принципы в отношении инвестиций, предназначенные для внешних управляющих фондами (определяются в пункте 16).</w:t>
      </w:r>
    </w:p>
    <w:p w:rsidR="00300FF6" w:rsidRPr="00C3246C" w:rsidRDefault="00300FF6">
      <w:pPr>
        <w:rPr>
          <w:b/>
          <w:lang w:val="ru-RU"/>
        </w:rPr>
      </w:pPr>
      <w:r w:rsidRPr="00C3246C">
        <w:rPr>
          <w:b/>
          <w:lang w:val="ru-RU"/>
        </w:rPr>
        <w:br w:type="page"/>
      </w:r>
    </w:p>
    <w:p w:rsidR="00BD2450" w:rsidRPr="00487E95" w:rsidRDefault="00FE1F24" w:rsidP="00FE1F24">
      <w:pPr>
        <w:spacing w:after="220"/>
        <w:ind w:left="10" w:right="58"/>
        <w:rPr>
          <w:b/>
          <w:lang w:val="ru-RU"/>
        </w:rPr>
      </w:pPr>
      <w:r>
        <w:rPr>
          <w:b/>
        </w:rPr>
        <w:lastRenderedPageBreak/>
        <w:t>B</w:t>
      </w:r>
      <w:r w:rsidRPr="00487E95">
        <w:rPr>
          <w:b/>
          <w:lang w:val="ru-RU"/>
        </w:rPr>
        <w:t>.</w:t>
      </w:r>
      <w:r w:rsidR="00BD2450" w:rsidRPr="00487E95">
        <w:rPr>
          <w:b/>
          <w:lang w:val="ru-RU"/>
        </w:rPr>
        <w:tab/>
      </w:r>
      <w:r w:rsidR="00487E95" w:rsidRPr="00487E95">
        <w:rPr>
          <w:b/>
          <w:bCs/>
          <w:lang w:val="ru-RU"/>
        </w:rPr>
        <w:t>ЗАИНТЕРЕСОВАННЫЕ СТОРОНЫ, ФУНКЦИИ И ОБЯЗАННОСТИ</w:t>
      </w:r>
    </w:p>
    <w:p w:rsidR="00BD2450" w:rsidRDefault="00487E95" w:rsidP="00FE1F24">
      <w:pPr>
        <w:spacing w:after="220"/>
      </w:pPr>
      <w:r>
        <w:rPr>
          <w:lang w:val="ru-RU"/>
        </w:rPr>
        <w:t>ГЕНЕРАЛЬНЫЙ ДИРЕКТОР</w:t>
      </w:r>
      <w:r w:rsidR="00FE1F24">
        <w:t xml:space="preserve"> </w:t>
      </w:r>
    </w:p>
    <w:p w:rsidR="00487E95" w:rsidRPr="004365E9" w:rsidRDefault="00487E95" w:rsidP="00487E95">
      <w:pPr>
        <w:pStyle w:val="ONUME"/>
        <w:numPr>
          <w:ilvl w:val="0"/>
          <w:numId w:val="20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Генеральный директор рассматривает и окончательно утверждает отчеты, предложения и рекомендации, представляемые Консультативным комитетом по инвестициям (ККИ).</w:t>
      </w:r>
    </w:p>
    <w:p w:rsidR="00BD2450" w:rsidRPr="00487E95" w:rsidRDefault="00487E95" w:rsidP="00487E95">
      <w:pPr>
        <w:numPr>
          <w:ilvl w:val="0"/>
          <w:numId w:val="20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Согласно финансовым положениям 4.10 и 4.11, Комитет по программе и бюджету (КПБ) регулярно информируется Генеральным директором о кратко- и долгосрочных инвестициях</w:t>
      </w:r>
      <w:r w:rsidR="00BD2450" w:rsidRPr="00487E95">
        <w:rPr>
          <w:lang w:val="ru-RU"/>
        </w:rPr>
        <w:t>.</w:t>
      </w:r>
    </w:p>
    <w:p w:rsidR="00BD2450" w:rsidRDefault="00487E95" w:rsidP="00FE1F24">
      <w:pPr>
        <w:keepNext/>
        <w:keepLines/>
        <w:spacing w:after="220"/>
      </w:pPr>
      <w:r>
        <w:rPr>
          <w:lang w:val="ru-RU"/>
        </w:rPr>
        <w:t>КОНСУЛЬТАТИВНЫЙ КОМИТЕТ ПО ИНВЕСТИЦИЯМ</w:t>
      </w:r>
      <w:r w:rsidR="00FE1F24">
        <w:t xml:space="preserve"> </w:t>
      </w:r>
    </w:p>
    <w:p w:rsidR="00487E95" w:rsidRPr="00487E95" w:rsidRDefault="00487E95" w:rsidP="00C3246C">
      <w:pPr>
        <w:numPr>
          <w:ilvl w:val="0"/>
          <w:numId w:val="20"/>
        </w:numPr>
        <w:spacing w:after="220"/>
        <w:ind w:right="58" w:hanging="1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 xml:space="preserve">Члены Комитета назначаются Генеральным директором.  Генеральный директор издает служебную инструкцию об учреждении Комитета. </w:t>
      </w:r>
    </w:p>
    <w:p w:rsidR="00487E95" w:rsidRPr="00487E95" w:rsidRDefault="00487E95" w:rsidP="00C3246C">
      <w:pPr>
        <w:numPr>
          <w:ilvl w:val="0"/>
          <w:numId w:val="20"/>
        </w:numPr>
        <w:spacing w:after="220"/>
        <w:ind w:right="58" w:hanging="1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 xml:space="preserve">Комитет консультирует Генерального директора относительно инвестирования средств Организации в соответствии с разделом С главы 4 Финансовых положений и правил.  Его рекомендации касаются таких вопросов, как содержание инвестиционной политики, стратегия, распределение активов, определение надлежащих контрольных показателей и руководящие принципы.  В частности, в его обязанности входит следующее: </w:t>
      </w:r>
    </w:p>
    <w:p w:rsidR="00487E95" w:rsidRPr="00487E95" w:rsidRDefault="00487E95" w:rsidP="00487E95">
      <w:pPr>
        <w:numPr>
          <w:ilvl w:val="0"/>
          <w:numId w:val="42"/>
        </w:numPr>
        <w:spacing w:after="240"/>
        <w:ind w:left="1170" w:hanging="630"/>
        <w:contextualSpacing/>
        <w:outlineLvl w:val="1"/>
        <w:rPr>
          <w:bCs/>
          <w:iCs/>
          <w:szCs w:val="28"/>
          <w:u w:val="single"/>
          <w:lang w:val="ru-RU" w:eastAsia="en-US"/>
        </w:rPr>
      </w:pPr>
      <w:r w:rsidRPr="00487E95">
        <w:rPr>
          <w:bCs/>
          <w:szCs w:val="28"/>
          <w:u w:val="single"/>
          <w:lang w:val="ru-RU" w:eastAsia="en-US"/>
        </w:rPr>
        <w:t xml:space="preserve">Реализация инвестиционной политики и контроль за ее соблюдением </w:t>
      </w:r>
    </w:p>
    <w:p w:rsidR="00487E95" w:rsidRPr="00487E95" w:rsidRDefault="00487E95" w:rsidP="00487E95">
      <w:pPr>
        <w:spacing w:after="240"/>
        <w:ind w:left="117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 xml:space="preserve">ККИ осуществляет надзор за реализацией инвестиционной политики и контролирует все ее аспекты.  Данная работа ведется на основе предложений и отчетности, представляемых Казначеем, и проводимых им исследований и сводится к направлению рекомендаций ККИ Генеральному директору. </w:t>
      </w:r>
    </w:p>
    <w:p w:rsidR="00487E95" w:rsidRPr="00487E95" w:rsidRDefault="00487E95" w:rsidP="00487E95">
      <w:pPr>
        <w:numPr>
          <w:ilvl w:val="0"/>
          <w:numId w:val="42"/>
        </w:numPr>
        <w:spacing w:after="240"/>
        <w:ind w:left="1170" w:hanging="630"/>
        <w:contextualSpacing/>
        <w:outlineLvl w:val="1"/>
        <w:rPr>
          <w:bCs/>
          <w:szCs w:val="28"/>
          <w:u w:val="single"/>
          <w:lang w:val="ru-RU" w:eastAsia="en-US"/>
        </w:rPr>
      </w:pPr>
      <w:r w:rsidRPr="00487E95">
        <w:rPr>
          <w:bCs/>
          <w:szCs w:val="28"/>
          <w:u w:val="single"/>
          <w:lang w:val="ru-RU" w:eastAsia="en-US"/>
        </w:rPr>
        <w:t>Пересмотр и актуализация инвестиционной политики</w:t>
      </w:r>
    </w:p>
    <w:p w:rsidR="00487E95" w:rsidRPr="00487E95" w:rsidRDefault="00487E95" w:rsidP="00487E95">
      <w:pPr>
        <w:tabs>
          <w:tab w:val="left" w:pos="1170"/>
        </w:tabs>
        <w:spacing w:after="240"/>
        <w:ind w:left="117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>Инвестиционная политика ежегодно пересматривается ККИ на основе рекомендаций о внесении изменений и/или ее актуализации, полученных от Контролера.  После ее такого пересмотра рекомендации ККИ представляются Генеральному директору и, в конечном итоге, государствам-членам для их одобрения.  Специальный пересмотр политики может проводиться при определенных рыночных условиях или наличии других факторов.</w:t>
      </w:r>
    </w:p>
    <w:p w:rsidR="00487E95" w:rsidRPr="00487E95" w:rsidRDefault="00487E95" w:rsidP="00487E95">
      <w:pPr>
        <w:numPr>
          <w:ilvl w:val="0"/>
          <w:numId w:val="42"/>
        </w:numPr>
        <w:spacing w:after="240"/>
        <w:ind w:left="1170" w:hanging="630"/>
        <w:contextualSpacing/>
        <w:outlineLvl w:val="1"/>
        <w:rPr>
          <w:bCs/>
          <w:szCs w:val="28"/>
          <w:u w:val="single"/>
          <w:lang w:val="ru-RU" w:eastAsia="en-US"/>
        </w:rPr>
      </w:pPr>
      <w:r w:rsidRPr="00487E95">
        <w:rPr>
          <w:bCs/>
          <w:szCs w:val="28"/>
          <w:u w:val="single"/>
          <w:lang w:val="ru-RU" w:eastAsia="en-US"/>
        </w:rPr>
        <w:t>Наем и увольнение внешних управляющих фондами и доверительного управляющего</w:t>
      </w:r>
    </w:p>
    <w:p w:rsidR="00C3246C" w:rsidRPr="00046F2E" w:rsidRDefault="00C3246C" w:rsidP="00C3246C">
      <w:pPr>
        <w:ind w:left="1170"/>
        <w:rPr>
          <w:rFonts w:eastAsia="Times New Roman"/>
          <w:lang w:val="ru-RU" w:eastAsia="en-US"/>
        </w:rPr>
      </w:pPr>
    </w:p>
    <w:p w:rsidR="00487E95" w:rsidRPr="00487E95" w:rsidRDefault="00487E95" w:rsidP="00487E95">
      <w:pPr>
        <w:spacing w:after="240"/>
        <w:ind w:left="117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>ККИ отвечает за наем и увольнение с одобрения Генерального директора внешних управляющих фондами и доверительного управляющего (определяется в пункте 17).</w:t>
      </w:r>
    </w:p>
    <w:p w:rsidR="00487E95" w:rsidRPr="00487E95" w:rsidRDefault="00487E95" w:rsidP="00487E95">
      <w:pPr>
        <w:spacing w:after="240"/>
        <w:ind w:left="117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 xml:space="preserve">Для отбора внешних управляющих фондами и доверительного управляющего в соответствии с существующими правилами осуществления закупок Организацией публикуется запрос о предложениях (ЗОП).  Оценки полученных предложений вместе с соответствующими рекомендациями представляются ККИ для их окончательного рассмотрения. </w:t>
      </w:r>
    </w:p>
    <w:p w:rsidR="00487E95" w:rsidRPr="00487E95" w:rsidRDefault="00487E95" w:rsidP="00487E95">
      <w:pPr>
        <w:spacing w:after="240"/>
        <w:ind w:left="1170"/>
        <w:rPr>
          <w:rFonts w:eastAsia="Times New Roman"/>
          <w:lang w:val="ru-RU" w:eastAsia="en-US"/>
        </w:rPr>
      </w:pPr>
      <w:r w:rsidRPr="00487E95">
        <w:rPr>
          <w:rFonts w:eastAsia="Times New Roman"/>
          <w:lang w:val="ru-RU" w:eastAsia="en-US"/>
        </w:rPr>
        <w:t>Для участия в процедуре отбора внешние управляющие фондами должны выполнить следующие предварительные требования:</w:t>
      </w:r>
    </w:p>
    <w:p w:rsidR="00BD2450" w:rsidRPr="00487E95" w:rsidRDefault="00487E95" w:rsidP="00487E95">
      <w:pPr>
        <w:numPr>
          <w:ilvl w:val="0"/>
          <w:numId w:val="22"/>
        </w:numPr>
        <w:spacing w:after="220"/>
        <w:ind w:right="58" w:hanging="540"/>
        <w:rPr>
          <w:lang w:val="ru-RU"/>
        </w:rPr>
      </w:pPr>
      <w:r w:rsidRPr="00487E95">
        <w:rPr>
          <w:rFonts w:eastAsia="Times New Roman"/>
          <w:lang w:val="ru-RU" w:eastAsia="en-US"/>
        </w:rPr>
        <w:lastRenderedPageBreak/>
        <w:t>управляющий должен соблюдать нормативно-правовые акты соответствующей страны об оказании финансовых услуг, включая инструкции компетентного регулирующего органа</w:t>
      </w:r>
      <w:r w:rsidR="00BD2450" w:rsidRPr="00487E95">
        <w:rPr>
          <w:lang w:val="ru-RU"/>
        </w:rPr>
        <w:t>;</w:t>
      </w:r>
    </w:p>
    <w:p w:rsidR="00BD2450" w:rsidRPr="00625A85" w:rsidRDefault="00625A85" w:rsidP="005228AC">
      <w:pPr>
        <w:numPr>
          <w:ilvl w:val="0"/>
          <w:numId w:val="22"/>
        </w:numPr>
        <w:spacing w:after="220"/>
        <w:ind w:right="58" w:hanging="540"/>
        <w:rPr>
          <w:lang w:val="ru-RU"/>
        </w:rPr>
      </w:pPr>
      <w:r w:rsidRPr="00625A85">
        <w:rPr>
          <w:lang w:val="ru-RU"/>
        </w:rPr>
        <w:t>управляющий должен стремиться соблюдать Глобальные стандарты эффективности инвестирования (GIPS)</w:t>
      </w:r>
      <w:r w:rsidRPr="00625A85">
        <w:rPr>
          <w:vertAlign w:val="superscript"/>
          <w:lang w:val="ru-RU"/>
        </w:rPr>
        <w:footnoteReference w:id="7"/>
      </w:r>
      <w:r w:rsidRPr="00625A85">
        <w:rPr>
          <w:lang w:val="ru-RU"/>
        </w:rPr>
        <w:t xml:space="preserve"> и предоставить, по крайней мере, данные об эффективности инвестиций за прошедшие кварталы, составленные как с учетом, так и без учета комиссионных сборов</w:t>
      </w:r>
      <w:r w:rsidR="00BD2450" w:rsidRPr="00625A85">
        <w:rPr>
          <w:lang w:val="ru-RU"/>
        </w:rPr>
        <w:t xml:space="preserve">; </w:t>
      </w:r>
    </w:p>
    <w:p w:rsidR="00625A85" w:rsidRPr="004365E9" w:rsidRDefault="00625A85" w:rsidP="00625A85">
      <w:pPr>
        <w:pStyle w:val="ONUME"/>
        <w:numPr>
          <w:ilvl w:val="0"/>
          <w:numId w:val="22"/>
        </w:numPr>
        <w:tabs>
          <w:tab w:val="left" w:pos="1980"/>
        </w:tabs>
        <w:spacing w:after="240"/>
        <w:ind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предоставить подобную информацию об истории фирмы, основных сотрудниках, главных клиентах, структуре комиссионных сборов и вспомогательном персонале;</w:t>
      </w:r>
    </w:p>
    <w:p w:rsidR="00BD2450" w:rsidRPr="00625A85" w:rsidRDefault="00625A85" w:rsidP="00625A85">
      <w:pPr>
        <w:numPr>
          <w:ilvl w:val="0"/>
          <w:numId w:val="22"/>
        </w:numPr>
        <w:spacing w:after="220"/>
        <w:ind w:right="58" w:hanging="540"/>
        <w:rPr>
          <w:lang w:val="ru-RU"/>
        </w:rPr>
      </w:pPr>
      <w:r w:rsidRPr="004365E9">
        <w:rPr>
          <w:rFonts w:eastAsia="Times New Roman"/>
          <w:lang w:val="ru-RU" w:eastAsia="en-US"/>
        </w:rPr>
        <w:t>управляющий должен четко определить инвестиционную стратегию, которая будет проводиться, и документально подтвердить, что стратегия применялась в течение определенного периода времени</w:t>
      </w:r>
      <w:r w:rsidR="00BD2450" w:rsidRPr="00625A85">
        <w:rPr>
          <w:lang w:val="ru-RU"/>
        </w:rPr>
        <w:t xml:space="preserve">. </w:t>
      </w:r>
    </w:p>
    <w:p w:rsidR="00BD2450" w:rsidRPr="00625A85" w:rsidRDefault="00625A85" w:rsidP="00C16FE9">
      <w:pPr>
        <w:spacing w:after="220"/>
        <w:ind w:left="1182" w:right="58"/>
        <w:rPr>
          <w:lang w:val="ru-RU"/>
        </w:rPr>
      </w:pPr>
      <w:r w:rsidRPr="00625A85">
        <w:rPr>
          <w:lang w:val="ru-RU"/>
        </w:rPr>
        <w:t>Отобранные внешние управляющие фондами нанимаются путем заключения договора на управление инвестициями.  В договоре подробно указываются обязанности управляющего фондами</w:t>
      </w:r>
      <w:r w:rsidRPr="00625A85">
        <w:rPr>
          <w:vertAlign w:val="superscript"/>
          <w:lang w:val="ru-RU"/>
        </w:rPr>
        <w:footnoteReference w:id="8"/>
      </w:r>
      <w:r w:rsidRPr="00625A85">
        <w:rPr>
          <w:lang w:val="ru-RU"/>
        </w:rPr>
        <w:t>.  Такие договоры, основанные на рекомендациях ККИ, подписываются от имени ВОИС в соответствии с ее правилами осуществления закупок</w:t>
      </w:r>
      <w:r w:rsidR="00C16FE9" w:rsidRPr="00625A85">
        <w:rPr>
          <w:lang w:val="ru-RU"/>
        </w:rPr>
        <w:t>.</w:t>
      </w:r>
    </w:p>
    <w:p w:rsidR="00BD2450" w:rsidRPr="00625A85" w:rsidRDefault="00625A85" w:rsidP="00E70779">
      <w:pPr>
        <w:numPr>
          <w:ilvl w:val="0"/>
          <w:numId w:val="42"/>
        </w:numPr>
        <w:spacing w:after="240"/>
        <w:ind w:left="1170" w:hanging="630"/>
        <w:contextualSpacing/>
        <w:outlineLvl w:val="1"/>
        <w:rPr>
          <w:u w:val="single"/>
          <w:lang w:val="ru-RU"/>
        </w:rPr>
      </w:pPr>
      <w:r w:rsidRPr="00625A85">
        <w:rPr>
          <w:bCs/>
          <w:u w:val="single"/>
          <w:lang w:val="ru-RU"/>
        </w:rPr>
        <w:t>Контроль за внешними управляющими фондами и доверительным управляющим</w:t>
      </w:r>
      <w:r w:rsidR="00BD2450" w:rsidRPr="00625A85">
        <w:rPr>
          <w:u w:val="single"/>
          <w:lang w:val="ru-RU"/>
        </w:rPr>
        <w:t xml:space="preserve"> </w:t>
      </w:r>
    </w:p>
    <w:p w:rsidR="00C3246C" w:rsidRPr="00046F2E" w:rsidRDefault="00C3246C" w:rsidP="00C3246C">
      <w:pPr>
        <w:ind w:left="1181" w:right="58"/>
        <w:rPr>
          <w:lang w:val="ru-RU"/>
        </w:rPr>
      </w:pPr>
    </w:p>
    <w:p w:rsidR="00BD2450" w:rsidRPr="00625A85" w:rsidRDefault="00625A85" w:rsidP="00C16FE9">
      <w:pPr>
        <w:spacing w:after="220"/>
        <w:ind w:left="1181" w:right="58"/>
        <w:rPr>
          <w:lang w:val="ru-RU"/>
        </w:rPr>
      </w:pPr>
      <w:r w:rsidRPr="00625A85">
        <w:rPr>
          <w:lang w:val="ru-RU"/>
        </w:rPr>
        <w:t>ККИ подотчетен Генеральному директору и обеспечивает выполнение назначенными управляющими фондами их мандатов согласно договорным обязательствам, определенным в соответствующих договорах на управление инвестициями, включая руководящие принципы в отношении инвестиций, являющиеся частью каждого договора.  Эта работа ведется на основе представляемых Казначеем ежеквартальных отчетов о деятельности внешних управляющих фондами в сопоставлении с контрольными и другими показателями эффективности, а также с учетом данных об эффективности и рисках, предоставляемых доверительным управляющим.  ККИ проводит ежеквартальные обзоры инвестиционных стратегий (или при необходимости специальные обзоры), а также проводит регулярные встречи с внешними управляющими фондами и другими поставщиками услуг для обзора их деятельности</w:t>
      </w:r>
      <w:r>
        <w:rPr>
          <w:lang w:val="ru-RU"/>
        </w:rPr>
        <w:t>.</w:t>
      </w:r>
      <w:r w:rsidR="00C16FE9" w:rsidRPr="00625A85">
        <w:rPr>
          <w:lang w:val="ru-RU"/>
        </w:rPr>
        <w:t xml:space="preserve"> </w:t>
      </w:r>
    </w:p>
    <w:p w:rsidR="00BD2450" w:rsidRDefault="00625A85" w:rsidP="00E70779">
      <w:pPr>
        <w:numPr>
          <w:ilvl w:val="0"/>
          <w:numId w:val="42"/>
        </w:numPr>
        <w:spacing w:after="240"/>
        <w:ind w:left="1170" w:hanging="630"/>
        <w:contextualSpacing/>
        <w:outlineLvl w:val="1"/>
      </w:pPr>
      <w:r w:rsidRPr="00625A85">
        <w:rPr>
          <w:lang w:val="ru-RU"/>
        </w:rPr>
        <w:t>Что касается доверительного управляющего, то ККИ, используя отчеты, представляемые Казначеем, а также отчетность, направляемую Генеральному директору, обеспечивает следующее</w:t>
      </w:r>
      <w:r w:rsidR="00BD2450">
        <w:t xml:space="preserve">: </w:t>
      </w:r>
    </w:p>
    <w:p w:rsidR="00625A85" w:rsidRPr="004365E9" w:rsidRDefault="00625A85" w:rsidP="00625A85">
      <w:pPr>
        <w:pStyle w:val="ONUME"/>
        <w:numPr>
          <w:ilvl w:val="0"/>
          <w:numId w:val="45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соблюдение генерального соглашения о доверительном управлении; </w:t>
      </w:r>
    </w:p>
    <w:p w:rsidR="00625A85" w:rsidRDefault="00625A85" w:rsidP="00625A85">
      <w:p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br w:type="page"/>
      </w:r>
    </w:p>
    <w:p w:rsidR="00BD2450" w:rsidRPr="00625A85" w:rsidRDefault="00300FF6" w:rsidP="00300FF6">
      <w:pPr>
        <w:spacing w:after="220"/>
        <w:ind w:left="1134" w:right="216"/>
        <w:rPr>
          <w:lang w:val="ru-RU"/>
        </w:rPr>
      </w:pPr>
      <w:r w:rsidRPr="00300FF6">
        <w:rPr>
          <w:rFonts w:eastAsia="Times New Roman"/>
          <w:lang w:val="ru-RU" w:eastAsia="en-US"/>
        </w:rPr>
        <w:lastRenderedPageBreak/>
        <w:t>(</w:t>
      </w:r>
      <w:r>
        <w:rPr>
          <w:rFonts w:eastAsia="Times New Roman"/>
          <w:lang w:eastAsia="en-US"/>
        </w:rPr>
        <w:t>ii</w:t>
      </w:r>
      <w:r w:rsidRPr="00300FF6">
        <w:rPr>
          <w:rFonts w:eastAsia="Times New Roman"/>
          <w:lang w:val="ru-RU" w:eastAsia="en-US"/>
        </w:rPr>
        <w:t>)</w:t>
      </w:r>
      <w:r w:rsidRPr="00300FF6">
        <w:rPr>
          <w:rFonts w:eastAsia="Times New Roman"/>
          <w:lang w:val="ru-RU" w:eastAsia="en-US"/>
        </w:rPr>
        <w:tab/>
      </w:r>
      <w:r w:rsidR="00625A85" w:rsidRPr="004365E9">
        <w:rPr>
          <w:rFonts w:eastAsia="Times New Roman"/>
          <w:lang w:val="ru-RU" w:eastAsia="en-US"/>
        </w:rPr>
        <w:t>соблюдение соглашения об уровне обслуживания и основных показателей эффективности, являющихся частью генерального соглашения о доверительном управлении;  и</w:t>
      </w:r>
      <w:r w:rsidR="00BD2450" w:rsidRPr="00625A85">
        <w:rPr>
          <w:lang w:val="ru-RU"/>
        </w:rPr>
        <w:t xml:space="preserve"> </w:t>
      </w:r>
    </w:p>
    <w:p w:rsidR="00BD2450" w:rsidRPr="00625A85" w:rsidRDefault="00BD2450" w:rsidP="00FE1F24">
      <w:pPr>
        <w:spacing w:after="220"/>
        <w:ind w:left="1172" w:right="216"/>
        <w:rPr>
          <w:lang w:val="ru-RU"/>
        </w:rPr>
      </w:pPr>
      <w:r w:rsidRPr="00625A85">
        <w:rPr>
          <w:lang w:val="ru-RU"/>
        </w:rPr>
        <w:t>(</w:t>
      </w:r>
      <w:r>
        <w:t>iii</w:t>
      </w:r>
      <w:r w:rsidR="00300FF6">
        <w:rPr>
          <w:lang w:val="ru-RU"/>
        </w:rPr>
        <w:t>)</w:t>
      </w:r>
      <w:r w:rsidR="00300FF6" w:rsidRPr="00300FF6">
        <w:rPr>
          <w:lang w:val="ru-RU"/>
        </w:rPr>
        <w:tab/>
      </w:r>
      <w:r w:rsidR="00625A85" w:rsidRPr="00625A85">
        <w:rPr>
          <w:lang w:val="ru-RU"/>
        </w:rPr>
        <w:t>проведение регулярных совещаний по обзору оказываемых услуг</w:t>
      </w:r>
      <w:r w:rsidRPr="00625A85">
        <w:rPr>
          <w:lang w:val="ru-RU"/>
        </w:rPr>
        <w:t xml:space="preserve">. </w:t>
      </w:r>
    </w:p>
    <w:p w:rsidR="00BD2450" w:rsidRPr="00C3246C" w:rsidRDefault="00625A85" w:rsidP="00E70779">
      <w:pPr>
        <w:numPr>
          <w:ilvl w:val="0"/>
          <w:numId w:val="42"/>
        </w:numPr>
        <w:spacing w:after="240"/>
        <w:ind w:left="1170" w:hanging="630"/>
        <w:contextualSpacing/>
        <w:outlineLvl w:val="1"/>
        <w:rPr>
          <w:u w:val="single"/>
        </w:rPr>
      </w:pPr>
      <w:r w:rsidRPr="00625A85">
        <w:rPr>
          <w:bCs/>
          <w:u w:val="single"/>
          <w:lang w:val="ru-RU"/>
        </w:rPr>
        <w:t>Распределение активов</w:t>
      </w:r>
    </w:p>
    <w:p w:rsidR="00C3246C" w:rsidRPr="00C16FE9" w:rsidRDefault="00C3246C" w:rsidP="00C3246C">
      <w:pPr>
        <w:spacing w:after="240"/>
        <w:ind w:left="1170"/>
        <w:contextualSpacing/>
        <w:outlineLvl w:val="1"/>
        <w:rPr>
          <w:u w:val="single"/>
        </w:rPr>
      </w:pPr>
    </w:p>
    <w:p w:rsidR="00BD2450" w:rsidRPr="00625A85" w:rsidRDefault="00625A85" w:rsidP="00C16FE9">
      <w:pPr>
        <w:spacing w:after="220"/>
        <w:ind w:left="1143" w:right="58"/>
        <w:rPr>
          <w:lang w:val="ru-RU"/>
        </w:rPr>
      </w:pPr>
      <w:r w:rsidRPr="00625A85">
        <w:rPr>
          <w:lang w:val="ru-RU"/>
        </w:rPr>
        <w:t>Распределение активов для стратегических средств определяется финансовыми и актуарными характеристиками обязательств по МСПС.  Первоначальное распределение активов устанавливает ККИ на основе исследования по вопросам управления активами и пассивами (УАП), проводимого профессиональным финансовым консультантом и утверждаемого Генеральным директором.  После этого распределение стратегических активов пересматривается в рамках трехлетнего цикла  подготовки исследования УАП.  Результаты исследования изучаются ККИ, который рекомендует внесение необходимых корректировок в структуру инвестиционного портфеля.  Данные рекомендации представляются на утверждение Генеральному директору</w:t>
      </w:r>
      <w:r w:rsidR="00C16FE9" w:rsidRPr="00625A85">
        <w:rPr>
          <w:lang w:val="ru-RU"/>
        </w:rPr>
        <w:t xml:space="preserve">. </w:t>
      </w:r>
    </w:p>
    <w:p w:rsidR="00BD2450" w:rsidRPr="00625A85" w:rsidRDefault="00C16FE9" w:rsidP="00F872E1">
      <w:pPr>
        <w:pStyle w:val="ListParagraph"/>
        <w:spacing w:after="220"/>
        <w:ind w:left="-4" w:right="58" w:firstLine="0"/>
        <w:rPr>
          <w:lang w:val="ru-RU"/>
        </w:rPr>
      </w:pPr>
      <w:r w:rsidRPr="00625A85">
        <w:rPr>
          <w:lang w:val="ru-RU"/>
        </w:rPr>
        <w:t>9.</w:t>
      </w:r>
      <w:r w:rsidR="00BD2450" w:rsidRPr="00625A85">
        <w:rPr>
          <w:lang w:val="ru-RU"/>
        </w:rPr>
        <w:tab/>
      </w:r>
      <w:r w:rsidR="00625A85" w:rsidRPr="00625A85">
        <w:rPr>
          <w:lang w:val="ru-RU"/>
        </w:rPr>
        <w:t>Для выполнения обязанностей, описанных в пункте 8 выше, Комитет может нанимать внешних экспертов, обладающих значительным опытом работы в финансовом секторе.  ККИ проводит свои совещания не реже одного раза в квартал</w:t>
      </w:r>
      <w:r w:rsidR="00BD2450" w:rsidRPr="00625A85">
        <w:rPr>
          <w:lang w:val="ru-RU"/>
        </w:rPr>
        <w:t xml:space="preserve">. </w:t>
      </w:r>
    </w:p>
    <w:p w:rsidR="00BD2450" w:rsidRPr="00625A85" w:rsidRDefault="00625A85" w:rsidP="00C16FE9">
      <w:pPr>
        <w:pStyle w:val="BodyText"/>
        <w:keepNext/>
        <w:keepLines/>
        <w:rPr>
          <w:lang w:val="ru-RU"/>
        </w:rPr>
      </w:pPr>
      <w:r>
        <w:rPr>
          <w:lang w:val="ru-RU"/>
        </w:rPr>
        <w:t>КОНТРОЛЕР</w:t>
      </w:r>
      <w:r w:rsidR="00C16FE9" w:rsidRPr="00625A85">
        <w:rPr>
          <w:lang w:val="ru-RU"/>
        </w:rPr>
        <w:t xml:space="preserve"> </w:t>
      </w:r>
    </w:p>
    <w:p w:rsidR="00BD2450" w:rsidRPr="00625A85" w:rsidRDefault="00625A85" w:rsidP="005228AC">
      <w:pPr>
        <w:keepNext/>
        <w:keepLines/>
        <w:numPr>
          <w:ilvl w:val="0"/>
          <w:numId w:val="24"/>
        </w:numPr>
        <w:spacing w:after="220"/>
        <w:ind w:right="58" w:hanging="10"/>
        <w:rPr>
          <w:lang w:val="ru-RU"/>
        </w:rPr>
      </w:pPr>
      <w:r w:rsidRPr="00625A85">
        <w:rPr>
          <w:lang w:val="ru-RU"/>
        </w:rPr>
        <w:t>Согласно правилу 104.10, полномочия на осуществление инвестиций и пруденциальное управление ими в соответствии с инвестиционной политикой, утвержденной государствами-членами на основании положений 4.10 и 4.11, делегируются Контролеру</w:t>
      </w:r>
      <w:r w:rsidR="00BD2450" w:rsidRPr="00625A85">
        <w:rPr>
          <w:lang w:val="ru-RU"/>
        </w:rPr>
        <w:t xml:space="preserve">. </w:t>
      </w:r>
    </w:p>
    <w:p w:rsidR="00BD2450" w:rsidRPr="00625A85" w:rsidRDefault="00625A85" w:rsidP="005228AC">
      <w:pPr>
        <w:numPr>
          <w:ilvl w:val="0"/>
          <w:numId w:val="24"/>
        </w:numPr>
        <w:spacing w:after="220"/>
        <w:ind w:right="58" w:hanging="10"/>
        <w:rPr>
          <w:lang w:val="ru-RU"/>
        </w:rPr>
      </w:pPr>
      <w:r w:rsidRPr="00625A85">
        <w:rPr>
          <w:lang w:val="ru-RU"/>
        </w:rPr>
        <w:t>Контролер обеспечивает путем определения надлежащих руководящих принципов</w:t>
      </w:r>
      <w:r w:rsidRPr="00625A85">
        <w:rPr>
          <w:vertAlign w:val="superscript"/>
          <w:lang w:val="ru-RU"/>
        </w:rPr>
        <w:footnoteReference w:id="9"/>
      </w:r>
      <w:r w:rsidRPr="00625A85">
        <w:rPr>
          <w:lang w:val="ru-RU"/>
        </w:rPr>
        <w:t xml:space="preserve"> размещение средств в такой валюте и в активах таких классов, в соответствии с распределением активов, утвержденным Генеральным директором, которые позволяют сделать упор на минимизации рисков для главных средств при обеспечении ликвидности, необходимой для удовлетворения потребностей Организации в денежной наличности.  Кроме того, инвестиции и валюты, в которых они выражены, выбираются Контролером исходя из данной инвестиционной политики и отчетов, исследований и предложений, представляемых Казначеем, и любых сделанных на их основании рекомендаций ККИ</w:t>
      </w:r>
      <w:r w:rsidR="00BD2450" w:rsidRPr="00625A85">
        <w:rPr>
          <w:lang w:val="ru-RU"/>
        </w:rPr>
        <w:t xml:space="preserve">. </w:t>
      </w:r>
    </w:p>
    <w:p w:rsidR="00BD2450" w:rsidRPr="00C16FE9" w:rsidRDefault="00625A85" w:rsidP="00C16FE9">
      <w:pPr>
        <w:pStyle w:val="BodyText"/>
      </w:pPr>
      <w:r>
        <w:rPr>
          <w:lang w:val="ru-RU"/>
        </w:rPr>
        <w:t>КАЗНАЧЕЙ, ФИНАНСОВЫЙ ОТДЕЛ</w:t>
      </w:r>
      <w:r w:rsidR="00C16FE9" w:rsidRPr="00C16FE9">
        <w:t xml:space="preserve"> </w:t>
      </w:r>
    </w:p>
    <w:p w:rsidR="00625A85" w:rsidRPr="004365E9" w:rsidRDefault="00625A85" w:rsidP="00625A85">
      <w:pPr>
        <w:pStyle w:val="ONUME"/>
        <w:numPr>
          <w:ilvl w:val="0"/>
          <w:numId w:val="25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Это подотчетное Финансовому директору лицо, которое, в частности, выполняет </w:t>
      </w:r>
      <w:r w:rsidRPr="004365E9">
        <w:rPr>
          <w:szCs w:val="22"/>
          <w:lang w:val="ru-RU"/>
        </w:rPr>
        <w:t>функции</w:t>
      </w:r>
      <w:r w:rsidRPr="004365E9">
        <w:rPr>
          <w:rFonts w:eastAsia="Times New Roman"/>
          <w:lang w:val="ru-RU" w:eastAsia="en-US"/>
        </w:rPr>
        <w:t xml:space="preserve"> секретаря ККИ, отвечает за осуществление инвестиционной деятельности и представляет отчетность о всех произведенных инвестициях.  Казначей поддерживает связь с внешними управляющими фондов и доверительным управляющим, а также готовит ежеквартальные отчеты о текущем состоянии инвестиций для представления ККИ через Контролера.  Данные отчеты отражают эффективность инвестиций в сопоставлении с контрольными показателями и данными о рисках.  Еще одной обязанностью Казначея является контроль за соблюдением критериев, при нарушении которых управляющий инвестициями переводится на работу в режиме «под </w:t>
      </w:r>
      <w:r w:rsidRPr="004365E9">
        <w:rPr>
          <w:rFonts w:eastAsia="Times New Roman"/>
          <w:lang w:val="ru-RU" w:eastAsia="en-US"/>
        </w:rPr>
        <w:lastRenderedPageBreak/>
        <w:t xml:space="preserve">наблюдением» в целях его возможной замены в будущем.  Подготавливаемая таким образом отчетность представляется ККИ через Контролера.  По окончании каждого месяца данное лицо также проводит обзор заключенных сделок и наблюдает за финансовыми рынками. </w:t>
      </w:r>
    </w:p>
    <w:p w:rsidR="00FE1F24" w:rsidRPr="00625A85" w:rsidRDefault="00625A85" w:rsidP="00625A85">
      <w:pPr>
        <w:numPr>
          <w:ilvl w:val="0"/>
          <w:numId w:val="25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Казначей отвечает за взаимодействие с банками и всеми другими финансовыми контрагентами, включая осуществление ежеквартального мониторинга их кредитных рейтингов</w:t>
      </w:r>
      <w:r w:rsidR="00BD2450" w:rsidRPr="00625A85">
        <w:rPr>
          <w:lang w:val="ru-RU"/>
        </w:rPr>
        <w:t xml:space="preserve">. </w:t>
      </w:r>
    </w:p>
    <w:p w:rsidR="00BD2450" w:rsidRPr="0025504E" w:rsidRDefault="00625A85" w:rsidP="00C16FE9">
      <w:pPr>
        <w:pStyle w:val="BodyText"/>
        <w:rPr>
          <w:lang w:val="ru-RU"/>
        </w:rPr>
      </w:pPr>
      <w:r>
        <w:rPr>
          <w:lang w:val="ru-RU"/>
        </w:rPr>
        <w:t>ВНЕШНИЕ УПРАВЛЯЮЩИЕ ФОНДАМИ</w:t>
      </w:r>
      <w:r w:rsidR="00FE1F24" w:rsidRPr="0025504E">
        <w:rPr>
          <w:lang w:val="ru-RU"/>
        </w:rPr>
        <w:t xml:space="preserve"> </w:t>
      </w:r>
    </w:p>
    <w:p w:rsidR="00FE1F24" w:rsidRPr="00625A85" w:rsidRDefault="00BD2450" w:rsidP="00FE1F24">
      <w:pPr>
        <w:spacing w:after="220"/>
        <w:ind w:left="-4" w:right="58"/>
        <w:rPr>
          <w:lang w:val="ru-RU"/>
        </w:rPr>
      </w:pPr>
      <w:r w:rsidRPr="0025504E">
        <w:rPr>
          <w:lang w:val="ru-RU"/>
        </w:rPr>
        <w:t xml:space="preserve">14. </w:t>
      </w:r>
      <w:r w:rsidRPr="0025504E">
        <w:rPr>
          <w:lang w:val="ru-RU"/>
        </w:rPr>
        <w:tab/>
      </w:r>
      <w:r w:rsidR="00625A85" w:rsidRPr="00625A85">
        <w:rPr>
          <w:lang w:val="ru-RU"/>
        </w:rPr>
        <w:t>Этот термин охватывает отдельных лиц и фирмы, которые оказывают услуги по управлению инвестициями, в рамках которых такие активы, как акции, облигации и недвижимость, подлежат профессиональному управлению для достижения указанных инвестиционных целей Организации</w:t>
      </w:r>
      <w:r w:rsidR="00FE1F24" w:rsidRPr="00625A85">
        <w:rPr>
          <w:lang w:val="ru-RU"/>
        </w:rPr>
        <w:t xml:space="preserve">. </w:t>
      </w:r>
    </w:p>
    <w:p w:rsidR="00BD2450" w:rsidRPr="0025504E" w:rsidRDefault="00625A85" w:rsidP="00FE1F24">
      <w:pPr>
        <w:spacing w:after="220"/>
        <w:ind w:left="-4" w:right="58"/>
        <w:rPr>
          <w:lang w:val="ru-RU"/>
        </w:rPr>
      </w:pPr>
      <w:r>
        <w:rPr>
          <w:lang w:val="ru-RU"/>
        </w:rPr>
        <w:t>ДОВЕРИТЕЛЬНЫЙ УПРАВЛЯЮЩИЙ</w:t>
      </w:r>
      <w:r w:rsidR="00FE1F24" w:rsidRPr="0025504E">
        <w:rPr>
          <w:lang w:val="ru-RU"/>
        </w:rPr>
        <w:t xml:space="preserve"> </w:t>
      </w:r>
    </w:p>
    <w:p w:rsidR="00BD2450" w:rsidRPr="00625A85" w:rsidRDefault="00BD2450" w:rsidP="00FE1F24">
      <w:pPr>
        <w:spacing w:after="220"/>
        <w:ind w:left="-4" w:right="58"/>
        <w:rPr>
          <w:lang w:val="ru-RU"/>
        </w:rPr>
      </w:pPr>
      <w:r w:rsidRPr="0025504E">
        <w:rPr>
          <w:lang w:val="ru-RU"/>
        </w:rPr>
        <w:t xml:space="preserve">15. </w:t>
      </w:r>
      <w:r w:rsidRPr="0025504E">
        <w:rPr>
          <w:lang w:val="ru-RU"/>
        </w:rPr>
        <w:tab/>
      </w:r>
      <w:r w:rsidR="00625A85" w:rsidRPr="00625A85">
        <w:rPr>
          <w:lang w:val="ru-RU"/>
        </w:rPr>
        <w:t>Это финансовое учреждение, ответственное за обеспечение сохранности финансовых активов Организации.  Доверительный управляющий держит активы, такие как акции и облигации, и осуществляет расчеты в связи с любыми покупками и продажами таких активов и получением дохода на них.  Доверительный управляющий может оказывать другие услуги, такие как анализ рисков, контроль за эффективностью работы внешних управляющих фондами и составление нормативной отчетности</w:t>
      </w:r>
      <w:r w:rsidRPr="00625A85">
        <w:rPr>
          <w:lang w:val="ru-RU"/>
        </w:rPr>
        <w:t xml:space="preserve">. </w:t>
      </w:r>
    </w:p>
    <w:p w:rsidR="00BD2450" w:rsidRPr="00625A85" w:rsidRDefault="000023DB" w:rsidP="00B34FB9">
      <w:pPr>
        <w:keepNext/>
        <w:keepLines/>
        <w:spacing w:after="220"/>
        <w:ind w:left="1"/>
        <w:rPr>
          <w:b/>
          <w:lang w:val="ru-RU"/>
        </w:rPr>
      </w:pPr>
      <w:r>
        <w:rPr>
          <w:b/>
        </w:rPr>
        <w:t>C</w:t>
      </w:r>
      <w:r w:rsidRPr="00625A85">
        <w:rPr>
          <w:b/>
          <w:lang w:val="ru-RU"/>
        </w:rPr>
        <w:t>.</w:t>
      </w:r>
      <w:r w:rsidR="00BD2450" w:rsidRPr="00625A85">
        <w:rPr>
          <w:b/>
          <w:lang w:val="ru-RU"/>
        </w:rPr>
        <w:tab/>
      </w:r>
      <w:r w:rsidR="00625A85" w:rsidRPr="00625A85">
        <w:rPr>
          <w:b/>
          <w:bCs/>
          <w:lang w:val="ru-RU"/>
        </w:rPr>
        <w:t>ИНВЕСТИЦИОННЫЕ ЦЕЛИ, ТЕРПИМОСТЬ К УРОВНЮ РИСКА И ОГРАНИЧЕНИЯ</w:t>
      </w:r>
    </w:p>
    <w:p w:rsidR="00BD2450" w:rsidRDefault="00100EB0" w:rsidP="00B34FB9">
      <w:pPr>
        <w:keepNext/>
        <w:keepLines/>
        <w:spacing w:after="220"/>
      </w:pPr>
      <w:r>
        <w:rPr>
          <w:lang w:val="ru-RU"/>
        </w:rPr>
        <w:t>ЦЕЛИ</w:t>
      </w:r>
      <w:r w:rsidR="00FE1F24">
        <w:t xml:space="preserve"> </w:t>
      </w:r>
    </w:p>
    <w:p w:rsidR="00BD2450" w:rsidRPr="00100EB0" w:rsidRDefault="00100EB0" w:rsidP="005228AC">
      <w:pPr>
        <w:keepNext/>
        <w:keepLines/>
        <w:numPr>
          <w:ilvl w:val="0"/>
          <w:numId w:val="26"/>
        </w:numPr>
        <w:spacing w:after="220"/>
        <w:ind w:right="58" w:hanging="10"/>
        <w:rPr>
          <w:lang w:val="ru-RU"/>
        </w:rPr>
      </w:pPr>
      <w:r w:rsidRPr="00100EB0">
        <w:rPr>
          <w:lang w:val="ru-RU"/>
        </w:rPr>
        <w:t>Стратегические средства инвестируются на долгосрочную перспективу</w:t>
      </w:r>
      <w:r w:rsidRPr="00100EB0">
        <w:rPr>
          <w:vertAlign w:val="superscript"/>
          <w:lang w:val="ru-RU"/>
        </w:rPr>
        <w:footnoteReference w:id="10"/>
      </w:r>
      <w:r w:rsidRPr="00100EB0">
        <w:rPr>
          <w:lang w:val="ru-RU"/>
        </w:rPr>
        <w:t xml:space="preserve"> в целях роста капитала и, следовательно, для достижения общей положительной нормы прибыли.  Общие принципы управления инвестициями Организации, а именно (i) сохранение капитала;  (ii) ликвидность;  и (iii) доходность при условии соблюдения ограничений (i) и (ii), определяются следующим образом</w:t>
      </w:r>
      <w:r w:rsidR="00BD2450" w:rsidRPr="00100EB0">
        <w:rPr>
          <w:lang w:val="ru-RU"/>
        </w:rPr>
        <w:t xml:space="preserve">: </w:t>
      </w:r>
    </w:p>
    <w:p w:rsidR="00100EB0" w:rsidRPr="00100EB0" w:rsidRDefault="00100EB0" w:rsidP="00100EB0">
      <w:pPr>
        <w:pStyle w:val="ONUME"/>
        <w:numPr>
          <w:ilvl w:val="1"/>
          <w:numId w:val="26"/>
        </w:numPr>
        <w:spacing w:after="240"/>
        <w:ind w:left="1080" w:hanging="540"/>
        <w:rPr>
          <w:lang w:val="ru-RU"/>
        </w:rPr>
      </w:pPr>
      <w:r w:rsidRPr="00100EB0">
        <w:rPr>
          <w:lang w:val="ru-RU"/>
        </w:rPr>
        <w:t xml:space="preserve">сохранение капитала:  целью портфеля является, по крайней мере, сохранение капитала в долгосрочной перспективе; </w:t>
      </w:r>
    </w:p>
    <w:p w:rsidR="00100EB0" w:rsidRPr="00100EB0" w:rsidRDefault="00100EB0" w:rsidP="00100EB0">
      <w:pPr>
        <w:pStyle w:val="ONUME"/>
        <w:numPr>
          <w:ilvl w:val="1"/>
          <w:numId w:val="26"/>
        </w:numPr>
        <w:spacing w:after="240"/>
        <w:ind w:left="1080" w:hanging="540"/>
        <w:rPr>
          <w:lang w:val="ru-RU"/>
        </w:rPr>
      </w:pPr>
      <w:r w:rsidRPr="00100EB0">
        <w:rPr>
          <w:lang w:val="ru-RU"/>
        </w:rPr>
        <w:t xml:space="preserve">ликвидность:  часть портфеля инвестируется в обращающиеся на организованном рынке инструменты, которые в большинстве ситуаций на рынке могут быть легко реализованы.  В случае стратегических средств в настоящее время не существует кратко- или долгосрочных потребностей в ликвидности; </w:t>
      </w:r>
    </w:p>
    <w:p w:rsidR="00BD2450" w:rsidRPr="00100EB0" w:rsidRDefault="00100EB0" w:rsidP="00100EB0">
      <w:pPr>
        <w:numPr>
          <w:ilvl w:val="1"/>
          <w:numId w:val="26"/>
        </w:numPr>
        <w:spacing w:after="220"/>
        <w:ind w:right="58" w:hanging="540"/>
        <w:rPr>
          <w:lang w:val="ru-RU"/>
        </w:rPr>
      </w:pPr>
      <w:r w:rsidRPr="00100EB0">
        <w:rPr>
          <w:lang w:val="ru-RU"/>
        </w:rPr>
        <w:t>норма прибыли:  долгосрочная средняя норма прибыли должна быть не меньше нормы прибыли, которая используется в качестве дисконтной ставки при оценке размера обязательства, с целью свести к минимуму любой дефицит финансирования</w:t>
      </w:r>
      <w:r w:rsidR="00BD2450" w:rsidRPr="00100EB0">
        <w:rPr>
          <w:lang w:val="ru-RU"/>
        </w:rPr>
        <w:t xml:space="preserve">. </w:t>
      </w:r>
    </w:p>
    <w:p w:rsidR="00BD2450" w:rsidRPr="00100EB0" w:rsidRDefault="00100EB0" w:rsidP="005228AC">
      <w:pPr>
        <w:numPr>
          <w:ilvl w:val="0"/>
          <w:numId w:val="26"/>
        </w:numPr>
        <w:spacing w:after="220"/>
        <w:ind w:right="58" w:hanging="10"/>
        <w:rPr>
          <w:lang w:val="ru-RU"/>
        </w:rPr>
      </w:pPr>
      <w:r w:rsidRPr="00100EB0">
        <w:rPr>
          <w:lang w:val="ru-RU"/>
        </w:rPr>
        <w:t>В соответствии с рекомендациями исследования УАП Организация стремится к сбалансированному соблюдению этих трех принципов.  Признается, что не всегда может быть возможно соблюдение всех трех принципов</w:t>
      </w:r>
      <w:r>
        <w:rPr>
          <w:lang w:val="ru-RU"/>
        </w:rPr>
        <w:t>.</w:t>
      </w:r>
    </w:p>
    <w:p w:rsidR="00100EB0" w:rsidRPr="00100EB0" w:rsidRDefault="00100EB0" w:rsidP="005228AC">
      <w:pPr>
        <w:numPr>
          <w:ilvl w:val="0"/>
          <w:numId w:val="26"/>
        </w:numPr>
        <w:spacing w:after="220"/>
        <w:ind w:right="58" w:hanging="10"/>
        <w:rPr>
          <w:lang w:val="ru-RU"/>
        </w:rPr>
      </w:pPr>
      <w:r w:rsidRPr="00100EB0">
        <w:rPr>
          <w:lang w:val="ru-RU"/>
        </w:rPr>
        <w:lastRenderedPageBreak/>
        <w:t>Целевым ориентир</w:t>
      </w:r>
      <w:r>
        <w:rPr>
          <w:lang w:val="ru-RU"/>
        </w:rPr>
        <w:t>ом служит покрытие обязательств</w:t>
      </w:r>
      <w:r w:rsidRPr="00100EB0">
        <w:rPr>
          <w:lang w:val="ru-RU"/>
        </w:rPr>
        <w:t xml:space="preserve"> по МСПС на </w:t>
      </w:r>
      <w:r>
        <w:rPr>
          <w:lang w:val="ru-RU"/>
        </w:rPr>
        <w:t>90</w:t>
      </w:r>
      <w:r w:rsidRPr="00100EB0">
        <w:rPr>
          <w:lang w:val="ru-RU"/>
        </w:rPr>
        <w:t xml:space="preserve"> процентов в течение </w:t>
      </w:r>
      <w:r>
        <w:rPr>
          <w:lang w:val="ru-RU"/>
        </w:rPr>
        <w:t xml:space="preserve">двадцатилетнего </w:t>
      </w:r>
      <w:r w:rsidRPr="00100EB0">
        <w:rPr>
          <w:lang w:val="ru-RU"/>
        </w:rPr>
        <w:t>периода, количество лет которого является производным требования о достижении общей положительной нормы прибыли при приемлемом уровне риска.</w:t>
      </w:r>
    </w:p>
    <w:p w:rsidR="00B34FB9" w:rsidRPr="0025504E" w:rsidRDefault="00100EB0" w:rsidP="00B34FB9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69"/>
        <w:ind w:left="567" w:right="566"/>
        <w:jc w:val="both"/>
        <w:rPr>
          <w:lang w:val="ru-RU"/>
        </w:rPr>
      </w:pPr>
      <w:r>
        <w:rPr>
          <w:i/>
          <w:iCs/>
          <w:lang w:val="ru-RU"/>
        </w:rPr>
        <w:t>Опираясь</w:t>
      </w:r>
      <w:r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на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результаты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исследования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УАП</w:t>
      </w:r>
      <w:r w:rsidR="00AA13E7" w:rsidRPr="00AA13E7">
        <w:rPr>
          <w:i/>
          <w:iCs/>
          <w:lang w:val="ru-RU"/>
        </w:rPr>
        <w:t xml:space="preserve">, </w:t>
      </w:r>
      <w:r w:rsidR="00AA13E7">
        <w:rPr>
          <w:i/>
          <w:iCs/>
          <w:lang w:val="ru-RU"/>
        </w:rPr>
        <w:t>проведенного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внешним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консультантом</w:t>
      </w:r>
      <w:r w:rsidR="00AA13E7" w:rsidRPr="00AA13E7">
        <w:rPr>
          <w:i/>
          <w:iCs/>
          <w:lang w:val="ru-RU"/>
        </w:rPr>
        <w:t xml:space="preserve">, </w:t>
      </w:r>
      <w:r w:rsidR="00AA13E7">
        <w:rPr>
          <w:i/>
          <w:iCs/>
          <w:lang w:val="ru-RU"/>
        </w:rPr>
        <w:t>ККИ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принял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коэффициент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покрытия</w:t>
      </w:r>
      <w:r w:rsidR="00AA13E7" w:rsidRPr="00AA13E7">
        <w:rPr>
          <w:lang w:val="ru-RU"/>
        </w:rPr>
        <w:t xml:space="preserve"> </w:t>
      </w:r>
      <w:r w:rsidR="00AA13E7" w:rsidRPr="00AA13E7">
        <w:rPr>
          <w:i/>
          <w:iCs/>
          <w:lang w:val="ru-RU"/>
        </w:rPr>
        <w:t>обязательств по МСПС</w:t>
      </w:r>
      <w:r w:rsidR="00AA13E7">
        <w:rPr>
          <w:i/>
          <w:iCs/>
          <w:lang w:val="ru-RU"/>
        </w:rPr>
        <w:t xml:space="preserve"> в размере 90 процентов в течение 20 лет, который будет использоваться при выборе объектов для инвестирования стратегических средств.  Ввиду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этого</w:t>
      </w:r>
      <w:r w:rsidR="00AA13E7" w:rsidRPr="00AA13E7">
        <w:rPr>
          <w:i/>
          <w:iCs/>
          <w:lang w:val="ru-RU"/>
        </w:rPr>
        <w:t xml:space="preserve"> </w:t>
      </w:r>
      <w:r w:rsidR="00AA13E7">
        <w:rPr>
          <w:i/>
          <w:iCs/>
          <w:lang w:val="ru-RU"/>
        </w:rPr>
        <w:t>показатель в размере 80-100 процентов от объема обязательств был исключен.  Одновременно была исключена сноска 10 ниже, необходимости в которой теперь нет.</w:t>
      </w:r>
      <w:r w:rsidR="00AA13E7" w:rsidRPr="00AA13E7">
        <w:rPr>
          <w:i/>
          <w:iCs/>
          <w:lang w:val="ru-RU"/>
        </w:rPr>
        <w:t xml:space="preserve">  </w:t>
      </w:r>
    </w:p>
    <w:p w:rsidR="00BD2450" w:rsidRPr="0025504E" w:rsidRDefault="00AA13E7" w:rsidP="001E095D">
      <w:pPr>
        <w:pStyle w:val="BodyText"/>
        <w:rPr>
          <w:lang w:val="ru-RU"/>
        </w:rPr>
      </w:pPr>
      <w:r w:rsidRPr="0025504E">
        <w:rPr>
          <w:lang w:val="ru-RU"/>
        </w:rPr>
        <w:t xml:space="preserve">ТЕРПИМОСТЬ К УРОВНЮ РИСКА </w:t>
      </w:r>
    </w:p>
    <w:p w:rsidR="00BD2450" w:rsidRPr="0068721C" w:rsidRDefault="00BD2450" w:rsidP="006D0AD4">
      <w:pPr>
        <w:spacing w:after="231"/>
        <w:ind w:left="-4" w:right="58"/>
        <w:rPr>
          <w:lang w:val="ru-RU"/>
        </w:rPr>
      </w:pPr>
      <w:r w:rsidRPr="0025504E">
        <w:rPr>
          <w:lang w:val="ru-RU"/>
        </w:rPr>
        <w:t xml:space="preserve">19. </w:t>
      </w:r>
      <w:r w:rsidRPr="0025504E">
        <w:rPr>
          <w:lang w:val="ru-RU"/>
        </w:rPr>
        <w:tab/>
      </w:r>
      <w:r w:rsidR="0068721C" w:rsidRPr="0068721C">
        <w:rPr>
          <w:lang w:val="ru-RU"/>
        </w:rPr>
        <w:t>Уровень принимаемого риска соответствует инвестиционным целям в отношении стратегических средств, указанным в подразделе «Цели» раздела С выше.  В случае основных средств признается, что для достижения инвестиционных целей необходимо принятие определенного риска.  Учитывая те цели, которые стоят перед стратегическими средствами, параметры принимаемого риска соответствуют инвестициям, демонстрирующим волатильность.  Уровни терпимости к риску определяются и утверждаются Генеральным директором на основе рекомендаций ККИ.  ККИ отвечает за понимание рисков и их непрерывный мониторинг</w:t>
      </w:r>
      <w:r w:rsidRPr="0068721C">
        <w:rPr>
          <w:lang w:val="ru-RU"/>
        </w:rPr>
        <w:t xml:space="preserve">.  </w:t>
      </w:r>
    </w:p>
    <w:p w:rsidR="00BD2450" w:rsidRPr="008C0E1F" w:rsidRDefault="0068721C" w:rsidP="000B1B51">
      <w:pPr>
        <w:pStyle w:val="BodyText"/>
        <w:rPr>
          <w:lang w:val="ru-RU"/>
        </w:rPr>
      </w:pPr>
      <w:r>
        <w:rPr>
          <w:lang w:val="ru-RU"/>
        </w:rPr>
        <w:t>ОГРАНИЧЕНИЯ</w:t>
      </w:r>
      <w:r w:rsidR="001E095D" w:rsidRPr="008C0E1F">
        <w:rPr>
          <w:lang w:val="ru-RU"/>
        </w:rPr>
        <w:t xml:space="preserve"> </w:t>
      </w:r>
    </w:p>
    <w:p w:rsidR="00FF0988" w:rsidRPr="0068721C" w:rsidRDefault="00BD2450" w:rsidP="00FF0988">
      <w:pPr>
        <w:tabs>
          <w:tab w:val="center" w:pos="2134"/>
        </w:tabs>
        <w:spacing w:after="227"/>
        <w:ind w:left="-14"/>
        <w:jc w:val="both"/>
        <w:rPr>
          <w:lang w:val="ru-RU"/>
        </w:rPr>
      </w:pPr>
      <w:r w:rsidRPr="008C0E1F">
        <w:rPr>
          <w:lang w:val="ru-RU"/>
        </w:rPr>
        <w:t xml:space="preserve">20. </w:t>
      </w:r>
      <w:r w:rsidRPr="008C0E1F">
        <w:rPr>
          <w:lang w:val="ru-RU"/>
        </w:rPr>
        <w:tab/>
      </w:r>
      <w:r w:rsidR="0025504E">
        <w:rPr>
          <w:lang w:val="ru-RU"/>
        </w:rPr>
        <w:t>Диверсификация контрагентов</w:t>
      </w:r>
      <w:r w:rsidR="00FF0988" w:rsidRPr="008C0E1F">
        <w:rPr>
          <w:lang w:val="ru-RU"/>
        </w:rPr>
        <w:t>:</w:t>
      </w:r>
    </w:p>
    <w:p w:rsidR="005542BA" w:rsidRPr="00522939" w:rsidRDefault="008C0E1F" w:rsidP="005542BA">
      <w:pPr>
        <w:pStyle w:val="ONUME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rFonts w:eastAsia="Times New Roman"/>
          <w:lang w:val="ru-RU" w:eastAsia="en-US"/>
        </w:rPr>
      </w:pPr>
      <w:r>
        <w:rPr>
          <w:i/>
          <w:iCs/>
          <w:lang w:val="ru-RU"/>
        </w:rPr>
        <w:t>Всеми</w:t>
      </w:r>
      <w:r w:rsidRPr="008C0E1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инвестициями стратегических средств ВОИС, независимо от того, вкладывались ли средства непосредственно или через объединенные инвестиционные фонды обращающихся на рынке ценных бумаг, будет заниматься доверительный управляющий от имени ВОИС.</w:t>
      </w:r>
      <w:r w:rsidR="005542BA" w:rsidRPr="008C0E1F">
        <w:rPr>
          <w:i/>
          <w:iCs/>
          <w:lang w:val="ru-RU"/>
        </w:rPr>
        <w:t xml:space="preserve">  </w:t>
      </w:r>
      <w:r>
        <w:rPr>
          <w:i/>
          <w:iCs/>
          <w:lang w:val="ru-RU"/>
        </w:rPr>
        <w:t>Доверительный</w:t>
      </w:r>
      <w:r w:rsidRPr="0052293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управляющий</w:t>
      </w:r>
      <w:r w:rsidRPr="0052293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осуществляет управление фондами, а лишь выступает агентом, получающим процентные платежи и осуществляющим операции по покупке и продаже инвестиций.  В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форме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денежной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наличности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будет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присутствовать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лишь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минимальная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сумма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 xml:space="preserve">средств, которые будут инвестироваться как можно скорее.  </w:t>
      </w:r>
      <w:r w:rsidR="005542BA" w:rsidRPr="00522939">
        <w:rPr>
          <w:i/>
          <w:iCs/>
          <w:lang w:val="ru-RU"/>
        </w:rPr>
        <w:t xml:space="preserve">  </w:t>
      </w:r>
      <w:r w:rsidR="00522939">
        <w:rPr>
          <w:i/>
          <w:iCs/>
          <w:lang w:val="ru-RU"/>
        </w:rPr>
        <w:t>Таким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образом</w:t>
      </w:r>
      <w:r w:rsidR="00522939" w:rsidRPr="00522939">
        <w:rPr>
          <w:i/>
          <w:iCs/>
          <w:lang w:val="ru-RU"/>
        </w:rPr>
        <w:t xml:space="preserve">, </w:t>
      </w:r>
      <w:r w:rsidR="00522939">
        <w:rPr>
          <w:i/>
          <w:iCs/>
          <w:lang w:val="ru-RU"/>
        </w:rPr>
        <w:t>исходя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из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пересмотренных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инвестиционных</w:t>
      </w:r>
      <w:r w:rsidR="00522939" w:rsidRPr="00522939">
        <w:rPr>
          <w:i/>
          <w:iCs/>
          <w:lang w:val="ru-RU"/>
        </w:rPr>
        <w:t xml:space="preserve"> </w:t>
      </w:r>
      <w:r w:rsidR="00522939">
        <w:rPr>
          <w:i/>
          <w:iCs/>
          <w:lang w:val="ru-RU"/>
        </w:rPr>
        <w:t>планов</w:t>
      </w:r>
      <w:r w:rsidR="00522939" w:rsidRPr="00522939">
        <w:rPr>
          <w:i/>
          <w:iCs/>
          <w:lang w:val="ru-RU"/>
        </w:rPr>
        <w:t xml:space="preserve">, </w:t>
      </w:r>
      <w:r w:rsidR="00522939">
        <w:rPr>
          <w:i/>
          <w:iCs/>
          <w:lang w:val="ru-RU"/>
        </w:rPr>
        <w:t>данный пункт более не применим к авуарам стратегических средств.</w:t>
      </w:r>
    </w:p>
    <w:p w:rsidR="00AA1A2A" w:rsidRPr="009D308F" w:rsidRDefault="005D3689" w:rsidP="00391378">
      <w:pPr>
        <w:pStyle w:val="ONUME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rFonts w:eastAsia="Times New Roman"/>
          <w:lang w:val="ru-RU" w:eastAsia="en-US"/>
        </w:rPr>
      </w:pPr>
      <w:r>
        <w:rPr>
          <w:i/>
          <w:iCs/>
          <w:lang w:val="ru-RU"/>
        </w:rPr>
        <w:t>В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целях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упрощения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формы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представления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вся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информация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классах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активов</w:t>
      </w:r>
      <w:r w:rsidRPr="009D308F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которые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могут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приобретаться</w:t>
      </w:r>
      <w:r w:rsidRPr="009D308F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кредитных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рейтингах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каждому</w:t>
      </w:r>
      <w:r w:rsidRPr="009D308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классу</w:t>
      </w:r>
      <w:r w:rsidRPr="009D308F">
        <w:rPr>
          <w:i/>
          <w:iCs/>
          <w:lang w:val="ru-RU"/>
        </w:rPr>
        <w:t xml:space="preserve"> </w:t>
      </w:r>
      <w:r w:rsidR="009D308F">
        <w:rPr>
          <w:i/>
          <w:iCs/>
          <w:lang w:val="ru-RU"/>
        </w:rPr>
        <w:t>приведена в таблице в разделе</w:t>
      </w:r>
      <w:r w:rsidR="009D308F" w:rsidRPr="009D308F">
        <w:rPr>
          <w:i/>
          <w:iCs/>
          <w:lang w:val="ru-RU"/>
        </w:rPr>
        <w:t xml:space="preserve"> </w:t>
      </w:r>
      <w:r w:rsidR="009D308F">
        <w:rPr>
          <w:i/>
          <w:iCs/>
        </w:rPr>
        <w:t>D</w:t>
      </w:r>
      <w:r w:rsidR="00391378" w:rsidRPr="009D308F">
        <w:rPr>
          <w:i/>
          <w:iCs/>
          <w:lang w:val="ru-RU"/>
        </w:rPr>
        <w:t xml:space="preserve"> </w:t>
      </w:r>
      <w:r w:rsidR="009D308F">
        <w:rPr>
          <w:i/>
          <w:iCs/>
          <w:lang w:val="ru-RU"/>
        </w:rPr>
        <w:t>ниже.</w:t>
      </w:r>
    </w:p>
    <w:p w:rsidR="00BD2450" w:rsidRPr="0025504E" w:rsidRDefault="00A10E4A" w:rsidP="005228AC">
      <w:pPr>
        <w:numPr>
          <w:ilvl w:val="0"/>
          <w:numId w:val="27"/>
        </w:numPr>
        <w:spacing w:after="211" w:line="249" w:lineRule="auto"/>
        <w:ind w:left="1134" w:right="58" w:hanging="567"/>
        <w:rPr>
          <w:lang w:val="ru-RU"/>
        </w:rPr>
      </w:pPr>
      <w:r w:rsidRPr="00A10E4A">
        <w:rPr>
          <w:lang w:val="ru-RU"/>
        </w:rPr>
        <w:t>инвестиции, размещаемые внешними управляющими фондами, могут</w:t>
      </w:r>
      <w:r>
        <w:rPr>
          <w:lang w:val="ru-RU"/>
        </w:rPr>
        <w:t xml:space="preserve"> осуществляться только в соответствии с таблицей допустимых классов активов, приведенной в разделе </w:t>
      </w:r>
      <w:r>
        <w:t>D</w:t>
      </w:r>
      <w:r>
        <w:rPr>
          <w:lang w:val="ru-RU"/>
        </w:rPr>
        <w:t xml:space="preserve"> ниже;</w:t>
      </w:r>
    </w:p>
    <w:p w:rsidR="00BD2450" w:rsidRPr="0025504E" w:rsidRDefault="00A10E4A" w:rsidP="005228AC">
      <w:pPr>
        <w:numPr>
          <w:ilvl w:val="0"/>
          <w:numId w:val="27"/>
        </w:numPr>
        <w:spacing w:after="212" w:line="249" w:lineRule="auto"/>
        <w:ind w:left="1134" w:right="58" w:hanging="567"/>
        <w:rPr>
          <w:lang w:val="ru-RU"/>
        </w:rPr>
      </w:pPr>
      <w:r>
        <w:rPr>
          <w:lang w:val="ru-RU"/>
        </w:rPr>
        <w:t>п</w:t>
      </w:r>
      <w:r w:rsidR="0025504E" w:rsidRPr="0025504E">
        <w:rPr>
          <w:lang w:val="ru-RU"/>
        </w:rPr>
        <w:t xml:space="preserve">ри определении процентной доли средств, которые хранятся в определенном учреждении, учитываются также инвестиции, размещенные в его дочерних или аффилированных предприятиях.  Временное превышение лимитов возможно в случае колебаний курсов валют, истечения сроков погашения крупных инвестиций, изменений в обороте денежных средств или понижения рейтингов учреждений.  В случае </w:t>
      </w:r>
      <w:r w:rsidR="0025504E" w:rsidRPr="0025504E">
        <w:rPr>
          <w:lang w:val="ru-RU"/>
        </w:rPr>
        <w:lastRenderedPageBreak/>
        <w:t>превышения установленных лимитов Казначей совместно с внешними управляющими фондами стремится исправить ситуацию в возможно короткий срок без оплаты штрафных санкций.  Если уровни сложно откорректировать (из-за связанных с этим затрат), требуется подтверждение ситуации Контролером</w:t>
      </w:r>
      <w:r w:rsidR="00BD2450" w:rsidRPr="0025504E">
        <w:rPr>
          <w:lang w:val="ru-RU"/>
        </w:rPr>
        <w:t xml:space="preserve">. </w:t>
      </w:r>
    </w:p>
    <w:p w:rsidR="00BD2450" w:rsidRPr="00A10E4A" w:rsidRDefault="00A10E4A" w:rsidP="00140EF4">
      <w:pPr>
        <w:pStyle w:val="BodyText"/>
        <w:rPr>
          <w:lang w:val="ru-RU"/>
        </w:rPr>
      </w:pPr>
      <w:r>
        <w:rPr>
          <w:bCs/>
          <w:iCs/>
          <w:caps/>
          <w:lang w:val="ru-RU"/>
        </w:rPr>
        <w:t>ВАЛЮТА ИНВЕСТИЦИЙ</w:t>
      </w:r>
    </w:p>
    <w:p w:rsidR="00A10E4A" w:rsidRPr="004365E9" w:rsidRDefault="00A10E4A" w:rsidP="00A10E4A">
      <w:pPr>
        <w:pStyle w:val="ONUME"/>
        <w:numPr>
          <w:ilvl w:val="0"/>
          <w:numId w:val="28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Выбор валюты для инвестиций осуществляется с учетом валюты, в которой ведется финансовая отчетность и которой в настоящее время является швейцарский франк. </w:t>
      </w:r>
    </w:p>
    <w:p w:rsidR="00BD2450" w:rsidRPr="00A10E4A" w:rsidRDefault="00A10E4A" w:rsidP="00A10E4A">
      <w:pPr>
        <w:numPr>
          <w:ilvl w:val="0"/>
          <w:numId w:val="28"/>
        </w:numPr>
        <w:spacing w:after="235" w:line="249" w:lineRule="auto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 xml:space="preserve">Если инвестиции осуществляются в иной валюте, чем швейцарский франк, внешние управляющие фондами определяют в соответствии с руководящими принципами в отношении инвестиций использование инструментов хеджирования для минимизации рисков, связанных с колебаниями курсов валют соответствующих инвестиций по отношению к швейцарскому франку, во избежание чистых инвестиционных убытков.  Инвестиции в спекулятивных целях в производные финансовые инструменты не допускаются. </w:t>
      </w:r>
      <w:r w:rsidR="00BD2450" w:rsidRPr="00A10E4A">
        <w:rPr>
          <w:lang w:val="ru-RU"/>
        </w:rPr>
        <w:t xml:space="preserve">   </w:t>
      </w:r>
    </w:p>
    <w:p w:rsidR="00BD2450" w:rsidRPr="00A10E4A" w:rsidRDefault="00A10E4A" w:rsidP="008A1E5A">
      <w:pPr>
        <w:pStyle w:val="BodyText"/>
        <w:rPr>
          <w:lang w:val="ru-RU"/>
        </w:rPr>
      </w:pPr>
      <w:r>
        <w:rPr>
          <w:lang w:val="ru-RU"/>
        </w:rPr>
        <w:t>КРЕДИТНЫЕ ЛИМИТЫ</w:t>
      </w:r>
    </w:p>
    <w:p w:rsidR="00BD2450" w:rsidRPr="00A10E4A" w:rsidRDefault="00BD2450" w:rsidP="00140EF4">
      <w:pPr>
        <w:spacing w:after="230"/>
        <w:ind w:left="-4" w:right="58"/>
        <w:rPr>
          <w:lang w:val="ru-RU"/>
        </w:rPr>
      </w:pPr>
      <w:r w:rsidRPr="00300FF6">
        <w:rPr>
          <w:lang w:val="ru-RU"/>
        </w:rPr>
        <w:t xml:space="preserve">23. </w:t>
      </w:r>
      <w:r w:rsidRPr="00300FF6">
        <w:rPr>
          <w:lang w:val="ru-RU"/>
        </w:rPr>
        <w:tab/>
      </w:r>
      <w:r w:rsidR="00A10E4A" w:rsidRPr="004365E9">
        <w:rPr>
          <w:rFonts w:eastAsia="Times New Roman"/>
          <w:lang w:val="ru-RU" w:eastAsia="en-US"/>
        </w:rPr>
        <w:t>Общий размер инвестиций в любом отдельно взятом учреждении не превышает 5 процентов собственного капитала банка или компании, указанного в последней опубликованной финансовой отчетности.  В случае ценных бумаг с фиксированным доходом допускаются инвестиции в размере до 5 процентов всего объема эмиссии данных ценных бумаг</w:t>
      </w:r>
      <w:r w:rsidR="00A10E4A">
        <w:rPr>
          <w:lang w:val="ru-RU"/>
        </w:rPr>
        <w:t>.</w:t>
      </w:r>
    </w:p>
    <w:p w:rsidR="00BD2450" w:rsidRPr="00A10E4A" w:rsidRDefault="00A10E4A" w:rsidP="000023DB">
      <w:pPr>
        <w:pStyle w:val="BodyText"/>
        <w:keepNext/>
        <w:keepLines/>
        <w:rPr>
          <w:lang w:val="ru-RU"/>
        </w:rPr>
      </w:pPr>
      <w:r>
        <w:rPr>
          <w:lang w:val="ru-RU"/>
        </w:rPr>
        <w:t>ЭТИЧЕСКИЕ СООБРАЖЕНИЯ</w:t>
      </w:r>
    </w:p>
    <w:p w:rsidR="00BD2450" w:rsidRPr="00A10E4A" w:rsidRDefault="00BD2450" w:rsidP="00C3246C">
      <w:pPr>
        <w:keepNext/>
        <w:keepLines/>
        <w:spacing w:after="220"/>
        <w:ind w:left="-6" w:right="57"/>
        <w:rPr>
          <w:lang w:val="ru-RU"/>
        </w:rPr>
      </w:pPr>
      <w:r w:rsidRPr="00300FF6">
        <w:rPr>
          <w:lang w:val="ru-RU"/>
        </w:rPr>
        <w:t xml:space="preserve">24. </w:t>
      </w:r>
      <w:r w:rsidRPr="00300FF6">
        <w:rPr>
          <w:lang w:val="ru-RU"/>
        </w:rPr>
        <w:tab/>
      </w:r>
      <w:r w:rsidR="00A10E4A" w:rsidRPr="004365E9">
        <w:rPr>
          <w:rFonts w:eastAsia="Times New Roman"/>
          <w:lang w:val="ru-RU" w:eastAsia="en-US"/>
        </w:rPr>
        <w:t>При осуществлении инвестиций учитывается, соблюдает ли учреждение, в которое инвестируются средства, десять принципов Глобального договора Организации Объединенных Наций в области прав человека, трудовых норм, охраны окружающей среды и борьбы с коррупцией (</w:t>
      </w:r>
      <w:hyperlink r:id="rId17" w:history="1">
        <w:r w:rsidR="00A10E4A" w:rsidRPr="004365E9">
          <w:rPr>
            <w:rFonts w:eastAsia="Times New Roman"/>
            <w:color w:val="0000FF" w:themeColor="hyperlink"/>
            <w:u w:val="single"/>
            <w:lang w:val="ru-RU" w:eastAsia="en-US"/>
          </w:rPr>
          <w:t>www.unglobalcompact.org</w:t>
        </w:r>
      </w:hyperlink>
      <w:r w:rsidR="00A10E4A" w:rsidRPr="004365E9">
        <w:rPr>
          <w:rFonts w:eastAsia="Times New Roman"/>
          <w:lang w:val="ru-RU" w:eastAsia="en-US"/>
        </w:rPr>
        <w:t>).  Вся инвестиционная деятельность соответствует принципам, изложенным в политике ВОИС в области предотвращения и борьбы с коррупцией, мошенничеством, сговором, принуждением, отмыванием денег и финансированием терроризма</w:t>
      </w:r>
      <w:r w:rsidRPr="00A10E4A">
        <w:rPr>
          <w:lang w:val="ru-RU"/>
        </w:rPr>
        <w:t>.</w:t>
      </w:r>
    </w:p>
    <w:p w:rsidR="00BD2450" w:rsidRPr="00300FF6" w:rsidRDefault="00A10E4A" w:rsidP="008A1E5A">
      <w:pPr>
        <w:pStyle w:val="BodyText"/>
        <w:rPr>
          <w:lang w:val="ru-RU"/>
        </w:rPr>
      </w:pPr>
      <w:r>
        <w:rPr>
          <w:lang w:val="ru-RU"/>
        </w:rPr>
        <w:t>ЗАИМСТВОВАНИЯ</w:t>
      </w:r>
      <w:r w:rsidR="0079545F" w:rsidRPr="00300FF6">
        <w:rPr>
          <w:lang w:val="ru-RU"/>
        </w:rPr>
        <w:t xml:space="preserve">  </w:t>
      </w:r>
    </w:p>
    <w:p w:rsidR="007B0AEB" w:rsidRPr="00A10E4A" w:rsidRDefault="00BD2450" w:rsidP="00667FD7">
      <w:pPr>
        <w:spacing w:after="220"/>
        <w:ind w:left="-4" w:right="58"/>
        <w:rPr>
          <w:lang w:val="ru-RU"/>
        </w:rPr>
      </w:pPr>
      <w:r w:rsidRPr="00300FF6">
        <w:rPr>
          <w:lang w:val="ru-RU"/>
        </w:rPr>
        <w:t xml:space="preserve">25. </w:t>
      </w:r>
      <w:r w:rsidRPr="00300FF6">
        <w:rPr>
          <w:lang w:val="ru-RU"/>
        </w:rPr>
        <w:tab/>
      </w:r>
      <w:r w:rsidR="00A10E4A" w:rsidRPr="004365E9">
        <w:rPr>
          <w:rFonts w:eastAsia="Times New Roman"/>
          <w:lang w:val="ru-RU" w:eastAsia="en-US"/>
        </w:rPr>
        <w:t>Внешние управляющие фондами не заимствуют средства ни в каких учреждениях для левериджа инвестиций</w:t>
      </w:r>
      <w:r w:rsidRPr="00A10E4A">
        <w:rPr>
          <w:lang w:val="ru-RU"/>
        </w:rPr>
        <w:t>.</w:t>
      </w:r>
    </w:p>
    <w:p w:rsidR="00BD2450" w:rsidRPr="00A10E4A" w:rsidRDefault="007B0AEB" w:rsidP="00140EF4">
      <w:pPr>
        <w:pStyle w:val="BodyText"/>
        <w:rPr>
          <w:b/>
          <w:lang w:val="ru-RU"/>
        </w:rPr>
      </w:pPr>
      <w:r w:rsidRPr="000023DB">
        <w:rPr>
          <w:b/>
        </w:rPr>
        <w:t>D</w:t>
      </w:r>
      <w:r w:rsidRPr="00A10E4A">
        <w:rPr>
          <w:b/>
          <w:lang w:val="ru-RU"/>
        </w:rPr>
        <w:t>.</w:t>
      </w:r>
      <w:r w:rsidR="00BD2450" w:rsidRPr="00A10E4A">
        <w:rPr>
          <w:b/>
          <w:lang w:val="ru-RU"/>
        </w:rPr>
        <w:tab/>
      </w:r>
      <w:r w:rsidR="00A10E4A" w:rsidRPr="00A10E4A">
        <w:rPr>
          <w:b/>
          <w:bCs/>
          <w:lang w:val="ru-RU"/>
        </w:rPr>
        <w:t>ДОПУСТИМЫЕ КЛАССЫ АКТИВОВ</w:t>
      </w:r>
    </w:p>
    <w:p w:rsidR="00BD2450" w:rsidRPr="004816B4" w:rsidRDefault="00F6150A" w:rsidP="00140EF4">
      <w:pPr>
        <w:spacing w:after="220" w:line="259" w:lineRule="auto"/>
        <w:rPr>
          <w:lang w:val="ru-RU"/>
        </w:rPr>
      </w:pPr>
      <w:r w:rsidRPr="00A10E4A">
        <w:rPr>
          <w:lang w:val="ru-RU"/>
        </w:rPr>
        <w:t>26.</w:t>
      </w:r>
      <w:r w:rsidR="00BD2450" w:rsidRPr="00A10E4A">
        <w:rPr>
          <w:lang w:val="ru-RU"/>
        </w:rPr>
        <w:tab/>
      </w:r>
      <w:r w:rsidR="00A10E4A" w:rsidRPr="00A10E4A">
        <w:rPr>
          <w:lang w:val="ru-RU"/>
        </w:rPr>
        <w:t>Допустимые классы активов и их минимальные кредитные рейтинги указаны в нижеследующей таблице.  Активы любых таких классов могут быть выражены в иной валюте, чем швейцарский франк</w:t>
      </w:r>
      <w:r w:rsidR="00BD2450" w:rsidRPr="00A10E4A">
        <w:rPr>
          <w:lang w:val="ru-RU"/>
        </w:rPr>
        <w:t>.</w:t>
      </w:r>
      <w:r w:rsidR="004816B4">
        <w:rPr>
          <w:lang w:val="ru-RU"/>
        </w:rPr>
        <w:t xml:space="preserve">  </w:t>
      </w:r>
      <w:r w:rsidR="004816B4" w:rsidRPr="004816B4">
        <w:rPr>
          <w:lang w:val="ru-RU"/>
        </w:rPr>
        <w:t>Инвестиции стратегические средств в ценные бумаги какого-либо одного эмитента не должны превышать 5 процентов от общего объема инвестиций стратегических средств, за исключением суверенных облигаций с рейтингом не ниже АА.  Инвестиции в суверенные облигации какой-либо одной стран</w:t>
      </w:r>
      <w:r w:rsidR="00830607">
        <w:rPr>
          <w:lang w:val="ru-RU"/>
        </w:rPr>
        <w:t>ы</w:t>
      </w:r>
      <w:r w:rsidR="004816B4" w:rsidRPr="004816B4">
        <w:rPr>
          <w:lang w:val="ru-RU"/>
        </w:rPr>
        <w:t xml:space="preserve"> с рейтингом не ниже AA не должны превышать 30 процентов от общего объема вложений стратегических средств.   В пределах ограничений, установленных ниже, вложения могут осуществляться в форме прямого инвестирования или через структуры коллективных инвестиций.</w:t>
      </w:r>
    </w:p>
    <w:p w:rsidR="001609ED" w:rsidRPr="001609ED" w:rsidRDefault="001609ED" w:rsidP="001609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i/>
          <w:lang w:val="ru-RU"/>
        </w:rPr>
      </w:pPr>
      <w:r w:rsidRPr="001609ED">
        <w:rPr>
          <w:i/>
          <w:lang w:val="ru-RU"/>
        </w:rPr>
        <w:lastRenderedPageBreak/>
        <w:t>Вышеизложенный текст  включен дополнительно для того, чтобы ограничить размеры потенциальных убытков в связи с отдельным эмитентом и тем самым повысить степень диверсификации и понизить уровень риска.  В рамках утвержденной политики конкретные лимиты не оговариваются.</w:t>
      </w:r>
    </w:p>
    <w:p w:rsidR="001609ED" w:rsidRPr="001609ED" w:rsidRDefault="001609ED" w:rsidP="001609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i/>
          <w:lang w:val="ru-RU"/>
        </w:rPr>
      </w:pPr>
      <w:r w:rsidRPr="001609ED">
        <w:rPr>
          <w:i/>
          <w:lang w:val="ru-RU"/>
        </w:rPr>
        <w:t xml:space="preserve">  </w:t>
      </w:r>
    </w:p>
    <w:p w:rsidR="00391378" w:rsidRPr="001609ED" w:rsidRDefault="001609ED" w:rsidP="001609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i/>
          <w:lang w:val="ru-RU"/>
        </w:rPr>
      </w:pPr>
      <w:r w:rsidRPr="001609ED">
        <w:rPr>
          <w:i/>
          <w:lang w:val="ru-RU"/>
        </w:rPr>
        <w:t>Последняя фраза добавлена в целях уточнения того, что вместо прямого владения индивидуальными инвестициями разрешено использовать структуры коллективных инвестиций, которые позволяют повысить степень диверсификации и понизить уровень риска и затрат.  Вместе с тем, на структуры коллективных инвестиций будут распространяться ограничения, изложенные в приводимой ниже таблице.</w:t>
      </w:r>
    </w:p>
    <w:p w:rsidR="00BD2450" w:rsidRPr="001609ED" w:rsidRDefault="00BD2450" w:rsidP="00391378">
      <w:pPr>
        <w:spacing w:line="259" w:lineRule="auto"/>
        <w:rPr>
          <w:lang w:val="ru-RU"/>
        </w:rPr>
      </w:pPr>
    </w:p>
    <w:p w:rsidR="00BD2450" w:rsidRDefault="00BD2450" w:rsidP="00BD2450">
      <w:pPr>
        <w:spacing w:line="259" w:lineRule="auto"/>
        <w:rPr>
          <w:lang w:val="ru-RU"/>
        </w:rPr>
      </w:pPr>
    </w:p>
    <w:p w:rsidR="000070AC" w:rsidRDefault="000070AC" w:rsidP="00BD2450">
      <w:pPr>
        <w:spacing w:line="259" w:lineRule="auto"/>
        <w:rPr>
          <w:lang w:val="ru-RU"/>
        </w:rPr>
      </w:pPr>
    </w:p>
    <w:p w:rsidR="00C3246C" w:rsidRPr="00046F2E" w:rsidRDefault="00C3246C">
      <w:pPr>
        <w:rPr>
          <w:lang w:val="ru-RU"/>
        </w:rPr>
      </w:pPr>
      <w:r w:rsidRPr="00046F2E">
        <w:rPr>
          <w:lang w:val="ru-RU"/>
        </w:rPr>
        <w:br w:type="page"/>
      </w: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43"/>
        <w:gridCol w:w="1701"/>
        <w:gridCol w:w="1654"/>
        <w:gridCol w:w="2976"/>
      </w:tblGrid>
      <w:tr w:rsidR="00BD2450" w:rsidTr="00C3246C">
        <w:trPr>
          <w:trHeight w:val="232"/>
          <w:tblHeader/>
        </w:trPr>
        <w:tc>
          <w:tcPr>
            <w:tcW w:w="2943" w:type="dxa"/>
            <w:tcBorders>
              <w:right w:val="single" w:sz="4" w:space="0" w:color="auto"/>
            </w:tcBorders>
          </w:tcPr>
          <w:p w:rsidR="00BD2450" w:rsidRPr="001609ED" w:rsidRDefault="00100794" w:rsidP="00BD2450">
            <w:pPr>
              <w:rPr>
                <w:sz w:val="18"/>
                <w:szCs w:val="18"/>
                <w:lang w:val="ru-RU"/>
              </w:rPr>
            </w:pPr>
            <w:r w:rsidRPr="001609ED">
              <w:rPr>
                <w:sz w:val="18"/>
                <w:szCs w:val="18"/>
                <w:lang w:val="ru-RU"/>
              </w:rPr>
              <w:lastRenderedPageBreak/>
              <w:t xml:space="preserve">  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50" w:rsidRPr="00B041F2" w:rsidRDefault="000070AC" w:rsidP="00100794">
            <w:pPr>
              <w:jc w:val="center"/>
              <w:rPr>
                <w:b/>
                <w:sz w:val="18"/>
                <w:szCs w:val="18"/>
              </w:rPr>
            </w:pPr>
            <w:r w:rsidRPr="000070AC">
              <w:rPr>
                <w:b/>
                <w:sz w:val="18"/>
                <w:szCs w:val="18"/>
                <w:lang w:val="ru-RU"/>
              </w:rPr>
              <w:t>Минимальный кредитный рейтинг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450" w:rsidRDefault="00BD2450" w:rsidP="00BD2450">
            <w:pPr>
              <w:jc w:val="center"/>
              <w:rPr>
                <w:sz w:val="18"/>
                <w:szCs w:val="18"/>
              </w:rPr>
            </w:pPr>
          </w:p>
        </w:tc>
      </w:tr>
      <w:tr w:rsidR="00100794" w:rsidTr="00674B57">
        <w:trPr>
          <w:trHeight w:val="500"/>
          <w:tblHeader/>
        </w:trPr>
        <w:tc>
          <w:tcPr>
            <w:tcW w:w="2943" w:type="dxa"/>
            <w:tcBorders>
              <w:right w:val="single" w:sz="4" w:space="0" w:color="auto"/>
            </w:tcBorders>
          </w:tcPr>
          <w:p w:rsidR="00B041F2" w:rsidRPr="0021282B" w:rsidRDefault="00B041F2" w:rsidP="00BD24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F2" w:rsidRPr="0021282B" w:rsidRDefault="000070AC" w:rsidP="00894DB7">
            <w:pPr>
              <w:jc w:val="center"/>
              <w:rPr>
                <w:sz w:val="18"/>
                <w:szCs w:val="18"/>
              </w:rPr>
            </w:pPr>
            <w:r w:rsidRPr="000070AC">
              <w:rPr>
                <w:sz w:val="18"/>
                <w:szCs w:val="18"/>
                <w:lang w:val="ru-RU"/>
              </w:rPr>
              <w:t xml:space="preserve">Краткосрочный </w:t>
            </w:r>
            <w:r w:rsidRPr="000070AC">
              <w:rPr>
                <w:sz w:val="18"/>
                <w:szCs w:val="18"/>
                <w:lang w:val="ru-RU"/>
              </w:rPr>
              <w:br/>
              <w:t>(до одного года)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F2" w:rsidRPr="000070AC" w:rsidRDefault="000070AC" w:rsidP="00894DB7">
            <w:pPr>
              <w:jc w:val="center"/>
              <w:rPr>
                <w:sz w:val="18"/>
                <w:szCs w:val="18"/>
                <w:lang w:val="ru-RU"/>
              </w:rPr>
            </w:pPr>
            <w:r w:rsidRPr="000070AC">
              <w:rPr>
                <w:sz w:val="18"/>
                <w:szCs w:val="18"/>
                <w:lang w:val="ru-RU"/>
              </w:rPr>
              <w:t>Долгосрочный</w:t>
            </w:r>
            <w:r w:rsidRPr="000070AC">
              <w:rPr>
                <w:sz w:val="18"/>
                <w:szCs w:val="18"/>
                <w:lang w:val="ru-RU"/>
              </w:rPr>
              <w:br/>
              <w:t>(от года и более)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2" w:rsidRPr="00B041F2" w:rsidRDefault="000070AC" w:rsidP="00E67B39">
            <w:pPr>
              <w:jc w:val="center"/>
              <w:rPr>
                <w:i/>
                <w:sz w:val="18"/>
                <w:szCs w:val="18"/>
              </w:rPr>
            </w:pPr>
            <w:r w:rsidRPr="000070AC">
              <w:rPr>
                <w:b/>
                <w:i/>
                <w:sz w:val="18"/>
                <w:szCs w:val="18"/>
                <w:lang w:val="ru-RU"/>
              </w:rPr>
              <w:t>Разъяснение изменений</w:t>
            </w:r>
          </w:p>
        </w:tc>
      </w:tr>
      <w:tr w:rsidR="00B041F2" w:rsidTr="00C3246C">
        <w:trPr>
          <w:trHeight w:val="232"/>
        </w:trPr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2" w:rsidRPr="000070AC" w:rsidRDefault="000070AC" w:rsidP="00B041F2">
            <w:pPr>
              <w:rPr>
                <w:sz w:val="18"/>
                <w:szCs w:val="18"/>
                <w:lang w:val="ru-RU"/>
              </w:rPr>
            </w:pPr>
            <w:r w:rsidRPr="000070AC">
              <w:rPr>
                <w:b/>
                <w:sz w:val="18"/>
                <w:szCs w:val="18"/>
              </w:rPr>
              <w:t>Наличные или эквивалентные средства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2" w:rsidRPr="00B041F2" w:rsidRDefault="00B041F2" w:rsidP="00BD2450">
            <w:pPr>
              <w:rPr>
                <w:i/>
                <w:sz w:val="18"/>
                <w:szCs w:val="18"/>
              </w:rPr>
            </w:pPr>
          </w:p>
        </w:tc>
      </w:tr>
      <w:tr w:rsidR="000070AC" w:rsidRPr="00E5189C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0070AC" w:rsidRPr="00B02798" w:rsidRDefault="000070AC" w:rsidP="00C3246C">
            <w:pPr>
              <w:rPr>
                <w:sz w:val="18"/>
                <w:szCs w:val="18"/>
                <w:lang w:val="ru-RU"/>
              </w:rPr>
            </w:pPr>
            <w:r w:rsidRPr="00B02798">
              <w:rPr>
                <w:sz w:val="18"/>
                <w:szCs w:val="18"/>
                <w:lang w:val="ru-RU"/>
              </w:rPr>
              <w:t>Счета до востребования, сберегательные или депозитные счета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0AC" w:rsidRPr="0021282B" w:rsidRDefault="000070AC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A-2/P-2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0AC" w:rsidRPr="0021282B" w:rsidRDefault="00830607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A/A2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0070AC" w:rsidRDefault="000070AC" w:rsidP="00F879B6">
            <w:pPr>
              <w:rPr>
                <w:i/>
                <w:sz w:val="18"/>
                <w:szCs w:val="18"/>
                <w:lang w:val="ru-RU"/>
              </w:rPr>
            </w:pPr>
            <w:r w:rsidRPr="000070AC">
              <w:rPr>
                <w:i/>
                <w:sz w:val="18"/>
                <w:szCs w:val="18"/>
                <w:lang w:val="ru-RU"/>
              </w:rPr>
              <w:t>Инвестиции такого рода  будут использоваться главным образом в случае операционных средств.  С учетом профиля риска ВОИС для этого кассового ресурса консультанты ВОИС по вопросам инвестиций рекомендуют соответствующий  более высокий кредитный рейтинг.</w:t>
            </w:r>
          </w:p>
        </w:tc>
      </w:tr>
      <w:tr w:rsidR="000070AC" w:rsidRPr="0021282B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C3246C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Депозитные сертификаты/срочные депозиты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B041F2" w:rsidRDefault="000070AC" w:rsidP="00BD2450">
            <w:pPr>
              <w:rPr>
                <w:i/>
                <w:sz w:val="18"/>
                <w:szCs w:val="18"/>
              </w:rPr>
            </w:pPr>
          </w:p>
        </w:tc>
      </w:tr>
      <w:tr w:rsidR="000070AC" w:rsidRPr="0021282B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C3246C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Структурированные депозиты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B041F2" w:rsidRDefault="000070AC" w:rsidP="00BD2450">
            <w:pPr>
              <w:rPr>
                <w:i/>
                <w:sz w:val="18"/>
                <w:szCs w:val="18"/>
              </w:rPr>
            </w:pPr>
          </w:p>
        </w:tc>
      </w:tr>
      <w:tr w:rsidR="000070AC" w:rsidRPr="0021282B" w:rsidTr="00674B57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21282B" w:rsidRDefault="000070AC" w:rsidP="00C3246C">
            <w:pPr>
              <w:rPr>
                <w:sz w:val="18"/>
                <w:szCs w:val="18"/>
              </w:rPr>
            </w:pPr>
            <w:r w:rsidRPr="00B02798">
              <w:rPr>
                <w:sz w:val="18"/>
                <w:szCs w:val="18"/>
                <w:lang w:val="ru-RU"/>
              </w:rPr>
              <w:t>Многовалютные депозиты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21282B" w:rsidRDefault="000070AC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AC" w:rsidRPr="00B041F2" w:rsidRDefault="000070AC" w:rsidP="00BD2450">
            <w:pPr>
              <w:rPr>
                <w:i/>
                <w:sz w:val="18"/>
                <w:szCs w:val="18"/>
              </w:rPr>
            </w:pPr>
          </w:p>
        </w:tc>
      </w:tr>
      <w:tr w:rsidR="00BD2450" w:rsidRPr="0021282B" w:rsidTr="00674B57"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894DB7" w:rsidRDefault="000070AC" w:rsidP="009622F0">
            <w:pPr>
              <w:keepNext/>
              <w:keepLines/>
              <w:rPr>
                <w:sz w:val="18"/>
                <w:szCs w:val="18"/>
              </w:rPr>
            </w:pPr>
            <w:r w:rsidRPr="000070AC">
              <w:rPr>
                <w:b/>
                <w:sz w:val="18"/>
                <w:szCs w:val="18"/>
                <w:lang w:val="ru-RU"/>
              </w:rPr>
              <w:t>Инвестиции на денежном рынке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B041F2" w:rsidRDefault="00BD2450" w:rsidP="009622F0">
            <w:pPr>
              <w:keepNext/>
              <w:keepLines/>
              <w:rPr>
                <w:i/>
                <w:sz w:val="18"/>
                <w:szCs w:val="18"/>
              </w:rPr>
            </w:pPr>
          </w:p>
        </w:tc>
      </w:tr>
      <w:tr w:rsidR="00BD2450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0070AC" w:rsidP="009622F0">
            <w:pPr>
              <w:keepNext/>
              <w:keepLines/>
              <w:rPr>
                <w:sz w:val="18"/>
                <w:szCs w:val="18"/>
              </w:rPr>
            </w:pPr>
            <w:r w:rsidRPr="000070AC">
              <w:rPr>
                <w:sz w:val="18"/>
                <w:szCs w:val="18"/>
                <w:lang w:val="ru-RU"/>
              </w:rPr>
              <w:t>Коммерческие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9622F0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9622F0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BBB/Baa3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B041F2" w:rsidRDefault="00BD2450" w:rsidP="009622F0">
            <w:pPr>
              <w:keepNext/>
              <w:keepLines/>
              <w:rPr>
                <w:i/>
                <w:sz w:val="18"/>
                <w:szCs w:val="18"/>
              </w:rPr>
            </w:pPr>
          </w:p>
        </w:tc>
      </w:tr>
      <w:tr w:rsidR="00BD2450" w:rsidRPr="00E5189C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0070AC" w:rsidRDefault="000070AC" w:rsidP="00BD2450">
            <w:pPr>
              <w:rPr>
                <w:sz w:val="18"/>
                <w:szCs w:val="18"/>
                <w:lang w:val="ru-RU"/>
              </w:rPr>
            </w:pPr>
            <w:r w:rsidRPr="000070AC">
              <w:rPr>
                <w:sz w:val="18"/>
                <w:szCs w:val="18"/>
                <w:lang w:val="ru-RU"/>
              </w:rPr>
              <w:t>Соглашения репо/соглашения обратного репо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A-2/P-2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50" w:rsidRPr="0021282B" w:rsidRDefault="00830607" w:rsidP="00667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A/A2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0070AC" w:rsidRDefault="000070AC" w:rsidP="00F879B6">
            <w:pPr>
              <w:rPr>
                <w:i/>
                <w:sz w:val="18"/>
                <w:szCs w:val="18"/>
                <w:lang w:val="ru-RU"/>
              </w:rPr>
            </w:pPr>
            <w:r w:rsidRPr="000070AC">
              <w:rPr>
                <w:i/>
                <w:sz w:val="18"/>
                <w:szCs w:val="18"/>
                <w:lang w:val="ru-RU"/>
              </w:rPr>
              <w:t>Инвестиции такого рода  будут использоваться главным образом в случае операционных средств.  С учетом профиля риска ВОИС для этого кассового ресурса консультанты ВОИС по вопросам инвестиций рекомендуют соответствующий  более высокий кредитный рейтинг.</w:t>
            </w:r>
            <w:r w:rsidR="00BD2450" w:rsidRPr="000070AC">
              <w:rPr>
                <w:i/>
                <w:sz w:val="18"/>
                <w:szCs w:val="18"/>
                <w:lang w:val="ru-RU"/>
              </w:rPr>
              <w:t xml:space="preserve">   </w:t>
            </w:r>
          </w:p>
        </w:tc>
      </w:tr>
      <w:tr w:rsidR="00BD2450" w:rsidRPr="0021282B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0070AC" w:rsidP="00BD2450">
            <w:pPr>
              <w:rPr>
                <w:sz w:val="18"/>
                <w:szCs w:val="18"/>
              </w:rPr>
            </w:pPr>
            <w:r w:rsidRPr="000070AC">
              <w:rPr>
                <w:sz w:val="18"/>
                <w:szCs w:val="18"/>
                <w:lang w:val="ru-RU"/>
              </w:rPr>
              <w:t>Банковские акцепты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B041F2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  <w:tr w:rsidR="00BD2450" w:rsidRPr="00B54066" w:rsidTr="00674B57">
        <w:trPr>
          <w:trHeight w:val="549"/>
        </w:trPr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50" w:rsidRPr="008D1207" w:rsidRDefault="008D1207" w:rsidP="008D1207">
            <w:pPr>
              <w:rPr>
                <w:sz w:val="18"/>
                <w:szCs w:val="18"/>
                <w:lang w:val="ru-RU"/>
              </w:rPr>
            </w:pPr>
            <w:r w:rsidRPr="008D1207">
              <w:rPr>
                <w:b/>
                <w:sz w:val="18"/>
                <w:szCs w:val="18"/>
                <w:lang w:val="ru-RU"/>
              </w:rPr>
              <w:t xml:space="preserve">Долговые обязательства, векселя или другие облигации и продукты с фиксированным доходом, покупку которых производит непосредственно ВОИС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8D1207" w:rsidRDefault="00BD2450" w:rsidP="00BD2450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8D1207" w:rsidRPr="00B54066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C3246C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207" w:rsidRPr="00830607" w:rsidRDefault="00830607" w:rsidP="00667FD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207" w:rsidRDefault="008D1207" w:rsidP="008D1207">
            <w:pPr>
              <w:jc w:val="center"/>
              <w:rPr>
                <w:sz w:val="18"/>
                <w:szCs w:val="18"/>
              </w:rPr>
            </w:pPr>
          </w:p>
          <w:p w:rsidR="00830607" w:rsidRPr="00B92EFB" w:rsidRDefault="00830607" w:rsidP="008D1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BBB-/Baa3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07" w:rsidRPr="008D1207" w:rsidRDefault="008D1207" w:rsidP="00F879B6">
            <w:pPr>
              <w:rPr>
                <w:i/>
                <w:sz w:val="18"/>
                <w:szCs w:val="18"/>
                <w:lang w:val="ru-RU"/>
              </w:rPr>
            </w:pPr>
            <w:r w:rsidRPr="008D1207">
              <w:rPr>
                <w:i/>
                <w:sz w:val="18"/>
                <w:szCs w:val="18"/>
                <w:lang w:val="ru-RU"/>
              </w:rPr>
              <w:t>Ввиду ограниченных возможностей при существующем состоянии рынка, по мнению консультантов ВОИС по вопросам инвестиций, важно диверсифицировать структуру инвестиций с включением всех продуктов инвестиционного класса с фиксированным доходом.</w:t>
            </w:r>
          </w:p>
        </w:tc>
      </w:tr>
      <w:tr w:rsidR="008D1207" w:rsidRPr="00B54066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8D1207" w:rsidRPr="00BF687A" w:rsidRDefault="008D1207" w:rsidP="00C3246C">
            <w:pPr>
              <w:rPr>
                <w:sz w:val="18"/>
                <w:szCs w:val="18"/>
                <w:lang w:val="ru-RU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</w:t>
            </w:r>
            <w:r w:rsidRPr="0025504E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субнациональных</w:t>
            </w:r>
            <w:r w:rsidRPr="0025504E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органов: облигации региональных, муниципальных или территориальных органов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07" w:rsidRPr="008D1207" w:rsidRDefault="008D1207" w:rsidP="00BD24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07" w:rsidRPr="008D1207" w:rsidRDefault="008D1207" w:rsidP="00BD24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8D1207" w:rsidRDefault="008D1207" w:rsidP="00BD2450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8D1207" w:rsidRPr="0021282B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C3246C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B041F2" w:rsidRDefault="008D1207" w:rsidP="00BD2450">
            <w:pPr>
              <w:rPr>
                <w:i/>
                <w:sz w:val="18"/>
                <w:szCs w:val="18"/>
              </w:rPr>
            </w:pPr>
          </w:p>
        </w:tc>
      </w:tr>
      <w:tr w:rsidR="008D1207" w:rsidRPr="0021282B" w:rsidTr="00674B57">
        <w:trPr>
          <w:trHeight w:val="373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21282B" w:rsidRDefault="008D1207" w:rsidP="00C3246C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Частное размещение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21282B" w:rsidRDefault="008D1207" w:rsidP="00BD2450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21282B" w:rsidRDefault="008D1207" w:rsidP="00BD245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B041F2" w:rsidRDefault="008D1207" w:rsidP="00BD2450">
            <w:pPr>
              <w:rPr>
                <w:i/>
                <w:sz w:val="18"/>
                <w:szCs w:val="18"/>
              </w:rPr>
            </w:pPr>
          </w:p>
        </w:tc>
      </w:tr>
      <w:tr w:rsidR="00BD2450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8D1207" w:rsidP="00BD2450">
            <w:pPr>
              <w:rPr>
                <w:sz w:val="18"/>
                <w:szCs w:val="18"/>
              </w:rPr>
            </w:pPr>
            <w:r w:rsidRPr="008D1207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89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A-3/P-3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21282B" w:rsidRDefault="00BD2450" w:rsidP="00BD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BBB-/Baa3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B041F2" w:rsidRDefault="00BD2450" w:rsidP="00BD2450">
            <w:pPr>
              <w:rPr>
                <w:i/>
                <w:sz w:val="18"/>
                <w:szCs w:val="18"/>
              </w:rPr>
            </w:pPr>
          </w:p>
        </w:tc>
      </w:tr>
    </w:tbl>
    <w:p w:rsidR="00C3246C" w:rsidRDefault="00C3246C">
      <w:r>
        <w:br w:type="page"/>
      </w: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43"/>
        <w:gridCol w:w="1701"/>
        <w:gridCol w:w="1654"/>
        <w:gridCol w:w="2976"/>
      </w:tblGrid>
      <w:tr w:rsidR="00BD2450" w:rsidRPr="00B54066" w:rsidTr="00674B57">
        <w:trPr>
          <w:trHeight w:val="595"/>
        </w:trPr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50" w:rsidRPr="000070AC" w:rsidDel="002C612A" w:rsidRDefault="000070AC" w:rsidP="00C3246C">
            <w:pPr>
              <w:keepNext/>
              <w:keepLines/>
              <w:rPr>
                <w:sz w:val="18"/>
                <w:szCs w:val="18"/>
                <w:lang w:val="ru-RU"/>
              </w:rPr>
            </w:pPr>
            <w:r w:rsidRPr="000070AC">
              <w:rPr>
                <w:b/>
                <w:sz w:val="18"/>
                <w:szCs w:val="18"/>
                <w:lang w:val="ru-RU"/>
              </w:rPr>
              <w:lastRenderedPageBreak/>
              <w:t>Долговые обязательства, векселя или другие облигации и другие продукты с фиксированным доходом</w:t>
            </w:r>
            <w:r>
              <w:rPr>
                <w:b/>
                <w:sz w:val="18"/>
                <w:szCs w:val="18"/>
                <w:lang w:val="ru-RU"/>
              </w:rPr>
              <w:t xml:space="preserve">, </w:t>
            </w:r>
            <w:r w:rsidRPr="000070AC">
              <w:rPr>
                <w:b/>
                <w:sz w:val="18"/>
                <w:szCs w:val="18"/>
                <w:lang w:val="ru-RU"/>
              </w:rPr>
              <w:t>приобретаемые при вложении средств в обращающиеся на рынке ценные бумаги объединенных инвестиционных фондов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50" w:rsidRPr="000070AC" w:rsidRDefault="00BD2450" w:rsidP="00C3246C">
            <w:pPr>
              <w:keepNext/>
              <w:keepLines/>
              <w:rPr>
                <w:i/>
                <w:sz w:val="18"/>
                <w:szCs w:val="18"/>
                <w:lang w:val="ru-RU"/>
              </w:rPr>
            </w:pPr>
          </w:p>
        </w:tc>
      </w:tr>
      <w:tr w:rsidR="008D1207" w:rsidRPr="00E5189C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C3246C">
            <w:pPr>
              <w:keepNext/>
              <w:keepLines/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674B57" w:rsidRDefault="00674B57" w:rsidP="00C3246C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  <w:r w:rsidRPr="008136A1">
              <w:rPr>
                <w:sz w:val="18"/>
                <w:szCs w:val="18"/>
                <w:lang w:val="ru-RU"/>
              </w:rPr>
              <w:t>Не менее 65% авуаров инвестиционного класса (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 xml:space="preserve"> -</w:t>
            </w:r>
            <w:r w:rsidRPr="008136A1">
              <w:rPr>
                <w:sz w:val="18"/>
                <w:szCs w:val="18"/>
              </w:rPr>
              <w:t>BBB</w:t>
            </w:r>
            <w:r w:rsidRPr="008136A1">
              <w:rPr>
                <w:sz w:val="18"/>
                <w:szCs w:val="18"/>
                <w:lang w:val="ru-RU"/>
              </w:rPr>
              <w:t>-/</w:t>
            </w:r>
            <w:r w:rsidRPr="008136A1">
              <w:rPr>
                <w:sz w:val="18"/>
                <w:szCs w:val="18"/>
              </w:rPr>
              <w:t>Baa</w:t>
            </w:r>
            <w:r w:rsidRPr="008136A1">
              <w:rPr>
                <w:sz w:val="18"/>
                <w:szCs w:val="18"/>
                <w:lang w:val="ru-RU"/>
              </w:rPr>
              <w:t xml:space="preserve">3), остальная часть средств в размере до 35% может вкладываться в высокодоходные облигации классов от </w:t>
            </w:r>
            <w:r w:rsidRPr="008136A1">
              <w:rPr>
                <w:sz w:val="18"/>
                <w:szCs w:val="18"/>
              </w:rPr>
              <w:t>BB</w:t>
            </w:r>
            <w:r w:rsidRPr="008136A1">
              <w:rPr>
                <w:sz w:val="18"/>
                <w:szCs w:val="18"/>
                <w:lang w:val="ru-RU"/>
              </w:rPr>
              <w:t>+/</w:t>
            </w:r>
            <w:r w:rsidRPr="008136A1">
              <w:rPr>
                <w:sz w:val="18"/>
                <w:szCs w:val="18"/>
              </w:rPr>
              <w:t>Ba</w:t>
            </w:r>
            <w:r w:rsidRPr="008136A1">
              <w:rPr>
                <w:sz w:val="18"/>
                <w:szCs w:val="18"/>
                <w:lang w:val="ru-RU"/>
              </w:rPr>
              <w:t xml:space="preserve">1 до </w:t>
            </w:r>
            <w:r w:rsidRPr="008136A1">
              <w:rPr>
                <w:sz w:val="18"/>
                <w:szCs w:val="18"/>
              </w:rPr>
              <w:t>C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Ca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674B57" w:rsidDel="002C612A" w:rsidRDefault="00674B57" w:rsidP="00C3246C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  <w:r w:rsidRPr="008136A1">
              <w:rPr>
                <w:sz w:val="18"/>
                <w:szCs w:val="18"/>
                <w:lang w:val="ru-RU"/>
              </w:rPr>
              <w:t>Не менее 65% авуаров инвестиционного класса (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Aaa</w:t>
            </w:r>
            <w:r w:rsidRPr="008136A1">
              <w:rPr>
                <w:sz w:val="18"/>
                <w:szCs w:val="18"/>
                <w:lang w:val="ru-RU"/>
              </w:rPr>
              <w:t xml:space="preserve"> -</w:t>
            </w:r>
            <w:r w:rsidRPr="008136A1">
              <w:rPr>
                <w:sz w:val="18"/>
                <w:szCs w:val="18"/>
              </w:rPr>
              <w:t>BBB</w:t>
            </w:r>
            <w:r w:rsidRPr="008136A1">
              <w:rPr>
                <w:sz w:val="18"/>
                <w:szCs w:val="18"/>
                <w:lang w:val="ru-RU"/>
              </w:rPr>
              <w:t>-/</w:t>
            </w:r>
            <w:r w:rsidRPr="008136A1">
              <w:rPr>
                <w:sz w:val="18"/>
                <w:szCs w:val="18"/>
              </w:rPr>
              <w:t>Baa</w:t>
            </w:r>
            <w:r w:rsidRPr="008136A1">
              <w:rPr>
                <w:sz w:val="18"/>
                <w:szCs w:val="18"/>
                <w:lang w:val="ru-RU"/>
              </w:rPr>
              <w:t xml:space="preserve">3), остальная часть средств в размере до 35% может вкладываться в высокодоходные облигации классов от </w:t>
            </w:r>
            <w:r w:rsidRPr="008136A1">
              <w:rPr>
                <w:sz w:val="18"/>
                <w:szCs w:val="18"/>
              </w:rPr>
              <w:t>BB</w:t>
            </w:r>
            <w:r w:rsidRPr="008136A1">
              <w:rPr>
                <w:sz w:val="18"/>
                <w:szCs w:val="18"/>
                <w:lang w:val="ru-RU"/>
              </w:rPr>
              <w:t>+/</w:t>
            </w:r>
            <w:r w:rsidRPr="008136A1">
              <w:rPr>
                <w:sz w:val="18"/>
                <w:szCs w:val="18"/>
              </w:rPr>
              <w:t>Ba</w:t>
            </w:r>
            <w:r w:rsidRPr="008136A1">
              <w:rPr>
                <w:sz w:val="18"/>
                <w:szCs w:val="18"/>
                <w:lang w:val="ru-RU"/>
              </w:rPr>
              <w:t xml:space="preserve">1 до </w:t>
            </w:r>
            <w:r w:rsidRPr="008136A1">
              <w:rPr>
                <w:sz w:val="18"/>
                <w:szCs w:val="18"/>
              </w:rPr>
              <w:t>C</w:t>
            </w:r>
            <w:r w:rsidRPr="008136A1">
              <w:rPr>
                <w:sz w:val="18"/>
                <w:szCs w:val="18"/>
                <w:lang w:val="ru-RU"/>
              </w:rPr>
              <w:t>/</w:t>
            </w:r>
            <w:r w:rsidRPr="008136A1">
              <w:rPr>
                <w:sz w:val="18"/>
                <w:szCs w:val="18"/>
              </w:rPr>
              <w:t>Ca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8D1207" w:rsidRDefault="008D1207" w:rsidP="00C3246C">
            <w:pPr>
              <w:keepNext/>
              <w:keepLines/>
              <w:rPr>
                <w:i/>
                <w:sz w:val="18"/>
                <w:szCs w:val="18"/>
                <w:lang w:val="ru-RU"/>
              </w:rPr>
            </w:pPr>
            <w:r w:rsidRPr="008D1207">
              <w:rPr>
                <w:i/>
                <w:sz w:val="18"/>
                <w:szCs w:val="18"/>
                <w:lang w:val="ru-RU"/>
              </w:rPr>
              <w:t>Ввиду ограниченных возможностей при существующем состоянии рынка, по мнению консультантов ВОИС по вопросам инвестиций, необходимо диверсифицировать структуру инвестиций с включением некоторых высокодоходных продуктов с фиксированным доходом. Данный подход позволит фондам сохранять авуары в облигациях с пониженным рейтингом, если, по мнению управляющего фондом, это отвечает интересам его участников.</w:t>
            </w:r>
          </w:p>
        </w:tc>
      </w:tr>
      <w:tr w:rsidR="008D1207" w:rsidRPr="00E5189C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8D1207" w:rsidRPr="00BF687A" w:rsidRDefault="008D1207" w:rsidP="00C3246C">
            <w:pPr>
              <w:rPr>
                <w:sz w:val="18"/>
                <w:szCs w:val="18"/>
                <w:lang w:val="ru-RU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</w:t>
            </w:r>
            <w:r w:rsidRPr="00A349D4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субнациональных</w:t>
            </w:r>
            <w:r w:rsidRPr="00A349D4">
              <w:rPr>
                <w:sz w:val="18"/>
                <w:szCs w:val="18"/>
                <w:lang w:val="ru-RU"/>
              </w:rPr>
              <w:t xml:space="preserve"> </w:t>
            </w:r>
            <w:r w:rsidRPr="00BF687A">
              <w:rPr>
                <w:sz w:val="18"/>
                <w:szCs w:val="18"/>
                <w:lang w:val="ru-RU"/>
              </w:rPr>
              <w:t>органов: облигации региональных, муниципальных или территориальных органов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8D1207" w:rsidRDefault="008D1207" w:rsidP="00C3246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8D1207" w:rsidDel="002C612A" w:rsidRDefault="008D1207" w:rsidP="00C3246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8D1207" w:rsidRDefault="008D1207" w:rsidP="00C3246C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8D1207" w:rsidTr="00674B5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8D1207" w:rsidRPr="0021282B" w:rsidRDefault="008D1207" w:rsidP="00C3246C">
            <w:pPr>
              <w:rPr>
                <w:sz w:val="18"/>
                <w:szCs w:val="18"/>
              </w:rPr>
            </w:pPr>
            <w:r w:rsidRPr="00BF687A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Default="008D120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Del="002C612A" w:rsidRDefault="008D120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B041F2" w:rsidRDefault="008D1207" w:rsidP="00C3246C">
            <w:pPr>
              <w:rPr>
                <w:i/>
                <w:sz w:val="18"/>
                <w:szCs w:val="18"/>
              </w:rPr>
            </w:pPr>
          </w:p>
        </w:tc>
      </w:tr>
      <w:tr w:rsidR="008D1207" w:rsidTr="00674B57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Default="008D1207" w:rsidP="00C3246C">
            <w:pPr>
              <w:rPr>
                <w:sz w:val="18"/>
                <w:szCs w:val="18"/>
              </w:rPr>
            </w:pPr>
            <w:r w:rsidRPr="00A349D4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Default="008D120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Del="002C612A" w:rsidRDefault="008D120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7" w:rsidRPr="00B041F2" w:rsidRDefault="008D1207" w:rsidP="00C3246C">
            <w:pPr>
              <w:rPr>
                <w:i/>
                <w:sz w:val="18"/>
                <w:szCs w:val="18"/>
              </w:rPr>
            </w:pPr>
          </w:p>
        </w:tc>
      </w:tr>
      <w:tr w:rsidR="00667FD7" w:rsidRPr="0021282B" w:rsidTr="00674B57">
        <w:tc>
          <w:tcPr>
            <w:tcW w:w="62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Pr="00894DB7" w:rsidRDefault="00674B57" w:rsidP="00C3246C">
            <w:pPr>
              <w:rPr>
                <w:sz w:val="18"/>
                <w:szCs w:val="18"/>
              </w:rPr>
            </w:pPr>
            <w:r w:rsidRPr="00674B57">
              <w:rPr>
                <w:b/>
                <w:sz w:val="18"/>
                <w:szCs w:val="18"/>
                <w:lang w:val="ru-RU"/>
              </w:rPr>
              <w:t>Недвижимость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Pr="00B041F2" w:rsidRDefault="00667FD7" w:rsidP="00C3246C">
            <w:pPr>
              <w:rPr>
                <w:i/>
                <w:sz w:val="18"/>
                <w:szCs w:val="18"/>
              </w:rPr>
            </w:pPr>
          </w:p>
        </w:tc>
      </w:tr>
      <w:tr w:rsidR="00674B57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21282B" w:rsidRDefault="00674B57" w:rsidP="00C3246C">
            <w:pPr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Ипотечные инвестиционные трасты (ИИТ)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Pr="0021282B" w:rsidRDefault="00674B57" w:rsidP="00C3246C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Pr="0021282B" w:rsidRDefault="00674B57" w:rsidP="00C3246C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B041F2" w:rsidRDefault="00674B57" w:rsidP="00C3246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74B57" w:rsidRPr="00B54066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Default="00674B57" w:rsidP="00C3246C">
            <w:pPr>
              <w:rPr>
                <w:sz w:val="18"/>
                <w:szCs w:val="18"/>
              </w:rPr>
            </w:pPr>
            <w:r w:rsidRPr="007B115A">
              <w:rPr>
                <w:sz w:val="18"/>
                <w:szCs w:val="18"/>
                <w:lang w:val="ru-RU"/>
              </w:rPr>
              <w:t>Инвестиционные фонды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Default="00674B57" w:rsidP="00C3246C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Default="00674B57" w:rsidP="00C3246C">
            <w:pPr>
              <w:jc w:val="center"/>
              <w:rPr>
                <w:sz w:val="18"/>
                <w:szCs w:val="18"/>
              </w:rPr>
            </w:pPr>
            <w:r w:rsidRPr="00E76372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7" w:rsidRPr="00674B57" w:rsidRDefault="00674B57" w:rsidP="00C3246C">
            <w:pPr>
              <w:rPr>
                <w:i/>
                <w:sz w:val="18"/>
                <w:szCs w:val="18"/>
                <w:lang w:val="ru-RU"/>
              </w:rPr>
            </w:pPr>
            <w:r w:rsidRPr="00674B57">
              <w:rPr>
                <w:i/>
                <w:sz w:val="18"/>
                <w:szCs w:val="18"/>
                <w:lang w:val="ru-RU"/>
              </w:rPr>
              <w:t>Данный вариант добавлен, чтобы в рамках портфеля можно было вкладывать средства в диверсифицированные инвестиционные фонды недвижимости, юридически образованные не в качестве ИИТ.</w:t>
            </w:r>
            <w:r>
              <w:rPr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674B57" w:rsidRPr="00E5189C" w:rsidTr="00674B57">
        <w:trPr>
          <w:trHeight w:val="5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674B57" w:rsidRDefault="00674B57" w:rsidP="00C3246C">
            <w:pPr>
              <w:rPr>
                <w:sz w:val="18"/>
                <w:szCs w:val="18"/>
                <w:lang w:val="ru-RU"/>
              </w:rPr>
            </w:pPr>
          </w:p>
          <w:p w:rsidR="00674B57" w:rsidRPr="00674B57" w:rsidRDefault="00674B57" w:rsidP="00C3246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Pr="00674B57" w:rsidRDefault="00674B57" w:rsidP="00C3246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Pr="00674B57" w:rsidRDefault="00674B57" w:rsidP="00C3246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0F1392" w:rsidRDefault="000F1392" w:rsidP="00C3246C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Ввиду размеров авуаров стратегических средств вариант непосредственной покупки недвижимости не считается целесообразным.</w:t>
            </w:r>
          </w:p>
        </w:tc>
      </w:tr>
      <w:tr w:rsidR="00674B57" w:rsidTr="00674B57">
        <w:trPr>
          <w:trHeight w:val="305"/>
        </w:trPr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C62DAB" w:rsidRDefault="00C62DAB" w:rsidP="00C3246C">
            <w:pPr>
              <w:rPr>
                <w:sz w:val="18"/>
                <w:szCs w:val="18"/>
              </w:rPr>
            </w:pPr>
            <w:r w:rsidRPr="00C62DAB">
              <w:rPr>
                <w:b/>
                <w:sz w:val="18"/>
                <w:szCs w:val="18"/>
                <w:lang w:val="ru-RU"/>
              </w:rPr>
              <w:t>Инструменты участия в капитале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B041F2" w:rsidRDefault="00674B57" w:rsidP="00C3246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74B57" w:rsidTr="00674B57">
        <w:trPr>
          <w:trHeight w:val="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Default="00C62DAB" w:rsidP="00C3246C">
            <w:pPr>
              <w:rPr>
                <w:sz w:val="18"/>
                <w:szCs w:val="18"/>
              </w:rPr>
            </w:pPr>
            <w:r w:rsidRPr="00C62DAB">
              <w:rPr>
                <w:sz w:val="18"/>
                <w:szCs w:val="18"/>
                <w:lang w:val="ru-RU"/>
              </w:rPr>
              <w:t>Акционерные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C62DAB" w:rsidP="00C3246C">
            <w:pPr>
              <w:jc w:val="center"/>
              <w:rPr>
                <w:sz w:val="18"/>
                <w:szCs w:val="18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C62DAB" w:rsidP="00C3246C">
            <w:pPr>
              <w:jc w:val="center"/>
              <w:rPr>
                <w:sz w:val="18"/>
                <w:szCs w:val="18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B041F2" w:rsidRDefault="00674B57" w:rsidP="00C3246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74B57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Default="00C62DAB" w:rsidP="00C3246C">
            <w:pPr>
              <w:rPr>
                <w:sz w:val="18"/>
                <w:szCs w:val="18"/>
              </w:rPr>
            </w:pPr>
            <w:r w:rsidRPr="00C62DAB">
              <w:rPr>
                <w:sz w:val="18"/>
                <w:szCs w:val="18"/>
                <w:lang w:val="ru-RU"/>
              </w:rPr>
              <w:t>Прямые вложения в акции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C62DAB" w:rsidP="00C3246C">
            <w:pPr>
              <w:jc w:val="center"/>
              <w:rPr>
                <w:sz w:val="18"/>
                <w:szCs w:val="18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C62DAB" w:rsidP="00C3246C">
            <w:pPr>
              <w:jc w:val="center"/>
              <w:rPr>
                <w:sz w:val="18"/>
                <w:szCs w:val="18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B041F2" w:rsidRDefault="00674B57" w:rsidP="00C3246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74B57" w:rsidRPr="00B54066" w:rsidTr="00674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C62DAB" w:rsidRDefault="00674B57" w:rsidP="00C3246C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674B5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B57" w:rsidRDefault="00674B57" w:rsidP="00C3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7" w:rsidRPr="00300FF6" w:rsidRDefault="00C62DAB" w:rsidP="00C3246C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Вариант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хеджевых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фондов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не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считается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соответствующим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профилю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риска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i/>
                <w:sz w:val="18"/>
                <w:szCs w:val="18"/>
                <w:lang w:val="ru-RU"/>
              </w:rPr>
              <w:t>определенному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для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стратегических</w:t>
            </w:r>
            <w:r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средств</w:t>
            </w:r>
            <w:r w:rsidRPr="00300FF6">
              <w:rPr>
                <w:i/>
                <w:sz w:val="18"/>
                <w:szCs w:val="18"/>
                <w:lang w:val="ru-RU"/>
              </w:rPr>
              <w:t>.</w:t>
            </w:r>
            <w:r w:rsidR="00674B57" w:rsidRPr="00300FF6">
              <w:rPr>
                <w:i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BD2450" w:rsidRPr="0078391F" w:rsidRDefault="0078391F" w:rsidP="007D0036">
      <w:pPr>
        <w:pStyle w:val="BodyText"/>
        <w:keepNext/>
        <w:keepLines/>
        <w:rPr>
          <w:lang w:val="ru-RU"/>
        </w:rPr>
      </w:pPr>
      <w:r w:rsidRPr="0078391F">
        <w:rPr>
          <w:lang w:val="ru-RU"/>
        </w:rPr>
        <w:lastRenderedPageBreak/>
        <w:t>РУКОВОДЯЩИЕ ПРИНЦИПЫ В ОТНОШЕНИИ ИНВЕСТИЦИЙ ДЛЯ ВНЕШНИХ УПРАВЛЯЮЩИХ ФОНДАМИ</w:t>
      </w:r>
      <w:r w:rsidR="003C6E4A" w:rsidRPr="0078391F">
        <w:rPr>
          <w:lang w:val="ru-RU"/>
        </w:rPr>
        <w:t xml:space="preserve"> </w:t>
      </w:r>
    </w:p>
    <w:p w:rsidR="00BD2450" w:rsidRPr="00FD7DCD" w:rsidRDefault="0078391F" w:rsidP="005228AC">
      <w:pPr>
        <w:keepNext/>
        <w:keepLines/>
        <w:numPr>
          <w:ilvl w:val="0"/>
          <w:numId w:val="29"/>
        </w:numPr>
        <w:spacing w:after="220"/>
        <w:ind w:right="58" w:hanging="10"/>
        <w:rPr>
          <w:lang w:val="ru-RU"/>
        </w:rPr>
      </w:pPr>
      <w:r w:rsidRPr="0078391F">
        <w:rPr>
          <w:lang w:val="ru-RU"/>
        </w:rPr>
        <w:t>Внешние управляющие фондами могут инвестировать средства в активы любых показанных выше классов при соблюдении лимитов, определенных в исследовании УАП</w:t>
      </w:r>
      <w:r w:rsidR="00BD2450" w:rsidRPr="0078391F">
        <w:rPr>
          <w:lang w:val="ru-RU"/>
        </w:rPr>
        <w:t xml:space="preserve">. </w:t>
      </w:r>
      <w:r w:rsidR="005737A6" w:rsidRPr="0078391F">
        <w:rPr>
          <w:lang w:val="ru-RU"/>
        </w:rPr>
        <w:t xml:space="preserve"> </w:t>
      </w:r>
      <w:r w:rsidR="00FD7DCD" w:rsidRPr="00FD7DCD">
        <w:rPr>
          <w:lang w:val="ru-RU"/>
        </w:rPr>
        <w:t xml:space="preserve">Инвестиции могут осуществляться </w:t>
      </w:r>
      <w:r w:rsidR="00FD7DCD" w:rsidRPr="00FD7DCD">
        <w:rPr>
          <w:iCs/>
          <w:lang w:val="ru-RU"/>
        </w:rPr>
        <w:t>непосредственно управляющими фондов или через объединенные инвестиционные фонды обращающихся на рынке ценных бумаг.</w:t>
      </w:r>
    </w:p>
    <w:p w:rsidR="00FD7DCD" w:rsidRPr="00FD7DCD" w:rsidRDefault="00FD7DCD" w:rsidP="00391378">
      <w:pPr>
        <w:keepNext/>
        <w:keepLines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20"/>
        <w:ind w:left="567" w:right="566"/>
        <w:rPr>
          <w:i/>
          <w:iCs/>
          <w:lang w:val="ru-RU"/>
        </w:rPr>
      </w:pPr>
      <w:r>
        <w:rPr>
          <w:i/>
          <w:iCs/>
          <w:lang w:val="ru-RU"/>
        </w:rPr>
        <w:t>Исходя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из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рекомендации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консультантов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вопросам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инвестиций</w:t>
      </w:r>
      <w:r w:rsidRPr="00FD7DCD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ККИ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принял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подход, предусматривающий, что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для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целей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осуществления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вложений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облигации</w:t>
      </w:r>
      <w:r w:rsidRPr="00FD7DCD"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>с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фиксированным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доходом</w:t>
      </w:r>
      <w:r w:rsidRPr="00FD7DCD">
        <w:rPr>
          <w:i/>
          <w:iCs/>
          <w:lang w:val="ru-RU"/>
        </w:rPr>
        <w:t xml:space="preserve">), </w:t>
      </w:r>
      <w:r>
        <w:rPr>
          <w:i/>
          <w:iCs/>
          <w:lang w:val="ru-RU"/>
        </w:rPr>
        <w:t>акции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недвижимость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используются главным</w:t>
      </w:r>
      <w:r w:rsidRPr="00FD7DC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образом</w:t>
      </w:r>
      <w:r w:rsidRPr="00FD7DCD">
        <w:rPr>
          <w:i/>
          <w:iCs/>
          <w:lang w:val="ru-RU"/>
        </w:rPr>
        <w:t xml:space="preserve"> объединенные инвестиционные фонды обращающихся на рынке ценных бумаг</w:t>
      </w:r>
      <w:r>
        <w:rPr>
          <w:i/>
          <w:iCs/>
          <w:lang w:val="ru-RU"/>
        </w:rPr>
        <w:t>, чтобы ограничить высокие издержки приобретения инвестиций непосредственно через управляющих фондами, а также с учетом ограниченных инвестиционных возможностей при существующем состоянии рынка, особенно для портфеля на базе швейцарского франка.  Эти вопросы будут уточнены в руководящих принципах для управляющих фондами.</w:t>
      </w:r>
    </w:p>
    <w:p w:rsidR="00BD2450" w:rsidRPr="00FD7DCD" w:rsidRDefault="00FD7DCD" w:rsidP="005228AC">
      <w:pPr>
        <w:numPr>
          <w:ilvl w:val="0"/>
          <w:numId w:val="29"/>
        </w:numPr>
        <w:spacing w:after="220"/>
        <w:ind w:right="57" w:hanging="11"/>
        <w:rPr>
          <w:lang w:val="ru-RU"/>
        </w:rPr>
      </w:pPr>
      <w:r w:rsidRPr="00FD7DCD">
        <w:rPr>
          <w:lang w:val="ru-RU"/>
        </w:rPr>
        <w:t>Определенные ККИ и утвержденные Генеральным директором руководящие принципы в отношении инвестиций являются частью каждого договора на управление инвестициями и включают в себя, по крайней мере, следующие компоненты</w:t>
      </w:r>
      <w:r w:rsidR="00BD2450" w:rsidRPr="00FD7DCD">
        <w:rPr>
          <w:lang w:val="ru-RU"/>
        </w:rPr>
        <w:t xml:space="preserve">: 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инвестиционные цели, определяющие ожидаемую прибыль и риски; 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стиль управления портфелем – активный или пассивный; 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базовую валюту;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контрольные показатели эффективности;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валюты;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инструменты;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минимальную и максимальную дюрацию портфеля; </w:t>
      </w:r>
    </w:p>
    <w:p w:rsidR="00FD7DCD" w:rsidRPr="004365E9" w:rsidRDefault="00FD7DCD" w:rsidP="00FD7DCD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кредитное качество;</w:t>
      </w:r>
    </w:p>
    <w:p w:rsidR="00BD2450" w:rsidRPr="00166507" w:rsidRDefault="00FD7DCD" w:rsidP="00166507">
      <w:pPr>
        <w:pStyle w:val="ONUME"/>
        <w:numPr>
          <w:ilvl w:val="0"/>
          <w:numId w:val="49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требования к диверсификации</w:t>
      </w:r>
      <w:r w:rsidR="00BD2450" w:rsidRPr="00166507">
        <w:rPr>
          <w:rFonts w:eastAsia="Times New Roman"/>
          <w:lang w:val="ru-RU" w:eastAsia="en-US"/>
        </w:rPr>
        <w:t xml:space="preserve">. </w:t>
      </w:r>
    </w:p>
    <w:p w:rsidR="00BD2450" w:rsidRPr="00FD7DCD" w:rsidRDefault="00FD7DCD" w:rsidP="005228AC">
      <w:pPr>
        <w:numPr>
          <w:ilvl w:val="0"/>
          <w:numId w:val="29"/>
        </w:numPr>
        <w:spacing w:after="220"/>
        <w:ind w:right="58" w:hanging="10"/>
        <w:rPr>
          <w:lang w:val="ru-RU"/>
        </w:rPr>
      </w:pPr>
      <w:r w:rsidRPr="00FD7DCD">
        <w:rPr>
          <w:lang w:val="ru-RU"/>
        </w:rPr>
        <w:t>Другие аспекты, такие как бюджетное покрытие рисков, рассматриваются в контексте выданного мандата на внешнее управление инвестициями</w:t>
      </w:r>
      <w:r w:rsidR="00BD2450" w:rsidRPr="00FD7DCD">
        <w:rPr>
          <w:lang w:val="ru-RU"/>
        </w:rPr>
        <w:t xml:space="preserve">. </w:t>
      </w:r>
    </w:p>
    <w:p w:rsidR="00BD2450" w:rsidRPr="00FD7DCD" w:rsidRDefault="005737A6" w:rsidP="005737A6">
      <w:pPr>
        <w:spacing w:after="220"/>
        <w:rPr>
          <w:b/>
        </w:rPr>
      </w:pPr>
      <w:r w:rsidRPr="005737A6">
        <w:rPr>
          <w:b/>
        </w:rPr>
        <w:t>E</w:t>
      </w:r>
      <w:r w:rsidRPr="00FD7DCD">
        <w:rPr>
          <w:b/>
        </w:rPr>
        <w:t>.</w:t>
      </w:r>
      <w:r w:rsidR="00BD2450" w:rsidRPr="00FD7DCD">
        <w:rPr>
          <w:b/>
        </w:rPr>
        <w:tab/>
      </w:r>
      <w:r w:rsidR="00FD7DCD" w:rsidRPr="00FD7DCD">
        <w:rPr>
          <w:b/>
        </w:rPr>
        <w:t>ПРИВИЛЕГИИ И ИММУНИТЕТЫ ОРГАНИЗАЦИИ</w:t>
      </w:r>
      <w:r w:rsidR="00BD2450" w:rsidRPr="00FD7DCD">
        <w:rPr>
          <w:b/>
        </w:rPr>
        <w:t xml:space="preserve"> </w:t>
      </w:r>
    </w:p>
    <w:p w:rsidR="00BD2450" w:rsidRPr="00FD7DCD" w:rsidRDefault="00FD7DCD" w:rsidP="005228AC">
      <w:pPr>
        <w:pStyle w:val="ListParagraph"/>
        <w:numPr>
          <w:ilvl w:val="0"/>
          <w:numId w:val="29"/>
        </w:numPr>
        <w:spacing w:after="220" w:line="240" w:lineRule="auto"/>
        <w:ind w:right="58"/>
        <w:rPr>
          <w:lang w:val="ru-RU"/>
        </w:rPr>
      </w:pPr>
      <w:r w:rsidRPr="00FD7DCD">
        <w:rPr>
          <w:lang w:val="ru-RU"/>
        </w:rPr>
        <w:t>При открытии новой инвестиционной операции с контрагентом Организация указывает, что инвестиция размещается с учетом ее привилегий и иммунитетов.  Контрагенты соглашаются не удерживать налогов и не обременять счета/активы правовыми исками</w:t>
      </w:r>
      <w:r w:rsidR="00BD2450" w:rsidRPr="00FD7DCD">
        <w:rPr>
          <w:lang w:val="ru-RU"/>
        </w:rPr>
        <w:t xml:space="preserve">. </w:t>
      </w:r>
    </w:p>
    <w:p w:rsidR="00300FF6" w:rsidRPr="00C3246C" w:rsidRDefault="00300FF6">
      <w:pPr>
        <w:rPr>
          <w:b/>
          <w:lang w:val="ru-RU"/>
        </w:rPr>
      </w:pPr>
      <w:r w:rsidRPr="00C3246C">
        <w:rPr>
          <w:b/>
          <w:lang w:val="ru-RU"/>
        </w:rPr>
        <w:br w:type="page"/>
      </w:r>
    </w:p>
    <w:p w:rsidR="00BD2450" w:rsidRPr="00FD7DCD" w:rsidRDefault="000023DB" w:rsidP="005737A6">
      <w:pPr>
        <w:spacing w:after="220"/>
        <w:rPr>
          <w:b/>
          <w:lang w:val="ru-RU"/>
        </w:rPr>
      </w:pPr>
      <w:r>
        <w:rPr>
          <w:b/>
        </w:rPr>
        <w:lastRenderedPageBreak/>
        <w:t>F</w:t>
      </w:r>
      <w:r w:rsidRPr="00FD7DCD">
        <w:rPr>
          <w:b/>
          <w:lang w:val="ru-RU"/>
        </w:rPr>
        <w:t>.</w:t>
      </w:r>
      <w:r w:rsidR="00BD2450" w:rsidRPr="00FD7DCD">
        <w:rPr>
          <w:b/>
          <w:lang w:val="ru-RU"/>
        </w:rPr>
        <w:tab/>
      </w:r>
      <w:r w:rsidR="00FD7DCD" w:rsidRPr="00FD7DCD">
        <w:rPr>
          <w:b/>
          <w:lang w:val="ru-RU"/>
        </w:rPr>
        <w:t>ПОКАЗАТЕЛИ ЭФФЕКТИВНОСТИ</w:t>
      </w:r>
      <w:r w:rsidR="00BD2450" w:rsidRPr="00FD7DCD">
        <w:rPr>
          <w:b/>
          <w:lang w:val="ru-RU"/>
        </w:rPr>
        <w:t xml:space="preserve"> </w:t>
      </w:r>
    </w:p>
    <w:p w:rsidR="00BD2450" w:rsidRPr="00FD7DCD" w:rsidRDefault="00FD7DCD" w:rsidP="005737A6">
      <w:pPr>
        <w:spacing w:after="220"/>
        <w:rPr>
          <w:lang w:val="ru-RU"/>
        </w:rPr>
      </w:pPr>
      <w:r>
        <w:rPr>
          <w:lang w:val="ru-RU"/>
        </w:rPr>
        <w:t>КОНТРОЛЬНЫЕ ПОКАЗАТЕЛИ</w:t>
      </w:r>
      <w:r w:rsidR="005737A6" w:rsidRPr="00FD7DCD">
        <w:rPr>
          <w:lang w:val="ru-RU"/>
        </w:rPr>
        <w:t xml:space="preserve"> </w:t>
      </w:r>
    </w:p>
    <w:p w:rsidR="00FD7DCD" w:rsidRPr="00FD7DCD" w:rsidRDefault="00FD7DCD" w:rsidP="005228AC">
      <w:pPr>
        <w:pStyle w:val="ListParagraph"/>
        <w:numPr>
          <w:ilvl w:val="0"/>
          <w:numId w:val="29"/>
        </w:numPr>
        <w:spacing w:after="220" w:line="240" w:lineRule="auto"/>
        <w:ind w:right="183"/>
        <w:rPr>
          <w:lang w:val="ru-RU"/>
        </w:rPr>
      </w:pPr>
      <w:r w:rsidRPr="00FD7DCD">
        <w:rPr>
          <w:lang w:val="ru-RU"/>
        </w:rPr>
        <w:t>Управление стратегическими средствами осуществляется внешними управляющими фондами.  Каждый инвестиционный портфель имеет контрольный показатель эффективности, указываемый в применимых к нему руководящих принципах в отношении инвестиций.  Такие контрольные показатели должны отвечать следующим критериям:  (i) однозначность, прозрачность и простота;  (ii) инвестируемость и воспроизводимость;  (iii) измеримость и стабильность;  (iv) соответствие инвестиционной цели;    и </w:t>
      </w:r>
      <w:r w:rsidR="002F0748" w:rsidRPr="002F0748">
        <w:rPr>
          <w:lang w:val="ru-RU"/>
        </w:rPr>
        <w:t>(</w:t>
      </w:r>
      <w:r w:rsidR="002F0748">
        <w:t>v</w:t>
      </w:r>
      <w:r w:rsidR="002F0748" w:rsidRPr="002F0748">
        <w:rPr>
          <w:lang w:val="ru-RU"/>
        </w:rPr>
        <w:t xml:space="preserve">) </w:t>
      </w:r>
      <w:r w:rsidRPr="00FD7DCD">
        <w:rPr>
          <w:lang w:val="ru-RU"/>
        </w:rPr>
        <w:t>возможность заблаговременного определения.</w:t>
      </w:r>
    </w:p>
    <w:p w:rsidR="00FD7DCD" w:rsidRPr="00FD7DCD" w:rsidRDefault="00FD7DCD" w:rsidP="00FD7DCD">
      <w:pPr>
        <w:pStyle w:val="ListParagraph"/>
        <w:spacing w:after="220" w:line="240" w:lineRule="auto"/>
        <w:ind w:left="0" w:right="183" w:firstLine="0"/>
        <w:rPr>
          <w:lang w:val="ru-RU"/>
        </w:rPr>
      </w:pPr>
    </w:p>
    <w:p w:rsidR="00BD2450" w:rsidRPr="00166507" w:rsidRDefault="002F0748" w:rsidP="00166507">
      <w:pPr>
        <w:pStyle w:val="ListParagraph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360" w:line="240" w:lineRule="auto"/>
        <w:ind w:left="567" w:right="567" w:firstLine="0"/>
        <w:contextualSpacing w:val="0"/>
        <w:rPr>
          <w:lang w:val="ru-RU"/>
        </w:rPr>
      </w:pPr>
      <w:r w:rsidRPr="002F0748">
        <w:rPr>
          <w:i/>
          <w:iCs/>
          <w:lang w:val="ru-RU"/>
        </w:rPr>
        <w:t>Было сочтено, что элемент (</w:t>
      </w:r>
      <w:r w:rsidRPr="002F0748">
        <w:rPr>
          <w:i/>
          <w:iCs/>
        </w:rPr>
        <w:t>v</w:t>
      </w:r>
      <w:r w:rsidRPr="002F0748">
        <w:rPr>
          <w:i/>
          <w:iCs/>
          <w:lang w:val="ru-RU"/>
        </w:rPr>
        <w:t>) фразы в первоначальной редакции допускает неверное толкование и что доверительному управляющему трудно использовать его при оценке.  Ввиду</w:t>
      </w:r>
      <w:r w:rsidRPr="00166507">
        <w:rPr>
          <w:i/>
          <w:iCs/>
          <w:lang w:val="ru-RU"/>
        </w:rPr>
        <w:t xml:space="preserve"> </w:t>
      </w:r>
      <w:r w:rsidRPr="002F0748">
        <w:rPr>
          <w:i/>
          <w:iCs/>
          <w:lang w:val="ru-RU"/>
        </w:rPr>
        <w:t>этого</w:t>
      </w:r>
      <w:r w:rsidRPr="00166507">
        <w:rPr>
          <w:i/>
          <w:iCs/>
          <w:lang w:val="ru-RU"/>
        </w:rPr>
        <w:t xml:space="preserve"> </w:t>
      </w:r>
      <w:r w:rsidRPr="002F0748">
        <w:rPr>
          <w:i/>
          <w:iCs/>
          <w:lang w:val="ru-RU"/>
        </w:rPr>
        <w:t>данный</w:t>
      </w:r>
      <w:r w:rsidRPr="00166507">
        <w:rPr>
          <w:i/>
          <w:iCs/>
          <w:lang w:val="ru-RU"/>
        </w:rPr>
        <w:t xml:space="preserve"> </w:t>
      </w:r>
      <w:r w:rsidRPr="002F0748">
        <w:rPr>
          <w:i/>
          <w:iCs/>
          <w:lang w:val="ru-RU"/>
        </w:rPr>
        <w:t>элемент</w:t>
      </w:r>
      <w:r w:rsidRPr="00166507">
        <w:rPr>
          <w:i/>
          <w:iCs/>
          <w:lang w:val="ru-RU"/>
        </w:rPr>
        <w:t xml:space="preserve"> </w:t>
      </w:r>
      <w:r w:rsidRPr="002F0748">
        <w:rPr>
          <w:i/>
          <w:iCs/>
          <w:lang w:val="ru-RU"/>
        </w:rPr>
        <w:t>был</w:t>
      </w:r>
      <w:r w:rsidRPr="00166507">
        <w:rPr>
          <w:i/>
          <w:iCs/>
          <w:lang w:val="ru-RU"/>
        </w:rPr>
        <w:t xml:space="preserve"> </w:t>
      </w:r>
      <w:r w:rsidRPr="002F0748">
        <w:rPr>
          <w:i/>
          <w:iCs/>
          <w:lang w:val="ru-RU"/>
        </w:rPr>
        <w:t>исключен</w:t>
      </w:r>
      <w:r w:rsidRPr="00166507">
        <w:rPr>
          <w:i/>
          <w:iCs/>
          <w:lang w:val="ru-RU"/>
        </w:rPr>
        <w:t>.</w:t>
      </w:r>
    </w:p>
    <w:p w:rsidR="00BD2450" w:rsidRPr="00166507" w:rsidRDefault="002F0748" w:rsidP="005737A6">
      <w:pPr>
        <w:spacing w:after="220"/>
        <w:rPr>
          <w:lang w:val="ru-RU"/>
        </w:rPr>
      </w:pPr>
      <w:r w:rsidRPr="00166507">
        <w:rPr>
          <w:lang w:val="ru-RU"/>
        </w:rPr>
        <w:t xml:space="preserve">ПОКАЗАТЕЛИ ЭФФЕКТИВНОСТИ И ОТЧЕТНОСТЬ  </w:t>
      </w:r>
    </w:p>
    <w:p w:rsidR="002F0748" w:rsidRPr="004365E9" w:rsidRDefault="002F0748" w:rsidP="002F0748">
      <w:pPr>
        <w:pStyle w:val="ONUME"/>
        <w:numPr>
          <w:ilvl w:val="0"/>
          <w:numId w:val="30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Доверительный управляющий ежемесячно представляет отчеты об эффективности портфелей во внешнем управлении и обеспечивает соблюдение внешними управляющими фондами применимых к ним руководящих принципов в отношении инвестиций.  Эффективность размещения денежных средств рассчитывается в швейцарских франках, т.е. за вычетом влияния колебаний курсов валют, в которых размещены денежные средства. </w:t>
      </w:r>
    </w:p>
    <w:p w:rsidR="002F0748" w:rsidRPr="004365E9" w:rsidRDefault="002F0748" w:rsidP="002F0748">
      <w:pPr>
        <w:pStyle w:val="ONUME"/>
        <w:numPr>
          <w:ilvl w:val="0"/>
          <w:numId w:val="30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эффективности внешних управляющих фондами определяется в сопоставлении с контрольными показателями и любыми дополнительными показателями, установленными в руководящих принципах в отношении инвестиций. </w:t>
      </w:r>
    </w:p>
    <w:p w:rsidR="002F0748" w:rsidRPr="004365E9" w:rsidRDefault="002F0748" w:rsidP="002F0748">
      <w:pPr>
        <w:pStyle w:val="ONUME"/>
        <w:numPr>
          <w:ilvl w:val="0"/>
          <w:numId w:val="30"/>
        </w:num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общей эффективности портфеля и контрольные показатели в швейцарских франках сообщаются ККИ ежеквартально.  В этих отчетах приводятся данные об эффективности в сопоставлении с предыдущими кварталами и годами.  В случае если один или несколько управляющих фондами в течение трех месяцев и более имеют значительно более низкие показатели эффективности или в каком-либо месяце наблюдается неожиданное изменение тренда эффективности работы внешнего управляющего фондами, у такого внешнего управляющего фондами запрашивается письменное объяснение наблюдаемого тренда эффективности.  При сохранении низких показателей эффективности ККИ принимает необходимые меры к принятию соответствующей стратегии и коррективных мер в случае внешнего управляющего фондами с низкими показателями.  </w:t>
      </w:r>
    </w:p>
    <w:p w:rsidR="00BD2450" w:rsidRPr="002F0748" w:rsidRDefault="002F0748" w:rsidP="002F0748">
      <w:pPr>
        <w:numPr>
          <w:ilvl w:val="0"/>
          <w:numId w:val="30"/>
        </w:numPr>
        <w:spacing w:after="220"/>
        <w:ind w:right="58" w:hanging="10"/>
        <w:rPr>
          <w:lang w:val="ru-RU"/>
        </w:rPr>
      </w:pPr>
      <w:r w:rsidRPr="004365E9">
        <w:rPr>
          <w:rFonts w:eastAsia="Times New Roman"/>
          <w:lang w:val="ru-RU" w:eastAsia="en-US"/>
        </w:rPr>
        <w:t>В годовой финансовой отчетности приводятся подробные данные о всех инвестициях в соответствии с Международными стандартами учета в государственном секторе (МСУГС), и в отношении инвестиций проводятся соответствующие аудиторские проверки.  Кроме того, согласно финансовому положению 6.6, отчет об управлении финансовой деятельностью (ОУФД) за каждый финансовый период включает в себя отчет об инвестициях</w:t>
      </w:r>
      <w:r>
        <w:rPr>
          <w:lang w:val="ru-RU"/>
        </w:rPr>
        <w:t>.</w:t>
      </w:r>
    </w:p>
    <w:p w:rsidR="00A76AA8" w:rsidRPr="002F0748" w:rsidRDefault="00A76AA8">
      <w:pPr>
        <w:rPr>
          <w:b/>
          <w:lang w:val="ru-RU"/>
        </w:rPr>
      </w:pPr>
      <w:r w:rsidRPr="002F0748">
        <w:rPr>
          <w:b/>
          <w:lang w:val="ru-RU"/>
        </w:rPr>
        <w:br w:type="page"/>
      </w:r>
    </w:p>
    <w:p w:rsidR="00BD2450" w:rsidRPr="002F0748" w:rsidRDefault="002F0748" w:rsidP="005737A6">
      <w:pPr>
        <w:spacing w:after="220"/>
        <w:rPr>
          <w:b/>
          <w:lang w:val="ru-RU"/>
        </w:rPr>
      </w:pPr>
      <w:r w:rsidRPr="002F0748">
        <w:rPr>
          <w:b/>
          <w:lang w:val="ru-RU"/>
        </w:rPr>
        <w:lastRenderedPageBreak/>
        <w:t>КРЕДИТНЫЕ ЛИМИТЫ</w:t>
      </w:r>
      <w:r w:rsidR="00BD2450" w:rsidRPr="002F0748">
        <w:rPr>
          <w:b/>
          <w:lang w:val="ru-RU"/>
        </w:rPr>
        <w:t xml:space="preserve"> </w:t>
      </w:r>
    </w:p>
    <w:p w:rsidR="00BD2450" w:rsidRPr="002F0748" w:rsidRDefault="002F0748" w:rsidP="005737A6">
      <w:pPr>
        <w:spacing w:after="220"/>
        <w:rPr>
          <w:lang w:val="ru-RU"/>
        </w:rPr>
      </w:pPr>
      <w:r w:rsidRPr="002F0748">
        <w:rPr>
          <w:lang w:val="ru-RU"/>
        </w:rPr>
        <w:t>Для обеспечения кредитного качества и последовательности кредитных оценок Организация при определении кредитосп</w:t>
      </w:r>
      <w:r>
        <w:rPr>
          <w:lang w:val="ru-RU"/>
        </w:rPr>
        <w:t xml:space="preserve">особности пользуется рейтингами </w:t>
      </w:r>
      <w:r w:rsidRPr="002F0748">
        <w:rPr>
          <w:lang w:val="ru-RU"/>
        </w:rPr>
        <w:t>утвержденных агентств кредитного рейтинга.  По состоянию на 2015 г. утвержденными агентствами кредитного рейтинга являются Moody’s, Standard and Poor’s и Fitch IBCA</w:t>
      </w:r>
      <w:r w:rsidR="00BD2450" w:rsidRPr="002F0748">
        <w:rPr>
          <w:lang w:val="ru-RU"/>
        </w:rPr>
        <w:t>.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31"/>
        <w:gridCol w:w="1131"/>
        <w:gridCol w:w="1274"/>
        <w:gridCol w:w="1083"/>
        <w:gridCol w:w="1231"/>
        <w:gridCol w:w="2113"/>
      </w:tblGrid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1243" w:type="pct"/>
            <w:gridSpan w:val="2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  <w:bCs/>
              </w:rPr>
            </w:pPr>
            <w:r w:rsidRPr="007F5F35">
              <w:rPr>
                <w:b/>
                <w:bCs/>
              </w:rPr>
              <w:t>MOODY’S</w:t>
            </w:r>
          </w:p>
        </w:tc>
        <w:tc>
          <w:tcPr>
            <w:tcW w:w="129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  <w:bCs/>
              </w:rPr>
            </w:pPr>
            <w:r w:rsidRPr="007F5F35">
              <w:rPr>
                <w:b/>
                <w:bCs/>
              </w:rPr>
              <w:t>STANDARD &amp; POOR’S</w:t>
            </w:r>
          </w:p>
        </w:tc>
        <w:tc>
          <w:tcPr>
            <w:tcW w:w="1242" w:type="pct"/>
            <w:gridSpan w:val="2"/>
            <w:shd w:val="clear" w:color="auto" w:fill="00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  <w:bCs/>
              </w:rPr>
            </w:pPr>
            <w:r w:rsidRPr="007F5F35">
              <w:rPr>
                <w:b/>
                <w:bCs/>
              </w:rPr>
              <w:t>FITCH</w:t>
            </w:r>
          </w:p>
        </w:tc>
        <w:tc>
          <w:tcPr>
            <w:tcW w:w="11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  <w:bCs/>
              </w:rPr>
            </w:pPr>
            <w:r w:rsidRPr="007F5F35">
              <w:rPr>
                <w:b/>
                <w:bCs/>
              </w:rPr>
              <w:t> </w:t>
            </w: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2F0748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46" w:type="pc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2F0748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Кратко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2F0748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69" w:type="pc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2F0748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Кратко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2F0748">
            <w:pPr>
              <w:jc w:val="center"/>
              <w:rPr>
                <w:b/>
                <w:bCs/>
              </w:rPr>
            </w:pPr>
            <w:r w:rsidRPr="00D61EC7">
              <w:rPr>
                <w:b/>
                <w:bCs/>
                <w:lang w:val="ru-RU"/>
              </w:rPr>
              <w:t>Долго</w:t>
            </w:r>
            <w:r>
              <w:rPr>
                <w:b/>
                <w:bCs/>
                <w:lang w:val="ru-RU"/>
              </w:rPr>
              <w:t>-</w:t>
            </w:r>
            <w:r w:rsidRPr="00D61EC7">
              <w:rPr>
                <w:b/>
                <w:bCs/>
                <w:lang w:val="ru-RU"/>
              </w:rPr>
              <w:t>срочный</w:t>
            </w:r>
          </w:p>
        </w:tc>
        <w:tc>
          <w:tcPr>
            <w:tcW w:w="646" w:type="pc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2F0748" w:rsidP="00BD2450">
            <w:pPr>
              <w:jc w:val="center"/>
              <w:rPr>
                <w:b/>
                <w:bCs/>
              </w:rPr>
            </w:pPr>
            <w:r w:rsidRPr="002F0748">
              <w:rPr>
                <w:b/>
                <w:bCs/>
                <w:lang w:val="ru-RU"/>
              </w:rPr>
              <w:t>Кратко-срочный</w:t>
            </w:r>
          </w:p>
        </w:tc>
        <w:tc>
          <w:tcPr>
            <w:tcW w:w="11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  <w:bCs/>
              </w:rPr>
            </w:pPr>
            <w:r w:rsidRPr="007F5F35">
              <w:rPr>
                <w:b/>
                <w:bCs/>
              </w:rPr>
              <w:t> </w:t>
            </w: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Aaa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P-1</w:t>
            </w:r>
          </w:p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AAA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A-1+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AAA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F1+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Инвестиционный</w:t>
            </w:r>
          </w:p>
          <w:p w:rsidR="00BD2450" w:rsidRPr="007F5F35" w:rsidRDefault="002F0748" w:rsidP="002F0748">
            <w:pPr>
              <w:jc w:val="center"/>
            </w:pPr>
            <w:r w:rsidRPr="002F0748">
              <w:rPr>
                <w:lang w:val="ru-RU"/>
              </w:rPr>
              <w:t>класс</w:t>
            </w:r>
          </w:p>
        </w:tc>
      </w:tr>
      <w:tr w:rsidR="00BD2450" w:rsidRPr="007F5F35" w:rsidTr="00300FF6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Aa1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AA+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AA+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Aa2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Aa3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AA-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AA-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A1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A-1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A+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F1</w:t>
            </w:r>
          </w:p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A2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A3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P-2</w:t>
            </w:r>
          </w:p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A-2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F2</w:t>
            </w:r>
          </w:p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Baa1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BBB+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BBB+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Baa2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P-3</w:t>
            </w:r>
          </w:p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A-3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F3</w:t>
            </w:r>
          </w:p>
        </w:tc>
        <w:tc>
          <w:tcPr>
            <w:tcW w:w="1140" w:type="pct"/>
            <w:vMerge/>
            <w:vAlign w:val="center"/>
          </w:tcPr>
          <w:p w:rsidR="00BD2450" w:rsidRPr="007F5F35" w:rsidRDefault="00BD2450" w:rsidP="00BD2450"/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Baa3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BBB-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BBB-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/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Ba1</w:t>
            </w:r>
          </w:p>
        </w:tc>
        <w:tc>
          <w:tcPr>
            <w:tcW w:w="646" w:type="pct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Неперво-классные</w:t>
            </w:r>
          </w:p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ценные</w:t>
            </w:r>
          </w:p>
          <w:p w:rsidR="00BD2450" w:rsidRPr="007F5F35" w:rsidRDefault="002F0748" w:rsidP="002F0748">
            <w:pPr>
              <w:jc w:val="center"/>
            </w:pPr>
            <w:r w:rsidRPr="002F0748">
              <w:rPr>
                <w:lang w:val="ru-RU"/>
              </w:rPr>
              <w:t>бумаги</w:t>
            </w:r>
          </w:p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BB+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Высоко-</w:t>
            </w:r>
          </w:p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доходные</w:t>
            </w:r>
          </w:p>
          <w:p w:rsidR="002F0748" w:rsidRPr="002F0748" w:rsidRDefault="002F0748" w:rsidP="002F0748">
            <w:pPr>
              <w:jc w:val="center"/>
              <w:rPr>
                <w:lang w:val="ru-RU"/>
              </w:rPr>
            </w:pPr>
            <w:r w:rsidRPr="002F0748">
              <w:rPr>
                <w:lang w:val="ru-RU"/>
              </w:rPr>
              <w:t>ценные</w:t>
            </w:r>
          </w:p>
          <w:p w:rsidR="00BD2450" w:rsidRPr="007F5F35" w:rsidRDefault="002F0748" w:rsidP="002F0748">
            <w:pPr>
              <w:jc w:val="center"/>
            </w:pPr>
            <w:r w:rsidRPr="002F0748">
              <w:rPr>
                <w:lang w:val="ru-RU"/>
              </w:rPr>
              <w:t>бумаги</w:t>
            </w: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Ba2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Ba3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BB-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BB-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B1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B+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B+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B2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05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B3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B-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B-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Caa1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 xml:space="preserve"> CCC+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</w:t>
            </w:r>
          </w:p>
        </w:tc>
        <w:tc>
          <w:tcPr>
            <w:tcW w:w="580" w:type="pct"/>
            <w:vMerge w:val="restar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CCC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</w:t>
            </w:r>
          </w:p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Caa2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CCC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vMerge/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Caa3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CCC-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vMerge/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</w:tr>
      <w:tr w:rsidR="00BD2450" w:rsidRPr="007F5F35" w:rsidTr="00300FF6">
        <w:trPr>
          <w:trHeight w:val="242"/>
          <w:tblCellSpacing w:w="15" w:type="dxa"/>
          <w:jc w:val="center"/>
        </w:trPr>
        <w:tc>
          <w:tcPr>
            <w:tcW w:w="581" w:type="pct"/>
            <w:vMerge w:val="restar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Ca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CC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vMerge/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/>
        </w:tc>
      </w:tr>
      <w:tr w:rsidR="00BD2450" w:rsidRPr="007F5F35" w:rsidTr="00300FF6">
        <w:trPr>
          <w:trHeight w:val="123"/>
          <w:tblCellSpacing w:w="15" w:type="dxa"/>
          <w:jc w:val="center"/>
        </w:trPr>
        <w:tc>
          <w:tcPr>
            <w:tcW w:w="581" w:type="pct"/>
            <w:vMerge/>
            <w:shd w:val="clear" w:color="auto" w:fill="FF0000"/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  <w:r w:rsidRPr="007F5F35">
              <w:t>C</w:t>
            </w:r>
          </w:p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vMerge/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/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vAlign w:val="center"/>
          </w:tcPr>
          <w:p w:rsidR="00BD2450" w:rsidRPr="007F5F35" w:rsidRDefault="00BD2450" w:rsidP="00BD2450">
            <w:pPr>
              <w:jc w:val="center"/>
              <w:rPr>
                <w:b/>
              </w:rPr>
            </w:pPr>
            <w:r w:rsidRPr="007F5F35">
              <w:rPr>
                <w:b/>
              </w:rPr>
              <w:t>C</w:t>
            </w: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>
            <w:pPr>
              <w:rPr>
                <w:b/>
              </w:rPr>
            </w:pPr>
          </w:p>
        </w:tc>
        <w:tc>
          <w:tcPr>
            <w:tcW w:w="607" w:type="pct"/>
            <w:vMerge w:val="restar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</w:rPr>
            </w:pPr>
            <w:r w:rsidRPr="007F5F35">
              <w:rPr>
                <w:b/>
              </w:rPr>
              <w:t>D</w:t>
            </w:r>
          </w:p>
        </w:tc>
        <w:tc>
          <w:tcPr>
            <w:tcW w:w="669" w:type="pct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</w:rPr>
            </w:pPr>
            <w:r w:rsidRPr="007F5F35">
              <w:rPr>
                <w:b/>
              </w:rPr>
              <w:t>/</w:t>
            </w:r>
          </w:p>
        </w:tc>
        <w:tc>
          <w:tcPr>
            <w:tcW w:w="580" w:type="pc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</w:rPr>
            </w:pPr>
            <w:r w:rsidRPr="007F5F35">
              <w:rPr>
                <w:b/>
              </w:rPr>
              <w:t>DDD</w:t>
            </w:r>
          </w:p>
        </w:tc>
        <w:tc>
          <w:tcPr>
            <w:tcW w:w="646" w:type="pct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  <w:rPr>
                <w:b/>
              </w:rPr>
            </w:pPr>
            <w:r w:rsidRPr="007F5F35">
              <w:rPr>
                <w:b/>
              </w:rPr>
              <w:t>/</w:t>
            </w:r>
          </w:p>
        </w:tc>
        <w:tc>
          <w:tcPr>
            <w:tcW w:w="1140" w:type="pct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2F0748" w:rsidRDefault="002F0748" w:rsidP="00BD245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Дефолт</w:t>
            </w:r>
          </w:p>
        </w:tc>
      </w:tr>
      <w:tr w:rsidR="00BD2450" w:rsidRPr="007F5F35" w:rsidTr="00300FF6">
        <w:trPr>
          <w:trHeight w:val="217"/>
          <w:tblCellSpacing w:w="15" w:type="dxa"/>
          <w:jc w:val="center"/>
        </w:trPr>
        <w:tc>
          <w:tcPr>
            <w:tcW w:w="581" w:type="pct"/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>
            <w:pPr>
              <w:jc w:val="center"/>
            </w:pPr>
          </w:p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607" w:type="pct"/>
            <w:vMerge/>
            <w:vAlign w:val="center"/>
          </w:tcPr>
          <w:p w:rsidR="00BD2450" w:rsidRPr="007F5F35" w:rsidRDefault="00BD2450" w:rsidP="00BD2450"/>
        </w:tc>
        <w:tc>
          <w:tcPr>
            <w:tcW w:w="669" w:type="pct"/>
            <w:vMerge/>
            <w:vAlign w:val="center"/>
          </w:tcPr>
          <w:p w:rsidR="00BD2450" w:rsidRPr="007F5F35" w:rsidRDefault="00BD2450" w:rsidP="00BD2450"/>
        </w:tc>
        <w:tc>
          <w:tcPr>
            <w:tcW w:w="580" w:type="pct"/>
            <w:shd w:val="clear" w:color="auto" w:fill="33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2450" w:rsidRPr="007F5F35" w:rsidRDefault="00BD2450" w:rsidP="00BD2450"/>
        </w:tc>
        <w:tc>
          <w:tcPr>
            <w:tcW w:w="646" w:type="pct"/>
            <w:vMerge/>
            <w:vAlign w:val="center"/>
          </w:tcPr>
          <w:p w:rsidR="00BD2450" w:rsidRPr="007F5F35" w:rsidRDefault="00BD2450" w:rsidP="00BD2450"/>
        </w:tc>
        <w:tc>
          <w:tcPr>
            <w:tcW w:w="1140" w:type="pct"/>
            <w:vMerge/>
            <w:vAlign w:val="center"/>
          </w:tcPr>
          <w:p w:rsidR="00BD2450" w:rsidRPr="007F5F35" w:rsidRDefault="00BD2450" w:rsidP="00BD2450"/>
        </w:tc>
      </w:tr>
    </w:tbl>
    <w:p w:rsidR="00BD2450" w:rsidRDefault="00BD2450" w:rsidP="00BD2450"/>
    <w:p w:rsidR="00BD2450" w:rsidRPr="001C79A5" w:rsidRDefault="001C79A5" w:rsidP="00391378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566"/>
        <w:rPr>
          <w:lang w:val="ru-RU"/>
        </w:rPr>
      </w:pPr>
      <w:r w:rsidRPr="001C79A5">
        <w:rPr>
          <w:i/>
          <w:iCs/>
          <w:lang w:val="ru-RU"/>
        </w:rPr>
        <w:t>Описания кредитных рейтингов в приведенной выше таблице упрощены с указанием лишь того, является ли кредитный рейтинг инвестиционным или высокодоходным.  Понятно, что чем выше класс ценной бумаги, тем ниже презюмируемый кредитный риск.  Вместе с тем, было сочтено, что в плане использования для целей оценки описания категорий рейтингов в исходной таблице даны в слишком обобщенной форме.</w:t>
      </w:r>
    </w:p>
    <w:p w:rsidR="00BD2450" w:rsidRPr="001C79A5" w:rsidRDefault="00BD2450" w:rsidP="00BD2450">
      <w:pPr>
        <w:ind w:left="-4" w:right="58"/>
        <w:rPr>
          <w:lang w:val="ru-RU"/>
        </w:rPr>
      </w:pPr>
    </w:p>
    <w:p w:rsidR="000023DB" w:rsidRPr="002F0748" w:rsidRDefault="002F0748" w:rsidP="002F0748">
      <w:pPr>
        <w:spacing w:after="220"/>
        <w:rPr>
          <w:lang w:val="ru-RU"/>
        </w:rPr>
      </w:pPr>
      <w:r w:rsidRPr="002F0748">
        <w:rPr>
          <w:lang w:val="ru-RU"/>
        </w:rPr>
        <w:t>В случае ценных бумаг, которым три утвержденных агентства не присваивают рейтингов, в порядке исключения могут использоваться рейтинги равнозначных независимых агентств.  Использование рейтингов, помимо рейтингов трех утвержденных агентств, допускается только при условии, если альтернативные рейтинги считаются объективными и основанными на независимом анализе</w:t>
      </w:r>
      <w:r w:rsidR="00667FD7" w:rsidRPr="002F0748">
        <w:rPr>
          <w:lang w:val="ru-RU"/>
        </w:rPr>
        <w:t>.</w:t>
      </w:r>
    </w:p>
    <w:p w:rsidR="002928D3" w:rsidRPr="00A0631B" w:rsidRDefault="00667FD7" w:rsidP="00A0631B">
      <w:pPr>
        <w:pStyle w:val="Endofdocument-Annex"/>
        <w:ind w:left="5103"/>
        <w:rPr>
          <w:lang w:val="ru-RU"/>
        </w:rPr>
      </w:pPr>
      <w:r w:rsidRPr="00A0631B">
        <w:rPr>
          <w:lang w:val="ru-RU"/>
        </w:rPr>
        <w:t>[</w:t>
      </w:r>
      <w:r w:rsidR="00A0631B" w:rsidRPr="00A0631B">
        <w:rPr>
          <w:lang w:val="ru-RU"/>
        </w:rPr>
        <w:t>Конец приложения II и документа</w:t>
      </w:r>
      <w:r w:rsidRPr="00A0631B">
        <w:rPr>
          <w:lang w:val="ru-RU"/>
        </w:rPr>
        <w:t>]</w:t>
      </w:r>
    </w:p>
    <w:sectPr w:rsidR="002928D3" w:rsidRPr="00A0631B" w:rsidSect="00FE1F24">
      <w:headerReference w:type="default" r:id="rId18"/>
      <w:headerReference w:type="first" r:id="rId19"/>
      <w:endnotePr>
        <w:numFmt w:val="decimal"/>
      </w:endnotePr>
      <w:pgSz w:w="11907" w:h="16840" w:code="9"/>
      <w:pgMar w:top="680" w:right="1418" w:bottom="1418" w:left="1418" w:header="624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A5" w:rsidRDefault="006C5CA5">
      <w:r>
        <w:separator/>
      </w:r>
    </w:p>
  </w:endnote>
  <w:endnote w:type="continuationSeparator" w:id="0">
    <w:p w:rsidR="006C5CA5" w:rsidRDefault="006C5CA5" w:rsidP="003B38C1">
      <w:r>
        <w:separator/>
      </w:r>
    </w:p>
    <w:p w:rsidR="006C5CA5" w:rsidRPr="003B38C1" w:rsidRDefault="006C5C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5CA5" w:rsidRPr="003B38C1" w:rsidRDefault="006C5C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Pr="00655343" w:rsidRDefault="00C3246C" w:rsidP="00655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A5" w:rsidRDefault="006C5CA5">
      <w:r>
        <w:separator/>
      </w:r>
    </w:p>
  </w:footnote>
  <w:footnote w:type="continuationSeparator" w:id="0">
    <w:p w:rsidR="006C5CA5" w:rsidRDefault="006C5CA5" w:rsidP="008B60B2">
      <w:r>
        <w:separator/>
      </w:r>
    </w:p>
    <w:p w:rsidR="006C5CA5" w:rsidRPr="00ED77FB" w:rsidRDefault="006C5C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5CA5" w:rsidRPr="00ED77FB" w:rsidRDefault="006C5C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3246C" w:rsidRPr="001A1150" w:rsidRDefault="00C3246C" w:rsidP="00566356">
      <w:pPr>
        <w:pStyle w:val="footnotedescription"/>
        <w:spacing w:line="240" w:lineRule="auto"/>
        <w:ind w:left="0"/>
        <w:rPr>
          <w:lang w:val="ru-RU"/>
        </w:rPr>
      </w:pPr>
      <w:r>
        <w:rPr>
          <w:rStyle w:val="footnotemark"/>
        </w:rPr>
        <w:footnoteRef/>
      </w:r>
      <w:r w:rsidRPr="001A1150">
        <w:rPr>
          <w:lang w:val="ru-RU"/>
        </w:rPr>
        <w:t xml:space="preserve"> Стандарты </w:t>
      </w:r>
      <w:r w:rsidRPr="001A1150">
        <w:t>GIPS</w:t>
      </w:r>
      <w:r w:rsidRPr="001A1150">
        <w:rPr>
          <w:lang w:val="ru-RU"/>
        </w:rPr>
        <w:t xml:space="preserve"> – это набор стандартных общеотраслевых этических принципов, которые служат руководством для инвестиционных фирм в отношении расчета и представления перспективным клиентам информации о результатах их инвестиционной деятельности. </w:t>
      </w:r>
    </w:p>
  </w:footnote>
  <w:footnote w:id="3">
    <w:p w:rsidR="00C3246C" w:rsidRPr="001A1150" w:rsidRDefault="00C3246C" w:rsidP="00566356">
      <w:pPr>
        <w:pStyle w:val="footnotedescription"/>
        <w:spacing w:line="240" w:lineRule="auto"/>
        <w:ind w:left="0"/>
        <w:rPr>
          <w:lang w:val="ru-RU"/>
        </w:rPr>
      </w:pPr>
      <w:r>
        <w:rPr>
          <w:rStyle w:val="footnotemark"/>
        </w:rPr>
        <w:footnoteRef/>
      </w:r>
      <w:r w:rsidRPr="001A1150">
        <w:rPr>
          <w:lang w:val="ru-RU"/>
        </w:rPr>
        <w:t xml:space="preserve"> </w:t>
      </w:r>
      <w:r w:rsidRPr="001A1150">
        <w:rPr>
          <w:lang w:val="ru-RU"/>
        </w:rPr>
        <w:t xml:space="preserve">Данные обязанности охватывают вопросы, касающиеся полномочий на осуществление инвестиций, ответственности управляющего, заявлений и заверений, контрольных показателей эффективности, комиссионных сборов, требований к отчетности и других административных требований.  Соответствующие руководящие принципы в отношении инвестиций являются частью каждого договора. </w:t>
      </w:r>
    </w:p>
  </w:footnote>
  <w:footnote w:id="4">
    <w:p w:rsidR="00C3246C" w:rsidRPr="001A1150" w:rsidRDefault="00C3246C" w:rsidP="00985C72">
      <w:pPr>
        <w:pStyle w:val="footnotedescription"/>
        <w:spacing w:line="240" w:lineRule="auto"/>
        <w:ind w:left="0" w:right="26"/>
        <w:rPr>
          <w:lang w:val="ru-RU"/>
        </w:rPr>
      </w:pPr>
      <w:r>
        <w:rPr>
          <w:rStyle w:val="footnotemark"/>
        </w:rPr>
        <w:footnoteRef/>
      </w:r>
      <w:r w:rsidRPr="001A1150">
        <w:rPr>
          <w:lang w:val="ru-RU"/>
        </w:rPr>
        <w:t xml:space="preserve"> </w:t>
      </w:r>
      <w:r w:rsidRPr="001A1150">
        <w:rPr>
          <w:lang w:val="ru-RU"/>
        </w:rPr>
        <w:t xml:space="preserve">Данное соглашение заключается на случай, когда ВОИС имеет несколько внешних управляющих фондами и одного общего доверительного управляющего.  Доверительный управляющий отвечает за согласование его отчетности с отчетностью каждого управляющего фондами, освобождая таким образом ВОИС от </w:t>
      </w:r>
      <w:r>
        <w:rPr>
          <w:lang w:val="ru-RU"/>
        </w:rPr>
        <w:t>такого</w:t>
      </w:r>
      <w:r w:rsidRPr="001A1150">
        <w:rPr>
          <w:lang w:val="ru-RU"/>
        </w:rPr>
        <w:t xml:space="preserve"> административного бремени. </w:t>
      </w:r>
    </w:p>
  </w:footnote>
  <w:footnote w:id="5">
    <w:p w:rsidR="00C3246C" w:rsidRPr="001A1150" w:rsidRDefault="00C3246C" w:rsidP="00985C72">
      <w:pPr>
        <w:pStyle w:val="footnotedescription"/>
        <w:spacing w:line="240" w:lineRule="auto"/>
        <w:ind w:left="0"/>
        <w:rPr>
          <w:lang w:val="ru-RU"/>
        </w:rPr>
      </w:pPr>
      <w:r>
        <w:rPr>
          <w:rStyle w:val="footnotemark"/>
        </w:rPr>
        <w:footnoteRef/>
      </w:r>
      <w:r w:rsidRPr="001A1150">
        <w:rPr>
          <w:lang w:val="ru-RU"/>
        </w:rPr>
        <w:t xml:space="preserve"> </w:t>
      </w:r>
      <w:r>
        <w:rPr>
          <w:lang w:val="ru-RU"/>
        </w:rPr>
        <w:t>Эти</w:t>
      </w:r>
      <w:r w:rsidRPr="001A1150">
        <w:rPr>
          <w:lang w:val="ru-RU"/>
        </w:rPr>
        <w:t xml:space="preserve"> руководящие принципы не следует отождествлять с руководящими принципами, издаваемыми ККИ для внешних управляющих фондами. </w:t>
      </w:r>
    </w:p>
  </w:footnote>
  <w:footnote w:id="6">
    <w:p w:rsidR="00C3246C" w:rsidRPr="00EA4C5E" w:rsidRDefault="00C3246C" w:rsidP="00985C72">
      <w:pPr>
        <w:pStyle w:val="footnotedescription"/>
        <w:spacing w:line="240" w:lineRule="auto"/>
        <w:ind w:left="0"/>
        <w:rPr>
          <w:lang w:val="ru-RU"/>
        </w:rPr>
      </w:pPr>
      <w:r>
        <w:rPr>
          <w:rStyle w:val="footnotemark"/>
        </w:rPr>
        <w:footnoteRef/>
      </w:r>
      <w:r w:rsidRPr="00EA4C5E">
        <w:rPr>
          <w:lang w:val="ru-RU"/>
        </w:rPr>
        <w:t xml:space="preserve"> </w:t>
      </w:r>
      <w:r>
        <w:rPr>
          <w:lang w:val="ru-RU"/>
        </w:rPr>
        <w:t>Подробные сведения о кредитных рейтингах приводятся в таблице «Кредитные лимиты»</w:t>
      </w:r>
      <w:r w:rsidRPr="00EA4C5E">
        <w:rPr>
          <w:lang w:val="ru-RU"/>
        </w:rPr>
        <w:t xml:space="preserve">. </w:t>
      </w:r>
    </w:p>
  </w:footnote>
  <w:footnote w:id="7">
    <w:p w:rsidR="00C3246C" w:rsidRPr="00624033" w:rsidRDefault="00C3246C" w:rsidP="00625A8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4033">
        <w:rPr>
          <w:lang w:val="ru-RU"/>
        </w:rPr>
        <w:t xml:space="preserve"> </w:t>
      </w:r>
      <w:r>
        <w:rPr>
          <w:lang w:val="ru-RU"/>
        </w:rPr>
        <w:t>Стандарты</w:t>
      </w:r>
      <w:r w:rsidRPr="00624033">
        <w:rPr>
          <w:lang w:val="ru-RU"/>
        </w:rPr>
        <w:t xml:space="preserve"> </w:t>
      </w:r>
      <w:r w:rsidRPr="00213668">
        <w:t>GIPS</w:t>
      </w:r>
      <w:r w:rsidRPr="00624033">
        <w:rPr>
          <w:lang w:val="ru-RU"/>
        </w:rPr>
        <w:t xml:space="preserve"> </w:t>
      </w:r>
      <w:r>
        <w:rPr>
          <w:lang w:val="ru-RU"/>
        </w:rPr>
        <w:t xml:space="preserve">– это набор стандартных общеотраслевых этических принципов, которые служат руководством для инвестиционных фирм </w:t>
      </w:r>
      <w:r w:rsidRPr="00624033">
        <w:rPr>
          <w:lang w:val="ru-RU"/>
        </w:rPr>
        <w:t>в отношении</w:t>
      </w:r>
      <w:r>
        <w:rPr>
          <w:lang w:val="ru-RU"/>
        </w:rPr>
        <w:t xml:space="preserve"> расчета и представления перспективным клиентам информации о результатах их инвестиционной деятельности</w:t>
      </w:r>
      <w:r w:rsidRPr="00624033">
        <w:rPr>
          <w:lang w:val="ru-RU"/>
        </w:rPr>
        <w:t>.</w:t>
      </w:r>
    </w:p>
  </w:footnote>
  <w:footnote w:id="8">
    <w:p w:rsidR="00C3246C" w:rsidRPr="007D3966" w:rsidRDefault="00C3246C" w:rsidP="00625A8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3966">
        <w:rPr>
          <w:lang w:val="ru-RU"/>
        </w:rPr>
        <w:t xml:space="preserve"> </w:t>
      </w:r>
      <w:r>
        <w:rPr>
          <w:lang w:val="ru-RU"/>
        </w:rPr>
        <w:t>Данные обязанности охватывают вопросы, касающиеся полномочий на осуществление инвестиций, ответственности управляющего, заявлений и заверений, контрольных показателей эффективности, комиссионных сборов, требований к отчетности и других административных требований</w:t>
      </w:r>
      <w:r w:rsidRPr="001115EE">
        <w:rPr>
          <w:lang w:val="ru-RU"/>
        </w:rPr>
        <w:t>.</w:t>
      </w:r>
      <w:r>
        <w:rPr>
          <w:lang w:val="ru-RU"/>
        </w:rPr>
        <w:t xml:space="preserve">  Соответствующие руководящие принципы </w:t>
      </w:r>
      <w:r w:rsidRPr="001115EE">
        <w:rPr>
          <w:lang w:val="ru-RU"/>
        </w:rPr>
        <w:t>в отношении</w:t>
      </w:r>
      <w:r>
        <w:rPr>
          <w:lang w:val="ru-RU"/>
        </w:rPr>
        <w:t xml:space="preserve"> инвестиций являются частью каждого договора.</w:t>
      </w:r>
    </w:p>
  </w:footnote>
  <w:footnote w:id="9">
    <w:p w:rsidR="00C3246C" w:rsidRPr="004E0C2C" w:rsidRDefault="00C3246C" w:rsidP="00625A8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81D24">
        <w:rPr>
          <w:lang w:val="ru-RU"/>
        </w:rPr>
        <w:t xml:space="preserve"> </w:t>
      </w:r>
      <w:r>
        <w:rPr>
          <w:lang w:val="ru-RU"/>
        </w:rPr>
        <w:t>Данные руководящие принципы не следует отождествлять с руководящими принципами, издаваемыми ККИ для внешних управляющих фондами</w:t>
      </w:r>
      <w:r w:rsidRPr="004E0C2C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0">
    <w:p w:rsidR="00C3246C" w:rsidRPr="00A51BFA" w:rsidRDefault="00C3246C" w:rsidP="00100EB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1BFA">
        <w:rPr>
          <w:lang w:val="ru-RU"/>
        </w:rPr>
        <w:t xml:space="preserve"> </w:t>
      </w:r>
      <w:r>
        <w:rPr>
          <w:lang w:val="ru-RU"/>
        </w:rPr>
        <w:t>Временной</w:t>
      </w:r>
      <w:r w:rsidRPr="00A51BFA">
        <w:rPr>
          <w:lang w:val="ru-RU"/>
        </w:rPr>
        <w:t xml:space="preserve"> </w:t>
      </w:r>
      <w:r>
        <w:rPr>
          <w:lang w:val="ru-RU"/>
        </w:rPr>
        <w:t>горизонт</w:t>
      </w:r>
      <w:r w:rsidRPr="00A51BFA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A51BFA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A51BFA">
        <w:rPr>
          <w:lang w:val="ru-RU"/>
        </w:rPr>
        <w:t xml:space="preserve"> </w:t>
      </w:r>
      <w:r>
        <w:rPr>
          <w:lang w:val="ru-RU"/>
        </w:rPr>
        <w:t>в</w:t>
      </w:r>
      <w:r w:rsidRPr="00A51BFA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A51BFA">
        <w:rPr>
          <w:lang w:val="ru-RU"/>
        </w:rPr>
        <w:t xml:space="preserve"> </w:t>
      </w:r>
      <w:r>
        <w:rPr>
          <w:lang w:val="ru-RU"/>
        </w:rPr>
        <w:t>от</w:t>
      </w:r>
      <w:r w:rsidRPr="00A51BF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51BF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51BFA">
        <w:rPr>
          <w:lang w:val="ru-RU"/>
        </w:rPr>
        <w:t xml:space="preserve"> </w:t>
      </w:r>
      <w:r>
        <w:rPr>
          <w:lang w:val="ru-RU"/>
        </w:rPr>
        <w:t>УАП</w:t>
      </w:r>
      <w:r w:rsidRPr="00A51BFA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Default="00C3246C">
    <w:pPr>
      <w:pStyle w:val="Header"/>
      <w:jc w:val="right"/>
    </w:pPr>
    <w:r>
      <w:t>WO/PBC/26/4</w:t>
    </w:r>
    <w:r w:rsidR="00E94DB6">
      <w:t xml:space="preserve"> Rev.</w:t>
    </w:r>
  </w:p>
  <w:p w:rsidR="00C3246C" w:rsidRDefault="00C3246C">
    <w:pPr>
      <w:pStyle w:val="Header"/>
      <w:jc w:val="right"/>
    </w:pPr>
    <w:r>
      <w:rPr>
        <w:lang w:val="ru-RU"/>
      </w:rPr>
      <w:t>стр</w:t>
    </w:r>
    <w:r w:rsidRPr="003C447E">
      <w:t>.</w:t>
    </w:r>
    <w:r>
      <w:t xml:space="preserve"> </w:t>
    </w:r>
    <w:sdt>
      <w:sdtPr>
        <w:id w:val="-14053699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89C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C3246C" w:rsidRDefault="00C3246C" w:rsidP="00BD245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Pr="00C21C3A" w:rsidRDefault="00C3246C">
    <w:pPr>
      <w:spacing w:line="259" w:lineRule="auto"/>
      <w:ind w:right="59"/>
      <w:jc w:val="right"/>
    </w:pPr>
    <w:r w:rsidRPr="00C21C3A">
      <w:t xml:space="preserve">WO/PBC/24/10 </w:t>
    </w:r>
  </w:p>
  <w:p w:rsidR="00C3246C" w:rsidRPr="00C21C3A" w:rsidRDefault="00C3246C">
    <w:pPr>
      <w:spacing w:line="259" w:lineRule="auto"/>
      <w:ind w:right="59"/>
      <w:jc w:val="right"/>
    </w:pPr>
    <w:proofErr w:type="gramStart"/>
    <w:r w:rsidRPr="00C21C3A">
      <w:t>page</w:t>
    </w:r>
    <w:proofErr w:type="gramEnd"/>
    <w:r w:rsidRPr="00C21C3A">
      <w:t xml:space="preserve"> </w:t>
    </w:r>
    <w:r>
      <w:fldChar w:fldCharType="begin"/>
    </w:r>
    <w:r w:rsidRPr="00C21C3A"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 w:rsidRPr="00C21C3A">
      <w:t xml:space="preserve"> </w:t>
    </w:r>
  </w:p>
  <w:p w:rsidR="00C3246C" w:rsidRPr="00C21C3A" w:rsidRDefault="00C3246C">
    <w:pPr>
      <w:spacing w:line="259" w:lineRule="auto"/>
    </w:pPr>
    <w:r w:rsidRPr="00C21C3A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Pr="0025504E" w:rsidRDefault="00C3246C">
    <w:pPr>
      <w:spacing w:line="259" w:lineRule="auto"/>
      <w:ind w:right="59"/>
      <w:jc w:val="right"/>
      <w:rPr>
        <w:lang w:val="ru-RU"/>
      </w:rPr>
    </w:pPr>
    <w:r>
      <w:t>WO</w:t>
    </w:r>
    <w:r w:rsidRPr="0025504E">
      <w:rPr>
        <w:lang w:val="ru-RU"/>
      </w:rPr>
      <w:t>/</w:t>
    </w:r>
    <w:r>
      <w:t>PBC</w:t>
    </w:r>
    <w:r w:rsidRPr="0025504E">
      <w:rPr>
        <w:lang w:val="ru-RU"/>
      </w:rPr>
      <w:t>/26/4</w:t>
    </w:r>
    <w:r w:rsidR="00E94DB6">
      <w:rPr>
        <w:lang w:val="ru-RU"/>
      </w:rPr>
      <w:t xml:space="preserve"> </w:t>
    </w:r>
    <w:r w:rsidR="00E94DB6">
      <w:t>Rev</w:t>
    </w:r>
    <w:r w:rsidR="00E94DB6" w:rsidRPr="00E5189C">
      <w:rPr>
        <w:lang w:val="ru-RU"/>
      </w:rPr>
      <w:t>.</w:t>
    </w:r>
  </w:p>
  <w:p w:rsidR="00C3246C" w:rsidRDefault="00C3246C" w:rsidP="00C3246C">
    <w:pPr>
      <w:spacing w:line="259" w:lineRule="auto"/>
      <w:ind w:right="59"/>
      <w:jc w:val="right"/>
    </w:pPr>
    <w:r w:rsidRPr="00A0631B">
      <w:rPr>
        <w:lang w:val="ru-RU"/>
      </w:rPr>
      <w:t xml:space="preserve">Приложение </w:t>
    </w:r>
    <w:r w:rsidRPr="00A0631B">
      <w:t>I</w:t>
    </w:r>
    <w:r w:rsidRPr="00A0631B">
      <w:rPr>
        <w:lang w:val="ru-RU"/>
      </w:rPr>
      <w:t xml:space="preserve">, стр. </w:t>
    </w:r>
    <w:r>
      <w:fldChar w:fldCharType="begin"/>
    </w:r>
    <w:r w:rsidRPr="0025504E">
      <w:rPr>
        <w:lang w:val="ru-RU"/>
      </w:rPr>
      <w:instrText xml:space="preserve"> </w:instrText>
    </w:r>
    <w:r>
      <w:instrText>PAGE</w:instrText>
    </w:r>
    <w:r w:rsidRPr="0025504E">
      <w:rPr>
        <w:lang w:val="ru-RU"/>
      </w:rPr>
      <w:instrText xml:space="preserve">   \* </w:instrText>
    </w:r>
    <w:r>
      <w:instrText>MERGEFORMAT</w:instrText>
    </w:r>
    <w:r w:rsidRPr="0025504E">
      <w:rPr>
        <w:lang w:val="ru-RU"/>
      </w:rPr>
      <w:instrText xml:space="preserve"> </w:instrText>
    </w:r>
    <w:r>
      <w:fldChar w:fldCharType="separate"/>
    </w:r>
    <w:r w:rsidR="00E5189C">
      <w:rPr>
        <w:noProof/>
      </w:rPr>
      <w:t>10</w:t>
    </w:r>
    <w:r>
      <w:fldChar w:fldCharType="end"/>
    </w:r>
  </w:p>
  <w:p w:rsidR="00C3246C" w:rsidRDefault="00C3246C" w:rsidP="00BD2450">
    <w:pPr>
      <w:spacing w:line="259" w:lineRule="auto"/>
      <w:ind w:right="59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Default="00C3246C">
    <w:pPr>
      <w:spacing w:line="259" w:lineRule="auto"/>
      <w:ind w:right="54"/>
      <w:jc w:val="right"/>
    </w:pPr>
    <w:r>
      <w:t xml:space="preserve">WO/PBC/26/4 </w:t>
    </w:r>
    <w:r w:rsidR="00E94DB6">
      <w:t>Rev.</w:t>
    </w:r>
  </w:p>
  <w:p w:rsidR="00C3246C" w:rsidRDefault="00C3246C">
    <w:pPr>
      <w:spacing w:line="259" w:lineRule="auto"/>
      <w:ind w:right="54"/>
      <w:jc w:val="right"/>
    </w:pPr>
    <w:r>
      <w:rPr>
        <w:lang w:val="ru-RU"/>
      </w:rPr>
      <w:t>ПРИЛОЖЕНИЕ</w:t>
    </w:r>
    <w:r>
      <w:t xml:space="preserve"> I</w:t>
    </w:r>
  </w:p>
  <w:p w:rsidR="00C3246C" w:rsidRDefault="00C3246C">
    <w:pPr>
      <w:spacing w:line="259" w:lineRule="auto"/>
      <w:ind w:right="54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Pr="0025504E" w:rsidRDefault="00C3246C" w:rsidP="00477D6B">
    <w:pPr>
      <w:jc w:val="right"/>
      <w:rPr>
        <w:lang w:val="ru-RU"/>
      </w:rPr>
    </w:pPr>
    <w:bookmarkStart w:id="5" w:name="Code2"/>
    <w:bookmarkEnd w:id="5"/>
    <w:r w:rsidRPr="00B27CF6">
      <w:rPr>
        <w:lang w:val="fr-FR"/>
      </w:rPr>
      <w:t>WO</w:t>
    </w:r>
    <w:r w:rsidRPr="0025504E">
      <w:rPr>
        <w:lang w:val="ru-RU"/>
      </w:rPr>
      <w:t>/</w:t>
    </w:r>
    <w:r w:rsidRPr="00B27CF6">
      <w:rPr>
        <w:lang w:val="fr-FR"/>
      </w:rPr>
      <w:t>PBC</w:t>
    </w:r>
    <w:r w:rsidRPr="0025504E">
      <w:rPr>
        <w:lang w:val="ru-RU"/>
      </w:rPr>
      <w:t>/26/4</w:t>
    </w:r>
    <w:r w:rsidR="00E94DB6">
      <w:rPr>
        <w:lang w:val="ru-RU"/>
      </w:rPr>
      <w:t xml:space="preserve"> </w:t>
    </w:r>
    <w:r w:rsidR="00E94DB6">
      <w:t>Rev</w:t>
    </w:r>
    <w:r w:rsidR="00E94DB6" w:rsidRPr="00E5189C">
      <w:rPr>
        <w:lang w:val="ru-RU"/>
      </w:rPr>
      <w:t>.</w:t>
    </w:r>
  </w:p>
  <w:p w:rsidR="00C3246C" w:rsidRPr="00B27CF6" w:rsidRDefault="00C3246C" w:rsidP="00477D6B">
    <w:pPr>
      <w:jc w:val="right"/>
      <w:rPr>
        <w:lang w:val="fr-FR"/>
      </w:rPr>
    </w:pPr>
    <w:r w:rsidRPr="00A0631B">
      <w:rPr>
        <w:lang w:val="ru-RU"/>
      </w:rPr>
      <w:t xml:space="preserve">Приложение </w:t>
    </w:r>
    <w:r w:rsidRPr="00A0631B">
      <w:rPr>
        <w:lang w:val="fr-FR"/>
      </w:rPr>
      <w:t>II</w:t>
    </w:r>
    <w:r w:rsidRPr="00A0631B">
      <w:rPr>
        <w:lang w:val="ru-RU"/>
      </w:rPr>
      <w:t>, стр.</w:t>
    </w:r>
    <w:r w:rsidRPr="0025504E">
      <w:rPr>
        <w:lang w:val="ru-RU"/>
      </w:rPr>
      <w:t xml:space="preserve"> </w:t>
    </w:r>
    <w:r>
      <w:fldChar w:fldCharType="begin"/>
    </w:r>
    <w:r w:rsidRPr="0025504E">
      <w:rPr>
        <w:lang w:val="ru-RU"/>
      </w:rPr>
      <w:instrText xml:space="preserve"> </w:instrText>
    </w:r>
    <w:r w:rsidRPr="00B27CF6">
      <w:rPr>
        <w:lang w:val="fr-FR"/>
      </w:rPr>
      <w:instrText>PAGE</w:instrText>
    </w:r>
    <w:r w:rsidRPr="0025504E">
      <w:rPr>
        <w:lang w:val="ru-RU"/>
      </w:rPr>
      <w:instrText xml:space="preserve">  \* </w:instrText>
    </w:r>
    <w:r w:rsidRPr="00B27CF6">
      <w:rPr>
        <w:lang w:val="fr-FR"/>
      </w:rPr>
      <w:instrText>MERGEFORMAT</w:instrText>
    </w:r>
    <w:r w:rsidRPr="0025504E">
      <w:rPr>
        <w:lang w:val="ru-RU"/>
      </w:rPr>
      <w:instrText xml:space="preserve"> </w:instrText>
    </w:r>
    <w:r>
      <w:fldChar w:fldCharType="separate"/>
    </w:r>
    <w:r w:rsidR="00E5189C">
      <w:rPr>
        <w:noProof/>
        <w:lang w:val="fr-FR"/>
      </w:rPr>
      <w:t>10</w:t>
    </w:r>
    <w:r>
      <w:fldChar w:fldCharType="end"/>
    </w:r>
  </w:p>
  <w:p w:rsidR="00C3246C" w:rsidRPr="00B27CF6" w:rsidRDefault="00C3246C" w:rsidP="00477D6B">
    <w:pPr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6C" w:rsidRPr="00E94DB6" w:rsidRDefault="00C3246C" w:rsidP="00C3246C">
    <w:pPr>
      <w:spacing w:line="259" w:lineRule="auto"/>
      <w:ind w:right="54"/>
      <w:jc w:val="right"/>
      <w:rPr>
        <w:lang w:val="ru-RU"/>
      </w:rPr>
    </w:pPr>
    <w:r>
      <w:t>WO</w:t>
    </w:r>
    <w:r w:rsidRPr="00E5189C">
      <w:rPr>
        <w:lang w:val="ru-RU"/>
      </w:rPr>
      <w:t>/</w:t>
    </w:r>
    <w:r>
      <w:t>PBC</w:t>
    </w:r>
    <w:r w:rsidRPr="00E5189C">
      <w:rPr>
        <w:lang w:val="ru-RU"/>
      </w:rPr>
      <w:t>/26/4</w:t>
    </w:r>
    <w:r w:rsidR="00E94DB6">
      <w:rPr>
        <w:lang w:val="ru-RU"/>
      </w:rPr>
      <w:t xml:space="preserve"> </w:t>
    </w:r>
    <w:r w:rsidR="00E94DB6">
      <w:t>Rev</w:t>
    </w:r>
    <w:r w:rsidR="00E94DB6" w:rsidRPr="00E94DB6">
      <w:rPr>
        <w:lang w:val="ru-RU"/>
      </w:rPr>
      <w:t>.</w:t>
    </w:r>
  </w:p>
  <w:p w:rsidR="00C3246C" w:rsidRPr="00E5189C" w:rsidRDefault="00C3246C">
    <w:pPr>
      <w:spacing w:line="259" w:lineRule="auto"/>
      <w:ind w:right="54"/>
      <w:jc w:val="right"/>
      <w:rPr>
        <w:lang w:val="ru-RU"/>
      </w:rPr>
    </w:pPr>
    <w:r w:rsidRPr="00A0631B">
      <w:rPr>
        <w:lang w:val="ru-RU"/>
      </w:rPr>
      <w:t>ПРИЛОЖЕНИЕ</w:t>
    </w:r>
    <w:r w:rsidRPr="00E5189C">
      <w:rPr>
        <w:lang w:val="ru-RU"/>
      </w:rPr>
      <w:t xml:space="preserve"> </w:t>
    </w:r>
    <w:r>
      <w:t>II</w:t>
    </w:r>
  </w:p>
  <w:p w:rsidR="00C3246C" w:rsidRPr="00E5189C" w:rsidRDefault="00C3246C">
    <w:pPr>
      <w:spacing w:line="259" w:lineRule="auto"/>
      <w:ind w:right="5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84"/>
    <w:multiLevelType w:val="hybridMultilevel"/>
    <w:tmpl w:val="FC527260"/>
    <w:lvl w:ilvl="0" w:tplc="B2087C9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5A9"/>
    <w:multiLevelType w:val="hybridMultilevel"/>
    <w:tmpl w:val="C8B0B3BE"/>
    <w:lvl w:ilvl="0" w:tplc="2660BCAE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8C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92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EB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E44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EE4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669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22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057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C0A0A45"/>
    <w:multiLevelType w:val="hybridMultilevel"/>
    <w:tmpl w:val="75F6E8C2"/>
    <w:lvl w:ilvl="0" w:tplc="F37A4BA4">
      <w:start w:val="3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50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1E4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BC6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A224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0400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61E7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2C0C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4E2F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E90304"/>
    <w:multiLevelType w:val="hybridMultilevel"/>
    <w:tmpl w:val="CEE84C4C"/>
    <w:lvl w:ilvl="0" w:tplc="7EE21730">
      <w:start w:val="3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C9B4C">
      <w:start w:val="1"/>
      <w:numFmt w:val="lowerLetter"/>
      <w:lvlText w:val="(%2)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A7C4E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D03592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876C0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8CAB6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6599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BB8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8C1A2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9E0580"/>
    <w:multiLevelType w:val="hybridMultilevel"/>
    <w:tmpl w:val="D5BC0ADE"/>
    <w:lvl w:ilvl="0" w:tplc="34BEDDE6">
      <w:start w:val="1"/>
      <w:numFmt w:val="lowerRoman"/>
      <w:lvlText w:val="(%1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A5A34">
      <w:start w:val="1"/>
      <w:numFmt w:val="lowerLetter"/>
      <w:lvlText w:val="%2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E1678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C4EF8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E37EA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CBC6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45ED6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0C248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C1BCC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C53F91"/>
    <w:multiLevelType w:val="hybridMultilevel"/>
    <w:tmpl w:val="D16E0498"/>
    <w:lvl w:ilvl="0" w:tplc="A90A76BC">
      <w:start w:val="2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677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A1B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C0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AD9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4D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A1C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CDA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C0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BB3309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F0BD6"/>
    <w:multiLevelType w:val="hybridMultilevel"/>
    <w:tmpl w:val="64EC12D0"/>
    <w:lvl w:ilvl="0" w:tplc="08342DB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A5E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66A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A5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C42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8ED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405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9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6F5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536E8A"/>
    <w:multiLevelType w:val="hybridMultilevel"/>
    <w:tmpl w:val="1A160F52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46E9E"/>
    <w:multiLevelType w:val="hybridMultilevel"/>
    <w:tmpl w:val="E9201C5E"/>
    <w:lvl w:ilvl="0" w:tplc="86E6A812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E29F9C">
      <w:start w:val="1"/>
      <w:numFmt w:val="lowerLetter"/>
      <w:lvlText w:val="(%2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EC318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8FDE2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6A8AC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2EEA04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E7DD0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2EE2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8D4F2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BA2FDD"/>
    <w:multiLevelType w:val="hybridMultilevel"/>
    <w:tmpl w:val="1A160F52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443"/>
    <w:multiLevelType w:val="hybridMultilevel"/>
    <w:tmpl w:val="BB9CC4FE"/>
    <w:lvl w:ilvl="0" w:tplc="00306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0400C4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20D35"/>
    <w:multiLevelType w:val="hybridMultilevel"/>
    <w:tmpl w:val="C48479BA"/>
    <w:lvl w:ilvl="0" w:tplc="5B16CC60">
      <w:start w:val="3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DC0B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A2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AF1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618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004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8EA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0A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C9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BA1936"/>
    <w:multiLevelType w:val="hybridMultilevel"/>
    <w:tmpl w:val="DA78F0C2"/>
    <w:lvl w:ilvl="0" w:tplc="0BB0A6DE">
      <w:start w:val="1"/>
      <w:numFmt w:val="lowerLetter"/>
      <w:lvlText w:val="(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28E36">
      <w:start w:val="1"/>
      <w:numFmt w:val="lowerLetter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9E24">
      <w:start w:val="1"/>
      <w:numFmt w:val="lowerRoman"/>
      <w:lvlText w:val="%3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27438">
      <w:start w:val="1"/>
      <w:numFmt w:val="decimal"/>
      <w:lvlText w:val="%4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8BE96">
      <w:start w:val="1"/>
      <w:numFmt w:val="lowerLetter"/>
      <w:lvlText w:val="%5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698C4">
      <w:start w:val="1"/>
      <w:numFmt w:val="lowerRoman"/>
      <w:lvlText w:val="%6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E765C">
      <w:start w:val="1"/>
      <w:numFmt w:val="decimal"/>
      <w:lvlText w:val="%7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8D35C">
      <w:start w:val="1"/>
      <w:numFmt w:val="lowerLetter"/>
      <w:lvlText w:val="%8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01E7E">
      <w:start w:val="1"/>
      <w:numFmt w:val="lowerRoman"/>
      <w:lvlText w:val="%9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3E7047A"/>
    <w:multiLevelType w:val="hybridMultilevel"/>
    <w:tmpl w:val="B344C6D6"/>
    <w:lvl w:ilvl="0" w:tplc="F5C062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13B3E"/>
    <w:multiLevelType w:val="hybridMultilevel"/>
    <w:tmpl w:val="B344C6D6"/>
    <w:lvl w:ilvl="0" w:tplc="F5C062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B3138"/>
    <w:multiLevelType w:val="hybridMultilevel"/>
    <w:tmpl w:val="EC7C0BEA"/>
    <w:lvl w:ilvl="0" w:tplc="65D29F78">
      <w:start w:val="3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E7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68A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1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20C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031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823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C06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4D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0DB0B2B"/>
    <w:multiLevelType w:val="hybridMultilevel"/>
    <w:tmpl w:val="5D4C8178"/>
    <w:lvl w:ilvl="0" w:tplc="80861BFE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E29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28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A6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A30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840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6E7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6D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014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747572E"/>
    <w:multiLevelType w:val="hybridMultilevel"/>
    <w:tmpl w:val="7302708E"/>
    <w:lvl w:ilvl="0" w:tplc="90267C1C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A6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6E78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E73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A1C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44D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EB9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A5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009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8C0596D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A1163"/>
    <w:multiLevelType w:val="hybridMultilevel"/>
    <w:tmpl w:val="46FCA22A"/>
    <w:lvl w:ilvl="0" w:tplc="9ABA530A">
      <w:start w:val="2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A8362">
      <w:start w:val="1"/>
      <w:numFmt w:val="lowerLetter"/>
      <w:lvlText w:val="(%2)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ED860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44A9E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4990A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6C426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02FDC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00A6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ADCE2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0113E6"/>
    <w:multiLevelType w:val="hybridMultilevel"/>
    <w:tmpl w:val="27B4926C"/>
    <w:lvl w:ilvl="0" w:tplc="C6F2E406">
      <w:start w:val="1"/>
      <w:numFmt w:val="lowerRoman"/>
      <w:lvlText w:val="(%1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6EB38">
      <w:start w:val="1"/>
      <w:numFmt w:val="lowerLetter"/>
      <w:lvlText w:val="%2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DB16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27BA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A2560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47C98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0E8FC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D2E926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6D0CE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15A5463"/>
    <w:multiLevelType w:val="hybridMultilevel"/>
    <w:tmpl w:val="57747D36"/>
    <w:lvl w:ilvl="0" w:tplc="0F967176">
      <w:start w:val="1"/>
      <w:numFmt w:val="lowerRoman"/>
      <w:lvlText w:val="(%1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E5326">
      <w:start w:val="1"/>
      <w:numFmt w:val="lowerLetter"/>
      <w:lvlText w:val="%2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6910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CA85E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22132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02228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CA76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A59CC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06AF2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26D0217"/>
    <w:multiLevelType w:val="hybridMultilevel"/>
    <w:tmpl w:val="D3B418DE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8343D"/>
    <w:multiLevelType w:val="hybridMultilevel"/>
    <w:tmpl w:val="57A250F8"/>
    <w:lvl w:ilvl="0" w:tplc="42BEDD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832458"/>
    <w:multiLevelType w:val="hybridMultilevel"/>
    <w:tmpl w:val="0DD620F8"/>
    <w:lvl w:ilvl="0" w:tplc="2C3A2C6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A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E0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43C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A98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071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CC7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C3B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A6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81764C3"/>
    <w:multiLevelType w:val="hybridMultilevel"/>
    <w:tmpl w:val="B0F06518"/>
    <w:lvl w:ilvl="0" w:tplc="C4766186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6C9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2FF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F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4D0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2CC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F5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CF1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84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8DF53E0"/>
    <w:multiLevelType w:val="hybridMultilevel"/>
    <w:tmpl w:val="EA0A1EAA"/>
    <w:lvl w:ilvl="0" w:tplc="CE726C7A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422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CC7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804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215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855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22B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1EF0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CA4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9F8056A"/>
    <w:multiLevelType w:val="hybridMultilevel"/>
    <w:tmpl w:val="C740793E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44CB2"/>
    <w:multiLevelType w:val="hybridMultilevel"/>
    <w:tmpl w:val="FD205C46"/>
    <w:lvl w:ilvl="0" w:tplc="5C580BF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2B5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6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017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C059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629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C99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C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4E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376372"/>
    <w:multiLevelType w:val="hybridMultilevel"/>
    <w:tmpl w:val="972CE8F2"/>
    <w:lvl w:ilvl="0" w:tplc="230CFB90">
      <w:start w:val="1"/>
      <w:numFmt w:val="lowerRoman"/>
      <w:lvlText w:val="(%1)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5">
    <w:nsid w:val="4F9C5F8F"/>
    <w:multiLevelType w:val="hybridMultilevel"/>
    <w:tmpl w:val="690A45DA"/>
    <w:lvl w:ilvl="0" w:tplc="230CFB90">
      <w:start w:val="1"/>
      <w:numFmt w:val="lowerRoman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6">
    <w:nsid w:val="55F267B4"/>
    <w:multiLevelType w:val="hybridMultilevel"/>
    <w:tmpl w:val="19E614AA"/>
    <w:lvl w:ilvl="0" w:tplc="00306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C062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B54225BC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E0817"/>
    <w:multiLevelType w:val="hybridMultilevel"/>
    <w:tmpl w:val="12C6B6B0"/>
    <w:lvl w:ilvl="0" w:tplc="1B04D31A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8C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EC5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0A7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C47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F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21D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E623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6E26F67"/>
    <w:multiLevelType w:val="hybridMultilevel"/>
    <w:tmpl w:val="FF2E3B4E"/>
    <w:lvl w:ilvl="0" w:tplc="6D9085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B730EB8"/>
    <w:multiLevelType w:val="hybridMultilevel"/>
    <w:tmpl w:val="A3C42D50"/>
    <w:lvl w:ilvl="0" w:tplc="A0987A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E40EC">
      <w:start w:val="1"/>
      <w:numFmt w:val="lowerLetter"/>
      <w:lvlText w:val="%2"/>
      <w:lvlJc w:val="left"/>
      <w:pPr>
        <w:ind w:left="1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C8CF2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62DA6">
      <w:start w:val="1"/>
      <w:numFmt w:val="decimal"/>
      <w:lvlText w:val="%4"/>
      <w:lvlJc w:val="left"/>
      <w:pPr>
        <w:ind w:left="2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C5388">
      <w:start w:val="1"/>
      <w:numFmt w:val="lowerLetter"/>
      <w:lvlRestart w:val="0"/>
      <w:lvlText w:val="(%5)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26A94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4260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C37E8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0A32E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10C5B5F"/>
    <w:multiLevelType w:val="hybridMultilevel"/>
    <w:tmpl w:val="4BD6DDC8"/>
    <w:lvl w:ilvl="0" w:tplc="C3A29962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669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465D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7CD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2E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0A79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02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0C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E49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9413182"/>
    <w:multiLevelType w:val="hybridMultilevel"/>
    <w:tmpl w:val="25EC2F9E"/>
    <w:lvl w:ilvl="0" w:tplc="B2087C9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6AA345D2"/>
    <w:multiLevelType w:val="hybridMultilevel"/>
    <w:tmpl w:val="B55C0510"/>
    <w:lvl w:ilvl="0" w:tplc="9CDE9066">
      <w:start w:val="18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282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E4A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81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AB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243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642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B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461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BD46AFF"/>
    <w:multiLevelType w:val="hybridMultilevel"/>
    <w:tmpl w:val="21843A20"/>
    <w:lvl w:ilvl="0" w:tplc="5F2EC0BC">
      <w:start w:val="2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0F2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0B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42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26C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0DC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41C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61C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60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5D11C28"/>
    <w:multiLevelType w:val="multilevel"/>
    <w:tmpl w:val="12C0AE1A"/>
    <w:lvl w:ilvl="0">
      <w:start w:val="2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5">
    <w:nsid w:val="76AE45F8"/>
    <w:multiLevelType w:val="hybridMultilevel"/>
    <w:tmpl w:val="F5EE5A98"/>
    <w:lvl w:ilvl="0" w:tplc="F4FE748A">
      <w:start w:val="1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86A6C">
      <w:start w:val="1"/>
      <w:numFmt w:val="lowerLetter"/>
      <w:lvlText w:val="(%2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AA526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E20E4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8DA8A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446BA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CE48A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FBD6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F2700E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892511D"/>
    <w:multiLevelType w:val="hybridMultilevel"/>
    <w:tmpl w:val="26A0513C"/>
    <w:lvl w:ilvl="0" w:tplc="D828FCC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C65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E5C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8D2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E78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A80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AA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52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2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C174EDA"/>
    <w:multiLevelType w:val="hybridMultilevel"/>
    <w:tmpl w:val="B38A56D2"/>
    <w:lvl w:ilvl="0" w:tplc="4D8A200C">
      <w:start w:val="2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A8D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80A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00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874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A55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4F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44D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A8A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243844"/>
    <w:multiLevelType w:val="hybridMultilevel"/>
    <w:tmpl w:val="7AD25B82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365346"/>
    <w:multiLevelType w:val="hybridMultilevel"/>
    <w:tmpl w:val="E9FE7E0E"/>
    <w:lvl w:ilvl="0" w:tplc="5C5477F0">
      <w:start w:val="1"/>
      <w:numFmt w:val="lowerRoman"/>
      <w:lvlText w:val="(%1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D2">
      <w:start w:val="1"/>
      <w:numFmt w:val="lowerLetter"/>
      <w:lvlText w:val="%2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2D0BC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C9202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2B8C4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E0726E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E7A3E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065BC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EE6FE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"/>
  </w:num>
  <w:num w:numId="3">
    <w:abstractNumId w:val="13"/>
  </w:num>
  <w:num w:numId="4">
    <w:abstractNumId w:val="32"/>
  </w:num>
  <w:num w:numId="5">
    <w:abstractNumId w:val="37"/>
  </w:num>
  <w:num w:numId="6">
    <w:abstractNumId w:val="29"/>
  </w:num>
  <w:num w:numId="7">
    <w:abstractNumId w:val="46"/>
  </w:num>
  <w:num w:numId="8">
    <w:abstractNumId w:val="24"/>
  </w:num>
  <w:num w:numId="9">
    <w:abstractNumId w:val="49"/>
  </w:num>
  <w:num w:numId="10">
    <w:abstractNumId w:val="20"/>
  </w:num>
  <w:num w:numId="11">
    <w:abstractNumId w:val="10"/>
  </w:num>
  <w:num w:numId="12">
    <w:abstractNumId w:val="42"/>
  </w:num>
  <w:num w:numId="13">
    <w:abstractNumId w:val="47"/>
  </w:num>
  <w:num w:numId="14">
    <w:abstractNumId w:val="43"/>
  </w:num>
  <w:num w:numId="15">
    <w:abstractNumId w:val="4"/>
  </w:num>
  <w:num w:numId="16">
    <w:abstractNumId w:val="3"/>
  </w:num>
  <w:num w:numId="17">
    <w:abstractNumId w:val="19"/>
  </w:num>
  <w:num w:numId="18">
    <w:abstractNumId w:val="28"/>
  </w:num>
  <w:num w:numId="19">
    <w:abstractNumId w:val="8"/>
  </w:num>
  <w:num w:numId="20">
    <w:abstractNumId w:val="21"/>
  </w:num>
  <w:num w:numId="21">
    <w:abstractNumId w:val="1"/>
  </w:num>
  <w:num w:numId="22">
    <w:abstractNumId w:val="25"/>
  </w:num>
  <w:num w:numId="23">
    <w:abstractNumId w:val="5"/>
  </w:num>
  <w:num w:numId="24">
    <w:abstractNumId w:val="40"/>
  </w:num>
  <w:num w:numId="25">
    <w:abstractNumId w:val="30"/>
  </w:num>
  <w:num w:numId="26">
    <w:abstractNumId w:val="45"/>
  </w:num>
  <w:num w:numId="27">
    <w:abstractNumId w:val="16"/>
  </w:num>
  <w:num w:numId="28">
    <w:abstractNumId w:val="6"/>
  </w:num>
  <w:num w:numId="29">
    <w:abstractNumId w:val="23"/>
  </w:num>
  <w:num w:numId="30">
    <w:abstractNumId w:val="15"/>
  </w:num>
  <w:num w:numId="31">
    <w:abstractNumId w:val="44"/>
  </w:num>
  <w:num w:numId="32">
    <w:abstractNumId w:val="36"/>
  </w:num>
  <w:num w:numId="33">
    <w:abstractNumId w:val="17"/>
  </w:num>
  <w:num w:numId="34">
    <w:abstractNumId w:val="18"/>
  </w:num>
  <w:num w:numId="35">
    <w:abstractNumId w:val="0"/>
  </w:num>
  <w:num w:numId="36">
    <w:abstractNumId w:val="39"/>
  </w:num>
  <w:num w:numId="37">
    <w:abstractNumId w:val="38"/>
  </w:num>
  <w:num w:numId="38">
    <w:abstractNumId w:val="12"/>
  </w:num>
  <w:num w:numId="39">
    <w:abstractNumId w:val="35"/>
  </w:num>
  <w:num w:numId="40">
    <w:abstractNumId w:val="34"/>
  </w:num>
  <w:num w:numId="41">
    <w:abstractNumId w:val="14"/>
  </w:num>
  <w:num w:numId="42">
    <w:abstractNumId w:val="27"/>
  </w:num>
  <w:num w:numId="43">
    <w:abstractNumId w:val="7"/>
  </w:num>
  <w:num w:numId="44">
    <w:abstractNumId w:val="22"/>
  </w:num>
  <w:num w:numId="45">
    <w:abstractNumId w:val="31"/>
  </w:num>
  <w:num w:numId="46">
    <w:abstractNumId w:val="41"/>
  </w:num>
  <w:num w:numId="47">
    <w:abstractNumId w:val="11"/>
  </w:num>
  <w:num w:numId="48">
    <w:abstractNumId w:val="9"/>
  </w:num>
  <w:num w:numId="49">
    <w:abstractNumId w:val="48"/>
  </w:num>
  <w:num w:numId="50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50"/>
    <w:rsid w:val="000023DB"/>
    <w:rsid w:val="000070AC"/>
    <w:rsid w:val="00013292"/>
    <w:rsid w:val="00016956"/>
    <w:rsid w:val="00043CAA"/>
    <w:rsid w:val="00046F2E"/>
    <w:rsid w:val="000567D7"/>
    <w:rsid w:val="00066F29"/>
    <w:rsid w:val="00075432"/>
    <w:rsid w:val="000850CF"/>
    <w:rsid w:val="00087096"/>
    <w:rsid w:val="000921DF"/>
    <w:rsid w:val="000968ED"/>
    <w:rsid w:val="000B01F9"/>
    <w:rsid w:val="000B1B51"/>
    <w:rsid w:val="000B3C57"/>
    <w:rsid w:val="000F1392"/>
    <w:rsid w:val="000F5E56"/>
    <w:rsid w:val="00100794"/>
    <w:rsid w:val="00100EB0"/>
    <w:rsid w:val="0011628D"/>
    <w:rsid w:val="00120DC1"/>
    <w:rsid w:val="0012389C"/>
    <w:rsid w:val="001257BA"/>
    <w:rsid w:val="001362EE"/>
    <w:rsid w:val="00140EF4"/>
    <w:rsid w:val="00142546"/>
    <w:rsid w:val="00142D6B"/>
    <w:rsid w:val="00150942"/>
    <w:rsid w:val="001609ED"/>
    <w:rsid w:val="001647D5"/>
    <w:rsid w:val="00166507"/>
    <w:rsid w:val="001832A6"/>
    <w:rsid w:val="00184380"/>
    <w:rsid w:val="00192086"/>
    <w:rsid w:val="00194316"/>
    <w:rsid w:val="001952B3"/>
    <w:rsid w:val="001A1150"/>
    <w:rsid w:val="001C79A5"/>
    <w:rsid w:val="001E095D"/>
    <w:rsid w:val="00211AED"/>
    <w:rsid w:val="0021217E"/>
    <w:rsid w:val="00215BCC"/>
    <w:rsid w:val="00242B0A"/>
    <w:rsid w:val="0025504E"/>
    <w:rsid w:val="00260279"/>
    <w:rsid w:val="002634C4"/>
    <w:rsid w:val="00270691"/>
    <w:rsid w:val="0027514E"/>
    <w:rsid w:val="002928D3"/>
    <w:rsid w:val="002A6538"/>
    <w:rsid w:val="002C0935"/>
    <w:rsid w:val="002F0748"/>
    <w:rsid w:val="002F1FE6"/>
    <w:rsid w:val="002F4E68"/>
    <w:rsid w:val="00300FF6"/>
    <w:rsid w:val="00312F7F"/>
    <w:rsid w:val="00344FAC"/>
    <w:rsid w:val="00346CD0"/>
    <w:rsid w:val="003510AA"/>
    <w:rsid w:val="00353C4C"/>
    <w:rsid w:val="00354AA9"/>
    <w:rsid w:val="00361450"/>
    <w:rsid w:val="003673CF"/>
    <w:rsid w:val="00371F99"/>
    <w:rsid w:val="003845C1"/>
    <w:rsid w:val="00391378"/>
    <w:rsid w:val="00397BC1"/>
    <w:rsid w:val="003A6F89"/>
    <w:rsid w:val="003B20C7"/>
    <w:rsid w:val="003B38C1"/>
    <w:rsid w:val="003B429D"/>
    <w:rsid w:val="003C447E"/>
    <w:rsid w:val="003C6E4A"/>
    <w:rsid w:val="003D0BEC"/>
    <w:rsid w:val="003D5B89"/>
    <w:rsid w:val="003E49F7"/>
    <w:rsid w:val="003F1B3C"/>
    <w:rsid w:val="00423E3E"/>
    <w:rsid w:val="00427AF4"/>
    <w:rsid w:val="00433AFA"/>
    <w:rsid w:val="00435F5C"/>
    <w:rsid w:val="0045258F"/>
    <w:rsid w:val="0046137D"/>
    <w:rsid w:val="00462B40"/>
    <w:rsid w:val="004647DA"/>
    <w:rsid w:val="004671AD"/>
    <w:rsid w:val="00474062"/>
    <w:rsid w:val="00477D6B"/>
    <w:rsid w:val="004816B4"/>
    <w:rsid w:val="0048296B"/>
    <w:rsid w:val="00487E95"/>
    <w:rsid w:val="004921A2"/>
    <w:rsid w:val="004C4C3B"/>
    <w:rsid w:val="005019FF"/>
    <w:rsid w:val="00507130"/>
    <w:rsid w:val="005228AC"/>
    <w:rsid w:val="00522939"/>
    <w:rsid w:val="00523586"/>
    <w:rsid w:val="0053057A"/>
    <w:rsid w:val="005542BA"/>
    <w:rsid w:val="00560A29"/>
    <w:rsid w:val="00566356"/>
    <w:rsid w:val="005737A6"/>
    <w:rsid w:val="00583F0F"/>
    <w:rsid w:val="00591633"/>
    <w:rsid w:val="005A18EF"/>
    <w:rsid w:val="005B2647"/>
    <w:rsid w:val="005B2CEA"/>
    <w:rsid w:val="005C0895"/>
    <w:rsid w:val="005C420D"/>
    <w:rsid w:val="005C6649"/>
    <w:rsid w:val="005D1140"/>
    <w:rsid w:val="005D307D"/>
    <w:rsid w:val="005D3689"/>
    <w:rsid w:val="005D3FB5"/>
    <w:rsid w:val="005D78F9"/>
    <w:rsid w:val="005E2C0C"/>
    <w:rsid w:val="00605827"/>
    <w:rsid w:val="00623ED8"/>
    <w:rsid w:val="00625A85"/>
    <w:rsid w:val="006310CC"/>
    <w:rsid w:val="00646050"/>
    <w:rsid w:val="00651789"/>
    <w:rsid w:val="00655343"/>
    <w:rsid w:val="00664D7F"/>
    <w:rsid w:val="00667FD7"/>
    <w:rsid w:val="006713CA"/>
    <w:rsid w:val="00674B57"/>
    <w:rsid w:val="00676C5C"/>
    <w:rsid w:val="0068721C"/>
    <w:rsid w:val="006B1653"/>
    <w:rsid w:val="006B1658"/>
    <w:rsid w:val="006C5CA5"/>
    <w:rsid w:val="006D0AD4"/>
    <w:rsid w:val="006D44E3"/>
    <w:rsid w:val="006F3E1F"/>
    <w:rsid w:val="006F4EED"/>
    <w:rsid w:val="00726BED"/>
    <w:rsid w:val="00735205"/>
    <w:rsid w:val="007672B8"/>
    <w:rsid w:val="0078391F"/>
    <w:rsid w:val="0079545F"/>
    <w:rsid w:val="007B0AEB"/>
    <w:rsid w:val="007B115A"/>
    <w:rsid w:val="007C08D9"/>
    <w:rsid w:val="007C1A31"/>
    <w:rsid w:val="007D0036"/>
    <w:rsid w:val="007D1613"/>
    <w:rsid w:val="007D35D6"/>
    <w:rsid w:val="007E212B"/>
    <w:rsid w:val="007E4C0E"/>
    <w:rsid w:val="007E543C"/>
    <w:rsid w:val="007F10BC"/>
    <w:rsid w:val="008136A1"/>
    <w:rsid w:val="008150CE"/>
    <w:rsid w:val="0081544D"/>
    <w:rsid w:val="00820B12"/>
    <w:rsid w:val="00830607"/>
    <w:rsid w:val="0083328F"/>
    <w:rsid w:val="00853625"/>
    <w:rsid w:val="00874D1F"/>
    <w:rsid w:val="00890591"/>
    <w:rsid w:val="00894DB7"/>
    <w:rsid w:val="008A1E5A"/>
    <w:rsid w:val="008B2CC1"/>
    <w:rsid w:val="008B60B2"/>
    <w:rsid w:val="008C0E1F"/>
    <w:rsid w:val="008D1207"/>
    <w:rsid w:val="009043F3"/>
    <w:rsid w:val="0090731E"/>
    <w:rsid w:val="00910811"/>
    <w:rsid w:val="00916EE2"/>
    <w:rsid w:val="0093116D"/>
    <w:rsid w:val="0095107E"/>
    <w:rsid w:val="009622F0"/>
    <w:rsid w:val="00966A22"/>
    <w:rsid w:val="0096722F"/>
    <w:rsid w:val="00976EBB"/>
    <w:rsid w:val="00980126"/>
    <w:rsid w:val="00980843"/>
    <w:rsid w:val="00985C72"/>
    <w:rsid w:val="009A583E"/>
    <w:rsid w:val="009D308F"/>
    <w:rsid w:val="009E2791"/>
    <w:rsid w:val="009E3F6F"/>
    <w:rsid w:val="009E4153"/>
    <w:rsid w:val="009F1578"/>
    <w:rsid w:val="009F499F"/>
    <w:rsid w:val="00A0631B"/>
    <w:rsid w:val="00A10E4A"/>
    <w:rsid w:val="00A349D4"/>
    <w:rsid w:val="00A35A06"/>
    <w:rsid w:val="00A42DAF"/>
    <w:rsid w:val="00A45BD8"/>
    <w:rsid w:val="00A544DC"/>
    <w:rsid w:val="00A75F92"/>
    <w:rsid w:val="00A76AA8"/>
    <w:rsid w:val="00A869B7"/>
    <w:rsid w:val="00AA13E7"/>
    <w:rsid w:val="00AA1A2A"/>
    <w:rsid w:val="00AA4BDA"/>
    <w:rsid w:val="00AC205C"/>
    <w:rsid w:val="00AE6E82"/>
    <w:rsid w:val="00AF0A6B"/>
    <w:rsid w:val="00B02798"/>
    <w:rsid w:val="00B041F2"/>
    <w:rsid w:val="00B05A69"/>
    <w:rsid w:val="00B1111B"/>
    <w:rsid w:val="00B2107C"/>
    <w:rsid w:val="00B27CF6"/>
    <w:rsid w:val="00B31A1C"/>
    <w:rsid w:val="00B34FB9"/>
    <w:rsid w:val="00B54066"/>
    <w:rsid w:val="00B82BDD"/>
    <w:rsid w:val="00B832DD"/>
    <w:rsid w:val="00B92EFB"/>
    <w:rsid w:val="00B941FA"/>
    <w:rsid w:val="00B9734B"/>
    <w:rsid w:val="00BA188F"/>
    <w:rsid w:val="00BA30E2"/>
    <w:rsid w:val="00BD09E3"/>
    <w:rsid w:val="00BD2450"/>
    <w:rsid w:val="00BE3832"/>
    <w:rsid w:val="00BF3FDD"/>
    <w:rsid w:val="00BF687A"/>
    <w:rsid w:val="00C013F2"/>
    <w:rsid w:val="00C11BFE"/>
    <w:rsid w:val="00C16FE9"/>
    <w:rsid w:val="00C20913"/>
    <w:rsid w:val="00C2723B"/>
    <w:rsid w:val="00C3246C"/>
    <w:rsid w:val="00C35121"/>
    <w:rsid w:val="00C5068F"/>
    <w:rsid w:val="00C62DAB"/>
    <w:rsid w:val="00C6492F"/>
    <w:rsid w:val="00C655E6"/>
    <w:rsid w:val="00C71656"/>
    <w:rsid w:val="00C86D74"/>
    <w:rsid w:val="00CC1036"/>
    <w:rsid w:val="00CD04F1"/>
    <w:rsid w:val="00D05270"/>
    <w:rsid w:val="00D22163"/>
    <w:rsid w:val="00D4352B"/>
    <w:rsid w:val="00D45252"/>
    <w:rsid w:val="00D61EC7"/>
    <w:rsid w:val="00D6553F"/>
    <w:rsid w:val="00D67C4E"/>
    <w:rsid w:val="00D71B4D"/>
    <w:rsid w:val="00D805F2"/>
    <w:rsid w:val="00D93D55"/>
    <w:rsid w:val="00DA0636"/>
    <w:rsid w:val="00E13E81"/>
    <w:rsid w:val="00E15015"/>
    <w:rsid w:val="00E15214"/>
    <w:rsid w:val="00E15D31"/>
    <w:rsid w:val="00E21FD5"/>
    <w:rsid w:val="00E279B7"/>
    <w:rsid w:val="00E335FE"/>
    <w:rsid w:val="00E37653"/>
    <w:rsid w:val="00E41FA0"/>
    <w:rsid w:val="00E47735"/>
    <w:rsid w:val="00E5189C"/>
    <w:rsid w:val="00E67B39"/>
    <w:rsid w:val="00E70779"/>
    <w:rsid w:val="00E76372"/>
    <w:rsid w:val="00E7694F"/>
    <w:rsid w:val="00E777BF"/>
    <w:rsid w:val="00E94DB6"/>
    <w:rsid w:val="00EA4C5E"/>
    <w:rsid w:val="00EA7236"/>
    <w:rsid w:val="00EB405D"/>
    <w:rsid w:val="00EC4E49"/>
    <w:rsid w:val="00EC5D0C"/>
    <w:rsid w:val="00ED77FB"/>
    <w:rsid w:val="00ED7F88"/>
    <w:rsid w:val="00EE45FA"/>
    <w:rsid w:val="00EF0C4E"/>
    <w:rsid w:val="00EF1F0D"/>
    <w:rsid w:val="00F43F81"/>
    <w:rsid w:val="00F463F6"/>
    <w:rsid w:val="00F6150A"/>
    <w:rsid w:val="00F66152"/>
    <w:rsid w:val="00F872E1"/>
    <w:rsid w:val="00F879B6"/>
    <w:rsid w:val="00FC4373"/>
    <w:rsid w:val="00FD5B79"/>
    <w:rsid w:val="00FD7DCD"/>
    <w:rsid w:val="00FE1F24"/>
    <w:rsid w:val="00FE1FF3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45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BD245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D245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D2450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BD245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245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245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24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2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0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uiPriority w:val="99"/>
    <w:rsid w:val="0085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character" w:customStyle="1" w:styleId="ONUMEChar">
    <w:name w:val="ONUM E Char"/>
    <w:link w:val="ONUME"/>
    <w:rsid w:val="00BD2450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footnotedescription">
    <w:name w:val="footnote description"/>
    <w:next w:val="Normal"/>
    <w:link w:val="footnotedescriptionChar"/>
    <w:hidden/>
    <w:rsid w:val="00BD2450"/>
    <w:pPr>
      <w:spacing w:line="259" w:lineRule="auto"/>
      <w:ind w:left="1"/>
    </w:pPr>
    <w:rPr>
      <w:rFonts w:ascii="Arial" w:eastAsia="Arial" w:hAnsi="Arial" w:cs="Arial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D2450"/>
    <w:rPr>
      <w:rFonts w:ascii="Arial" w:eastAsia="Arial" w:hAnsi="Arial" w:cs="Arial"/>
      <w:color w:val="000000"/>
      <w:sz w:val="18"/>
      <w:szCs w:val="22"/>
    </w:rPr>
  </w:style>
  <w:style w:type="character" w:customStyle="1" w:styleId="footnotemark">
    <w:name w:val="footnote mark"/>
    <w:hidden/>
    <w:rsid w:val="00BD2450"/>
    <w:rPr>
      <w:rFonts w:ascii="Arial" w:eastAsia="Arial" w:hAnsi="Arial" w:cs="Arial"/>
      <w:color w:val="000000"/>
      <w:sz w:val="18"/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D24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D2450"/>
    <w:pPr>
      <w:spacing w:after="5"/>
      <w:ind w:left="11" w:right="235" w:hanging="10"/>
    </w:pPr>
    <w:rPr>
      <w:rFonts w:eastAsia="Arial"/>
      <w:b/>
      <w:bCs/>
      <w:color w:val="000000"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450"/>
    <w:rPr>
      <w:rFonts w:ascii="Arial" w:eastAsia="Arial" w:hAnsi="Arial" w:cs="Arial"/>
      <w:b/>
      <w:bCs/>
      <w:color w:val="000000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D2450"/>
    <w:pPr>
      <w:spacing w:after="5" w:line="249" w:lineRule="auto"/>
      <w:ind w:left="720" w:right="235" w:hanging="10"/>
      <w:contextualSpacing/>
    </w:pPr>
    <w:rPr>
      <w:rFonts w:eastAsia="Arial"/>
      <w:color w:val="000000"/>
      <w:szCs w:val="22"/>
      <w:lang w:eastAsia="en-US"/>
    </w:rPr>
  </w:style>
  <w:style w:type="paragraph" w:styleId="NoSpacing">
    <w:name w:val="No Spacing"/>
    <w:uiPriority w:val="1"/>
    <w:qFormat/>
    <w:rsid w:val="00BD2450"/>
    <w:pPr>
      <w:ind w:left="11" w:right="235" w:hanging="10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rsid w:val="00BD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F0988"/>
    <w:rPr>
      <w:vertAlign w:val="superscript"/>
    </w:rPr>
  </w:style>
  <w:style w:type="paragraph" w:styleId="Revision">
    <w:name w:val="Revision"/>
    <w:hidden/>
    <w:uiPriority w:val="99"/>
    <w:semiHidden/>
    <w:rsid w:val="00140EF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0779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450"/>
    <w:pPr>
      <w:keepNext/>
      <w:keepLines/>
      <w:spacing w:before="200" w:line="249" w:lineRule="auto"/>
      <w:ind w:left="11" w:right="235" w:hanging="1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45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BD245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D245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D2450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BD245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245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245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24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2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0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uiPriority w:val="99"/>
    <w:rsid w:val="0085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50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character" w:customStyle="1" w:styleId="ONUMEChar">
    <w:name w:val="ONUM E Char"/>
    <w:link w:val="ONUME"/>
    <w:rsid w:val="00BD2450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footnotedescription">
    <w:name w:val="footnote description"/>
    <w:next w:val="Normal"/>
    <w:link w:val="footnotedescriptionChar"/>
    <w:hidden/>
    <w:rsid w:val="00BD2450"/>
    <w:pPr>
      <w:spacing w:line="259" w:lineRule="auto"/>
      <w:ind w:left="1"/>
    </w:pPr>
    <w:rPr>
      <w:rFonts w:ascii="Arial" w:eastAsia="Arial" w:hAnsi="Arial" w:cs="Arial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D2450"/>
    <w:rPr>
      <w:rFonts w:ascii="Arial" w:eastAsia="Arial" w:hAnsi="Arial" w:cs="Arial"/>
      <w:color w:val="000000"/>
      <w:sz w:val="18"/>
      <w:szCs w:val="22"/>
    </w:rPr>
  </w:style>
  <w:style w:type="character" w:customStyle="1" w:styleId="footnotemark">
    <w:name w:val="footnote mark"/>
    <w:hidden/>
    <w:rsid w:val="00BD2450"/>
    <w:rPr>
      <w:rFonts w:ascii="Arial" w:eastAsia="Arial" w:hAnsi="Arial" w:cs="Arial"/>
      <w:color w:val="000000"/>
      <w:sz w:val="18"/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D24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D2450"/>
    <w:pPr>
      <w:spacing w:after="5"/>
      <w:ind w:left="11" w:right="235" w:hanging="10"/>
    </w:pPr>
    <w:rPr>
      <w:rFonts w:eastAsia="Arial"/>
      <w:b/>
      <w:bCs/>
      <w:color w:val="000000"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450"/>
    <w:rPr>
      <w:rFonts w:ascii="Arial" w:eastAsia="Arial" w:hAnsi="Arial" w:cs="Arial"/>
      <w:b/>
      <w:bCs/>
      <w:color w:val="000000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D2450"/>
    <w:pPr>
      <w:spacing w:after="5" w:line="249" w:lineRule="auto"/>
      <w:ind w:left="720" w:right="235" w:hanging="10"/>
      <w:contextualSpacing/>
    </w:pPr>
    <w:rPr>
      <w:rFonts w:eastAsia="Arial"/>
      <w:color w:val="000000"/>
      <w:szCs w:val="22"/>
      <w:lang w:eastAsia="en-US"/>
    </w:rPr>
  </w:style>
  <w:style w:type="paragraph" w:styleId="NoSpacing">
    <w:name w:val="No Spacing"/>
    <w:uiPriority w:val="1"/>
    <w:qFormat/>
    <w:rsid w:val="00BD2450"/>
    <w:pPr>
      <w:ind w:left="11" w:right="235" w:hanging="10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rsid w:val="00BD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F0988"/>
    <w:rPr>
      <w:vertAlign w:val="superscript"/>
    </w:rPr>
  </w:style>
  <w:style w:type="paragraph" w:styleId="Revision">
    <w:name w:val="Revision"/>
    <w:hidden/>
    <w:uiPriority w:val="99"/>
    <w:semiHidden/>
    <w:rsid w:val="00140EF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0779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nglobalcompact.org/" TargetMode="External"/><Relationship Id="rId17" Type="http://schemas.openxmlformats.org/officeDocument/2006/relationships/hyperlink" Target="http://www.unglobalcompact.or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globalcompact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C599EA-359F-4BB3-882A-EA680D3A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10564</Words>
  <Characters>58108</Characters>
  <Application>Microsoft Office Word</Application>
  <DocSecurity>0</DocSecurity>
  <Lines>484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</vt:lpstr>
    </vt:vector>
  </TitlesOfParts>
  <Company>WIPO</Company>
  <LinksUpToDate>false</LinksUpToDate>
  <CharactersWithSpaces>68535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</dc:title>
  <dc:creator>NETTER Iza</dc:creator>
  <cp:lastModifiedBy>DOYON Geneviève</cp:lastModifiedBy>
  <cp:revision>3</cp:revision>
  <cp:lastPrinted>2017-05-18T10:14:00Z</cp:lastPrinted>
  <dcterms:created xsi:type="dcterms:W3CDTF">2017-06-01T15:16:00Z</dcterms:created>
  <dcterms:modified xsi:type="dcterms:W3CDTF">2017-06-08T08:41:00Z</dcterms:modified>
</cp:coreProperties>
</file>