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D4D90" w:rsidRPr="008B2CC1" w:rsidTr="00BC0031">
        <w:tc>
          <w:tcPr>
            <w:tcW w:w="4513" w:type="dxa"/>
            <w:tcBorders>
              <w:bottom w:val="single" w:sz="4" w:space="0" w:color="auto"/>
            </w:tcBorders>
            <w:tcMar>
              <w:bottom w:w="170" w:type="dxa"/>
            </w:tcMar>
          </w:tcPr>
          <w:p w:rsidR="007D4D90" w:rsidRPr="008B2CC1" w:rsidRDefault="007D4D90" w:rsidP="00916EE2"/>
        </w:tc>
        <w:tc>
          <w:tcPr>
            <w:tcW w:w="4337" w:type="dxa"/>
            <w:tcBorders>
              <w:bottom w:val="single" w:sz="4" w:space="0" w:color="auto"/>
            </w:tcBorders>
            <w:tcMar>
              <w:left w:w="0" w:type="dxa"/>
              <w:right w:w="0" w:type="dxa"/>
            </w:tcMar>
          </w:tcPr>
          <w:p w:rsidR="007D4D90" w:rsidRPr="00BC0031" w:rsidRDefault="00A76E3C" w:rsidP="00916EE2">
            <w:r>
              <w:rPr>
                <w:noProof/>
                <w:lang w:eastAsia="en-US"/>
              </w:rPr>
              <w:drawing>
                <wp:inline distT="0" distB="0" distL="0" distR="0" wp14:anchorId="7FAC2F69" wp14:editId="0BA3CDA1">
                  <wp:extent cx="173863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863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D4D90" w:rsidRPr="008B2CC1" w:rsidRDefault="00BC0031" w:rsidP="00916EE2">
            <w:pPr>
              <w:jc w:val="right"/>
            </w:pPr>
            <w:r>
              <w:rPr>
                <w:b/>
                <w:sz w:val="40"/>
                <w:szCs w:val="40"/>
              </w:rPr>
              <w:t>R</w:t>
            </w:r>
          </w:p>
        </w:tc>
      </w:tr>
      <w:tr w:rsidR="007D4D90" w:rsidRPr="001832A6" w:rsidTr="00BC0031">
        <w:trPr>
          <w:trHeight w:hRule="exact" w:val="340"/>
        </w:trPr>
        <w:tc>
          <w:tcPr>
            <w:tcW w:w="9356" w:type="dxa"/>
            <w:gridSpan w:val="3"/>
            <w:tcBorders>
              <w:top w:val="single" w:sz="4" w:space="0" w:color="auto"/>
            </w:tcBorders>
            <w:tcMar>
              <w:top w:w="170" w:type="dxa"/>
              <w:left w:w="0" w:type="dxa"/>
              <w:right w:w="0" w:type="dxa"/>
            </w:tcMar>
            <w:vAlign w:val="bottom"/>
          </w:tcPr>
          <w:p w:rsidR="007D4D90" w:rsidRPr="0090731E" w:rsidRDefault="007D4D90" w:rsidP="002765A0">
            <w:pPr>
              <w:jc w:val="right"/>
              <w:rPr>
                <w:rFonts w:ascii="Arial Black" w:hAnsi="Arial Black"/>
                <w:caps/>
                <w:sz w:val="15"/>
              </w:rPr>
            </w:pPr>
            <w:r>
              <w:rPr>
                <w:rFonts w:ascii="Arial Black" w:hAnsi="Arial Black"/>
                <w:caps/>
                <w:sz w:val="15"/>
              </w:rPr>
              <w:t>wo/pbc/25</w:t>
            </w:r>
            <w:bookmarkStart w:id="0" w:name="Code"/>
            <w:bookmarkEnd w:id="0"/>
            <w:r>
              <w:rPr>
                <w:rFonts w:ascii="Arial Black" w:hAnsi="Arial Black"/>
                <w:caps/>
                <w:sz w:val="15"/>
              </w:rPr>
              <w:t>/20</w:t>
            </w:r>
            <w:r w:rsidRPr="0090731E">
              <w:rPr>
                <w:rFonts w:ascii="Arial Black" w:hAnsi="Arial Black"/>
                <w:caps/>
                <w:sz w:val="15"/>
              </w:rPr>
              <w:t xml:space="preserve">   </w:t>
            </w:r>
          </w:p>
        </w:tc>
      </w:tr>
      <w:tr w:rsidR="007D4D90" w:rsidRPr="001832A6" w:rsidTr="00BC0031">
        <w:trPr>
          <w:trHeight w:hRule="exact" w:val="186"/>
        </w:trPr>
        <w:tc>
          <w:tcPr>
            <w:tcW w:w="9356" w:type="dxa"/>
            <w:gridSpan w:val="3"/>
            <w:noWrap/>
            <w:tcMar>
              <w:left w:w="0" w:type="dxa"/>
              <w:right w:w="0" w:type="dxa"/>
            </w:tcMar>
            <w:vAlign w:val="bottom"/>
          </w:tcPr>
          <w:p w:rsidR="007D4D90" w:rsidRPr="0090731E" w:rsidRDefault="008A38C8" w:rsidP="0042142C">
            <w:pPr>
              <w:jc w:val="right"/>
              <w:rPr>
                <w:rFonts w:ascii="Arial Black" w:hAnsi="Arial Black"/>
                <w:caps/>
                <w:sz w:val="15"/>
              </w:rPr>
            </w:pPr>
            <w:r>
              <w:rPr>
                <w:rFonts w:ascii="Arial Black" w:hAnsi="Arial Black"/>
                <w:caps/>
                <w:sz w:val="15"/>
              </w:rPr>
              <w:t>Оригинал:  английский</w:t>
            </w:r>
          </w:p>
        </w:tc>
      </w:tr>
      <w:tr w:rsidR="007D4D90" w:rsidRPr="001832A6" w:rsidTr="00BC0031">
        <w:trPr>
          <w:trHeight w:hRule="exact" w:val="198"/>
        </w:trPr>
        <w:tc>
          <w:tcPr>
            <w:tcW w:w="9356" w:type="dxa"/>
            <w:gridSpan w:val="3"/>
            <w:tcMar>
              <w:left w:w="0" w:type="dxa"/>
              <w:right w:w="0" w:type="dxa"/>
            </w:tcMar>
            <w:vAlign w:val="bottom"/>
          </w:tcPr>
          <w:p w:rsidR="007D4D90" w:rsidRPr="00BC0031" w:rsidRDefault="008A38C8" w:rsidP="00D90467">
            <w:pPr>
              <w:jc w:val="right"/>
              <w:rPr>
                <w:rFonts w:ascii="Arial Black" w:hAnsi="Arial Black"/>
                <w:caps/>
                <w:sz w:val="15"/>
                <w:lang w:val="ru-RU"/>
              </w:rPr>
            </w:pPr>
            <w:r>
              <w:rPr>
                <w:rFonts w:ascii="Arial Black" w:hAnsi="Arial Black"/>
                <w:caps/>
                <w:sz w:val="15"/>
              </w:rPr>
              <w:t>ДАТА:</w:t>
            </w:r>
            <w:r w:rsidR="007D4D90">
              <w:rPr>
                <w:rFonts w:ascii="Arial Black" w:hAnsi="Arial Black"/>
                <w:caps/>
                <w:sz w:val="15"/>
              </w:rPr>
              <w:t xml:space="preserve">  1</w:t>
            </w:r>
            <w:r w:rsidR="00BC0031">
              <w:rPr>
                <w:rFonts w:ascii="Arial Black" w:hAnsi="Arial Black"/>
                <w:caps/>
                <w:sz w:val="15"/>
              </w:rPr>
              <w:t xml:space="preserve"> июля </w:t>
            </w:r>
            <w:r w:rsidR="007D4D90">
              <w:rPr>
                <w:rFonts w:ascii="Arial Black" w:hAnsi="Arial Black"/>
                <w:caps/>
                <w:sz w:val="15"/>
              </w:rPr>
              <w:t>2016</w:t>
            </w:r>
            <w:bookmarkStart w:id="1" w:name="Date"/>
            <w:bookmarkEnd w:id="1"/>
            <w:r w:rsidR="00BC0031">
              <w:rPr>
                <w:rFonts w:ascii="Arial Black" w:hAnsi="Arial Black"/>
                <w:caps/>
                <w:sz w:val="15"/>
              </w:rPr>
              <w:t xml:space="preserve"> г.</w:t>
            </w:r>
          </w:p>
        </w:tc>
      </w:tr>
    </w:tbl>
    <w:p w:rsidR="007D4D90" w:rsidRPr="008B2CC1" w:rsidRDefault="007D4D90" w:rsidP="008B2CC1"/>
    <w:p w:rsidR="007D4D90" w:rsidRPr="008B2CC1" w:rsidRDefault="007D4D90" w:rsidP="008B2CC1"/>
    <w:p w:rsidR="007D4D90" w:rsidRDefault="007D4D90" w:rsidP="008B2CC1"/>
    <w:p w:rsidR="007D4D90" w:rsidRPr="008B2CC1" w:rsidRDefault="007D4D90" w:rsidP="008B2CC1"/>
    <w:p w:rsidR="007D4D90" w:rsidRPr="003845C1" w:rsidRDefault="008A38C8" w:rsidP="00084DAE">
      <w:pPr>
        <w:tabs>
          <w:tab w:val="left" w:pos="8580"/>
        </w:tabs>
        <w:rPr>
          <w:b/>
          <w:sz w:val="28"/>
          <w:szCs w:val="28"/>
        </w:rPr>
      </w:pPr>
      <w:r>
        <w:rPr>
          <w:b/>
          <w:sz w:val="28"/>
          <w:szCs w:val="28"/>
        </w:rPr>
        <w:t>Комитет по программе и бюджету</w:t>
      </w:r>
    </w:p>
    <w:p w:rsidR="007D4D90" w:rsidRDefault="007D4D90" w:rsidP="003845C1"/>
    <w:p w:rsidR="007D4D90" w:rsidRDefault="007D4D90" w:rsidP="003845C1"/>
    <w:p w:rsidR="007D4D90" w:rsidRPr="00A77461" w:rsidRDefault="006E2404" w:rsidP="00A77461">
      <w:pPr>
        <w:rPr>
          <w:b/>
          <w:sz w:val="24"/>
          <w:szCs w:val="24"/>
        </w:rPr>
      </w:pPr>
      <w:r>
        <w:rPr>
          <w:b/>
          <w:sz w:val="24"/>
          <w:szCs w:val="24"/>
        </w:rPr>
        <w:t>Двадцать</w:t>
      </w:r>
      <w:r w:rsidR="00BC0031">
        <w:rPr>
          <w:b/>
          <w:sz w:val="24"/>
          <w:szCs w:val="24"/>
          <w:lang w:val="ru-RU"/>
        </w:rPr>
        <w:t xml:space="preserve"> </w:t>
      </w:r>
      <w:r w:rsidR="00BC0031">
        <w:rPr>
          <w:b/>
          <w:sz w:val="24"/>
          <w:szCs w:val="24"/>
        </w:rPr>
        <w:t>пят</w:t>
      </w:r>
      <w:r w:rsidR="00BC0031">
        <w:rPr>
          <w:b/>
          <w:sz w:val="24"/>
          <w:szCs w:val="24"/>
          <w:lang w:val="ru-RU"/>
        </w:rPr>
        <w:t>ая</w:t>
      </w:r>
      <w:r w:rsidR="007D4D90" w:rsidRPr="00A77461">
        <w:rPr>
          <w:b/>
          <w:sz w:val="24"/>
          <w:szCs w:val="24"/>
        </w:rPr>
        <w:t xml:space="preserve"> </w:t>
      </w:r>
      <w:r w:rsidR="00BC0031">
        <w:rPr>
          <w:b/>
          <w:sz w:val="24"/>
          <w:szCs w:val="24"/>
        </w:rPr>
        <w:t>с</w:t>
      </w:r>
      <w:r w:rsidR="008A38C8">
        <w:rPr>
          <w:b/>
          <w:sz w:val="24"/>
          <w:szCs w:val="24"/>
        </w:rPr>
        <w:t>ессия</w:t>
      </w:r>
    </w:p>
    <w:p w:rsidR="007D4D90" w:rsidRPr="006E2404" w:rsidRDefault="008A38C8" w:rsidP="00A77461">
      <w:pPr>
        <w:rPr>
          <w:lang w:val="ru-RU"/>
        </w:rPr>
      </w:pPr>
      <w:r w:rsidRPr="006E2404">
        <w:rPr>
          <w:b/>
          <w:sz w:val="24"/>
          <w:szCs w:val="24"/>
          <w:lang w:val="ru-RU"/>
        </w:rPr>
        <w:t xml:space="preserve">Женева, </w:t>
      </w:r>
      <w:r w:rsidR="007D4D90" w:rsidRPr="006E2404">
        <w:rPr>
          <w:b/>
          <w:sz w:val="24"/>
          <w:szCs w:val="24"/>
          <w:lang w:val="ru-RU"/>
        </w:rPr>
        <w:t xml:space="preserve">29 </w:t>
      </w:r>
      <w:r w:rsidR="00BC0031" w:rsidRPr="006E2404">
        <w:rPr>
          <w:b/>
          <w:sz w:val="24"/>
          <w:szCs w:val="24"/>
          <w:lang w:val="ru-RU"/>
        </w:rPr>
        <w:t xml:space="preserve">августа </w:t>
      </w:r>
      <w:r w:rsidR="00BC0031">
        <w:rPr>
          <w:b/>
          <w:sz w:val="24"/>
          <w:szCs w:val="24"/>
          <w:lang w:val="ru-RU"/>
        </w:rPr>
        <w:t xml:space="preserve">– </w:t>
      </w:r>
      <w:r w:rsidR="007D4D90" w:rsidRPr="006E2404">
        <w:rPr>
          <w:b/>
          <w:sz w:val="24"/>
          <w:szCs w:val="24"/>
          <w:lang w:val="ru-RU"/>
        </w:rPr>
        <w:t>2</w:t>
      </w:r>
      <w:r w:rsidR="00BC0031">
        <w:rPr>
          <w:b/>
          <w:sz w:val="24"/>
          <w:szCs w:val="24"/>
          <w:lang w:val="ru-RU"/>
        </w:rPr>
        <w:t xml:space="preserve"> </w:t>
      </w:r>
      <w:r w:rsidR="00BC0031" w:rsidRPr="006E2404">
        <w:rPr>
          <w:b/>
          <w:sz w:val="24"/>
          <w:szCs w:val="24"/>
          <w:lang w:val="ru-RU"/>
        </w:rPr>
        <w:t xml:space="preserve">сентября </w:t>
      </w:r>
      <w:r w:rsidR="007D4D90" w:rsidRPr="006E2404">
        <w:rPr>
          <w:b/>
          <w:sz w:val="24"/>
          <w:szCs w:val="24"/>
          <w:lang w:val="ru-RU"/>
        </w:rPr>
        <w:t>2016</w:t>
      </w:r>
      <w:r w:rsidR="00BC0031">
        <w:rPr>
          <w:b/>
          <w:sz w:val="24"/>
          <w:szCs w:val="24"/>
          <w:lang w:val="ru-RU"/>
        </w:rPr>
        <w:t xml:space="preserve"> г.</w:t>
      </w:r>
    </w:p>
    <w:p w:rsidR="007D4D90" w:rsidRPr="006E2404" w:rsidRDefault="007D4D90" w:rsidP="008B2CC1">
      <w:pPr>
        <w:rPr>
          <w:lang w:val="ru-RU"/>
        </w:rPr>
      </w:pPr>
    </w:p>
    <w:p w:rsidR="007D4D90" w:rsidRPr="006E2404" w:rsidRDefault="007D4D90" w:rsidP="008B2CC1">
      <w:pPr>
        <w:rPr>
          <w:lang w:val="ru-RU"/>
        </w:rPr>
      </w:pPr>
    </w:p>
    <w:p w:rsidR="007D4D90" w:rsidRPr="006E2404" w:rsidRDefault="007D4D90" w:rsidP="008B2CC1">
      <w:pPr>
        <w:rPr>
          <w:lang w:val="ru-RU"/>
        </w:rPr>
      </w:pPr>
    </w:p>
    <w:p w:rsidR="007D4D90" w:rsidRPr="00C553E3" w:rsidRDefault="00C553E3" w:rsidP="008B2CC1">
      <w:pPr>
        <w:rPr>
          <w:caps/>
          <w:sz w:val="24"/>
          <w:lang w:val="ru-RU"/>
        </w:rPr>
      </w:pPr>
      <w:bookmarkStart w:id="2" w:name="TitleOfDoc"/>
      <w:bookmarkEnd w:id="2"/>
      <w:r w:rsidRPr="00C553E3">
        <w:rPr>
          <w:caps/>
          <w:sz w:val="24"/>
          <w:lang w:val="ru-RU"/>
        </w:rPr>
        <w:t>дополнительн</w:t>
      </w:r>
      <w:r>
        <w:rPr>
          <w:caps/>
          <w:sz w:val="24"/>
          <w:lang w:val="ru-RU"/>
        </w:rPr>
        <w:t>ая</w:t>
      </w:r>
      <w:r w:rsidRPr="00C553E3">
        <w:rPr>
          <w:caps/>
          <w:sz w:val="24"/>
          <w:lang w:val="ru-RU"/>
        </w:rPr>
        <w:t xml:space="preserve"> обновленн</w:t>
      </w:r>
      <w:r>
        <w:rPr>
          <w:caps/>
          <w:sz w:val="24"/>
          <w:lang w:val="ru-RU"/>
        </w:rPr>
        <w:t>АЯ</w:t>
      </w:r>
      <w:r w:rsidRPr="00C553E3">
        <w:rPr>
          <w:caps/>
          <w:sz w:val="24"/>
          <w:lang w:val="ru-RU"/>
        </w:rPr>
        <w:t xml:space="preserve"> </w:t>
      </w:r>
      <w:r>
        <w:rPr>
          <w:caps/>
          <w:sz w:val="24"/>
          <w:lang w:val="ru-RU"/>
        </w:rPr>
        <w:t>информация</w:t>
      </w:r>
      <w:r w:rsidRPr="00C553E3">
        <w:rPr>
          <w:caps/>
          <w:sz w:val="24"/>
          <w:lang w:val="ru-RU"/>
        </w:rPr>
        <w:t xml:space="preserve"> о предложени</w:t>
      </w:r>
      <w:r>
        <w:rPr>
          <w:caps/>
          <w:sz w:val="24"/>
          <w:lang w:val="ru-RU"/>
        </w:rPr>
        <w:t xml:space="preserve">и </w:t>
      </w:r>
      <w:r w:rsidRPr="00C553E3">
        <w:rPr>
          <w:caps/>
          <w:sz w:val="24"/>
          <w:lang w:val="ru-RU"/>
        </w:rPr>
        <w:t>в отношении стратегии хеджирования доходов РСТ</w:t>
      </w:r>
    </w:p>
    <w:p w:rsidR="007D4D90" w:rsidRPr="00C553E3" w:rsidRDefault="007D4D90" w:rsidP="008B2CC1">
      <w:pPr>
        <w:rPr>
          <w:caps/>
          <w:sz w:val="24"/>
          <w:lang w:val="ru-RU"/>
        </w:rPr>
      </w:pPr>
    </w:p>
    <w:p w:rsidR="007D4D90" w:rsidRPr="008B2CC1" w:rsidRDefault="008A38C8" w:rsidP="008B2CC1">
      <w:pPr>
        <w:rPr>
          <w:i/>
        </w:rPr>
      </w:pPr>
      <w:bookmarkStart w:id="3" w:name="Prepared"/>
      <w:bookmarkEnd w:id="3"/>
      <w:r>
        <w:rPr>
          <w:i/>
        </w:rPr>
        <w:t>Документ подготовлен Секретариатом</w:t>
      </w:r>
    </w:p>
    <w:p w:rsidR="007D4D90" w:rsidRDefault="007D4D90"/>
    <w:p w:rsidR="007D4D90" w:rsidRDefault="007D4D90"/>
    <w:p w:rsidR="007D4D90" w:rsidRDefault="007D4D90"/>
    <w:p w:rsidR="007D4D90" w:rsidRDefault="007D4D90"/>
    <w:p w:rsidR="007D4D90" w:rsidRDefault="00DC7FA6" w:rsidP="00994A05">
      <w:pPr>
        <w:pStyle w:val="Heading1"/>
      </w:pPr>
      <w:r w:rsidRPr="00DC7FA6">
        <w:t>История вопроса</w:t>
      </w:r>
    </w:p>
    <w:p w:rsidR="007D4D90" w:rsidRPr="00DC7FA6" w:rsidRDefault="007D4D90" w:rsidP="002765A0"/>
    <w:p w:rsidR="007D4D90" w:rsidRPr="006E2404" w:rsidRDefault="00BC0031" w:rsidP="00994A05">
      <w:pPr>
        <w:pStyle w:val="ONUME"/>
        <w:numPr>
          <w:ilvl w:val="0"/>
          <w:numId w:val="16"/>
        </w:numPr>
        <w:ind w:left="0" w:firstLine="0"/>
      </w:pPr>
      <w:r>
        <w:t>В январе</w:t>
      </w:r>
      <w:r w:rsidR="007D4D90" w:rsidRPr="008A38C8">
        <w:t xml:space="preserve"> 2015</w:t>
      </w:r>
      <w:r>
        <w:t xml:space="preserve"> г.</w:t>
      </w:r>
      <w:r w:rsidR="007D4D90" w:rsidRPr="008A38C8">
        <w:t xml:space="preserve"> </w:t>
      </w:r>
      <w:r w:rsidR="008A38C8" w:rsidRPr="008A38C8">
        <w:t xml:space="preserve">Международное бюро </w:t>
      </w:r>
      <w:r>
        <w:t xml:space="preserve">направило </w:t>
      </w:r>
      <w:r w:rsidRPr="008A38C8">
        <w:t>участникам Договора о патентной кооперации (</w:t>
      </w:r>
      <w:r w:rsidRPr="009842D7">
        <w:rPr>
          <w:lang w:val="en-US"/>
        </w:rPr>
        <w:t>PCT</w:t>
      </w:r>
      <w:r w:rsidRPr="008A38C8">
        <w:t>)</w:t>
      </w:r>
      <w:r>
        <w:t xml:space="preserve"> Циркулярное письмо</w:t>
      </w:r>
      <w:r w:rsidR="007D4D90" w:rsidRPr="008A38C8">
        <w:t xml:space="preserve"> (</w:t>
      </w:r>
      <w:r w:rsidR="007D4D90" w:rsidRPr="00DC7FA6">
        <w:rPr>
          <w:lang w:val="en-US"/>
        </w:rPr>
        <w:t>C</w:t>
      </w:r>
      <w:r w:rsidR="007D4D90" w:rsidRPr="008A38C8">
        <w:t>.</w:t>
      </w:r>
      <w:r w:rsidR="007D4D90" w:rsidRPr="00DC7FA6">
        <w:rPr>
          <w:lang w:val="en-US"/>
        </w:rPr>
        <w:t>PCT</w:t>
      </w:r>
      <w:r w:rsidR="007D4D90" w:rsidRPr="008A38C8">
        <w:t xml:space="preserve"> </w:t>
      </w:r>
      <w:r w:rsidR="007D4D90" w:rsidRPr="008A38C8">
        <w:rPr>
          <w:iCs/>
        </w:rPr>
        <w:t xml:space="preserve">1440 </w:t>
      </w:r>
      <w:r w:rsidR="00C553E3" w:rsidRPr="008A38C8">
        <w:rPr>
          <w:iCs/>
        </w:rPr>
        <w:t xml:space="preserve">«Доходы в виде пошлин РСТ: возможные меры по </w:t>
      </w:r>
      <w:r w:rsidR="008C1646">
        <w:rPr>
          <w:iCs/>
        </w:rPr>
        <w:t xml:space="preserve">уменьшению </w:t>
      </w:r>
      <w:r w:rsidR="00C553E3" w:rsidRPr="008A38C8">
        <w:rPr>
          <w:iCs/>
        </w:rPr>
        <w:t xml:space="preserve">рисков, связанных с колебаниями </w:t>
      </w:r>
      <w:r w:rsidR="00E8572D" w:rsidRPr="007104CB">
        <w:t xml:space="preserve">обменных </w:t>
      </w:r>
      <w:r w:rsidR="00C553E3" w:rsidRPr="008A38C8">
        <w:rPr>
          <w:iCs/>
        </w:rPr>
        <w:t>курсов</w:t>
      </w:r>
      <w:r w:rsidR="00C553E3" w:rsidRPr="008A38C8">
        <w:t>»</w:t>
      </w:r>
      <w:r>
        <w:t>)</w:t>
      </w:r>
      <w:r w:rsidR="007D4D90" w:rsidRPr="008A38C8">
        <w:t xml:space="preserve"> </w:t>
      </w:r>
      <w:r>
        <w:t xml:space="preserve">с изложением </w:t>
      </w:r>
      <w:r w:rsidR="008A38C8" w:rsidRPr="008A38C8">
        <w:t>различных возможных мер</w:t>
      </w:r>
      <w:r>
        <w:t xml:space="preserve">, которые могли бы быть приняты для снижения </w:t>
      </w:r>
      <w:r w:rsidR="009842D7" w:rsidRPr="008A38C8">
        <w:t>рисков</w:t>
      </w:r>
      <w:r w:rsidR="00C07C32">
        <w:t xml:space="preserve"> потери доходов</w:t>
      </w:r>
      <w:r w:rsidR="009842D7" w:rsidRPr="008A38C8">
        <w:t xml:space="preserve"> РСТ в виде пошлин</w:t>
      </w:r>
      <w:r w:rsidR="00C07C32">
        <w:t xml:space="preserve">, связанных с колебаниями </w:t>
      </w:r>
      <w:r w:rsidR="009842D7" w:rsidRPr="008A38C8">
        <w:t>обменных курсов</w:t>
      </w:r>
      <w:r w:rsidR="007D4D90" w:rsidRPr="008A38C8">
        <w:t xml:space="preserve">.  </w:t>
      </w:r>
      <w:r>
        <w:t>Одной</w:t>
      </w:r>
      <w:r w:rsidR="007D4D90" w:rsidRPr="006E2404">
        <w:t xml:space="preserve"> </w:t>
      </w:r>
      <w:r>
        <w:t xml:space="preserve">из таких </w:t>
      </w:r>
      <w:r w:rsidR="006E2404" w:rsidRPr="006E2404">
        <w:t>возможн</w:t>
      </w:r>
      <w:r>
        <w:t>ых</w:t>
      </w:r>
      <w:r w:rsidR="007D4D90" w:rsidRPr="006E2404">
        <w:t xml:space="preserve"> </w:t>
      </w:r>
      <w:r>
        <w:t>мер</w:t>
      </w:r>
      <w:r w:rsidR="007D4D90" w:rsidRPr="006E2404">
        <w:t xml:space="preserve"> </w:t>
      </w:r>
      <w:r>
        <w:t xml:space="preserve">было </w:t>
      </w:r>
      <w:r w:rsidR="008A38C8" w:rsidRPr="006E2404">
        <w:t>предложение вве</w:t>
      </w:r>
      <w:r w:rsidR="00C07C32">
        <w:t>сти практику</w:t>
      </w:r>
      <w:r w:rsidR="008A38C8" w:rsidRPr="006E2404">
        <w:t xml:space="preserve"> хеджирования </w:t>
      </w:r>
      <w:r w:rsidR="00C07C32">
        <w:t>доходов</w:t>
      </w:r>
      <w:r w:rsidR="00C07C32" w:rsidRPr="008A38C8">
        <w:t xml:space="preserve"> РСТ в виде пошлин</w:t>
      </w:r>
      <w:r w:rsidR="00C07C32">
        <w:t xml:space="preserve"> </w:t>
      </w:r>
      <w:r w:rsidR="008A38C8" w:rsidRPr="006E2404">
        <w:t>в некоторых валютах</w:t>
      </w:r>
      <w:r w:rsidR="007D4D90" w:rsidRPr="006E2404">
        <w:t xml:space="preserve">, </w:t>
      </w:r>
      <w:r w:rsidR="00C07C32">
        <w:t xml:space="preserve">изложенное </w:t>
      </w:r>
      <w:r w:rsidR="00066872">
        <w:t xml:space="preserve">в рекомендации, подготовленной независимой </w:t>
      </w:r>
      <w:r w:rsidR="00066872" w:rsidRPr="00893A9D">
        <w:t>консульта</w:t>
      </w:r>
      <w:r w:rsidR="00066872">
        <w:t xml:space="preserve">ционной фирмой </w:t>
      </w:r>
      <w:r w:rsidR="00C07C32" w:rsidRPr="00C07C32">
        <w:t>«</w:t>
      </w:r>
      <w:r w:rsidR="007D4D90" w:rsidRPr="00C553E3">
        <w:rPr>
          <w:lang w:val="en-US"/>
        </w:rPr>
        <w:t>FTI</w:t>
      </w:r>
      <w:r w:rsidR="007D4D90" w:rsidRPr="006E2404">
        <w:t xml:space="preserve"> </w:t>
      </w:r>
      <w:r w:rsidR="00066872">
        <w:t>Treasury</w:t>
      </w:r>
      <w:r w:rsidR="00C07C32" w:rsidRPr="00C07C32">
        <w:t>»</w:t>
      </w:r>
      <w:r w:rsidR="00066872">
        <w:t xml:space="preserve"> (</w:t>
      </w:r>
      <w:r w:rsidR="008A38C8" w:rsidRPr="006E2404">
        <w:t>Дублин</w:t>
      </w:r>
      <w:r w:rsidR="007D4D90" w:rsidRPr="006E2404">
        <w:t xml:space="preserve">, </w:t>
      </w:r>
      <w:r w:rsidR="008A38C8" w:rsidRPr="006E2404">
        <w:t>Ирландия</w:t>
      </w:r>
      <w:r w:rsidR="00066872">
        <w:t>)</w:t>
      </w:r>
      <w:r w:rsidR="007D4D90" w:rsidRPr="006E2404">
        <w:t>.</w:t>
      </w:r>
    </w:p>
    <w:p w:rsidR="007D4D90" w:rsidRPr="006E2404" w:rsidRDefault="00986F84" w:rsidP="00994A05">
      <w:pPr>
        <w:pStyle w:val="ONUME"/>
        <w:numPr>
          <w:ilvl w:val="0"/>
          <w:numId w:val="16"/>
        </w:numPr>
        <w:ind w:left="0" w:firstLine="0"/>
      </w:pPr>
      <w:r>
        <w:t xml:space="preserve">Согласно </w:t>
      </w:r>
      <w:r w:rsidR="00C07C32">
        <w:t>предложению</w:t>
      </w:r>
      <w:r>
        <w:t xml:space="preserve">, </w:t>
      </w:r>
      <w:r w:rsidR="00C07C32">
        <w:t xml:space="preserve">подготовленному </w:t>
      </w:r>
      <w:r w:rsidR="00066872" w:rsidRPr="00066872">
        <w:t>FTI</w:t>
      </w:r>
      <w:r w:rsidR="00066872" w:rsidRPr="006E2404">
        <w:t xml:space="preserve"> </w:t>
      </w:r>
      <w:r w:rsidR="00066872">
        <w:t>Treasury</w:t>
      </w:r>
      <w:r w:rsidR="007D4D90" w:rsidRPr="006E2404">
        <w:t xml:space="preserve">, </w:t>
      </w:r>
      <w:r w:rsidR="006E2404" w:rsidRPr="006E2404">
        <w:t>эквивалент</w:t>
      </w:r>
      <w:r w:rsidR="004B56EF">
        <w:t>ный размер</w:t>
      </w:r>
      <w:r w:rsidR="007D4D90" w:rsidRPr="006E2404">
        <w:t xml:space="preserve"> </w:t>
      </w:r>
      <w:r>
        <w:t>пошлин</w:t>
      </w:r>
      <w:r w:rsidR="008A38C8" w:rsidRPr="006E2404">
        <w:t xml:space="preserve"> за подачу </w:t>
      </w:r>
      <w:r w:rsidR="00C07C32">
        <w:t xml:space="preserve">заявок, поступающих </w:t>
      </w:r>
      <w:r>
        <w:t xml:space="preserve">в </w:t>
      </w:r>
      <w:r w:rsidR="008A38C8" w:rsidRPr="006E2404">
        <w:t>японских иенах</w:t>
      </w:r>
      <w:r w:rsidR="007D4D90" w:rsidRPr="006E2404">
        <w:t xml:space="preserve">, </w:t>
      </w:r>
      <w:r w:rsidR="006E2404" w:rsidRPr="006E2404">
        <w:t>евро</w:t>
      </w:r>
      <w:r w:rsidR="007D4D90" w:rsidRPr="006E2404">
        <w:t xml:space="preserve"> </w:t>
      </w:r>
      <w:r w:rsidR="006E2404" w:rsidRPr="006E2404">
        <w:t>и</w:t>
      </w:r>
      <w:r w:rsidR="007D4D90" w:rsidRPr="006E2404">
        <w:t xml:space="preserve"> </w:t>
      </w:r>
      <w:r w:rsidR="008A38C8" w:rsidRPr="006E2404">
        <w:t>долларах США</w:t>
      </w:r>
      <w:r w:rsidR="00C2289A">
        <w:t>,</w:t>
      </w:r>
      <w:r w:rsidR="007D4D90" w:rsidRPr="006E2404">
        <w:t xml:space="preserve"> </w:t>
      </w:r>
      <w:r>
        <w:t xml:space="preserve">устанавливался бы </w:t>
      </w:r>
      <w:r w:rsidR="008A38C8" w:rsidRPr="006E2404">
        <w:t>в октябре каждого года</w:t>
      </w:r>
      <w:r w:rsidR="00C2289A">
        <w:t xml:space="preserve">, вступал в силу с </w:t>
      </w:r>
      <w:r>
        <w:t xml:space="preserve">1 </w:t>
      </w:r>
      <w:r w:rsidR="006E2404" w:rsidRPr="006E2404">
        <w:t>января</w:t>
      </w:r>
      <w:r w:rsidR="007D4D90" w:rsidRPr="006E2404">
        <w:t xml:space="preserve"> </w:t>
      </w:r>
      <w:r>
        <w:t>следующего</w:t>
      </w:r>
      <w:r w:rsidR="007D4D90" w:rsidRPr="006E2404">
        <w:t xml:space="preserve"> </w:t>
      </w:r>
      <w:r w:rsidR="00C2289A">
        <w:t>календарного</w:t>
      </w:r>
      <w:r w:rsidR="00C2289A" w:rsidRPr="006E2404">
        <w:t xml:space="preserve"> </w:t>
      </w:r>
      <w:r w:rsidR="006E2404" w:rsidRPr="006E2404">
        <w:t>год</w:t>
      </w:r>
      <w:r>
        <w:t>а</w:t>
      </w:r>
      <w:r w:rsidR="007D4D90" w:rsidRPr="006E2404">
        <w:t xml:space="preserve"> </w:t>
      </w:r>
      <w:r w:rsidR="006E2404" w:rsidRPr="006E2404">
        <w:t>и</w:t>
      </w:r>
      <w:r w:rsidR="007D4D90" w:rsidRPr="006E2404">
        <w:t xml:space="preserve"> </w:t>
      </w:r>
      <w:r w:rsidR="00C2289A">
        <w:t xml:space="preserve">действовал бы </w:t>
      </w:r>
      <w:r>
        <w:t xml:space="preserve">в течение </w:t>
      </w:r>
      <w:r w:rsidR="00C2289A">
        <w:t xml:space="preserve">всего этого </w:t>
      </w:r>
      <w:r>
        <w:t>календарного</w:t>
      </w:r>
      <w:r w:rsidR="006E2404" w:rsidRPr="006E2404">
        <w:t xml:space="preserve"> год</w:t>
      </w:r>
      <w:r>
        <w:t>а</w:t>
      </w:r>
      <w:r w:rsidR="007D4D90" w:rsidRPr="006E2404">
        <w:t xml:space="preserve">. </w:t>
      </w:r>
      <w:r>
        <w:t>Курс</w:t>
      </w:r>
      <w:r w:rsidRPr="006E2404">
        <w:t xml:space="preserve"> </w:t>
      </w:r>
      <w:r w:rsidR="00C2289A">
        <w:t>рассчитывался бы как смешанный курс</w:t>
      </w:r>
      <w:r w:rsidR="008A38C8" w:rsidRPr="006E2404">
        <w:t xml:space="preserve"> хеджирования</w:t>
      </w:r>
      <w:r>
        <w:t xml:space="preserve"> на </w:t>
      </w:r>
      <w:r w:rsidR="00C2289A">
        <w:t xml:space="preserve">базе </w:t>
      </w:r>
      <w:r>
        <w:t xml:space="preserve">контрактов на продажу </w:t>
      </w:r>
      <w:r w:rsidR="002A0B71">
        <w:t xml:space="preserve">избыточных </w:t>
      </w:r>
      <w:r w:rsidR="002A0B71" w:rsidRPr="002A0B71">
        <w:t>средств</w:t>
      </w:r>
      <w:r w:rsidR="002A0B71">
        <w:t xml:space="preserve"> в этих валютах</w:t>
      </w:r>
      <w:r w:rsidRPr="006E2404">
        <w:t xml:space="preserve"> и приобретени</w:t>
      </w:r>
      <w:r w:rsidR="002A0B71">
        <w:t>е</w:t>
      </w:r>
      <w:r w:rsidRPr="006E2404">
        <w:t xml:space="preserve"> </w:t>
      </w:r>
      <w:r w:rsidR="002A0B71" w:rsidRPr="006E2404">
        <w:t>ш</w:t>
      </w:r>
      <w:r w:rsidRPr="006E2404">
        <w:t>в</w:t>
      </w:r>
      <w:r w:rsidR="002A0B71">
        <w:t>ейцарских</w:t>
      </w:r>
      <w:r w:rsidRPr="006E2404">
        <w:t xml:space="preserve"> франков</w:t>
      </w:r>
      <w:r>
        <w:t xml:space="preserve">, заключаемых </w:t>
      </w:r>
      <w:r w:rsidR="006E2404" w:rsidRPr="006E2404">
        <w:t>с</w:t>
      </w:r>
      <w:r w:rsidR="007D4D90" w:rsidRPr="006E2404">
        <w:t xml:space="preserve"> </w:t>
      </w:r>
      <w:r>
        <w:t>банками-контрагентами</w:t>
      </w:r>
      <w:r w:rsidR="007D4D90" w:rsidRPr="006E2404">
        <w:t xml:space="preserve">.  </w:t>
      </w:r>
      <w:r w:rsidR="006E2404" w:rsidRPr="006E2404">
        <w:t xml:space="preserve">Поскольку </w:t>
      </w:r>
      <w:r w:rsidR="002A0B71">
        <w:t xml:space="preserve">эти </w:t>
      </w:r>
      <w:r w:rsidR="002A0B71" w:rsidRPr="002A0B71">
        <w:t>средств</w:t>
      </w:r>
      <w:r w:rsidR="002A0B71">
        <w:t>а перечисляются получающими ведомствами в Международное бюро</w:t>
      </w:r>
      <w:r w:rsidR="007D4D90" w:rsidRPr="006E2404">
        <w:t xml:space="preserve"> </w:t>
      </w:r>
      <w:r w:rsidR="006E2404" w:rsidRPr="006E2404">
        <w:t>ежемесячн</w:t>
      </w:r>
      <w:r w:rsidR="002A0B71">
        <w:t>о</w:t>
      </w:r>
      <w:r w:rsidR="007D4D90" w:rsidRPr="006E2404">
        <w:t xml:space="preserve">, </w:t>
      </w:r>
      <w:r w:rsidR="008A38C8" w:rsidRPr="006E2404">
        <w:t xml:space="preserve">Международное бюро </w:t>
      </w:r>
      <w:r w:rsidR="002A0B71">
        <w:t xml:space="preserve">заключало бы </w:t>
      </w:r>
      <w:r w:rsidR="006E2404" w:rsidRPr="006E2404">
        <w:t>ежемесячн</w:t>
      </w:r>
      <w:r w:rsidR="0057401D">
        <w:t>ые</w:t>
      </w:r>
      <w:r w:rsidR="007D4D90" w:rsidRPr="006E2404">
        <w:t xml:space="preserve"> </w:t>
      </w:r>
      <w:r w:rsidR="006E2404" w:rsidRPr="006E2404">
        <w:t>контракты</w:t>
      </w:r>
      <w:r w:rsidR="007D4D90" w:rsidRPr="006E2404">
        <w:t xml:space="preserve"> </w:t>
      </w:r>
      <w:r w:rsidR="006747FB">
        <w:t>форвардной покупки</w:t>
      </w:r>
      <w:r w:rsidR="007D4D90" w:rsidRPr="006E2404">
        <w:t xml:space="preserve"> </w:t>
      </w:r>
      <w:r w:rsidR="002A0B71">
        <w:t xml:space="preserve">швейцарских </w:t>
      </w:r>
      <w:r w:rsidR="008A38C8" w:rsidRPr="006E2404">
        <w:t>франков</w:t>
      </w:r>
      <w:r w:rsidR="007D4D90" w:rsidRPr="006E2404">
        <w:t xml:space="preserve"> </w:t>
      </w:r>
      <w:r w:rsidR="002A0B71">
        <w:t xml:space="preserve">по </w:t>
      </w:r>
      <w:r w:rsidR="006747FB">
        <w:t xml:space="preserve">заранее согласованным </w:t>
      </w:r>
      <w:r w:rsidR="002A0B71">
        <w:t xml:space="preserve">курсам </w:t>
      </w:r>
      <w:r w:rsidR="006E2404" w:rsidRPr="006E2404">
        <w:t>не менее</w:t>
      </w:r>
      <w:r w:rsidR="002A0B71">
        <w:t xml:space="preserve"> чем с</w:t>
      </w:r>
      <w:r w:rsidR="007D4D90" w:rsidRPr="006E2404">
        <w:t xml:space="preserve"> </w:t>
      </w:r>
      <w:r w:rsidR="002A0B71">
        <w:t>двумя</w:t>
      </w:r>
      <w:r w:rsidR="007D4D90" w:rsidRPr="006E2404">
        <w:t xml:space="preserve"> </w:t>
      </w:r>
      <w:r w:rsidR="002A0B71">
        <w:t>банками-контрагентами</w:t>
      </w:r>
      <w:r w:rsidR="007D4D90" w:rsidRPr="006E2404">
        <w:t xml:space="preserve"> </w:t>
      </w:r>
      <w:r w:rsidR="006747FB">
        <w:t xml:space="preserve">применительно к </w:t>
      </w:r>
      <w:r w:rsidR="002A0B71">
        <w:t>каждой</w:t>
      </w:r>
      <w:r w:rsidR="007D4D90" w:rsidRPr="006E2404">
        <w:t xml:space="preserve"> </w:t>
      </w:r>
      <w:r w:rsidR="006747FB">
        <w:t>валюте</w:t>
      </w:r>
      <w:r w:rsidR="002A0B71">
        <w:t xml:space="preserve">. </w:t>
      </w:r>
      <w:r w:rsidR="00EE309A" w:rsidRPr="006E2404">
        <w:t>С</w:t>
      </w:r>
      <w:r w:rsidR="006E2404" w:rsidRPr="006E2404">
        <w:t>умм</w:t>
      </w:r>
      <w:r w:rsidR="002A0B71">
        <w:t xml:space="preserve">а, </w:t>
      </w:r>
      <w:r w:rsidR="002A0B71">
        <w:rPr>
          <w:rFonts w:cs="Arial"/>
        </w:rPr>
        <w:t>подлежащ</w:t>
      </w:r>
      <w:r w:rsidR="002A0B71">
        <w:t>ая продаже в каждой</w:t>
      </w:r>
      <w:r w:rsidR="007D4D90" w:rsidRPr="006E2404">
        <w:t xml:space="preserve"> </w:t>
      </w:r>
      <w:r w:rsidR="002A0B71">
        <w:t>валюте</w:t>
      </w:r>
      <w:r w:rsidR="00EE309A">
        <w:t xml:space="preserve"> каждый </w:t>
      </w:r>
      <w:r w:rsidR="00EE309A" w:rsidRPr="00EE309A">
        <w:t>месяц</w:t>
      </w:r>
      <w:r w:rsidR="002A0B71">
        <w:t xml:space="preserve">, рассчитывалась бы на основе </w:t>
      </w:r>
      <w:r w:rsidR="002A0B71" w:rsidRPr="006E2404">
        <w:t>внутренн</w:t>
      </w:r>
      <w:r w:rsidR="002A0B71">
        <w:t>их</w:t>
      </w:r>
      <w:r w:rsidR="002A0B71" w:rsidRPr="006E2404">
        <w:t xml:space="preserve"> </w:t>
      </w:r>
      <w:r w:rsidR="002A0B71">
        <w:t xml:space="preserve">прогнозов поступлений </w:t>
      </w:r>
      <w:r w:rsidR="007D4D90" w:rsidRPr="00C553E3">
        <w:rPr>
          <w:lang w:val="en-US"/>
        </w:rPr>
        <w:t>PCT</w:t>
      </w:r>
      <w:r w:rsidR="002A0B71">
        <w:t xml:space="preserve">, </w:t>
      </w:r>
      <w:r w:rsidR="00EE309A">
        <w:t>составляемых</w:t>
      </w:r>
      <w:r w:rsidR="002A0B71">
        <w:t xml:space="preserve"> </w:t>
      </w:r>
      <w:r w:rsidR="002A0B71">
        <w:lastRenderedPageBreak/>
        <w:t xml:space="preserve">Международным бюро. При </w:t>
      </w:r>
      <w:r w:rsidR="002A0B71">
        <w:rPr>
          <w:rFonts w:cs="Arial"/>
        </w:rPr>
        <w:t>расчет</w:t>
      </w:r>
      <w:r w:rsidR="002A0B71">
        <w:t>е суммы</w:t>
      </w:r>
      <w:r w:rsidR="007D4D90" w:rsidRPr="006E2404">
        <w:t xml:space="preserve"> </w:t>
      </w:r>
      <w:r w:rsidR="002A0B71">
        <w:t xml:space="preserve">форвардной покупки </w:t>
      </w:r>
      <w:r w:rsidR="006E2404" w:rsidRPr="006E2404">
        <w:t>также</w:t>
      </w:r>
      <w:r w:rsidR="007D4D90" w:rsidRPr="006E2404">
        <w:t xml:space="preserve"> </w:t>
      </w:r>
      <w:r w:rsidR="002A0B71">
        <w:t xml:space="preserve">принимались бы во внимание </w:t>
      </w:r>
      <w:r w:rsidR="006E2404" w:rsidRPr="006E2404">
        <w:t>люб</w:t>
      </w:r>
      <w:r w:rsidR="002A0B71">
        <w:t>ые</w:t>
      </w:r>
      <w:r w:rsidR="007D4D90" w:rsidRPr="006E2404">
        <w:t xml:space="preserve"> </w:t>
      </w:r>
      <w:r w:rsidR="006E2404" w:rsidRPr="006E2404">
        <w:t>платеж</w:t>
      </w:r>
      <w:r w:rsidR="00A576EF">
        <w:t>и, причитающиеся к выплате со стороны Международного</w:t>
      </w:r>
      <w:r w:rsidR="008A38C8" w:rsidRPr="006E2404">
        <w:t xml:space="preserve"> бюро</w:t>
      </w:r>
      <w:r w:rsidR="00A576EF">
        <w:t xml:space="preserve"> в одной</w:t>
      </w:r>
      <w:r w:rsidR="007D4D90" w:rsidRPr="006E2404">
        <w:t xml:space="preserve"> </w:t>
      </w:r>
      <w:r w:rsidR="00A576EF">
        <w:t>из этих трех</w:t>
      </w:r>
      <w:r w:rsidR="007D4D90" w:rsidRPr="006E2404">
        <w:t xml:space="preserve"> </w:t>
      </w:r>
      <w:r w:rsidR="006E2404" w:rsidRPr="006E2404">
        <w:t>валют</w:t>
      </w:r>
      <w:r w:rsidR="007D4D90" w:rsidRPr="006E2404">
        <w:t xml:space="preserve">, </w:t>
      </w:r>
      <w:r w:rsidR="00A576EF">
        <w:t xml:space="preserve">поскольку </w:t>
      </w:r>
      <w:r w:rsidR="00EE309A">
        <w:t>для конвертации</w:t>
      </w:r>
      <w:r w:rsidR="00A576EF">
        <w:t xml:space="preserve"> в швейцарские франки </w:t>
      </w:r>
      <w:r w:rsidR="00EE309A">
        <w:t>через форвардные</w:t>
      </w:r>
      <w:r w:rsidR="00A576EF" w:rsidRPr="006E2404">
        <w:t xml:space="preserve"> </w:t>
      </w:r>
      <w:r w:rsidR="00EE309A">
        <w:t>контракты</w:t>
      </w:r>
      <w:r w:rsidR="00A576EF">
        <w:t xml:space="preserve"> может </w:t>
      </w:r>
      <w:r w:rsidR="00EE309A">
        <w:t xml:space="preserve">использоваться </w:t>
      </w:r>
      <w:r w:rsidR="006E2404" w:rsidRPr="006E2404">
        <w:t>только</w:t>
      </w:r>
      <w:r w:rsidR="007D4D90" w:rsidRPr="006E2404">
        <w:t xml:space="preserve"> </w:t>
      </w:r>
      <w:r w:rsidR="006E2404" w:rsidRPr="006E2404">
        <w:t>чист</w:t>
      </w:r>
      <w:r w:rsidR="00A576EF">
        <w:t>ая разница между поступлениями и выплатами</w:t>
      </w:r>
      <w:r w:rsidR="007D4D90" w:rsidRPr="006E2404">
        <w:t>.</w:t>
      </w:r>
    </w:p>
    <w:p w:rsidR="007D4D90" w:rsidRPr="002A0B71" w:rsidRDefault="006E2404" w:rsidP="00994A05">
      <w:pPr>
        <w:pStyle w:val="ONUME"/>
        <w:numPr>
          <w:ilvl w:val="0"/>
          <w:numId w:val="16"/>
        </w:numPr>
        <w:ind w:left="0" w:firstLine="0"/>
      </w:pPr>
      <w:r w:rsidRPr="006E2404">
        <w:t>Эквивалент</w:t>
      </w:r>
      <w:r w:rsidR="004B56EF">
        <w:t>ный размер</w:t>
      </w:r>
      <w:r w:rsidR="007D4D90" w:rsidRPr="006E2404">
        <w:t xml:space="preserve"> </w:t>
      </w:r>
      <w:r w:rsidR="008A38C8" w:rsidRPr="006E2404">
        <w:t xml:space="preserve">пошлин </w:t>
      </w:r>
      <w:r w:rsidR="0057401D">
        <w:t xml:space="preserve">в остальных </w:t>
      </w:r>
      <w:r w:rsidR="0057401D" w:rsidRPr="006E2404">
        <w:t>валют</w:t>
      </w:r>
      <w:r w:rsidR="0057401D">
        <w:t>ах,</w:t>
      </w:r>
      <w:r w:rsidR="0057401D" w:rsidRPr="006E2404">
        <w:t xml:space="preserve"> </w:t>
      </w:r>
      <w:r w:rsidR="0057401D">
        <w:t>для которых хеджирование не предусмотрено,</w:t>
      </w:r>
      <w:r w:rsidR="007D4D90" w:rsidRPr="006E2404">
        <w:t xml:space="preserve"> </w:t>
      </w:r>
      <w:r w:rsidR="004B56EF">
        <w:t>устанавливался</w:t>
      </w:r>
      <w:r w:rsidR="0057401D">
        <w:t xml:space="preserve"> бы по курсу, действовавшему на 1 </w:t>
      </w:r>
      <w:r w:rsidRPr="006E2404">
        <w:t>октября</w:t>
      </w:r>
      <w:r w:rsidR="007D4D90" w:rsidRPr="006E2404">
        <w:t xml:space="preserve"> </w:t>
      </w:r>
      <w:r w:rsidR="0057401D">
        <w:t>предыдущего</w:t>
      </w:r>
      <w:r w:rsidR="007D4D90" w:rsidRPr="006E2404">
        <w:t xml:space="preserve"> </w:t>
      </w:r>
      <w:r w:rsidRPr="006E2404">
        <w:t>год</w:t>
      </w:r>
      <w:r w:rsidR="0057401D">
        <w:t>а</w:t>
      </w:r>
      <w:r w:rsidR="007D4D90" w:rsidRPr="006E2404">
        <w:t xml:space="preserve">.  </w:t>
      </w:r>
      <w:r w:rsidR="0057401D" w:rsidRPr="006E2404">
        <w:t>Э</w:t>
      </w:r>
      <w:r w:rsidRPr="006E2404">
        <w:t>квивалент</w:t>
      </w:r>
      <w:r w:rsidR="004B56EF">
        <w:t>ный</w:t>
      </w:r>
      <w:r w:rsidR="007D4D90" w:rsidRPr="006E2404">
        <w:t xml:space="preserve"> </w:t>
      </w:r>
      <w:r w:rsidR="004B56EF">
        <w:t>размер</w:t>
      </w:r>
      <w:r w:rsidR="007D4D90" w:rsidRPr="006E2404">
        <w:t xml:space="preserve"> </w:t>
      </w:r>
      <w:r w:rsidR="008A38C8" w:rsidRPr="006E2404">
        <w:t xml:space="preserve">пошлин </w:t>
      </w:r>
      <w:r w:rsidR="004B56EF">
        <w:t>оставался бы неизменным</w:t>
      </w:r>
      <w:r w:rsidR="0057401D">
        <w:t xml:space="preserve"> в течение всего </w:t>
      </w:r>
      <w:r w:rsidRPr="006E2404">
        <w:t>год</w:t>
      </w:r>
      <w:r w:rsidR="0057401D">
        <w:t xml:space="preserve">а, а </w:t>
      </w:r>
      <w:r w:rsidRPr="006E2404">
        <w:t>существующ</w:t>
      </w:r>
      <w:r w:rsidR="00EE309A">
        <w:t>ий</w:t>
      </w:r>
      <w:r w:rsidR="007D4D90" w:rsidRPr="006E2404">
        <w:t xml:space="preserve"> </w:t>
      </w:r>
      <w:r w:rsidRPr="006E2404">
        <w:t>механизм</w:t>
      </w:r>
      <w:r w:rsidR="007D4D90" w:rsidRPr="006E2404">
        <w:t xml:space="preserve"> </w:t>
      </w:r>
      <w:r w:rsidR="00EE309A">
        <w:t>корректировки</w:t>
      </w:r>
      <w:r w:rsidR="0057401D">
        <w:t xml:space="preserve"> </w:t>
      </w:r>
      <w:r w:rsidRPr="006E2404">
        <w:t>эквивалент</w:t>
      </w:r>
      <w:r w:rsidR="0057401D">
        <w:t>но</w:t>
      </w:r>
      <w:r w:rsidR="004B56EF">
        <w:t>го размера</w:t>
      </w:r>
      <w:r w:rsidR="007D4D90" w:rsidRPr="006E2404">
        <w:t xml:space="preserve"> </w:t>
      </w:r>
      <w:r w:rsidR="00623A95">
        <w:t>перестал бы действовать</w:t>
      </w:r>
      <w:r w:rsidR="007D4D90" w:rsidRPr="006E2404">
        <w:t xml:space="preserve">.  </w:t>
      </w:r>
      <w:r w:rsidR="0057401D">
        <w:t xml:space="preserve">При такой </w:t>
      </w:r>
      <w:r w:rsidR="0057401D" w:rsidRPr="0057401D">
        <w:t>систем</w:t>
      </w:r>
      <w:r w:rsidR="0057401D">
        <w:t xml:space="preserve">е </w:t>
      </w:r>
      <w:r w:rsidR="00623A95">
        <w:t xml:space="preserve">от курсового </w:t>
      </w:r>
      <w:r w:rsidR="00623A95" w:rsidRPr="002A0B71">
        <w:t>риск</w:t>
      </w:r>
      <w:r w:rsidR="00623A95">
        <w:t xml:space="preserve">а была бы защищена </w:t>
      </w:r>
      <w:r w:rsidRPr="002A0B71">
        <w:t>только</w:t>
      </w:r>
      <w:r w:rsidR="007D4D90" w:rsidRPr="002A0B71">
        <w:t xml:space="preserve"> </w:t>
      </w:r>
      <w:r w:rsidR="00623A95">
        <w:t xml:space="preserve">та </w:t>
      </w:r>
      <w:r w:rsidR="0057401D">
        <w:t xml:space="preserve">часть </w:t>
      </w:r>
      <w:r w:rsidR="00623A95">
        <w:t xml:space="preserve">доходов </w:t>
      </w:r>
      <w:r w:rsidR="0057401D" w:rsidRPr="00C553E3">
        <w:rPr>
          <w:lang w:val="en-US"/>
        </w:rPr>
        <w:t>PCT</w:t>
      </w:r>
      <w:r w:rsidR="0057401D">
        <w:t>,</w:t>
      </w:r>
      <w:r w:rsidR="0057401D" w:rsidRPr="002A0B71">
        <w:t xml:space="preserve"> </w:t>
      </w:r>
      <w:r w:rsidR="0057401D">
        <w:t xml:space="preserve">получаемых в каждой валюте, </w:t>
      </w:r>
      <w:r w:rsidR="00623A95">
        <w:t xml:space="preserve">в отношении </w:t>
      </w:r>
      <w:r w:rsidR="0057401D">
        <w:t>которой может быть заключен форвардный</w:t>
      </w:r>
      <w:r w:rsidR="007D4D90" w:rsidRPr="002A0B71">
        <w:t xml:space="preserve"> </w:t>
      </w:r>
      <w:r w:rsidRPr="002A0B71">
        <w:t>контракт</w:t>
      </w:r>
      <w:r w:rsidR="007D4D90" w:rsidRPr="002A0B71">
        <w:t xml:space="preserve">.  </w:t>
      </w:r>
      <w:r w:rsidRPr="002A0B71">
        <w:t>Соответственно</w:t>
      </w:r>
      <w:r w:rsidR="007D4D90" w:rsidRPr="002A0B71">
        <w:t xml:space="preserve">, </w:t>
      </w:r>
      <w:r w:rsidR="0057401D">
        <w:t xml:space="preserve">чем </w:t>
      </w:r>
      <w:r w:rsidRPr="002A0B71">
        <w:t xml:space="preserve">ниже </w:t>
      </w:r>
      <w:r w:rsidR="0057401D">
        <w:t xml:space="preserve">доля </w:t>
      </w:r>
      <w:r w:rsidRPr="002A0B71">
        <w:t>хедж</w:t>
      </w:r>
      <w:r w:rsidR="0057401D">
        <w:t>евого покрытия</w:t>
      </w:r>
      <w:r w:rsidR="007D4D90" w:rsidRPr="002A0B71">
        <w:t xml:space="preserve">, </w:t>
      </w:r>
      <w:r w:rsidR="0057401D">
        <w:t xml:space="preserve">тем выше </w:t>
      </w:r>
      <w:r w:rsidRPr="002A0B71">
        <w:t>риск</w:t>
      </w:r>
      <w:r w:rsidR="007D4D90" w:rsidRPr="002A0B71">
        <w:t xml:space="preserve"> </w:t>
      </w:r>
      <w:r w:rsidR="0057401D">
        <w:t xml:space="preserve">потери </w:t>
      </w:r>
      <w:r w:rsidR="00623A95">
        <w:t xml:space="preserve">планового </w:t>
      </w:r>
      <w:r w:rsidRPr="002A0B71">
        <w:t>доход</w:t>
      </w:r>
      <w:r w:rsidR="00D12CE2">
        <w:t>а</w:t>
      </w:r>
      <w:r w:rsidR="00623A95">
        <w:t xml:space="preserve">, связанный </w:t>
      </w:r>
      <w:r w:rsidRPr="002A0B71">
        <w:t xml:space="preserve">с </w:t>
      </w:r>
      <w:r w:rsidR="00D12CE2">
        <w:t xml:space="preserve">колебаниями валютных курсов, </w:t>
      </w:r>
      <w:r w:rsidR="00623A95">
        <w:t>не компенсируемыми</w:t>
      </w:r>
      <w:r w:rsidRPr="002A0B71">
        <w:t xml:space="preserve"> </w:t>
      </w:r>
      <w:r w:rsidR="00D12CE2">
        <w:t>форвардными</w:t>
      </w:r>
      <w:r w:rsidR="007D4D90" w:rsidRPr="002A0B71">
        <w:t xml:space="preserve"> </w:t>
      </w:r>
      <w:r w:rsidR="00D12CE2">
        <w:t>контрактами</w:t>
      </w:r>
      <w:r w:rsidR="007D4D90" w:rsidRPr="002A0B71">
        <w:t>.</w:t>
      </w:r>
    </w:p>
    <w:p w:rsidR="007D4D90" w:rsidRPr="00FA1431" w:rsidRDefault="00D12CE2" w:rsidP="00994A05">
      <w:pPr>
        <w:pStyle w:val="ONUME"/>
        <w:numPr>
          <w:ilvl w:val="0"/>
          <w:numId w:val="16"/>
        </w:numPr>
        <w:ind w:left="0" w:firstLine="0"/>
      </w:pPr>
      <w:bookmarkStart w:id="4" w:name="_Ref453941359"/>
      <w:r w:rsidRPr="00D12CE2">
        <w:t>П</w:t>
      </w:r>
      <w:r w:rsidR="006E2404" w:rsidRPr="00D12CE2">
        <w:t>редложение</w:t>
      </w:r>
      <w:r w:rsidR="007D4D90" w:rsidRPr="00D12CE2">
        <w:t xml:space="preserve"> </w:t>
      </w:r>
      <w:r>
        <w:t>о введении практики хеджирования</w:t>
      </w:r>
      <w:r w:rsidR="007D4D90" w:rsidRPr="00D12CE2">
        <w:t xml:space="preserve"> </w:t>
      </w:r>
      <w:r w:rsidR="00623A95">
        <w:t xml:space="preserve">сумм международных пошлин за подачу заявок от </w:t>
      </w:r>
      <w:r w:rsidR="009842D7" w:rsidRPr="00D12CE2">
        <w:t>рисков</w:t>
      </w:r>
      <w:r w:rsidR="00623A95">
        <w:t xml:space="preserve">, возникающих по операциям </w:t>
      </w:r>
      <w:r w:rsidR="009842D7" w:rsidRPr="00D12CE2">
        <w:t xml:space="preserve">в </w:t>
      </w:r>
      <w:r>
        <w:t>евро</w:t>
      </w:r>
      <w:r w:rsidR="007D4D90" w:rsidRPr="00D12CE2">
        <w:t xml:space="preserve">, </w:t>
      </w:r>
      <w:r>
        <w:t xml:space="preserve">японских </w:t>
      </w:r>
      <w:r w:rsidR="00E33D8F">
        <w:t>и</w:t>
      </w:r>
      <w:r>
        <w:t xml:space="preserve">енах </w:t>
      </w:r>
      <w:r w:rsidR="006E2404" w:rsidRPr="00D12CE2">
        <w:t>и</w:t>
      </w:r>
      <w:r w:rsidR="007D4D90" w:rsidRPr="00D12CE2">
        <w:t xml:space="preserve"> </w:t>
      </w:r>
      <w:r w:rsidRPr="00D12CE2">
        <w:t>долл</w:t>
      </w:r>
      <w:r>
        <w:t>арах</w:t>
      </w:r>
      <w:r w:rsidRPr="00D12CE2">
        <w:t> США</w:t>
      </w:r>
      <w:r w:rsidR="007D4D90" w:rsidRPr="00D12CE2">
        <w:t xml:space="preserve">, </w:t>
      </w:r>
      <w:r>
        <w:t xml:space="preserve">а также </w:t>
      </w:r>
      <w:r w:rsidRPr="00F245C5">
        <w:t>доклад</w:t>
      </w:r>
      <w:r>
        <w:t xml:space="preserve"> </w:t>
      </w:r>
      <w:r w:rsidRPr="00D12CE2">
        <w:t xml:space="preserve">и рекомендации </w:t>
      </w:r>
      <w:r w:rsidR="00066872">
        <w:rPr>
          <w:lang w:val="en-US"/>
        </w:rPr>
        <w:t>FTI</w:t>
      </w:r>
      <w:r w:rsidR="00066872" w:rsidRPr="00D12CE2">
        <w:t xml:space="preserve"> </w:t>
      </w:r>
      <w:r w:rsidR="00066872">
        <w:rPr>
          <w:lang w:val="en-US"/>
        </w:rPr>
        <w:t>Treasury</w:t>
      </w:r>
      <w:r w:rsidR="007D4D90" w:rsidRPr="00D12CE2">
        <w:t xml:space="preserve">, </w:t>
      </w:r>
      <w:r>
        <w:t xml:space="preserve">были представлены на </w:t>
      </w:r>
      <w:r>
        <w:rPr>
          <w:szCs w:val="22"/>
        </w:rPr>
        <w:t>рассмотрени</w:t>
      </w:r>
      <w:r>
        <w:t xml:space="preserve">е </w:t>
      </w:r>
      <w:r w:rsidR="008A38C8" w:rsidRPr="00D12CE2">
        <w:t>восьмой</w:t>
      </w:r>
      <w:r w:rsidR="007D4D90" w:rsidRPr="00D12CE2">
        <w:t xml:space="preserve"> </w:t>
      </w:r>
      <w:r>
        <w:t xml:space="preserve">сессии </w:t>
      </w:r>
      <w:r w:rsidRPr="00D12CE2">
        <w:t xml:space="preserve">Рабочей группы по </w:t>
      </w:r>
      <w:r>
        <w:rPr>
          <w:lang w:val="en-US"/>
        </w:rPr>
        <w:t>PCT</w:t>
      </w:r>
      <w:r w:rsidR="008A38C8" w:rsidRPr="00D12CE2">
        <w:t>, состоявш</w:t>
      </w:r>
      <w:r>
        <w:t xml:space="preserve">ейся </w:t>
      </w:r>
      <w:r w:rsidR="008A38C8" w:rsidRPr="00D12CE2">
        <w:t xml:space="preserve">в </w:t>
      </w:r>
      <w:r>
        <w:t>мае</w:t>
      </w:r>
      <w:r w:rsidR="007D4D90" w:rsidRPr="00D12CE2">
        <w:t xml:space="preserve"> 2015 </w:t>
      </w:r>
      <w:r>
        <w:t xml:space="preserve">г. </w:t>
      </w:r>
      <w:r w:rsidR="007D4D90" w:rsidRPr="00D12CE2">
        <w:t>(</w:t>
      </w:r>
      <w:r w:rsidR="006E2404" w:rsidRPr="00D12CE2">
        <w:t>см.</w:t>
      </w:r>
      <w:r w:rsidR="007D4D90" w:rsidRPr="00D12CE2">
        <w:t xml:space="preserve"> </w:t>
      </w:r>
      <w:r w:rsidR="006E2404" w:rsidRPr="00D12CE2">
        <w:t>документ</w:t>
      </w:r>
      <w:r w:rsidR="007D4D90" w:rsidRPr="00D12CE2">
        <w:t xml:space="preserve"> </w:t>
      </w:r>
      <w:r w:rsidR="007D4D90" w:rsidRPr="00C553E3">
        <w:rPr>
          <w:lang w:val="en-US"/>
        </w:rPr>
        <w:t>PCT</w:t>
      </w:r>
      <w:r w:rsidR="007D4D90" w:rsidRPr="00D12CE2">
        <w:t>/</w:t>
      </w:r>
      <w:r w:rsidR="007D4D90" w:rsidRPr="00C553E3">
        <w:rPr>
          <w:lang w:val="en-US"/>
        </w:rPr>
        <w:t>WG</w:t>
      </w:r>
      <w:r w:rsidR="007D4D90" w:rsidRPr="00D12CE2">
        <w:t xml:space="preserve">/8/15 </w:t>
      </w:r>
      <w:r w:rsidR="00C553E3" w:rsidRPr="00D12CE2">
        <w:t>«</w:t>
      </w:r>
      <w:r w:rsidR="008C1646" w:rsidRPr="008A38C8">
        <w:rPr>
          <w:iCs/>
        </w:rPr>
        <w:t xml:space="preserve">Доходы в виде пошлин РСТ: возможные меры по </w:t>
      </w:r>
      <w:r w:rsidR="008C1646">
        <w:rPr>
          <w:iCs/>
        </w:rPr>
        <w:t xml:space="preserve">уменьшению </w:t>
      </w:r>
      <w:r w:rsidR="008C1646" w:rsidRPr="008A38C8">
        <w:rPr>
          <w:iCs/>
        </w:rPr>
        <w:t xml:space="preserve">рисков, связанных с колебаниями </w:t>
      </w:r>
      <w:r w:rsidR="008C1646" w:rsidRPr="007104CB">
        <w:t xml:space="preserve">обменных </w:t>
      </w:r>
      <w:r w:rsidR="008C1646" w:rsidRPr="008A38C8">
        <w:rPr>
          <w:iCs/>
        </w:rPr>
        <w:t>курсов</w:t>
      </w:r>
      <w:r w:rsidR="00C553E3" w:rsidRPr="00D12CE2">
        <w:t>»</w:t>
      </w:r>
      <w:r w:rsidR="007D4D90" w:rsidRPr="00D12CE2">
        <w:t xml:space="preserve">).  </w:t>
      </w:r>
      <w:r>
        <w:t xml:space="preserve">В </w:t>
      </w:r>
      <w:r w:rsidRPr="00D12CE2">
        <w:t>пункт</w:t>
      </w:r>
      <w:r>
        <w:t>е</w:t>
      </w:r>
      <w:r w:rsidRPr="00D12CE2">
        <w:t xml:space="preserve"> 26 д</w:t>
      </w:r>
      <w:r w:rsidR="006E2404" w:rsidRPr="00D12CE2">
        <w:t>окумент</w:t>
      </w:r>
      <w:r>
        <w:t>а</w:t>
      </w:r>
      <w:r w:rsidR="007D4D90" w:rsidRPr="00D12CE2">
        <w:t xml:space="preserve"> </w:t>
      </w:r>
      <w:r w:rsidR="007D4D90" w:rsidRPr="00C553E3">
        <w:rPr>
          <w:lang w:val="en-US"/>
        </w:rPr>
        <w:t>PCT</w:t>
      </w:r>
      <w:r w:rsidR="007D4D90" w:rsidRPr="00D12CE2">
        <w:t>/</w:t>
      </w:r>
      <w:r w:rsidR="007D4D90" w:rsidRPr="00C553E3">
        <w:rPr>
          <w:lang w:val="en-US"/>
        </w:rPr>
        <w:t>WG</w:t>
      </w:r>
      <w:r w:rsidR="007D4D90" w:rsidRPr="00D12CE2">
        <w:t xml:space="preserve">/8/15 </w:t>
      </w:r>
      <w:r>
        <w:t xml:space="preserve">подчеркивалось, что </w:t>
      </w:r>
      <w:r w:rsidR="006E2404" w:rsidRPr="00D12CE2">
        <w:t>хедж</w:t>
      </w:r>
      <w:r>
        <w:t xml:space="preserve">ирование не обязательно </w:t>
      </w:r>
      <w:r w:rsidR="008C1646">
        <w:t>должно касаться всей суммы</w:t>
      </w:r>
      <w:r w:rsidR="007D4D90" w:rsidRPr="00D12CE2">
        <w:t xml:space="preserve"> </w:t>
      </w:r>
      <w:r w:rsidR="006E2404" w:rsidRPr="00D12CE2">
        <w:t>прогноз</w:t>
      </w:r>
      <w:r>
        <w:t>ируемого</w:t>
      </w:r>
      <w:r w:rsidR="007D4D90" w:rsidRPr="00D12CE2">
        <w:t xml:space="preserve"> </w:t>
      </w:r>
      <w:r w:rsidR="006E2404" w:rsidRPr="00D12CE2">
        <w:t>доход</w:t>
      </w:r>
      <w:r>
        <w:t>а,</w:t>
      </w:r>
      <w:r w:rsidR="007D4D90" w:rsidRPr="00D12CE2">
        <w:t xml:space="preserve"> </w:t>
      </w:r>
      <w:r w:rsidR="006E2404" w:rsidRPr="00D12CE2">
        <w:t>но</w:t>
      </w:r>
      <w:r w:rsidR="007D4D90" w:rsidRPr="00D12CE2">
        <w:t xml:space="preserve"> </w:t>
      </w:r>
      <w:r w:rsidR="00C553E3" w:rsidRPr="00D12CE2">
        <w:t>«</w:t>
      </w:r>
      <w:r w:rsidR="008C1646">
        <w:t>устанавливалось бы</w:t>
      </w:r>
      <w:r w:rsidRPr="00D12CE2">
        <w:t xml:space="preserve"> на определенном процентном уровне для каждой валюты (</w:t>
      </w:r>
      <w:r w:rsidRPr="00712221">
        <w:t xml:space="preserve">например, </w:t>
      </w:r>
      <w:r w:rsidRPr="00D12CE2">
        <w:t>от 70</w:t>
      </w:r>
      <w:r>
        <w:t>%</w:t>
      </w:r>
      <w:r w:rsidRPr="00D12CE2">
        <w:t xml:space="preserve"> до 90</w:t>
      </w:r>
      <w:r>
        <w:t>%</w:t>
      </w:r>
      <w:r w:rsidRPr="00D12CE2">
        <w:t>)</w:t>
      </w:r>
      <w:r w:rsidR="007D4D90" w:rsidRPr="00D12CE2">
        <w:t>.</w:t>
      </w:r>
      <w:r w:rsidR="00C553E3" w:rsidRPr="00D12CE2">
        <w:t>»</w:t>
      </w:r>
      <w:r>
        <w:t>.</w:t>
      </w:r>
      <w:r w:rsidR="007D4D90" w:rsidRPr="00D12CE2">
        <w:t xml:space="preserve">  </w:t>
      </w:r>
      <w:r>
        <w:t xml:space="preserve">Верхний </w:t>
      </w:r>
      <w:r w:rsidR="008C1646">
        <w:rPr>
          <w:szCs w:val="22"/>
        </w:rPr>
        <w:t>лимит</w:t>
      </w:r>
      <w:r>
        <w:t xml:space="preserve"> был взят из рекомендации, </w:t>
      </w:r>
      <w:r w:rsidR="008C1646">
        <w:t xml:space="preserve">содержавшейся </w:t>
      </w:r>
      <w:r>
        <w:t xml:space="preserve">в </w:t>
      </w:r>
      <w:r w:rsidRPr="00F245C5">
        <w:t>доклад</w:t>
      </w:r>
      <w:r>
        <w:t xml:space="preserve">е </w:t>
      </w:r>
      <w:r w:rsidR="00066872">
        <w:rPr>
          <w:lang w:val="en-US"/>
        </w:rPr>
        <w:t>FTI</w:t>
      </w:r>
      <w:r w:rsidR="00066872" w:rsidRPr="00D12CE2">
        <w:t xml:space="preserve"> </w:t>
      </w:r>
      <w:r w:rsidR="00066872">
        <w:rPr>
          <w:lang w:val="en-US"/>
        </w:rPr>
        <w:t>Treasury</w:t>
      </w:r>
      <w:r>
        <w:t xml:space="preserve">, </w:t>
      </w:r>
      <w:r w:rsidR="00CB108D">
        <w:t xml:space="preserve">а </w:t>
      </w:r>
      <w:r>
        <w:t>нижний</w:t>
      </w:r>
      <w:r w:rsidR="008C1646">
        <w:t xml:space="preserve"> </w:t>
      </w:r>
      <w:r w:rsidR="008C1646">
        <w:rPr>
          <w:szCs w:val="22"/>
        </w:rPr>
        <w:t>лимит</w:t>
      </w:r>
      <w:r w:rsidR="007D4D90" w:rsidRPr="00D12CE2">
        <w:t xml:space="preserve"> </w:t>
      </w:r>
      <w:r w:rsidR="00AB1DEB">
        <w:t xml:space="preserve">должен был по возможности </w:t>
      </w:r>
      <w:r w:rsidR="00CB108D">
        <w:t>учитывать</w:t>
      </w:r>
      <w:r w:rsidR="00AB1DEB">
        <w:t xml:space="preserve"> расхождения </w:t>
      </w:r>
      <w:r w:rsidR="006E2404" w:rsidRPr="00D12CE2">
        <w:t>между</w:t>
      </w:r>
      <w:r w:rsidR="007D4D90" w:rsidRPr="00D12CE2">
        <w:t xml:space="preserve"> </w:t>
      </w:r>
      <w:r w:rsidR="006E2404" w:rsidRPr="00D12CE2">
        <w:t>прогноз</w:t>
      </w:r>
      <w:r w:rsidR="00AB1DEB">
        <w:t xml:space="preserve">ируемым </w:t>
      </w:r>
      <w:r w:rsidR="006E2404" w:rsidRPr="00D12CE2">
        <w:t>и</w:t>
      </w:r>
      <w:r w:rsidR="007D4D90" w:rsidRPr="00D12CE2">
        <w:t xml:space="preserve"> </w:t>
      </w:r>
      <w:r w:rsidR="006E2404" w:rsidRPr="00D12CE2">
        <w:t>фактически</w:t>
      </w:r>
      <w:r w:rsidR="00AB1DEB">
        <w:t xml:space="preserve">м </w:t>
      </w:r>
      <w:r w:rsidR="00AB1DEB" w:rsidRPr="00D12CE2">
        <w:t>доход</w:t>
      </w:r>
      <w:r w:rsidR="00AB1DEB">
        <w:t>ом</w:t>
      </w:r>
      <w:r w:rsidR="007D4D90" w:rsidRPr="00D12CE2">
        <w:t xml:space="preserve">. </w:t>
      </w:r>
      <w:r w:rsidR="00CB108D">
        <w:t xml:space="preserve">Прежде всего по этой причине </w:t>
      </w:r>
      <w:r w:rsidR="00FA1431">
        <w:t xml:space="preserve">в </w:t>
      </w:r>
      <w:r w:rsidR="00FA1431" w:rsidRPr="00F245C5">
        <w:t>доклад</w:t>
      </w:r>
      <w:r w:rsidR="00FA1431">
        <w:t xml:space="preserve">е </w:t>
      </w:r>
      <w:r w:rsidR="00066872">
        <w:rPr>
          <w:lang w:val="en-US"/>
        </w:rPr>
        <w:t>FTI</w:t>
      </w:r>
      <w:r w:rsidR="00066872" w:rsidRPr="00FA1431">
        <w:t xml:space="preserve"> </w:t>
      </w:r>
      <w:r w:rsidR="00066872">
        <w:rPr>
          <w:lang w:val="en-US"/>
        </w:rPr>
        <w:t>Treasury</w:t>
      </w:r>
      <w:r w:rsidR="007D4D90" w:rsidRPr="00FA1431">
        <w:t xml:space="preserve"> </w:t>
      </w:r>
      <w:r w:rsidR="00CB108D">
        <w:t xml:space="preserve">была высказана </w:t>
      </w:r>
      <w:r w:rsidR="00FA1431">
        <w:t>рекомендация</w:t>
      </w:r>
      <w:r w:rsidR="007D4D90" w:rsidRPr="00FA1431">
        <w:t xml:space="preserve"> </w:t>
      </w:r>
      <w:r w:rsidR="00C553E3" w:rsidRPr="00FA1431">
        <w:t>«</w:t>
      </w:r>
      <w:r w:rsidR="00CB108D">
        <w:t xml:space="preserve">рассчитать </w:t>
      </w:r>
      <w:r w:rsidR="00FA1431">
        <w:t xml:space="preserve">прогнозы движения денежных </w:t>
      </w:r>
      <w:r w:rsidR="00FA1431" w:rsidRPr="00FA1431">
        <w:t>средств</w:t>
      </w:r>
      <w:r w:rsidR="00FA1431">
        <w:t xml:space="preserve"> в валюте</w:t>
      </w:r>
      <w:r w:rsidR="007D4D90" w:rsidRPr="00FA1431">
        <w:t xml:space="preserve"> </w:t>
      </w:r>
      <w:r w:rsidR="00FA1431">
        <w:t xml:space="preserve">для </w:t>
      </w:r>
      <w:r w:rsidR="00CB108D">
        <w:t>рисковых позиций</w:t>
      </w:r>
      <w:r w:rsidR="00FA1431">
        <w:t>, отражаемых в балансовом</w:t>
      </w:r>
      <w:r w:rsidR="006E2404" w:rsidRPr="00FA1431">
        <w:t xml:space="preserve"> отчет</w:t>
      </w:r>
      <w:r w:rsidR="00FA1431">
        <w:t>е</w:t>
      </w:r>
      <w:r w:rsidR="00C553E3" w:rsidRPr="00FA1431">
        <w:t>»</w:t>
      </w:r>
      <w:r w:rsidR="007D4D90" w:rsidRPr="00FA1431">
        <w:t>.</w:t>
      </w:r>
      <w:bookmarkEnd w:id="4"/>
    </w:p>
    <w:p w:rsidR="007D4D90" w:rsidRPr="00FA1431" w:rsidRDefault="00FA1431" w:rsidP="00994A05">
      <w:pPr>
        <w:pStyle w:val="ONUME"/>
        <w:numPr>
          <w:ilvl w:val="0"/>
          <w:numId w:val="16"/>
        </w:numPr>
        <w:ind w:left="0" w:firstLine="0"/>
      </w:pPr>
      <w:r>
        <w:t xml:space="preserve">На своей </w:t>
      </w:r>
      <w:r w:rsidRPr="00FA1431">
        <w:t xml:space="preserve">восьмой </w:t>
      </w:r>
      <w:r>
        <w:t>сессии</w:t>
      </w:r>
      <w:r w:rsidRPr="00FA1431">
        <w:t xml:space="preserve"> </w:t>
      </w:r>
      <w:r>
        <w:t>Рабочая</w:t>
      </w:r>
      <w:r w:rsidR="008A38C8" w:rsidRPr="00FA1431">
        <w:t xml:space="preserve"> группы по </w:t>
      </w:r>
      <w:r w:rsidR="008A38C8">
        <w:rPr>
          <w:lang w:val="en-US"/>
        </w:rPr>
        <w:t>PCT</w:t>
      </w:r>
      <w:r w:rsidR="008A38C8" w:rsidRPr="00FA1431">
        <w:t xml:space="preserve"> согласил</w:t>
      </w:r>
      <w:r>
        <w:t xml:space="preserve">ась с </w:t>
      </w:r>
      <w:r w:rsidR="008A38C8" w:rsidRPr="00FA1431">
        <w:t>предложение</w:t>
      </w:r>
      <w:r>
        <w:t>м, внесенным</w:t>
      </w:r>
      <w:r w:rsidR="008A38C8" w:rsidRPr="00FA1431">
        <w:t xml:space="preserve"> </w:t>
      </w:r>
      <w:r w:rsidR="002A0B71" w:rsidRPr="00FA1431">
        <w:t>Международным бюро</w:t>
      </w:r>
      <w:r w:rsidR="007D4D90" w:rsidRPr="00FA1431">
        <w:t xml:space="preserve"> </w:t>
      </w:r>
      <w:r>
        <w:t xml:space="preserve">и </w:t>
      </w:r>
      <w:r w:rsidR="006E2404" w:rsidRPr="00FA1431">
        <w:t>изложен</w:t>
      </w:r>
      <w:r>
        <w:t>ным</w:t>
      </w:r>
      <w:r w:rsidR="006E2404" w:rsidRPr="00FA1431">
        <w:t xml:space="preserve"> </w:t>
      </w:r>
      <w:r>
        <w:t xml:space="preserve">в </w:t>
      </w:r>
      <w:r w:rsidR="006E2404" w:rsidRPr="00FA1431">
        <w:t>документ</w:t>
      </w:r>
      <w:r>
        <w:t>е</w:t>
      </w:r>
      <w:r w:rsidR="007D4D90" w:rsidRPr="00FA1431">
        <w:t xml:space="preserve"> </w:t>
      </w:r>
      <w:r w:rsidR="007D4D90" w:rsidRPr="00C553E3">
        <w:rPr>
          <w:lang w:val="en-US"/>
        </w:rPr>
        <w:t>PCT</w:t>
      </w:r>
      <w:r w:rsidR="007D4D90" w:rsidRPr="00FA1431">
        <w:t>/</w:t>
      </w:r>
      <w:r w:rsidR="007D4D90" w:rsidRPr="00C553E3">
        <w:rPr>
          <w:lang w:val="en-US"/>
        </w:rPr>
        <w:t>WG</w:t>
      </w:r>
      <w:r w:rsidR="007D4D90" w:rsidRPr="00FA1431">
        <w:t xml:space="preserve">/8/15 </w:t>
      </w:r>
      <w:r>
        <w:t xml:space="preserve">(см. пункт </w:t>
      </w:r>
      <w:r w:rsidR="007D4D90" w:rsidRPr="00FA1431">
        <w:t xml:space="preserve">78 </w:t>
      </w:r>
      <w:r w:rsidR="006E2404" w:rsidRPr="00FA1431">
        <w:t>отчет</w:t>
      </w:r>
      <w:r>
        <w:t>а о</w:t>
      </w:r>
      <w:r w:rsidR="007D4D90" w:rsidRPr="00FA1431">
        <w:t xml:space="preserve"> </w:t>
      </w:r>
      <w:r w:rsidR="008A38C8" w:rsidRPr="00FA1431">
        <w:t>сессии</w:t>
      </w:r>
      <w:r w:rsidR="007D4D90" w:rsidRPr="00FA1431">
        <w:t xml:space="preserve">, </w:t>
      </w:r>
      <w:r w:rsidR="006E2404" w:rsidRPr="00FA1431">
        <w:t>документ</w:t>
      </w:r>
      <w:r w:rsidR="007D4D90" w:rsidRPr="00FA1431">
        <w:t xml:space="preserve"> </w:t>
      </w:r>
      <w:r w:rsidR="007D4D90" w:rsidRPr="00C553E3">
        <w:rPr>
          <w:lang w:val="en-US"/>
        </w:rPr>
        <w:t>PCT</w:t>
      </w:r>
      <w:r w:rsidR="007D4D90" w:rsidRPr="00FA1431">
        <w:t>/</w:t>
      </w:r>
      <w:r w:rsidR="007D4D90" w:rsidRPr="00C553E3">
        <w:rPr>
          <w:lang w:val="en-US"/>
        </w:rPr>
        <w:t>WG</w:t>
      </w:r>
      <w:r w:rsidR="007D4D90" w:rsidRPr="00FA1431">
        <w:t xml:space="preserve">/8/26) </w:t>
      </w:r>
      <w:r w:rsidR="00CB108D">
        <w:t xml:space="preserve">с целью </w:t>
      </w:r>
      <w:r>
        <w:t xml:space="preserve">его вынесения на </w:t>
      </w:r>
      <w:r>
        <w:rPr>
          <w:szCs w:val="22"/>
        </w:rPr>
        <w:t>рассмотрени</w:t>
      </w:r>
      <w:r w:rsidR="00CB108D">
        <w:t>е Ассамблеи</w:t>
      </w:r>
      <w:r w:rsidR="007D4D90" w:rsidRPr="00FA1431">
        <w:t xml:space="preserve"> </w:t>
      </w:r>
      <w:r>
        <w:t>на ее октябрьской</w:t>
      </w:r>
      <w:r w:rsidR="007D4D90" w:rsidRPr="00C553E3">
        <w:rPr>
          <w:lang w:val="en-US"/>
        </w:rPr>
        <w:t> </w:t>
      </w:r>
      <w:r>
        <w:t xml:space="preserve">сессии </w:t>
      </w:r>
      <w:r w:rsidRPr="00FA1431">
        <w:t xml:space="preserve">2015 </w:t>
      </w:r>
      <w:r>
        <w:t>г</w:t>
      </w:r>
      <w:r w:rsidR="007D4D90" w:rsidRPr="00FA1431">
        <w:t>.</w:t>
      </w:r>
    </w:p>
    <w:p w:rsidR="007D4D90" w:rsidRPr="00E675C0" w:rsidRDefault="00FA1431" w:rsidP="00A143E8">
      <w:pPr>
        <w:pStyle w:val="ONUME"/>
        <w:numPr>
          <w:ilvl w:val="0"/>
          <w:numId w:val="16"/>
        </w:numPr>
        <w:ind w:left="0" w:firstLine="0"/>
      </w:pPr>
      <w:r>
        <w:t>До октябрьской</w:t>
      </w:r>
      <w:r w:rsidRPr="00C553E3">
        <w:rPr>
          <w:lang w:val="en-US"/>
        </w:rPr>
        <w:t> </w:t>
      </w:r>
      <w:r>
        <w:t xml:space="preserve">сессии </w:t>
      </w:r>
      <w:r w:rsidRPr="00FA1431">
        <w:t xml:space="preserve">2015 </w:t>
      </w:r>
      <w:r>
        <w:t>г</w:t>
      </w:r>
      <w:r w:rsidRPr="00FA1431">
        <w:t>.</w:t>
      </w:r>
      <w:r w:rsidR="007D4D90" w:rsidRPr="00FA1431">
        <w:t xml:space="preserve"> </w:t>
      </w:r>
      <w:r>
        <w:t xml:space="preserve">Ассамблеи РСТ </w:t>
      </w:r>
      <w:r w:rsidR="008A38C8" w:rsidRPr="00FA1431">
        <w:t xml:space="preserve">Международное бюро </w:t>
      </w:r>
      <w:r w:rsidR="004B546F">
        <w:t xml:space="preserve">подготовило </w:t>
      </w:r>
      <w:r w:rsidR="008A38C8" w:rsidRPr="00FA1431">
        <w:t>обнов</w:t>
      </w:r>
      <w:r w:rsidR="004B546F">
        <w:t xml:space="preserve">ленные </w:t>
      </w:r>
      <w:r w:rsidR="004B546F">
        <w:rPr>
          <w:snapToGrid w:val="0"/>
        </w:rPr>
        <w:t>данн</w:t>
      </w:r>
      <w:r w:rsidR="004B546F">
        <w:t>ые</w:t>
      </w:r>
      <w:r w:rsidR="008A38C8" w:rsidRPr="00FA1431">
        <w:t xml:space="preserve"> о ходе реализации</w:t>
      </w:r>
      <w:r w:rsidR="007D4D90" w:rsidRPr="00FA1431">
        <w:t xml:space="preserve"> </w:t>
      </w:r>
      <w:r>
        <w:t>предлагаемой</w:t>
      </w:r>
      <w:r w:rsidR="006E2404" w:rsidRPr="00FA1431">
        <w:t xml:space="preserve"> </w:t>
      </w:r>
      <w:r>
        <w:t>стратегии хеджирования</w:t>
      </w:r>
      <w:r w:rsidR="007D4D90" w:rsidRPr="00FA1431">
        <w:t xml:space="preserve"> </w:t>
      </w:r>
      <w:r>
        <w:t>доход</w:t>
      </w:r>
      <w:r w:rsidRPr="00FA1431">
        <w:t xml:space="preserve">ов в виде пошлин РСТ </w:t>
      </w:r>
      <w:r w:rsidR="004B546F">
        <w:t xml:space="preserve">для </w:t>
      </w:r>
      <w:r w:rsidR="006E2404" w:rsidRPr="00FA1431">
        <w:t>двадцать</w:t>
      </w:r>
      <w:r>
        <w:t xml:space="preserve"> </w:t>
      </w:r>
      <w:r w:rsidR="008A38C8" w:rsidRPr="00FA1431">
        <w:t>четвертой</w:t>
      </w:r>
      <w:r w:rsidR="007D4D90" w:rsidRPr="00FA1431">
        <w:t xml:space="preserve"> </w:t>
      </w:r>
      <w:r>
        <w:t>сессии</w:t>
      </w:r>
      <w:r w:rsidR="007D4D90" w:rsidRPr="00FA1431" w:rsidDel="00A5769B">
        <w:t xml:space="preserve"> </w:t>
      </w:r>
      <w:r w:rsidR="008A38C8" w:rsidRPr="00FA1431">
        <w:t>Комитет</w:t>
      </w:r>
      <w:r>
        <w:t>а</w:t>
      </w:r>
      <w:r w:rsidR="008A38C8" w:rsidRPr="00FA1431">
        <w:t xml:space="preserve"> по программе и бюджету</w:t>
      </w:r>
      <w:r w:rsidR="007D4D90" w:rsidRPr="00FA1431">
        <w:t xml:space="preserve"> (</w:t>
      </w:r>
      <w:r w:rsidR="008A38C8" w:rsidRPr="00FA1431">
        <w:t>КПБ</w:t>
      </w:r>
      <w:r w:rsidR="007D4D90" w:rsidRPr="00FA1431">
        <w:t xml:space="preserve">), </w:t>
      </w:r>
      <w:r w:rsidR="008A38C8" w:rsidRPr="00FA1431">
        <w:t xml:space="preserve">состоявшейся </w:t>
      </w:r>
      <w:r>
        <w:t>14-</w:t>
      </w:r>
      <w:r w:rsidR="007D4D90" w:rsidRPr="00FA1431">
        <w:t>18</w:t>
      </w:r>
      <w:r>
        <w:t xml:space="preserve"> </w:t>
      </w:r>
      <w:r w:rsidRPr="00FA1431">
        <w:t>сентября</w:t>
      </w:r>
      <w:r w:rsidRPr="00C553E3">
        <w:rPr>
          <w:lang w:val="en-US"/>
        </w:rPr>
        <w:t> </w:t>
      </w:r>
      <w:r w:rsidR="007D4D90" w:rsidRPr="00FA1431">
        <w:t>2015</w:t>
      </w:r>
      <w:r>
        <w:t> г.</w:t>
      </w:r>
      <w:r w:rsidR="00F46777">
        <w:t xml:space="preserve"> (</w:t>
      </w:r>
      <w:r w:rsidR="006E2404" w:rsidRPr="00FA1431">
        <w:t>документ</w:t>
      </w:r>
      <w:r w:rsidR="007D4D90" w:rsidRPr="00FA1431">
        <w:t xml:space="preserve"> </w:t>
      </w:r>
      <w:r w:rsidR="007D4D90" w:rsidRPr="00C553E3">
        <w:rPr>
          <w:lang w:val="en-US"/>
        </w:rPr>
        <w:t>WO</w:t>
      </w:r>
      <w:r w:rsidR="007D4D90" w:rsidRPr="00FA1431">
        <w:t>/</w:t>
      </w:r>
      <w:r w:rsidR="008A38C8">
        <w:rPr>
          <w:lang w:val="en-US"/>
        </w:rPr>
        <w:t>PBC</w:t>
      </w:r>
      <w:r w:rsidR="007D4D90" w:rsidRPr="00FA1431">
        <w:t>/24/</w:t>
      </w:r>
      <w:r w:rsidR="007D4D90" w:rsidRPr="00C553E3">
        <w:rPr>
          <w:lang w:val="en-US"/>
        </w:rPr>
        <w:t>INF</w:t>
      </w:r>
      <w:r w:rsidR="007D4D90" w:rsidRPr="00FA1431">
        <w:t>.3</w:t>
      </w:r>
      <w:r w:rsidR="00F46777">
        <w:t>)</w:t>
      </w:r>
      <w:r w:rsidR="007D4D90" w:rsidRPr="00FA1431">
        <w:t xml:space="preserve">.  </w:t>
      </w:r>
      <w:r w:rsidR="00F46777">
        <w:t xml:space="preserve">В </w:t>
      </w:r>
      <w:r w:rsidR="00F46777" w:rsidRPr="00FA1431">
        <w:t>д</w:t>
      </w:r>
      <w:r w:rsidR="006E2404" w:rsidRPr="00FA1431">
        <w:t>окумент</w:t>
      </w:r>
      <w:r w:rsidR="00F46777">
        <w:t>е</w:t>
      </w:r>
      <w:r w:rsidR="007D4D90" w:rsidRPr="00FA1431">
        <w:t xml:space="preserve"> </w:t>
      </w:r>
      <w:r w:rsidR="00F46777" w:rsidRPr="00F46777">
        <w:t>WO</w:t>
      </w:r>
      <w:r w:rsidR="00F46777" w:rsidRPr="00FA1431">
        <w:t>/</w:t>
      </w:r>
      <w:r w:rsidR="00F46777" w:rsidRPr="00F46777">
        <w:t>PBC</w:t>
      </w:r>
      <w:r w:rsidR="00F46777" w:rsidRPr="00FA1431">
        <w:t>/</w:t>
      </w:r>
      <w:r w:rsidR="007D4D90" w:rsidRPr="00FA1431">
        <w:t>24/</w:t>
      </w:r>
      <w:r w:rsidR="007D4D90" w:rsidRPr="00C553E3">
        <w:rPr>
          <w:lang w:val="en-US"/>
        </w:rPr>
        <w:t>INF</w:t>
      </w:r>
      <w:r w:rsidR="007D4D90" w:rsidRPr="00FA1431">
        <w:t xml:space="preserve">.3 </w:t>
      </w:r>
      <w:r w:rsidR="004B546F">
        <w:t xml:space="preserve">отмечался </w:t>
      </w:r>
      <w:r w:rsidR="00F46777">
        <w:t>ряд рисков, связанных с этой стратегией,</w:t>
      </w:r>
      <w:r w:rsidR="007D4D90" w:rsidRPr="00FA1431">
        <w:t xml:space="preserve"> </w:t>
      </w:r>
      <w:r w:rsidR="006E2404" w:rsidRPr="00FA1431">
        <w:t>и</w:t>
      </w:r>
      <w:r w:rsidR="007D4D90" w:rsidRPr="00FA1431">
        <w:t xml:space="preserve"> </w:t>
      </w:r>
      <w:r w:rsidR="00F46777">
        <w:t xml:space="preserve">вопросов, вызывающих </w:t>
      </w:r>
      <w:r w:rsidR="006E2404" w:rsidRPr="00FA1431">
        <w:t>озабоченность</w:t>
      </w:r>
      <w:r w:rsidR="007D4D90" w:rsidRPr="00FA1431">
        <w:t xml:space="preserve">, </w:t>
      </w:r>
      <w:r w:rsidR="00F46777">
        <w:t xml:space="preserve">которые, по мнению </w:t>
      </w:r>
      <w:r w:rsidR="008A38C8" w:rsidRPr="00FA1431">
        <w:t>Секретариата</w:t>
      </w:r>
      <w:r w:rsidR="007D4D90" w:rsidRPr="00FA1431">
        <w:t xml:space="preserve">, </w:t>
      </w:r>
      <w:r w:rsidR="00F46777">
        <w:t>треб</w:t>
      </w:r>
      <w:r w:rsidR="004B546F">
        <w:t xml:space="preserve">уют </w:t>
      </w:r>
      <w:r w:rsidR="006E2404" w:rsidRPr="00FA1431">
        <w:t>дальнейш</w:t>
      </w:r>
      <w:r w:rsidR="00F46777">
        <w:t>его</w:t>
      </w:r>
      <w:r w:rsidR="007D4D90" w:rsidRPr="00FA1431">
        <w:t xml:space="preserve"> </w:t>
      </w:r>
      <w:r w:rsidR="00F46777">
        <w:t>исследования</w:t>
      </w:r>
      <w:r w:rsidR="006E2404" w:rsidRPr="00FA1431">
        <w:t xml:space="preserve"> и</w:t>
      </w:r>
      <w:r w:rsidR="007D4D90" w:rsidRPr="00FA1431">
        <w:t xml:space="preserve"> </w:t>
      </w:r>
      <w:r w:rsidR="006E2404" w:rsidRPr="00FA1431">
        <w:t>обстоятельн</w:t>
      </w:r>
      <w:r w:rsidR="00F46777" w:rsidRPr="00F46777">
        <w:t>ого</w:t>
      </w:r>
      <w:r w:rsidR="006E2404" w:rsidRPr="00FA1431">
        <w:t xml:space="preserve"> анализ</w:t>
      </w:r>
      <w:r w:rsidR="00F46777">
        <w:t>а</w:t>
      </w:r>
      <w:r w:rsidR="007D4D90" w:rsidRPr="00FA1431">
        <w:t xml:space="preserve"> </w:t>
      </w:r>
      <w:r w:rsidR="00F46777">
        <w:t xml:space="preserve">до принятия </w:t>
      </w:r>
      <w:r w:rsidR="006E2404" w:rsidRPr="00FA1431">
        <w:t>конкретн</w:t>
      </w:r>
      <w:r w:rsidR="00F46777">
        <w:t>ой</w:t>
      </w:r>
      <w:r w:rsidR="006E2404" w:rsidRPr="00FA1431">
        <w:t xml:space="preserve"> </w:t>
      </w:r>
      <w:r w:rsidRPr="00FA1431">
        <w:t>стратегии хеджирования</w:t>
      </w:r>
      <w:r w:rsidR="007D4D90" w:rsidRPr="00FA1431">
        <w:t xml:space="preserve"> </w:t>
      </w:r>
      <w:r w:rsidR="006E2404" w:rsidRPr="00FA1431">
        <w:t>и</w:t>
      </w:r>
      <w:r w:rsidR="007D4D90" w:rsidRPr="00FA1431">
        <w:t xml:space="preserve"> </w:t>
      </w:r>
      <w:r w:rsidR="004B546F">
        <w:t xml:space="preserve">установления </w:t>
      </w:r>
      <w:r w:rsidR="00F46777">
        <w:t xml:space="preserve">договорных отношений </w:t>
      </w:r>
      <w:r w:rsidR="006E2404" w:rsidRPr="00FA1431">
        <w:t>с</w:t>
      </w:r>
      <w:r w:rsidR="007D4D90" w:rsidRPr="00FA1431">
        <w:t xml:space="preserve"> </w:t>
      </w:r>
      <w:r w:rsidR="00F46777">
        <w:t>контрагентами по хеджированию</w:t>
      </w:r>
      <w:r w:rsidR="00E675C0">
        <w:t xml:space="preserve">. В </w:t>
      </w:r>
      <w:r w:rsidR="006E2404" w:rsidRPr="00E675C0">
        <w:t>документ</w:t>
      </w:r>
      <w:r w:rsidR="00E675C0">
        <w:t>е</w:t>
      </w:r>
      <w:r w:rsidR="007D4D90" w:rsidRPr="00E675C0">
        <w:t xml:space="preserve"> </w:t>
      </w:r>
      <w:r w:rsidR="00E675C0">
        <w:t>отмечалось</w:t>
      </w:r>
      <w:r w:rsidR="008A38C8" w:rsidRPr="00E675C0">
        <w:t xml:space="preserve">, что </w:t>
      </w:r>
      <w:r w:rsidR="00E675C0">
        <w:t>такая</w:t>
      </w:r>
      <w:r w:rsidR="006E2404" w:rsidRPr="00E675C0">
        <w:t xml:space="preserve"> </w:t>
      </w:r>
      <w:r w:rsidR="008A38C8" w:rsidRPr="00E675C0">
        <w:t>работа</w:t>
      </w:r>
      <w:r w:rsidR="007D4D90" w:rsidRPr="00E675C0">
        <w:t xml:space="preserve"> </w:t>
      </w:r>
      <w:r w:rsidR="00E675C0">
        <w:t>потребует времени</w:t>
      </w:r>
      <w:r w:rsidR="007D4D90" w:rsidRPr="00E675C0">
        <w:t xml:space="preserve"> </w:t>
      </w:r>
      <w:r w:rsidR="006E2404" w:rsidRPr="00E675C0">
        <w:t>и</w:t>
      </w:r>
      <w:r w:rsidR="007D4D90" w:rsidRPr="00E675C0">
        <w:t xml:space="preserve"> </w:t>
      </w:r>
      <w:r w:rsidR="006E2404" w:rsidRPr="00E675C0">
        <w:t>ресурсов</w:t>
      </w:r>
      <w:r w:rsidR="00E675C0">
        <w:t>,</w:t>
      </w:r>
      <w:r w:rsidR="007D4D90" w:rsidRPr="00E675C0">
        <w:t xml:space="preserve"> </w:t>
      </w:r>
      <w:r w:rsidR="006E2404" w:rsidRPr="00E675C0">
        <w:t>и</w:t>
      </w:r>
      <w:r w:rsidR="007D4D90" w:rsidRPr="00E675C0">
        <w:t xml:space="preserve"> </w:t>
      </w:r>
      <w:r w:rsidR="00E675C0">
        <w:t>что</w:t>
      </w:r>
      <w:r w:rsidR="004B546F">
        <w:t xml:space="preserve"> ввиду сложности</w:t>
      </w:r>
      <w:r w:rsidR="004B546F" w:rsidRPr="00E675C0">
        <w:t xml:space="preserve"> </w:t>
      </w:r>
      <w:r w:rsidR="004B546F">
        <w:t>возникающих вопросов</w:t>
      </w:r>
      <w:r w:rsidR="00E675C0">
        <w:t xml:space="preserve"> </w:t>
      </w:r>
      <w:r w:rsidR="006E2404" w:rsidRPr="00E675C0">
        <w:t>время</w:t>
      </w:r>
      <w:r w:rsidR="007D4D90" w:rsidRPr="00E675C0">
        <w:t xml:space="preserve"> </w:t>
      </w:r>
      <w:r w:rsidR="004B546F">
        <w:t xml:space="preserve">на ее </w:t>
      </w:r>
      <w:r w:rsidR="004B546F" w:rsidRPr="004B546F">
        <w:t>выполнени</w:t>
      </w:r>
      <w:r w:rsidR="004B546F">
        <w:t xml:space="preserve">е </w:t>
      </w:r>
      <w:r w:rsidR="00E675C0">
        <w:t xml:space="preserve">может оказаться значительным. Далее в </w:t>
      </w:r>
      <w:r w:rsidR="006E2404" w:rsidRPr="00E675C0">
        <w:t>документ</w:t>
      </w:r>
      <w:r w:rsidR="00E675C0">
        <w:t xml:space="preserve">е </w:t>
      </w:r>
      <w:r w:rsidR="004B546F">
        <w:t>говорилось</w:t>
      </w:r>
      <w:r w:rsidR="00E675C0">
        <w:t xml:space="preserve">, что </w:t>
      </w:r>
      <w:r w:rsidR="006E2404" w:rsidRPr="00E675C0">
        <w:t>если</w:t>
      </w:r>
      <w:r w:rsidR="007D4D90" w:rsidRPr="00E675C0">
        <w:t xml:space="preserve"> </w:t>
      </w:r>
      <w:r w:rsidR="00E675C0">
        <w:t>стратегия</w:t>
      </w:r>
      <w:r w:rsidRPr="00E675C0">
        <w:t xml:space="preserve"> хеджирования</w:t>
      </w:r>
      <w:r w:rsidR="007D4D90" w:rsidRPr="00E675C0">
        <w:t xml:space="preserve"> </w:t>
      </w:r>
      <w:r w:rsidR="00E675C0">
        <w:t xml:space="preserve">будет </w:t>
      </w:r>
      <w:r w:rsidR="004B546F">
        <w:t xml:space="preserve">введена </w:t>
      </w:r>
      <w:r w:rsidR="006E2404" w:rsidRPr="00E675C0">
        <w:t>без</w:t>
      </w:r>
      <w:r w:rsidR="007D4D90" w:rsidRPr="00E675C0">
        <w:t xml:space="preserve"> </w:t>
      </w:r>
      <w:r w:rsidR="004B546F">
        <w:t>предварительного</w:t>
      </w:r>
      <w:r w:rsidR="004B56EF">
        <w:t xml:space="preserve"> ограничения</w:t>
      </w:r>
      <w:r w:rsidR="007D4D90" w:rsidRPr="00E675C0">
        <w:t xml:space="preserve"> </w:t>
      </w:r>
      <w:r w:rsidR="004B56EF">
        <w:t>рисков, связанных с указанными вопросами</w:t>
      </w:r>
      <w:r w:rsidR="007D4D90" w:rsidRPr="00E675C0">
        <w:t xml:space="preserve">, </w:t>
      </w:r>
      <w:r w:rsidR="004B546F">
        <w:t xml:space="preserve">Организация </w:t>
      </w:r>
      <w:r w:rsidR="004B56EF">
        <w:t>мо</w:t>
      </w:r>
      <w:r w:rsidR="004B546F">
        <w:t xml:space="preserve">жет понести </w:t>
      </w:r>
      <w:r w:rsidR="006E2404" w:rsidRPr="00E675C0">
        <w:t>значительн</w:t>
      </w:r>
      <w:r w:rsidR="004B546F">
        <w:t>ые финансовые</w:t>
      </w:r>
      <w:r w:rsidR="004B546F" w:rsidRPr="00E675C0">
        <w:t xml:space="preserve"> </w:t>
      </w:r>
      <w:r w:rsidR="004B546F">
        <w:t>затраты</w:t>
      </w:r>
      <w:r w:rsidR="007D4D90" w:rsidRPr="00E675C0">
        <w:t>.</w:t>
      </w:r>
    </w:p>
    <w:p w:rsidR="007D4D90" w:rsidRPr="004B56EF" w:rsidRDefault="004B546F" w:rsidP="00A143E8">
      <w:pPr>
        <w:pStyle w:val="ONUME"/>
        <w:numPr>
          <w:ilvl w:val="0"/>
          <w:numId w:val="16"/>
        </w:numPr>
        <w:ind w:left="0" w:firstLine="0"/>
      </w:pPr>
      <w:r>
        <w:rPr>
          <w:szCs w:val="22"/>
        </w:rPr>
        <w:t>Рассмотрев</w:t>
      </w:r>
      <w:r w:rsidR="004B56EF">
        <w:t xml:space="preserve"> </w:t>
      </w:r>
      <w:r>
        <w:t>документ,</w:t>
      </w:r>
      <w:r w:rsidR="004B56EF">
        <w:t xml:space="preserve"> </w:t>
      </w:r>
      <w:r w:rsidR="008A38C8" w:rsidRPr="004B56EF">
        <w:t xml:space="preserve">КПБ </w:t>
      </w:r>
      <w:r w:rsidR="004B56EF">
        <w:t>принял следующую</w:t>
      </w:r>
      <w:r w:rsidR="007D4D90" w:rsidRPr="004B56EF">
        <w:t xml:space="preserve"> </w:t>
      </w:r>
      <w:r w:rsidR="004B56EF">
        <w:t>рекомендацию</w:t>
      </w:r>
      <w:r w:rsidR="007D4D90" w:rsidRPr="004B56EF">
        <w:t xml:space="preserve"> </w:t>
      </w:r>
      <w:r w:rsidR="004B56EF">
        <w:t>Ассамблее</w:t>
      </w:r>
      <w:r w:rsidR="008A38C8" w:rsidRPr="004B56EF">
        <w:t xml:space="preserve"> РСТ</w:t>
      </w:r>
      <w:r w:rsidR="004B56EF">
        <w:t xml:space="preserve"> </w:t>
      </w:r>
      <w:r w:rsidR="007D4D90" w:rsidRPr="004B56EF">
        <w:t>(</w:t>
      </w:r>
      <w:r w:rsidR="006E2404" w:rsidRPr="004B56EF">
        <w:t>см.</w:t>
      </w:r>
      <w:r w:rsidR="007D4D90" w:rsidRPr="004B56EF">
        <w:t xml:space="preserve"> </w:t>
      </w:r>
      <w:r w:rsidR="006E2404" w:rsidRPr="004B56EF">
        <w:t>документ</w:t>
      </w:r>
      <w:r w:rsidR="007D4D90" w:rsidRPr="004B56EF">
        <w:t xml:space="preserve"> </w:t>
      </w:r>
      <w:r w:rsidR="00F46777">
        <w:rPr>
          <w:lang w:val="en-US"/>
        </w:rPr>
        <w:t>WO</w:t>
      </w:r>
      <w:r w:rsidR="00F46777" w:rsidRPr="004B56EF">
        <w:t>/</w:t>
      </w:r>
      <w:r w:rsidR="00F46777">
        <w:rPr>
          <w:lang w:val="en-US"/>
        </w:rPr>
        <w:t>PBC</w:t>
      </w:r>
      <w:r w:rsidR="00F46777" w:rsidRPr="004B56EF">
        <w:t>/</w:t>
      </w:r>
      <w:r w:rsidR="007D4D90" w:rsidRPr="004B56EF">
        <w:t xml:space="preserve">24/17, </w:t>
      </w:r>
      <w:r>
        <w:t xml:space="preserve">обсуждавшийся </w:t>
      </w:r>
      <w:r w:rsidR="004B56EF">
        <w:t xml:space="preserve">в рамках </w:t>
      </w:r>
      <w:r w:rsidR="004B56EF" w:rsidRPr="004B56EF">
        <w:t>п</w:t>
      </w:r>
      <w:r w:rsidR="008A38C8" w:rsidRPr="004B56EF">
        <w:t>ункт</w:t>
      </w:r>
      <w:r w:rsidR="004B56EF">
        <w:t>а</w:t>
      </w:r>
      <w:r w:rsidR="008A38C8" w:rsidRPr="004B56EF">
        <w:t xml:space="preserve"> </w:t>
      </w:r>
      <w:r w:rsidR="004B56EF" w:rsidRPr="004B56EF">
        <w:t>10</w:t>
      </w:r>
      <w:r w:rsidR="004B56EF">
        <w:t xml:space="preserve"> </w:t>
      </w:r>
      <w:r w:rsidR="008A38C8" w:rsidRPr="004B56EF">
        <w:t>повестки дня</w:t>
      </w:r>
      <w:r w:rsidR="007D4D90" w:rsidRPr="004B56EF">
        <w:t>):</w:t>
      </w:r>
    </w:p>
    <w:p w:rsidR="007D4D90" w:rsidRPr="00C17FAA" w:rsidRDefault="00C553E3" w:rsidP="00A143E8">
      <w:pPr>
        <w:pStyle w:val="ONUME"/>
        <w:numPr>
          <w:ilvl w:val="0"/>
          <w:numId w:val="0"/>
        </w:numPr>
        <w:ind w:left="567"/>
      </w:pPr>
      <w:r w:rsidRPr="00C17FAA">
        <w:t>«</w:t>
      </w:r>
      <w:r w:rsidR="004B546F">
        <w:t xml:space="preserve">Что касается </w:t>
      </w:r>
      <w:r w:rsidR="00C17FAA" w:rsidRPr="00C17FAA">
        <w:t xml:space="preserve">рекомендации Рабочей группы по РСТ, содержащейся в документе </w:t>
      </w:r>
      <w:r w:rsidR="00C17FAA" w:rsidRPr="00C17FAA">
        <w:rPr>
          <w:lang w:val="en-US"/>
        </w:rPr>
        <w:t>PCT</w:t>
      </w:r>
      <w:r w:rsidR="00C17FAA" w:rsidRPr="00C17FAA">
        <w:t>/</w:t>
      </w:r>
      <w:r w:rsidR="00C17FAA" w:rsidRPr="00C17FAA">
        <w:rPr>
          <w:lang w:val="en-US"/>
        </w:rPr>
        <w:t>WG</w:t>
      </w:r>
      <w:r w:rsidR="00C17FAA" w:rsidRPr="00C17FAA">
        <w:t xml:space="preserve">/8/15, Комитет по программе и бюджету (КПБ) был проинформирован </w:t>
      </w:r>
      <w:r w:rsidR="004B546F">
        <w:t>в документе</w:t>
      </w:r>
      <w:r w:rsidR="00C17FAA" w:rsidRPr="00C17FAA">
        <w:t xml:space="preserve"> </w:t>
      </w:r>
      <w:r w:rsidR="00F46777">
        <w:rPr>
          <w:lang w:val="en-US"/>
        </w:rPr>
        <w:t>WO</w:t>
      </w:r>
      <w:r w:rsidR="00F46777" w:rsidRPr="00F46777">
        <w:t>/</w:t>
      </w:r>
      <w:r w:rsidR="00F46777">
        <w:rPr>
          <w:lang w:val="en-US"/>
        </w:rPr>
        <w:t>PBC</w:t>
      </w:r>
      <w:r w:rsidR="00F46777" w:rsidRPr="00F46777">
        <w:t>/</w:t>
      </w:r>
      <w:r w:rsidR="00C17FAA" w:rsidRPr="00C17FAA">
        <w:t>24/</w:t>
      </w:r>
      <w:r w:rsidR="00C17FAA" w:rsidRPr="00C17FAA">
        <w:rPr>
          <w:lang w:val="en-US"/>
        </w:rPr>
        <w:t>INF</w:t>
      </w:r>
      <w:r w:rsidR="00C17FAA" w:rsidRPr="00C17FAA">
        <w:t xml:space="preserve">.3 о ряде </w:t>
      </w:r>
      <w:r w:rsidR="004B546F">
        <w:t>вопросов</w:t>
      </w:r>
      <w:r w:rsidR="00C17FAA" w:rsidRPr="00C17FAA">
        <w:t xml:space="preserve">, </w:t>
      </w:r>
      <w:r w:rsidR="004B546F">
        <w:t>возникающих в связи</w:t>
      </w:r>
      <w:r w:rsidR="00C17FAA" w:rsidRPr="00C17FAA">
        <w:t xml:space="preserve"> с реализацией </w:t>
      </w:r>
      <w:r w:rsidR="00C17FAA" w:rsidRPr="00C17FAA">
        <w:lastRenderedPageBreak/>
        <w:t xml:space="preserve">стратегии хеджирования доходов </w:t>
      </w:r>
      <w:r w:rsidR="00C17FAA" w:rsidRPr="00C17FAA">
        <w:rPr>
          <w:lang w:val="en-US"/>
        </w:rPr>
        <w:t>PCT</w:t>
      </w:r>
      <w:r w:rsidR="00C17FAA" w:rsidRPr="00C17FAA">
        <w:t xml:space="preserve"> в виде пошлин. После внимательного рассмотрения изложенных в этом документе </w:t>
      </w:r>
      <w:r w:rsidR="004B546F">
        <w:t>вопросов</w:t>
      </w:r>
      <w:r w:rsidR="00C17FAA" w:rsidRPr="00C17FAA">
        <w:t xml:space="preserve"> КПБ рекомендовал Ассамблее Союза РСТ: </w:t>
      </w:r>
    </w:p>
    <w:p w:rsidR="007D4D90" w:rsidRPr="00C17FAA" w:rsidRDefault="007D4D90" w:rsidP="00A143E8">
      <w:pPr>
        <w:pStyle w:val="ONUME"/>
        <w:numPr>
          <w:ilvl w:val="0"/>
          <w:numId w:val="0"/>
        </w:numPr>
        <w:ind w:left="1134"/>
      </w:pPr>
      <w:r w:rsidRPr="00C17FAA">
        <w:t>(</w:t>
      </w:r>
      <w:r w:rsidRPr="00C553E3">
        <w:rPr>
          <w:lang w:val="en-US"/>
        </w:rPr>
        <w:t>i</w:t>
      </w:r>
      <w:r w:rsidRPr="00C17FAA">
        <w:t>)</w:t>
      </w:r>
      <w:r w:rsidRPr="00C17FAA">
        <w:tab/>
      </w:r>
      <w:r w:rsidR="00C17FAA" w:rsidRPr="00DC7FA6">
        <w:t>предоставить Секретариату дополнительное время для проведения дальнейшего всестороннего анализа этих проблем в целях надлежащей оценки всех задач, связанных с реализацией такой стратегии хеджирования; и, как следствие</w:t>
      </w:r>
      <w:r w:rsidR="00C17FAA" w:rsidRPr="00C17FAA">
        <w:t xml:space="preserve">, </w:t>
      </w:r>
    </w:p>
    <w:p w:rsidR="007D4D90" w:rsidRPr="00DC7FA6" w:rsidRDefault="007D4D90" w:rsidP="00A143E8">
      <w:pPr>
        <w:pStyle w:val="ONUME"/>
        <w:numPr>
          <w:ilvl w:val="0"/>
          <w:numId w:val="0"/>
        </w:numPr>
        <w:ind w:left="1134"/>
      </w:pPr>
      <w:r w:rsidRPr="00DC7FA6">
        <w:t>(</w:t>
      </w:r>
      <w:r w:rsidRPr="00C553E3">
        <w:rPr>
          <w:lang w:val="en-US"/>
        </w:rPr>
        <w:t>ii</w:t>
      </w:r>
      <w:r w:rsidRPr="00DC7FA6">
        <w:t>)</w:t>
      </w:r>
      <w:r w:rsidRPr="00DC7FA6">
        <w:tab/>
      </w:r>
      <w:r w:rsidR="00DC7FA6" w:rsidRPr="00DC7FA6">
        <w:t>отложить принятие своего решения в отношении вышеуказанной рекомендации до завершения такого анализа.</w:t>
      </w:r>
      <w:r w:rsidR="00C553E3" w:rsidRPr="00DC7FA6">
        <w:t>»</w:t>
      </w:r>
    </w:p>
    <w:p w:rsidR="007D4D90" w:rsidRPr="006E2404" w:rsidRDefault="004D2EF3" w:rsidP="00A143E8">
      <w:pPr>
        <w:pStyle w:val="ONUME"/>
        <w:numPr>
          <w:ilvl w:val="0"/>
          <w:numId w:val="16"/>
        </w:numPr>
        <w:ind w:left="0" w:firstLine="0"/>
      </w:pPr>
      <w:r w:rsidRPr="004D2EF3">
        <w:t xml:space="preserve">Принимая во внимание </w:t>
      </w:r>
      <w:r w:rsidR="004B56EF">
        <w:rPr>
          <w:snapToGrid w:val="0"/>
        </w:rPr>
        <w:t>данн</w:t>
      </w:r>
      <w:r>
        <w:t>ую рекомендацию</w:t>
      </w:r>
      <w:r w:rsidR="007D4D90" w:rsidRPr="006E2404">
        <w:t xml:space="preserve"> </w:t>
      </w:r>
      <w:r w:rsidR="008A38C8" w:rsidRPr="006E2404">
        <w:t>КПБ</w:t>
      </w:r>
      <w:r>
        <w:t>,</w:t>
      </w:r>
      <w:r w:rsidR="007D4D90" w:rsidRPr="006E2404">
        <w:t xml:space="preserve"> </w:t>
      </w:r>
      <w:r w:rsidR="008A38C8" w:rsidRPr="006E2404">
        <w:t xml:space="preserve">Ассамблея РСТ </w:t>
      </w:r>
      <w:r w:rsidR="004B56EF">
        <w:t xml:space="preserve">приняла </w:t>
      </w:r>
      <w:r>
        <w:t xml:space="preserve">на </w:t>
      </w:r>
      <w:r w:rsidRPr="006E2404">
        <w:t>своей сорок</w:t>
      </w:r>
      <w:r>
        <w:t xml:space="preserve"> </w:t>
      </w:r>
      <w:r w:rsidRPr="006E2404">
        <w:t xml:space="preserve">седьмой </w:t>
      </w:r>
      <w:r>
        <w:t>сессии в октябре</w:t>
      </w:r>
      <w:r w:rsidRPr="006E2404">
        <w:t xml:space="preserve"> 2015</w:t>
      </w:r>
      <w:r>
        <w:t xml:space="preserve"> г. </w:t>
      </w:r>
      <w:r w:rsidR="004B56EF">
        <w:t>следующее</w:t>
      </w:r>
      <w:r w:rsidR="007D4D90" w:rsidRPr="006E2404">
        <w:t xml:space="preserve"> </w:t>
      </w:r>
      <w:r w:rsidR="006E2404" w:rsidRPr="006E2404">
        <w:t>решение</w:t>
      </w:r>
      <w:r w:rsidR="007D4D90" w:rsidRPr="006E2404">
        <w:t xml:space="preserve"> (</w:t>
      </w:r>
      <w:r w:rsidR="006E2404" w:rsidRPr="006E2404">
        <w:t>см.</w:t>
      </w:r>
      <w:r w:rsidR="007D4D90" w:rsidRPr="006E2404">
        <w:t xml:space="preserve"> </w:t>
      </w:r>
      <w:r w:rsidR="006E2404" w:rsidRPr="006E2404">
        <w:t>документ</w:t>
      </w:r>
      <w:r w:rsidR="007D4D90" w:rsidRPr="006E2404">
        <w:t xml:space="preserve"> </w:t>
      </w:r>
      <w:r w:rsidR="007D4D90" w:rsidRPr="00C553E3">
        <w:rPr>
          <w:lang w:val="en-US"/>
        </w:rPr>
        <w:t>PCT</w:t>
      </w:r>
      <w:r w:rsidR="007D4D90" w:rsidRPr="006E2404">
        <w:t>/</w:t>
      </w:r>
      <w:r w:rsidR="007D4D90" w:rsidRPr="00C553E3">
        <w:rPr>
          <w:lang w:val="en-US"/>
        </w:rPr>
        <w:t>A</w:t>
      </w:r>
      <w:r w:rsidR="007D4D90" w:rsidRPr="006E2404">
        <w:t xml:space="preserve">/47/5 </w:t>
      </w:r>
      <w:r w:rsidR="007D4D90" w:rsidRPr="00C553E3">
        <w:rPr>
          <w:lang w:val="en-US"/>
        </w:rPr>
        <w:t>Rev</w:t>
      </w:r>
      <w:r w:rsidR="007D4D90" w:rsidRPr="006E2404">
        <w:t xml:space="preserve">. </w:t>
      </w:r>
      <w:r w:rsidR="006E2404" w:rsidRPr="006E2404">
        <w:t>и</w:t>
      </w:r>
      <w:r w:rsidR="007D4D90" w:rsidRPr="006E2404">
        <w:t xml:space="preserve"> </w:t>
      </w:r>
      <w:r w:rsidR="006E2404" w:rsidRPr="006E2404">
        <w:t>пункт</w:t>
      </w:r>
      <w:r w:rsidR="007D4D90" w:rsidRPr="00C553E3">
        <w:rPr>
          <w:lang w:val="en-US"/>
        </w:rPr>
        <w:t> </w:t>
      </w:r>
      <w:r w:rsidR="007D4D90" w:rsidRPr="006E2404">
        <w:t xml:space="preserve">23 </w:t>
      </w:r>
      <w:r w:rsidR="004B56EF" w:rsidRPr="006E2404">
        <w:t>о</w:t>
      </w:r>
      <w:r w:rsidR="006E2404" w:rsidRPr="006E2404">
        <w:t>тчет</w:t>
      </w:r>
      <w:r w:rsidR="004B56EF">
        <w:t>а о</w:t>
      </w:r>
      <w:r w:rsidR="007D4D90" w:rsidRPr="006E2404">
        <w:t xml:space="preserve"> </w:t>
      </w:r>
      <w:r w:rsidR="008A38C8" w:rsidRPr="006E2404">
        <w:t>сессии</w:t>
      </w:r>
      <w:r w:rsidR="007D4D90" w:rsidRPr="006E2404">
        <w:t xml:space="preserve">, </w:t>
      </w:r>
      <w:r w:rsidR="006E2404" w:rsidRPr="006E2404">
        <w:t>документ</w:t>
      </w:r>
      <w:r w:rsidR="007D4D90" w:rsidRPr="006E2404">
        <w:t xml:space="preserve"> </w:t>
      </w:r>
      <w:r w:rsidR="007D4D90" w:rsidRPr="00C553E3">
        <w:rPr>
          <w:lang w:val="en-US"/>
        </w:rPr>
        <w:t>PCT</w:t>
      </w:r>
      <w:r w:rsidR="007D4D90" w:rsidRPr="006E2404">
        <w:t>/</w:t>
      </w:r>
      <w:r w:rsidR="007D4D90" w:rsidRPr="00C553E3">
        <w:rPr>
          <w:lang w:val="en-US"/>
        </w:rPr>
        <w:t>A</w:t>
      </w:r>
      <w:r w:rsidR="007D4D90" w:rsidRPr="006E2404">
        <w:t xml:space="preserve">/47/9): </w:t>
      </w:r>
    </w:p>
    <w:p w:rsidR="007D4D90" w:rsidRPr="008A38C8" w:rsidRDefault="00C553E3" w:rsidP="00A143E8">
      <w:pPr>
        <w:pStyle w:val="ONUME"/>
        <w:numPr>
          <w:ilvl w:val="0"/>
          <w:numId w:val="0"/>
        </w:numPr>
        <w:ind w:left="567"/>
      </w:pPr>
      <w:r w:rsidRPr="008A38C8">
        <w:t>«</w:t>
      </w:r>
      <w:r w:rsidR="007D4D90" w:rsidRPr="008A38C8">
        <w:t>23.</w:t>
      </w:r>
      <w:r w:rsidR="007D4D90" w:rsidRPr="008A38C8">
        <w:tab/>
      </w:r>
      <w:r w:rsidR="008A38C8" w:rsidRPr="008A38C8">
        <w:t>Ассамблея</w:t>
      </w:r>
      <w:r w:rsidR="007D4D90" w:rsidRPr="008A38C8">
        <w:t>:</w:t>
      </w:r>
    </w:p>
    <w:p w:rsidR="00506676" w:rsidRPr="005B6207" w:rsidRDefault="00506676" w:rsidP="00506676">
      <w:pPr>
        <w:pStyle w:val="ONUME"/>
        <w:numPr>
          <w:ilvl w:val="0"/>
          <w:numId w:val="0"/>
        </w:numPr>
        <w:ind w:left="1134"/>
      </w:pPr>
      <w:r w:rsidRPr="005B6207">
        <w:t>(</w:t>
      </w:r>
      <w:r>
        <w:t>i</w:t>
      </w:r>
      <w:r w:rsidRPr="005B6207">
        <w:t>)</w:t>
      </w:r>
      <w:r w:rsidRPr="005B6207">
        <w:tab/>
        <w:t>приняла к сведению содержание документа PCT/A/47/5 Rev.;</w:t>
      </w:r>
    </w:p>
    <w:p w:rsidR="00506676" w:rsidRPr="005B6207" w:rsidRDefault="00506676" w:rsidP="00506676">
      <w:pPr>
        <w:pStyle w:val="ONUME"/>
        <w:numPr>
          <w:ilvl w:val="0"/>
          <w:numId w:val="0"/>
        </w:numPr>
        <w:ind w:left="1134"/>
      </w:pPr>
      <w:r w:rsidRPr="005B6207">
        <w:t>(</w:t>
      </w:r>
      <w:r>
        <w:t>ii</w:t>
      </w:r>
      <w:r w:rsidRPr="005B6207">
        <w:t>)</w:t>
      </w:r>
      <w:r w:rsidRPr="005B6207">
        <w:tab/>
        <w:t>предложила Секретариату провести дальнейший анализ проблем, связанных с реализацией стратегии хеджирования доходов РСТ в виде пошлин, которые изложены в документе WO/PBC/24/INF.3;</w:t>
      </w:r>
    </w:p>
    <w:p w:rsidR="00506676" w:rsidRPr="005B6207" w:rsidRDefault="00506676" w:rsidP="00506676">
      <w:pPr>
        <w:pStyle w:val="ONUME"/>
        <w:numPr>
          <w:ilvl w:val="0"/>
          <w:numId w:val="0"/>
        </w:numPr>
        <w:ind w:left="1134"/>
      </w:pPr>
      <w:r w:rsidRPr="005B6207">
        <w:t>(</w:t>
      </w:r>
      <w:r>
        <w:t>iii</w:t>
      </w:r>
      <w:r w:rsidRPr="005B6207">
        <w:t>)</w:t>
      </w:r>
      <w:r w:rsidRPr="005B6207">
        <w:tab/>
        <w:t>отложила принятие любых решений относительно предлагаемых изменений к Директивным указаниям Ассамблеи, касающимся установления эквивалентного размера определенных пошлин, которые были согласованы Рабочей группой, до завершения проведения такого анализа; и</w:t>
      </w:r>
    </w:p>
    <w:p w:rsidR="007D4D90" w:rsidRPr="008A38C8" w:rsidRDefault="00506676" w:rsidP="00506676">
      <w:pPr>
        <w:pStyle w:val="ONUME"/>
        <w:numPr>
          <w:ilvl w:val="0"/>
          <w:numId w:val="0"/>
        </w:numPr>
        <w:ind w:left="1134"/>
      </w:pPr>
      <w:r w:rsidRPr="005B6207">
        <w:t>(</w:t>
      </w:r>
      <w:r>
        <w:t>iv</w:t>
      </w:r>
      <w:r w:rsidRPr="005B6207">
        <w:t>)</w:t>
      </w:r>
      <w:r w:rsidRPr="005B6207">
        <w:tab/>
        <w:t>предложила Секретариату представить отчет о ходе работы на сессии Рабочей группы по РСТ в 2016 г.</w:t>
      </w:r>
      <w:r>
        <w:t>»</w:t>
      </w:r>
    </w:p>
    <w:p w:rsidR="007D4D90" w:rsidRPr="006E2404" w:rsidRDefault="004B56EF" w:rsidP="00734D05">
      <w:pPr>
        <w:pStyle w:val="ONUME"/>
        <w:numPr>
          <w:ilvl w:val="0"/>
          <w:numId w:val="16"/>
        </w:numPr>
        <w:ind w:left="0" w:firstLine="0"/>
      </w:pPr>
      <w:r>
        <w:t>На своей девятой сессии, состоявшейся в мае</w:t>
      </w:r>
      <w:r w:rsidRPr="008A38C8">
        <w:t xml:space="preserve"> 2016</w:t>
      </w:r>
      <w:r>
        <w:t> г.</w:t>
      </w:r>
      <w:r w:rsidRPr="008A38C8">
        <w:t xml:space="preserve">, </w:t>
      </w:r>
      <w:r>
        <w:t>Рабочая группа</w:t>
      </w:r>
      <w:r w:rsidR="008A38C8" w:rsidRPr="008A38C8">
        <w:t xml:space="preserve"> по </w:t>
      </w:r>
      <w:r w:rsidR="008A38C8">
        <w:rPr>
          <w:lang w:val="en-US"/>
        </w:rPr>
        <w:t>PCT</w:t>
      </w:r>
      <w:r w:rsidR="008A38C8" w:rsidRPr="008A38C8">
        <w:t xml:space="preserve"> приняла к сведению </w:t>
      </w:r>
      <w:r>
        <w:t xml:space="preserve">подготовленный </w:t>
      </w:r>
      <w:r w:rsidRPr="006E2404">
        <w:t>Секретариатом о</w:t>
      </w:r>
      <w:r w:rsidR="008A38C8" w:rsidRPr="006E2404">
        <w:t xml:space="preserve">тчет о </w:t>
      </w:r>
      <w:r w:rsidR="00506676">
        <w:t>ходе работы</w:t>
      </w:r>
      <w:r>
        <w:t xml:space="preserve"> </w:t>
      </w:r>
      <w:r w:rsidR="007D4D90" w:rsidRPr="006E2404">
        <w:t>(</w:t>
      </w:r>
      <w:r w:rsidR="006E2404" w:rsidRPr="006E2404">
        <w:t>документ</w:t>
      </w:r>
      <w:r w:rsidR="007D4D90" w:rsidRPr="006E2404">
        <w:t xml:space="preserve"> </w:t>
      </w:r>
      <w:r w:rsidR="007D4D90" w:rsidRPr="00C553E3">
        <w:rPr>
          <w:lang w:val="en-US"/>
        </w:rPr>
        <w:t>PCT</w:t>
      </w:r>
      <w:r w:rsidR="007D4D90" w:rsidRPr="006E2404">
        <w:t>/</w:t>
      </w:r>
      <w:r w:rsidR="007D4D90" w:rsidRPr="00C553E3">
        <w:rPr>
          <w:lang w:val="en-US"/>
        </w:rPr>
        <w:t>WG</w:t>
      </w:r>
      <w:r w:rsidR="007D4D90" w:rsidRPr="006E2404">
        <w:t xml:space="preserve">/9/9 </w:t>
      </w:r>
      <w:r w:rsidR="00C553E3" w:rsidRPr="006E2404">
        <w:t>«</w:t>
      </w:r>
      <w:r w:rsidR="00FA1431" w:rsidRPr="00FA1431">
        <w:t>Доходы в виде пошлин РСТ</w:t>
      </w:r>
      <w:r w:rsidR="007D4D90" w:rsidRPr="006E2404">
        <w:t xml:space="preserve">:  </w:t>
      </w:r>
      <w:r w:rsidR="007104CB" w:rsidRPr="007104CB">
        <w:t xml:space="preserve">отчет о ходе анализа возможных мер </w:t>
      </w:r>
      <w:r w:rsidR="00572794">
        <w:t xml:space="preserve">для </w:t>
      </w:r>
      <w:r w:rsidR="007104CB" w:rsidRPr="007104CB">
        <w:t>умень</w:t>
      </w:r>
      <w:r w:rsidR="00572794">
        <w:t>шения</w:t>
      </w:r>
      <w:r w:rsidR="007104CB" w:rsidRPr="007104CB">
        <w:t xml:space="preserve"> рисков, связанных с </w:t>
      </w:r>
      <w:r w:rsidR="00572794">
        <w:t>изменениями</w:t>
      </w:r>
      <w:r w:rsidR="007104CB" w:rsidRPr="007104CB">
        <w:t xml:space="preserve"> обменных курсов</w:t>
      </w:r>
      <w:r w:rsidR="00C553E3" w:rsidRPr="006E2404">
        <w:t>»</w:t>
      </w:r>
      <w:r w:rsidR="007D4D90" w:rsidRPr="006E2404">
        <w:t xml:space="preserve">.  </w:t>
      </w:r>
      <w:r>
        <w:t xml:space="preserve">Данный </w:t>
      </w:r>
      <w:r w:rsidRPr="004B56EF">
        <w:t xml:space="preserve">отчет </w:t>
      </w:r>
      <w:r>
        <w:t xml:space="preserve">воспроизводится в </w:t>
      </w:r>
      <w:r w:rsidR="004C5BC1">
        <w:t>п</w:t>
      </w:r>
      <w:r w:rsidR="008A38C8" w:rsidRPr="006E2404">
        <w:t>р</w:t>
      </w:r>
      <w:r>
        <w:t>иложении</w:t>
      </w:r>
      <w:r w:rsidR="008A38C8" w:rsidRPr="006E2404">
        <w:t xml:space="preserve"> </w:t>
      </w:r>
      <w:r>
        <w:t>к настоящему документу</w:t>
      </w:r>
      <w:r w:rsidR="007D4D90" w:rsidRPr="006E2404">
        <w:t xml:space="preserve">.  </w:t>
      </w:r>
      <w:r w:rsidR="007104CB">
        <w:t>Рабочая группа</w:t>
      </w:r>
      <w:r w:rsidR="008A38C8" w:rsidRPr="006E2404">
        <w:t xml:space="preserve"> по </w:t>
      </w:r>
      <w:r w:rsidR="008A38C8">
        <w:rPr>
          <w:lang w:val="en-US"/>
        </w:rPr>
        <w:t>PCT</w:t>
      </w:r>
      <w:r w:rsidR="008A38C8" w:rsidRPr="006E2404">
        <w:t xml:space="preserve"> </w:t>
      </w:r>
      <w:r w:rsidR="004C5BC1">
        <w:t>далее</w:t>
      </w:r>
      <w:r w:rsidR="007104CB">
        <w:t xml:space="preserve"> </w:t>
      </w:r>
      <w:r w:rsidR="008A38C8" w:rsidRPr="006E2404">
        <w:t xml:space="preserve">приняла к сведению </w:t>
      </w:r>
      <w:r w:rsidR="006E2404" w:rsidRPr="006E2404">
        <w:t>содержание</w:t>
      </w:r>
      <w:r w:rsidR="007D4D90" w:rsidRPr="006E2404">
        <w:t xml:space="preserve"> </w:t>
      </w:r>
      <w:r w:rsidR="00506676">
        <w:t xml:space="preserve">проведенной </w:t>
      </w:r>
      <w:r w:rsidR="007104CB" w:rsidRPr="006E2404">
        <w:t>Секретариатом</w:t>
      </w:r>
      <w:r w:rsidR="007104CB">
        <w:t xml:space="preserve"> презентации</w:t>
      </w:r>
      <w:r w:rsidR="004C5BC1">
        <w:t>. В заключение презентации</w:t>
      </w:r>
      <w:r w:rsidR="006E2404" w:rsidRPr="006E2404">
        <w:t xml:space="preserve"> </w:t>
      </w:r>
      <w:r w:rsidR="004C5BC1">
        <w:t>вниманию участников были предложены</w:t>
      </w:r>
      <w:r w:rsidR="007104CB">
        <w:t xml:space="preserve"> следующи</w:t>
      </w:r>
      <w:r w:rsidR="004C5BC1">
        <w:t xml:space="preserve">е </w:t>
      </w:r>
      <w:r w:rsidR="008A38C8" w:rsidRPr="006E2404">
        <w:t>замечания</w:t>
      </w:r>
      <w:r w:rsidR="007104CB">
        <w:t xml:space="preserve"> относительно </w:t>
      </w:r>
      <w:r w:rsidR="00506676">
        <w:t xml:space="preserve">дальнейших действий, </w:t>
      </w:r>
      <w:r w:rsidR="00506676" w:rsidRPr="00C862FF">
        <w:t>касающи</w:t>
      </w:r>
      <w:r w:rsidR="00506676">
        <w:t xml:space="preserve">хся </w:t>
      </w:r>
      <w:r w:rsidR="006E2404" w:rsidRPr="006E2404">
        <w:t>возможн</w:t>
      </w:r>
      <w:r w:rsidR="007104CB">
        <w:t>ой</w:t>
      </w:r>
      <w:r w:rsidR="007D4D90" w:rsidRPr="006E2404">
        <w:t xml:space="preserve"> </w:t>
      </w:r>
      <w:r w:rsidR="006E2404" w:rsidRPr="006E2404">
        <w:t>реализаци</w:t>
      </w:r>
      <w:r w:rsidR="007104CB">
        <w:t>и</w:t>
      </w:r>
      <w:r w:rsidR="006E2404" w:rsidRPr="006E2404">
        <w:t xml:space="preserve"> </w:t>
      </w:r>
      <w:r w:rsidR="00FA1431">
        <w:t>стратегии хеджирования</w:t>
      </w:r>
      <w:r w:rsidR="007D4D90" w:rsidRPr="006E2404">
        <w:t>:</w:t>
      </w:r>
    </w:p>
    <w:p w:rsidR="007D4D90" w:rsidRPr="006E2404" w:rsidRDefault="00C553E3" w:rsidP="00734D05">
      <w:pPr>
        <w:pStyle w:val="ONUME"/>
        <w:numPr>
          <w:ilvl w:val="0"/>
          <w:numId w:val="0"/>
        </w:numPr>
        <w:ind w:left="567"/>
      </w:pPr>
      <w:r w:rsidRPr="006E2404">
        <w:t>«</w:t>
      </w:r>
      <w:r w:rsidR="008A38C8" w:rsidRPr="006E2404">
        <w:t xml:space="preserve">Международное бюро </w:t>
      </w:r>
      <w:r w:rsidR="007104CB">
        <w:t xml:space="preserve">представит </w:t>
      </w:r>
      <w:r w:rsidR="007104CB" w:rsidRPr="007104CB">
        <w:t>дополнительн</w:t>
      </w:r>
      <w:r w:rsidR="007104CB">
        <w:t xml:space="preserve">ую информацию на </w:t>
      </w:r>
      <w:r w:rsidR="006E2404" w:rsidRPr="006E2404">
        <w:t>предстоящ</w:t>
      </w:r>
      <w:r w:rsidR="007104CB">
        <w:t xml:space="preserve">ей сессии </w:t>
      </w:r>
      <w:r w:rsidR="008A38C8" w:rsidRPr="006E2404">
        <w:t>КПБ</w:t>
      </w:r>
      <w:r w:rsidR="007104CB">
        <w:t xml:space="preserve"> в августе</w:t>
      </w:r>
      <w:r w:rsidR="007104CB" w:rsidRPr="00C553E3">
        <w:rPr>
          <w:lang w:val="en-US"/>
        </w:rPr>
        <w:t> </w:t>
      </w:r>
      <w:r w:rsidR="007104CB" w:rsidRPr="006E2404">
        <w:t xml:space="preserve">2016 </w:t>
      </w:r>
      <w:r w:rsidR="007104CB">
        <w:t>г</w:t>
      </w:r>
      <w:r w:rsidR="007D4D90" w:rsidRPr="006E2404">
        <w:t>.</w:t>
      </w:r>
    </w:p>
    <w:p w:rsidR="007D4D90" w:rsidRPr="006E2404" w:rsidRDefault="00CE50D5" w:rsidP="00734D05">
      <w:pPr>
        <w:pStyle w:val="ONUME"/>
        <w:numPr>
          <w:ilvl w:val="0"/>
          <w:numId w:val="0"/>
        </w:numPr>
        <w:ind w:left="567"/>
      </w:pPr>
      <w:r>
        <w:t xml:space="preserve">На </w:t>
      </w:r>
      <w:r>
        <w:rPr>
          <w:snapToGrid w:val="0"/>
        </w:rPr>
        <w:t>данн</w:t>
      </w:r>
      <w:r>
        <w:t xml:space="preserve">ом </w:t>
      </w:r>
      <w:r w:rsidR="006E2404" w:rsidRPr="006E2404">
        <w:t>этап</w:t>
      </w:r>
      <w:r>
        <w:t>е</w:t>
      </w:r>
      <w:r w:rsidR="007D4D90" w:rsidRPr="006E2404">
        <w:t xml:space="preserve"> </w:t>
      </w:r>
      <w:r w:rsidR="008A38C8" w:rsidRPr="006E2404">
        <w:t xml:space="preserve">Международное бюро </w:t>
      </w:r>
      <w:r>
        <w:t xml:space="preserve">не </w:t>
      </w:r>
      <w:r w:rsidR="003F1BE5">
        <w:t xml:space="preserve">планирует </w:t>
      </w:r>
      <w:r>
        <w:t xml:space="preserve">начинать </w:t>
      </w:r>
      <w:r w:rsidRPr="00EA4BEE">
        <w:rPr>
          <w:snapToGrid w:val="0"/>
        </w:rPr>
        <w:t>применени</w:t>
      </w:r>
      <w:r>
        <w:t xml:space="preserve">е </w:t>
      </w:r>
      <w:r w:rsidR="00FA1431">
        <w:t>стратегии хеджирования</w:t>
      </w:r>
      <w:r w:rsidR="007D4D90" w:rsidRPr="006E2404">
        <w:t xml:space="preserve"> </w:t>
      </w:r>
      <w:r>
        <w:t>на базе форвардных</w:t>
      </w:r>
      <w:r w:rsidR="007D4D90" w:rsidRPr="006E2404">
        <w:t xml:space="preserve"> </w:t>
      </w:r>
      <w:r>
        <w:t xml:space="preserve">контрактов в </w:t>
      </w:r>
      <w:r w:rsidR="003F1BE5">
        <w:t>форме</w:t>
      </w:r>
      <w:r>
        <w:t xml:space="preserve">, </w:t>
      </w:r>
      <w:r w:rsidR="008A38C8" w:rsidRPr="006E2404">
        <w:t>рекоменд</w:t>
      </w:r>
      <w:r w:rsidR="003F1BE5">
        <w:t>ованной</w:t>
      </w:r>
      <w:r w:rsidR="008A38C8" w:rsidRPr="006E2404">
        <w:t xml:space="preserve"> </w:t>
      </w:r>
      <w:r>
        <w:t>консультантами</w:t>
      </w:r>
      <w:r w:rsidR="007D4D90" w:rsidRPr="006E2404">
        <w:t xml:space="preserve"> </w:t>
      </w:r>
      <w:r w:rsidR="007D4D90" w:rsidRPr="00C553E3">
        <w:rPr>
          <w:lang w:val="en-US"/>
        </w:rPr>
        <w:t>FTI</w:t>
      </w:r>
      <w:r>
        <w:t xml:space="preserve"> Treasury</w:t>
      </w:r>
      <w:r w:rsidR="007D4D90" w:rsidRPr="006E2404">
        <w:t>.</w:t>
      </w:r>
    </w:p>
    <w:p w:rsidR="007D4D90" w:rsidRPr="006E2404" w:rsidRDefault="008A38C8" w:rsidP="00734D05">
      <w:pPr>
        <w:pStyle w:val="ONUME"/>
        <w:numPr>
          <w:ilvl w:val="0"/>
          <w:numId w:val="0"/>
        </w:numPr>
        <w:ind w:left="567"/>
      </w:pPr>
      <w:r w:rsidRPr="006E2404">
        <w:t xml:space="preserve">Международное бюро </w:t>
      </w:r>
      <w:r w:rsidR="00CE50D5">
        <w:t xml:space="preserve">намерено </w:t>
      </w:r>
      <w:r w:rsidR="003F1BE5" w:rsidRPr="003F1BE5">
        <w:t>дополнительн</w:t>
      </w:r>
      <w:r w:rsidR="003F1BE5">
        <w:t>о</w:t>
      </w:r>
      <w:r w:rsidR="007D4D90" w:rsidRPr="006E2404">
        <w:t xml:space="preserve"> </w:t>
      </w:r>
      <w:r w:rsidR="003F1BE5">
        <w:t>изучить</w:t>
      </w:r>
      <w:r w:rsidR="00CE50D5">
        <w:t xml:space="preserve"> </w:t>
      </w:r>
      <w:r w:rsidR="003F1BE5">
        <w:t xml:space="preserve">вопрос о том, может ли </w:t>
      </w:r>
      <w:r w:rsidR="006E2404" w:rsidRPr="006E2404">
        <w:t>альтернатив</w:t>
      </w:r>
      <w:r w:rsidR="003F1BE5">
        <w:t>ная</w:t>
      </w:r>
      <w:r w:rsidR="007D4D90" w:rsidRPr="006E2404">
        <w:t xml:space="preserve"> </w:t>
      </w:r>
      <w:r w:rsidR="003F1BE5">
        <w:t>стратегия</w:t>
      </w:r>
      <w:r w:rsidR="00FA1431">
        <w:t xml:space="preserve"> хеджирования</w:t>
      </w:r>
      <w:r w:rsidR="007D4D90" w:rsidRPr="006E2404">
        <w:t xml:space="preserve">, </w:t>
      </w:r>
      <w:r w:rsidR="003F1BE5">
        <w:t>основанная</w:t>
      </w:r>
      <w:r w:rsidR="00CE50D5">
        <w:t xml:space="preserve"> на </w:t>
      </w:r>
      <w:r w:rsidR="003F1BE5">
        <w:t>подходе</w:t>
      </w:r>
      <w:r w:rsidR="00CE50D5">
        <w:t>,</w:t>
      </w:r>
      <w:r w:rsidR="007D4D90" w:rsidRPr="006E2404">
        <w:t xml:space="preserve"> </w:t>
      </w:r>
      <w:r w:rsidR="003F1BE5">
        <w:t>отличном от предлагаемого</w:t>
      </w:r>
      <w:r w:rsidR="006E2404" w:rsidRPr="006E2404">
        <w:t xml:space="preserve"> </w:t>
      </w:r>
      <w:r w:rsidR="00CE50D5">
        <w:t>консультантами</w:t>
      </w:r>
      <w:r w:rsidR="007D4D90" w:rsidRPr="006E2404">
        <w:t xml:space="preserve"> </w:t>
      </w:r>
      <w:r w:rsidR="007D4D90" w:rsidRPr="00C553E3">
        <w:rPr>
          <w:lang w:val="en-US"/>
        </w:rPr>
        <w:t>FTI</w:t>
      </w:r>
      <w:r w:rsidR="00CE50D5" w:rsidRPr="00CE50D5">
        <w:t xml:space="preserve"> </w:t>
      </w:r>
      <w:r w:rsidR="00CE50D5">
        <w:rPr>
          <w:lang w:val="en-US"/>
        </w:rPr>
        <w:t>Treasury</w:t>
      </w:r>
      <w:r w:rsidR="007D4D90" w:rsidRPr="006E2404">
        <w:t xml:space="preserve">, </w:t>
      </w:r>
      <w:r w:rsidR="003F1BE5">
        <w:t>обеспечить эффективное ограничение</w:t>
      </w:r>
      <w:r w:rsidR="00CE50D5">
        <w:t xml:space="preserve"> рисков </w:t>
      </w:r>
      <w:r w:rsidRPr="006E2404">
        <w:t>ВОИС</w:t>
      </w:r>
      <w:r w:rsidR="00CE50D5">
        <w:t xml:space="preserve">, связанных с </w:t>
      </w:r>
      <w:r w:rsidR="003F1BE5">
        <w:t xml:space="preserve">валютными </w:t>
      </w:r>
      <w:r w:rsidR="006E2404" w:rsidRPr="006E2404">
        <w:t>колебания</w:t>
      </w:r>
      <w:r w:rsidR="003F1BE5">
        <w:t>ми</w:t>
      </w:r>
      <w:r w:rsidR="007D4D90" w:rsidRPr="006E2404">
        <w:t>.</w:t>
      </w:r>
      <w:r w:rsidR="00C553E3" w:rsidRPr="006E2404">
        <w:t>»</w:t>
      </w:r>
    </w:p>
    <w:p w:rsidR="007D4D90" w:rsidRPr="006E2404" w:rsidRDefault="00CE50D5" w:rsidP="00A143E8">
      <w:pPr>
        <w:pStyle w:val="ONUME"/>
        <w:numPr>
          <w:ilvl w:val="0"/>
          <w:numId w:val="16"/>
        </w:numPr>
        <w:ind w:left="0" w:firstLine="0"/>
      </w:pPr>
      <w:r w:rsidRPr="006E2404">
        <w:t>Н</w:t>
      </w:r>
      <w:r w:rsidR="008A38C8" w:rsidRPr="006E2404">
        <w:t>астоящий документ</w:t>
      </w:r>
      <w:r w:rsidR="007D4D90" w:rsidRPr="006E2404">
        <w:t xml:space="preserve"> </w:t>
      </w:r>
      <w:r w:rsidR="006E2404" w:rsidRPr="006E2404">
        <w:t>содержит</w:t>
      </w:r>
      <w:r w:rsidR="007D4D90" w:rsidRPr="006E2404">
        <w:t xml:space="preserve"> </w:t>
      </w:r>
      <w:r w:rsidR="00637747">
        <w:t xml:space="preserve">такую </w:t>
      </w:r>
      <w:r w:rsidR="00637747" w:rsidRPr="00637747">
        <w:t>дополнительн</w:t>
      </w:r>
      <w:r w:rsidR="00637747">
        <w:t>ую информацию</w:t>
      </w:r>
      <w:r w:rsidR="007D4D90" w:rsidRPr="006E2404">
        <w:t xml:space="preserve"> </w:t>
      </w:r>
      <w:r w:rsidR="006E2404" w:rsidRPr="006E2404">
        <w:t>и</w:t>
      </w:r>
      <w:r w:rsidR="007D4D90" w:rsidRPr="006E2404">
        <w:t xml:space="preserve"> </w:t>
      </w:r>
      <w:r w:rsidR="00637747">
        <w:t>рекомендацию</w:t>
      </w:r>
      <w:r w:rsidR="007D4D90" w:rsidRPr="006E2404">
        <w:t xml:space="preserve"> </w:t>
      </w:r>
      <w:r w:rsidR="00637747">
        <w:t xml:space="preserve">относительно </w:t>
      </w:r>
      <w:r w:rsidR="006E2404" w:rsidRPr="006E2404">
        <w:t>возможн</w:t>
      </w:r>
      <w:r w:rsidR="00637747">
        <w:t xml:space="preserve">ых </w:t>
      </w:r>
      <w:r w:rsidR="003F1BE5">
        <w:t>дальнейших действий</w:t>
      </w:r>
      <w:r w:rsidR="007D4D90" w:rsidRPr="006E2404">
        <w:t>.</w:t>
      </w:r>
    </w:p>
    <w:p w:rsidR="007D4D90" w:rsidRPr="00637747" w:rsidRDefault="00637747" w:rsidP="00D53E8E">
      <w:pPr>
        <w:pStyle w:val="Heading1"/>
        <w:rPr>
          <w:lang w:val="ru-RU"/>
        </w:rPr>
      </w:pPr>
      <w:r w:rsidRPr="00637747">
        <w:rPr>
          <w:lang w:val="ru-RU"/>
        </w:rPr>
        <w:t>Действи</w:t>
      </w:r>
      <w:r>
        <w:rPr>
          <w:lang w:val="ru-RU"/>
        </w:rPr>
        <w:t xml:space="preserve">Я, предпринятые </w:t>
      </w:r>
      <w:r w:rsidR="008A38C8" w:rsidRPr="00637747">
        <w:rPr>
          <w:lang w:val="ru-RU"/>
        </w:rPr>
        <w:t>Секретариат</w:t>
      </w:r>
      <w:r>
        <w:rPr>
          <w:lang w:val="ru-RU"/>
        </w:rPr>
        <w:t xml:space="preserve">ом </w:t>
      </w:r>
      <w:r w:rsidRPr="00637747">
        <w:rPr>
          <w:lang w:val="ru-RU"/>
        </w:rPr>
        <w:t>до настоящего времени</w:t>
      </w:r>
    </w:p>
    <w:p w:rsidR="007D4D90" w:rsidRPr="00637747" w:rsidRDefault="007D4D90" w:rsidP="002765A0">
      <w:pPr>
        <w:rPr>
          <w:lang w:val="ru-RU"/>
        </w:rPr>
      </w:pPr>
    </w:p>
    <w:p w:rsidR="007D4D90" w:rsidRPr="00E33D8F" w:rsidRDefault="008A38C8" w:rsidP="00D84079">
      <w:pPr>
        <w:pStyle w:val="ONUME"/>
        <w:numPr>
          <w:ilvl w:val="0"/>
          <w:numId w:val="16"/>
        </w:numPr>
        <w:ind w:left="0" w:firstLine="0"/>
      </w:pPr>
      <w:r w:rsidRPr="002C644D">
        <w:t>Секретариат</w:t>
      </w:r>
      <w:r w:rsidR="007D4D90" w:rsidRPr="002C644D">
        <w:t xml:space="preserve"> </w:t>
      </w:r>
      <w:r w:rsidR="002C644D">
        <w:t>собрал информацию о</w:t>
      </w:r>
      <w:r w:rsidR="007D4D90" w:rsidRPr="002C644D">
        <w:t xml:space="preserve"> </w:t>
      </w:r>
      <w:r w:rsidR="002C644D">
        <w:t>денежных</w:t>
      </w:r>
      <w:r w:rsidR="006E2404" w:rsidRPr="002C644D">
        <w:t xml:space="preserve"> поток</w:t>
      </w:r>
      <w:r w:rsidR="002C644D">
        <w:t xml:space="preserve">ах, </w:t>
      </w:r>
      <w:r w:rsidR="00A92DFE">
        <w:t>необходимую для определения рисков</w:t>
      </w:r>
      <w:r w:rsidR="007D4D90" w:rsidRPr="002C644D">
        <w:t xml:space="preserve"> </w:t>
      </w:r>
      <w:r w:rsidR="006E2404" w:rsidRPr="002C644D">
        <w:t>и</w:t>
      </w:r>
      <w:r w:rsidR="007D4D90" w:rsidRPr="002C644D">
        <w:t xml:space="preserve"> </w:t>
      </w:r>
      <w:r w:rsidR="00A92DFE">
        <w:t>преимуществ</w:t>
      </w:r>
      <w:r w:rsidR="006E2404" w:rsidRPr="002C644D">
        <w:t xml:space="preserve"> </w:t>
      </w:r>
      <w:r w:rsidR="002C644D">
        <w:t>реализации предлагаемой</w:t>
      </w:r>
      <w:r w:rsidR="006E2404" w:rsidRPr="002C644D">
        <w:t xml:space="preserve"> </w:t>
      </w:r>
      <w:r w:rsidR="00FA1431" w:rsidRPr="002C644D">
        <w:t>стратегии хеджирования</w:t>
      </w:r>
      <w:r w:rsidR="00C878E7">
        <w:t xml:space="preserve">. </w:t>
      </w:r>
      <w:r w:rsidR="00C878E7" w:rsidRPr="00C878E7">
        <w:t>А</w:t>
      </w:r>
      <w:r w:rsidR="006E2404" w:rsidRPr="00C878E7">
        <w:t>нализ</w:t>
      </w:r>
      <w:r w:rsidR="007D4D90" w:rsidRPr="00C878E7">
        <w:t xml:space="preserve"> </w:t>
      </w:r>
      <w:r w:rsidR="00C878E7">
        <w:t xml:space="preserve">был основан на </w:t>
      </w:r>
      <w:r w:rsidR="00C878E7" w:rsidRPr="00C878E7">
        <w:t>реконструкци</w:t>
      </w:r>
      <w:r w:rsidR="00C878E7">
        <w:t xml:space="preserve">и </w:t>
      </w:r>
      <w:r w:rsidR="00A92DFE">
        <w:t xml:space="preserve">детализированных </w:t>
      </w:r>
      <w:r w:rsidR="00AF34F3">
        <w:t xml:space="preserve">данных о </w:t>
      </w:r>
      <w:r w:rsidR="00C878E7">
        <w:t>денежных</w:t>
      </w:r>
      <w:r w:rsidR="006E2404" w:rsidRPr="00C878E7">
        <w:t xml:space="preserve"> поток</w:t>
      </w:r>
      <w:r w:rsidR="00AF34F3">
        <w:t>ах</w:t>
      </w:r>
      <w:r w:rsidR="007D4D90" w:rsidRPr="00C878E7">
        <w:t xml:space="preserve"> </w:t>
      </w:r>
      <w:r w:rsidR="0057401D" w:rsidRPr="00C878E7">
        <w:t xml:space="preserve">в каждой </w:t>
      </w:r>
      <w:r w:rsidR="00C878E7">
        <w:t>из валют</w:t>
      </w:r>
      <w:r w:rsidR="007D4D90" w:rsidRPr="00C878E7">
        <w:t xml:space="preserve"> </w:t>
      </w:r>
      <w:r w:rsidR="00C878E7">
        <w:t xml:space="preserve">за </w:t>
      </w:r>
      <w:r w:rsidR="006E2404" w:rsidRPr="00C878E7">
        <w:t>период</w:t>
      </w:r>
      <w:r w:rsidR="007D4D90" w:rsidRPr="00C878E7">
        <w:t xml:space="preserve"> </w:t>
      </w:r>
      <w:r w:rsidR="00C878E7">
        <w:t xml:space="preserve">с </w:t>
      </w:r>
      <w:r w:rsidR="007D4D90" w:rsidRPr="00C878E7">
        <w:t>1</w:t>
      </w:r>
      <w:r w:rsidR="00C878E7">
        <w:t xml:space="preserve"> </w:t>
      </w:r>
      <w:r w:rsidR="00C878E7" w:rsidRPr="00C878E7">
        <w:t xml:space="preserve">января </w:t>
      </w:r>
      <w:r w:rsidR="007D4D90" w:rsidRPr="00C878E7">
        <w:t>2015</w:t>
      </w:r>
      <w:r w:rsidR="00C878E7">
        <w:t xml:space="preserve"> г.</w:t>
      </w:r>
      <w:r w:rsidR="007D4D90" w:rsidRPr="00C878E7">
        <w:t xml:space="preserve"> </w:t>
      </w:r>
      <w:r w:rsidR="00C878E7">
        <w:t xml:space="preserve">по </w:t>
      </w:r>
      <w:r w:rsidR="007D4D90" w:rsidRPr="00C878E7">
        <w:t>31</w:t>
      </w:r>
      <w:r w:rsidR="00C878E7">
        <w:t xml:space="preserve"> </w:t>
      </w:r>
      <w:r w:rsidR="00C878E7" w:rsidRPr="00C878E7">
        <w:t xml:space="preserve">мая </w:t>
      </w:r>
      <w:r w:rsidR="007D4D90" w:rsidRPr="00C878E7">
        <w:t>2016</w:t>
      </w:r>
      <w:r w:rsidR="00AF34F3">
        <w:t xml:space="preserve"> г., которые</w:t>
      </w:r>
      <w:r w:rsidR="00C878E7">
        <w:t xml:space="preserve"> </w:t>
      </w:r>
      <w:r w:rsidR="006E2404" w:rsidRPr="00C878E7">
        <w:t>использова</w:t>
      </w:r>
      <w:r w:rsidR="00AF34F3">
        <w:t>лись</w:t>
      </w:r>
      <w:r w:rsidR="00C878E7">
        <w:t xml:space="preserve"> для с</w:t>
      </w:r>
      <w:r w:rsidR="00AF34F3">
        <w:t xml:space="preserve">равнения </w:t>
      </w:r>
      <w:r w:rsidR="006E2404" w:rsidRPr="00C878E7">
        <w:t>чист</w:t>
      </w:r>
      <w:r w:rsidR="00E33D8F">
        <w:t xml:space="preserve">ых сумм в </w:t>
      </w:r>
      <w:r w:rsidR="00E33D8F" w:rsidRPr="00E33D8F">
        <w:t>долл</w:t>
      </w:r>
      <w:r w:rsidR="00E33D8F">
        <w:t xml:space="preserve">арах </w:t>
      </w:r>
      <w:r w:rsidR="00E33D8F" w:rsidRPr="00E33D8F">
        <w:t>США</w:t>
      </w:r>
      <w:r w:rsidR="007D4D90" w:rsidRPr="00C878E7">
        <w:t xml:space="preserve">, </w:t>
      </w:r>
      <w:r w:rsidR="00E33D8F" w:rsidRPr="00C878E7">
        <w:t xml:space="preserve">евро </w:t>
      </w:r>
      <w:r w:rsidR="006E2404" w:rsidRPr="00C878E7">
        <w:t>и</w:t>
      </w:r>
      <w:r w:rsidR="007D4D90" w:rsidRPr="00C878E7">
        <w:t xml:space="preserve"> </w:t>
      </w:r>
      <w:r w:rsidR="00E33D8F">
        <w:t>японских иенах, доступных</w:t>
      </w:r>
      <w:r w:rsidR="007D4D90" w:rsidRPr="00C878E7">
        <w:t xml:space="preserve"> </w:t>
      </w:r>
      <w:r w:rsidR="00E33D8F">
        <w:t>для заключения форвардных</w:t>
      </w:r>
      <w:r w:rsidR="002A0B71" w:rsidRPr="00C878E7">
        <w:t xml:space="preserve"> </w:t>
      </w:r>
      <w:r w:rsidR="00E33D8F">
        <w:t>контрактов на покупку</w:t>
      </w:r>
      <w:r w:rsidR="007D4D90" w:rsidRPr="00C878E7">
        <w:t xml:space="preserve"> </w:t>
      </w:r>
      <w:r w:rsidR="00E33D8F">
        <w:t xml:space="preserve">с </w:t>
      </w:r>
      <w:r w:rsidR="00E33D8F">
        <w:rPr>
          <w:szCs w:val="22"/>
        </w:rPr>
        <w:t>лимит</w:t>
      </w:r>
      <w:r w:rsidR="00AF34F3">
        <w:rPr>
          <w:szCs w:val="22"/>
        </w:rPr>
        <w:t>ами</w:t>
      </w:r>
      <w:r w:rsidR="00AF34F3">
        <w:t>, предложенными</w:t>
      </w:r>
      <w:r w:rsidR="006E2404" w:rsidRPr="00C878E7">
        <w:t xml:space="preserve"> консультант</w:t>
      </w:r>
      <w:r w:rsidR="00AF34F3">
        <w:t>ами</w:t>
      </w:r>
      <w:r w:rsidR="006E2404" w:rsidRPr="00C878E7">
        <w:t xml:space="preserve"> </w:t>
      </w:r>
      <w:r w:rsidR="00E33D8F">
        <w:t>и пояснявши</w:t>
      </w:r>
      <w:r w:rsidR="00AF34F3">
        <w:t>мися</w:t>
      </w:r>
      <w:r w:rsidR="00E33D8F">
        <w:t xml:space="preserve"> в </w:t>
      </w:r>
      <w:r w:rsidR="006E2404" w:rsidRPr="00C878E7">
        <w:t>пункт</w:t>
      </w:r>
      <w:r w:rsidR="00E33D8F">
        <w:t>е</w:t>
      </w:r>
      <w:r w:rsidR="007D4D90" w:rsidRPr="00C878E7">
        <w:t xml:space="preserve"> </w:t>
      </w:r>
      <w:r w:rsidR="007D4D90">
        <w:fldChar w:fldCharType="begin"/>
      </w:r>
      <w:r w:rsidR="007D4D90" w:rsidRPr="00C878E7">
        <w:instrText xml:space="preserve"> </w:instrText>
      </w:r>
      <w:r w:rsidR="007D4D90" w:rsidRPr="00C553E3">
        <w:rPr>
          <w:lang w:val="en-US"/>
        </w:rPr>
        <w:instrText>REF</w:instrText>
      </w:r>
      <w:r w:rsidR="007D4D90" w:rsidRPr="00C878E7">
        <w:instrText xml:space="preserve"> _</w:instrText>
      </w:r>
      <w:r w:rsidR="007D4D90" w:rsidRPr="00C553E3">
        <w:rPr>
          <w:lang w:val="en-US"/>
        </w:rPr>
        <w:instrText>Ref</w:instrText>
      </w:r>
      <w:r w:rsidR="007D4D90" w:rsidRPr="00C878E7">
        <w:instrText>453941359 \</w:instrText>
      </w:r>
      <w:r w:rsidR="007D4D90" w:rsidRPr="00C553E3">
        <w:rPr>
          <w:lang w:val="en-US"/>
        </w:rPr>
        <w:instrText>r</w:instrText>
      </w:r>
      <w:r w:rsidR="007D4D90" w:rsidRPr="00C878E7">
        <w:instrText xml:space="preserve"> \</w:instrText>
      </w:r>
      <w:r w:rsidR="007D4D90" w:rsidRPr="00C553E3">
        <w:rPr>
          <w:lang w:val="en-US"/>
        </w:rPr>
        <w:instrText>h</w:instrText>
      </w:r>
      <w:r w:rsidR="007D4D90" w:rsidRPr="00C878E7">
        <w:instrText xml:space="preserve"> </w:instrText>
      </w:r>
      <w:r w:rsidR="007D4D90">
        <w:fldChar w:fldCharType="separate"/>
      </w:r>
      <w:r w:rsidR="004B2858" w:rsidRPr="004B2858">
        <w:t>4</w:t>
      </w:r>
      <w:r w:rsidR="007D4D90">
        <w:fldChar w:fldCharType="end"/>
      </w:r>
      <w:r w:rsidR="007D4D90" w:rsidRPr="00C878E7">
        <w:t xml:space="preserve"> </w:t>
      </w:r>
      <w:r w:rsidR="006E2404" w:rsidRPr="00C878E7">
        <w:t>выше</w:t>
      </w:r>
      <w:r w:rsidR="007D4D90" w:rsidRPr="00C878E7">
        <w:t xml:space="preserve">.  </w:t>
      </w:r>
      <w:r w:rsidR="00E33D8F">
        <w:t>Отчеты о денежных</w:t>
      </w:r>
      <w:r w:rsidR="006E2404" w:rsidRPr="00E33D8F">
        <w:t xml:space="preserve"> поток</w:t>
      </w:r>
      <w:r w:rsidR="00E33D8F">
        <w:t>ах</w:t>
      </w:r>
      <w:r w:rsidR="007D4D90" w:rsidRPr="00E33D8F">
        <w:t xml:space="preserve"> </w:t>
      </w:r>
      <w:r w:rsidR="00E33D8F">
        <w:t xml:space="preserve">были сформированы на базе информации, имеющейся в </w:t>
      </w:r>
      <w:r w:rsidR="00E33D8F" w:rsidRPr="00E33D8F">
        <w:t>учетн</w:t>
      </w:r>
      <w:r w:rsidR="00E33D8F">
        <w:t>ой</w:t>
      </w:r>
      <w:r w:rsidR="00E33D8F" w:rsidRPr="00E33D8F">
        <w:t xml:space="preserve"> систе</w:t>
      </w:r>
      <w:r w:rsidR="00E33D8F">
        <w:t>ме СУАИ</w:t>
      </w:r>
      <w:r w:rsidR="00AF34F3">
        <w:t xml:space="preserve">. </w:t>
      </w:r>
      <w:r w:rsidR="00E33D8F">
        <w:t>В следующих</w:t>
      </w:r>
      <w:r w:rsidR="00E33D8F" w:rsidRPr="00E33D8F">
        <w:t xml:space="preserve"> п</w:t>
      </w:r>
      <w:r w:rsidR="00E33D8F">
        <w:t xml:space="preserve">унктах документа приводятся рассчитанные </w:t>
      </w:r>
      <w:r w:rsidR="00E33D8F" w:rsidRPr="0074727B">
        <w:t>таким образом</w:t>
      </w:r>
      <w:r w:rsidR="00E33D8F">
        <w:t xml:space="preserve"> </w:t>
      </w:r>
      <w:r w:rsidR="00E33D8F" w:rsidRPr="00E33D8F">
        <w:t>ч</w:t>
      </w:r>
      <w:r w:rsidR="006E2404" w:rsidRPr="00E33D8F">
        <w:t>ист</w:t>
      </w:r>
      <w:r w:rsidR="00E33D8F">
        <w:t>ые</w:t>
      </w:r>
      <w:r w:rsidR="007D4D90" w:rsidRPr="00E33D8F">
        <w:t xml:space="preserve"> </w:t>
      </w:r>
      <w:r w:rsidR="006E2404" w:rsidRPr="00E33D8F">
        <w:t>сумм</w:t>
      </w:r>
      <w:r w:rsidR="00E33D8F">
        <w:t>ы, которые были бы доступны в каждой из трех</w:t>
      </w:r>
      <w:r w:rsidR="007D4D90" w:rsidRPr="00E33D8F">
        <w:t xml:space="preserve"> </w:t>
      </w:r>
      <w:r w:rsidR="006E2404" w:rsidRPr="00E33D8F">
        <w:t>валют</w:t>
      </w:r>
      <w:r w:rsidR="007D4D90" w:rsidRPr="00E33D8F">
        <w:t>.</w:t>
      </w:r>
    </w:p>
    <w:p w:rsidR="007D4D90" w:rsidRDefault="00E33D8F" w:rsidP="00A86FDE">
      <w:pPr>
        <w:pStyle w:val="Heading2"/>
        <w:keepLines/>
        <w:spacing w:before="0" w:after="0"/>
      </w:pPr>
      <w:r>
        <w:t>Доллар</w:t>
      </w:r>
      <w:r>
        <w:rPr>
          <w:lang w:val="ru-RU"/>
        </w:rPr>
        <w:t>Ы</w:t>
      </w:r>
      <w:r w:rsidR="008A38C8">
        <w:t xml:space="preserve"> США</w:t>
      </w:r>
    </w:p>
    <w:p w:rsidR="007D4D90" w:rsidRPr="002B64B4" w:rsidRDefault="007D4D90" w:rsidP="00DC6904">
      <w:pPr>
        <w:keepNext/>
        <w:keepLines/>
      </w:pPr>
    </w:p>
    <w:p w:rsidR="007D4D90" w:rsidRPr="0065069A" w:rsidRDefault="002A2D74" w:rsidP="00DC6904">
      <w:pPr>
        <w:pStyle w:val="ONUME"/>
        <w:keepNext/>
        <w:keepLines/>
        <w:numPr>
          <w:ilvl w:val="0"/>
          <w:numId w:val="16"/>
        </w:numPr>
        <w:ind w:left="0" w:firstLine="0"/>
      </w:pPr>
      <w:r>
        <w:rPr>
          <w:snapToGrid w:val="0"/>
        </w:rPr>
        <w:t>Данн</w:t>
      </w:r>
      <w:r w:rsidR="00AF34F3">
        <w:t>ые фактических</w:t>
      </w:r>
      <w:r w:rsidR="00E33D8F" w:rsidRPr="002A2D74">
        <w:t xml:space="preserve"> </w:t>
      </w:r>
      <w:r w:rsidR="00AF34F3">
        <w:t>денежных</w:t>
      </w:r>
      <w:r w:rsidR="00E33D8F" w:rsidRPr="002A2D74">
        <w:t xml:space="preserve"> поток</w:t>
      </w:r>
      <w:r w:rsidR="00AF34F3">
        <w:t>ов</w:t>
      </w:r>
      <w:r w:rsidR="00E33D8F" w:rsidRPr="002A2D74">
        <w:t xml:space="preserve"> </w:t>
      </w:r>
      <w:r w:rsidR="008A38C8" w:rsidRPr="002A2D74">
        <w:t>ВОИС</w:t>
      </w:r>
      <w:r w:rsidR="007D4D90" w:rsidRPr="002A2D74">
        <w:t xml:space="preserve"> </w:t>
      </w:r>
      <w:r>
        <w:t>в</w:t>
      </w:r>
      <w:r w:rsidRPr="002A2D74">
        <w:t xml:space="preserve"> долларах США</w:t>
      </w:r>
      <w:r w:rsidR="00E33D8F" w:rsidRPr="002A2D74">
        <w:t xml:space="preserve"> </w:t>
      </w:r>
      <w:r>
        <w:t xml:space="preserve">за </w:t>
      </w:r>
      <w:r w:rsidR="00AF34F3">
        <w:t xml:space="preserve">весь </w:t>
      </w:r>
      <w:r w:rsidRPr="002A2D74">
        <w:t xml:space="preserve">2015 </w:t>
      </w:r>
      <w:r>
        <w:t>г</w:t>
      </w:r>
      <w:r w:rsidRPr="002A2D74">
        <w:t xml:space="preserve">. </w:t>
      </w:r>
      <w:r>
        <w:t>и</w:t>
      </w:r>
      <w:r w:rsidRPr="002A2D74">
        <w:t xml:space="preserve"> </w:t>
      </w:r>
      <w:r w:rsidR="00AF34F3">
        <w:t>период</w:t>
      </w:r>
      <w:r w:rsidRPr="002A2D74">
        <w:t xml:space="preserve"> 2016 </w:t>
      </w:r>
      <w:r>
        <w:t>г</w:t>
      </w:r>
      <w:r w:rsidRPr="002A2D74">
        <w:t xml:space="preserve">., </w:t>
      </w:r>
      <w:r w:rsidR="00AF34F3">
        <w:t>окончившийся</w:t>
      </w:r>
      <w:r w:rsidRPr="002A2D74">
        <w:t xml:space="preserve"> 31 мая</w:t>
      </w:r>
      <w:r>
        <w:t>,</w:t>
      </w:r>
      <w:r w:rsidR="007D4D90" w:rsidRPr="002A2D74">
        <w:t xml:space="preserve"> </w:t>
      </w:r>
      <w:r w:rsidR="00AF34F3">
        <w:t>показывают</w:t>
      </w:r>
      <w:r>
        <w:t>, что фактическая</w:t>
      </w:r>
      <w:r w:rsidR="007D4D90" w:rsidRPr="002A2D74">
        <w:t xml:space="preserve"> </w:t>
      </w:r>
      <w:r w:rsidR="006E2404" w:rsidRPr="002A2D74">
        <w:t>сумма</w:t>
      </w:r>
      <w:r w:rsidR="007D4D90" w:rsidRPr="002A2D74">
        <w:t xml:space="preserve"> </w:t>
      </w:r>
      <w:r>
        <w:t xml:space="preserve">в </w:t>
      </w:r>
      <w:r w:rsidR="00E33D8F" w:rsidRPr="002A2D74">
        <w:t>долларах США</w:t>
      </w:r>
      <w:r>
        <w:t>,</w:t>
      </w:r>
      <w:r w:rsidR="007D4D90" w:rsidRPr="002A2D74">
        <w:t xml:space="preserve"> </w:t>
      </w:r>
      <w:r w:rsidR="00E33D8F" w:rsidRPr="002A2D74">
        <w:t>доступн</w:t>
      </w:r>
      <w:r>
        <w:t>ая для заключения</w:t>
      </w:r>
      <w:r w:rsidR="00E33D8F" w:rsidRPr="002A2D74">
        <w:t xml:space="preserve"> </w:t>
      </w:r>
      <w:r>
        <w:t>форвардных</w:t>
      </w:r>
      <w:r w:rsidR="002A0B71" w:rsidRPr="002A2D74">
        <w:t xml:space="preserve"> </w:t>
      </w:r>
      <w:r w:rsidR="00E33D8F" w:rsidRPr="002A2D74">
        <w:t>контрактов на покупку</w:t>
      </w:r>
      <w:r>
        <w:t>,</w:t>
      </w:r>
      <w:r w:rsidR="007D4D90" w:rsidRPr="002A2D74">
        <w:t xml:space="preserve"> </w:t>
      </w:r>
      <w:r>
        <w:t xml:space="preserve">была </w:t>
      </w:r>
      <w:r w:rsidR="006E2404" w:rsidRPr="002A2D74">
        <w:t>значительно</w:t>
      </w:r>
      <w:r w:rsidR="007D4D90" w:rsidRPr="002A2D74">
        <w:t xml:space="preserve"> </w:t>
      </w:r>
      <w:r w:rsidR="006E2404" w:rsidRPr="002A2D74">
        <w:t>ниже</w:t>
      </w:r>
      <w:r>
        <w:t xml:space="preserve"> </w:t>
      </w:r>
      <w:r w:rsidR="006E2404" w:rsidRPr="002A2D74">
        <w:t>первоначально</w:t>
      </w:r>
      <w:r>
        <w:t>й</w:t>
      </w:r>
      <w:r w:rsidR="007D4D90" w:rsidRPr="002A2D74">
        <w:t xml:space="preserve"> </w:t>
      </w:r>
      <w:r w:rsidR="006E2404" w:rsidRPr="002A2D74">
        <w:t>оцен</w:t>
      </w:r>
      <w:r>
        <w:t>ки. В обновленной информации</w:t>
      </w:r>
      <w:r w:rsidR="008A38C8" w:rsidRPr="002A2D74">
        <w:t xml:space="preserve"> </w:t>
      </w:r>
      <w:r>
        <w:t xml:space="preserve">о </w:t>
      </w:r>
      <w:r w:rsidR="00FA1431" w:rsidRPr="002A2D74">
        <w:t>стратегии хеджирования</w:t>
      </w:r>
      <w:r w:rsidR="007D4D90" w:rsidRPr="002A2D74">
        <w:t xml:space="preserve"> </w:t>
      </w:r>
      <w:r>
        <w:t xml:space="preserve">доходов </w:t>
      </w:r>
      <w:r w:rsidRPr="00C553E3">
        <w:rPr>
          <w:lang w:val="en-US"/>
        </w:rPr>
        <w:t>PCT</w:t>
      </w:r>
      <w:r>
        <w:t>,</w:t>
      </w:r>
      <w:r w:rsidRPr="002A2D74">
        <w:t xml:space="preserve"> </w:t>
      </w:r>
      <w:r>
        <w:t xml:space="preserve">представленной </w:t>
      </w:r>
      <w:r w:rsidR="008A38C8" w:rsidRPr="002A2D74">
        <w:t xml:space="preserve">КПБ </w:t>
      </w:r>
      <w:r>
        <w:t xml:space="preserve">в </w:t>
      </w:r>
      <w:r w:rsidR="007D4D90" w:rsidRPr="002A2D74">
        <w:t xml:space="preserve">2015 </w:t>
      </w:r>
      <w:r>
        <w:t xml:space="preserve">г. </w:t>
      </w:r>
      <w:r w:rsidR="007D4D90" w:rsidRPr="002A2D74">
        <w:t>(</w:t>
      </w:r>
      <w:r w:rsidR="006E2404" w:rsidRPr="002A2D74">
        <w:t>см.</w:t>
      </w:r>
      <w:r w:rsidR="007D4D90" w:rsidRPr="002A2D74">
        <w:t xml:space="preserve"> </w:t>
      </w:r>
      <w:r w:rsidR="006E2404" w:rsidRPr="002A2D74">
        <w:t>документ</w:t>
      </w:r>
      <w:r w:rsidR="007D4D90" w:rsidRPr="002A2D74">
        <w:t xml:space="preserve"> </w:t>
      </w:r>
      <w:r w:rsidR="00F46777">
        <w:rPr>
          <w:lang w:val="en-US"/>
        </w:rPr>
        <w:t>WO</w:t>
      </w:r>
      <w:r w:rsidR="00F46777" w:rsidRPr="002A2D74">
        <w:t>/</w:t>
      </w:r>
      <w:r w:rsidR="00F46777">
        <w:rPr>
          <w:lang w:val="en-US"/>
        </w:rPr>
        <w:t>PBC</w:t>
      </w:r>
      <w:r w:rsidR="00F46777" w:rsidRPr="002A2D74">
        <w:t>/</w:t>
      </w:r>
      <w:r w:rsidR="007D4D90" w:rsidRPr="002A2D74">
        <w:t>24/</w:t>
      </w:r>
      <w:r w:rsidR="007D4D90" w:rsidRPr="00C553E3">
        <w:rPr>
          <w:lang w:val="en-US"/>
        </w:rPr>
        <w:t>INF</w:t>
      </w:r>
      <w:r w:rsidR="007D4D90" w:rsidRPr="002A2D74">
        <w:t xml:space="preserve">.3, </w:t>
      </w:r>
      <w:r w:rsidR="006E2404" w:rsidRPr="002A2D74">
        <w:t>пункт</w:t>
      </w:r>
      <w:r>
        <w:t xml:space="preserve"> 12)</w:t>
      </w:r>
      <w:r w:rsidR="007D4D90" w:rsidRPr="002A2D74">
        <w:t xml:space="preserve">, </w:t>
      </w:r>
      <w:r w:rsidR="00AF34F3">
        <w:t xml:space="preserve">которая была основана на </w:t>
      </w:r>
      <w:r>
        <w:t xml:space="preserve">информации за </w:t>
      </w:r>
      <w:r w:rsidR="006E2404" w:rsidRPr="002A2D74">
        <w:t>2014 г.</w:t>
      </w:r>
      <w:r w:rsidR="007D4D90" w:rsidRPr="002A2D74">
        <w:t xml:space="preserve"> </w:t>
      </w:r>
      <w:r w:rsidR="006E2404" w:rsidRPr="002A2D74">
        <w:t>и</w:t>
      </w:r>
      <w:r w:rsidR="007D4D90" w:rsidRPr="002A2D74">
        <w:t xml:space="preserve"> </w:t>
      </w:r>
      <w:r>
        <w:t>первую</w:t>
      </w:r>
      <w:r w:rsidR="007D4D90" w:rsidRPr="002A2D74">
        <w:t xml:space="preserve"> </w:t>
      </w:r>
      <w:r>
        <w:t>половин</w:t>
      </w:r>
      <w:r w:rsidR="00AF34F3">
        <w:t>у</w:t>
      </w:r>
      <w:r w:rsidR="007D4D90" w:rsidRPr="002A2D74">
        <w:t xml:space="preserve"> 2015</w:t>
      </w:r>
      <w:r w:rsidRPr="002A2D74">
        <w:t xml:space="preserve"> г.</w:t>
      </w:r>
      <w:r w:rsidR="007D4D90" w:rsidRPr="002A2D74">
        <w:t xml:space="preserve">, </w:t>
      </w:r>
      <w:r>
        <w:t xml:space="preserve">делался вывод о том, что </w:t>
      </w:r>
      <w:r w:rsidR="0065069A">
        <w:t>на покрытие обязательств</w:t>
      </w:r>
      <w:r w:rsidR="0065069A" w:rsidRPr="002A2D74">
        <w:t xml:space="preserve"> ВОИС </w:t>
      </w:r>
      <w:r w:rsidR="0065069A">
        <w:t xml:space="preserve">в этой валюте требовалось </w:t>
      </w:r>
      <w:r w:rsidR="007D4D90" w:rsidRPr="002A2D74">
        <w:t>45</w:t>
      </w:r>
      <w:r>
        <w:t xml:space="preserve">% </w:t>
      </w:r>
      <w:r w:rsidR="0065069A" w:rsidRPr="0065069A">
        <w:t>средств</w:t>
      </w:r>
      <w:r w:rsidR="0065069A">
        <w:t xml:space="preserve"> в долларах США,</w:t>
      </w:r>
      <w:r w:rsidR="007D4D90" w:rsidRPr="002A2D74">
        <w:t xml:space="preserve"> </w:t>
      </w:r>
      <w:r w:rsidR="006E2404" w:rsidRPr="002A2D74">
        <w:t>полученн</w:t>
      </w:r>
      <w:r w:rsidR="0065069A">
        <w:t xml:space="preserve">ых в виде </w:t>
      </w:r>
      <w:r w:rsidR="00AF34F3">
        <w:t>доходов</w:t>
      </w:r>
      <w:r w:rsidR="002A0B71" w:rsidRPr="002A2D74">
        <w:t xml:space="preserve"> </w:t>
      </w:r>
      <w:r w:rsidR="002A0B71">
        <w:rPr>
          <w:lang w:val="en-US"/>
        </w:rPr>
        <w:t>PCT</w:t>
      </w:r>
      <w:r w:rsidR="007D4D90" w:rsidRPr="002A2D74">
        <w:t xml:space="preserve">.  </w:t>
      </w:r>
      <w:r w:rsidR="0065069A">
        <w:t xml:space="preserve">Такие обязательства включали </w:t>
      </w:r>
      <w:r w:rsidR="0065069A" w:rsidRPr="0065069A">
        <w:t>взнос</w:t>
      </w:r>
      <w:r w:rsidR="0065069A">
        <w:t xml:space="preserve">ы в </w:t>
      </w:r>
      <w:r w:rsidR="00AF34F3" w:rsidRPr="0065069A">
        <w:t>П</w:t>
      </w:r>
      <w:r w:rsidR="006E2404" w:rsidRPr="0065069A">
        <w:t>енси</w:t>
      </w:r>
      <w:r w:rsidR="0065069A">
        <w:t>онный фонд</w:t>
      </w:r>
      <w:r w:rsidR="007D4D90" w:rsidRPr="0065069A">
        <w:t xml:space="preserve"> </w:t>
      </w:r>
      <w:r w:rsidR="0065069A" w:rsidRPr="0065069A">
        <w:t>ООН</w:t>
      </w:r>
      <w:r w:rsidR="007D4D90" w:rsidRPr="0065069A">
        <w:t xml:space="preserve">, </w:t>
      </w:r>
      <w:r w:rsidR="0065069A">
        <w:t>оплату услуг ПРООН</w:t>
      </w:r>
      <w:r w:rsidR="007D4D90" w:rsidRPr="0065069A">
        <w:t xml:space="preserve">, </w:t>
      </w:r>
      <w:r w:rsidR="0065069A" w:rsidRPr="0065069A">
        <w:t xml:space="preserve">возмещение </w:t>
      </w:r>
      <w:r w:rsidR="0065069A">
        <w:t>путевых расходов</w:t>
      </w:r>
      <w:r w:rsidR="007D4D90" w:rsidRPr="0065069A">
        <w:t xml:space="preserve">, </w:t>
      </w:r>
      <w:r w:rsidR="0065069A">
        <w:t xml:space="preserve">оплату услуг </w:t>
      </w:r>
      <w:r w:rsidR="008A38C8" w:rsidRPr="0065069A">
        <w:t>Международн</w:t>
      </w:r>
      <w:r w:rsidR="0065069A">
        <w:t xml:space="preserve">ого </w:t>
      </w:r>
      <w:r w:rsidR="0065069A">
        <w:rPr>
          <w:iCs/>
          <w:szCs w:val="22"/>
        </w:rPr>
        <w:t xml:space="preserve">вычислительного </w:t>
      </w:r>
      <w:r w:rsidR="0065069A" w:rsidRPr="0065069A">
        <w:t>ц</w:t>
      </w:r>
      <w:r w:rsidR="006E2404" w:rsidRPr="0065069A">
        <w:t>ентр</w:t>
      </w:r>
      <w:r w:rsidR="0065069A">
        <w:t>а</w:t>
      </w:r>
      <w:r w:rsidR="007D4D90" w:rsidRPr="0065069A">
        <w:t xml:space="preserve"> </w:t>
      </w:r>
      <w:r w:rsidR="006E2404" w:rsidRPr="0065069A">
        <w:t>и</w:t>
      </w:r>
      <w:r w:rsidR="007D4D90" w:rsidRPr="0065069A">
        <w:t xml:space="preserve"> </w:t>
      </w:r>
      <w:r w:rsidR="0065069A">
        <w:t xml:space="preserve">иные </w:t>
      </w:r>
      <w:r w:rsidR="00AF34F3">
        <w:t xml:space="preserve">позиции </w:t>
      </w:r>
      <w:r w:rsidR="0065069A">
        <w:t xml:space="preserve">кредиторской задолженности. </w:t>
      </w:r>
      <w:r w:rsidR="0065069A" w:rsidRPr="0074727B">
        <w:t>Таким образом</w:t>
      </w:r>
      <w:r w:rsidR="007D4D90" w:rsidRPr="0065069A">
        <w:t xml:space="preserve">, </w:t>
      </w:r>
      <w:r w:rsidR="0065069A">
        <w:t>на заключение форвардных</w:t>
      </w:r>
      <w:r w:rsidR="0065069A" w:rsidRPr="0065069A">
        <w:t xml:space="preserve"> </w:t>
      </w:r>
      <w:r w:rsidR="0065069A">
        <w:t>контрактов могли быть направлены</w:t>
      </w:r>
      <w:r w:rsidR="00AF34F3">
        <w:t xml:space="preserve"> только </w:t>
      </w:r>
      <w:r w:rsidR="007D4D90" w:rsidRPr="0065069A">
        <w:t>55</w:t>
      </w:r>
      <w:r w:rsidR="0065069A">
        <w:t xml:space="preserve">% </w:t>
      </w:r>
      <w:r w:rsidR="00AF34F3">
        <w:t xml:space="preserve">этих </w:t>
      </w:r>
      <w:r w:rsidR="00AF34F3" w:rsidRPr="00AF34F3">
        <w:t>средств</w:t>
      </w:r>
      <w:r w:rsidR="007D4D90" w:rsidRPr="0065069A">
        <w:t>.</w:t>
      </w:r>
    </w:p>
    <w:p w:rsidR="007D4D90" w:rsidRPr="0065069A" w:rsidRDefault="00AF34F3" w:rsidP="00D84079">
      <w:pPr>
        <w:pStyle w:val="ONUME"/>
        <w:numPr>
          <w:ilvl w:val="0"/>
          <w:numId w:val="16"/>
        </w:numPr>
        <w:ind w:left="0" w:firstLine="0"/>
        <w:rPr>
          <w:szCs w:val="22"/>
        </w:rPr>
      </w:pPr>
      <w:r>
        <w:t>В действительности</w:t>
      </w:r>
      <w:r w:rsidR="006E2404" w:rsidRPr="0065069A">
        <w:t xml:space="preserve"> </w:t>
      </w:r>
      <w:r w:rsidR="0065069A">
        <w:t xml:space="preserve">для покрытия </w:t>
      </w:r>
      <w:r w:rsidR="0065069A" w:rsidRPr="0065069A">
        <w:t>обязат</w:t>
      </w:r>
      <w:r w:rsidR="0065069A">
        <w:t>ельств</w:t>
      </w:r>
      <w:r w:rsidR="0065069A" w:rsidRPr="0065069A">
        <w:t xml:space="preserve"> ВОИС </w:t>
      </w:r>
      <w:r w:rsidR="0065069A">
        <w:t xml:space="preserve">в </w:t>
      </w:r>
      <w:r w:rsidR="0065069A" w:rsidRPr="0065069A">
        <w:t xml:space="preserve">долларах США </w:t>
      </w:r>
      <w:r w:rsidR="0065069A">
        <w:t xml:space="preserve">в период с 1 января 2015 г. по 31 мая </w:t>
      </w:r>
      <w:r w:rsidR="0065069A" w:rsidRPr="0065069A">
        <w:t>2016</w:t>
      </w:r>
      <w:r w:rsidR="0065069A">
        <w:t xml:space="preserve"> г. необходимо было использовать </w:t>
      </w:r>
      <w:r w:rsidR="007D4D90" w:rsidRPr="0065069A">
        <w:t>63</w:t>
      </w:r>
      <w:r w:rsidR="0065069A">
        <w:t>,</w:t>
      </w:r>
      <w:r w:rsidR="007D4D90" w:rsidRPr="0065069A">
        <w:t>2</w:t>
      </w:r>
      <w:r w:rsidR="0065069A">
        <w:t xml:space="preserve">% </w:t>
      </w:r>
      <w:r>
        <w:t>доходов</w:t>
      </w:r>
      <w:r w:rsidR="002A0B71" w:rsidRPr="0065069A">
        <w:t xml:space="preserve"> </w:t>
      </w:r>
      <w:r w:rsidR="002A0B71">
        <w:rPr>
          <w:lang w:val="en-US"/>
        </w:rPr>
        <w:t>PCT</w:t>
      </w:r>
      <w:r>
        <w:t>, полученных</w:t>
      </w:r>
      <w:r w:rsidR="0065069A">
        <w:t xml:space="preserve"> </w:t>
      </w:r>
      <w:r w:rsidR="002A2D74" w:rsidRPr="0065069A">
        <w:t>в долларах США</w:t>
      </w:r>
      <w:r w:rsidR="0065069A">
        <w:t xml:space="preserve"> </w:t>
      </w:r>
      <w:r w:rsidR="0065069A" w:rsidRPr="0065069A">
        <w:rPr>
          <w:rFonts w:eastAsia="+mn-ea"/>
          <w:lang w:eastAsia="en-US"/>
        </w:rPr>
        <w:t>–</w:t>
      </w:r>
      <w:r w:rsidR="0065069A">
        <w:t xml:space="preserve"> </w:t>
      </w:r>
      <w:r w:rsidR="0065069A" w:rsidRPr="0074727B">
        <w:t>таким образом</w:t>
      </w:r>
      <w:r w:rsidR="007D4D90" w:rsidRPr="0065069A">
        <w:t xml:space="preserve">, </w:t>
      </w:r>
      <w:r w:rsidR="0065069A">
        <w:t>на заключение форвардных</w:t>
      </w:r>
      <w:r w:rsidR="002A0B71" w:rsidRPr="0065069A">
        <w:t xml:space="preserve"> </w:t>
      </w:r>
      <w:r w:rsidR="00E33D8F" w:rsidRPr="0065069A">
        <w:t>контрактов на покупку</w:t>
      </w:r>
      <w:r w:rsidR="007D4D90" w:rsidRPr="0065069A">
        <w:t xml:space="preserve"> </w:t>
      </w:r>
      <w:r w:rsidR="0065069A">
        <w:t>для хеджирования</w:t>
      </w:r>
      <w:r w:rsidR="007D4D90" w:rsidRPr="0065069A">
        <w:t xml:space="preserve"> </w:t>
      </w:r>
      <w:r>
        <w:t xml:space="preserve">сумм </w:t>
      </w:r>
      <w:r w:rsidR="0065069A">
        <w:t>пошлин</w:t>
      </w:r>
      <w:r w:rsidR="008A38C8" w:rsidRPr="0065069A">
        <w:t xml:space="preserve"> </w:t>
      </w:r>
      <w:r w:rsidR="0065069A" w:rsidRPr="00C553E3">
        <w:rPr>
          <w:lang w:val="en-US"/>
        </w:rPr>
        <w:t>PCT</w:t>
      </w:r>
      <w:r w:rsidR="0065069A" w:rsidRPr="0065069A">
        <w:t xml:space="preserve"> </w:t>
      </w:r>
      <w:r w:rsidR="008A38C8" w:rsidRPr="0065069A">
        <w:t xml:space="preserve">за подачу </w:t>
      </w:r>
      <w:r>
        <w:t xml:space="preserve">заявок </w:t>
      </w:r>
      <w:r w:rsidR="0065069A">
        <w:t xml:space="preserve">могли быть направлены </w:t>
      </w:r>
      <w:r w:rsidR="0065069A" w:rsidRPr="0065069A">
        <w:t>только 36</w:t>
      </w:r>
      <w:r w:rsidR="0065069A">
        <w:t>,</w:t>
      </w:r>
      <w:r w:rsidR="0065069A" w:rsidRPr="0065069A">
        <w:t>8</w:t>
      </w:r>
      <w:r w:rsidR="0065069A">
        <w:t xml:space="preserve">% </w:t>
      </w:r>
      <w:r w:rsidR="0065069A" w:rsidRPr="0065069A">
        <w:t xml:space="preserve">поступлений </w:t>
      </w:r>
      <w:r w:rsidR="0065069A">
        <w:rPr>
          <w:lang w:val="en-US"/>
        </w:rPr>
        <w:t>PCT</w:t>
      </w:r>
      <w:r w:rsidR="0065069A">
        <w:t xml:space="preserve"> в долларах США</w:t>
      </w:r>
      <w:r w:rsidR="007D4D90" w:rsidRPr="0065069A">
        <w:t xml:space="preserve">.  </w:t>
      </w:r>
      <w:r w:rsidR="0065069A">
        <w:t xml:space="preserve">Эта </w:t>
      </w:r>
      <w:r w:rsidR="006E2404" w:rsidRPr="0065069A">
        <w:t>разница между</w:t>
      </w:r>
      <w:r w:rsidR="007D4D90" w:rsidRPr="0065069A">
        <w:t xml:space="preserve"> </w:t>
      </w:r>
      <w:r w:rsidR="0065069A">
        <w:t xml:space="preserve">оценкой, представленной </w:t>
      </w:r>
      <w:r w:rsidR="008A38C8" w:rsidRPr="0065069A">
        <w:t xml:space="preserve">КПБ </w:t>
      </w:r>
      <w:r w:rsidR="0065069A">
        <w:t xml:space="preserve">в </w:t>
      </w:r>
      <w:r w:rsidR="007D4D90" w:rsidRPr="0065069A">
        <w:t xml:space="preserve">2015 </w:t>
      </w:r>
      <w:r w:rsidR="0065069A">
        <w:t>г.</w:t>
      </w:r>
      <w:r w:rsidR="00811706">
        <w:t>,</w:t>
      </w:r>
      <w:r w:rsidR="0065069A">
        <w:t xml:space="preserve"> </w:t>
      </w:r>
      <w:r w:rsidR="006E2404" w:rsidRPr="0065069A">
        <w:t>и</w:t>
      </w:r>
      <w:r w:rsidR="007D4D90" w:rsidRPr="0065069A">
        <w:t xml:space="preserve"> </w:t>
      </w:r>
      <w:r w:rsidR="00811706">
        <w:t xml:space="preserve">фактическими суммами в </w:t>
      </w:r>
      <w:r w:rsidR="00E33D8F" w:rsidRPr="0065069A">
        <w:t>долларах США</w:t>
      </w:r>
      <w:r w:rsidR="00811706">
        <w:t>,</w:t>
      </w:r>
      <w:r w:rsidR="00E33D8F" w:rsidRPr="0065069A">
        <w:t xml:space="preserve"> </w:t>
      </w:r>
      <w:r w:rsidR="00811706">
        <w:t>доступными</w:t>
      </w:r>
      <w:r w:rsidR="00811706" w:rsidRPr="0065069A">
        <w:t xml:space="preserve"> </w:t>
      </w:r>
      <w:r w:rsidR="00811706">
        <w:t>для заключения форвардных</w:t>
      </w:r>
      <w:r w:rsidR="007D4D90" w:rsidRPr="0065069A">
        <w:t xml:space="preserve"> </w:t>
      </w:r>
      <w:r w:rsidR="00811706">
        <w:t>контрактов,</w:t>
      </w:r>
      <w:r w:rsidR="007D4D90" w:rsidRPr="0065069A">
        <w:t xml:space="preserve"> </w:t>
      </w:r>
      <w:r w:rsidR="00811706">
        <w:t>была в основном связана с тем, что одно</w:t>
      </w:r>
      <w:r w:rsidR="007D4D90" w:rsidRPr="0065069A">
        <w:t xml:space="preserve"> </w:t>
      </w:r>
      <w:r w:rsidR="00811706">
        <w:t xml:space="preserve">крупное </w:t>
      </w:r>
      <w:r w:rsidR="008A38C8" w:rsidRPr="0065069A">
        <w:t xml:space="preserve">получающее ведомство </w:t>
      </w:r>
      <w:r w:rsidR="00811706" w:rsidRPr="00C553E3">
        <w:rPr>
          <w:lang w:val="en-US"/>
        </w:rPr>
        <w:t>PCT</w:t>
      </w:r>
      <w:r w:rsidR="00811706" w:rsidRPr="0065069A">
        <w:t xml:space="preserve"> </w:t>
      </w:r>
      <w:r w:rsidR="00811706">
        <w:t>изменило валюту</w:t>
      </w:r>
      <w:r w:rsidR="007D4D90" w:rsidRPr="0065069A">
        <w:t xml:space="preserve"> </w:t>
      </w:r>
      <w:r w:rsidR="00811706">
        <w:t>сбора международных пошлин за подачу заявок, перейдя с долларов</w:t>
      </w:r>
      <w:r w:rsidR="00E33D8F" w:rsidRPr="0065069A">
        <w:t xml:space="preserve"> США </w:t>
      </w:r>
      <w:r w:rsidR="00811706">
        <w:t>на швейцарские франки</w:t>
      </w:r>
      <w:r w:rsidR="007D4D90" w:rsidRPr="0065069A">
        <w:t>.</w:t>
      </w:r>
    </w:p>
    <w:p w:rsidR="00572794" w:rsidRDefault="00F27E4B" w:rsidP="00D90467">
      <w:pPr>
        <w:pStyle w:val="ONUME"/>
        <w:numPr>
          <w:ilvl w:val="0"/>
          <w:numId w:val="16"/>
        </w:numPr>
        <w:ind w:left="0" w:firstLine="0"/>
      </w:pPr>
      <w:r w:rsidRPr="00F27E4B">
        <w:rPr>
          <w:szCs w:val="22"/>
        </w:rPr>
        <w:t xml:space="preserve">Кроме того, </w:t>
      </w:r>
      <w:r w:rsidR="006E2404" w:rsidRPr="00F27E4B">
        <w:rPr>
          <w:szCs w:val="22"/>
        </w:rPr>
        <w:t xml:space="preserve">как </w:t>
      </w:r>
      <w:r>
        <w:rPr>
          <w:szCs w:val="22"/>
        </w:rPr>
        <w:t>видно из приведенного ниже графика</w:t>
      </w:r>
      <w:r w:rsidR="007D4D90" w:rsidRPr="00F27E4B">
        <w:t xml:space="preserve">, </w:t>
      </w:r>
      <w:r>
        <w:t xml:space="preserve">денежные поступления </w:t>
      </w:r>
      <w:r w:rsidRPr="00C553E3">
        <w:rPr>
          <w:lang w:val="en-US"/>
        </w:rPr>
        <w:t>PCT</w:t>
      </w:r>
      <w:r w:rsidRPr="00F27E4B">
        <w:t xml:space="preserve"> </w:t>
      </w:r>
      <w:r w:rsidR="002A2D74" w:rsidRPr="00F27E4B">
        <w:t>в долларах США</w:t>
      </w:r>
      <w:r w:rsidR="00E33D8F" w:rsidRPr="00F27E4B">
        <w:t xml:space="preserve"> </w:t>
      </w:r>
      <w:r w:rsidR="006E2404" w:rsidRPr="00F27E4B">
        <w:t>значительно</w:t>
      </w:r>
      <w:r w:rsidR="007D4D90" w:rsidRPr="00F27E4B">
        <w:t xml:space="preserve"> </w:t>
      </w:r>
      <w:r>
        <w:t xml:space="preserve">колеблются от </w:t>
      </w:r>
      <w:r w:rsidR="006E2404" w:rsidRPr="00F27E4B">
        <w:t>месяц</w:t>
      </w:r>
      <w:r>
        <w:t>а к</w:t>
      </w:r>
      <w:r w:rsidR="007D4D90" w:rsidRPr="00F27E4B">
        <w:t xml:space="preserve"> </w:t>
      </w:r>
      <w:r w:rsidR="006E2404" w:rsidRPr="00F27E4B">
        <w:t>месяц</w:t>
      </w:r>
      <w:r>
        <w:t>у</w:t>
      </w:r>
      <w:r w:rsidR="007D4D90" w:rsidRPr="00F27E4B">
        <w:t xml:space="preserve">, </w:t>
      </w:r>
      <w:r w:rsidR="004B6100">
        <w:t xml:space="preserve">осложняя </w:t>
      </w:r>
      <w:r w:rsidR="006E2404" w:rsidRPr="00F27E4B">
        <w:t>про</w:t>
      </w:r>
      <w:r w:rsidR="004B6100">
        <w:t>гнозирование суммы</w:t>
      </w:r>
      <w:r w:rsidR="007D4D90" w:rsidRPr="00F27E4B">
        <w:t xml:space="preserve"> </w:t>
      </w:r>
      <w:r w:rsidR="006E2404" w:rsidRPr="00F27E4B">
        <w:t>необходим</w:t>
      </w:r>
      <w:r w:rsidR="004B6100">
        <w:t>ых форвардных контрактов</w:t>
      </w:r>
      <w:r w:rsidR="007D4D90" w:rsidRPr="00F27E4B">
        <w:t xml:space="preserve">.  </w:t>
      </w:r>
      <w:r w:rsidR="006E2404" w:rsidRPr="0086619A">
        <w:t xml:space="preserve">Хотя </w:t>
      </w:r>
      <w:r w:rsidR="0086619A">
        <w:t xml:space="preserve">общие </w:t>
      </w:r>
      <w:r w:rsidR="0086619A" w:rsidRPr="0086619A">
        <w:t xml:space="preserve">прогнозы </w:t>
      </w:r>
      <w:r w:rsidR="0086619A">
        <w:t xml:space="preserve">числа подаваемых заявок, составляемые </w:t>
      </w:r>
      <w:r w:rsidR="0086619A" w:rsidRPr="0086619A">
        <w:t xml:space="preserve">Секцией развития баз данных Отдела экономики и статистики </w:t>
      </w:r>
      <w:r w:rsidR="0086619A">
        <w:t>Международного</w:t>
      </w:r>
      <w:r w:rsidR="002A0B71" w:rsidRPr="0086619A">
        <w:t xml:space="preserve"> бюро</w:t>
      </w:r>
      <w:r w:rsidR="007D4D90" w:rsidRPr="0086619A">
        <w:t xml:space="preserve"> </w:t>
      </w:r>
      <w:r w:rsidR="0086619A">
        <w:t>оказались весьма точными</w:t>
      </w:r>
      <w:r w:rsidR="007D4D90" w:rsidRPr="0086619A">
        <w:t xml:space="preserve">, </w:t>
      </w:r>
      <w:r w:rsidR="0086619A">
        <w:t xml:space="preserve">колебания денежных </w:t>
      </w:r>
      <w:r w:rsidR="0086619A" w:rsidRPr="0086619A">
        <w:t>поступлени</w:t>
      </w:r>
      <w:r w:rsidR="00621377">
        <w:t>й</w:t>
      </w:r>
      <w:r w:rsidR="0086619A" w:rsidRPr="0086619A">
        <w:t xml:space="preserve"> от месяца к месяцу </w:t>
      </w:r>
      <w:r w:rsidR="0086619A">
        <w:t>прогнозировать сложнее</w:t>
      </w:r>
      <w:r w:rsidR="007D4D90" w:rsidRPr="0086619A">
        <w:t xml:space="preserve">.  </w:t>
      </w:r>
      <w:r w:rsidR="0086619A">
        <w:t xml:space="preserve">Как </w:t>
      </w:r>
      <w:r w:rsidR="00621377">
        <w:t>видно</w:t>
      </w:r>
      <w:r w:rsidR="0086619A">
        <w:t xml:space="preserve"> из приводимой ниже таблицы</w:t>
      </w:r>
      <w:r w:rsidR="007D4D90" w:rsidRPr="0086619A">
        <w:t xml:space="preserve">, </w:t>
      </w:r>
      <w:r w:rsidR="0086619A">
        <w:t>в отдельные месяцы</w:t>
      </w:r>
      <w:r w:rsidR="007D4D90" w:rsidRPr="0086619A">
        <w:t xml:space="preserve"> </w:t>
      </w:r>
      <w:r w:rsidR="0086619A">
        <w:t xml:space="preserve">после </w:t>
      </w:r>
      <w:r w:rsidR="00621377">
        <w:t xml:space="preserve">обязательных </w:t>
      </w:r>
      <w:r w:rsidR="0086619A">
        <w:t xml:space="preserve">выплат </w:t>
      </w:r>
      <w:r w:rsidR="002A2D74" w:rsidRPr="0086619A">
        <w:t>в долларах США</w:t>
      </w:r>
      <w:r w:rsidR="00621377">
        <w:t xml:space="preserve">, связанных с покрытием </w:t>
      </w:r>
      <w:r w:rsidR="0086619A">
        <w:t>обязательств</w:t>
      </w:r>
      <w:r w:rsidR="006E2404" w:rsidRPr="0086619A">
        <w:t xml:space="preserve"> </w:t>
      </w:r>
      <w:r w:rsidR="0086619A" w:rsidRPr="0086619A">
        <w:t xml:space="preserve">ВОИС </w:t>
      </w:r>
      <w:r w:rsidR="0086619A">
        <w:t>в этой валюте</w:t>
      </w:r>
      <w:r w:rsidR="00621377">
        <w:t>,</w:t>
      </w:r>
      <w:r w:rsidR="0086619A">
        <w:t xml:space="preserve"> </w:t>
      </w:r>
      <w:r w:rsidR="00621377">
        <w:t xml:space="preserve">в наличии </w:t>
      </w:r>
      <w:r w:rsidR="0086619A">
        <w:t xml:space="preserve">оставалось </w:t>
      </w:r>
      <w:r w:rsidR="0086619A" w:rsidRPr="0086619A">
        <w:t>менее 10</w:t>
      </w:r>
      <w:r w:rsidR="0086619A">
        <w:t xml:space="preserve">% </w:t>
      </w:r>
      <w:r w:rsidR="0086619A" w:rsidRPr="0086619A">
        <w:t>средств</w:t>
      </w:r>
      <w:r w:rsidR="0086619A">
        <w:t xml:space="preserve">, </w:t>
      </w:r>
      <w:r w:rsidR="0086619A" w:rsidRPr="0086619A">
        <w:t>полученн</w:t>
      </w:r>
      <w:r w:rsidR="0086619A">
        <w:t>ых</w:t>
      </w:r>
      <w:r w:rsidR="0086619A" w:rsidRPr="0086619A">
        <w:t xml:space="preserve"> </w:t>
      </w:r>
      <w:r w:rsidR="0086619A">
        <w:t xml:space="preserve">в этой валюте. </w:t>
      </w:r>
      <w:r w:rsidR="0086619A" w:rsidRPr="0086619A">
        <w:t>С</w:t>
      </w:r>
      <w:r w:rsidR="006E2404" w:rsidRPr="0086619A">
        <w:t>ледует также</w:t>
      </w:r>
      <w:r w:rsidR="007D4D90" w:rsidRPr="0086619A">
        <w:t xml:space="preserve"> </w:t>
      </w:r>
      <w:r w:rsidR="0086619A">
        <w:t>отметить</w:t>
      </w:r>
      <w:r w:rsidR="008A38C8" w:rsidRPr="0086619A">
        <w:t xml:space="preserve">, что </w:t>
      </w:r>
      <w:r w:rsidR="0086619A">
        <w:t xml:space="preserve">в </w:t>
      </w:r>
      <w:r w:rsidR="00621377">
        <w:t xml:space="preserve">тот </w:t>
      </w:r>
      <w:r w:rsidR="006E2404" w:rsidRPr="0086619A">
        <w:t>месяц</w:t>
      </w:r>
      <w:r w:rsidR="0086619A">
        <w:t>,</w:t>
      </w:r>
      <w:r w:rsidR="007D4D90" w:rsidRPr="0086619A">
        <w:t xml:space="preserve"> </w:t>
      </w:r>
      <w:r w:rsidR="0086619A">
        <w:t xml:space="preserve">когда доступные </w:t>
      </w:r>
      <w:r w:rsidR="0086619A" w:rsidRPr="0086619A">
        <w:t>средств</w:t>
      </w:r>
      <w:r w:rsidR="0086619A">
        <w:t>а</w:t>
      </w:r>
      <w:r w:rsidR="0086619A" w:rsidRPr="0086619A">
        <w:t xml:space="preserve"> </w:t>
      </w:r>
      <w:r w:rsidR="0086619A">
        <w:t xml:space="preserve">в </w:t>
      </w:r>
      <w:r w:rsidR="00E33D8F" w:rsidRPr="0086619A">
        <w:t xml:space="preserve">долларах США </w:t>
      </w:r>
      <w:r w:rsidR="0086619A">
        <w:t xml:space="preserve">превысили </w:t>
      </w:r>
      <w:r w:rsidR="007D4D90" w:rsidRPr="0086619A">
        <w:t>70</w:t>
      </w:r>
      <w:r w:rsidR="0086619A">
        <w:t xml:space="preserve">% </w:t>
      </w:r>
      <w:r w:rsidR="006E2404" w:rsidRPr="0086619A">
        <w:t>процентов</w:t>
      </w:r>
      <w:r w:rsidR="007D4D90" w:rsidRPr="0086619A">
        <w:t xml:space="preserve"> </w:t>
      </w:r>
      <w:r w:rsidR="00621377">
        <w:t>доходов</w:t>
      </w:r>
      <w:r w:rsidR="002A0B71" w:rsidRPr="0086619A">
        <w:t xml:space="preserve"> </w:t>
      </w:r>
      <w:r w:rsidR="002A0B71">
        <w:rPr>
          <w:lang w:val="en-US"/>
        </w:rPr>
        <w:t>PCT</w:t>
      </w:r>
      <w:r w:rsidR="0086619A">
        <w:t xml:space="preserve">, это было связано с </w:t>
      </w:r>
      <w:r w:rsidR="006E2404" w:rsidRPr="0072176F">
        <w:t>разов</w:t>
      </w:r>
      <w:r w:rsidR="0086619A" w:rsidRPr="0072176F">
        <w:t>ым</w:t>
      </w:r>
      <w:r w:rsidR="006E2404" w:rsidRPr="0072176F">
        <w:t xml:space="preserve"> </w:t>
      </w:r>
      <w:r w:rsidR="006E2404" w:rsidRPr="0086619A">
        <w:t>изменение</w:t>
      </w:r>
      <w:r w:rsidR="0086619A">
        <w:t>м</w:t>
      </w:r>
      <w:r w:rsidR="006E2404" w:rsidRPr="0086619A">
        <w:t xml:space="preserve"> </w:t>
      </w:r>
      <w:r w:rsidR="0086619A">
        <w:t xml:space="preserve">законодательства </w:t>
      </w:r>
      <w:r w:rsidR="006E2404" w:rsidRPr="0086619A">
        <w:t>США</w:t>
      </w:r>
      <w:r w:rsidR="0086619A">
        <w:t>, регулирующего подачу</w:t>
      </w:r>
      <w:r w:rsidR="008A38C8" w:rsidRPr="0086619A">
        <w:t xml:space="preserve"> </w:t>
      </w:r>
      <w:r w:rsidR="0086619A" w:rsidRPr="0086619A">
        <w:t>з</w:t>
      </w:r>
      <w:r w:rsidR="008A38C8" w:rsidRPr="0086619A">
        <w:t>аявок</w:t>
      </w:r>
      <w:r w:rsidR="0086619A">
        <w:t xml:space="preserve"> </w:t>
      </w:r>
      <w:r w:rsidR="008A38C8" w:rsidRPr="0086619A">
        <w:t xml:space="preserve">по процедуре </w:t>
      </w:r>
      <w:r w:rsidR="008A38C8">
        <w:rPr>
          <w:lang w:val="en-US"/>
        </w:rPr>
        <w:t>PCT</w:t>
      </w:r>
      <w:r w:rsidR="007D4D90" w:rsidRPr="0086619A">
        <w:t xml:space="preserve">, </w:t>
      </w:r>
      <w:r w:rsidR="0086619A">
        <w:t xml:space="preserve">которое </w:t>
      </w:r>
      <w:r w:rsidR="003C028C">
        <w:t xml:space="preserve">вызвало крупный прирост </w:t>
      </w:r>
      <w:r w:rsidR="0086619A">
        <w:t xml:space="preserve">числа </w:t>
      </w:r>
      <w:r w:rsidR="008A38C8" w:rsidRPr="0086619A">
        <w:t xml:space="preserve">заявок на регистрацию </w:t>
      </w:r>
      <w:r w:rsidR="0086619A" w:rsidRPr="0086619A">
        <w:t xml:space="preserve">по процедуре </w:t>
      </w:r>
      <w:r w:rsidR="0086619A" w:rsidRPr="00C553E3">
        <w:rPr>
          <w:lang w:val="en-US"/>
        </w:rPr>
        <w:t>PCT</w:t>
      </w:r>
      <w:r w:rsidR="0086619A" w:rsidRPr="0086619A">
        <w:t xml:space="preserve"> </w:t>
      </w:r>
      <w:r w:rsidR="006E2404" w:rsidRPr="0086619A">
        <w:t>и</w:t>
      </w:r>
      <w:r w:rsidR="003C028C">
        <w:t>, соответственно, дохода</w:t>
      </w:r>
      <w:r w:rsidR="0086619A">
        <w:t xml:space="preserve"> </w:t>
      </w:r>
      <w:r w:rsidR="007D4D90" w:rsidRPr="00C553E3">
        <w:rPr>
          <w:lang w:val="en-US"/>
        </w:rPr>
        <w:t>PCT</w:t>
      </w:r>
      <w:r w:rsidR="007D4D90" w:rsidRPr="0086619A">
        <w:t xml:space="preserve"> </w:t>
      </w:r>
      <w:r w:rsidR="003C028C">
        <w:t xml:space="preserve">в виде </w:t>
      </w:r>
      <w:r w:rsidR="0086619A">
        <w:t>пошлин за подачу</w:t>
      </w:r>
      <w:r w:rsidR="003C028C">
        <w:t xml:space="preserve"> заявок</w:t>
      </w:r>
      <w:r w:rsidR="0086619A">
        <w:t xml:space="preserve">, получаемому в </w:t>
      </w:r>
      <w:r w:rsidR="00E33D8F" w:rsidRPr="0086619A">
        <w:t>долларах США</w:t>
      </w:r>
      <w:r w:rsidR="007D4D90" w:rsidRPr="0086619A">
        <w:t>.</w:t>
      </w:r>
    </w:p>
    <w:p w:rsidR="007D4D90" w:rsidRPr="0086619A" w:rsidRDefault="00572794" w:rsidP="00572794">
      <w:pPr>
        <w:pStyle w:val="ONUME"/>
        <w:numPr>
          <w:ilvl w:val="0"/>
          <w:numId w:val="0"/>
        </w:numPr>
        <w:rPr>
          <w:sz w:val="16"/>
          <w:szCs w:val="16"/>
        </w:rPr>
      </w:pPr>
      <w:r>
        <w:br w:type="page"/>
      </w:r>
    </w:p>
    <w:tbl>
      <w:tblPr>
        <w:tblW w:w="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0"/>
        <w:gridCol w:w="3034"/>
      </w:tblGrid>
      <w:tr w:rsidR="007D4D90" w:rsidRPr="00EF1729" w:rsidTr="0072176F">
        <w:trPr>
          <w:trHeight w:val="255"/>
          <w:jc w:val="center"/>
        </w:trPr>
        <w:tc>
          <w:tcPr>
            <w:tcW w:w="1580" w:type="dxa"/>
            <w:noWrap/>
            <w:vAlign w:val="bottom"/>
          </w:tcPr>
          <w:p w:rsidR="007D4D90" w:rsidRPr="00F367A9" w:rsidRDefault="006E2404" w:rsidP="00F367A9">
            <w:pPr>
              <w:spacing w:before="40" w:after="40"/>
              <w:jc w:val="center"/>
              <w:rPr>
                <w:rFonts w:eastAsia="Times New Roman"/>
                <w:b/>
                <w:color w:val="000000"/>
                <w:sz w:val="20"/>
                <w:lang w:eastAsia="en-US"/>
              </w:rPr>
            </w:pPr>
            <w:r>
              <w:rPr>
                <w:rFonts w:eastAsia="Times New Roman"/>
                <w:b/>
                <w:color w:val="000000"/>
                <w:sz w:val="20"/>
                <w:lang w:eastAsia="en-US"/>
              </w:rPr>
              <w:t>Месяц</w:t>
            </w:r>
          </w:p>
        </w:tc>
        <w:tc>
          <w:tcPr>
            <w:tcW w:w="3034" w:type="dxa"/>
            <w:noWrap/>
            <w:vAlign w:val="bottom"/>
          </w:tcPr>
          <w:p w:rsidR="007D4D90" w:rsidRPr="00E33D8F" w:rsidRDefault="0086619A" w:rsidP="00F367A9">
            <w:pPr>
              <w:spacing w:before="40" w:after="40"/>
              <w:jc w:val="center"/>
              <w:rPr>
                <w:rFonts w:eastAsia="Times New Roman"/>
                <w:b/>
                <w:color w:val="000000"/>
                <w:sz w:val="20"/>
                <w:lang w:val="ru-RU" w:eastAsia="en-US"/>
              </w:rPr>
            </w:pPr>
            <w:r>
              <w:rPr>
                <w:rFonts w:eastAsia="Times New Roman"/>
                <w:b/>
                <w:color w:val="000000"/>
                <w:sz w:val="20"/>
                <w:lang w:val="ru-RU" w:eastAsia="en-US"/>
              </w:rPr>
              <w:t xml:space="preserve">Доля </w:t>
            </w:r>
            <w:r w:rsidR="003C028C" w:rsidRPr="003C028C">
              <w:rPr>
                <w:rFonts w:eastAsia="Times New Roman"/>
                <w:b/>
                <w:color w:val="000000"/>
                <w:sz w:val="20"/>
                <w:lang w:val="ru-RU" w:eastAsia="en-US"/>
              </w:rPr>
              <w:t>доход</w:t>
            </w:r>
            <w:r w:rsidR="003C028C">
              <w:rPr>
                <w:rFonts w:eastAsia="Times New Roman"/>
                <w:b/>
                <w:color w:val="000000"/>
                <w:sz w:val="20"/>
                <w:lang w:val="ru-RU" w:eastAsia="en-US"/>
              </w:rPr>
              <w:t>ов</w:t>
            </w:r>
            <w:r w:rsidR="002A0B71" w:rsidRPr="00E33D8F">
              <w:rPr>
                <w:rFonts w:eastAsia="Times New Roman"/>
                <w:b/>
                <w:color w:val="000000"/>
                <w:sz w:val="20"/>
                <w:lang w:val="ru-RU" w:eastAsia="en-US"/>
              </w:rPr>
              <w:t xml:space="preserve"> </w:t>
            </w:r>
            <w:r w:rsidR="002A0B71">
              <w:rPr>
                <w:rFonts w:eastAsia="Times New Roman"/>
                <w:b/>
                <w:color w:val="000000"/>
                <w:sz w:val="20"/>
                <w:lang w:eastAsia="en-US"/>
              </w:rPr>
              <w:t>PCT</w:t>
            </w:r>
            <w:r>
              <w:rPr>
                <w:rFonts w:eastAsia="Times New Roman"/>
                <w:b/>
                <w:color w:val="000000"/>
                <w:sz w:val="20"/>
                <w:lang w:val="ru-RU" w:eastAsia="en-US"/>
              </w:rPr>
              <w:t>,</w:t>
            </w:r>
            <w:r w:rsidR="002A0B71" w:rsidRPr="00E33D8F">
              <w:rPr>
                <w:rFonts w:eastAsia="Times New Roman"/>
                <w:b/>
                <w:color w:val="000000"/>
                <w:sz w:val="20"/>
                <w:lang w:val="ru-RU" w:eastAsia="en-US"/>
              </w:rPr>
              <w:t xml:space="preserve"> </w:t>
            </w:r>
            <w:r w:rsidR="006E2404" w:rsidRPr="00E33D8F">
              <w:rPr>
                <w:rFonts w:eastAsia="Times New Roman"/>
                <w:b/>
                <w:color w:val="000000"/>
                <w:sz w:val="20"/>
                <w:lang w:val="ru-RU" w:eastAsia="en-US"/>
              </w:rPr>
              <w:t>полученн</w:t>
            </w:r>
            <w:r>
              <w:rPr>
                <w:rFonts w:eastAsia="Times New Roman"/>
                <w:b/>
                <w:color w:val="000000"/>
                <w:sz w:val="20"/>
                <w:lang w:val="ru-RU" w:eastAsia="en-US"/>
              </w:rPr>
              <w:t>ых</w:t>
            </w:r>
            <w:r w:rsidR="006E2404" w:rsidRPr="00E33D8F">
              <w:rPr>
                <w:rFonts w:eastAsia="Times New Roman"/>
                <w:b/>
                <w:color w:val="000000"/>
                <w:sz w:val="20"/>
                <w:lang w:val="ru-RU" w:eastAsia="en-US"/>
              </w:rPr>
              <w:t xml:space="preserve"> </w:t>
            </w:r>
            <w:r w:rsidR="002A2D74" w:rsidRPr="002A2D74">
              <w:rPr>
                <w:rFonts w:eastAsia="Times New Roman"/>
                <w:b/>
                <w:color w:val="000000"/>
                <w:sz w:val="20"/>
                <w:lang w:val="ru-RU" w:eastAsia="en-US"/>
              </w:rPr>
              <w:t>в долларах США</w:t>
            </w:r>
            <w:r>
              <w:rPr>
                <w:rFonts w:eastAsia="Times New Roman"/>
                <w:b/>
                <w:color w:val="000000"/>
                <w:sz w:val="20"/>
                <w:lang w:val="ru-RU" w:eastAsia="en-US"/>
              </w:rPr>
              <w:t>,</w:t>
            </w:r>
            <w:r w:rsidR="00E33D8F" w:rsidRPr="00E33D8F">
              <w:rPr>
                <w:rFonts w:eastAsia="Times New Roman"/>
                <w:b/>
                <w:color w:val="000000"/>
                <w:sz w:val="20"/>
                <w:lang w:val="ru-RU" w:eastAsia="en-US"/>
              </w:rPr>
              <w:t xml:space="preserve"> </w:t>
            </w:r>
            <w:r>
              <w:rPr>
                <w:rFonts w:eastAsia="Times New Roman"/>
                <w:b/>
                <w:color w:val="000000"/>
                <w:sz w:val="20"/>
                <w:lang w:val="ru-RU" w:eastAsia="en-US"/>
              </w:rPr>
              <w:t xml:space="preserve">доступных для </w:t>
            </w:r>
            <w:r w:rsidRPr="0086619A">
              <w:rPr>
                <w:rFonts w:eastAsia="Times New Roman"/>
                <w:b/>
                <w:color w:val="000000"/>
                <w:sz w:val="20"/>
                <w:lang w:val="ru-RU" w:eastAsia="en-US"/>
              </w:rPr>
              <w:t>заключени</w:t>
            </w:r>
            <w:r>
              <w:rPr>
                <w:rFonts w:eastAsia="Times New Roman"/>
                <w:b/>
                <w:color w:val="000000"/>
                <w:sz w:val="20"/>
                <w:lang w:val="ru-RU" w:eastAsia="en-US"/>
              </w:rPr>
              <w:t xml:space="preserve">я форвардных контрактов </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Янв</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45</w:t>
            </w:r>
            <w:r w:rsidR="0072176F">
              <w:rPr>
                <w:rFonts w:eastAsia="Times New Roman"/>
                <w:color w:val="000000"/>
                <w:sz w:val="20"/>
                <w:lang w:eastAsia="en-US"/>
              </w:rPr>
              <w:t>,</w:t>
            </w:r>
            <w:r w:rsidRPr="00EC2FFF">
              <w:rPr>
                <w:rFonts w:eastAsia="Times New Roman"/>
                <w:color w:val="000000"/>
                <w:sz w:val="20"/>
                <w:lang w:eastAsia="en-US"/>
              </w:rPr>
              <w:t>6%</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Фев</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23</w:t>
            </w:r>
            <w:r w:rsidR="0072176F">
              <w:rPr>
                <w:rFonts w:eastAsia="Times New Roman"/>
                <w:color w:val="000000"/>
                <w:sz w:val="20"/>
                <w:lang w:eastAsia="en-US"/>
              </w:rPr>
              <w:t>,</w:t>
            </w:r>
            <w:r w:rsidRPr="00EC2FFF">
              <w:rPr>
                <w:rFonts w:eastAsia="Times New Roman"/>
                <w:color w:val="000000"/>
                <w:sz w:val="20"/>
                <w:lang w:eastAsia="en-US"/>
              </w:rPr>
              <w:t>0%</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Мар</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42</w:t>
            </w:r>
            <w:r w:rsidR="0072176F">
              <w:rPr>
                <w:rFonts w:eastAsia="Times New Roman"/>
                <w:color w:val="000000"/>
                <w:sz w:val="20"/>
                <w:lang w:eastAsia="en-US"/>
              </w:rPr>
              <w:t>,</w:t>
            </w:r>
            <w:r w:rsidRPr="00EC2FFF">
              <w:rPr>
                <w:rFonts w:eastAsia="Times New Roman"/>
                <w:color w:val="000000"/>
                <w:sz w:val="20"/>
                <w:lang w:eastAsia="en-US"/>
              </w:rPr>
              <w:t>0%</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Апр</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71</w:t>
            </w:r>
            <w:r w:rsidR="0072176F">
              <w:rPr>
                <w:rFonts w:eastAsia="Times New Roman"/>
                <w:color w:val="000000"/>
                <w:sz w:val="20"/>
                <w:lang w:eastAsia="en-US"/>
              </w:rPr>
              <w:t>,</w:t>
            </w:r>
            <w:r w:rsidRPr="00EC2FFF">
              <w:rPr>
                <w:rFonts w:eastAsia="Times New Roman"/>
                <w:color w:val="000000"/>
                <w:sz w:val="20"/>
                <w:lang w:eastAsia="en-US"/>
              </w:rPr>
              <w:t>6%</w:t>
            </w:r>
          </w:p>
        </w:tc>
      </w:tr>
      <w:tr w:rsidR="007D4D90" w:rsidRPr="00EC2FFF" w:rsidTr="0072176F">
        <w:trPr>
          <w:trHeight w:val="255"/>
          <w:jc w:val="center"/>
        </w:trPr>
        <w:tc>
          <w:tcPr>
            <w:tcW w:w="1580" w:type="dxa"/>
            <w:noWrap/>
            <w:vAlign w:val="bottom"/>
          </w:tcPr>
          <w:p w:rsidR="007D4D90" w:rsidRPr="00EC2FFF" w:rsidRDefault="0072176F" w:rsidP="00F367A9">
            <w:pPr>
              <w:rPr>
                <w:rFonts w:eastAsia="Times New Roman"/>
                <w:color w:val="000000"/>
                <w:sz w:val="20"/>
                <w:lang w:eastAsia="en-US"/>
              </w:rPr>
            </w:pPr>
            <w:r>
              <w:rPr>
                <w:rFonts w:eastAsia="Times New Roman"/>
                <w:color w:val="000000"/>
                <w:sz w:val="20"/>
                <w:lang w:eastAsia="en-US"/>
              </w:rPr>
              <w:t>М</w:t>
            </w:r>
            <w:r w:rsidR="006E2404">
              <w:rPr>
                <w:rFonts w:eastAsia="Times New Roman"/>
                <w:color w:val="000000"/>
                <w:sz w:val="20"/>
                <w:lang w:eastAsia="en-US"/>
              </w:rPr>
              <w:t>а</w:t>
            </w:r>
            <w:r>
              <w:rPr>
                <w:rFonts w:eastAsia="Times New Roman"/>
                <w:color w:val="000000"/>
                <w:sz w:val="20"/>
                <w:lang w:val="ru-RU" w:eastAsia="en-US"/>
              </w:rPr>
              <w:t>й</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34</w:t>
            </w:r>
            <w:r w:rsidR="0072176F">
              <w:rPr>
                <w:rFonts w:eastAsia="Times New Roman"/>
                <w:color w:val="000000"/>
                <w:sz w:val="20"/>
                <w:lang w:eastAsia="en-US"/>
              </w:rPr>
              <w:t>,</w:t>
            </w:r>
            <w:r w:rsidRPr="00EC2FFF">
              <w:rPr>
                <w:rFonts w:eastAsia="Times New Roman"/>
                <w:color w:val="000000"/>
                <w:sz w:val="20"/>
                <w:lang w:eastAsia="en-US"/>
              </w:rPr>
              <w:t>1%</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Июн</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49</w:t>
            </w:r>
            <w:r w:rsidR="0072176F">
              <w:rPr>
                <w:rFonts w:eastAsia="Times New Roman"/>
                <w:color w:val="000000"/>
                <w:sz w:val="20"/>
                <w:lang w:eastAsia="en-US"/>
              </w:rPr>
              <w:t>,</w:t>
            </w:r>
            <w:r w:rsidRPr="00EC2FFF">
              <w:rPr>
                <w:rFonts w:eastAsia="Times New Roman"/>
                <w:color w:val="000000"/>
                <w:sz w:val="20"/>
                <w:lang w:eastAsia="en-US"/>
              </w:rPr>
              <w:t>9%</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Июл</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46</w:t>
            </w:r>
            <w:r w:rsidR="0072176F">
              <w:rPr>
                <w:rFonts w:eastAsia="Times New Roman"/>
                <w:color w:val="000000"/>
                <w:sz w:val="20"/>
                <w:lang w:eastAsia="en-US"/>
              </w:rPr>
              <w:t>,</w:t>
            </w:r>
            <w:r w:rsidRPr="00EC2FFF">
              <w:rPr>
                <w:rFonts w:eastAsia="Times New Roman"/>
                <w:color w:val="000000"/>
                <w:sz w:val="20"/>
                <w:lang w:eastAsia="en-US"/>
              </w:rPr>
              <w:t>2%</w:t>
            </w:r>
          </w:p>
        </w:tc>
      </w:tr>
      <w:tr w:rsidR="007D4D90" w:rsidRPr="00EC2FFF" w:rsidTr="0072176F">
        <w:trPr>
          <w:trHeight w:val="255"/>
          <w:jc w:val="center"/>
        </w:trPr>
        <w:tc>
          <w:tcPr>
            <w:tcW w:w="1580" w:type="dxa"/>
            <w:noWrap/>
            <w:vAlign w:val="bottom"/>
          </w:tcPr>
          <w:p w:rsidR="007D4D90" w:rsidRPr="00EC2FFF" w:rsidRDefault="0072176F" w:rsidP="00F367A9">
            <w:pPr>
              <w:rPr>
                <w:rFonts w:eastAsia="Times New Roman"/>
                <w:color w:val="000000"/>
                <w:sz w:val="20"/>
                <w:lang w:eastAsia="en-US"/>
              </w:rPr>
            </w:pPr>
            <w:r>
              <w:rPr>
                <w:rFonts w:eastAsia="Times New Roman"/>
                <w:color w:val="000000"/>
                <w:sz w:val="20"/>
                <w:lang w:val="ru-RU" w:eastAsia="en-US"/>
              </w:rPr>
              <w:t>Авг</w:t>
            </w:r>
            <w:r w:rsidR="008A38C8">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6</w:t>
            </w:r>
            <w:r w:rsidR="0072176F">
              <w:rPr>
                <w:rFonts w:eastAsia="Times New Roman"/>
                <w:color w:val="000000"/>
                <w:sz w:val="20"/>
                <w:lang w:eastAsia="en-US"/>
              </w:rPr>
              <w:t>,</w:t>
            </w:r>
            <w:r w:rsidRPr="00EC2FFF">
              <w:rPr>
                <w:rFonts w:eastAsia="Times New Roman"/>
                <w:color w:val="000000"/>
                <w:sz w:val="20"/>
                <w:lang w:eastAsia="en-US"/>
              </w:rPr>
              <w:t>5%</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Сен</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39</w:t>
            </w:r>
            <w:r w:rsidR="0072176F">
              <w:rPr>
                <w:rFonts w:eastAsia="Times New Roman"/>
                <w:color w:val="000000"/>
                <w:sz w:val="20"/>
                <w:lang w:eastAsia="en-US"/>
              </w:rPr>
              <w:t>,</w:t>
            </w:r>
            <w:r w:rsidRPr="00EC2FFF">
              <w:rPr>
                <w:rFonts w:eastAsia="Times New Roman"/>
                <w:color w:val="000000"/>
                <w:sz w:val="20"/>
                <w:lang w:eastAsia="en-US"/>
              </w:rPr>
              <w:t>2%</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Окт</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24</w:t>
            </w:r>
            <w:r w:rsidR="0072176F">
              <w:rPr>
                <w:rFonts w:eastAsia="Times New Roman"/>
                <w:color w:val="000000"/>
                <w:sz w:val="20"/>
                <w:lang w:eastAsia="en-US"/>
              </w:rPr>
              <w:t>,</w:t>
            </w:r>
            <w:r w:rsidRPr="00EC2FFF">
              <w:rPr>
                <w:rFonts w:eastAsia="Times New Roman"/>
                <w:color w:val="000000"/>
                <w:sz w:val="20"/>
                <w:lang w:eastAsia="en-US"/>
              </w:rPr>
              <w:t>5%</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Ноя</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47</w:t>
            </w:r>
            <w:r w:rsidR="0072176F">
              <w:rPr>
                <w:rFonts w:eastAsia="Times New Roman"/>
                <w:color w:val="000000"/>
                <w:sz w:val="20"/>
                <w:lang w:eastAsia="en-US"/>
              </w:rPr>
              <w:t>,</w:t>
            </w:r>
            <w:r w:rsidRPr="00EC2FFF">
              <w:rPr>
                <w:rFonts w:eastAsia="Times New Roman"/>
                <w:color w:val="000000"/>
                <w:sz w:val="20"/>
                <w:lang w:eastAsia="en-US"/>
              </w:rPr>
              <w:t>0%</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Дек</w:t>
            </w:r>
            <w:r w:rsidR="007D4D90" w:rsidRPr="00EC2FFF">
              <w:rPr>
                <w:rFonts w:eastAsia="Times New Roman"/>
                <w:color w:val="000000"/>
                <w:sz w:val="20"/>
                <w:lang w:eastAsia="en-US"/>
              </w:rPr>
              <w:t>-15</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-1</w:t>
            </w:r>
            <w:r w:rsidR="0072176F">
              <w:rPr>
                <w:rFonts w:eastAsia="Times New Roman"/>
                <w:color w:val="000000"/>
                <w:sz w:val="20"/>
                <w:lang w:eastAsia="en-US"/>
              </w:rPr>
              <w:t>,</w:t>
            </w:r>
            <w:r w:rsidRPr="00EC2FFF">
              <w:rPr>
                <w:rFonts w:eastAsia="Times New Roman"/>
                <w:color w:val="000000"/>
                <w:sz w:val="20"/>
                <w:lang w:eastAsia="en-US"/>
              </w:rPr>
              <w:t>9%</w:t>
            </w:r>
          </w:p>
        </w:tc>
      </w:tr>
      <w:tr w:rsidR="007D4D90" w:rsidRPr="00F367A9" w:rsidTr="0072176F">
        <w:trPr>
          <w:trHeight w:val="255"/>
          <w:jc w:val="center"/>
        </w:trPr>
        <w:tc>
          <w:tcPr>
            <w:tcW w:w="1580" w:type="dxa"/>
            <w:noWrap/>
            <w:vAlign w:val="bottom"/>
          </w:tcPr>
          <w:p w:rsidR="007D4D90" w:rsidRPr="0072176F" w:rsidRDefault="0072176F" w:rsidP="005D1415">
            <w:pPr>
              <w:jc w:val="center"/>
              <w:rPr>
                <w:rFonts w:eastAsia="Times New Roman"/>
                <w:b/>
                <w:color w:val="000000"/>
                <w:sz w:val="20"/>
                <w:lang w:val="ru-RU" w:eastAsia="en-US"/>
              </w:rPr>
            </w:pPr>
            <w:r>
              <w:rPr>
                <w:rFonts w:eastAsia="Times New Roman"/>
                <w:b/>
                <w:color w:val="000000"/>
                <w:sz w:val="20"/>
                <w:lang w:val="ru-RU" w:eastAsia="en-US"/>
              </w:rPr>
              <w:t xml:space="preserve">В среднем за </w:t>
            </w:r>
            <w:r w:rsidR="007D4D90" w:rsidRPr="0072176F">
              <w:rPr>
                <w:rFonts w:eastAsia="Times New Roman"/>
                <w:b/>
                <w:color w:val="000000"/>
                <w:sz w:val="20"/>
                <w:lang w:val="ru-RU" w:eastAsia="en-US"/>
              </w:rPr>
              <w:t>2015</w:t>
            </w:r>
            <w:r>
              <w:rPr>
                <w:rFonts w:eastAsia="Times New Roman"/>
                <w:b/>
                <w:color w:val="000000"/>
                <w:sz w:val="20"/>
                <w:lang w:val="ru-RU" w:eastAsia="en-US"/>
              </w:rPr>
              <w:t xml:space="preserve"> г.</w:t>
            </w:r>
          </w:p>
        </w:tc>
        <w:tc>
          <w:tcPr>
            <w:tcW w:w="3034" w:type="dxa"/>
            <w:noWrap/>
            <w:vAlign w:val="bottom"/>
          </w:tcPr>
          <w:p w:rsidR="007D4D90" w:rsidRPr="005D1415" w:rsidRDefault="007D4D90" w:rsidP="005D1415">
            <w:pPr>
              <w:jc w:val="center"/>
              <w:rPr>
                <w:rFonts w:eastAsia="Times New Roman"/>
                <w:b/>
                <w:color w:val="000000"/>
                <w:sz w:val="20"/>
                <w:lang w:eastAsia="en-US"/>
              </w:rPr>
            </w:pPr>
            <w:r w:rsidRPr="005D1415">
              <w:rPr>
                <w:rFonts w:eastAsia="Times New Roman"/>
                <w:b/>
                <w:color w:val="000000"/>
                <w:sz w:val="20"/>
                <w:lang w:eastAsia="en-US"/>
              </w:rPr>
              <w:t>38</w:t>
            </w:r>
            <w:r w:rsidR="0072176F">
              <w:rPr>
                <w:rFonts w:eastAsia="Times New Roman"/>
                <w:b/>
                <w:color w:val="000000"/>
                <w:sz w:val="20"/>
                <w:lang w:eastAsia="en-US"/>
              </w:rPr>
              <w:t>,</w:t>
            </w:r>
            <w:r w:rsidRPr="005D1415">
              <w:rPr>
                <w:rFonts w:eastAsia="Times New Roman"/>
                <w:b/>
                <w:color w:val="000000"/>
                <w:sz w:val="20"/>
                <w:lang w:eastAsia="en-US"/>
              </w:rPr>
              <w:t>3%</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Янв</w:t>
            </w:r>
            <w:r w:rsidR="007D4D90" w:rsidRPr="00EC2FFF">
              <w:rPr>
                <w:rFonts w:eastAsia="Times New Roman"/>
                <w:color w:val="000000"/>
                <w:sz w:val="20"/>
                <w:lang w:eastAsia="en-US"/>
              </w:rPr>
              <w:t>-16</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48</w:t>
            </w:r>
            <w:r w:rsidR="0072176F">
              <w:rPr>
                <w:rFonts w:eastAsia="Times New Roman"/>
                <w:color w:val="000000"/>
                <w:sz w:val="20"/>
                <w:lang w:eastAsia="en-US"/>
              </w:rPr>
              <w:t>,</w:t>
            </w:r>
            <w:r w:rsidRPr="00EC2FFF">
              <w:rPr>
                <w:rFonts w:eastAsia="Times New Roman"/>
                <w:color w:val="000000"/>
                <w:sz w:val="20"/>
                <w:lang w:eastAsia="en-US"/>
              </w:rPr>
              <w:t>9%</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Фев</w:t>
            </w:r>
            <w:r w:rsidR="007D4D90" w:rsidRPr="00EC2FFF">
              <w:rPr>
                <w:rFonts w:eastAsia="Times New Roman"/>
                <w:color w:val="000000"/>
                <w:sz w:val="20"/>
                <w:lang w:eastAsia="en-US"/>
              </w:rPr>
              <w:t>-16</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-6</w:t>
            </w:r>
            <w:r w:rsidR="0072176F">
              <w:rPr>
                <w:rFonts w:eastAsia="Times New Roman"/>
                <w:color w:val="000000"/>
                <w:sz w:val="20"/>
                <w:lang w:eastAsia="en-US"/>
              </w:rPr>
              <w:t>,</w:t>
            </w:r>
            <w:r w:rsidRPr="00EC2FFF">
              <w:rPr>
                <w:rFonts w:eastAsia="Times New Roman"/>
                <w:color w:val="000000"/>
                <w:sz w:val="20"/>
                <w:lang w:eastAsia="en-US"/>
              </w:rPr>
              <w:t>4%</w:t>
            </w:r>
          </w:p>
        </w:tc>
      </w:tr>
      <w:tr w:rsidR="007D4D90" w:rsidRPr="00EC2FFF" w:rsidTr="0072176F">
        <w:trPr>
          <w:trHeight w:val="300"/>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Мар</w:t>
            </w:r>
            <w:r w:rsidR="007D4D90" w:rsidRPr="00EC2FFF">
              <w:rPr>
                <w:rFonts w:eastAsia="Times New Roman"/>
                <w:color w:val="000000"/>
                <w:sz w:val="20"/>
                <w:lang w:eastAsia="en-US"/>
              </w:rPr>
              <w:t>-16</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42</w:t>
            </w:r>
            <w:r w:rsidR="0072176F">
              <w:rPr>
                <w:rFonts w:eastAsia="Times New Roman"/>
                <w:color w:val="000000"/>
                <w:sz w:val="20"/>
                <w:lang w:eastAsia="en-US"/>
              </w:rPr>
              <w:t>,</w:t>
            </w:r>
            <w:r w:rsidRPr="00EC2FFF">
              <w:rPr>
                <w:rFonts w:eastAsia="Times New Roman"/>
                <w:color w:val="000000"/>
                <w:sz w:val="20"/>
                <w:lang w:eastAsia="en-US"/>
              </w:rPr>
              <w:t>5%</w:t>
            </w:r>
          </w:p>
        </w:tc>
      </w:tr>
      <w:tr w:rsidR="007D4D90" w:rsidRPr="00EC2FFF" w:rsidTr="0072176F">
        <w:trPr>
          <w:trHeight w:val="255"/>
          <w:jc w:val="center"/>
        </w:trPr>
        <w:tc>
          <w:tcPr>
            <w:tcW w:w="1580" w:type="dxa"/>
            <w:noWrap/>
            <w:vAlign w:val="bottom"/>
          </w:tcPr>
          <w:p w:rsidR="007D4D90" w:rsidRPr="00EC2FFF" w:rsidRDefault="006E2404" w:rsidP="00F367A9">
            <w:pPr>
              <w:rPr>
                <w:rFonts w:eastAsia="Times New Roman"/>
                <w:color w:val="000000"/>
                <w:sz w:val="20"/>
                <w:lang w:eastAsia="en-US"/>
              </w:rPr>
            </w:pPr>
            <w:r>
              <w:rPr>
                <w:rFonts w:eastAsia="Times New Roman"/>
                <w:color w:val="000000"/>
                <w:sz w:val="20"/>
                <w:lang w:eastAsia="en-US"/>
              </w:rPr>
              <w:t>Апр</w:t>
            </w:r>
            <w:r w:rsidR="007D4D90" w:rsidRPr="00EC2FFF">
              <w:rPr>
                <w:rFonts w:eastAsia="Times New Roman"/>
                <w:color w:val="000000"/>
                <w:sz w:val="20"/>
                <w:lang w:eastAsia="en-US"/>
              </w:rPr>
              <w:t>-16</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51</w:t>
            </w:r>
            <w:r w:rsidR="0072176F">
              <w:rPr>
                <w:rFonts w:eastAsia="Times New Roman"/>
                <w:color w:val="000000"/>
                <w:sz w:val="20"/>
                <w:lang w:eastAsia="en-US"/>
              </w:rPr>
              <w:t>,</w:t>
            </w:r>
            <w:r w:rsidRPr="00EC2FFF">
              <w:rPr>
                <w:rFonts w:eastAsia="Times New Roman"/>
                <w:color w:val="000000"/>
                <w:sz w:val="20"/>
                <w:lang w:eastAsia="en-US"/>
              </w:rPr>
              <w:t>9%</w:t>
            </w:r>
          </w:p>
        </w:tc>
      </w:tr>
      <w:tr w:rsidR="007D4D90" w:rsidRPr="00EC2FFF" w:rsidTr="0072176F">
        <w:trPr>
          <w:trHeight w:val="255"/>
          <w:jc w:val="center"/>
        </w:trPr>
        <w:tc>
          <w:tcPr>
            <w:tcW w:w="1580" w:type="dxa"/>
            <w:noWrap/>
            <w:vAlign w:val="bottom"/>
          </w:tcPr>
          <w:p w:rsidR="007D4D90" w:rsidRPr="00EC2FFF" w:rsidRDefault="0072176F" w:rsidP="00F367A9">
            <w:pPr>
              <w:rPr>
                <w:rFonts w:eastAsia="Times New Roman"/>
                <w:color w:val="000000"/>
                <w:sz w:val="20"/>
                <w:lang w:eastAsia="en-US"/>
              </w:rPr>
            </w:pPr>
            <w:r>
              <w:rPr>
                <w:rFonts w:eastAsia="Times New Roman"/>
                <w:color w:val="000000"/>
                <w:sz w:val="20"/>
                <w:lang w:eastAsia="en-US"/>
              </w:rPr>
              <w:t>М</w:t>
            </w:r>
            <w:r w:rsidR="006E2404">
              <w:rPr>
                <w:rFonts w:eastAsia="Times New Roman"/>
                <w:color w:val="000000"/>
                <w:sz w:val="20"/>
                <w:lang w:eastAsia="en-US"/>
              </w:rPr>
              <w:t>а</w:t>
            </w:r>
            <w:r>
              <w:rPr>
                <w:rFonts w:eastAsia="Times New Roman"/>
                <w:color w:val="000000"/>
                <w:sz w:val="20"/>
                <w:lang w:val="ru-RU" w:eastAsia="en-US"/>
              </w:rPr>
              <w:t>й</w:t>
            </w:r>
            <w:r w:rsidR="007D4D90">
              <w:rPr>
                <w:rFonts w:eastAsia="Times New Roman"/>
                <w:color w:val="000000"/>
                <w:sz w:val="20"/>
                <w:lang w:eastAsia="en-US"/>
              </w:rPr>
              <w:t>-16</w:t>
            </w:r>
          </w:p>
        </w:tc>
        <w:tc>
          <w:tcPr>
            <w:tcW w:w="3034" w:type="dxa"/>
            <w:noWrap/>
            <w:vAlign w:val="bottom"/>
          </w:tcPr>
          <w:p w:rsidR="007D4D90" w:rsidRPr="00EC2FFF" w:rsidRDefault="007D4D90" w:rsidP="00F367A9">
            <w:pPr>
              <w:jc w:val="center"/>
              <w:rPr>
                <w:rFonts w:eastAsia="Times New Roman"/>
                <w:color w:val="000000"/>
                <w:sz w:val="20"/>
                <w:lang w:eastAsia="en-US"/>
              </w:rPr>
            </w:pPr>
            <w:r w:rsidRPr="00EC2FFF">
              <w:rPr>
                <w:rFonts w:eastAsia="Times New Roman"/>
                <w:color w:val="000000"/>
                <w:sz w:val="20"/>
                <w:lang w:eastAsia="en-US"/>
              </w:rPr>
              <w:t>18</w:t>
            </w:r>
            <w:r w:rsidR="0072176F">
              <w:rPr>
                <w:rFonts w:eastAsia="Times New Roman"/>
                <w:color w:val="000000"/>
                <w:sz w:val="20"/>
                <w:lang w:eastAsia="en-US"/>
              </w:rPr>
              <w:t>,</w:t>
            </w:r>
            <w:r w:rsidRPr="00EC2FFF">
              <w:rPr>
                <w:rFonts w:eastAsia="Times New Roman"/>
                <w:color w:val="000000"/>
                <w:sz w:val="20"/>
                <w:lang w:eastAsia="en-US"/>
              </w:rPr>
              <w:t>6%</w:t>
            </w:r>
          </w:p>
        </w:tc>
      </w:tr>
      <w:tr w:rsidR="007D4D90" w:rsidRPr="00F367A9" w:rsidTr="0072176F">
        <w:trPr>
          <w:trHeight w:val="255"/>
          <w:jc w:val="center"/>
        </w:trPr>
        <w:tc>
          <w:tcPr>
            <w:tcW w:w="1580" w:type="dxa"/>
            <w:noWrap/>
            <w:vAlign w:val="bottom"/>
          </w:tcPr>
          <w:p w:rsidR="007D4D90" w:rsidRPr="0072176F" w:rsidRDefault="0072176F" w:rsidP="005D1415">
            <w:pPr>
              <w:jc w:val="center"/>
              <w:rPr>
                <w:rFonts w:eastAsia="Times New Roman"/>
                <w:b/>
                <w:color w:val="000000"/>
                <w:sz w:val="20"/>
                <w:lang w:val="ru-RU" w:eastAsia="en-US"/>
              </w:rPr>
            </w:pPr>
            <w:r>
              <w:rPr>
                <w:rFonts w:eastAsia="Times New Roman"/>
                <w:b/>
                <w:color w:val="000000"/>
                <w:sz w:val="20"/>
                <w:lang w:val="ru-RU" w:eastAsia="en-US"/>
              </w:rPr>
              <w:t xml:space="preserve">В среднем за </w:t>
            </w:r>
            <w:r w:rsidR="007D4D90" w:rsidRPr="00F367A9">
              <w:rPr>
                <w:rFonts w:eastAsia="Times New Roman"/>
                <w:b/>
                <w:color w:val="000000"/>
                <w:sz w:val="20"/>
                <w:lang w:eastAsia="en-US"/>
              </w:rPr>
              <w:t>2016</w:t>
            </w:r>
            <w:r>
              <w:rPr>
                <w:rFonts w:eastAsia="Times New Roman"/>
                <w:b/>
                <w:color w:val="000000"/>
                <w:sz w:val="20"/>
                <w:lang w:val="ru-RU" w:eastAsia="en-US"/>
              </w:rPr>
              <w:t xml:space="preserve"> г.</w:t>
            </w:r>
          </w:p>
        </w:tc>
        <w:tc>
          <w:tcPr>
            <w:tcW w:w="3034" w:type="dxa"/>
            <w:noWrap/>
            <w:vAlign w:val="bottom"/>
          </w:tcPr>
          <w:p w:rsidR="007D4D90" w:rsidRPr="00F367A9" w:rsidRDefault="007D4D90" w:rsidP="00F367A9">
            <w:pPr>
              <w:jc w:val="center"/>
              <w:rPr>
                <w:rFonts w:eastAsia="Times New Roman"/>
                <w:b/>
                <w:color w:val="000000"/>
                <w:sz w:val="20"/>
                <w:lang w:eastAsia="en-US"/>
              </w:rPr>
            </w:pPr>
            <w:r w:rsidRPr="00F367A9">
              <w:rPr>
                <w:rFonts w:eastAsia="Times New Roman"/>
                <w:b/>
                <w:color w:val="000000"/>
                <w:sz w:val="20"/>
                <w:lang w:eastAsia="en-US"/>
              </w:rPr>
              <w:t>32</w:t>
            </w:r>
            <w:r w:rsidR="0072176F">
              <w:rPr>
                <w:rFonts w:eastAsia="Times New Roman"/>
                <w:b/>
                <w:color w:val="000000"/>
                <w:sz w:val="20"/>
                <w:lang w:eastAsia="en-US"/>
              </w:rPr>
              <w:t>,</w:t>
            </w:r>
            <w:r w:rsidRPr="00F367A9">
              <w:rPr>
                <w:rFonts w:eastAsia="Times New Roman"/>
                <w:b/>
                <w:color w:val="000000"/>
                <w:sz w:val="20"/>
                <w:lang w:eastAsia="en-US"/>
              </w:rPr>
              <w:t>8%</w:t>
            </w:r>
          </w:p>
        </w:tc>
      </w:tr>
      <w:tr w:rsidR="007D4D90" w:rsidRPr="00EC2FFF" w:rsidTr="0072176F">
        <w:trPr>
          <w:trHeight w:val="255"/>
          <w:jc w:val="center"/>
        </w:trPr>
        <w:tc>
          <w:tcPr>
            <w:tcW w:w="1580" w:type="dxa"/>
            <w:noWrap/>
            <w:vAlign w:val="bottom"/>
          </w:tcPr>
          <w:p w:rsidR="007D4D90" w:rsidRPr="00F367A9" w:rsidRDefault="0072176F" w:rsidP="00F367A9">
            <w:pPr>
              <w:rPr>
                <w:rFonts w:eastAsia="Times New Roman"/>
                <w:b/>
                <w:color w:val="000000"/>
                <w:sz w:val="20"/>
                <w:lang w:eastAsia="en-US"/>
              </w:rPr>
            </w:pPr>
            <w:r>
              <w:rPr>
                <w:rFonts w:eastAsia="Times New Roman"/>
                <w:b/>
                <w:color w:val="000000"/>
                <w:sz w:val="20"/>
                <w:lang w:val="ru-RU" w:eastAsia="en-US"/>
              </w:rPr>
              <w:t xml:space="preserve">Общая </w:t>
            </w:r>
            <w:r>
              <w:rPr>
                <w:rFonts w:eastAsia="Times New Roman"/>
                <w:b/>
                <w:color w:val="000000"/>
                <w:sz w:val="20"/>
                <w:lang w:eastAsia="en-US"/>
              </w:rPr>
              <w:t>с</w:t>
            </w:r>
            <w:r w:rsidR="006E2404">
              <w:rPr>
                <w:rFonts w:eastAsia="Times New Roman"/>
                <w:b/>
                <w:color w:val="000000"/>
                <w:sz w:val="20"/>
                <w:lang w:eastAsia="en-US"/>
              </w:rPr>
              <w:t>редн</w:t>
            </w:r>
            <w:r>
              <w:rPr>
                <w:rFonts w:eastAsia="Times New Roman"/>
                <w:b/>
                <w:color w:val="000000"/>
                <w:sz w:val="20"/>
                <w:lang w:val="ru-RU" w:eastAsia="en-US"/>
              </w:rPr>
              <w:t>яя</w:t>
            </w:r>
          </w:p>
        </w:tc>
        <w:tc>
          <w:tcPr>
            <w:tcW w:w="3034" w:type="dxa"/>
            <w:noWrap/>
            <w:vAlign w:val="bottom"/>
          </w:tcPr>
          <w:p w:rsidR="007D4D90" w:rsidRPr="00F367A9" w:rsidRDefault="007D4D90" w:rsidP="00F367A9">
            <w:pPr>
              <w:jc w:val="center"/>
              <w:rPr>
                <w:rFonts w:eastAsia="Times New Roman"/>
                <w:b/>
                <w:color w:val="000000"/>
                <w:sz w:val="20"/>
                <w:lang w:eastAsia="en-US"/>
              </w:rPr>
            </w:pPr>
            <w:r w:rsidRPr="00F367A9">
              <w:rPr>
                <w:rFonts w:eastAsia="Times New Roman"/>
                <w:b/>
                <w:color w:val="000000"/>
                <w:sz w:val="20"/>
                <w:lang w:eastAsia="en-US"/>
              </w:rPr>
              <w:t>36</w:t>
            </w:r>
            <w:r w:rsidR="0072176F">
              <w:rPr>
                <w:rFonts w:eastAsia="Times New Roman"/>
                <w:b/>
                <w:color w:val="000000"/>
                <w:sz w:val="20"/>
                <w:lang w:eastAsia="en-US"/>
              </w:rPr>
              <w:t>,</w:t>
            </w:r>
            <w:r w:rsidRPr="00F367A9">
              <w:rPr>
                <w:rFonts w:eastAsia="Times New Roman"/>
                <w:b/>
                <w:color w:val="000000"/>
                <w:sz w:val="20"/>
                <w:lang w:eastAsia="en-US"/>
              </w:rPr>
              <w:t>8%</w:t>
            </w:r>
          </w:p>
        </w:tc>
      </w:tr>
    </w:tbl>
    <w:p w:rsidR="007D4D90" w:rsidRDefault="007D4D90" w:rsidP="00E27A77"/>
    <w:p w:rsidR="007D4D90" w:rsidRDefault="00D4176C" w:rsidP="00667ED6">
      <w:pPr>
        <w:jc w:val="center"/>
      </w:pPr>
      <w:r>
        <w:rPr>
          <w:noProof/>
          <w:lang w:eastAsia="en-US"/>
        </w:rPr>
        <w:drawing>
          <wp:inline distT="0" distB="0" distL="0" distR="0" wp14:anchorId="0555DCE3" wp14:editId="4A0799AD">
            <wp:extent cx="4452731" cy="3252084"/>
            <wp:effectExtent l="0" t="0" r="24130" b="24765"/>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1729" w:rsidRDefault="00EF1729">
      <w:pPr>
        <w:rPr>
          <w:lang w:val="ru-RU"/>
        </w:rPr>
      </w:pPr>
      <w:r>
        <w:rPr>
          <w:lang w:val="ru-RU"/>
        </w:rPr>
        <w:t>Легенда: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852"/>
      </w:tblGrid>
      <w:tr w:rsidR="00EF1729" w:rsidTr="00367606">
        <w:tc>
          <w:tcPr>
            <w:tcW w:w="250" w:type="dxa"/>
            <w:shd w:val="clear" w:color="auto" w:fill="548DD4" w:themeFill="text2" w:themeFillTint="99"/>
          </w:tcPr>
          <w:p w:rsidR="00EF1729" w:rsidRDefault="00EF1729" w:rsidP="00367606">
            <w:pPr>
              <w:rPr>
                <w:lang w:val="ru-RU"/>
              </w:rPr>
            </w:pPr>
          </w:p>
        </w:tc>
        <w:tc>
          <w:tcPr>
            <w:tcW w:w="8852" w:type="dxa"/>
          </w:tcPr>
          <w:p w:rsidR="00EF1729" w:rsidRPr="00EF1729" w:rsidRDefault="00EF1729" w:rsidP="00EF1729">
            <w:pPr>
              <w:rPr>
                <w:sz w:val="20"/>
                <w:lang w:val="ru-RU"/>
              </w:rPr>
            </w:pPr>
            <w:r>
              <w:rPr>
                <w:sz w:val="20"/>
                <w:lang w:val="ru-RU"/>
              </w:rPr>
              <w:t>Доходы</w:t>
            </w:r>
            <w:r w:rsidRPr="00EF1729">
              <w:rPr>
                <w:sz w:val="20"/>
                <w:lang w:val="ru-RU"/>
              </w:rPr>
              <w:t xml:space="preserve"> РСТ, полученны</w:t>
            </w:r>
            <w:r>
              <w:rPr>
                <w:sz w:val="20"/>
                <w:lang w:val="ru-RU"/>
              </w:rPr>
              <w:t>е</w:t>
            </w:r>
            <w:r w:rsidRPr="00EF1729">
              <w:rPr>
                <w:sz w:val="20"/>
                <w:lang w:val="ru-RU"/>
              </w:rPr>
              <w:t xml:space="preserve"> в </w:t>
            </w:r>
            <w:r>
              <w:rPr>
                <w:sz w:val="20"/>
                <w:lang w:val="ru-RU"/>
              </w:rPr>
              <w:t>долл. США</w:t>
            </w:r>
          </w:p>
        </w:tc>
      </w:tr>
      <w:tr w:rsidR="00EF1729" w:rsidTr="00367606">
        <w:tc>
          <w:tcPr>
            <w:tcW w:w="250" w:type="dxa"/>
            <w:shd w:val="clear" w:color="auto" w:fill="943634" w:themeFill="accent2" w:themeFillShade="BF"/>
          </w:tcPr>
          <w:p w:rsidR="00EF1729" w:rsidRDefault="00EF1729" w:rsidP="00367606">
            <w:pPr>
              <w:rPr>
                <w:lang w:val="ru-RU"/>
              </w:rPr>
            </w:pPr>
          </w:p>
        </w:tc>
        <w:tc>
          <w:tcPr>
            <w:tcW w:w="8852" w:type="dxa"/>
          </w:tcPr>
          <w:p w:rsidR="00EF1729" w:rsidRPr="00EF1729" w:rsidRDefault="00EF1729" w:rsidP="00EF1729">
            <w:pPr>
              <w:rPr>
                <w:sz w:val="20"/>
                <w:lang w:val="ru-RU"/>
              </w:rPr>
            </w:pPr>
            <w:r w:rsidRPr="00EF1729">
              <w:rPr>
                <w:sz w:val="20"/>
                <w:lang w:val="ru-RU"/>
              </w:rPr>
              <w:t xml:space="preserve">Остаток средств в </w:t>
            </w:r>
            <w:r>
              <w:rPr>
                <w:sz w:val="20"/>
                <w:lang w:val="ru-RU"/>
              </w:rPr>
              <w:t>долл. США</w:t>
            </w:r>
            <w:r w:rsidRPr="00EF1729">
              <w:rPr>
                <w:sz w:val="20"/>
                <w:lang w:val="ru-RU"/>
              </w:rPr>
              <w:t xml:space="preserve">, </w:t>
            </w:r>
            <w:r>
              <w:rPr>
                <w:sz w:val="20"/>
                <w:lang w:val="ru-RU"/>
              </w:rPr>
              <w:t>доступный</w:t>
            </w:r>
            <w:r w:rsidRPr="00EF1729">
              <w:rPr>
                <w:sz w:val="20"/>
                <w:lang w:val="ru-RU"/>
              </w:rPr>
              <w:t xml:space="preserve"> для приобретения форвардных контрактов</w:t>
            </w:r>
          </w:p>
        </w:tc>
      </w:tr>
    </w:tbl>
    <w:p w:rsidR="00EF1729" w:rsidRDefault="00EF1729">
      <w:pPr>
        <w:rPr>
          <w:lang w:val="ru-RU"/>
        </w:rPr>
      </w:pPr>
    </w:p>
    <w:p w:rsidR="00EF1729" w:rsidRDefault="00EF1729">
      <w:pPr>
        <w:rPr>
          <w:lang w:val="ru-RU"/>
        </w:rPr>
      </w:pPr>
      <w:r w:rsidRPr="00EF1729">
        <w:rPr>
          <w:lang w:val="ru-RU"/>
        </w:rPr>
        <w:br w:type="page"/>
      </w:r>
    </w:p>
    <w:p w:rsidR="007D4D90" w:rsidRPr="00DD79AF" w:rsidRDefault="0072176F" w:rsidP="00D84079">
      <w:pPr>
        <w:pStyle w:val="ONUME"/>
        <w:numPr>
          <w:ilvl w:val="0"/>
          <w:numId w:val="16"/>
        </w:numPr>
        <w:ind w:left="0" w:firstLine="0"/>
      </w:pPr>
      <w:r>
        <w:t>Как</w:t>
      </w:r>
      <w:r w:rsidRPr="0072176F">
        <w:t xml:space="preserve"> </w:t>
      </w:r>
      <w:r>
        <w:t>видно</w:t>
      </w:r>
      <w:r w:rsidRPr="0072176F">
        <w:t xml:space="preserve"> </w:t>
      </w:r>
      <w:r>
        <w:t>из</w:t>
      </w:r>
      <w:r w:rsidRPr="0072176F">
        <w:t xml:space="preserve"> </w:t>
      </w:r>
      <w:r>
        <w:t>приводимых</w:t>
      </w:r>
      <w:r w:rsidRPr="0072176F">
        <w:t xml:space="preserve"> </w:t>
      </w:r>
      <w:r>
        <w:t>выше</w:t>
      </w:r>
      <w:r w:rsidRPr="0072176F">
        <w:t xml:space="preserve"> </w:t>
      </w:r>
      <w:r>
        <w:t>таблицы</w:t>
      </w:r>
      <w:r w:rsidR="007D4D90" w:rsidRPr="0072176F">
        <w:t xml:space="preserve"> </w:t>
      </w:r>
      <w:r w:rsidR="006E2404" w:rsidRPr="0072176F">
        <w:t>и</w:t>
      </w:r>
      <w:r w:rsidR="007D4D90" w:rsidRPr="0072176F">
        <w:t xml:space="preserve"> </w:t>
      </w:r>
      <w:r>
        <w:t>графика</w:t>
      </w:r>
      <w:r w:rsidR="007D4D90" w:rsidRPr="0072176F">
        <w:t xml:space="preserve">, </w:t>
      </w:r>
      <w:r w:rsidR="0011288A" w:rsidRPr="00733198">
        <w:t>только</w:t>
      </w:r>
      <w:r w:rsidR="0011288A" w:rsidRPr="0072176F">
        <w:t xml:space="preserve"> </w:t>
      </w:r>
      <w:r w:rsidR="0011288A">
        <w:t>в один</w:t>
      </w:r>
      <w:r w:rsidR="0011288A" w:rsidRPr="0072176F">
        <w:t xml:space="preserve"> месяц</w:t>
      </w:r>
      <w:r w:rsidR="0011288A">
        <w:t xml:space="preserve"> из </w:t>
      </w:r>
      <w:r>
        <w:t>всего</w:t>
      </w:r>
      <w:r w:rsidRPr="0072176F">
        <w:t xml:space="preserve"> </w:t>
      </w:r>
      <w:r w:rsidR="007D4D90" w:rsidRPr="0072176F">
        <w:t>17</w:t>
      </w:r>
      <w:r w:rsidRPr="0072176F">
        <w:t>-</w:t>
      </w:r>
      <w:r>
        <w:t>месячного</w:t>
      </w:r>
      <w:r w:rsidR="007D4D90" w:rsidRPr="0072176F">
        <w:t xml:space="preserve"> </w:t>
      </w:r>
      <w:r w:rsidR="006E2404" w:rsidRPr="0072176F">
        <w:t>период</w:t>
      </w:r>
      <w:r>
        <w:t xml:space="preserve">а </w:t>
      </w:r>
      <w:r w:rsidR="00E33D8F" w:rsidRPr="0072176F">
        <w:t>доступн</w:t>
      </w:r>
      <w:r>
        <w:t>ых</w:t>
      </w:r>
      <w:r w:rsidR="00E33D8F" w:rsidRPr="0072176F">
        <w:t xml:space="preserve"> </w:t>
      </w:r>
      <w:r>
        <w:t>средств</w:t>
      </w:r>
      <w:r w:rsidRPr="0072176F">
        <w:t xml:space="preserve"> </w:t>
      </w:r>
      <w:r w:rsidR="002A2D74" w:rsidRPr="0072176F">
        <w:t>в долларах США</w:t>
      </w:r>
      <w:r w:rsidR="00E33D8F" w:rsidRPr="0072176F">
        <w:t xml:space="preserve"> </w:t>
      </w:r>
      <w:r w:rsidR="003E6D3C">
        <w:t xml:space="preserve">оказалось </w:t>
      </w:r>
      <w:r w:rsidRPr="0072176F">
        <w:t>достаточн</w:t>
      </w:r>
      <w:r>
        <w:t>о</w:t>
      </w:r>
      <w:r w:rsidRPr="0072176F">
        <w:t xml:space="preserve"> </w:t>
      </w:r>
      <w:r w:rsidR="0065069A" w:rsidRPr="0072176F">
        <w:t xml:space="preserve">для </w:t>
      </w:r>
      <w:r w:rsidR="00DC60A9">
        <w:t xml:space="preserve">обеспечения хеджирования доходов РСТ, полученных в долларах США, хотя бы на уровне нижнего </w:t>
      </w:r>
      <w:r w:rsidR="007D4D90" w:rsidRPr="0072176F">
        <w:t>(70</w:t>
      </w:r>
      <w:r>
        <w:t>%)</w:t>
      </w:r>
      <w:r w:rsidR="007D4D90" w:rsidRPr="0072176F">
        <w:t xml:space="preserve">, </w:t>
      </w:r>
      <w:r w:rsidR="006E2404" w:rsidRPr="0072176F">
        <w:t>и</w:t>
      </w:r>
      <w:r w:rsidR="007D4D90" w:rsidRPr="0072176F">
        <w:t xml:space="preserve"> </w:t>
      </w:r>
      <w:r>
        <w:t xml:space="preserve">это было связано с </w:t>
      </w:r>
      <w:r w:rsidR="006E2404" w:rsidRPr="0072176F">
        <w:t>разов</w:t>
      </w:r>
      <w:r>
        <w:t>ым</w:t>
      </w:r>
      <w:r w:rsidR="006E2404" w:rsidRPr="0072176F">
        <w:t xml:space="preserve"> изменение</w:t>
      </w:r>
      <w:r>
        <w:t xml:space="preserve">м </w:t>
      </w:r>
      <w:r w:rsidRPr="0072176F">
        <w:t>законодательства США, регулирующего подачу заявок по процедуре PCT</w:t>
      </w:r>
      <w:r w:rsidR="007D4D90" w:rsidRPr="0072176F">
        <w:t xml:space="preserve">.  </w:t>
      </w:r>
      <w:r w:rsidR="006E2404" w:rsidRPr="0072176F">
        <w:t xml:space="preserve">Поскольку </w:t>
      </w:r>
      <w:r w:rsidR="007D4D90" w:rsidRPr="0072176F">
        <w:t>40</w:t>
      </w:r>
      <w:r>
        <w:t xml:space="preserve">% </w:t>
      </w:r>
      <w:r w:rsidR="003E6D3C">
        <w:t>доходов</w:t>
      </w:r>
      <w:r w:rsidR="002A0B71" w:rsidRPr="0072176F">
        <w:t xml:space="preserve"> </w:t>
      </w:r>
      <w:r w:rsidR="002A0B71">
        <w:rPr>
          <w:lang w:val="en-US"/>
        </w:rPr>
        <w:t>PCT</w:t>
      </w:r>
      <w:r>
        <w:t xml:space="preserve"> поступает </w:t>
      </w:r>
      <w:r w:rsidR="002A2D74" w:rsidRPr="0072176F">
        <w:t>в долларах США</w:t>
      </w:r>
      <w:r w:rsidR="007D4D90" w:rsidRPr="0072176F">
        <w:t xml:space="preserve">, </w:t>
      </w:r>
      <w:r w:rsidR="00DD79AF">
        <w:t xml:space="preserve">нехватка у </w:t>
      </w:r>
      <w:r w:rsidR="008A38C8" w:rsidRPr="0072176F">
        <w:t>ВОИС</w:t>
      </w:r>
      <w:r w:rsidR="007D4D90" w:rsidRPr="0072176F">
        <w:t xml:space="preserve"> </w:t>
      </w:r>
      <w:r w:rsidR="006E2404" w:rsidRPr="0072176F">
        <w:t>достаточн</w:t>
      </w:r>
      <w:r>
        <w:t>ых</w:t>
      </w:r>
      <w:r w:rsidR="007D4D90" w:rsidRPr="0072176F">
        <w:t xml:space="preserve"> </w:t>
      </w:r>
      <w:r>
        <w:t>доступных</w:t>
      </w:r>
      <w:r w:rsidRPr="0072176F">
        <w:t xml:space="preserve"> </w:t>
      </w:r>
      <w:r>
        <w:t>средств</w:t>
      </w:r>
      <w:r w:rsidR="002A0B71" w:rsidRPr="0072176F">
        <w:t xml:space="preserve"> </w:t>
      </w:r>
      <w:r w:rsidR="002A2D74" w:rsidRPr="0072176F">
        <w:t>в долларах США</w:t>
      </w:r>
      <w:r w:rsidR="00E33D8F" w:rsidRPr="0072176F">
        <w:t xml:space="preserve"> </w:t>
      </w:r>
      <w:r>
        <w:t>для заключения форвардных контрактов</w:t>
      </w:r>
      <w:r w:rsidR="00E33D8F" w:rsidRPr="0072176F">
        <w:t xml:space="preserve"> </w:t>
      </w:r>
      <w:r w:rsidR="00DD79AF">
        <w:t xml:space="preserve">создала бы </w:t>
      </w:r>
      <w:r w:rsidR="006E2404" w:rsidRPr="0072176F">
        <w:t>огромн</w:t>
      </w:r>
      <w:r w:rsidR="00DD79AF">
        <w:t>ый</w:t>
      </w:r>
      <w:r w:rsidR="007D4D90" w:rsidRPr="0072176F">
        <w:t xml:space="preserve"> </w:t>
      </w:r>
      <w:r w:rsidR="006E2404" w:rsidRPr="0072176F">
        <w:t>риск</w:t>
      </w:r>
      <w:r w:rsidR="007D4D90" w:rsidRPr="0072176F">
        <w:t xml:space="preserve"> </w:t>
      </w:r>
      <w:r w:rsidR="00DD79AF">
        <w:t>влияния курсовых разниц на стабильность</w:t>
      </w:r>
      <w:r w:rsidR="007D4D90" w:rsidRPr="0072176F">
        <w:t xml:space="preserve"> </w:t>
      </w:r>
      <w:r w:rsidR="00DD79AF">
        <w:t>бюджета ВОИС</w:t>
      </w:r>
      <w:r w:rsidR="007D4D90" w:rsidRPr="0072176F">
        <w:t xml:space="preserve">.  </w:t>
      </w:r>
      <w:r w:rsidR="00DD79AF">
        <w:t xml:space="preserve">Этот </w:t>
      </w:r>
      <w:r w:rsidR="006E2404" w:rsidRPr="00DD79AF">
        <w:t>риск</w:t>
      </w:r>
      <w:r w:rsidR="007D4D90" w:rsidRPr="00DD79AF">
        <w:t xml:space="preserve"> </w:t>
      </w:r>
      <w:r w:rsidR="00104D78">
        <w:t xml:space="preserve">возрос бы </w:t>
      </w:r>
      <w:r w:rsidR="00DD79AF">
        <w:t xml:space="preserve">еще более </w:t>
      </w:r>
      <w:r w:rsidR="00104D78">
        <w:t>в результате предлагаемой отмены</w:t>
      </w:r>
      <w:r w:rsidR="00DD79AF">
        <w:t xml:space="preserve"> </w:t>
      </w:r>
      <w:r w:rsidR="006E2404" w:rsidRPr="00DD79AF">
        <w:t>механизм</w:t>
      </w:r>
      <w:r w:rsidR="00DD79AF">
        <w:t>а</w:t>
      </w:r>
      <w:r w:rsidR="007D4D90" w:rsidRPr="00DD79AF">
        <w:t xml:space="preserve"> </w:t>
      </w:r>
      <w:r w:rsidR="00DD79AF">
        <w:t xml:space="preserve">корректировки </w:t>
      </w:r>
      <w:r w:rsidR="006E2404" w:rsidRPr="00DD79AF">
        <w:t>эквивалент</w:t>
      </w:r>
      <w:r w:rsidR="00DD79AF">
        <w:t xml:space="preserve">ного размера </w:t>
      </w:r>
      <w:r w:rsidR="008A38C8" w:rsidRPr="00DD79AF">
        <w:t>международн</w:t>
      </w:r>
      <w:r w:rsidR="00DD79AF">
        <w:t>ых</w:t>
      </w:r>
      <w:r w:rsidR="008A38C8" w:rsidRPr="00DD79AF">
        <w:t xml:space="preserve"> </w:t>
      </w:r>
      <w:r w:rsidR="00DD79AF">
        <w:t>пошлин</w:t>
      </w:r>
      <w:r w:rsidR="008A38C8" w:rsidRPr="00DD79AF">
        <w:t xml:space="preserve"> за подачу </w:t>
      </w:r>
      <w:r w:rsidR="00DD79AF">
        <w:t xml:space="preserve">заявок по процедуре </w:t>
      </w:r>
      <w:r w:rsidR="00DD79AF" w:rsidRPr="00C553E3">
        <w:rPr>
          <w:lang w:val="en-US"/>
        </w:rPr>
        <w:t>PCT</w:t>
      </w:r>
      <w:r w:rsidR="00104D78">
        <w:t>, установленного</w:t>
      </w:r>
      <w:r w:rsidR="00DD79AF">
        <w:t xml:space="preserve"> в иных </w:t>
      </w:r>
      <w:r w:rsidR="006E2404" w:rsidRPr="00DD79AF">
        <w:t>валют</w:t>
      </w:r>
      <w:r w:rsidR="00DD79AF">
        <w:t>ах, кроме швейцарских</w:t>
      </w:r>
      <w:r w:rsidR="008A38C8" w:rsidRPr="00DD79AF">
        <w:t xml:space="preserve"> франков</w:t>
      </w:r>
      <w:r w:rsidR="007D4D90" w:rsidRPr="00DD79AF">
        <w:t xml:space="preserve">, </w:t>
      </w:r>
      <w:r w:rsidR="00DD79AF">
        <w:t>который позволяет Международному</w:t>
      </w:r>
      <w:r w:rsidR="008A38C8" w:rsidRPr="00DD79AF">
        <w:t xml:space="preserve"> бюро </w:t>
      </w:r>
      <w:r w:rsidR="006E2404" w:rsidRPr="00DD79AF">
        <w:t xml:space="preserve">относительно </w:t>
      </w:r>
      <w:r w:rsidR="00DD79AF">
        <w:t xml:space="preserve">оперативно реагировать на </w:t>
      </w:r>
      <w:r w:rsidR="006E2404" w:rsidRPr="00DD79AF">
        <w:t>колебания</w:t>
      </w:r>
      <w:r w:rsidR="007D4D90" w:rsidRPr="00DD79AF">
        <w:t xml:space="preserve"> </w:t>
      </w:r>
      <w:r w:rsidR="00DD79AF">
        <w:t>обменных курсов</w:t>
      </w:r>
      <w:r w:rsidR="006E2404" w:rsidRPr="00DD79AF">
        <w:t xml:space="preserve">, </w:t>
      </w:r>
      <w:r w:rsidR="00104D78">
        <w:t xml:space="preserve">подобные </w:t>
      </w:r>
      <w:r w:rsidR="006E2404" w:rsidRPr="00DD79AF">
        <w:t>колебания</w:t>
      </w:r>
      <w:r w:rsidR="00104D78">
        <w:t>м</w:t>
      </w:r>
      <w:r w:rsidR="00DD79AF">
        <w:t>, которые имели место после решения</w:t>
      </w:r>
      <w:r w:rsidR="007D4D90" w:rsidRPr="00DD79AF">
        <w:t xml:space="preserve"> </w:t>
      </w:r>
      <w:r w:rsidR="006E2404" w:rsidRPr="00DD79AF">
        <w:t>Национальн</w:t>
      </w:r>
      <w:r w:rsidR="00DD79AF">
        <w:t>ого</w:t>
      </w:r>
      <w:r w:rsidR="007D4D90" w:rsidRPr="00DD79AF">
        <w:t xml:space="preserve"> </w:t>
      </w:r>
      <w:r w:rsidR="00DD79AF" w:rsidRPr="00DD79AF">
        <w:t>б</w:t>
      </w:r>
      <w:r w:rsidR="006E2404" w:rsidRPr="00DD79AF">
        <w:t>анк</w:t>
      </w:r>
      <w:r w:rsidR="00DD79AF">
        <w:t>а Швейцарии</w:t>
      </w:r>
      <w:r w:rsidR="00DD79AF" w:rsidRPr="00DD79AF">
        <w:t xml:space="preserve"> </w:t>
      </w:r>
      <w:r w:rsidR="00104D78">
        <w:t>в январе</w:t>
      </w:r>
      <w:r w:rsidR="00104D78" w:rsidRPr="00DD79AF">
        <w:t xml:space="preserve"> 2015 </w:t>
      </w:r>
      <w:r w:rsidR="00104D78">
        <w:t>г</w:t>
      </w:r>
      <w:r w:rsidR="00104D78" w:rsidRPr="00DD79AF">
        <w:t>.</w:t>
      </w:r>
      <w:r w:rsidR="00104D78">
        <w:t xml:space="preserve"> </w:t>
      </w:r>
      <w:r w:rsidR="00DD79AF">
        <w:t xml:space="preserve">отменить привязку швейцарского франка к </w:t>
      </w:r>
      <w:r w:rsidR="006E2404" w:rsidRPr="00DD79AF">
        <w:t>евро</w:t>
      </w:r>
      <w:r w:rsidR="00104D78">
        <w:t>.</w:t>
      </w:r>
      <w:r w:rsidR="00DD79AF" w:rsidRPr="00DD79AF">
        <w:t xml:space="preserve"> </w:t>
      </w:r>
      <w:r w:rsidR="00DD79AF">
        <w:t xml:space="preserve">Если бы </w:t>
      </w:r>
      <w:r w:rsidR="00DD79AF" w:rsidRPr="00DD79AF">
        <w:t xml:space="preserve">механизм </w:t>
      </w:r>
      <w:r w:rsidR="00DD79AF">
        <w:rPr>
          <w:rFonts w:cs="Arial"/>
        </w:rPr>
        <w:t>расчет</w:t>
      </w:r>
      <w:r w:rsidR="00DD79AF">
        <w:t xml:space="preserve">а </w:t>
      </w:r>
      <w:r w:rsidR="006E2404" w:rsidRPr="00DD79AF">
        <w:t>эквивалент</w:t>
      </w:r>
      <w:r w:rsidR="00104D78">
        <w:t>ного</w:t>
      </w:r>
      <w:r w:rsidR="00DD79AF">
        <w:t xml:space="preserve"> разме</w:t>
      </w:r>
      <w:r w:rsidR="00104D78">
        <w:t>ра</w:t>
      </w:r>
      <w:r w:rsidR="00DD79AF">
        <w:t xml:space="preserve"> пошлин в тот момент не применялся </w:t>
      </w:r>
      <w:r w:rsidR="006E2404" w:rsidRPr="00DD79AF">
        <w:t>и</w:t>
      </w:r>
      <w:r w:rsidR="007D4D90" w:rsidRPr="00DD79AF">
        <w:t xml:space="preserve"> </w:t>
      </w:r>
      <w:r w:rsidR="00DD79AF">
        <w:t xml:space="preserve">были бы хеджированы </w:t>
      </w:r>
      <w:r w:rsidR="006E2404" w:rsidRPr="00DD79AF">
        <w:t>только</w:t>
      </w:r>
      <w:r w:rsidR="007D4D90" w:rsidRPr="00DD79AF">
        <w:t xml:space="preserve"> 40</w:t>
      </w:r>
      <w:r w:rsidR="00DD79AF">
        <w:t xml:space="preserve">% </w:t>
      </w:r>
      <w:r w:rsidR="002A0B71" w:rsidRPr="00DD79AF">
        <w:t xml:space="preserve">поступлений </w:t>
      </w:r>
      <w:r w:rsidR="002A0B71">
        <w:rPr>
          <w:lang w:val="en-US"/>
        </w:rPr>
        <w:t>PCT</w:t>
      </w:r>
      <w:r w:rsidR="00DD79AF">
        <w:t>,</w:t>
      </w:r>
      <w:r w:rsidR="002A0B71" w:rsidRPr="00DD79AF">
        <w:t xml:space="preserve"> </w:t>
      </w:r>
      <w:r w:rsidR="00DD79AF">
        <w:t>получаемых</w:t>
      </w:r>
      <w:r w:rsidR="006E2404" w:rsidRPr="00DD79AF">
        <w:t xml:space="preserve"> </w:t>
      </w:r>
      <w:r w:rsidR="002A2D74" w:rsidRPr="00DD79AF">
        <w:t>в долларах США</w:t>
      </w:r>
      <w:r w:rsidR="007D4D90" w:rsidRPr="00DD79AF">
        <w:t xml:space="preserve">, </w:t>
      </w:r>
      <w:r w:rsidR="008A38C8" w:rsidRPr="00DD79AF">
        <w:t>ВОИС</w:t>
      </w:r>
      <w:r w:rsidR="007D4D90" w:rsidRPr="00DD79AF">
        <w:t xml:space="preserve"> </w:t>
      </w:r>
      <w:r w:rsidR="00DD79AF">
        <w:t xml:space="preserve">понесла бы </w:t>
      </w:r>
      <w:r w:rsidR="006E2404" w:rsidRPr="00DD79AF">
        <w:t>очень</w:t>
      </w:r>
      <w:r w:rsidR="007D4D90" w:rsidRPr="00DD79AF">
        <w:t xml:space="preserve"> </w:t>
      </w:r>
      <w:r w:rsidR="00DD79AF">
        <w:t>значительные</w:t>
      </w:r>
      <w:r w:rsidR="007D4D90" w:rsidRPr="00DD79AF">
        <w:t xml:space="preserve"> </w:t>
      </w:r>
      <w:r w:rsidR="00DD79AF">
        <w:t xml:space="preserve">курсовые убытки, которые повлияли бы как на </w:t>
      </w:r>
      <w:r w:rsidR="006E2404" w:rsidRPr="00DD79AF">
        <w:t>чист</w:t>
      </w:r>
      <w:r w:rsidR="00B40177">
        <w:t>ый</w:t>
      </w:r>
      <w:r w:rsidR="007D4D90" w:rsidRPr="00DD79AF">
        <w:t xml:space="preserve"> </w:t>
      </w:r>
      <w:r w:rsidR="006E2404" w:rsidRPr="00DD79AF">
        <w:t>результат</w:t>
      </w:r>
      <w:r w:rsidR="007D4D90" w:rsidRPr="00DD79AF">
        <w:t xml:space="preserve"> </w:t>
      </w:r>
      <w:r w:rsidR="00B40177">
        <w:t xml:space="preserve">ее операций за </w:t>
      </w:r>
      <w:r w:rsidR="007D4D90" w:rsidRPr="00DD79AF">
        <w:t xml:space="preserve">2015 </w:t>
      </w:r>
      <w:r w:rsidR="00B40177">
        <w:t xml:space="preserve">г., так и на объем ее резервов </w:t>
      </w:r>
      <w:r w:rsidR="00B40177">
        <w:rPr>
          <w:szCs w:val="24"/>
        </w:rPr>
        <w:t>по состоянию на</w:t>
      </w:r>
      <w:r w:rsidR="00B40177">
        <w:t xml:space="preserve"> </w:t>
      </w:r>
      <w:r w:rsidR="006E2404" w:rsidRPr="00DD79AF">
        <w:t>31 декабря</w:t>
      </w:r>
      <w:r w:rsidR="007D4D90" w:rsidRPr="00DD79AF">
        <w:t xml:space="preserve"> 2015</w:t>
      </w:r>
      <w:r w:rsidR="00B40177">
        <w:t xml:space="preserve"> г</w:t>
      </w:r>
      <w:r w:rsidR="007D4D90" w:rsidRPr="00DD79AF">
        <w:t>.</w:t>
      </w:r>
    </w:p>
    <w:p w:rsidR="007D4D90" w:rsidRDefault="006E2404" w:rsidP="00D84079">
      <w:pPr>
        <w:pStyle w:val="Heading2"/>
      </w:pPr>
      <w:r>
        <w:t>Евро</w:t>
      </w:r>
    </w:p>
    <w:p w:rsidR="007D4D90" w:rsidRPr="002765A0" w:rsidRDefault="007D4D90" w:rsidP="002765A0"/>
    <w:p w:rsidR="007D4D90" w:rsidRPr="00B40177" w:rsidRDefault="00B40177" w:rsidP="00D84079">
      <w:pPr>
        <w:pStyle w:val="ONUME"/>
        <w:numPr>
          <w:ilvl w:val="0"/>
          <w:numId w:val="16"/>
        </w:numPr>
        <w:ind w:left="0" w:firstLine="0"/>
      </w:pPr>
      <w:r>
        <w:t>Согласно</w:t>
      </w:r>
      <w:r w:rsidRPr="00B40177">
        <w:t xml:space="preserve"> </w:t>
      </w:r>
      <w:r>
        <w:t>оценке</w:t>
      </w:r>
      <w:r w:rsidRPr="00B40177">
        <w:t xml:space="preserve">, </w:t>
      </w:r>
      <w:r>
        <w:t>содержавшейся</w:t>
      </w:r>
      <w:r w:rsidRPr="00B40177">
        <w:t xml:space="preserve"> </w:t>
      </w:r>
      <w:r>
        <w:t>в</w:t>
      </w:r>
      <w:r w:rsidRPr="00B40177">
        <w:t xml:space="preserve"> д</w:t>
      </w:r>
      <w:r w:rsidR="006E2404" w:rsidRPr="00B40177">
        <w:t>окумент</w:t>
      </w:r>
      <w:r>
        <w:t>е</w:t>
      </w:r>
      <w:r w:rsidRPr="00B40177">
        <w:t>,</w:t>
      </w:r>
      <w:r w:rsidR="007D4D90" w:rsidRPr="00B40177">
        <w:t xml:space="preserve"> </w:t>
      </w:r>
      <w:r w:rsidR="008A38C8" w:rsidRPr="00B40177">
        <w:t>внесенн</w:t>
      </w:r>
      <w:r>
        <w:t>ом</w:t>
      </w:r>
      <w:r w:rsidRPr="00B40177">
        <w:t xml:space="preserve"> </w:t>
      </w:r>
      <w:r>
        <w:t>на</w:t>
      </w:r>
      <w:r w:rsidRPr="00B40177">
        <w:t xml:space="preserve"> </w:t>
      </w:r>
      <w:r>
        <w:rPr>
          <w:szCs w:val="22"/>
        </w:rPr>
        <w:t>рассмотрени</w:t>
      </w:r>
      <w:r>
        <w:t>е</w:t>
      </w:r>
      <w:r w:rsidRPr="00B40177">
        <w:t xml:space="preserve"> </w:t>
      </w:r>
      <w:r w:rsidR="008A38C8" w:rsidRPr="00B40177">
        <w:t xml:space="preserve">КПБ </w:t>
      </w:r>
      <w:r>
        <w:t>в</w:t>
      </w:r>
      <w:r w:rsidRPr="00B40177">
        <w:t xml:space="preserve"> </w:t>
      </w:r>
      <w:r w:rsidR="007D4D90" w:rsidRPr="00B40177">
        <w:t xml:space="preserve">2015 </w:t>
      </w:r>
      <w:r>
        <w:t>г</w:t>
      </w:r>
      <w:r w:rsidRPr="00B40177">
        <w:t xml:space="preserve">. </w:t>
      </w:r>
      <w:r w:rsidR="007D4D90" w:rsidRPr="00B40177">
        <w:t>(</w:t>
      </w:r>
      <w:r w:rsidR="006E2404" w:rsidRPr="00B40177">
        <w:t>см.</w:t>
      </w:r>
      <w:r w:rsidR="007D4D90" w:rsidRPr="00B40177">
        <w:t xml:space="preserve"> </w:t>
      </w:r>
      <w:r w:rsidR="006E2404" w:rsidRPr="00B40177">
        <w:t>документ</w:t>
      </w:r>
      <w:r w:rsidR="007D4D90" w:rsidRPr="00B40177">
        <w:t xml:space="preserve"> </w:t>
      </w:r>
      <w:r w:rsidR="00F46777">
        <w:rPr>
          <w:lang w:val="en-US"/>
        </w:rPr>
        <w:t>WO</w:t>
      </w:r>
      <w:r w:rsidR="00F46777" w:rsidRPr="00B40177">
        <w:t>/</w:t>
      </w:r>
      <w:r w:rsidR="00F46777">
        <w:rPr>
          <w:lang w:val="en-US"/>
        </w:rPr>
        <w:t>PBC</w:t>
      </w:r>
      <w:r w:rsidR="00F46777" w:rsidRPr="00B40177">
        <w:t>/</w:t>
      </w:r>
      <w:r w:rsidR="007D4D90" w:rsidRPr="00B40177">
        <w:t>24/</w:t>
      </w:r>
      <w:r w:rsidR="007D4D90" w:rsidRPr="00C553E3">
        <w:rPr>
          <w:lang w:val="en-US"/>
        </w:rPr>
        <w:t>INF</w:t>
      </w:r>
      <w:r w:rsidR="007D4D90" w:rsidRPr="00B40177">
        <w:t xml:space="preserve">.3, </w:t>
      </w:r>
      <w:r w:rsidR="006E2404" w:rsidRPr="00B40177">
        <w:t>пункт</w:t>
      </w:r>
      <w:r>
        <w:rPr>
          <w:lang w:val="en-US"/>
        </w:rPr>
        <w:t> </w:t>
      </w:r>
      <w:r w:rsidRPr="00B40177">
        <w:t>12)</w:t>
      </w:r>
      <w:r w:rsidR="007D4D90" w:rsidRPr="00B40177">
        <w:t xml:space="preserve">, </w:t>
      </w:r>
      <w:r>
        <w:t xml:space="preserve">основанной на </w:t>
      </w:r>
      <w:r>
        <w:rPr>
          <w:snapToGrid w:val="0"/>
        </w:rPr>
        <w:t>данн</w:t>
      </w:r>
      <w:r>
        <w:t xml:space="preserve">ых за </w:t>
      </w:r>
      <w:r w:rsidR="006E2404" w:rsidRPr="00B40177">
        <w:t>2014 г.</w:t>
      </w:r>
      <w:r w:rsidR="007D4D90" w:rsidRPr="00B40177">
        <w:t xml:space="preserve"> </w:t>
      </w:r>
      <w:r w:rsidR="006E2404" w:rsidRPr="00B40177">
        <w:t>и</w:t>
      </w:r>
      <w:r w:rsidR="007D4D90" w:rsidRPr="00B40177">
        <w:t xml:space="preserve"> </w:t>
      </w:r>
      <w:r>
        <w:t>первую</w:t>
      </w:r>
      <w:r w:rsidR="007D4D90" w:rsidRPr="00B40177">
        <w:t xml:space="preserve"> </w:t>
      </w:r>
      <w:r>
        <w:t>половину</w:t>
      </w:r>
      <w:r w:rsidR="007D4D90" w:rsidRPr="00B40177">
        <w:t xml:space="preserve"> 2015</w:t>
      </w:r>
      <w:r>
        <w:t xml:space="preserve"> г.</w:t>
      </w:r>
      <w:r w:rsidR="007D4D90" w:rsidRPr="00B40177">
        <w:t>, 40</w:t>
      </w:r>
      <w:r>
        <w:t xml:space="preserve">% сумм в </w:t>
      </w:r>
      <w:r w:rsidRPr="00B40177">
        <w:t>евро</w:t>
      </w:r>
      <w:r w:rsidR="003B71BF">
        <w:t>,</w:t>
      </w:r>
      <w:r w:rsidRPr="00B40177">
        <w:t xml:space="preserve"> </w:t>
      </w:r>
      <w:r w:rsidR="006E2404" w:rsidRPr="00B40177">
        <w:t>полученн</w:t>
      </w:r>
      <w:r>
        <w:t xml:space="preserve">ых в виде </w:t>
      </w:r>
      <w:r w:rsidR="00646829">
        <w:t>доходов</w:t>
      </w:r>
      <w:r w:rsidR="002A0B71" w:rsidRPr="00B40177">
        <w:t xml:space="preserve"> </w:t>
      </w:r>
      <w:r w:rsidR="002A0B71">
        <w:rPr>
          <w:lang w:val="en-US"/>
        </w:rPr>
        <w:t>PCT</w:t>
      </w:r>
      <w:r>
        <w:t>,</w:t>
      </w:r>
      <w:r w:rsidR="002A0B71" w:rsidRPr="00B40177">
        <w:t xml:space="preserve"> </w:t>
      </w:r>
      <w:r w:rsidR="006E2404" w:rsidRPr="00B40177">
        <w:t>необходим</w:t>
      </w:r>
      <w:r>
        <w:t>о было направить на покрытие</w:t>
      </w:r>
      <w:r w:rsidR="0065069A" w:rsidRPr="00B40177">
        <w:t xml:space="preserve"> </w:t>
      </w:r>
      <w:r>
        <w:t>обязательств</w:t>
      </w:r>
      <w:r w:rsidR="006E2404" w:rsidRPr="00B40177">
        <w:t xml:space="preserve"> </w:t>
      </w:r>
      <w:r w:rsidRPr="00B40177">
        <w:t xml:space="preserve">ВОИС </w:t>
      </w:r>
      <w:r w:rsidR="0086619A" w:rsidRPr="00B40177">
        <w:t>в этой валюте</w:t>
      </w:r>
      <w:r w:rsidR="007D4D90" w:rsidRPr="00B40177">
        <w:t xml:space="preserve">, </w:t>
      </w:r>
      <w:r w:rsidR="006E2404" w:rsidRPr="00B40177">
        <w:t>включая</w:t>
      </w:r>
      <w:r w:rsidR="007D4D90" w:rsidRPr="00B40177">
        <w:t xml:space="preserve"> </w:t>
      </w:r>
      <w:r w:rsidR="00646829">
        <w:t xml:space="preserve">уплату </w:t>
      </w:r>
      <w:r w:rsidRPr="00B40177">
        <w:t>п</w:t>
      </w:r>
      <w:r>
        <w:t>ошлин</w:t>
      </w:r>
      <w:r w:rsidRPr="00B40177">
        <w:t xml:space="preserve"> за </w:t>
      </w:r>
      <w:r w:rsidR="008A38C8" w:rsidRPr="00B40177">
        <w:t>международный поиск</w:t>
      </w:r>
      <w:r w:rsidR="00646829">
        <w:t>, взимаемых</w:t>
      </w:r>
      <w:r>
        <w:t xml:space="preserve"> </w:t>
      </w:r>
      <w:r w:rsidR="002A0B71" w:rsidRPr="00B40177">
        <w:t>Международным бюро</w:t>
      </w:r>
      <w:r w:rsidR="007D4D90" w:rsidRPr="00B40177">
        <w:t xml:space="preserve">, </w:t>
      </w:r>
      <w:r w:rsidRPr="00B40177">
        <w:t xml:space="preserve">возмещение </w:t>
      </w:r>
      <w:r>
        <w:t>путевых расходов,</w:t>
      </w:r>
      <w:r w:rsidR="008A38C8" w:rsidRPr="00B40177">
        <w:t xml:space="preserve"> </w:t>
      </w:r>
      <w:r w:rsidR="006E2404" w:rsidRPr="00B40177">
        <w:t>подлежащ</w:t>
      </w:r>
      <w:r>
        <w:t>их</w:t>
      </w:r>
      <w:r w:rsidR="006E2404" w:rsidRPr="00B40177">
        <w:t xml:space="preserve"> уплате </w:t>
      </w:r>
      <w:r w:rsidR="0086619A" w:rsidRPr="00B40177">
        <w:t>в этой валюте</w:t>
      </w:r>
      <w:r w:rsidR="00646829">
        <w:t>,</w:t>
      </w:r>
      <w:r w:rsidR="007D4D90" w:rsidRPr="00B40177">
        <w:t xml:space="preserve"> </w:t>
      </w:r>
      <w:r w:rsidR="006E2404" w:rsidRPr="00B40177">
        <w:t>и</w:t>
      </w:r>
      <w:r w:rsidR="007D4D90" w:rsidRPr="00B40177">
        <w:t xml:space="preserve"> </w:t>
      </w:r>
      <w:r w:rsidR="00646829">
        <w:t>иных позиций</w:t>
      </w:r>
      <w:r>
        <w:t xml:space="preserve"> кредиторской задолженности. </w:t>
      </w:r>
      <w:r w:rsidRPr="0074727B">
        <w:t>Таким образом</w:t>
      </w:r>
      <w:r w:rsidR="007D4D90" w:rsidRPr="00B40177">
        <w:t xml:space="preserve">, </w:t>
      </w:r>
      <w:r>
        <w:t>на заключение форвардных</w:t>
      </w:r>
      <w:r w:rsidRPr="0065069A">
        <w:t xml:space="preserve"> </w:t>
      </w:r>
      <w:r>
        <w:t>контрактов могли быть направлены 60% таких поступлений</w:t>
      </w:r>
      <w:r w:rsidRPr="0065069A">
        <w:t>.</w:t>
      </w:r>
      <w:r>
        <w:t xml:space="preserve"> </w:t>
      </w:r>
    </w:p>
    <w:p w:rsidR="007D4D90" w:rsidRPr="00B40177" w:rsidRDefault="00B40177" w:rsidP="00A86FDE">
      <w:pPr>
        <w:pStyle w:val="ONUME"/>
        <w:keepLines/>
        <w:numPr>
          <w:ilvl w:val="0"/>
          <w:numId w:val="16"/>
        </w:numPr>
        <w:ind w:left="0" w:firstLine="0"/>
      </w:pPr>
      <w:r>
        <w:t>Фактические</w:t>
      </w:r>
      <w:r w:rsidR="007D4D90" w:rsidRPr="00B40177">
        <w:t xml:space="preserve"> </w:t>
      </w:r>
      <w:r w:rsidR="006E2404" w:rsidRPr="00B40177">
        <w:t>чист</w:t>
      </w:r>
      <w:r>
        <w:t>ые</w:t>
      </w:r>
      <w:r w:rsidR="007D4D90" w:rsidRPr="00B40177">
        <w:t xml:space="preserve"> </w:t>
      </w:r>
      <w:r>
        <w:t>суммы в</w:t>
      </w:r>
      <w:r w:rsidRPr="00B40177">
        <w:t xml:space="preserve"> евро</w:t>
      </w:r>
      <w:r>
        <w:t xml:space="preserve">, полученные </w:t>
      </w:r>
      <w:r w:rsidR="00361817">
        <w:t xml:space="preserve">в виде доходов </w:t>
      </w:r>
      <w:r w:rsidR="002A0B71">
        <w:rPr>
          <w:lang w:val="en-US"/>
        </w:rPr>
        <w:t>PCT</w:t>
      </w:r>
      <w:r>
        <w:t xml:space="preserve"> </w:t>
      </w:r>
      <w:r w:rsidR="006E2404" w:rsidRPr="00B40177">
        <w:t>и</w:t>
      </w:r>
      <w:r w:rsidR="007D4D90" w:rsidRPr="00B40177">
        <w:t xml:space="preserve"> </w:t>
      </w:r>
      <w:r>
        <w:t>из иных</w:t>
      </w:r>
      <w:r w:rsidR="007D4D90" w:rsidRPr="00B40177">
        <w:t xml:space="preserve"> </w:t>
      </w:r>
      <w:r>
        <w:t>источников</w:t>
      </w:r>
      <w:r w:rsidR="007D4D90" w:rsidRPr="00B40177">
        <w:t xml:space="preserve">, </w:t>
      </w:r>
      <w:r>
        <w:t>за вычетом пошлин</w:t>
      </w:r>
      <w:r w:rsidRPr="00B40177">
        <w:t xml:space="preserve"> за поиск </w:t>
      </w:r>
      <w:r>
        <w:t xml:space="preserve">в </w:t>
      </w:r>
      <w:r w:rsidRPr="00B40177">
        <w:t xml:space="preserve">евро </w:t>
      </w:r>
      <w:r w:rsidR="006E2404" w:rsidRPr="00B40177">
        <w:t>и</w:t>
      </w:r>
      <w:r w:rsidR="007D4D90" w:rsidRPr="00B40177">
        <w:t xml:space="preserve"> </w:t>
      </w:r>
      <w:r>
        <w:t xml:space="preserve">выплат </w:t>
      </w:r>
      <w:r>
        <w:rPr>
          <w:rFonts w:cs="Arial"/>
        </w:rPr>
        <w:t>поставщик</w:t>
      </w:r>
      <w:r>
        <w:t>ам</w:t>
      </w:r>
      <w:r w:rsidR="007D4D90" w:rsidRPr="00B40177">
        <w:t xml:space="preserve">, </w:t>
      </w:r>
      <w:r w:rsidR="004B2858">
        <w:t xml:space="preserve">оказались </w:t>
      </w:r>
      <w:r w:rsidR="006E2404" w:rsidRPr="00B40177">
        <w:t>несколько</w:t>
      </w:r>
      <w:r w:rsidR="007D4D90" w:rsidRPr="00B40177">
        <w:t xml:space="preserve"> </w:t>
      </w:r>
      <w:r w:rsidR="006E2404" w:rsidRPr="00B40177">
        <w:t>вы</w:t>
      </w:r>
      <w:r w:rsidR="004B2858">
        <w:t xml:space="preserve">ше этой оценки: </w:t>
      </w:r>
      <w:r w:rsidR="006E2404" w:rsidRPr="00B40177">
        <w:t>средн</w:t>
      </w:r>
      <w:r w:rsidR="004B2858">
        <w:t xml:space="preserve">ий объем </w:t>
      </w:r>
      <w:r w:rsidR="004B2858" w:rsidRPr="004B2858">
        <w:t>средств</w:t>
      </w:r>
      <w:r w:rsidR="004B2858">
        <w:t xml:space="preserve">, доступных для </w:t>
      </w:r>
      <w:r w:rsidR="006E2404" w:rsidRPr="00B40177">
        <w:t>хедж</w:t>
      </w:r>
      <w:r w:rsidR="004B2858">
        <w:t>ирования</w:t>
      </w:r>
      <w:r w:rsidR="00361817">
        <w:t>,</w:t>
      </w:r>
      <w:r w:rsidR="006E2404" w:rsidRPr="00B40177">
        <w:t xml:space="preserve"> </w:t>
      </w:r>
      <w:r w:rsidR="004B2858">
        <w:t xml:space="preserve">был несколько </w:t>
      </w:r>
      <w:r w:rsidR="006E2404" w:rsidRPr="00B40177">
        <w:t xml:space="preserve">ниже </w:t>
      </w:r>
      <w:r w:rsidR="007D4D90" w:rsidRPr="00B40177">
        <w:t>70</w:t>
      </w:r>
      <w:r w:rsidR="004B2858">
        <w:t>%</w:t>
      </w:r>
      <w:r w:rsidR="00707EC1">
        <w:t xml:space="preserve">-ного </w:t>
      </w:r>
      <w:r w:rsidR="004B2858">
        <w:t xml:space="preserve">нижнего </w:t>
      </w:r>
      <w:r w:rsidR="00707EC1" w:rsidRPr="00B40177">
        <w:t>интервал</w:t>
      </w:r>
      <w:r w:rsidR="00707EC1">
        <w:t xml:space="preserve">ьного </w:t>
      </w:r>
      <w:r w:rsidR="00707EC1">
        <w:rPr>
          <w:szCs w:val="22"/>
        </w:rPr>
        <w:t>лимит</w:t>
      </w:r>
      <w:r w:rsidR="00707EC1">
        <w:t>а</w:t>
      </w:r>
      <w:r w:rsidR="004B2858">
        <w:t xml:space="preserve">, предложенного в документе </w:t>
      </w:r>
      <w:r w:rsidR="007D4D90" w:rsidRPr="00C553E3">
        <w:rPr>
          <w:lang w:val="en-US"/>
        </w:rPr>
        <w:t>PCT</w:t>
      </w:r>
      <w:r w:rsidR="007D4D90" w:rsidRPr="00B40177">
        <w:t>/</w:t>
      </w:r>
      <w:r w:rsidR="007D4D90" w:rsidRPr="00C553E3">
        <w:rPr>
          <w:lang w:val="en-US"/>
        </w:rPr>
        <w:t>WG</w:t>
      </w:r>
      <w:r w:rsidR="007D4D90" w:rsidRPr="00B40177">
        <w:t xml:space="preserve">/8/15, </w:t>
      </w:r>
      <w:r w:rsidR="006E2404" w:rsidRPr="00B40177">
        <w:t>как показано</w:t>
      </w:r>
      <w:r w:rsidR="007D4D90" w:rsidRPr="00B40177">
        <w:t xml:space="preserve"> </w:t>
      </w:r>
      <w:r w:rsidR="004B2858">
        <w:t>в приводимых ниже графике</w:t>
      </w:r>
      <w:r w:rsidR="007D4D90" w:rsidRPr="00B40177">
        <w:t xml:space="preserve"> </w:t>
      </w:r>
      <w:r w:rsidR="006E2404" w:rsidRPr="00B40177">
        <w:t>и</w:t>
      </w:r>
      <w:r w:rsidR="007D4D90" w:rsidRPr="00B40177">
        <w:t xml:space="preserve"> </w:t>
      </w:r>
      <w:r w:rsidR="004B2858">
        <w:t>таблице</w:t>
      </w:r>
      <w:r w:rsidR="007D4D90" w:rsidRPr="00B40177">
        <w:t>:</w:t>
      </w:r>
    </w:p>
    <w:tbl>
      <w:tblPr>
        <w:tblW w:w="4524" w:type="dxa"/>
        <w:jc w:val="center"/>
        <w:tblLook w:val="00A0" w:firstRow="1" w:lastRow="0" w:firstColumn="1" w:lastColumn="0" w:noHBand="0" w:noVBand="0"/>
      </w:tblPr>
      <w:tblGrid>
        <w:gridCol w:w="1580"/>
        <w:gridCol w:w="2944"/>
      </w:tblGrid>
      <w:tr w:rsidR="007D4D90" w:rsidRPr="00EF1729"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6E44AC" w:rsidRDefault="006E2404" w:rsidP="006E44AC">
            <w:pPr>
              <w:spacing w:before="40" w:after="40"/>
              <w:rPr>
                <w:rFonts w:eastAsia="Times New Roman"/>
                <w:b/>
                <w:color w:val="000000"/>
                <w:sz w:val="20"/>
                <w:lang w:eastAsia="en-US"/>
              </w:rPr>
            </w:pPr>
            <w:r>
              <w:rPr>
                <w:rFonts w:eastAsia="Times New Roman"/>
                <w:b/>
                <w:color w:val="000000"/>
                <w:sz w:val="20"/>
                <w:lang w:eastAsia="en-US"/>
              </w:rPr>
              <w:t>Месяц</w:t>
            </w:r>
          </w:p>
          <w:p w:rsidR="007D4D90" w:rsidRPr="006E44AC" w:rsidRDefault="007D4D90" w:rsidP="006E44AC">
            <w:pPr>
              <w:spacing w:before="40" w:after="40"/>
              <w:rPr>
                <w:rFonts w:eastAsia="Times New Roman"/>
                <w:b/>
                <w:color w:val="000000"/>
                <w:sz w:val="20"/>
                <w:lang w:eastAsia="en-US"/>
              </w:rPr>
            </w:pP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2A0B71" w:rsidRDefault="003C028C" w:rsidP="006E44AC">
            <w:pPr>
              <w:spacing w:before="40" w:after="40"/>
              <w:jc w:val="center"/>
              <w:rPr>
                <w:rFonts w:eastAsia="Times New Roman"/>
                <w:b/>
                <w:color w:val="000000"/>
                <w:sz w:val="20"/>
                <w:lang w:val="ru-RU" w:eastAsia="en-US"/>
              </w:rPr>
            </w:pPr>
            <w:r>
              <w:rPr>
                <w:rFonts w:eastAsia="Times New Roman"/>
                <w:b/>
                <w:color w:val="000000"/>
                <w:sz w:val="20"/>
                <w:lang w:val="ru-RU" w:eastAsia="en-US"/>
              </w:rPr>
              <w:t xml:space="preserve">Доля </w:t>
            </w:r>
            <w:r w:rsidRPr="003C028C">
              <w:rPr>
                <w:rFonts w:eastAsia="Times New Roman"/>
                <w:b/>
                <w:color w:val="000000"/>
                <w:sz w:val="20"/>
                <w:lang w:val="ru-RU" w:eastAsia="en-US"/>
              </w:rPr>
              <w:t>доход</w:t>
            </w:r>
            <w:r>
              <w:rPr>
                <w:rFonts w:eastAsia="Times New Roman"/>
                <w:b/>
                <w:color w:val="000000"/>
                <w:sz w:val="20"/>
                <w:lang w:val="ru-RU" w:eastAsia="en-US"/>
              </w:rPr>
              <w:t>ов</w:t>
            </w:r>
            <w:r w:rsidRPr="00E33D8F">
              <w:rPr>
                <w:rFonts w:eastAsia="Times New Roman"/>
                <w:b/>
                <w:color w:val="000000"/>
                <w:sz w:val="20"/>
                <w:lang w:val="ru-RU" w:eastAsia="en-US"/>
              </w:rPr>
              <w:t xml:space="preserve"> </w:t>
            </w:r>
            <w:r>
              <w:rPr>
                <w:rFonts w:eastAsia="Times New Roman"/>
                <w:b/>
                <w:color w:val="000000"/>
                <w:sz w:val="20"/>
                <w:lang w:eastAsia="en-US"/>
              </w:rPr>
              <w:t>PCT</w:t>
            </w:r>
            <w:r>
              <w:rPr>
                <w:rFonts w:eastAsia="Times New Roman"/>
                <w:b/>
                <w:color w:val="000000"/>
                <w:sz w:val="20"/>
                <w:lang w:val="ru-RU" w:eastAsia="en-US"/>
              </w:rPr>
              <w:t>,</w:t>
            </w:r>
            <w:r w:rsidRPr="00E33D8F">
              <w:rPr>
                <w:rFonts w:eastAsia="Times New Roman"/>
                <w:b/>
                <w:color w:val="000000"/>
                <w:sz w:val="20"/>
                <w:lang w:val="ru-RU" w:eastAsia="en-US"/>
              </w:rPr>
              <w:t xml:space="preserve"> полученн</w:t>
            </w:r>
            <w:r>
              <w:rPr>
                <w:rFonts w:eastAsia="Times New Roman"/>
                <w:b/>
                <w:color w:val="000000"/>
                <w:sz w:val="20"/>
                <w:lang w:val="ru-RU" w:eastAsia="en-US"/>
              </w:rPr>
              <w:t>ых</w:t>
            </w:r>
            <w:r w:rsidRPr="00E33D8F">
              <w:rPr>
                <w:rFonts w:eastAsia="Times New Roman"/>
                <w:b/>
                <w:color w:val="000000"/>
                <w:sz w:val="20"/>
                <w:lang w:val="ru-RU" w:eastAsia="en-US"/>
              </w:rPr>
              <w:t xml:space="preserve"> </w:t>
            </w:r>
            <w:r w:rsidRPr="002A2D74">
              <w:rPr>
                <w:rFonts w:eastAsia="Times New Roman"/>
                <w:b/>
                <w:color w:val="000000"/>
                <w:sz w:val="20"/>
                <w:lang w:val="ru-RU" w:eastAsia="en-US"/>
              </w:rPr>
              <w:t xml:space="preserve">в </w:t>
            </w:r>
            <w:r w:rsidRPr="0072176F">
              <w:rPr>
                <w:rFonts w:eastAsia="Times New Roman"/>
                <w:b/>
                <w:color w:val="000000"/>
                <w:sz w:val="20"/>
                <w:lang w:val="ru-RU" w:eastAsia="en-US"/>
              </w:rPr>
              <w:t>евро</w:t>
            </w:r>
            <w:r>
              <w:rPr>
                <w:rFonts w:eastAsia="Times New Roman"/>
                <w:b/>
                <w:color w:val="000000"/>
                <w:sz w:val="20"/>
                <w:lang w:val="ru-RU" w:eastAsia="en-US"/>
              </w:rPr>
              <w:t>,</w:t>
            </w:r>
            <w:r w:rsidRPr="00E33D8F">
              <w:rPr>
                <w:rFonts w:eastAsia="Times New Roman"/>
                <w:b/>
                <w:color w:val="000000"/>
                <w:sz w:val="20"/>
                <w:lang w:val="ru-RU" w:eastAsia="en-US"/>
              </w:rPr>
              <w:t xml:space="preserve"> </w:t>
            </w:r>
            <w:r>
              <w:rPr>
                <w:rFonts w:eastAsia="Times New Roman"/>
                <w:b/>
                <w:color w:val="000000"/>
                <w:sz w:val="20"/>
                <w:lang w:val="ru-RU" w:eastAsia="en-US"/>
              </w:rPr>
              <w:t xml:space="preserve">доступных для </w:t>
            </w:r>
            <w:r w:rsidRPr="0086619A">
              <w:rPr>
                <w:rFonts w:eastAsia="Times New Roman"/>
                <w:b/>
                <w:color w:val="000000"/>
                <w:sz w:val="20"/>
                <w:lang w:val="ru-RU" w:eastAsia="en-US"/>
              </w:rPr>
              <w:t>заключени</w:t>
            </w:r>
            <w:r>
              <w:rPr>
                <w:rFonts w:eastAsia="Times New Roman"/>
                <w:b/>
                <w:color w:val="000000"/>
                <w:sz w:val="20"/>
                <w:lang w:val="ru-RU" w:eastAsia="en-US"/>
              </w:rPr>
              <w:t>я форвардных контрактов</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Янв</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63</w:t>
            </w:r>
            <w:r w:rsidR="0072176F">
              <w:rPr>
                <w:rFonts w:eastAsia="Times New Roman"/>
                <w:color w:val="000000"/>
                <w:sz w:val="20"/>
                <w:lang w:eastAsia="en-US"/>
              </w:rPr>
              <w:t>,</w:t>
            </w:r>
            <w:r w:rsidRPr="00F206D0">
              <w:rPr>
                <w:rFonts w:eastAsia="Times New Roman"/>
                <w:color w:val="000000"/>
                <w:sz w:val="20"/>
                <w:lang w:eastAsia="en-US"/>
              </w:rPr>
              <w:t>5%</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Фев</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51</w:t>
            </w:r>
            <w:r w:rsidR="0072176F">
              <w:rPr>
                <w:rFonts w:eastAsia="Times New Roman"/>
                <w:color w:val="000000"/>
                <w:sz w:val="20"/>
                <w:lang w:eastAsia="en-US"/>
              </w:rPr>
              <w:t>,</w:t>
            </w:r>
            <w:r w:rsidRPr="00F206D0">
              <w:rPr>
                <w:rFonts w:eastAsia="Times New Roman"/>
                <w:color w:val="000000"/>
                <w:sz w:val="20"/>
                <w:lang w:eastAsia="en-US"/>
              </w:rPr>
              <w:t>4%</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Мар</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73</w:t>
            </w:r>
            <w:r w:rsidR="0072176F">
              <w:rPr>
                <w:rFonts w:eastAsia="Times New Roman"/>
                <w:color w:val="000000"/>
                <w:sz w:val="20"/>
                <w:lang w:eastAsia="en-US"/>
              </w:rPr>
              <w:t>,</w:t>
            </w:r>
            <w:r w:rsidRPr="00F206D0">
              <w:rPr>
                <w:rFonts w:eastAsia="Times New Roman"/>
                <w:color w:val="000000"/>
                <w:sz w:val="20"/>
                <w:lang w:eastAsia="en-US"/>
              </w:rPr>
              <w:t>4%</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Апр</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74</w:t>
            </w:r>
            <w:r w:rsidR="0072176F">
              <w:rPr>
                <w:rFonts w:eastAsia="Times New Roman"/>
                <w:color w:val="000000"/>
                <w:sz w:val="20"/>
                <w:lang w:eastAsia="en-US"/>
              </w:rPr>
              <w:t>,</w:t>
            </w:r>
            <w:r w:rsidRPr="00F206D0">
              <w:rPr>
                <w:rFonts w:eastAsia="Times New Roman"/>
                <w:color w:val="000000"/>
                <w:sz w:val="20"/>
                <w:lang w:eastAsia="en-US"/>
              </w:rPr>
              <w:t>5%</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2176F" w:rsidP="006E44AC">
            <w:pPr>
              <w:rPr>
                <w:rFonts w:eastAsia="Times New Roman"/>
                <w:color w:val="000000"/>
                <w:sz w:val="20"/>
                <w:lang w:eastAsia="en-US"/>
              </w:rPr>
            </w:pPr>
            <w:r>
              <w:rPr>
                <w:rFonts w:eastAsia="Times New Roman"/>
                <w:color w:val="000000"/>
                <w:sz w:val="20"/>
                <w:lang w:eastAsia="en-US"/>
              </w:rPr>
              <w:t>М</w:t>
            </w:r>
            <w:r w:rsidR="006E2404">
              <w:rPr>
                <w:rFonts w:eastAsia="Times New Roman"/>
                <w:color w:val="000000"/>
                <w:sz w:val="20"/>
                <w:lang w:eastAsia="en-US"/>
              </w:rPr>
              <w:t>а</w:t>
            </w:r>
            <w:r>
              <w:rPr>
                <w:rFonts w:eastAsia="Times New Roman"/>
                <w:color w:val="000000"/>
                <w:sz w:val="20"/>
                <w:lang w:val="ru-RU" w:eastAsia="en-US"/>
              </w:rPr>
              <w:t>й</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75</w:t>
            </w:r>
            <w:r w:rsidR="0072176F">
              <w:rPr>
                <w:rFonts w:eastAsia="Times New Roman"/>
                <w:color w:val="000000"/>
                <w:sz w:val="20"/>
                <w:lang w:eastAsia="en-US"/>
              </w:rPr>
              <w:t>,</w:t>
            </w:r>
            <w:r w:rsidRPr="00F206D0">
              <w:rPr>
                <w:rFonts w:eastAsia="Times New Roman"/>
                <w:color w:val="000000"/>
                <w:sz w:val="20"/>
                <w:lang w:eastAsia="en-US"/>
              </w:rPr>
              <w:t>3%</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Июн</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59</w:t>
            </w:r>
            <w:r w:rsidR="0072176F">
              <w:rPr>
                <w:rFonts w:eastAsia="Times New Roman"/>
                <w:color w:val="000000"/>
                <w:sz w:val="20"/>
                <w:lang w:eastAsia="en-US"/>
              </w:rPr>
              <w:t>,</w:t>
            </w:r>
            <w:r w:rsidRPr="00F206D0">
              <w:rPr>
                <w:rFonts w:eastAsia="Times New Roman"/>
                <w:color w:val="000000"/>
                <w:sz w:val="20"/>
                <w:lang w:eastAsia="en-US"/>
              </w:rPr>
              <w:t>9%</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Июл</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61</w:t>
            </w:r>
            <w:r w:rsidR="0072176F">
              <w:rPr>
                <w:rFonts w:eastAsia="Times New Roman"/>
                <w:color w:val="000000"/>
                <w:sz w:val="20"/>
                <w:lang w:eastAsia="en-US"/>
              </w:rPr>
              <w:t>,</w:t>
            </w:r>
            <w:r w:rsidRPr="00F206D0">
              <w:rPr>
                <w:rFonts w:eastAsia="Times New Roman"/>
                <w:color w:val="000000"/>
                <w:sz w:val="20"/>
                <w:lang w:eastAsia="en-US"/>
              </w:rPr>
              <w:t>2%</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2176F" w:rsidP="006E44AC">
            <w:pPr>
              <w:rPr>
                <w:rFonts w:eastAsia="Times New Roman"/>
                <w:color w:val="000000"/>
                <w:sz w:val="20"/>
                <w:lang w:eastAsia="en-US"/>
              </w:rPr>
            </w:pPr>
            <w:r>
              <w:rPr>
                <w:rFonts w:eastAsia="Times New Roman"/>
                <w:color w:val="000000"/>
                <w:sz w:val="20"/>
                <w:lang w:val="ru-RU" w:eastAsia="en-US"/>
              </w:rPr>
              <w:t>Авг</w:t>
            </w:r>
            <w:r w:rsidR="008A38C8">
              <w:rPr>
                <w:rFonts w:eastAsia="Times New Roman"/>
                <w:color w:val="000000"/>
                <w:sz w:val="20"/>
                <w:lang w:eastAsia="en-US"/>
              </w:rPr>
              <w:t xml:space="preserve">-15 </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75</w:t>
            </w:r>
            <w:r w:rsidR="0072176F">
              <w:rPr>
                <w:rFonts w:eastAsia="Times New Roman"/>
                <w:color w:val="000000"/>
                <w:sz w:val="20"/>
                <w:lang w:eastAsia="en-US"/>
              </w:rPr>
              <w:t>,</w:t>
            </w:r>
            <w:r w:rsidRPr="00F206D0">
              <w:rPr>
                <w:rFonts w:eastAsia="Times New Roman"/>
                <w:color w:val="000000"/>
                <w:sz w:val="20"/>
                <w:lang w:eastAsia="en-US"/>
              </w:rPr>
              <w:t>8%</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Сен</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81</w:t>
            </w:r>
            <w:r w:rsidR="0072176F">
              <w:rPr>
                <w:rFonts w:eastAsia="Times New Roman"/>
                <w:color w:val="000000"/>
                <w:sz w:val="20"/>
                <w:lang w:eastAsia="en-US"/>
              </w:rPr>
              <w:t>,</w:t>
            </w:r>
            <w:r w:rsidRPr="00F206D0">
              <w:rPr>
                <w:rFonts w:eastAsia="Times New Roman"/>
                <w:color w:val="000000"/>
                <w:sz w:val="20"/>
                <w:lang w:eastAsia="en-US"/>
              </w:rPr>
              <w:t>4%</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Окт</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64</w:t>
            </w:r>
            <w:r w:rsidR="0072176F">
              <w:rPr>
                <w:rFonts w:eastAsia="Times New Roman"/>
                <w:color w:val="000000"/>
                <w:sz w:val="20"/>
                <w:lang w:eastAsia="en-US"/>
              </w:rPr>
              <w:t>,</w:t>
            </w:r>
            <w:r w:rsidRPr="00F206D0">
              <w:rPr>
                <w:rFonts w:eastAsia="Times New Roman"/>
                <w:color w:val="000000"/>
                <w:sz w:val="20"/>
                <w:lang w:eastAsia="en-US"/>
              </w:rPr>
              <w:t>9%</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Ноя</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78</w:t>
            </w:r>
            <w:r w:rsidR="0072176F">
              <w:rPr>
                <w:rFonts w:eastAsia="Times New Roman"/>
                <w:color w:val="000000"/>
                <w:sz w:val="20"/>
                <w:lang w:eastAsia="en-US"/>
              </w:rPr>
              <w:t>,</w:t>
            </w:r>
            <w:r w:rsidRPr="00F206D0">
              <w:rPr>
                <w:rFonts w:eastAsia="Times New Roman"/>
                <w:color w:val="000000"/>
                <w:sz w:val="20"/>
                <w:lang w:eastAsia="en-US"/>
              </w:rPr>
              <w:t>1%</w:t>
            </w:r>
          </w:p>
        </w:tc>
      </w:tr>
      <w:tr w:rsidR="007D4D90" w:rsidRPr="00F206D0" w:rsidTr="0072176F">
        <w:trPr>
          <w:trHeight w:val="300"/>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Дек</w:t>
            </w:r>
            <w:r w:rsidR="007D4D90" w:rsidRPr="00F206D0">
              <w:rPr>
                <w:rFonts w:eastAsia="Times New Roman"/>
                <w:color w:val="000000"/>
                <w:sz w:val="20"/>
                <w:lang w:eastAsia="en-US"/>
              </w:rPr>
              <w:t>-15</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65</w:t>
            </w:r>
            <w:r w:rsidR="0072176F">
              <w:rPr>
                <w:rFonts w:eastAsia="Times New Roman"/>
                <w:color w:val="000000"/>
                <w:sz w:val="20"/>
                <w:lang w:eastAsia="en-US"/>
              </w:rPr>
              <w:t>,</w:t>
            </w:r>
            <w:r w:rsidRPr="00F206D0">
              <w:rPr>
                <w:rFonts w:eastAsia="Times New Roman"/>
                <w:color w:val="000000"/>
                <w:sz w:val="20"/>
                <w:lang w:eastAsia="en-US"/>
              </w:rPr>
              <w:t>4%</w:t>
            </w:r>
          </w:p>
        </w:tc>
      </w:tr>
    </w:tbl>
    <w:p w:rsidR="004B2858" w:rsidRDefault="004B2858"/>
    <w:tbl>
      <w:tblPr>
        <w:tblW w:w="4524" w:type="dxa"/>
        <w:jc w:val="center"/>
        <w:tblLook w:val="00A0" w:firstRow="1" w:lastRow="0" w:firstColumn="1" w:lastColumn="0" w:noHBand="0" w:noVBand="0"/>
      </w:tblPr>
      <w:tblGrid>
        <w:gridCol w:w="1580"/>
        <w:gridCol w:w="2944"/>
      </w:tblGrid>
      <w:tr w:rsidR="007D4D90" w:rsidRPr="006E44AC"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72176F" w:rsidRDefault="0072176F" w:rsidP="006E44AC">
            <w:pPr>
              <w:rPr>
                <w:rFonts w:eastAsia="Times New Roman"/>
                <w:b/>
                <w:color w:val="000000"/>
                <w:sz w:val="20"/>
                <w:lang w:val="ru-RU" w:eastAsia="en-US"/>
              </w:rPr>
            </w:pPr>
            <w:r>
              <w:rPr>
                <w:rFonts w:eastAsia="Times New Roman"/>
                <w:b/>
                <w:color w:val="000000"/>
                <w:sz w:val="20"/>
                <w:lang w:val="ru-RU" w:eastAsia="en-US"/>
              </w:rPr>
              <w:t xml:space="preserve">В среднем за </w:t>
            </w:r>
            <w:r w:rsidR="007D4D90" w:rsidRPr="0072176F">
              <w:rPr>
                <w:rFonts w:eastAsia="Times New Roman"/>
                <w:b/>
                <w:color w:val="000000"/>
                <w:sz w:val="20"/>
                <w:lang w:val="ru-RU" w:eastAsia="en-US"/>
              </w:rPr>
              <w:t>2015</w:t>
            </w:r>
            <w:r>
              <w:rPr>
                <w:rFonts w:eastAsia="Times New Roman"/>
                <w:b/>
                <w:color w:val="000000"/>
                <w:sz w:val="20"/>
                <w:lang w:val="ru-RU" w:eastAsia="en-US"/>
              </w:rPr>
              <w:t xml:space="preserve"> г.</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6E44AC" w:rsidRDefault="007D4D90" w:rsidP="006E44AC">
            <w:pPr>
              <w:jc w:val="center"/>
              <w:rPr>
                <w:rFonts w:eastAsia="Times New Roman"/>
                <w:b/>
                <w:color w:val="000000"/>
                <w:sz w:val="20"/>
                <w:lang w:eastAsia="en-US"/>
              </w:rPr>
            </w:pPr>
            <w:r w:rsidRPr="006E44AC">
              <w:rPr>
                <w:rFonts w:eastAsia="Times New Roman"/>
                <w:b/>
                <w:color w:val="000000"/>
                <w:sz w:val="20"/>
                <w:lang w:eastAsia="en-US"/>
              </w:rPr>
              <w:t>68</w:t>
            </w:r>
            <w:r w:rsidR="0072176F">
              <w:rPr>
                <w:rFonts w:eastAsia="Times New Roman"/>
                <w:b/>
                <w:color w:val="000000"/>
                <w:sz w:val="20"/>
                <w:lang w:eastAsia="en-US"/>
              </w:rPr>
              <w:t>,</w:t>
            </w:r>
            <w:r w:rsidRPr="006E44AC">
              <w:rPr>
                <w:rFonts w:eastAsia="Times New Roman"/>
                <w:b/>
                <w:color w:val="000000"/>
                <w:sz w:val="20"/>
                <w:lang w:eastAsia="en-US"/>
              </w:rPr>
              <w:t>9%</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rPr>
                <w:rFonts w:eastAsia="Times New Roman"/>
                <w:color w:val="000000"/>
                <w:sz w:val="20"/>
                <w:lang w:eastAsia="en-US"/>
              </w:rPr>
            </w:pP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Янв</w:t>
            </w:r>
            <w:r w:rsidR="007D4D90" w:rsidRPr="00F206D0">
              <w:rPr>
                <w:rFonts w:eastAsia="Times New Roman"/>
                <w:color w:val="000000"/>
                <w:sz w:val="20"/>
                <w:lang w:eastAsia="en-US"/>
              </w:rPr>
              <w:t>-16</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70</w:t>
            </w:r>
            <w:r w:rsidR="0072176F">
              <w:rPr>
                <w:rFonts w:eastAsia="Times New Roman"/>
                <w:color w:val="000000"/>
                <w:sz w:val="20"/>
                <w:lang w:eastAsia="en-US"/>
              </w:rPr>
              <w:t>,</w:t>
            </w:r>
            <w:r w:rsidRPr="00F206D0">
              <w:rPr>
                <w:rFonts w:eastAsia="Times New Roman"/>
                <w:color w:val="000000"/>
                <w:sz w:val="20"/>
                <w:lang w:eastAsia="en-US"/>
              </w:rPr>
              <w:t>1%</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Фев</w:t>
            </w:r>
            <w:r w:rsidR="007D4D90" w:rsidRPr="00F206D0">
              <w:rPr>
                <w:rFonts w:eastAsia="Times New Roman"/>
                <w:color w:val="000000"/>
                <w:sz w:val="20"/>
                <w:lang w:eastAsia="en-US"/>
              </w:rPr>
              <w:t>-16</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59</w:t>
            </w:r>
            <w:r w:rsidR="0072176F">
              <w:rPr>
                <w:rFonts w:eastAsia="Times New Roman"/>
                <w:color w:val="000000"/>
                <w:sz w:val="20"/>
                <w:lang w:eastAsia="en-US"/>
              </w:rPr>
              <w:t>,</w:t>
            </w:r>
            <w:r w:rsidRPr="00F206D0">
              <w:rPr>
                <w:rFonts w:eastAsia="Times New Roman"/>
                <w:color w:val="000000"/>
                <w:sz w:val="20"/>
                <w:lang w:eastAsia="en-US"/>
              </w:rPr>
              <w:t>2%</w:t>
            </w:r>
          </w:p>
        </w:tc>
      </w:tr>
      <w:tr w:rsidR="007D4D90" w:rsidRPr="00F206D0" w:rsidTr="0072176F">
        <w:trPr>
          <w:trHeight w:val="300"/>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Мар</w:t>
            </w:r>
            <w:r w:rsidR="007D4D90" w:rsidRPr="00F206D0">
              <w:rPr>
                <w:rFonts w:eastAsia="Times New Roman"/>
                <w:color w:val="000000"/>
                <w:sz w:val="20"/>
                <w:lang w:eastAsia="en-US"/>
              </w:rPr>
              <w:t>-16</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76</w:t>
            </w:r>
            <w:r w:rsidR="0072176F">
              <w:rPr>
                <w:rFonts w:eastAsia="Times New Roman"/>
                <w:color w:val="000000"/>
                <w:sz w:val="20"/>
                <w:lang w:eastAsia="en-US"/>
              </w:rPr>
              <w:t>,</w:t>
            </w:r>
            <w:r w:rsidRPr="00F206D0">
              <w:rPr>
                <w:rFonts w:eastAsia="Times New Roman"/>
                <w:color w:val="000000"/>
                <w:sz w:val="20"/>
                <w:lang w:eastAsia="en-US"/>
              </w:rPr>
              <w:t>3%</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Апр</w:t>
            </w:r>
            <w:r w:rsidR="007D4D90" w:rsidRPr="00F206D0">
              <w:rPr>
                <w:rFonts w:eastAsia="Times New Roman"/>
                <w:color w:val="000000"/>
                <w:sz w:val="20"/>
                <w:lang w:eastAsia="en-US"/>
              </w:rPr>
              <w:t>-16</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80</w:t>
            </w:r>
            <w:r w:rsidR="0072176F">
              <w:rPr>
                <w:rFonts w:eastAsia="Times New Roman"/>
                <w:color w:val="000000"/>
                <w:sz w:val="20"/>
                <w:lang w:eastAsia="en-US"/>
              </w:rPr>
              <w:t>,</w:t>
            </w:r>
            <w:r w:rsidRPr="00F206D0">
              <w:rPr>
                <w:rFonts w:eastAsia="Times New Roman"/>
                <w:color w:val="000000"/>
                <w:sz w:val="20"/>
                <w:lang w:eastAsia="en-US"/>
              </w:rPr>
              <w:t>1%</w:t>
            </w:r>
          </w:p>
        </w:tc>
      </w:tr>
      <w:tr w:rsidR="007D4D90" w:rsidRPr="00F206D0" w:rsidTr="0072176F">
        <w:trPr>
          <w:trHeight w:val="300"/>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6E2404" w:rsidP="006E44AC">
            <w:pPr>
              <w:rPr>
                <w:rFonts w:eastAsia="Times New Roman"/>
                <w:color w:val="000000"/>
                <w:sz w:val="20"/>
                <w:lang w:eastAsia="en-US"/>
              </w:rPr>
            </w:pPr>
            <w:r>
              <w:rPr>
                <w:rFonts w:eastAsia="Times New Roman"/>
                <w:color w:val="000000"/>
                <w:sz w:val="20"/>
                <w:lang w:eastAsia="en-US"/>
              </w:rPr>
              <w:t>мая</w:t>
            </w:r>
            <w:r w:rsidR="007D4D90" w:rsidRPr="00F206D0">
              <w:rPr>
                <w:rFonts w:eastAsia="Times New Roman"/>
                <w:color w:val="000000"/>
                <w:sz w:val="20"/>
                <w:lang w:eastAsia="en-US"/>
              </w:rPr>
              <w:t>-16</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r w:rsidRPr="00F206D0">
              <w:rPr>
                <w:rFonts w:eastAsia="Times New Roman"/>
                <w:color w:val="000000"/>
                <w:sz w:val="20"/>
                <w:lang w:eastAsia="en-US"/>
              </w:rPr>
              <w:t>68</w:t>
            </w:r>
            <w:r w:rsidR="0072176F">
              <w:rPr>
                <w:rFonts w:eastAsia="Times New Roman"/>
                <w:color w:val="000000"/>
                <w:sz w:val="20"/>
                <w:lang w:eastAsia="en-US"/>
              </w:rPr>
              <w:t>,</w:t>
            </w:r>
            <w:r w:rsidRPr="00F206D0">
              <w:rPr>
                <w:rFonts w:eastAsia="Times New Roman"/>
                <w:color w:val="000000"/>
                <w:sz w:val="20"/>
                <w:lang w:eastAsia="en-US"/>
              </w:rPr>
              <w:t>8%</w:t>
            </w:r>
          </w:p>
        </w:tc>
      </w:tr>
      <w:tr w:rsidR="007D4D90" w:rsidRPr="006E44AC" w:rsidTr="0072176F">
        <w:trPr>
          <w:trHeight w:val="300"/>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72176F" w:rsidRDefault="0072176F" w:rsidP="006E44AC">
            <w:pPr>
              <w:rPr>
                <w:rFonts w:eastAsia="Times New Roman"/>
                <w:b/>
                <w:color w:val="000000"/>
                <w:sz w:val="20"/>
                <w:lang w:val="ru-RU" w:eastAsia="en-US"/>
              </w:rPr>
            </w:pPr>
            <w:r>
              <w:rPr>
                <w:rFonts w:eastAsia="Times New Roman"/>
                <w:b/>
                <w:color w:val="000000"/>
                <w:sz w:val="20"/>
                <w:lang w:val="ru-RU" w:eastAsia="en-US"/>
              </w:rPr>
              <w:t xml:space="preserve">В среднем за </w:t>
            </w:r>
            <w:r w:rsidR="007D4D90" w:rsidRPr="006E44AC">
              <w:rPr>
                <w:rFonts w:eastAsia="Times New Roman"/>
                <w:b/>
                <w:color w:val="000000"/>
                <w:sz w:val="20"/>
                <w:lang w:eastAsia="en-US"/>
              </w:rPr>
              <w:t>2016</w:t>
            </w:r>
            <w:r>
              <w:rPr>
                <w:rFonts w:eastAsia="Times New Roman"/>
                <w:b/>
                <w:color w:val="000000"/>
                <w:sz w:val="20"/>
                <w:lang w:val="ru-RU" w:eastAsia="en-US"/>
              </w:rPr>
              <w:t xml:space="preserve"> г.</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6E44AC" w:rsidRDefault="007D4D90" w:rsidP="006E44AC">
            <w:pPr>
              <w:jc w:val="center"/>
              <w:rPr>
                <w:rFonts w:eastAsia="Times New Roman"/>
                <w:b/>
                <w:color w:val="000000"/>
                <w:sz w:val="20"/>
                <w:lang w:eastAsia="en-US"/>
              </w:rPr>
            </w:pPr>
            <w:r w:rsidRPr="006E44AC">
              <w:rPr>
                <w:rFonts w:eastAsia="Times New Roman"/>
                <w:b/>
                <w:color w:val="000000"/>
                <w:sz w:val="20"/>
                <w:lang w:eastAsia="en-US"/>
              </w:rPr>
              <w:t>71</w:t>
            </w:r>
            <w:r w:rsidR="0072176F">
              <w:rPr>
                <w:rFonts w:eastAsia="Times New Roman"/>
                <w:b/>
                <w:color w:val="000000"/>
                <w:sz w:val="20"/>
                <w:lang w:eastAsia="en-US"/>
              </w:rPr>
              <w:t>,</w:t>
            </w:r>
            <w:r w:rsidRPr="006E44AC">
              <w:rPr>
                <w:rFonts w:eastAsia="Times New Roman"/>
                <w:b/>
                <w:color w:val="000000"/>
                <w:sz w:val="20"/>
                <w:lang w:eastAsia="en-US"/>
              </w:rPr>
              <w:t>1%</w:t>
            </w:r>
          </w:p>
        </w:tc>
      </w:tr>
      <w:tr w:rsidR="007D4D90" w:rsidRPr="00F206D0"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rPr>
                <w:rFonts w:eastAsia="Times New Roman"/>
                <w:color w:val="000000"/>
                <w:sz w:val="20"/>
                <w:lang w:eastAsia="en-US"/>
              </w:rPr>
            </w:pP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F206D0" w:rsidRDefault="007D4D90" w:rsidP="006E44AC">
            <w:pPr>
              <w:jc w:val="center"/>
              <w:rPr>
                <w:rFonts w:eastAsia="Times New Roman"/>
                <w:color w:val="000000"/>
                <w:sz w:val="20"/>
                <w:lang w:eastAsia="en-US"/>
              </w:rPr>
            </w:pPr>
          </w:p>
        </w:tc>
      </w:tr>
      <w:tr w:rsidR="007D4D90" w:rsidRPr="006E44AC" w:rsidTr="0072176F">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rsidR="007D4D90" w:rsidRPr="006E44AC" w:rsidRDefault="0072176F" w:rsidP="006E44AC">
            <w:pPr>
              <w:rPr>
                <w:rFonts w:eastAsia="Times New Roman"/>
                <w:b/>
                <w:color w:val="000000"/>
                <w:sz w:val="20"/>
                <w:lang w:eastAsia="en-US"/>
              </w:rPr>
            </w:pPr>
            <w:r>
              <w:rPr>
                <w:rFonts w:eastAsia="Times New Roman"/>
                <w:b/>
                <w:color w:val="000000"/>
                <w:sz w:val="20"/>
                <w:lang w:val="ru-RU" w:eastAsia="en-US"/>
              </w:rPr>
              <w:t xml:space="preserve">Общая </w:t>
            </w:r>
            <w:r>
              <w:rPr>
                <w:rFonts w:eastAsia="Times New Roman"/>
                <w:b/>
                <w:color w:val="000000"/>
                <w:sz w:val="20"/>
                <w:lang w:eastAsia="en-US"/>
              </w:rPr>
              <w:t>с</w:t>
            </w:r>
            <w:r w:rsidR="006E2404">
              <w:rPr>
                <w:rFonts w:eastAsia="Times New Roman"/>
                <w:b/>
                <w:color w:val="000000"/>
                <w:sz w:val="20"/>
                <w:lang w:eastAsia="en-US"/>
              </w:rPr>
              <w:t>редн</w:t>
            </w:r>
            <w:r>
              <w:rPr>
                <w:rFonts w:eastAsia="Times New Roman"/>
                <w:b/>
                <w:color w:val="000000"/>
                <w:sz w:val="20"/>
                <w:lang w:val="ru-RU" w:eastAsia="en-US"/>
              </w:rPr>
              <w:t>яя</w:t>
            </w:r>
          </w:p>
        </w:tc>
        <w:tc>
          <w:tcPr>
            <w:tcW w:w="2944" w:type="dxa"/>
            <w:tcBorders>
              <w:top w:val="single" w:sz="4" w:space="0" w:color="auto"/>
              <w:left w:val="single" w:sz="4" w:space="0" w:color="auto"/>
              <w:bottom w:val="single" w:sz="4" w:space="0" w:color="auto"/>
              <w:right w:val="single" w:sz="4" w:space="0" w:color="auto"/>
            </w:tcBorders>
            <w:noWrap/>
            <w:vAlign w:val="bottom"/>
          </w:tcPr>
          <w:p w:rsidR="007D4D90" w:rsidRPr="006E44AC" w:rsidRDefault="007D4D90" w:rsidP="006E44AC">
            <w:pPr>
              <w:jc w:val="center"/>
              <w:rPr>
                <w:rFonts w:eastAsia="Times New Roman"/>
                <w:b/>
                <w:color w:val="000000"/>
                <w:sz w:val="20"/>
                <w:lang w:eastAsia="en-US"/>
              </w:rPr>
            </w:pPr>
            <w:r w:rsidRPr="006E44AC">
              <w:rPr>
                <w:rFonts w:eastAsia="Times New Roman"/>
                <w:b/>
                <w:color w:val="000000"/>
                <w:sz w:val="20"/>
                <w:lang w:eastAsia="en-US"/>
              </w:rPr>
              <w:t>69</w:t>
            </w:r>
            <w:r w:rsidR="0072176F">
              <w:rPr>
                <w:rFonts w:eastAsia="Times New Roman"/>
                <w:b/>
                <w:color w:val="000000"/>
                <w:sz w:val="20"/>
                <w:lang w:eastAsia="en-US"/>
              </w:rPr>
              <w:t>,</w:t>
            </w:r>
            <w:r w:rsidRPr="006E44AC">
              <w:rPr>
                <w:rFonts w:eastAsia="Times New Roman"/>
                <w:b/>
                <w:color w:val="000000"/>
                <w:sz w:val="20"/>
                <w:lang w:eastAsia="en-US"/>
              </w:rPr>
              <w:t>6%</w:t>
            </w:r>
          </w:p>
        </w:tc>
      </w:tr>
      <w:tr w:rsidR="007D4D90" w:rsidRPr="00F206D0" w:rsidTr="0072176F">
        <w:trPr>
          <w:trHeight w:val="255"/>
          <w:jc w:val="center"/>
        </w:trPr>
        <w:tc>
          <w:tcPr>
            <w:tcW w:w="1580" w:type="dxa"/>
            <w:tcBorders>
              <w:top w:val="single" w:sz="4" w:space="0" w:color="auto"/>
            </w:tcBorders>
            <w:noWrap/>
            <w:vAlign w:val="bottom"/>
          </w:tcPr>
          <w:p w:rsidR="007D4D90" w:rsidRPr="00F206D0" w:rsidRDefault="007D4D90" w:rsidP="006E44AC">
            <w:pPr>
              <w:rPr>
                <w:rFonts w:eastAsia="Times New Roman"/>
                <w:color w:val="000000"/>
                <w:sz w:val="20"/>
                <w:lang w:eastAsia="en-US"/>
              </w:rPr>
            </w:pPr>
          </w:p>
        </w:tc>
        <w:tc>
          <w:tcPr>
            <w:tcW w:w="2944" w:type="dxa"/>
            <w:tcBorders>
              <w:top w:val="single" w:sz="4" w:space="0" w:color="auto"/>
            </w:tcBorders>
            <w:noWrap/>
            <w:vAlign w:val="bottom"/>
          </w:tcPr>
          <w:p w:rsidR="007D4D90" w:rsidRPr="00F206D0" w:rsidRDefault="007D4D90" w:rsidP="006E44AC">
            <w:pPr>
              <w:jc w:val="center"/>
              <w:rPr>
                <w:rFonts w:eastAsia="Times New Roman"/>
                <w:color w:val="000000"/>
                <w:sz w:val="20"/>
                <w:lang w:eastAsia="en-US"/>
              </w:rPr>
            </w:pPr>
          </w:p>
        </w:tc>
      </w:tr>
    </w:tbl>
    <w:p w:rsidR="007D4D90" w:rsidRDefault="007D4D90" w:rsidP="00F516DC"/>
    <w:p w:rsidR="007D4D90" w:rsidRDefault="00D4176C" w:rsidP="00A406FA">
      <w:pPr>
        <w:jc w:val="center"/>
      </w:pPr>
      <w:r>
        <w:rPr>
          <w:noProof/>
          <w:lang w:eastAsia="en-US"/>
        </w:rPr>
        <w:drawing>
          <wp:inline distT="0" distB="0" distL="0" distR="0" wp14:anchorId="5850994B" wp14:editId="2715B3CE">
            <wp:extent cx="5210175" cy="2943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4D90" w:rsidRDefault="00EF1729" w:rsidP="00F516DC">
      <w:pPr>
        <w:rPr>
          <w:lang w:val="ru-RU"/>
        </w:rPr>
      </w:pPr>
      <w:r>
        <w:rPr>
          <w:lang w:val="ru-RU"/>
        </w:rPr>
        <w:t>Легенда: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852"/>
      </w:tblGrid>
      <w:tr w:rsidR="00EF1729" w:rsidTr="00EF1729">
        <w:tc>
          <w:tcPr>
            <w:tcW w:w="250" w:type="dxa"/>
            <w:shd w:val="clear" w:color="auto" w:fill="548DD4" w:themeFill="text2" w:themeFillTint="99"/>
          </w:tcPr>
          <w:p w:rsidR="00EF1729" w:rsidRDefault="00EF1729" w:rsidP="00F516DC">
            <w:pPr>
              <w:rPr>
                <w:lang w:val="ru-RU"/>
              </w:rPr>
            </w:pPr>
          </w:p>
        </w:tc>
        <w:tc>
          <w:tcPr>
            <w:tcW w:w="8852" w:type="dxa"/>
          </w:tcPr>
          <w:p w:rsidR="00EF1729" w:rsidRPr="00EF1729" w:rsidRDefault="00EF1729" w:rsidP="00EF1729">
            <w:pPr>
              <w:rPr>
                <w:sz w:val="20"/>
                <w:lang w:val="ru-RU"/>
              </w:rPr>
            </w:pPr>
            <w:r>
              <w:rPr>
                <w:sz w:val="20"/>
                <w:lang w:val="ru-RU"/>
              </w:rPr>
              <w:t>Доходы</w:t>
            </w:r>
            <w:r w:rsidRPr="00EF1729">
              <w:rPr>
                <w:sz w:val="20"/>
                <w:lang w:val="ru-RU"/>
              </w:rPr>
              <w:t xml:space="preserve"> РСТ, полученны</w:t>
            </w:r>
            <w:r>
              <w:rPr>
                <w:sz w:val="20"/>
                <w:lang w:val="ru-RU"/>
              </w:rPr>
              <w:t>е</w:t>
            </w:r>
            <w:r w:rsidRPr="00EF1729">
              <w:rPr>
                <w:sz w:val="20"/>
                <w:lang w:val="ru-RU"/>
              </w:rPr>
              <w:t xml:space="preserve"> в евро</w:t>
            </w:r>
          </w:p>
        </w:tc>
      </w:tr>
      <w:tr w:rsidR="00EF1729" w:rsidTr="00EF1729">
        <w:tc>
          <w:tcPr>
            <w:tcW w:w="250" w:type="dxa"/>
            <w:shd w:val="clear" w:color="auto" w:fill="943634" w:themeFill="accent2" w:themeFillShade="BF"/>
          </w:tcPr>
          <w:p w:rsidR="00EF1729" w:rsidRDefault="00EF1729" w:rsidP="00F516DC">
            <w:pPr>
              <w:rPr>
                <w:lang w:val="ru-RU"/>
              </w:rPr>
            </w:pPr>
          </w:p>
        </w:tc>
        <w:tc>
          <w:tcPr>
            <w:tcW w:w="8852" w:type="dxa"/>
          </w:tcPr>
          <w:p w:rsidR="00EF1729" w:rsidRPr="00EF1729" w:rsidRDefault="00EF1729" w:rsidP="00EF1729">
            <w:pPr>
              <w:rPr>
                <w:sz w:val="20"/>
                <w:lang w:val="ru-RU"/>
              </w:rPr>
            </w:pPr>
            <w:r w:rsidRPr="00EF1729">
              <w:rPr>
                <w:sz w:val="20"/>
                <w:lang w:val="ru-RU"/>
              </w:rPr>
              <w:t xml:space="preserve">Остаток средств в евро, </w:t>
            </w:r>
            <w:r>
              <w:rPr>
                <w:sz w:val="20"/>
                <w:lang w:val="ru-RU"/>
              </w:rPr>
              <w:t>доступный</w:t>
            </w:r>
            <w:r w:rsidRPr="00EF1729">
              <w:rPr>
                <w:sz w:val="20"/>
                <w:lang w:val="ru-RU"/>
              </w:rPr>
              <w:t xml:space="preserve"> для приобретения форвардных контрактов</w:t>
            </w:r>
          </w:p>
        </w:tc>
      </w:tr>
    </w:tbl>
    <w:p w:rsidR="007D4D90" w:rsidRPr="00EF1729" w:rsidRDefault="007D4D90" w:rsidP="00F516DC">
      <w:pPr>
        <w:rPr>
          <w:lang w:val="ru-RU"/>
        </w:rPr>
      </w:pPr>
    </w:p>
    <w:p w:rsidR="007D4D90" w:rsidRPr="004B2858" w:rsidRDefault="004B2858" w:rsidP="00D84079">
      <w:pPr>
        <w:pStyle w:val="ONUME"/>
        <w:numPr>
          <w:ilvl w:val="0"/>
          <w:numId w:val="16"/>
        </w:numPr>
        <w:ind w:left="0" w:firstLine="0"/>
      </w:pPr>
      <w:r>
        <w:t>Как</w:t>
      </w:r>
      <w:r w:rsidRPr="004B2858">
        <w:t xml:space="preserve"> </w:t>
      </w:r>
      <w:r>
        <w:t>видно</w:t>
      </w:r>
      <w:r w:rsidRPr="004B2858">
        <w:t xml:space="preserve"> </w:t>
      </w:r>
      <w:r>
        <w:t>из</w:t>
      </w:r>
      <w:r w:rsidRPr="004B2858">
        <w:t xml:space="preserve"> </w:t>
      </w:r>
      <w:r>
        <w:t>таблицы</w:t>
      </w:r>
      <w:r w:rsidR="007D4D90" w:rsidRPr="004B2858">
        <w:t xml:space="preserve">, </w:t>
      </w:r>
      <w:r w:rsidR="006E2404" w:rsidRPr="004B2858">
        <w:t xml:space="preserve">хотя </w:t>
      </w:r>
      <w:r w:rsidR="00D33DB1">
        <w:t>поступлени</w:t>
      </w:r>
      <w:r w:rsidR="00D33DB1" w:rsidRPr="00D33DB1">
        <w:t>я</w:t>
      </w:r>
      <w:r w:rsidR="00D33DB1" w:rsidRPr="004B2858">
        <w:t xml:space="preserve"> </w:t>
      </w:r>
      <w:r w:rsidR="00D33DB1">
        <w:t xml:space="preserve">в </w:t>
      </w:r>
      <w:r w:rsidR="00D33DB1" w:rsidRPr="004B2858">
        <w:t xml:space="preserve">евро </w:t>
      </w:r>
      <w:r w:rsidR="006E2404" w:rsidRPr="004B2858">
        <w:t>значительн</w:t>
      </w:r>
      <w:r w:rsidR="00D33DB1">
        <w:t>о</w:t>
      </w:r>
      <w:r w:rsidR="007D4D90" w:rsidRPr="004B2858">
        <w:t xml:space="preserve"> </w:t>
      </w:r>
      <w:r w:rsidR="00D33DB1">
        <w:t>колебались</w:t>
      </w:r>
      <w:r w:rsidR="007D4D90" w:rsidRPr="004B2858">
        <w:t xml:space="preserve"> </w:t>
      </w:r>
      <w:r>
        <w:t>от месяца к месяцу</w:t>
      </w:r>
      <w:r w:rsidR="007D4D90" w:rsidRPr="004B2858">
        <w:t xml:space="preserve">, </w:t>
      </w:r>
      <w:r w:rsidR="006E2404" w:rsidRPr="004B2858">
        <w:t>они</w:t>
      </w:r>
      <w:r w:rsidR="007D4D90" w:rsidRPr="004B2858">
        <w:t xml:space="preserve"> </w:t>
      </w:r>
      <w:r w:rsidR="00D33DB1">
        <w:t xml:space="preserve">были </w:t>
      </w:r>
      <w:r w:rsidR="006E2404" w:rsidRPr="004B2858">
        <w:t>стабильн</w:t>
      </w:r>
      <w:r>
        <w:t xml:space="preserve">ее </w:t>
      </w:r>
      <w:r w:rsidRPr="004B2858">
        <w:t xml:space="preserve">поступлений </w:t>
      </w:r>
      <w:r w:rsidR="006E2404" w:rsidRPr="004B2858">
        <w:t>и</w:t>
      </w:r>
      <w:r w:rsidR="007D4D90" w:rsidRPr="004B2858">
        <w:t xml:space="preserve"> </w:t>
      </w:r>
      <w:r>
        <w:t xml:space="preserve">выплат </w:t>
      </w:r>
      <w:r w:rsidR="002A2D74" w:rsidRPr="004B2858">
        <w:t>в долларах США</w:t>
      </w:r>
      <w:r w:rsidR="007D4D90" w:rsidRPr="004B2858">
        <w:t xml:space="preserve">.  </w:t>
      </w:r>
      <w:r w:rsidR="006E2404" w:rsidRPr="004B2858">
        <w:t>Хотя чист</w:t>
      </w:r>
      <w:r>
        <w:t>ая</w:t>
      </w:r>
      <w:r w:rsidR="007D4D90" w:rsidRPr="004B2858">
        <w:t xml:space="preserve"> </w:t>
      </w:r>
      <w:r w:rsidR="006E2404" w:rsidRPr="004B2858">
        <w:t>сумма</w:t>
      </w:r>
      <w:r w:rsidR="007D4D90" w:rsidRPr="004B2858">
        <w:t xml:space="preserve"> </w:t>
      </w:r>
      <w:r w:rsidRPr="004B2858">
        <w:t>средств</w:t>
      </w:r>
      <w:r>
        <w:t>, доступных для</w:t>
      </w:r>
      <w:r w:rsidR="00E33D8F" w:rsidRPr="004B2858">
        <w:t xml:space="preserve"> </w:t>
      </w:r>
      <w:r>
        <w:t xml:space="preserve">заключения </w:t>
      </w:r>
      <w:r w:rsidR="004B6100" w:rsidRPr="004B2858">
        <w:t>форвардных контрактов</w:t>
      </w:r>
      <w:r>
        <w:t>,</w:t>
      </w:r>
      <w:r w:rsidR="007D4D90" w:rsidRPr="004B2858">
        <w:t xml:space="preserve"> </w:t>
      </w:r>
      <w:r>
        <w:t>близка к нижнему</w:t>
      </w:r>
      <w:r w:rsidR="00D12CE2" w:rsidRPr="004B2858">
        <w:t xml:space="preserve"> предел</w:t>
      </w:r>
      <w:r>
        <w:t>у</w:t>
      </w:r>
      <w:r w:rsidR="007D4D90" w:rsidRPr="004B2858">
        <w:t xml:space="preserve"> </w:t>
      </w:r>
      <w:r>
        <w:t>интервала</w:t>
      </w:r>
      <w:r w:rsidR="007D4D90" w:rsidRPr="004B2858">
        <w:t xml:space="preserve">, </w:t>
      </w:r>
      <w:r w:rsidR="006E2404" w:rsidRPr="004B2858">
        <w:t xml:space="preserve">поскольку </w:t>
      </w:r>
      <w:r w:rsidR="003C242E">
        <w:t xml:space="preserve">на </w:t>
      </w:r>
      <w:r w:rsidR="003C242E" w:rsidRPr="004B2858">
        <w:t>евро</w:t>
      </w:r>
      <w:r w:rsidR="003C242E">
        <w:t xml:space="preserve"> приходится </w:t>
      </w:r>
      <w:r w:rsidR="007D4D90" w:rsidRPr="004B2858">
        <w:t>21</w:t>
      </w:r>
      <w:r>
        <w:t>,</w:t>
      </w:r>
      <w:r w:rsidR="007D4D90" w:rsidRPr="004B2858">
        <w:t>5</w:t>
      </w:r>
      <w:r>
        <w:t xml:space="preserve">% </w:t>
      </w:r>
      <w:r w:rsidR="00D33DB1">
        <w:t>доходов</w:t>
      </w:r>
      <w:r w:rsidR="002A0B71" w:rsidRPr="004B2858">
        <w:t xml:space="preserve"> </w:t>
      </w:r>
      <w:r w:rsidR="002A0B71">
        <w:rPr>
          <w:lang w:val="en-US"/>
        </w:rPr>
        <w:t>PCT</w:t>
      </w:r>
      <w:r w:rsidR="007D4D90" w:rsidRPr="004B2858">
        <w:t xml:space="preserve">, </w:t>
      </w:r>
      <w:r>
        <w:t xml:space="preserve">это означало бы, что </w:t>
      </w:r>
      <w:r w:rsidR="007D4D90" w:rsidRPr="004B2858">
        <w:t>30</w:t>
      </w:r>
      <w:r>
        <w:t>,</w:t>
      </w:r>
      <w:r w:rsidR="007D4D90" w:rsidRPr="004B2858">
        <w:t>4</w:t>
      </w:r>
      <w:r>
        <w:t xml:space="preserve">% </w:t>
      </w:r>
      <w:r w:rsidR="003C242E">
        <w:t>доходов</w:t>
      </w:r>
      <w:r w:rsidRPr="004B2858">
        <w:t xml:space="preserve"> </w:t>
      </w:r>
      <w:r w:rsidRPr="00C553E3">
        <w:rPr>
          <w:lang w:val="en-US"/>
        </w:rPr>
        <w:t>PCT</w:t>
      </w:r>
      <w:r w:rsidRPr="004B2858">
        <w:t xml:space="preserve"> </w:t>
      </w:r>
      <w:r>
        <w:t>в евро</w:t>
      </w:r>
      <w:r w:rsidR="007D4D90" w:rsidRPr="004B2858">
        <w:t xml:space="preserve"> (</w:t>
      </w:r>
      <w:r w:rsidR="006E2404" w:rsidRPr="004B2858">
        <w:t>или</w:t>
      </w:r>
      <w:r w:rsidR="007D4D90" w:rsidRPr="004B2858">
        <w:t xml:space="preserve"> </w:t>
      </w:r>
      <w:r w:rsidR="006E2404" w:rsidRPr="004B2858">
        <w:t>эквивалент</w:t>
      </w:r>
      <w:r w:rsidR="007D4D90" w:rsidRPr="004B2858">
        <w:t xml:space="preserve"> 26</w:t>
      </w:r>
      <w:r>
        <w:t>,</w:t>
      </w:r>
      <w:r w:rsidR="007D4D90" w:rsidRPr="004B2858">
        <w:t xml:space="preserve">3 </w:t>
      </w:r>
      <w:r w:rsidR="006E2404" w:rsidRPr="004B2858">
        <w:t>м</w:t>
      </w:r>
      <w:r>
        <w:t xml:space="preserve">лн. </w:t>
      </w:r>
      <w:r w:rsidRPr="004B2858">
        <w:t>шв. франков</w:t>
      </w:r>
      <w:r w:rsidR="007D4D90" w:rsidRPr="004B2858">
        <w:t xml:space="preserve">) </w:t>
      </w:r>
      <w:r>
        <w:t>были бы заморожены по обменному</w:t>
      </w:r>
      <w:r w:rsidR="006E2404" w:rsidRPr="004B2858">
        <w:t xml:space="preserve"> курс</w:t>
      </w:r>
      <w:r>
        <w:t>у, установленному в октябре</w:t>
      </w:r>
      <w:r w:rsidRPr="004B2858">
        <w:t xml:space="preserve"> </w:t>
      </w:r>
      <w:r>
        <w:t xml:space="preserve">предыдущего года, </w:t>
      </w:r>
      <w:r w:rsidR="006E2404" w:rsidRPr="004B2858">
        <w:t>и</w:t>
      </w:r>
      <w:r w:rsidR="007D4D90" w:rsidRPr="004B2858">
        <w:t xml:space="preserve"> </w:t>
      </w:r>
      <w:r w:rsidR="003C242E">
        <w:t xml:space="preserve">хеджировались бы </w:t>
      </w:r>
      <w:r>
        <w:t xml:space="preserve">при помощи </w:t>
      </w:r>
      <w:r w:rsidR="004B6100" w:rsidRPr="004B2858">
        <w:t>форвардных контрактов</w:t>
      </w:r>
      <w:r w:rsidR="007D4D90" w:rsidRPr="004B2858">
        <w:t>.</w:t>
      </w:r>
    </w:p>
    <w:p w:rsidR="007D4D90" w:rsidRDefault="008A38C8" w:rsidP="00D84079">
      <w:pPr>
        <w:pStyle w:val="Heading2"/>
      </w:pPr>
      <w:r>
        <w:t>Японски</w:t>
      </w:r>
      <w:r w:rsidR="00B40177">
        <w:rPr>
          <w:lang w:val="ru-RU"/>
        </w:rPr>
        <w:t>е</w:t>
      </w:r>
      <w:r w:rsidR="00B40177">
        <w:t xml:space="preserve"> иен</w:t>
      </w:r>
      <w:r w:rsidR="00B40177">
        <w:rPr>
          <w:lang w:val="ru-RU"/>
        </w:rPr>
        <w:t>ы</w:t>
      </w:r>
    </w:p>
    <w:p w:rsidR="007D4D90" w:rsidRPr="002B64B4" w:rsidRDefault="007D4D90" w:rsidP="002B64B4"/>
    <w:p w:rsidR="007D4D90" w:rsidRPr="002A0B71" w:rsidRDefault="000E25D1" w:rsidP="00D84079">
      <w:pPr>
        <w:pStyle w:val="ONUME"/>
        <w:numPr>
          <w:ilvl w:val="0"/>
          <w:numId w:val="16"/>
        </w:numPr>
        <w:ind w:left="0" w:firstLine="0"/>
      </w:pPr>
      <w:r w:rsidRPr="001720F6">
        <w:t xml:space="preserve">Обязательства </w:t>
      </w:r>
      <w:r w:rsidR="008A38C8" w:rsidRPr="001720F6">
        <w:t>ВОИС</w:t>
      </w:r>
      <w:r w:rsidR="007D4D90" w:rsidRPr="001720F6">
        <w:t xml:space="preserve"> </w:t>
      </w:r>
      <w:r w:rsidR="00406161">
        <w:t xml:space="preserve">по выплатам </w:t>
      </w:r>
      <w:r>
        <w:t>в</w:t>
      </w:r>
      <w:r w:rsidRPr="001720F6">
        <w:t xml:space="preserve"> японских иенах</w:t>
      </w:r>
      <w:r w:rsidR="00E33D8F" w:rsidRPr="001720F6">
        <w:t xml:space="preserve"> </w:t>
      </w:r>
      <w:r w:rsidR="00F271FE" w:rsidRPr="001720F6">
        <w:t>огранич</w:t>
      </w:r>
      <w:r w:rsidR="00F271FE">
        <w:t>иваются</w:t>
      </w:r>
      <w:r w:rsidR="00F271FE" w:rsidRPr="001720F6">
        <w:t xml:space="preserve"> затрат</w:t>
      </w:r>
      <w:r w:rsidR="00F271FE">
        <w:t>ами</w:t>
      </w:r>
      <w:r w:rsidR="007D4D90" w:rsidRPr="001720F6">
        <w:t xml:space="preserve"> </w:t>
      </w:r>
      <w:r w:rsidR="00F271FE">
        <w:t>на</w:t>
      </w:r>
      <w:r w:rsidR="00F271FE" w:rsidRPr="001720F6">
        <w:t xml:space="preserve"> </w:t>
      </w:r>
      <w:r w:rsidR="00F271FE">
        <w:t>обеспечение</w:t>
      </w:r>
      <w:r w:rsidR="00F271FE" w:rsidRPr="001720F6">
        <w:t xml:space="preserve"> </w:t>
      </w:r>
      <w:r w:rsidR="00F271FE">
        <w:t>работы</w:t>
      </w:r>
      <w:r w:rsidR="00F271FE" w:rsidRPr="001720F6">
        <w:t xml:space="preserve"> Б</w:t>
      </w:r>
      <w:r w:rsidR="008A38C8" w:rsidRPr="001720F6">
        <w:t>юро ВОИС</w:t>
      </w:r>
      <w:r w:rsidR="00F271FE" w:rsidRPr="001720F6">
        <w:t xml:space="preserve"> </w:t>
      </w:r>
      <w:r w:rsidR="00F271FE">
        <w:t>в</w:t>
      </w:r>
      <w:r w:rsidR="00F271FE" w:rsidRPr="001720F6">
        <w:t xml:space="preserve"> Япон</w:t>
      </w:r>
      <w:r w:rsidR="00F271FE">
        <w:t>ии</w:t>
      </w:r>
      <w:r w:rsidR="001720F6" w:rsidRPr="001720F6">
        <w:t xml:space="preserve"> </w:t>
      </w:r>
      <w:r w:rsidR="001720F6" w:rsidRPr="001720F6">
        <w:rPr>
          <w:rFonts w:eastAsia="+mn-ea"/>
          <w:lang w:eastAsia="en-US"/>
        </w:rPr>
        <w:t>–</w:t>
      </w:r>
      <w:r w:rsidR="001720F6" w:rsidRPr="001720F6">
        <w:t xml:space="preserve"> </w:t>
      </w:r>
      <w:r w:rsidR="001720F6" w:rsidRPr="0074727B">
        <w:t>таким</w:t>
      </w:r>
      <w:r w:rsidR="001720F6" w:rsidRPr="001720F6">
        <w:t xml:space="preserve"> </w:t>
      </w:r>
      <w:r w:rsidR="001720F6" w:rsidRPr="0074727B">
        <w:t>образом</w:t>
      </w:r>
      <w:r w:rsidR="001720F6" w:rsidRPr="001720F6">
        <w:t xml:space="preserve">, </w:t>
      </w:r>
      <w:r w:rsidR="006E2404" w:rsidRPr="001720F6">
        <w:t>почти</w:t>
      </w:r>
      <w:r w:rsidR="007D4D90" w:rsidRPr="001720F6">
        <w:t xml:space="preserve"> </w:t>
      </w:r>
      <w:r w:rsidR="006E2404" w:rsidRPr="001720F6">
        <w:t>все</w:t>
      </w:r>
      <w:r w:rsidR="007D4D90" w:rsidRPr="001720F6">
        <w:t xml:space="preserve"> </w:t>
      </w:r>
      <w:r w:rsidR="001720F6">
        <w:t>средства</w:t>
      </w:r>
      <w:r w:rsidR="00406161">
        <w:t xml:space="preserve">, </w:t>
      </w:r>
      <w:r w:rsidR="00406161" w:rsidRPr="001720F6">
        <w:t>получ</w:t>
      </w:r>
      <w:r w:rsidR="00406161">
        <w:t>аемые в этой валюте,</w:t>
      </w:r>
      <w:r w:rsidR="001720F6">
        <w:t xml:space="preserve"> были бы доступны для</w:t>
      </w:r>
      <w:r w:rsidR="00E33D8F" w:rsidRPr="001720F6">
        <w:t xml:space="preserve"> </w:t>
      </w:r>
      <w:r w:rsidR="006E2404" w:rsidRPr="001720F6">
        <w:t>хедж</w:t>
      </w:r>
      <w:r w:rsidR="001720F6">
        <w:t>ирования</w:t>
      </w:r>
      <w:r w:rsidR="006E2404" w:rsidRPr="001720F6">
        <w:t xml:space="preserve"> </w:t>
      </w:r>
      <w:r w:rsidR="00406161">
        <w:t>доходов</w:t>
      </w:r>
      <w:r w:rsidR="002A0B71" w:rsidRPr="001720F6">
        <w:t xml:space="preserve"> </w:t>
      </w:r>
      <w:r w:rsidR="002A0B71">
        <w:rPr>
          <w:lang w:val="en-US"/>
        </w:rPr>
        <w:t>PCT</w:t>
      </w:r>
      <w:r w:rsidR="001720F6">
        <w:t xml:space="preserve"> в </w:t>
      </w:r>
      <w:r w:rsidRPr="001720F6">
        <w:t>японских иенах</w:t>
      </w:r>
      <w:r w:rsidR="00E33D8F" w:rsidRPr="001720F6">
        <w:t xml:space="preserve"> </w:t>
      </w:r>
      <w:r w:rsidR="001720F6">
        <w:t xml:space="preserve">при помощи </w:t>
      </w:r>
      <w:r w:rsidR="004B6100" w:rsidRPr="001720F6">
        <w:t>форвардных контрактов</w:t>
      </w:r>
      <w:r w:rsidR="00406161">
        <w:t xml:space="preserve">. </w:t>
      </w:r>
      <w:r w:rsidR="006E2404" w:rsidRPr="006E2404">
        <w:t>Однако</w:t>
      </w:r>
      <w:r w:rsidR="001720F6">
        <w:t xml:space="preserve"> эти поступления</w:t>
      </w:r>
      <w:r w:rsidR="007D4D90" w:rsidRPr="006E2404">
        <w:t xml:space="preserve"> </w:t>
      </w:r>
      <w:r w:rsidR="006E2404" w:rsidRPr="006E2404">
        <w:t>очень</w:t>
      </w:r>
      <w:r w:rsidR="007D4D90" w:rsidRPr="006E2404">
        <w:t xml:space="preserve"> </w:t>
      </w:r>
      <w:r w:rsidR="006E2404" w:rsidRPr="006E2404">
        <w:t>значительно</w:t>
      </w:r>
      <w:r w:rsidR="007D4D90" w:rsidRPr="006E2404">
        <w:t xml:space="preserve"> </w:t>
      </w:r>
      <w:r w:rsidR="001720F6">
        <w:t xml:space="preserve">колебались из </w:t>
      </w:r>
      <w:r w:rsidR="001720F6" w:rsidRPr="00572794">
        <w:t>месяц</w:t>
      </w:r>
      <w:r w:rsidR="001720F6">
        <w:t xml:space="preserve">а в </w:t>
      </w:r>
      <w:r w:rsidR="001720F6" w:rsidRPr="00572794">
        <w:t>месяц</w:t>
      </w:r>
      <w:r w:rsidR="001720F6">
        <w:t xml:space="preserve"> </w:t>
      </w:r>
      <w:r w:rsidR="007D4D90" w:rsidRPr="006E2404">
        <w:t>(</w:t>
      </w:r>
      <w:r w:rsidR="006E2404" w:rsidRPr="006E2404">
        <w:t>см.</w:t>
      </w:r>
      <w:r w:rsidR="007D4D90" w:rsidRPr="006E2404">
        <w:t xml:space="preserve"> </w:t>
      </w:r>
      <w:r w:rsidR="001720F6">
        <w:t>таблицу ниже</w:t>
      </w:r>
      <w:r w:rsidR="007D4D90" w:rsidRPr="006E2404">
        <w:t xml:space="preserve">). </w:t>
      </w:r>
      <w:r w:rsidR="001720F6">
        <w:t xml:space="preserve">Организация могла </w:t>
      </w:r>
      <w:r w:rsidR="00FF2FD3">
        <w:t xml:space="preserve">бы </w:t>
      </w:r>
      <w:r w:rsidR="001720F6">
        <w:t xml:space="preserve">застраховать себя от затруднений с обратным </w:t>
      </w:r>
      <w:r w:rsidR="006E2404" w:rsidRPr="002A0B71">
        <w:t>выкуп</w:t>
      </w:r>
      <w:r w:rsidR="001720F6">
        <w:t>ом</w:t>
      </w:r>
      <w:r w:rsidR="006E2404" w:rsidRPr="002A0B71">
        <w:t xml:space="preserve"> </w:t>
      </w:r>
      <w:r w:rsidR="001720F6">
        <w:t>японских иен</w:t>
      </w:r>
      <w:r w:rsidR="007D4D90" w:rsidRPr="002A0B71">
        <w:t xml:space="preserve"> </w:t>
      </w:r>
      <w:r w:rsidR="001720F6">
        <w:t>в месяцы,</w:t>
      </w:r>
      <w:r w:rsidR="007D4D90" w:rsidRPr="002A0B71">
        <w:t xml:space="preserve"> </w:t>
      </w:r>
      <w:r w:rsidR="006E2404" w:rsidRPr="002A0B71">
        <w:t>когда</w:t>
      </w:r>
      <w:r w:rsidR="007D4D90" w:rsidRPr="002A0B71">
        <w:t xml:space="preserve"> </w:t>
      </w:r>
      <w:r w:rsidR="001720F6" w:rsidRPr="002A0B71">
        <w:t>доход</w:t>
      </w:r>
      <w:r w:rsidR="001720F6">
        <w:t>,</w:t>
      </w:r>
      <w:r w:rsidR="001720F6" w:rsidRPr="002A0B71">
        <w:t xml:space="preserve"> </w:t>
      </w:r>
      <w:r w:rsidR="006E2404" w:rsidRPr="002A0B71">
        <w:t>полученн</w:t>
      </w:r>
      <w:r w:rsidR="001720F6">
        <w:t>ый</w:t>
      </w:r>
      <w:r w:rsidR="006E2404" w:rsidRPr="002A0B71">
        <w:t xml:space="preserve"> </w:t>
      </w:r>
      <w:r w:rsidR="0086619A" w:rsidRPr="0086619A">
        <w:t>в этой валюте</w:t>
      </w:r>
      <w:r w:rsidR="001720F6">
        <w:t>,</w:t>
      </w:r>
      <w:r w:rsidR="007D4D90" w:rsidRPr="002A0B71">
        <w:t xml:space="preserve"> </w:t>
      </w:r>
      <w:r w:rsidR="001720F6">
        <w:t xml:space="preserve">оказался бы </w:t>
      </w:r>
      <w:r w:rsidR="001720F6" w:rsidRPr="002A0B71">
        <w:t>недостаточн</w:t>
      </w:r>
      <w:r w:rsidR="001720F6">
        <w:t xml:space="preserve">ым, </w:t>
      </w:r>
      <w:r w:rsidR="00FF2FD3">
        <w:t>только путем хран</w:t>
      </w:r>
      <w:r w:rsidR="00FF2FD3" w:rsidRPr="00FF2FD3">
        <w:t>ения</w:t>
      </w:r>
      <w:r w:rsidR="001720F6">
        <w:t xml:space="preserve"> </w:t>
      </w:r>
      <w:r w:rsidR="006E2404" w:rsidRPr="002A0B71">
        <w:t>значительн</w:t>
      </w:r>
      <w:r w:rsidR="00FF2FD3">
        <w:t>ой</w:t>
      </w:r>
      <w:r w:rsidR="007D4D90" w:rsidRPr="002A0B71">
        <w:t xml:space="preserve"> </w:t>
      </w:r>
      <w:r w:rsidR="00FF2FD3">
        <w:t>суммы</w:t>
      </w:r>
      <w:r w:rsidR="007D4D90" w:rsidRPr="002A0B71">
        <w:t xml:space="preserve"> </w:t>
      </w:r>
      <w:r w:rsidR="001720F6">
        <w:t>в японских иенах на</w:t>
      </w:r>
      <w:r w:rsidR="007D4D90" w:rsidRPr="002A0B71">
        <w:t xml:space="preserve"> </w:t>
      </w:r>
      <w:r w:rsidR="00FF2FD3">
        <w:t xml:space="preserve">депозите на своем </w:t>
      </w:r>
      <w:r w:rsidR="006E2404" w:rsidRPr="002A0B71">
        <w:t>текущ</w:t>
      </w:r>
      <w:r w:rsidR="001720F6" w:rsidRPr="003710D3">
        <w:t>ем счет</w:t>
      </w:r>
      <w:r w:rsidR="001720F6">
        <w:t>у</w:t>
      </w:r>
      <w:r w:rsidR="00FF2FD3">
        <w:t xml:space="preserve">; такая сумма </w:t>
      </w:r>
      <w:r w:rsidR="00CA10BA">
        <w:t>была бы в этом случае подвержена колебаниям, связанным с изменениями курса валюты</w:t>
      </w:r>
      <w:r w:rsidR="00FF2FD3">
        <w:t>,</w:t>
      </w:r>
      <w:r w:rsidR="00CA10BA">
        <w:t xml:space="preserve"> </w:t>
      </w:r>
      <w:r w:rsidR="006E2404" w:rsidRPr="002A0B71">
        <w:t>или</w:t>
      </w:r>
      <w:r w:rsidR="007D4D90" w:rsidRPr="002A0B71">
        <w:t xml:space="preserve"> </w:t>
      </w:r>
      <w:r w:rsidR="00CA10BA">
        <w:t xml:space="preserve">требовала бы </w:t>
      </w:r>
      <w:r w:rsidR="00CA10BA" w:rsidRPr="00EA4BEE">
        <w:rPr>
          <w:snapToGrid w:val="0"/>
        </w:rPr>
        <w:t>применени</w:t>
      </w:r>
      <w:r w:rsidR="00CA10BA">
        <w:t xml:space="preserve">я какого-то </w:t>
      </w:r>
      <w:r w:rsidR="006E2404" w:rsidRPr="002A0B71">
        <w:t>альтернатив</w:t>
      </w:r>
      <w:r w:rsidR="00CA10BA">
        <w:t>ного</w:t>
      </w:r>
      <w:r w:rsidR="007D4D90" w:rsidRPr="002A0B71">
        <w:t xml:space="preserve"> </w:t>
      </w:r>
      <w:r w:rsidR="006E2404" w:rsidRPr="002A0B71">
        <w:t>механизм</w:t>
      </w:r>
      <w:r w:rsidR="00CA10BA">
        <w:t>а хеджирования</w:t>
      </w:r>
      <w:r w:rsidR="00FF2FD3">
        <w:t xml:space="preserve"> </w:t>
      </w:r>
      <w:r w:rsidR="00FF2FD3" w:rsidRPr="00FF2FD3">
        <w:rPr>
          <w:rFonts w:eastAsia="+mn-ea"/>
          <w:lang w:eastAsia="en-US"/>
        </w:rPr>
        <w:t>–</w:t>
      </w:r>
      <w:r w:rsidR="00FF2FD3">
        <w:t xml:space="preserve"> </w:t>
      </w:r>
      <w:r w:rsidR="006E2404" w:rsidRPr="002A0B71">
        <w:t xml:space="preserve">например, </w:t>
      </w:r>
      <w:r w:rsidR="00FF2FD3">
        <w:t>заключения</w:t>
      </w:r>
      <w:r w:rsidR="002A0B71" w:rsidRPr="002A0B71">
        <w:t xml:space="preserve"> </w:t>
      </w:r>
      <w:r w:rsidR="00CA10BA">
        <w:t>своповых контрактов</w:t>
      </w:r>
      <w:r w:rsidR="00FF2FD3">
        <w:t xml:space="preserve"> </w:t>
      </w:r>
      <w:r w:rsidR="00FF2FD3" w:rsidRPr="00FF2FD3">
        <w:rPr>
          <w:rFonts w:eastAsia="+mn-ea"/>
          <w:lang w:eastAsia="en-US"/>
        </w:rPr>
        <w:t>–</w:t>
      </w:r>
      <w:r w:rsidR="00FF2FD3">
        <w:t xml:space="preserve"> который</w:t>
      </w:r>
      <w:r w:rsidR="00CA10BA">
        <w:t xml:space="preserve"> </w:t>
      </w:r>
      <w:r w:rsidR="00FF2FD3">
        <w:t xml:space="preserve">мог бы означать </w:t>
      </w:r>
      <w:r w:rsidR="00CA10BA">
        <w:t xml:space="preserve">для </w:t>
      </w:r>
      <w:r w:rsidR="00CA10BA" w:rsidRPr="002A0B71">
        <w:t>Организаци</w:t>
      </w:r>
      <w:r w:rsidR="00CA10BA">
        <w:t xml:space="preserve">и </w:t>
      </w:r>
      <w:r w:rsidR="006E2404" w:rsidRPr="002A0B71">
        <w:t>значительн</w:t>
      </w:r>
      <w:r w:rsidR="00FF2FD3">
        <w:t>ые расходы</w:t>
      </w:r>
      <w:r w:rsidR="007D4D90" w:rsidRPr="002A0B71">
        <w:t xml:space="preserve">. </w:t>
      </w:r>
    </w:p>
    <w:p w:rsidR="007D4D90" w:rsidRPr="004B2858" w:rsidRDefault="00CC6D0C" w:rsidP="00A227F3">
      <w:pPr>
        <w:jc w:val="center"/>
        <w:rPr>
          <w:b/>
          <w:lang w:val="ru-RU"/>
        </w:rPr>
      </w:pPr>
      <w:r w:rsidRPr="00CC6D0C">
        <w:rPr>
          <w:b/>
          <w:lang w:val="ru-RU"/>
        </w:rPr>
        <w:t>Доход</w:t>
      </w:r>
      <w:r>
        <w:rPr>
          <w:b/>
          <w:lang w:val="ru-RU"/>
        </w:rPr>
        <w:t xml:space="preserve">ы </w:t>
      </w:r>
      <w:r w:rsidR="007D4D90" w:rsidRPr="00A227F3">
        <w:rPr>
          <w:b/>
        </w:rPr>
        <w:t>PCT</w:t>
      </w:r>
      <w:r w:rsidR="007D4D90" w:rsidRPr="004B2858">
        <w:rPr>
          <w:b/>
          <w:lang w:val="ru-RU"/>
        </w:rPr>
        <w:t xml:space="preserve"> </w:t>
      </w:r>
      <w:r w:rsidR="00CA10BA">
        <w:rPr>
          <w:b/>
          <w:lang w:val="ru-RU"/>
        </w:rPr>
        <w:t xml:space="preserve">в </w:t>
      </w:r>
      <w:r w:rsidR="00CA10BA" w:rsidRPr="004B2858">
        <w:rPr>
          <w:b/>
          <w:lang w:val="ru-RU"/>
        </w:rPr>
        <w:t>я</w:t>
      </w:r>
      <w:r w:rsidR="008A38C8" w:rsidRPr="004B2858">
        <w:rPr>
          <w:b/>
          <w:lang w:val="ru-RU"/>
        </w:rPr>
        <w:t>понских иенах</w:t>
      </w:r>
    </w:p>
    <w:p w:rsidR="007D4D90" w:rsidRPr="004B2858" w:rsidRDefault="007D4D90" w:rsidP="00A227F3">
      <w:pPr>
        <w:pStyle w:val="1"/>
        <w:ind w:left="0"/>
        <w:rPr>
          <w:lang w:val="ru-RU"/>
        </w:rPr>
      </w:pPr>
    </w:p>
    <w:tbl>
      <w:tblPr>
        <w:tblW w:w="4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2424"/>
      </w:tblGrid>
      <w:tr w:rsidR="007D4D90" w:rsidRPr="00EF1729" w:rsidTr="005D1415">
        <w:trPr>
          <w:trHeight w:val="890"/>
          <w:jc w:val="center"/>
        </w:trPr>
        <w:tc>
          <w:tcPr>
            <w:tcW w:w="1680" w:type="dxa"/>
            <w:noWrap/>
            <w:vAlign w:val="bottom"/>
          </w:tcPr>
          <w:p w:rsidR="007D4D90" w:rsidRPr="00200BE7" w:rsidRDefault="006E2404" w:rsidP="00F367A9">
            <w:pPr>
              <w:jc w:val="center"/>
              <w:rPr>
                <w:rFonts w:eastAsia="Times New Roman"/>
                <w:b/>
                <w:color w:val="000000"/>
                <w:sz w:val="20"/>
                <w:lang w:val="ru-RU" w:eastAsia="en-US"/>
              </w:rPr>
            </w:pPr>
            <w:r w:rsidRPr="00200BE7">
              <w:rPr>
                <w:rFonts w:eastAsia="Times New Roman"/>
                <w:b/>
                <w:color w:val="000000"/>
                <w:sz w:val="20"/>
                <w:lang w:val="ru-RU" w:eastAsia="en-US"/>
              </w:rPr>
              <w:t>Месяц</w:t>
            </w:r>
          </w:p>
        </w:tc>
        <w:tc>
          <w:tcPr>
            <w:tcW w:w="2424" w:type="dxa"/>
            <w:vAlign w:val="bottom"/>
          </w:tcPr>
          <w:p w:rsidR="007D4D90" w:rsidRPr="008A38C8" w:rsidRDefault="003C028C" w:rsidP="00F367A9">
            <w:pPr>
              <w:jc w:val="center"/>
              <w:rPr>
                <w:rFonts w:eastAsia="Times New Roman"/>
                <w:b/>
                <w:color w:val="000000"/>
                <w:sz w:val="20"/>
                <w:lang w:val="ru-RU" w:eastAsia="en-US"/>
              </w:rPr>
            </w:pPr>
            <w:r w:rsidRPr="003C028C">
              <w:rPr>
                <w:rFonts w:eastAsia="Times New Roman"/>
                <w:b/>
                <w:color w:val="000000"/>
                <w:sz w:val="20"/>
                <w:lang w:val="ru-RU" w:eastAsia="en-US"/>
              </w:rPr>
              <w:t>Доход</w:t>
            </w:r>
            <w:r>
              <w:rPr>
                <w:rFonts w:eastAsia="Times New Roman"/>
                <w:b/>
                <w:color w:val="000000"/>
                <w:sz w:val="20"/>
                <w:lang w:val="ru-RU" w:eastAsia="en-US"/>
              </w:rPr>
              <w:t>ы</w:t>
            </w:r>
            <w:r w:rsidR="00200BE7" w:rsidRPr="00200BE7">
              <w:rPr>
                <w:rFonts w:eastAsia="Times New Roman"/>
                <w:b/>
                <w:color w:val="000000"/>
                <w:sz w:val="20"/>
                <w:lang w:val="ru-RU" w:eastAsia="en-US"/>
              </w:rPr>
              <w:t xml:space="preserve"> PCT в японских иенах </w:t>
            </w:r>
            <w:r w:rsidR="00200BE7" w:rsidRPr="00200BE7">
              <w:rPr>
                <w:rFonts w:eastAsia="Times New Roman"/>
                <w:b/>
                <w:color w:val="000000"/>
                <w:sz w:val="20"/>
                <w:lang w:val="ru-RU" w:eastAsia="en-US"/>
              </w:rPr>
              <w:br/>
            </w:r>
            <w:r w:rsidR="007D4D90" w:rsidRPr="008A38C8">
              <w:rPr>
                <w:rFonts w:eastAsia="Times New Roman"/>
                <w:b/>
                <w:color w:val="000000"/>
                <w:sz w:val="20"/>
                <w:lang w:val="ru-RU" w:eastAsia="en-US"/>
              </w:rPr>
              <w:t>(</w:t>
            </w:r>
            <w:r w:rsidR="00200BE7">
              <w:rPr>
                <w:rFonts w:eastAsia="Times New Roman"/>
                <w:b/>
                <w:color w:val="000000"/>
                <w:sz w:val="20"/>
                <w:lang w:val="ru-RU" w:eastAsia="en-US"/>
              </w:rPr>
              <w:t xml:space="preserve">в пересчете </w:t>
            </w:r>
            <w:r w:rsidR="00200BE7">
              <w:rPr>
                <w:rFonts w:eastAsia="Times New Roman"/>
                <w:b/>
                <w:color w:val="000000"/>
                <w:sz w:val="20"/>
                <w:lang w:val="ru-RU" w:eastAsia="en-US"/>
              </w:rPr>
              <w:br/>
              <w:t>в шв. франки</w:t>
            </w:r>
            <w:r w:rsidR="007D4D90" w:rsidRPr="008A38C8">
              <w:rPr>
                <w:rFonts w:eastAsia="Times New Roman"/>
                <w:b/>
                <w:color w:val="000000"/>
                <w:sz w:val="20"/>
                <w:lang w:val="ru-RU" w:eastAsia="en-US"/>
              </w:rPr>
              <w:t>)</w:t>
            </w:r>
          </w:p>
        </w:tc>
      </w:tr>
      <w:tr w:rsidR="007D4D90" w:rsidRPr="00200BE7" w:rsidTr="005D1415">
        <w:trPr>
          <w:trHeight w:val="350"/>
          <w:jc w:val="center"/>
        </w:trPr>
        <w:tc>
          <w:tcPr>
            <w:tcW w:w="1680" w:type="dxa"/>
            <w:noWrap/>
            <w:vAlign w:val="bottom"/>
          </w:tcPr>
          <w:p w:rsidR="007D4D90" w:rsidRPr="00200BE7" w:rsidRDefault="006E2404" w:rsidP="00865F73">
            <w:pPr>
              <w:jc w:val="center"/>
              <w:rPr>
                <w:rFonts w:eastAsia="Times New Roman"/>
                <w:color w:val="000000"/>
                <w:sz w:val="20"/>
                <w:lang w:val="ru-RU" w:eastAsia="en-US"/>
              </w:rPr>
            </w:pPr>
            <w:r w:rsidRPr="00200BE7">
              <w:rPr>
                <w:rFonts w:eastAsia="Times New Roman"/>
                <w:color w:val="000000"/>
                <w:sz w:val="20"/>
                <w:lang w:val="ru-RU" w:eastAsia="en-US"/>
              </w:rPr>
              <w:t>Янв</w:t>
            </w:r>
            <w:r w:rsidR="007D4D90" w:rsidRPr="00200BE7">
              <w:rPr>
                <w:rFonts w:eastAsia="Times New Roman"/>
                <w:color w:val="000000"/>
                <w:sz w:val="20"/>
                <w:lang w:val="ru-RU" w:eastAsia="en-US"/>
              </w:rPr>
              <w:t>-15</w:t>
            </w:r>
          </w:p>
        </w:tc>
        <w:tc>
          <w:tcPr>
            <w:tcW w:w="2424" w:type="dxa"/>
            <w:noWrap/>
            <w:vAlign w:val="bottom"/>
          </w:tcPr>
          <w:p w:rsidR="007D4D90" w:rsidRPr="00200BE7" w:rsidRDefault="007D4D90" w:rsidP="00865F73">
            <w:pPr>
              <w:jc w:val="right"/>
              <w:rPr>
                <w:rFonts w:eastAsia="Times New Roman"/>
                <w:color w:val="000000"/>
                <w:sz w:val="20"/>
                <w:lang w:val="ru-RU" w:eastAsia="en-US"/>
              </w:rPr>
            </w:pPr>
            <w:r w:rsidRPr="00200BE7">
              <w:rPr>
                <w:rFonts w:eastAsia="Times New Roman"/>
                <w:color w:val="000000"/>
                <w:sz w:val="20"/>
                <w:lang w:val="ru-RU" w:eastAsia="en-US"/>
              </w:rPr>
              <w:t>3</w:t>
            </w:r>
            <w:r w:rsidR="0072176F">
              <w:rPr>
                <w:rFonts w:eastAsia="Times New Roman"/>
                <w:color w:val="000000"/>
                <w:sz w:val="20"/>
                <w:lang w:eastAsia="en-US"/>
              </w:rPr>
              <w:t> </w:t>
            </w:r>
            <w:r w:rsidRPr="00200BE7">
              <w:rPr>
                <w:rFonts w:eastAsia="Times New Roman"/>
                <w:color w:val="000000"/>
                <w:sz w:val="20"/>
                <w:lang w:val="ru-RU" w:eastAsia="en-US"/>
              </w:rPr>
              <w:t>815</w:t>
            </w:r>
            <w:r w:rsidR="0072176F">
              <w:rPr>
                <w:rFonts w:eastAsia="Times New Roman"/>
                <w:color w:val="000000"/>
                <w:sz w:val="20"/>
                <w:lang w:eastAsia="en-US"/>
              </w:rPr>
              <w:t> </w:t>
            </w:r>
            <w:r w:rsidRPr="00200BE7">
              <w:rPr>
                <w:rFonts w:eastAsia="Times New Roman"/>
                <w:color w:val="000000"/>
                <w:sz w:val="20"/>
                <w:lang w:val="ru-RU" w:eastAsia="en-US"/>
              </w:rPr>
              <w:t>965</w:t>
            </w:r>
            <w:r w:rsidR="0072176F" w:rsidRPr="00200BE7">
              <w:rPr>
                <w:rFonts w:eastAsia="Times New Roman"/>
                <w:color w:val="000000"/>
                <w:sz w:val="20"/>
                <w:lang w:val="ru-RU" w:eastAsia="en-US"/>
              </w:rPr>
              <w:t>,</w:t>
            </w:r>
            <w:r w:rsidRPr="00200BE7">
              <w:rPr>
                <w:rFonts w:eastAsia="Times New Roman"/>
                <w:color w:val="000000"/>
                <w:sz w:val="20"/>
                <w:lang w:val="ru-RU" w:eastAsia="en-US"/>
              </w:rPr>
              <w:t>13</w:t>
            </w:r>
          </w:p>
        </w:tc>
      </w:tr>
      <w:tr w:rsidR="007D4D90" w:rsidRPr="00200BE7" w:rsidTr="00F367A9">
        <w:trPr>
          <w:trHeight w:val="255"/>
          <w:jc w:val="center"/>
        </w:trPr>
        <w:tc>
          <w:tcPr>
            <w:tcW w:w="1680" w:type="dxa"/>
            <w:noWrap/>
            <w:vAlign w:val="bottom"/>
          </w:tcPr>
          <w:p w:rsidR="007D4D90" w:rsidRPr="00200BE7" w:rsidRDefault="006E2404" w:rsidP="00865F73">
            <w:pPr>
              <w:jc w:val="center"/>
              <w:rPr>
                <w:rFonts w:eastAsia="Times New Roman"/>
                <w:color w:val="000000"/>
                <w:sz w:val="20"/>
                <w:lang w:val="ru-RU" w:eastAsia="en-US"/>
              </w:rPr>
            </w:pPr>
            <w:r w:rsidRPr="00200BE7">
              <w:rPr>
                <w:rFonts w:eastAsia="Times New Roman"/>
                <w:color w:val="000000"/>
                <w:sz w:val="20"/>
                <w:lang w:val="ru-RU" w:eastAsia="en-US"/>
              </w:rPr>
              <w:t>Фев</w:t>
            </w:r>
            <w:r w:rsidR="007D4D90" w:rsidRPr="00200BE7">
              <w:rPr>
                <w:rFonts w:eastAsia="Times New Roman"/>
                <w:color w:val="000000"/>
                <w:sz w:val="20"/>
                <w:lang w:val="ru-RU" w:eastAsia="en-US"/>
              </w:rPr>
              <w:t>-15</w:t>
            </w:r>
          </w:p>
        </w:tc>
        <w:tc>
          <w:tcPr>
            <w:tcW w:w="2424" w:type="dxa"/>
            <w:noWrap/>
            <w:vAlign w:val="bottom"/>
          </w:tcPr>
          <w:p w:rsidR="007D4D90" w:rsidRPr="00200BE7" w:rsidRDefault="007D4D90" w:rsidP="00865F73">
            <w:pPr>
              <w:jc w:val="right"/>
              <w:rPr>
                <w:rFonts w:eastAsia="Times New Roman"/>
                <w:color w:val="000000"/>
                <w:sz w:val="20"/>
                <w:lang w:val="ru-RU" w:eastAsia="en-US"/>
              </w:rPr>
            </w:pPr>
            <w:r w:rsidRPr="00200BE7">
              <w:rPr>
                <w:rFonts w:eastAsia="Times New Roman"/>
                <w:color w:val="000000"/>
                <w:sz w:val="20"/>
                <w:lang w:val="ru-RU" w:eastAsia="en-US"/>
              </w:rPr>
              <w:t>4</w:t>
            </w:r>
            <w:r w:rsidR="0072176F">
              <w:rPr>
                <w:rFonts w:eastAsia="Times New Roman"/>
                <w:color w:val="000000"/>
                <w:sz w:val="20"/>
                <w:lang w:eastAsia="en-US"/>
              </w:rPr>
              <w:t> </w:t>
            </w:r>
            <w:r w:rsidRPr="00200BE7">
              <w:rPr>
                <w:rFonts w:eastAsia="Times New Roman"/>
                <w:color w:val="000000"/>
                <w:sz w:val="20"/>
                <w:lang w:val="ru-RU" w:eastAsia="en-US"/>
              </w:rPr>
              <w:t>081</w:t>
            </w:r>
            <w:r w:rsidR="0072176F">
              <w:rPr>
                <w:rFonts w:eastAsia="Times New Roman"/>
                <w:color w:val="000000"/>
                <w:sz w:val="20"/>
                <w:lang w:eastAsia="en-US"/>
              </w:rPr>
              <w:t> </w:t>
            </w:r>
            <w:r w:rsidRPr="00200BE7">
              <w:rPr>
                <w:rFonts w:eastAsia="Times New Roman"/>
                <w:color w:val="000000"/>
                <w:sz w:val="20"/>
                <w:lang w:val="ru-RU" w:eastAsia="en-US"/>
              </w:rPr>
              <w:t>877</w:t>
            </w:r>
            <w:r w:rsidR="0072176F" w:rsidRPr="00200BE7">
              <w:rPr>
                <w:rFonts w:eastAsia="Times New Roman"/>
                <w:color w:val="000000"/>
                <w:sz w:val="20"/>
                <w:lang w:val="ru-RU" w:eastAsia="en-US"/>
              </w:rPr>
              <w:t>,</w:t>
            </w:r>
            <w:r w:rsidRPr="00200BE7">
              <w:rPr>
                <w:rFonts w:eastAsia="Times New Roman"/>
                <w:color w:val="000000"/>
                <w:sz w:val="20"/>
                <w:lang w:val="ru-RU" w:eastAsia="en-US"/>
              </w:rPr>
              <w:t>44</w:t>
            </w:r>
          </w:p>
        </w:tc>
      </w:tr>
      <w:tr w:rsidR="007D4D90" w:rsidRPr="00200BE7" w:rsidTr="00F367A9">
        <w:trPr>
          <w:trHeight w:val="255"/>
          <w:jc w:val="center"/>
        </w:trPr>
        <w:tc>
          <w:tcPr>
            <w:tcW w:w="1680" w:type="dxa"/>
            <w:noWrap/>
            <w:vAlign w:val="bottom"/>
          </w:tcPr>
          <w:p w:rsidR="007D4D90" w:rsidRPr="00200BE7" w:rsidRDefault="006E2404" w:rsidP="00865F73">
            <w:pPr>
              <w:jc w:val="center"/>
              <w:rPr>
                <w:rFonts w:eastAsia="Times New Roman"/>
                <w:color w:val="000000"/>
                <w:sz w:val="20"/>
                <w:lang w:val="ru-RU" w:eastAsia="en-US"/>
              </w:rPr>
            </w:pPr>
            <w:r w:rsidRPr="00200BE7">
              <w:rPr>
                <w:rFonts w:eastAsia="Times New Roman"/>
                <w:color w:val="000000"/>
                <w:sz w:val="20"/>
                <w:lang w:val="ru-RU" w:eastAsia="en-US"/>
              </w:rPr>
              <w:t>Мар</w:t>
            </w:r>
            <w:r w:rsidR="007D4D90" w:rsidRPr="00200BE7">
              <w:rPr>
                <w:rFonts w:eastAsia="Times New Roman"/>
                <w:color w:val="000000"/>
                <w:sz w:val="20"/>
                <w:lang w:val="ru-RU" w:eastAsia="en-US"/>
              </w:rPr>
              <w:t>-15</w:t>
            </w:r>
          </w:p>
        </w:tc>
        <w:tc>
          <w:tcPr>
            <w:tcW w:w="2424" w:type="dxa"/>
            <w:noWrap/>
            <w:vAlign w:val="bottom"/>
          </w:tcPr>
          <w:p w:rsidR="007D4D90" w:rsidRPr="00200BE7" w:rsidRDefault="007D4D90" w:rsidP="00865F73">
            <w:pPr>
              <w:jc w:val="right"/>
              <w:rPr>
                <w:rFonts w:eastAsia="Times New Roman"/>
                <w:color w:val="000000"/>
                <w:sz w:val="20"/>
                <w:lang w:val="ru-RU" w:eastAsia="en-US"/>
              </w:rPr>
            </w:pPr>
            <w:r w:rsidRPr="00200BE7">
              <w:rPr>
                <w:rFonts w:eastAsia="Times New Roman"/>
                <w:color w:val="000000"/>
                <w:sz w:val="20"/>
                <w:lang w:val="ru-RU" w:eastAsia="en-US"/>
              </w:rPr>
              <w:t>4</w:t>
            </w:r>
            <w:r w:rsidR="0072176F">
              <w:rPr>
                <w:rFonts w:eastAsia="Times New Roman"/>
                <w:color w:val="000000"/>
                <w:sz w:val="20"/>
                <w:lang w:eastAsia="en-US"/>
              </w:rPr>
              <w:t> </w:t>
            </w:r>
            <w:r w:rsidRPr="00200BE7">
              <w:rPr>
                <w:rFonts w:eastAsia="Times New Roman"/>
                <w:color w:val="000000"/>
                <w:sz w:val="20"/>
                <w:lang w:val="ru-RU" w:eastAsia="en-US"/>
              </w:rPr>
              <w:t>927</w:t>
            </w:r>
            <w:r w:rsidR="0072176F">
              <w:rPr>
                <w:rFonts w:eastAsia="Times New Roman"/>
                <w:color w:val="000000"/>
                <w:sz w:val="20"/>
                <w:lang w:eastAsia="en-US"/>
              </w:rPr>
              <w:t> </w:t>
            </w:r>
            <w:r w:rsidRPr="00200BE7">
              <w:rPr>
                <w:rFonts w:eastAsia="Times New Roman"/>
                <w:color w:val="000000"/>
                <w:sz w:val="20"/>
                <w:lang w:val="ru-RU" w:eastAsia="en-US"/>
              </w:rPr>
              <w:t>553</w:t>
            </w:r>
            <w:r w:rsidR="0072176F" w:rsidRPr="00200BE7">
              <w:rPr>
                <w:rFonts w:eastAsia="Times New Roman"/>
                <w:color w:val="000000"/>
                <w:sz w:val="20"/>
                <w:lang w:val="ru-RU" w:eastAsia="en-US"/>
              </w:rPr>
              <w:t>,</w:t>
            </w:r>
            <w:r w:rsidRPr="00200BE7">
              <w:rPr>
                <w:rFonts w:eastAsia="Times New Roman"/>
                <w:color w:val="000000"/>
                <w:sz w:val="20"/>
                <w:lang w:val="ru-RU" w:eastAsia="en-US"/>
              </w:rPr>
              <w:t>00</w:t>
            </w:r>
          </w:p>
        </w:tc>
      </w:tr>
      <w:tr w:rsidR="007D4D90" w:rsidRPr="00200BE7" w:rsidTr="005D1415">
        <w:trPr>
          <w:trHeight w:val="242"/>
          <w:jc w:val="center"/>
        </w:trPr>
        <w:tc>
          <w:tcPr>
            <w:tcW w:w="1680" w:type="dxa"/>
            <w:noWrap/>
            <w:vAlign w:val="bottom"/>
          </w:tcPr>
          <w:p w:rsidR="007D4D90" w:rsidRPr="00200BE7" w:rsidRDefault="006E2404" w:rsidP="00865F73">
            <w:pPr>
              <w:jc w:val="center"/>
              <w:rPr>
                <w:rFonts w:eastAsia="Times New Roman"/>
                <w:color w:val="000000"/>
                <w:sz w:val="20"/>
                <w:lang w:val="ru-RU" w:eastAsia="en-US"/>
              </w:rPr>
            </w:pPr>
            <w:r w:rsidRPr="00200BE7">
              <w:rPr>
                <w:rFonts w:eastAsia="Times New Roman"/>
                <w:color w:val="000000"/>
                <w:sz w:val="20"/>
                <w:lang w:val="ru-RU" w:eastAsia="en-US"/>
              </w:rPr>
              <w:t>Апр</w:t>
            </w:r>
            <w:r w:rsidR="007D4D90" w:rsidRPr="00200BE7">
              <w:rPr>
                <w:rFonts w:eastAsia="Times New Roman"/>
                <w:color w:val="000000"/>
                <w:sz w:val="20"/>
                <w:lang w:val="ru-RU" w:eastAsia="en-US"/>
              </w:rPr>
              <w:t>-15</w:t>
            </w:r>
          </w:p>
        </w:tc>
        <w:tc>
          <w:tcPr>
            <w:tcW w:w="2424" w:type="dxa"/>
            <w:noWrap/>
            <w:vAlign w:val="bottom"/>
          </w:tcPr>
          <w:p w:rsidR="007D4D90" w:rsidRPr="00200BE7" w:rsidRDefault="007D4D90" w:rsidP="00865F73">
            <w:pPr>
              <w:jc w:val="right"/>
              <w:rPr>
                <w:rFonts w:eastAsia="Times New Roman"/>
                <w:color w:val="000000"/>
                <w:sz w:val="20"/>
                <w:lang w:val="ru-RU" w:eastAsia="en-US"/>
              </w:rPr>
            </w:pPr>
            <w:r w:rsidRPr="00200BE7">
              <w:rPr>
                <w:rFonts w:eastAsia="Times New Roman"/>
                <w:color w:val="000000"/>
                <w:sz w:val="20"/>
                <w:lang w:val="ru-RU" w:eastAsia="en-US"/>
              </w:rPr>
              <w:t>0</w:t>
            </w:r>
            <w:r w:rsidR="0072176F" w:rsidRPr="00200BE7">
              <w:rPr>
                <w:rFonts w:eastAsia="Times New Roman"/>
                <w:color w:val="000000"/>
                <w:sz w:val="20"/>
                <w:lang w:val="ru-RU" w:eastAsia="en-US"/>
              </w:rPr>
              <w:t>,</w:t>
            </w:r>
            <w:r w:rsidRPr="00200BE7">
              <w:rPr>
                <w:rFonts w:eastAsia="Times New Roman"/>
                <w:color w:val="000000"/>
                <w:sz w:val="20"/>
                <w:lang w:val="ru-RU" w:eastAsia="en-US"/>
              </w:rPr>
              <w:t>00</w:t>
            </w:r>
          </w:p>
        </w:tc>
      </w:tr>
      <w:tr w:rsidR="007D4D90" w:rsidRPr="00200BE7" w:rsidTr="005D1415">
        <w:trPr>
          <w:trHeight w:val="260"/>
          <w:jc w:val="center"/>
        </w:trPr>
        <w:tc>
          <w:tcPr>
            <w:tcW w:w="1680" w:type="dxa"/>
            <w:noWrap/>
            <w:vAlign w:val="bottom"/>
          </w:tcPr>
          <w:p w:rsidR="007D4D90" w:rsidRPr="00200BE7" w:rsidRDefault="0072176F" w:rsidP="00865F73">
            <w:pPr>
              <w:jc w:val="center"/>
              <w:rPr>
                <w:rFonts w:eastAsia="Times New Roman"/>
                <w:color w:val="000000"/>
                <w:sz w:val="20"/>
                <w:lang w:val="ru-RU" w:eastAsia="en-US"/>
              </w:rPr>
            </w:pPr>
            <w:r w:rsidRPr="00200BE7">
              <w:rPr>
                <w:rFonts w:eastAsia="Times New Roman"/>
                <w:color w:val="000000"/>
                <w:sz w:val="20"/>
                <w:lang w:val="ru-RU" w:eastAsia="en-US"/>
              </w:rPr>
              <w:t>М</w:t>
            </w:r>
            <w:r w:rsidR="006E2404" w:rsidRPr="00200BE7">
              <w:rPr>
                <w:rFonts w:eastAsia="Times New Roman"/>
                <w:color w:val="000000"/>
                <w:sz w:val="20"/>
                <w:lang w:val="ru-RU" w:eastAsia="en-US"/>
              </w:rPr>
              <w:t>а</w:t>
            </w:r>
            <w:r>
              <w:rPr>
                <w:rFonts w:eastAsia="Times New Roman"/>
                <w:color w:val="000000"/>
                <w:sz w:val="20"/>
                <w:lang w:val="ru-RU" w:eastAsia="en-US"/>
              </w:rPr>
              <w:t>й</w:t>
            </w:r>
            <w:r w:rsidR="007D4D90" w:rsidRPr="00200BE7">
              <w:rPr>
                <w:rFonts w:eastAsia="Times New Roman"/>
                <w:color w:val="000000"/>
                <w:sz w:val="20"/>
                <w:lang w:val="ru-RU" w:eastAsia="en-US"/>
              </w:rPr>
              <w:t>-15</w:t>
            </w:r>
          </w:p>
        </w:tc>
        <w:tc>
          <w:tcPr>
            <w:tcW w:w="2424" w:type="dxa"/>
            <w:noWrap/>
            <w:vAlign w:val="bottom"/>
          </w:tcPr>
          <w:p w:rsidR="007D4D90" w:rsidRPr="00200BE7" w:rsidRDefault="007D4D90" w:rsidP="00865F73">
            <w:pPr>
              <w:jc w:val="right"/>
              <w:rPr>
                <w:rFonts w:eastAsia="Times New Roman"/>
                <w:color w:val="000000"/>
                <w:sz w:val="20"/>
                <w:lang w:val="ru-RU" w:eastAsia="en-US"/>
              </w:rPr>
            </w:pPr>
            <w:r w:rsidRPr="00200BE7">
              <w:rPr>
                <w:rFonts w:eastAsia="Times New Roman"/>
                <w:color w:val="000000"/>
                <w:sz w:val="20"/>
                <w:lang w:val="ru-RU" w:eastAsia="en-US"/>
              </w:rPr>
              <w:t>3</w:t>
            </w:r>
            <w:r w:rsidR="0072176F">
              <w:rPr>
                <w:rFonts w:eastAsia="Times New Roman"/>
                <w:color w:val="000000"/>
                <w:sz w:val="20"/>
                <w:lang w:eastAsia="en-US"/>
              </w:rPr>
              <w:t> </w:t>
            </w:r>
            <w:r w:rsidRPr="00200BE7">
              <w:rPr>
                <w:rFonts w:eastAsia="Times New Roman"/>
                <w:color w:val="000000"/>
                <w:sz w:val="20"/>
                <w:lang w:val="ru-RU" w:eastAsia="en-US"/>
              </w:rPr>
              <w:t>752</w:t>
            </w:r>
            <w:r w:rsidR="0072176F">
              <w:rPr>
                <w:rFonts w:eastAsia="Times New Roman"/>
                <w:color w:val="000000"/>
                <w:sz w:val="20"/>
                <w:lang w:eastAsia="en-US"/>
              </w:rPr>
              <w:t> </w:t>
            </w:r>
            <w:r w:rsidRPr="00200BE7">
              <w:rPr>
                <w:rFonts w:eastAsia="Times New Roman"/>
                <w:color w:val="000000"/>
                <w:sz w:val="20"/>
                <w:lang w:val="ru-RU" w:eastAsia="en-US"/>
              </w:rPr>
              <w:t>036</w:t>
            </w:r>
            <w:r w:rsidR="0072176F" w:rsidRPr="00200BE7">
              <w:rPr>
                <w:rFonts w:eastAsia="Times New Roman"/>
                <w:color w:val="000000"/>
                <w:sz w:val="20"/>
                <w:lang w:val="ru-RU" w:eastAsia="en-US"/>
              </w:rPr>
              <w:t>,</w:t>
            </w:r>
            <w:r w:rsidRPr="00200BE7">
              <w:rPr>
                <w:rFonts w:eastAsia="Times New Roman"/>
                <w:color w:val="000000"/>
                <w:sz w:val="20"/>
                <w:lang w:val="ru-RU" w:eastAsia="en-US"/>
              </w:rPr>
              <w:t>29</w:t>
            </w:r>
          </w:p>
        </w:tc>
      </w:tr>
      <w:tr w:rsidR="007D4D90" w:rsidRPr="00200BE7" w:rsidTr="00F367A9">
        <w:trPr>
          <w:trHeight w:val="255"/>
          <w:jc w:val="center"/>
        </w:trPr>
        <w:tc>
          <w:tcPr>
            <w:tcW w:w="1680" w:type="dxa"/>
            <w:noWrap/>
            <w:vAlign w:val="bottom"/>
          </w:tcPr>
          <w:p w:rsidR="007D4D90" w:rsidRPr="00200BE7" w:rsidRDefault="006E2404" w:rsidP="00865F73">
            <w:pPr>
              <w:jc w:val="center"/>
              <w:rPr>
                <w:rFonts w:eastAsia="Times New Roman"/>
                <w:color w:val="000000"/>
                <w:sz w:val="20"/>
                <w:lang w:val="ru-RU" w:eastAsia="en-US"/>
              </w:rPr>
            </w:pPr>
            <w:r w:rsidRPr="00200BE7">
              <w:rPr>
                <w:rFonts w:eastAsia="Times New Roman"/>
                <w:color w:val="000000"/>
                <w:sz w:val="20"/>
                <w:lang w:val="ru-RU" w:eastAsia="en-US"/>
              </w:rPr>
              <w:t>Июн</w:t>
            </w:r>
            <w:r w:rsidR="007D4D90" w:rsidRPr="00200BE7">
              <w:rPr>
                <w:rFonts w:eastAsia="Times New Roman"/>
                <w:color w:val="000000"/>
                <w:sz w:val="20"/>
                <w:lang w:val="ru-RU" w:eastAsia="en-US"/>
              </w:rPr>
              <w:t>-15</w:t>
            </w:r>
          </w:p>
        </w:tc>
        <w:tc>
          <w:tcPr>
            <w:tcW w:w="2424" w:type="dxa"/>
            <w:noWrap/>
            <w:vAlign w:val="bottom"/>
          </w:tcPr>
          <w:p w:rsidR="007D4D90" w:rsidRPr="00200BE7" w:rsidRDefault="007D4D90" w:rsidP="00865F73">
            <w:pPr>
              <w:jc w:val="right"/>
              <w:rPr>
                <w:rFonts w:eastAsia="Times New Roman"/>
                <w:color w:val="000000"/>
                <w:sz w:val="20"/>
                <w:lang w:val="ru-RU" w:eastAsia="en-US"/>
              </w:rPr>
            </w:pPr>
            <w:r w:rsidRPr="00200BE7">
              <w:rPr>
                <w:rFonts w:eastAsia="Times New Roman"/>
                <w:color w:val="000000"/>
                <w:sz w:val="20"/>
                <w:lang w:val="ru-RU" w:eastAsia="en-US"/>
              </w:rPr>
              <w:t>6</w:t>
            </w:r>
            <w:r w:rsidR="0072176F">
              <w:rPr>
                <w:rFonts w:eastAsia="Times New Roman"/>
                <w:color w:val="000000"/>
                <w:sz w:val="20"/>
                <w:lang w:eastAsia="en-US"/>
              </w:rPr>
              <w:t> </w:t>
            </w:r>
            <w:r w:rsidRPr="00200BE7">
              <w:rPr>
                <w:rFonts w:eastAsia="Times New Roman"/>
                <w:color w:val="000000"/>
                <w:sz w:val="20"/>
                <w:lang w:val="ru-RU" w:eastAsia="en-US"/>
              </w:rPr>
              <w:t>082</w:t>
            </w:r>
            <w:r w:rsidR="0072176F">
              <w:rPr>
                <w:rFonts w:eastAsia="Times New Roman"/>
                <w:color w:val="000000"/>
                <w:sz w:val="20"/>
                <w:lang w:eastAsia="en-US"/>
              </w:rPr>
              <w:t> </w:t>
            </w:r>
            <w:r w:rsidRPr="00200BE7">
              <w:rPr>
                <w:rFonts w:eastAsia="Times New Roman"/>
                <w:color w:val="000000"/>
                <w:sz w:val="20"/>
                <w:lang w:val="ru-RU" w:eastAsia="en-US"/>
              </w:rPr>
              <w:t>617</w:t>
            </w:r>
            <w:r w:rsidR="0072176F" w:rsidRPr="00200BE7">
              <w:rPr>
                <w:rFonts w:eastAsia="Times New Roman"/>
                <w:color w:val="000000"/>
                <w:sz w:val="20"/>
                <w:lang w:val="ru-RU" w:eastAsia="en-US"/>
              </w:rPr>
              <w:t>,</w:t>
            </w:r>
            <w:r w:rsidRPr="00200BE7">
              <w:rPr>
                <w:rFonts w:eastAsia="Times New Roman"/>
                <w:color w:val="000000"/>
                <w:sz w:val="20"/>
                <w:lang w:val="ru-RU" w:eastAsia="en-US"/>
              </w:rPr>
              <w:t>44</w:t>
            </w:r>
          </w:p>
        </w:tc>
      </w:tr>
      <w:tr w:rsidR="007D4D90" w:rsidRPr="00AF51C1" w:rsidTr="00F367A9">
        <w:trPr>
          <w:trHeight w:val="255"/>
          <w:jc w:val="center"/>
        </w:trPr>
        <w:tc>
          <w:tcPr>
            <w:tcW w:w="1680" w:type="dxa"/>
            <w:noWrap/>
            <w:vAlign w:val="bottom"/>
          </w:tcPr>
          <w:p w:rsidR="007D4D90" w:rsidRPr="00200BE7" w:rsidRDefault="006E2404" w:rsidP="00865F73">
            <w:pPr>
              <w:jc w:val="center"/>
              <w:rPr>
                <w:rFonts w:eastAsia="Times New Roman"/>
                <w:color w:val="000000"/>
                <w:sz w:val="20"/>
                <w:lang w:val="ru-RU" w:eastAsia="en-US"/>
              </w:rPr>
            </w:pPr>
            <w:r w:rsidRPr="00200BE7">
              <w:rPr>
                <w:rFonts w:eastAsia="Times New Roman"/>
                <w:color w:val="000000"/>
                <w:sz w:val="20"/>
                <w:lang w:val="ru-RU" w:eastAsia="en-US"/>
              </w:rPr>
              <w:t>Июл</w:t>
            </w:r>
            <w:r w:rsidR="007D4D90" w:rsidRPr="00200BE7">
              <w:rPr>
                <w:rFonts w:eastAsia="Times New Roman"/>
                <w:color w:val="000000"/>
                <w:sz w:val="20"/>
                <w:lang w:val="ru-RU" w:eastAsia="en-US"/>
              </w:rPr>
              <w:t>-15</w:t>
            </w:r>
          </w:p>
        </w:tc>
        <w:tc>
          <w:tcPr>
            <w:tcW w:w="2424" w:type="dxa"/>
            <w:noWrap/>
            <w:vAlign w:val="bottom"/>
          </w:tcPr>
          <w:p w:rsidR="007D4D90" w:rsidRPr="00AF51C1" w:rsidRDefault="007D4D90" w:rsidP="00865F73">
            <w:pPr>
              <w:jc w:val="right"/>
              <w:rPr>
                <w:rFonts w:eastAsia="Times New Roman"/>
                <w:color w:val="000000"/>
                <w:sz w:val="20"/>
                <w:lang w:eastAsia="en-US"/>
              </w:rPr>
            </w:pPr>
            <w:r w:rsidRPr="00200BE7">
              <w:rPr>
                <w:rFonts w:eastAsia="Times New Roman"/>
                <w:color w:val="000000"/>
                <w:sz w:val="20"/>
                <w:lang w:val="ru-RU" w:eastAsia="en-US"/>
              </w:rPr>
              <w:t>4</w:t>
            </w:r>
            <w:r w:rsidR="0072176F">
              <w:rPr>
                <w:rFonts w:eastAsia="Times New Roman"/>
                <w:color w:val="000000"/>
                <w:sz w:val="20"/>
                <w:lang w:eastAsia="en-US"/>
              </w:rPr>
              <w:t> </w:t>
            </w:r>
            <w:r w:rsidRPr="00AF51C1">
              <w:rPr>
                <w:rFonts w:eastAsia="Times New Roman"/>
                <w:color w:val="000000"/>
                <w:sz w:val="20"/>
                <w:lang w:eastAsia="en-US"/>
              </w:rPr>
              <w:t>674</w:t>
            </w:r>
            <w:r w:rsidR="0072176F">
              <w:rPr>
                <w:rFonts w:eastAsia="Times New Roman"/>
                <w:color w:val="000000"/>
                <w:sz w:val="20"/>
                <w:lang w:eastAsia="en-US"/>
              </w:rPr>
              <w:t> </w:t>
            </w:r>
            <w:r w:rsidRPr="00AF51C1">
              <w:rPr>
                <w:rFonts w:eastAsia="Times New Roman"/>
                <w:color w:val="000000"/>
                <w:sz w:val="20"/>
                <w:lang w:eastAsia="en-US"/>
              </w:rPr>
              <w:t>292</w:t>
            </w:r>
            <w:r w:rsidR="0072176F">
              <w:rPr>
                <w:rFonts w:eastAsia="Times New Roman"/>
                <w:color w:val="000000"/>
                <w:sz w:val="20"/>
                <w:lang w:eastAsia="en-US"/>
              </w:rPr>
              <w:t>,</w:t>
            </w:r>
            <w:r w:rsidRPr="00AF51C1">
              <w:rPr>
                <w:rFonts w:eastAsia="Times New Roman"/>
                <w:color w:val="000000"/>
                <w:sz w:val="20"/>
                <w:lang w:eastAsia="en-US"/>
              </w:rPr>
              <w:t>93</w:t>
            </w:r>
          </w:p>
        </w:tc>
      </w:tr>
      <w:tr w:rsidR="007D4D90" w:rsidRPr="00AF51C1" w:rsidTr="00F367A9">
        <w:trPr>
          <w:trHeight w:val="255"/>
          <w:jc w:val="center"/>
        </w:trPr>
        <w:tc>
          <w:tcPr>
            <w:tcW w:w="1680" w:type="dxa"/>
            <w:noWrap/>
            <w:vAlign w:val="bottom"/>
          </w:tcPr>
          <w:p w:rsidR="007D4D90" w:rsidRPr="005D1415" w:rsidRDefault="0072176F" w:rsidP="00865F73">
            <w:pPr>
              <w:jc w:val="center"/>
              <w:rPr>
                <w:rFonts w:eastAsia="Times New Roman"/>
                <w:color w:val="000000"/>
                <w:sz w:val="20"/>
                <w:lang w:eastAsia="en-US"/>
              </w:rPr>
            </w:pPr>
            <w:r>
              <w:rPr>
                <w:rFonts w:eastAsia="Times New Roman"/>
                <w:color w:val="000000"/>
                <w:sz w:val="20"/>
                <w:lang w:val="ru-RU" w:eastAsia="en-US"/>
              </w:rPr>
              <w:t>Авг</w:t>
            </w:r>
            <w:r w:rsidR="008A38C8">
              <w:rPr>
                <w:rFonts w:eastAsia="Times New Roman"/>
                <w:color w:val="000000"/>
                <w:sz w:val="20"/>
                <w:lang w:eastAsia="en-US"/>
              </w:rPr>
              <w:t>-15</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4</w:t>
            </w:r>
            <w:r w:rsidR="0072176F">
              <w:rPr>
                <w:rFonts w:eastAsia="Times New Roman"/>
                <w:color w:val="000000"/>
                <w:sz w:val="20"/>
                <w:lang w:eastAsia="en-US"/>
              </w:rPr>
              <w:t> </w:t>
            </w:r>
            <w:r w:rsidRPr="00AF51C1">
              <w:rPr>
                <w:rFonts w:eastAsia="Times New Roman"/>
                <w:color w:val="000000"/>
                <w:sz w:val="20"/>
                <w:lang w:eastAsia="en-US"/>
              </w:rPr>
              <w:t>487</w:t>
            </w:r>
            <w:r w:rsidR="0072176F">
              <w:rPr>
                <w:rFonts w:eastAsia="Times New Roman"/>
                <w:color w:val="000000"/>
                <w:sz w:val="20"/>
                <w:lang w:eastAsia="en-US"/>
              </w:rPr>
              <w:t> </w:t>
            </w:r>
            <w:r w:rsidRPr="00AF51C1">
              <w:rPr>
                <w:rFonts w:eastAsia="Times New Roman"/>
                <w:color w:val="000000"/>
                <w:sz w:val="20"/>
                <w:lang w:eastAsia="en-US"/>
              </w:rPr>
              <w:t>030</w:t>
            </w:r>
            <w:r w:rsidR="0072176F">
              <w:rPr>
                <w:rFonts w:eastAsia="Times New Roman"/>
                <w:color w:val="000000"/>
                <w:sz w:val="20"/>
                <w:lang w:eastAsia="en-US"/>
              </w:rPr>
              <w:t>,</w:t>
            </w:r>
            <w:r w:rsidRPr="00AF51C1">
              <w:rPr>
                <w:rFonts w:eastAsia="Times New Roman"/>
                <w:color w:val="000000"/>
                <w:sz w:val="20"/>
                <w:lang w:eastAsia="en-US"/>
              </w:rPr>
              <w:t>57</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Сен</w:t>
            </w:r>
            <w:r w:rsidR="007D4D90" w:rsidRPr="005D1415">
              <w:rPr>
                <w:rFonts w:eastAsia="Times New Roman"/>
                <w:color w:val="000000"/>
                <w:sz w:val="20"/>
                <w:lang w:eastAsia="en-US"/>
              </w:rPr>
              <w:t>-15</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4</w:t>
            </w:r>
            <w:r w:rsidR="0072176F">
              <w:rPr>
                <w:rFonts w:eastAsia="Times New Roman"/>
                <w:color w:val="000000"/>
                <w:sz w:val="20"/>
                <w:lang w:eastAsia="en-US"/>
              </w:rPr>
              <w:t> </w:t>
            </w:r>
            <w:r w:rsidRPr="00AF51C1">
              <w:rPr>
                <w:rFonts w:eastAsia="Times New Roman"/>
                <w:color w:val="000000"/>
                <w:sz w:val="20"/>
                <w:lang w:eastAsia="en-US"/>
              </w:rPr>
              <w:t>458</w:t>
            </w:r>
            <w:r w:rsidR="0072176F">
              <w:rPr>
                <w:rFonts w:eastAsia="Times New Roman"/>
                <w:color w:val="000000"/>
                <w:sz w:val="20"/>
                <w:lang w:eastAsia="en-US"/>
              </w:rPr>
              <w:t> </w:t>
            </w:r>
            <w:r w:rsidRPr="00AF51C1">
              <w:rPr>
                <w:rFonts w:eastAsia="Times New Roman"/>
                <w:color w:val="000000"/>
                <w:sz w:val="20"/>
                <w:lang w:eastAsia="en-US"/>
              </w:rPr>
              <w:t>539</w:t>
            </w:r>
            <w:r w:rsidR="0072176F">
              <w:rPr>
                <w:rFonts w:eastAsia="Times New Roman"/>
                <w:color w:val="000000"/>
                <w:sz w:val="20"/>
                <w:lang w:eastAsia="en-US"/>
              </w:rPr>
              <w:t>,</w:t>
            </w:r>
            <w:r w:rsidRPr="00AF51C1">
              <w:rPr>
                <w:rFonts w:eastAsia="Times New Roman"/>
                <w:color w:val="000000"/>
                <w:sz w:val="20"/>
                <w:lang w:eastAsia="en-US"/>
              </w:rPr>
              <w:t>81</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Окт</w:t>
            </w:r>
            <w:r w:rsidR="007D4D90" w:rsidRPr="005D1415">
              <w:rPr>
                <w:rFonts w:eastAsia="Times New Roman"/>
                <w:color w:val="000000"/>
                <w:sz w:val="20"/>
                <w:lang w:eastAsia="en-US"/>
              </w:rPr>
              <w:t>-15</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5</w:t>
            </w:r>
            <w:r w:rsidR="0072176F">
              <w:rPr>
                <w:rFonts w:eastAsia="Times New Roman"/>
                <w:color w:val="000000"/>
                <w:sz w:val="20"/>
                <w:lang w:eastAsia="en-US"/>
              </w:rPr>
              <w:t> </w:t>
            </w:r>
            <w:r w:rsidRPr="00AF51C1">
              <w:rPr>
                <w:rFonts w:eastAsia="Times New Roman"/>
                <w:color w:val="000000"/>
                <w:sz w:val="20"/>
                <w:lang w:eastAsia="en-US"/>
              </w:rPr>
              <w:t>051</w:t>
            </w:r>
            <w:r w:rsidR="0072176F">
              <w:rPr>
                <w:rFonts w:eastAsia="Times New Roman"/>
                <w:color w:val="000000"/>
                <w:sz w:val="20"/>
                <w:lang w:eastAsia="en-US"/>
              </w:rPr>
              <w:t> </w:t>
            </w:r>
            <w:r w:rsidRPr="00AF51C1">
              <w:rPr>
                <w:rFonts w:eastAsia="Times New Roman"/>
                <w:color w:val="000000"/>
                <w:sz w:val="20"/>
                <w:lang w:eastAsia="en-US"/>
              </w:rPr>
              <w:t>816</w:t>
            </w:r>
            <w:r w:rsidR="0072176F">
              <w:rPr>
                <w:rFonts w:eastAsia="Times New Roman"/>
                <w:color w:val="000000"/>
                <w:sz w:val="20"/>
                <w:lang w:eastAsia="en-US"/>
              </w:rPr>
              <w:t>,</w:t>
            </w:r>
            <w:r w:rsidRPr="00AF51C1">
              <w:rPr>
                <w:rFonts w:eastAsia="Times New Roman"/>
                <w:color w:val="000000"/>
                <w:sz w:val="20"/>
                <w:lang w:eastAsia="en-US"/>
              </w:rPr>
              <w:t>00</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Ноя</w:t>
            </w:r>
            <w:r w:rsidR="007D4D90" w:rsidRPr="005D1415">
              <w:rPr>
                <w:rFonts w:eastAsia="Times New Roman"/>
                <w:color w:val="000000"/>
                <w:sz w:val="20"/>
                <w:lang w:eastAsia="en-US"/>
              </w:rPr>
              <w:t>-15</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4</w:t>
            </w:r>
            <w:r w:rsidR="0072176F">
              <w:rPr>
                <w:rFonts w:eastAsia="Times New Roman"/>
                <w:color w:val="000000"/>
                <w:sz w:val="20"/>
                <w:lang w:eastAsia="en-US"/>
              </w:rPr>
              <w:t> </w:t>
            </w:r>
            <w:r w:rsidRPr="00AF51C1">
              <w:rPr>
                <w:rFonts w:eastAsia="Times New Roman"/>
                <w:color w:val="000000"/>
                <w:sz w:val="20"/>
                <w:lang w:eastAsia="en-US"/>
              </w:rPr>
              <w:t>957</w:t>
            </w:r>
            <w:r w:rsidR="0072176F">
              <w:rPr>
                <w:rFonts w:eastAsia="Times New Roman"/>
                <w:color w:val="000000"/>
                <w:sz w:val="20"/>
                <w:lang w:eastAsia="en-US"/>
              </w:rPr>
              <w:t> </w:t>
            </w:r>
            <w:r w:rsidRPr="00AF51C1">
              <w:rPr>
                <w:rFonts w:eastAsia="Times New Roman"/>
                <w:color w:val="000000"/>
                <w:sz w:val="20"/>
                <w:lang w:eastAsia="en-US"/>
              </w:rPr>
              <w:t>470</w:t>
            </w:r>
            <w:r w:rsidR="0072176F">
              <w:rPr>
                <w:rFonts w:eastAsia="Times New Roman"/>
                <w:color w:val="000000"/>
                <w:sz w:val="20"/>
                <w:lang w:eastAsia="en-US"/>
              </w:rPr>
              <w:t>,</w:t>
            </w:r>
            <w:r w:rsidRPr="00AF51C1">
              <w:rPr>
                <w:rFonts w:eastAsia="Times New Roman"/>
                <w:color w:val="000000"/>
                <w:sz w:val="20"/>
                <w:lang w:eastAsia="en-US"/>
              </w:rPr>
              <w:t>28</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Дек</w:t>
            </w:r>
            <w:r w:rsidR="007D4D90" w:rsidRPr="005D1415">
              <w:rPr>
                <w:rFonts w:eastAsia="Times New Roman"/>
                <w:color w:val="000000"/>
                <w:sz w:val="20"/>
                <w:lang w:eastAsia="en-US"/>
              </w:rPr>
              <w:t>-15</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4</w:t>
            </w:r>
            <w:r w:rsidR="0072176F">
              <w:rPr>
                <w:rFonts w:eastAsia="Times New Roman"/>
                <w:color w:val="000000"/>
                <w:sz w:val="20"/>
                <w:lang w:eastAsia="en-US"/>
              </w:rPr>
              <w:t> </w:t>
            </w:r>
            <w:r w:rsidRPr="00AF51C1">
              <w:rPr>
                <w:rFonts w:eastAsia="Times New Roman"/>
                <w:color w:val="000000"/>
                <w:sz w:val="20"/>
                <w:lang w:eastAsia="en-US"/>
              </w:rPr>
              <w:t>687</w:t>
            </w:r>
            <w:r w:rsidR="0072176F">
              <w:rPr>
                <w:rFonts w:eastAsia="Times New Roman"/>
                <w:color w:val="000000"/>
                <w:sz w:val="20"/>
                <w:lang w:eastAsia="en-US"/>
              </w:rPr>
              <w:t> </w:t>
            </w:r>
            <w:r w:rsidRPr="00AF51C1">
              <w:rPr>
                <w:rFonts w:eastAsia="Times New Roman"/>
                <w:color w:val="000000"/>
                <w:sz w:val="20"/>
                <w:lang w:eastAsia="en-US"/>
              </w:rPr>
              <w:t>285</w:t>
            </w:r>
            <w:r w:rsidR="0072176F">
              <w:rPr>
                <w:rFonts w:eastAsia="Times New Roman"/>
                <w:color w:val="000000"/>
                <w:sz w:val="20"/>
                <w:lang w:eastAsia="en-US"/>
              </w:rPr>
              <w:t>,</w:t>
            </w:r>
            <w:r w:rsidRPr="00AF51C1">
              <w:rPr>
                <w:rFonts w:eastAsia="Times New Roman"/>
                <w:color w:val="000000"/>
                <w:sz w:val="20"/>
                <w:lang w:eastAsia="en-US"/>
              </w:rPr>
              <w:t>73</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Янв</w:t>
            </w:r>
            <w:r w:rsidR="007D4D90" w:rsidRPr="005D1415">
              <w:rPr>
                <w:rFonts w:eastAsia="Times New Roman"/>
                <w:color w:val="000000"/>
                <w:sz w:val="20"/>
                <w:lang w:eastAsia="en-US"/>
              </w:rPr>
              <w:t>-16</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5</w:t>
            </w:r>
            <w:r w:rsidR="0072176F">
              <w:rPr>
                <w:rFonts w:eastAsia="Times New Roman"/>
                <w:color w:val="000000"/>
                <w:sz w:val="20"/>
                <w:lang w:eastAsia="en-US"/>
              </w:rPr>
              <w:t> </w:t>
            </w:r>
            <w:r w:rsidRPr="00AF51C1">
              <w:rPr>
                <w:rFonts w:eastAsia="Times New Roman"/>
                <w:color w:val="000000"/>
                <w:sz w:val="20"/>
                <w:lang w:eastAsia="en-US"/>
              </w:rPr>
              <w:t>022</w:t>
            </w:r>
            <w:r w:rsidR="0072176F">
              <w:rPr>
                <w:rFonts w:eastAsia="Times New Roman"/>
                <w:color w:val="000000"/>
                <w:sz w:val="20"/>
                <w:lang w:eastAsia="en-US"/>
              </w:rPr>
              <w:t> </w:t>
            </w:r>
            <w:r w:rsidRPr="00AF51C1">
              <w:rPr>
                <w:rFonts w:eastAsia="Times New Roman"/>
                <w:color w:val="000000"/>
                <w:sz w:val="20"/>
                <w:lang w:eastAsia="en-US"/>
              </w:rPr>
              <w:t>062</w:t>
            </w:r>
            <w:r w:rsidR="0072176F">
              <w:rPr>
                <w:rFonts w:eastAsia="Times New Roman"/>
                <w:color w:val="000000"/>
                <w:sz w:val="20"/>
                <w:lang w:eastAsia="en-US"/>
              </w:rPr>
              <w:t>,</w:t>
            </w:r>
            <w:r w:rsidRPr="00AF51C1">
              <w:rPr>
                <w:rFonts w:eastAsia="Times New Roman"/>
                <w:color w:val="000000"/>
                <w:sz w:val="20"/>
                <w:lang w:eastAsia="en-US"/>
              </w:rPr>
              <w:t>70</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Фев</w:t>
            </w:r>
            <w:r w:rsidR="007D4D90" w:rsidRPr="005D1415">
              <w:rPr>
                <w:rFonts w:eastAsia="Times New Roman"/>
                <w:color w:val="000000"/>
                <w:sz w:val="20"/>
                <w:lang w:eastAsia="en-US"/>
              </w:rPr>
              <w:t>-16</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4</w:t>
            </w:r>
            <w:r w:rsidR="0072176F">
              <w:rPr>
                <w:rFonts w:eastAsia="Times New Roman"/>
                <w:color w:val="000000"/>
                <w:sz w:val="20"/>
                <w:lang w:eastAsia="en-US"/>
              </w:rPr>
              <w:t> </w:t>
            </w:r>
            <w:r w:rsidRPr="00AF51C1">
              <w:rPr>
                <w:rFonts w:eastAsia="Times New Roman"/>
                <w:color w:val="000000"/>
                <w:sz w:val="20"/>
                <w:lang w:eastAsia="en-US"/>
              </w:rPr>
              <w:t>341</w:t>
            </w:r>
            <w:r w:rsidR="0072176F">
              <w:rPr>
                <w:rFonts w:eastAsia="Times New Roman"/>
                <w:color w:val="000000"/>
                <w:sz w:val="20"/>
                <w:lang w:eastAsia="en-US"/>
              </w:rPr>
              <w:t> </w:t>
            </w:r>
            <w:r w:rsidRPr="00AF51C1">
              <w:rPr>
                <w:rFonts w:eastAsia="Times New Roman"/>
                <w:color w:val="000000"/>
                <w:sz w:val="20"/>
                <w:lang w:eastAsia="en-US"/>
              </w:rPr>
              <w:t>516</w:t>
            </w:r>
            <w:r w:rsidR="0072176F">
              <w:rPr>
                <w:rFonts w:eastAsia="Times New Roman"/>
                <w:color w:val="000000"/>
                <w:sz w:val="20"/>
                <w:lang w:eastAsia="en-US"/>
              </w:rPr>
              <w:t>,</w:t>
            </w:r>
            <w:r w:rsidRPr="00AF51C1">
              <w:rPr>
                <w:rFonts w:eastAsia="Times New Roman"/>
                <w:color w:val="000000"/>
                <w:sz w:val="20"/>
                <w:lang w:eastAsia="en-US"/>
              </w:rPr>
              <w:t>95</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Мар</w:t>
            </w:r>
            <w:r w:rsidR="007D4D90" w:rsidRPr="005D1415">
              <w:rPr>
                <w:rFonts w:eastAsia="Times New Roman"/>
                <w:color w:val="000000"/>
                <w:sz w:val="20"/>
                <w:lang w:eastAsia="en-US"/>
              </w:rPr>
              <w:t>-16</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0</w:t>
            </w:r>
            <w:r w:rsidR="0072176F">
              <w:rPr>
                <w:rFonts w:eastAsia="Times New Roman"/>
                <w:color w:val="000000"/>
                <w:sz w:val="20"/>
                <w:lang w:eastAsia="en-US"/>
              </w:rPr>
              <w:t>,</w:t>
            </w:r>
            <w:r w:rsidRPr="00AF51C1">
              <w:rPr>
                <w:rFonts w:eastAsia="Times New Roman"/>
                <w:color w:val="000000"/>
                <w:sz w:val="20"/>
                <w:lang w:eastAsia="en-US"/>
              </w:rPr>
              <w:t>00</w:t>
            </w:r>
          </w:p>
        </w:tc>
      </w:tr>
      <w:tr w:rsidR="007D4D90" w:rsidRPr="00AF51C1" w:rsidTr="00F367A9">
        <w:trPr>
          <w:trHeight w:val="255"/>
          <w:jc w:val="center"/>
        </w:trPr>
        <w:tc>
          <w:tcPr>
            <w:tcW w:w="1680" w:type="dxa"/>
            <w:noWrap/>
            <w:vAlign w:val="bottom"/>
          </w:tcPr>
          <w:p w:rsidR="007D4D90" w:rsidRPr="005D1415" w:rsidRDefault="006E2404" w:rsidP="00865F73">
            <w:pPr>
              <w:jc w:val="center"/>
              <w:rPr>
                <w:rFonts w:eastAsia="Times New Roman"/>
                <w:color w:val="000000"/>
                <w:sz w:val="20"/>
                <w:lang w:eastAsia="en-US"/>
              </w:rPr>
            </w:pPr>
            <w:r>
              <w:rPr>
                <w:rFonts w:eastAsia="Times New Roman"/>
                <w:color w:val="000000"/>
                <w:sz w:val="20"/>
                <w:lang w:eastAsia="en-US"/>
              </w:rPr>
              <w:t>Апр</w:t>
            </w:r>
            <w:r w:rsidR="007D4D90" w:rsidRPr="005D1415">
              <w:rPr>
                <w:rFonts w:eastAsia="Times New Roman"/>
                <w:color w:val="000000"/>
                <w:sz w:val="20"/>
                <w:lang w:eastAsia="en-US"/>
              </w:rPr>
              <w:t>-16</w:t>
            </w:r>
          </w:p>
        </w:tc>
        <w:tc>
          <w:tcPr>
            <w:tcW w:w="2424" w:type="dxa"/>
            <w:noWrap/>
            <w:vAlign w:val="bottom"/>
          </w:tcPr>
          <w:p w:rsidR="007D4D90" w:rsidRPr="00AF51C1" w:rsidRDefault="007D4D90" w:rsidP="00865F73">
            <w:pPr>
              <w:jc w:val="right"/>
              <w:rPr>
                <w:rFonts w:eastAsia="Times New Roman"/>
                <w:color w:val="000000"/>
                <w:sz w:val="20"/>
                <w:lang w:eastAsia="en-US"/>
              </w:rPr>
            </w:pPr>
            <w:r w:rsidRPr="00AF51C1">
              <w:rPr>
                <w:rFonts w:eastAsia="Times New Roman"/>
                <w:color w:val="000000"/>
                <w:sz w:val="20"/>
                <w:lang w:eastAsia="en-US"/>
              </w:rPr>
              <w:t>5</w:t>
            </w:r>
            <w:r w:rsidR="0072176F">
              <w:rPr>
                <w:rFonts w:eastAsia="Times New Roman"/>
                <w:color w:val="000000"/>
                <w:sz w:val="20"/>
                <w:lang w:eastAsia="en-US"/>
              </w:rPr>
              <w:t> </w:t>
            </w:r>
            <w:r w:rsidRPr="00AF51C1">
              <w:rPr>
                <w:rFonts w:eastAsia="Times New Roman"/>
                <w:color w:val="000000"/>
                <w:sz w:val="20"/>
                <w:lang w:eastAsia="en-US"/>
              </w:rPr>
              <w:t>465</w:t>
            </w:r>
            <w:r w:rsidR="0072176F">
              <w:rPr>
                <w:rFonts w:eastAsia="Times New Roman"/>
                <w:color w:val="000000"/>
                <w:sz w:val="20"/>
                <w:lang w:eastAsia="en-US"/>
              </w:rPr>
              <w:t> </w:t>
            </w:r>
            <w:r w:rsidRPr="00AF51C1">
              <w:rPr>
                <w:rFonts w:eastAsia="Times New Roman"/>
                <w:color w:val="000000"/>
                <w:sz w:val="20"/>
                <w:lang w:eastAsia="en-US"/>
              </w:rPr>
              <w:t>945</w:t>
            </w:r>
            <w:r w:rsidR="0072176F">
              <w:rPr>
                <w:rFonts w:eastAsia="Times New Roman"/>
                <w:color w:val="000000"/>
                <w:sz w:val="20"/>
                <w:lang w:eastAsia="en-US"/>
              </w:rPr>
              <w:t>,</w:t>
            </w:r>
            <w:r w:rsidRPr="00AF51C1">
              <w:rPr>
                <w:rFonts w:eastAsia="Times New Roman"/>
                <w:color w:val="000000"/>
                <w:sz w:val="20"/>
                <w:lang w:eastAsia="en-US"/>
              </w:rPr>
              <w:t>33</w:t>
            </w:r>
          </w:p>
        </w:tc>
      </w:tr>
      <w:tr w:rsidR="007D4D90" w:rsidRPr="00AF51C1" w:rsidTr="00F367A9">
        <w:trPr>
          <w:trHeight w:val="255"/>
          <w:jc w:val="center"/>
        </w:trPr>
        <w:tc>
          <w:tcPr>
            <w:tcW w:w="1680" w:type="dxa"/>
            <w:noWrap/>
            <w:vAlign w:val="bottom"/>
          </w:tcPr>
          <w:p w:rsidR="007D4D90" w:rsidRPr="005D1415" w:rsidRDefault="0072176F" w:rsidP="00865F73">
            <w:pPr>
              <w:jc w:val="center"/>
              <w:rPr>
                <w:rFonts w:eastAsia="Times New Roman"/>
                <w:color w:val="000000"/>
                <w:sz w:val="20"/>
                <w:lang w:eastAsia="en-US"/>
              </w:rPr>
            </w:pPr>
            <w:r>
              <w:rPr>
                <w:rFonts w:eastAsia="Times New Roman"/>
                <w:color w:val="000000"/>
                <w:sz w:val="20"/>
                <w:lang w:eastAsia="en-US"/>
              </w:rPr>
              <w:t>М</w:t>
            </w:r>
            <w:r w:rsidR="006E2404">
              <w:rPr>
                <w:rFonts w:eastAsia="Times New Roman"/>
                <w:color w:val="000000"/>
                <w:sz w:val="20"/>
                <w:lang w:eastAsia="en-US"/>
              </w:rPr>
              <w:t>а</w:t>
            </w:r>
            <w:r>
              <w:rPr>
                <w:rFonts w:eastAsia="Times New Roman"/>
                <w:color w:val="000000"/>
                <w:sz w:val="20"/>
                <w:lang w:val="ru-RU" w:eastAsia="en-US"/>
              </w:rPr>
              <w:t>й</w:t>
            </w:r>
            <w:r w:rsidR="007D4D90" w:rsidRPr="005D1415">
              <w:rPr>
                <w:rFonts w:eastAsia="Times New Roman"/>
                <w:color w:val="000000"/>
                <w:sz w:val="20"/>
                <w:lang w:eastAsia="en-US"/>
              </w:rPr>
              <w:t>-16</w:t>
            </w:r>
          </w:p>
        </w:tc>
        <w:tc>
          <w:tcPr>
            <w:tcW w:w="2424" w:type="dxa"/>
            <w:noWrap/>
            <w:vAlign w:val="bottom"/>
          </w:tcPr>
          <w:p w:rsidR="007D4D90" w:rsidRPr="00AF51C1" w:rsidRDefault="007D4D90" w:rsidP="00865F73">
            <w:pPr>
              <w:jc w:val="right"/>
              <w:rPr>
                <w:rFonts w:eastAsia="Times New Roman"/>
                <w:color w:val="000000"/>
                <w:sz w:val="20"/>
                <w:u w:val="single"/>
                <w:lang w:eastAsia="en-US"/>
              </w:rPr>
            </w:pPr>
            <w:r w:rsidRPr="00AF51C1">
              <w:rPr>
                <w:rFonts w:eastAsia="Times New Roman"/>
                <w:color w:val="000000"/>
                <w:sz w:val="20"/>
                <w:u w:val="single"/>
                <w:lang w:eastAsia="en-US"/>
              </w:rPr>
              <w:t>12</w:t>
            </w:r>
            <w:r w:rsidR="0072176F">
              <w:rPr>
                <w:rFonts w:eastAsia="Times New Roman"/>
                <w:color w:val="000000"/>
                <w:sz w:val="20"/>
                <w:u w:val="single"/>
                <w:lang w:eastAsia="en-US"/>
              </w:rPr>
              <w:t> </w:t>
            </w:r>
            <w:r w:rsidRPr="00AF51C1">
              <w:rPr>
                <w:rFonts w:eastAsia="Times New Roman"/>
                <w:color w:val="000000"/>
                <w:sz w:val="20"/>
                <w:u w:val="single"/>
                <w:lang w:eastAsia="en-US"/>
              </w:rPr>
              <w:t>119</w:t>
            </w:r>
            <w:r w:rsidR="0072176F">
              <w:rPr>
                <w:rFonts w:eastAsia="Times New Roman"/>
                <w:color w:val="000000"/>
                <w:sz w:val="20"/>
                <w:u w:val="single"/>
                <w:lang w:eastAsia="en-US"/>
              </w:rPr>
              <w:t> </w:t>
            </w:r>
            <w:r w:rsidRPr="00AF51C1">
              <w:rPr>
                <w:rFonts w:eastAsia="Times New Roman"/>
                <w:color w:val="000000"/>
                <w:sz w:val="20"/>
                <w:u w:val="single"/>
                <w:lang w:eastAsia="en-US"/>
              </w:rPr>
              <w:t>416</w:t>
            </w:r>
            <w:r w:rsidR="0072176F">
              <w:rPr>
                <w:rFonts w:eastAsia="Times New Roman"/>
                <w:color w:val="000000"/>
                <w:sz w:val="20"/>
                <w:u w:val="single"/>
                <w:lang w:eastAsia="en-US"/>
              </w:rPr>
              <w:t>,</w:t>
            </w:r>
            <w:r w:rsidRPr="00AF51C1">
              <w:rPr>
                <w:rFonts w:eastAsia="Times New Roman"/>
                <w:color w:val="000000"/>
                <w:sz w:val="20"/>
                <w:u w:val="single"/>
                <w:lang w:eastAsia="en-US"/>
              </w:rPr>
              <w:t>59</w:t>
            </w:r>
          </w:p>
        </w:tc>
      </w:tr>
      <w:tr w:rsidR="007D4D90" w:rsidRPr="00AF51C1" w:rsidTr="005D1415">
        <w:trPr>
          <w:trHeight w:val="350"/>
          <w:jc w:val="center"/>
        </w:trPr>
        <w:tc>
          <w:tcPr>
            <w:tcW w:w="1680" w:type="dxa"/>
            <w:noWrap/>
            <w:vAlign w:val="bottom"/>
          </w:tcPr>
          <w:p w:rsidR="007D4D90" w:rsidRPr="005D1415" w:rsidRDefault="006E2404" w:rsidP="00865F73">
            <w:pPr>
              <w:jc w:val="center"/>
              <w:rPr>
                <w:rFonts w:eastAsia="Times New Roman"/>
                <w:b/>
                <w:color w:val="000000"/>
                <w:sz w:val="20"/>
                <w:lang w:eastAsia="en-US"/>
              </w:rPr>
            </w:pPr>
            <w:r>
              <w:rPr>
                <w:rFonts w:eastAsia="Times New Roman"/>
                <w:b/>
                <w:color w:val="000000"/>
                <w:sz w:val="20"/>
                <w:lang w:eastAsia="en-US"/>
              </w:rPr>
              <w:t>ИТОГО</w:t>
            </w:r>
          </w:p>
        </w:tc>
        <w:tc>
          <w:tcPr>
            <w:tcW w:w="2424" w:type="dxa"/>
            <w:noWrap/>
            <w:vAlign w:val="bottom"/>
          </w:tcPr>
          <w:p w:rsidR="007D4D90" w:rsidRPr="005D1415" w:rsidRDefault="007D4D90" w:rsidP="00865F73">
            <w:pPr>
              <w:jc w:val="right"/>
              <w:rPr>
                <w:rFonts w:eastAsia="Times New Roman"/>
                <w:b/>
                <w:color w:val="000000"/>
                <w:sz w:val="20"/>
                <w:lang w:eastAsia="en-US"/>
              </w:rPr>
            </w:pPr>
            <w:r w:rsidRPr="005D1415">
              <w:rPr>
                <w:rFonts w:eastAsia="Times New Roman"/>
                <w:b/>
                <w:color w:val="000000"/>
                <w:sz w:val="20"/>
                <w:lang w:eastAsia="en-US"/>
              </w:rPr>
              <w:t>77</w:t>
            </w:r>
            <w:r w:rsidR="0072176F">
              <w:rPr>
                <w:rFonts w:eastAsia="Times New Roman"/>
                <w:b/>
                <w:color w:val="000000"/>
                <w:sz w:val="20"/>
                <w:lang w:eastAsia="en-US"/>
              </w:rPr>
              <w:t> </w:t>
            </w:r>
            <w:r w:rsidRPr="005D1415">
              <w:rPr>
                <w:rFonts w:eastAsia="Times New Roman"/>
                <w:b/>
                <w:color w:val="000000"/>
                <w:sz w:val="20"/>
                <w:lang w:eastAsia="en-US"/>
              </w:rPr>
              <w:t>925</w:t>
            </w:r>
            <w:r w:rsidR="0072176F">
              <w:rPr>
                <w:rFonts w:eastAsia="Times New Roman"/>
                <w:b/>
                <w:color w:val="000000"/>
                <w:sz w:val="20"/>
                <w:lang w:eastAsia="en-US"/>
              </w:rPr>
              <w:t> </w:t>
            </w:r>
            <w:r w:rsidRPr="005D1415">
              <w:rPr>
                <w:rFonts w:eastAsia="Times New Roman"/>
                <w:b/>
                <w:color w:val="000000"/>
                <w:sz w:val="20"/>
                <w:lang w:eastAsia="en-US"/>
              </w:rPr>
              <w:t>426</w:t>
            </w:r>
            <w:r w:rsidR="0072176F">
              <w:rPr>
                <w:rFonts w:eastAsia="Times New Roman"/>
                <w:b/>
                <w:color w:val="000000"/>
                <w:sz w:val="20"/>
                <w:lang w:eastAsia="en-US"/>
              </w:rPr>
              <w:t>,</w:t>
            </w:r>
            <w:r w:rsidRPr="005D1415">
              <w:rPr>
                <w:rFonts w:eastAsia="Times New Roman"/>
                <w:b/>
                <w:color w:val="000000"/>
                <w:sz w:val="20"/>
                <w:lang w:eastAsia="en-US"/>
              </w:rPr>
              <w:t>19</w:t>
            </w:r>
          </w:p>
        </w:tc>
      </w:tr>
    </w:tbl>
    <w:p w:rsidR="007D4D90" w:rsidRDefault="00630628" w:rsidP="00A143E8">
      <w:pPr>
        <w:pStyle w:val="Heading2"/>
      </w:pPr>
      <w:r>
        <w:rPr>
          <w:lang w:val="ru-RU"/>
        </w:rPr>
        <w:t>резюме</w:t>
      </w:r>
    </w:p>
    <w:p w:rsidR="007D4D90" w:rsidRPr="002B64B4" w:rsidRDefault="007D4D90" w:rsidP="002B64B4"/>
    <w:p w:rsidR="007D4D90" w:rsidRPr="00200BE7" w:rsidRDefault="00200BE7" w:rsidP="00EF1729">
      <w:pPr>
        <w:pStyle w:val="ONUME"/>
        <w:numPr>
          <w:ilvl w:val="0"/>
          <w:numId w:val="16"/>
        </w:numPr>
        <w:ind w:left="0" w:firstLine="0"/>
      </w:pPr>
      <w:r w:rsidRPr="0074727B">
        <w:t>Таким</w:t>
      </w:r>
      <w:r w:rsidRPr="00200BE7">
        <w:t xml:space="preserve"> </w:t>
      </w:r>
      <w:r w:rsidRPr="0074727B">
        <w:t>образом</w:t>
      </w:r>
      <w:r w:rsidR="007D4D90" w:rsidRPr="00200BE7">
        <w:t xml:space="preserve">, </w:t>
      </w:r>
      <w:r w:rsidR="006E2404" w:rsidRPr="00200BE7">
        <w:t>анализ</w:t>
      </w:r>
      <w:r w:rsidRPr="00200BE7">
        <w:t xml:space="preserve"> денежн</w:t>
      </w:r>
      <w:r>
        <w:t>ых</w:t>
      </w:r>
      <w:r w:rsidRPr="00200BE7">
        <w:t xml:space="preserve"> поток</w:t>
      </w:r>
      <w:r>
        <w:t>ов</w:t>
      </w:r>
      <w:r w:rsidRPr="00200BE7">
        <w:t xml:space="preserve"> </w:t>
      </w:r>
      <w:r>
        <w:t>за</w:t>
      </w:r>
      <w:r w:rsidRPr="00200BE7">
        <w:t xml:space="preserve"> </w:t>
      </w:r>
      <w:r w:rsidR="007D4D90" w:rsidRPr="00200BE7">
        <w:t xml:space="preserve">17 </w:t>
      </w:r>
      <w:r w:rsidR="006E2404" w:rsidRPr="00200BE7">
        <w:t>месяц</w:t>
      </w:r>
      <w:r>
        <w:t xml:space="preserve">ев с </w:t>
      </w:r>
      <w:r w:rsidR="006E2404" w:rsidRPr="00200BE7">
        <w:t>января</w:t>
      </w:r>
      <w:r w:rsidR="007D4D90" w:rsidRPr="00200BE7">
        <w:t xml:space="preserve"> 2015 </w:t>
      </w:r>
      <w:r>
        <w:t>г. по май</w:t>
      </w:r>
      <w:r w:rsidR="007D4D90" w:rsidRPr="00200BE7">
        <w:t xml:space="preserve"> 2016</w:t>
      </w:r>
      <w:r>
        <w:t xml:space="preserve"> г.</w:t>
      </w:r>
      <w:r w:rsidR="007D4D90" w:rsidRPr="00200BE7">
        <w:t xml:space="preserve"> </w:t>
      </w:r>
      <w:r w:rsidR="00CC6D0C">
        <w:t>показывает, что для заключения</w:t>
      </w:r>
      <w:r w:rsidR="00CC6D0C" w:rsidRPr="00200BE7">
        <w:t xml:space="preserve"> форвардных контрактов</w:t>
      </w:r>
      <w:r w:rsidR="00CC6D0C">
        <w:t xml:space="preserve"> были бы доступны </w:t>
      </w:r>
      <w:r w:rsidR="007D4D90" w:rsidRPr="00200BE7">
        <w:t>99</w:t>
      </w:r>
      <w:r>
        <w:t xml:space="preserve">% </w:t>
      </w:r>
      <w:r w:rsidR="00CC6D0C">
        <w:t>доходов</w:t>
      </w:r>
      <w:r w:rsidR="002A0B71" w:rsidRPr="00200BE7">
        <w:t xml:space="preserve"> </w:t>
      </w:r>
      <w:r w:rsidR="002A0B71">
        <w:rPr>
          <w:lang w:val="en-US"/>
        </w:rPr>
        <w:t>PCT</w:t>
      </w:r>
      <w:r>
        <w:t>,</w:t>
      </w:r>
      <w:r w:rsidR="002A0B71" w:rsidRPr="00200BE7">
        <w:t xml:space="preserve"> </w:t>
      </w:r>
      <w:r w:rsidR="006E2404" w:rsidRPr="00200BE7">
        <w:t>полученн</w:t>
      </w:r>
      <w:r>
        <w:t>ых</w:t>
      </w:r>
      <w:r w:rsidR="006E2404" w:rsidRPr="00200BE7">
        <w:t xml:space="preserve"> </w:t>
      </w:r>
      <w:r>
        <w:t xml:space="preserve">в </w:t>
      </w:r>
      <w:r w:rsidR="000E25D1" w:rsidRPr="00200BE7">
        <w:t>японских иенах</w:t>
      </w:r>
      <w:r w:rsidR="007D4D90" w:rsidRPr="00200BE7">
        <w:t>, 69</w:t>
      </w:r>
      <w:r>
        <w:t>,</w:t>
      </w:r>
      <w:r w:rsidR="007D4D90" w:rsidRPr="00200BE7">
        <w:t>6</w:t>
      </w:r>
      <w:r>
        <w:t xml:space="preserve">% </w:t>
      </w:r>
      <w:r w:rsidR="00CC6D0C">
        <w:t>доходов</w:t>
      </w:r>
      <w:r w:rsidR="002A0B71" w:rsidRPr="00200BE7">
        <w:t xml:space="preserve"> </w:t>
      </w:r>
      <w:r w:rsidR="002A0B71">
        <w:rPr>
          <w:lang w:val="en-US"/>
        </w:rPr>
        <w:t>PCT</w:t>
      </w:r>
      <w:r>
        <w:t>,</w:t>
      </w:r>
      <w:r w:rsidR="002A0B71" w:rsidRPr="00200BE7">
        <w:t xml:space="preserve"> </w:t>
      </w:r>
      <w:r w:rsidR="006E2404" w:rsidRPr="00200BE7">
        <w:t>полученн</w:t>
      </w:r>
      <w:r>
        <w:t>ых</w:t>
      </w:r>
      <w:r w:rsidR="006E2404" w:rsidRPr="00200BE7">
        <w:t xml:space="preserve"> </w:t>
      </w:r>
      <w:r w:rsidR="004B2858" w:rsidRPr="00200BE7">
        <w:t>в евро</w:t>
      </w:r>
      <w:r w:rsidR="007D4D90" w:rsidRPr="00200BE7">
        <w:t xml:space="preserve"> </w:t>
      </w:r>
      <w:r w:rsidR="006E2404" w:rsidRPr="00200BE7">
        <w:t>и</w:t>
      </w:r>
      <w:r w:rsidR="007D4D90" w:rsidRPr="00200BE7">
        <w:t xml:space="preserve"> </w:t>
      </w:r>
      <w:r w:rsidR="006E2404" w:rsidRPr="00200BE7">
        <w:t>только</w:t>
      </w:r>
      <w:r w:rsidR="007D4D90" w:rsidRPr="00200BE7">
        <w:t xml:space="preserve"> 36</w:t>
      </w:r>
      <w:r>
        <w:t>,</w:t>
      </w:r>
      <w:r w:rsidR="007D4D90" w:rsidRPr="00200BE7">
        <w:t>8</w:t>
      </w:r>
      <w:r>
        <w:t xml:space="preserve">% </w:t>
      </w:r>
      <w:r w:rsidR="00CC6D0C">
        <w:t>доходов</w:t>
      </w:r>
      <w:r w:rsidR="002A0B71" w:rsidRPr="00200BE7">
        <w:t xml:space="preserve"> </w:t>
      </w:r>
      <w:r w:rsidR="002A0B71">
        <w:rPr>
          <w:lang w:val="en-US"/>
        </w:rPr>
        <w:t>PCT</w:t>
      </w:r>
      <w:r>
        <w:t>,</w:t>
      </w:r>
      <w:r w:rsidR="002A0B71" w:rsidRPr="00200BE7">
        <w:t xml:space="preserve"> </w:t>
      </w:r>
      <w:r w:rsidR="006E2404" w:rsidRPr="00200BE7">
        <w:t>полученн</w:t>
      </w:r>
      <w:r>
        <w:t>ых</w:t>
      </w:r>
      <w:r w:rsidR="006E2404" w:rsidRPr="00200BE7">
        <w:t xml:space="preserve"> </w:t>
      </w:r>
      <w:r w:rsidR="002A2D74" w:rsidRPr="00200BE7">
        <w:t>в долларах США</w:t>
      </w:r>
      <w:r w:rsidR="007D4D90" w:rsidRPr="00200BE7">
        <w:t xml:space="preserve">.  </w:t>
      </w:r>
      <w:r>
        <w:t>Это означало бы</w:t>
      </w:r>
      <w:r w:rsidR="007D4D90" w:rsidRPr="00200BE7">
        <w:t xml:space="preserve">, </w:t>
      </w:r>
      <w:r>
        <w:t xml:space="preserve">что в этот 17-месячный </w:t>
      </w:r>
      <w:r w:rsidR="006E2404" w:rsidRPr="00200BE7">
        <w:t>период</w:t>
      </w:r>
      <w:r w:rsidR="007D4D90" w:rsidRPr="00200BE7">
        <w:t xml:space="preserve"> </w:t>
      </w:r>
      <w:r w:rsidRPr="00200BE7">
        <w:t>средств</w:t>
      </w:r>
      <w:r>
        <w:t xml:space="preserve">а в объеме </w:t>
      </w:r>
      <w:r w:rsidR="007D4D90" w:rsidRPr="00200BE7">
        <w:t>139</w:t>
      </w:r>
      <w:r>
        <w:t>,</w:t>
      </w:r>
      <w:r w:rsidR="007D4D90" w:rsidRPr="00200BE7">
        <w:t xml:space="preserve">2 </w:t>
      </w:r>
      <w:r w:rsidR="006E2404" w:rsidRPr="00200BE7">
        <w:t>м</w:t>
      </w:r>
      <w:r>
        <w:t xml:space="preserve">лн. </w:t>
      </w:r>
      <w:r w:rsidRPr="00200BE7">
        <w:t xml:space="preserve">шв. франков </w:t>
      </w:r>
      <w:r w:rsidR="007D4D90" w:rsidRPr="00200BE7">
        <w:t>(</w:t>
      </w:r>
      <w:r w:rsidR="006E2404" w:rsidRPr="00200BE7">
        <w:t>или</w:t>
      </w:r>
      <w:r w:rsidR="007D4D90" w:rsidRPr="00200BE7">
        <w:t xml:space="preserve"> 34</w:t>
      </w:r>
      <w:r>
        <w:t>,</w:t>
      </w:r>
      <w:r w:rsidR="007D4D90" w:rsidRPr="00200BE7">
        <w:t>9</w:t>
      </w:r>
      <w:r>
        <w:t xml:space="preserve">% всех денежных </w:t>
      </w:r>
      <w:r w:rsidR="004B2858" w:rsidRPr="00200BE7">
        <w:t xml:space="preserve">поступлений </w:t>
      </w:r>
      <w:r w:rsidRPr="00C553E3">
        <w:rPr>
          <w:lang w:val="en-US"/>
        </w:rPr>
        <w:t>PCT</w:t>
      </w:r>
      <w:r>
        <w:t xml:space="preserve">, составивших </w:t>
      </w:r>
      <w:r w:rsidR="007D4D90" w:rsidRPr="00200BE7">
        <w:t>398</w:t>
      </w:r>
      <w:r>
        <w:t>,</w:t>
      </w:r>
      <w:r w:rsidR="007D4D90" w:rsidRPr="00200BE7">
        <w:t xml:space="preserve">6 </w:t>
      </w:r>
      <w:r w:rsidR="006E2404" w:rsidRPr="00200BE7">
        <w:t>м</w:t>
      </w:r>
      <w:r>
        <w:t xml:space="preserve">лн. </w:t>
      </w:r>
      <w:r w:rsidRPr="00200BE7">
        <w:t>шв. франков</w:t>
      </w:r>
      <w:r w:rsidR="007D4D90" w:rsidRPr="00200BE7">
        <w:t>)</w:t>
      </w:r>
      <w:r>
        <w:t>,</w:t>
      </w:r>
      <w:r w:rsidR="007D4D90" w:rsidRPr="00200BE7">
        <w:t xml:space="preserve"> </w:t>
      </w:r>
      <w:r w:rsidRPr="00200BE7">
        <w:t xml:space="preserve">включая </w:t>
      </w:r>
      <w:r>
        <w:t>поступления</w:t>
      </w:r>
      <w:r w:rsidRPr="00200BE7">
        <w:t xml:space="preserve"> </w:t>
      </w:r>
      <w:r>
        <w:t xml:space="preserve">во </w:t>
      </w:r>
      <w:r w:rsidRPr="00200BE7">
        <w:t>все</w:t>
      </w:r>
      <w:r>
        <w:t>х</w:t>
      </w:r>
      <w:r w:rsidRPr="00200BE7">
        <w:t xml:space="preserve"> </w:t>
      </w:r>
      <w:r>
        <w:t>иных</w:t>
      </w:r>
      <w:r w:rsidRPr="00200BE7">
        <w:t xml:space="preserve"> валют</w:t>
      </w:r>
      <w:r>
        <w:t>ах,</w:t>
      </w:r>
      <w:r w:rsidRPr="00200BE7">
        <w:t xml:space="preserve"> кроме </w:t>
      </w:r>
      <w:r w:rsidR="00CC6D0C">
        <w:t>швейцарского</w:t>
      </w:r>
      <w:r>
        <w:t xml:space="preserve"> </w:t>
      </w:r>
      <w:r w:rsidR="00CC6D0C">
        <w:t>франка</w:t>
      </w:r>
      <w:r w:rsidRPr="00200BE7">
        <w:t xml:space="preserve">, </w:t>
      </w:r>
      <w:r>
        <w:t xml:space="preserve">не хеджировались бы </w:t>
      </w:r>
      <w:r w:rsidR="006E2404" w:rsidRPr="00200BE7">
        <w:t>и</w:t>
      </w:r>
      <w:r w:rsidR="007D4D90" w:rsidRPr="00200BE7">
        <w:t xml:space="preserve"> </w:t>
      </w:r>
      <w:r w:rsidR="00CC6D0C">
        <w:t>были бы подвержены прибылям</w:t>
      </w:r>
      <w:r w:rsidR="008D41B8" w:rsidRPr="00CC6D0C">
        <w:t xml:space="preserve"> и </w:t>
      </w:r>
      <w:r w:rsidR="00CC6D0C">
        <w:t>убыткам, связанным с курсовыми колебаниями</w:t>
      </w:r>
      <w:r w:rsidR="007D4D90" w:rsidRPr="00200BE7">
        <w:t>.</w:t>
      </w:r>
    </w:p>
    <w:tbl>
      <w:tblPr>
        <w:tblW w:w="7964" w:type="dxa"/>
        <w:jc w:val="center"/>
        <w:tblLook w:val="00A0" w:firstRow="1" w:lastRow="0" w:firstColumn="1" w:lastColumn="0" w:noHBand="0" w:noVBand="0"/>
      </w:tblPr>
      <w:tblGrid>
        <w:gridCol w:w="3967"/>
        <w:gridCol w:w="2160"/>
        <w:gridCol w:w="1837"/>
      </w:tblGrid>
      <w:tr w:rsidR="007D4D90" w:rsidRPr="00EF1729" w:rsidTr="00EF1729">
        <w:trPr>
          <w:trHeight w:val="76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F367A9" w:rsidRDefault="006E2404" w:rsidP="00F367A9">
            <w:pPr>
              <w:spacing w:before="40" w:after="40"/>
              <w:rPr>
                <w:rFonts w:eastAsia="Times New Roman"/>
                <w:b/>
                <w:color w:val="000000"/>
                <w:sz w:val="20"/>
                <w:lang w:eastAsia="en-US"/>
              </w:rPr>
            </w:pPr>
            <w:r>
              <w:rPr>
                <w:rFonts w:eastAsia="Times New Roman"/>
                <w:b/>
                <w:color w:val="000000"/>
                <w:sz w:val="20"/>
                <w:lang w:eastAsia="en-US"/>
              </w:rPr>
              <w:t>Валюта</w:t>
            </w:r>
          </w:p>
        </w:tc>
        <w:tc>
          <w:tcPr>
            <w:tcW w:w="2160" w:type="dxa"/>
            <w:tcBorders>
              <w:top w:val="single" w:sz="4" w:space="0" w:color="auto"/>
              <w:left w:val="single" w:sz="4" w:space="0" w:color="auto"/>
              <w:bottom w:val="single" w:sz="4" w:space="0" w:color="auto"/>
              <w:right w:val="single" w:sz="4" w:space="0" w:color="auto"/>
            </w:tcBorders>
            <w:vAlign w:val="bottom"/>
          </w:tcPr>
          <w:p w:rsidR="007D4D90" w:rsidRPr="00F367A9" w:rsidRDefault="004B3D78" w:rsidP="00F367A9">
            <w:pPr>
              <w:spacing w:before="40" w:after="40"/>
              <w:jc w:val="center"/>
              <w:rPr>
                <w:rFonts w:eastAsia="Times New Roman"/>
                <w:b/>
                <w:color w:val="000000"/>
                <w:sz w:val="20"/>
                <w:lang w:eastAsia="en-US"/>
              </w:rPr>
            </w:pPr>
            <w:r>
              <w:rPr>
                <w:rFonts w:eastAsia="Times New Roman"/>
                <w:b/>
                <w:color w:val="000000"/>
                <w:sz w:val="20"/>
                <w:lang w:val="ru-RU" w:eastAsia="en-US"/>
              </w:rPr>
              <w:t>Доля не</w:t>
            </w:r>
            <w:r w:rsidR="006E2404">
              <w:rPr>
                <w:rFonts w:eastAsia="Times New Roman"/>
                <w:b/>
                <w:color w:val="000000"/>
                <w:sz w:val="20"/>
                <w:lang w:eastAsia="en-US"/>
              </w:rPr>
              <w:t>хедж</w:t>
            </w:r>
            <w:r>
              <w:rPr>
                <w:rFonts w:eastAsia="Times New Roman"/>
                <w:b/>
                <w:color w:val="000000"/>
                <w:sz w:val="20"/>
                <w:lang w:val="ru-RU" w:eastAsia="en-US"/>
              </w:rPr>
              <w:t>ируемых</w:t>
            </w:r>
            <w:r w:rsidR="006E2404">
              <w:rPr>
                <w:rFonts w:eastAsia="Times New Roman"/>
                <w:b/>
                <w:color w:val="000000"/>
                <w:sz w:val="20"/>
                <w:lang w:eastAsia="en-US"/>
              </w:rPr>
              <w:t xml:space="preserve"> </w:t>
            </w:r>
            <w:r>
              <w:rPr>
                <w:rFonts w:eastAsia="Times New Roman"/>
                <w:b/>
                <w:color w:val="000000"/>
                <w:sz w:val="20"/>
                <w:lang w:val="ru-RU" w:eastAsia="en-US"/>
              </w:rPr>
              <w:t>поступлений (</w:t>
            </w:r>
            <w:r w:rsidRPr="00F367A9">
              <w:rPr>
                <w:rFonts w:eastAsia="Times New Roman"/>
                <w:b/>
                <w:color w:val="000000"/>
                <w:sz w:val="20"/>
                <w:lang w:eastAsia="en-US"/>
              </w:rPr>
              <w:t>%</w:t>
            </w:r>
            <w:r>
              <w:rPr>
                <w:rFonts w:eastAsia="Times New Roman"/>
                <w:b/>
                <w:color w:val="000000"/>
                <w:sz w:val="20"/>
                <w:lang w:val="ru-RU" w:eastAsia="en-US"/>
              </w:rPr>
              <w:t>)</w:t>
            </w:r>
          </w:p>
        </w:tc>
        <w:tc>
          <w:tcPr>
            <w:tcW w:w="1837" w:type="dxa"/>
            <w:tcBorders>
              <w:top w:val="single" w:sz="4" w:space="0" w:color="auto"/>
              <w:left w:val="single" w:sz="4" w:space="0" w:color="auto"/>
              <w:bottom w:val="single" w:sz="4" w:space="0" w:color="auto"/>
              <w:right w:val="single" w:sz="4" w:space="0" w:color="auto"/>
            </w:tcBorders>
            <w:vAlign w:val="bottom"/>
          </w:tcPr>
          <w:p w:rsidR="007D4D90" w:rsidRPr="004B3D78" w:rsidRDefault="004B3D78" w:rsidP="00F367A9">
            <w:pPr>
              <w:spacing w:before="40" w:after="40"/>
              <w:jc w:val="center"/>
              <w:rPr>
                <w:rFonts w:eastAsia="Times New Roman"/>
                <w:b/>
                <w:color w:val="000000"/>
                <w:sz w:val="20"/>
                <w:lang w:val="ru-RU" w:eastAsia="en-US"/>
              </w:rPr>
            </w:pPr>
            <w:r w:rsidRPr="004B3D78">
              <w:rPr>
                <w:rFonts w:eastAsia="Times New Roman"/>
                <w:b/>
                <w:color w:val="000000"/>
                <w:sz w:val="20"/>
                <w:lang w:val="ru-RU" w:eastAsia="en-US"/>
              </w:rPr>
              <w:t>Эквивалент</w:t>
            </w:r>
            <w:r>
              <w:rPr>
                <w:rFonts w:eastAsia="Times New Roman"/>
                <w:b/>
                <w:color w:val="000000"/>
                <w:sz w:val="20"/>
                <w:lang w:val="ru-RU" w:eastAsia="en-US"/>
              </w:rPr>
              <w:t xml:space="preserve"> не</w:t>
            </w:r>
            <w:r w:rsidRPr="004B3D78">
              <w:rPr>
                <w:rFonts w:eastAsia="Times New Roman"/>
                <w:b/>
                <w:color w:val="000000"/>
                <w:sz w:val="20"/>
                <w:lang w:val="ru-RU" w:eastAsia="en-US"/>
              </w:rPr>
              <w:t>хедж</w:t>
            </w:r>
            <w:r>
              <w:rPr>
                <w:rFonts w:eastAsia="Times New Roman"/>
                <w:b/>
                <w:color w:val="000000"/>
                <w:sz w:val="20"/>
                <w:lang w:val="ru-RU" w:eastAsia="en-US"/>
              </w:rPr>
              <w:t>ируемых</w:t>
            </w:r>
            <w:r w:rsidRPr="004B3D78">
              <w:rPr>
                <w:rFonts w:eastAsia="Times New Roman"/>
                <w:b/>
                <w:color w:val="000000"/>
                <w:sz w:val="20"/>
                <w:lang w:val="ru-RU" w:eastAsia="en-US"/>
              </w:rPr>
              <w:t xml:space="preserve"> </w:t>
            </w:r>
            <w:r>
              <w:rPr>
                <w:rFonts w:eastAsia="Times New Roman"/>
                <w:b/>
                <w:color w:val="000000"/>
                <w:sz w:val="20"/>
                <w:lang w:val="ru-RU" w:eastAsia="en-US"/>
              </w:rPr>
              <w:t>поступлений в шв. франках</w:t>
            </w:r>
          </w:p>
        </w:tc>
      </w:tr>
      <w:tr w:rsidR="007D4D90" w:rsidRPr="005C736F" w:rsidTr="00EF1729">
        <w:trPr>
          <w:trHeight w:val="25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6E2404" w:rsidP="005C736F">
            <w:pPr>
              <w:rPr>
                <w:rFonts w:eastAsia="Times New Roman"/>
                <w:color w:val="000000"/>
                <w:sz w:val="20"/>
                <w:lang w:eastAsia="en-US"/>
              </w:rPr>
            </w:pPr>
            <w:r>
              <w:rPr>
                <w:rFonts w:eastAsia="Times New Roman"/>
                <w:color w:val="000000"/>
                <w:sz w:val="20"/>
                <w:lang w:eastAsia="en-US"/>
              </w:rPr>
              <w:t>Евро</w:t>
            </w: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3F379D">
            <w:pPr>
              <w:jc w:val="center"/>
              <w:rPr>
                <w:rFonts w:eastAsia="Times New Roman"/>
                <w:color w:val="000000"/>
                <w:sz w:val="20"/>
                <w:lang w:eastAsia="en-US"/>
              </w:rPr>
            </w:pPr>
            <w:r w:rsidRPr="005C736F">
              <w:rPr>
                <w:rFonts w:eastAsia="Times New Roman"/>
                <w:color w:val="000000"/>
                <w:sz w:val="20"/>
                <w:lang w:eastAsia="en-US"/>
              </w:rPr>
              <w:t>30</w:t>
            </w:r>
            <w:r w:rsidR="004B3D78">
              <w:rPr>
                <w:rFonts w:eastAsia="Times New Roman"/>
                <w:color w:val="000000"/>
                <w:sz w:val="20"/>
                <w:lang w:val="ru-RU" w:eastAsia="en-US"/>
              </w:rPr>
              <w:t>,</w:t>
            </w:r>
            <w:r w:rsidRPr="005C736F">
              <w:rPr>
                <w:rFonts w:eastAsia="Times New Roman"/>
                <w:color w:val="000000"/>
                <w:sz w:val="20"/>
                <w:lang w:eastAsia="en-US"/>
              </w:rPr>
              <w:t>4%</w:t>
            </w: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4B3D78">
            <w:pPr>
              <w:jc w:val="right"/>
              <w:rPr>
                <w:rFonts w:eastAsia="Times New Roman"/>
                <w:color w:val="000000"/>
                <w:sz w:val="20"/>
                <w:lang w:eastAsia="en-US"/>
              </w:rPr>
            </w:pPr>
            <w:r w:rsidRPr="005C736F">
              <w:rPr>
                <w:rFonts w:eastAsia="Times New Roman"/>
                <w:color w:val="000000"/>
                <w:sz w:val="20"/>
                <w:lang w:eastAsia="en-US"/>
              </w:rPr>
              <w:t xml:space="preserve">     26</w:t>
            </w:r>
            <w:r w:rsidR="004B3D78">
              <w:rPr>
                <w:rFonts w:eastAsia="Times New Roman"/>
                <w:color w:val="000000"/>
                <w:sz w:val="20"/>
                <w:lang w:val="ru-RU" w:eastAsia="en-US"/>
              </w:rPr>
              <w:t> </w:t>
            </w:r>
            <w:r w:rsidRPr="005C736F">
              <w:rPr>
                <w:rFonts w:eastAsia="Times New Roman"/>
                <w:color w:val="000000"/>
                <w:sz w:val="20"/>
                <w:lang w:eastAsia="en-US"/>
              </w:rPr>
              <w:t>260</w:t>
            </w:r>
            <w:r w:rsidR="004B3D78">
              <w:rPr>
                <w:rFonts w:eastAsia="Times New Roman"/>
                <w:color w:val="000000"/>
                <w:sz w:val="20"/>
                <w:lang w:val="ru-RU" w:eastAsia="en-US"/>
              </w:rPr>
              <w:t> </w:t>
            </w:r>
            <w:r w:rsidRPr="005C736F">
              <w:rPr>
                <w:rFonts w:eastAsia="Times New Roman"/>
                <w:color w:val="000000"/>
                <w:sz w:val="20"/>
                <w:lang w:eastAsia="en-US"/>
              </w:rPr>
              <w:t xml:space="preserve">763 </w:t>
            </w:r>
          </w:p>
        </w:tc>
      </w:tr>
      <w:tr w:rsidR="007D4D90" w:rsidRPr="005C736F" w:rsidTr="00EF1729">
        <w:trPr>
          <w:trHeight w:val="25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4B3D78" w:rsidRDefault="004B3D78" w:rsidP="005C736F">
            <w:pPr>
              <w:rPr>
                <w:rFonts w:eastAsia="Times New Roman"/>
                <w:color w:val="000000"/>
                <w:sz w:val="20"/>
                <w:lang w:val="ru-RU" w:eastAsia="en-US"/>
              </w:rPr>
            </w:pPr>
            <w:r>
              <w:rPr>
                <w:rFonts w:eastAsia="Times New Roman"/>
                <w:color w:val="000000"/>
                <w:sz w:val="20"/>
                <w:lang w:eastAsia="en-US"/>
              </w:rPr>
              <w:t>Японски</w:t>
            </w:r>
            <w:r>
              <w:rPr>
                <w:rFonts w:eastAsia="Times New Roman"/>
                <w:color w:val="000000"/>
                <w:sz w:val="20"/>
                <w:lang w:val="ru-RU" w:eastAsia="en-US"/>
              </w:rPr>
              <w:t>е</w:t>
            </w:r>
            <w:r w:rsidR="008A38C8">
              <w:rPr>
                <w:rFonts w:eastAsia="Times New Roman"/>
                <w:color w:val="000000"/>
                <w:sz w:val="20"/>
                <w:lang w:eastAsia="en-US"/>
              </w:rPr>
              <w:t xml:space="preserve"> иен</w:t>
            </w:r>
            <w:r>
              <w:rPr>
                <w:rFonts w:eastAsia="Times New Roman"/>
                <w:color w:val="000000"/>
                <w:sz w:val="20"/>
                <w:lang w:val="ru-RU" w:eastAsia="en-US"/>
              </w:rPr>
              <w:t>ы</w:t>
            </w: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3F379D">
            <w:pPr>
              <w:jc w:val="center"/>
              <w:rPr>
                <w:rFonts w:eastAsia="Times New Roman"/>
                <w:color w:val="000000"/>
                <w:sz w:val="20"/>
                <w:lang w:eastAsia="en-US"/>
              </w:rPr>
            </w:pPr>
            <w:r w:rsidRPr="005C736F">
              <w:rPr>
                <w:rFonts w:eastAsia="Times New Roman"/>
                <w:color w:val="000000"/>
                <w:sz w:val="20"/>
                <w:lang w:eastAsia="en-US"/>
              </w:rPr>
              <w:t>0</w:t>
            </w: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jc w:val="right"/>
              <w:rPr>
                <w:rFonts w:eastAsia="Times New Roman"/>
                <w:color w:val="000000"/>
                <w:sz w:val="20"/>
                <w:lang w:eastAsia="en-US"/>
              </w:rPr>
            </w:pPr>
            <w:r w:rsidRPr="005C736F">
              <w:rPr>
                <w:rFonts w:eastAsia="Times New Roman"/>
                <w:color w:val="000000"/>
                <w:sz w:val="20"/>
                <w:lang w:eastAsia="en-US"/>
              </w:rPr>
              <w:t>0</w:t>
            </w:r>
          </w:p>
        </w:tc>
      </w:tr>
      <w:tr w:rsidR="007D4D90" w:rsidRPr="005C736F" w:rsidTr="00EF1729">
        <w:trPr>
          <w:trHeight w:val="25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4B3D78" w:rsidP="005C736F">
            <w:pPr>
              <w:rPr>
                <w:rFonts w:eastAsia="Times New Roman"/>
                <w:color w:val="000000"/>
                <w:sz w:val="20"/>
                <w:lang w:eastAsia="en-US"/>
              </w:rPr>
            </w:pPr>
            <w:r w:rsidRPr="004B3D78">
              <w:rPr>
                <w:rFonts w:eastAsia="Times New Roman"/>
                <w:color w:val="000000"/>
                <w:sz w:val="20"/>
                <w:lang w:val="ru-RU" w:eastAsia="en-US"/>
              </w:rPr>
              <w:t>Долл</w:t>
            </w:r>
            <w:r>
              <w:rPr>
                <w:rFonts w:eastAsia="Times New Roman"/>
                <w:color w:val="000000"/>
                <w:sz w:val="20"/>
                <w:lang w:val="ru-RU" w:eastAsia="en-US"/>
              </w:rPr>
              <w:t xml:space="preserve">ары </w:t>
            </w:r>
            <w:r w:rsidRPr="004B3D78">
              <w:rPr>
                <w:rFonts w:eastAsia="Times New Roman"/>
                <w:color w:val="000000"/>
                <w:sz w:val="20"/>
                <w:lang w:val="ru-RU" w:eastAsia="en-US"/>
              </w:rPr>
              <w:t>США</w:t>
            </w: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4B3D78" w:rsidP="003F379D">
            <w:pPr>
              <w:jc w:val="center"/>
              <w:rPr>
                <w:rFonts w:eastAsia="Times New Roman"/>
                <w:color w:val="000000"/>
                <w:sz w:val="20"/>
                <w:lang w:eastAsia="en-US"/>
              </w:rPr>
            </w:pPr>
            <w:r>
              <w:rPr>
                <w:rFonts w:eastAsia="Times New Roman"/>
                <w:color w:val="000000"/>
                <w:sz w:val="20"/>
                <w:lang w:eastAsia="en-US"/>
              </w:rPr>
              <w:t>63</w:t>
            </w:r>
            <w:r>
              <w:rPr>
                <w:rFonts w:eastAsia="Times New Roman"/>
                <w:color w:val="000000"/>
                <w:sz w:val="20"/>
                <w:lang w:val="ru-RU" w:eastAsia="en-US"/>
              </w:rPr>
              <w:t>,</w:t>
            </w:r>
            <w:r w:rsidR="007D4D90" w:rsidRPr="005C736F">
              <w:rPr>
                <w:rFonts w:eastAsia="Times New Roman"/>
                <w:color w:val="000000"/>
                <w:sz w:val="20"/>
                <w:lang w:eastAsia="en-US"/>
              </w:rPr>
              <w:t>2%</w:t>
            </w: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jc w:val="right"/>
              <w:rPr>
                <w:rFonts w:eastAsia="Times New Roman"/>
                <w:color w:val="000000"/>
                <w:sz w:val="20"/>
                <w:lang w:eastAsia="en-US"/>
              </w:rPr>
            </w:pPr>
            <w:r w:rsidRPr="005C736F">
              <w:rPr>
                <w:rFonts w:eastAsia="Times New Roman"/>
                <w:color w:val="000000"/>
                <w:sz w:val="20"/>
                <w:lang w:eastAsia="en-US"/>
              </w:rPr>
              <w:t xml:space="preserve">     98</w:t>
            </w:r>
            <w:r w:rsidR="004B3D78">
              <w:rPr>
                <w:rFonts w:eastAsia="Times New Roman"/>
                <w:color w:val="000000"/>
                <w:sz w:val="20"/>
                <w:lang w:val="ru-RU" w:eastAsia="en-US"/>
              </w:rPr>
              <w:t> </w:t>
            </w:r>
            <w:r w:rsidRPr="005C736F">
              <w:rPr>
                <w:rFonts w:eastAsia="Times New Roman"/>
                <w:color w:val="000000"/>
                <w:sz w:val="20"/>
                <w:lang w:eastAsia="en-US"/>
              </w:rPr>
              <w:t>552</w:t>
            </w:r>
            <w:r w:rsidR="004B3D78">
              <w:rPr>
                <w:rFonts w:eastAsia="Times New Roman"/>
                <w:color w:val="000000"/>
                <w:sz w:val="20"/>
                <w:lang w:val="ru-RU" w:eastAsia="en-US"/>
              </w:rPr>
              <w:t> </w:t>
            </w:r>
            <w:r w:rsidRPr="005C736F">
              <w:rPr>
                <w:rFonts w:eastAsia="Times New Roman"/>
                <w:color w:val="000000"/>
                <w:sz w:val="20"/>
                <w:lang w:eastAsia="en-US"/>
              </w:rPr>
              <w:t xml:space="preserve">547 </w:t>
            </w:r>
          </w:p>
        </w:tc>
      </w:tr>
      <w:tr w:rsidR="007D4D90" w:rsidRPr="005C736F" w:rsidTr="00EF1729">
        <w:trPr>
          <w:trHeight w:val="300"/>
          <w:jc w:val="center"/>
        </w:trPr>
        <w:tc>
          <w:tcPr>
            <w:tcW w:w="3967" w:type="dxa"/>
            <w:tcBorders>
              <w:top w:val="single" w:sz="4" w:space="0" w:color="auto"/>
              <w:left w:val="single" w:sz="4" w:space="0" w:color="auto"/>
              <w:bottom w:val="single" w:sz="4" w:space="0" w:color="auto"/>
              <w:right w:val="single" w:sz="4" w:space="0" w:color="auto"/>
            </w:tcBorders>
            <w:vAlign w:val="bottom"/>
          </w:tcPr>
          <w:p w:rsidR="007D4D90" w:rsidRPr="005C736F" w:rsidRDefault="004B3D78" w:rsidP="005C736F">
            <w:pPr>
              <w:rPr>
                <w:rFonts w:eastAsia="Times New Roman"/>
                <w:color w:val="000000"/>
                <w:sz w:val="20"/>
                <w:lang w:eastAsia="en-US"/>
              </w:rPr>
            </w:pPr>
            <w:r>
              <w:rPr>
                <w:rFonts w:eastAsia="Times New Roman"/>
                <w:color w:val="000000"/>
                <w:sz w:val="20"/>
                <w:lang w:val="ru-RU" w:eastAsia="en-US"/>
              </w:rPr>
              <w:t xml:space="preserve">Другие </w:t>
            </w:r>
            <w:r w:rsidR="006E2404">
              <w:rPr>
                <w:rFonts w:eastAsia="Times New Roman"/>
                <w:color w:val="000000"/>
                <w:sz w:val="20"/>
                <w:lang w:eastAsia="en-US"/>
              </w:rPr>
              <w:t>валют</w:t>
            </w:r>
            <w:r>
              <w:rPr>
                <w:rFonts w:eastAsia="Times New Roman"/>
                <w:color w:val="000000"/>
                <w:sz w:val="20"/>
                <w:lang w:val="ru-RU" w:eastAsia="en-US"/>
              </w:rPr>
              <w:t>ы</w:t>
            </w:r>
            <w:r w:rsidR="007D4D90" w:rsidRPr="005C736F">
              <w:rPr>
                <w:rFonts w:eastAsia="Times New Roman"/>
                <w:color w:val="000000"/>
                <w:sz w:val="20"/>
                <w:lang w:eastAsia="en-US"/>
              </w:rPr>
              <w:t xml:space="preserve"> (</w:t>
            </w:r>
            <w:r w:rsidR="006E2404">
              <w:rPr>
                <w:rFonts w:eastAsia="Times New Roman"/>
                <w:color w:val="000000"/>
                <w:sz w:val="20"/>
                <w:lang w:eastAsia="en-US"/>
              </w:rPr>
              <w:t>Примечание</w:t>
            </w:r>
            <w:r w:rsidR="007D4D90" w:rsidRPr="005C736F">
              <w:rPr>
                <w:rFonts w:eastAsia="Times New Roman"/>
                <w:color w:val="000000"/>
                <w:sz w:val="20"/>
                <w:lang w:eastAsia="en-US"/>
              </w:rPr>
              <w:t xml:space="preserve"> 1)</w:t>
            </w: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3F379D">
            <w:pPr>
              <w:jc w:val="center"/>
              <w:rPr>
                <w:rFonts w:eastAsia="Times New Roman"/>
                <w:color w:val="000000"/>
                <w:sz w:val="20"/>
                <w:lang w:eastAsia="en-US"/>
              </w:rPr>
            </w:pPr>
            <w:r w:rsidRPr="005C736F">
              <w:rPr>
                <w:rFonts w:eastAsia="Times New Roman"/>
                <w:color w:val="000000"/>
                <w:sz w:val="20"/>
                <w:lang w:eastAsia="en-US"/>
              </w:rPr>
              <w:t>100</w:t>
            </w:r>
            <w:r w:rsidR="00CA574C">
              <w:rPr>
                <w:rFonts w:eastAsia="Times New Roman"/>
                <w:color w:val="000000"/>
                <w:sz w:val="20"/>
                <w:lang w:val="ru-RU" w:eastAsia="en-US"/>
              </w:rPr>
              <w:t>,</w:t>
            </w:r>
            <w:r w:rsidRPr="005C736F">
              <w:rPr>
                <w:rFonts w:eastAsia="Times New Roman"/>
                <w:color w:val="000000"/>
                <w:sz w:val="20"/>
                <w:lang w:eastAsia="en-US"/>
              </w:rPr>
              <w:t>0%</w:t>
            </w: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jc w:val="right"/>
              <w:rPr>
                <w:rFonts w:eastAsia="Times New Roman"/>
                <w:color w:val="000000"/>
                <w:sz w:val="20"/>
                <w:u w:val="single"/>
                <w:lang w:eastAsia="en-US"/>
              </w:rPr>
            </w:pPr>
            <w:r w:rsidRPr="005C736F">
              <w:rPr>
                <w:rFonts w:eastAsia="Times New Roman"/>
                <w:color w:val="000000"/>
                <w:sz w:val="20"/>
                <w:u w:val="single"/>
                <w:lang w:eastAsia="en-US"/>
              </w:rPr>
              <w:t xml:space="preserve">     14</w:t>
            </w:r>
            <w:r w:rsidR="004B3D78">
              <w:rPr>
                <w:rFonts w:eastAsia="Times New Roman"/>
                <w:color w:val="000000"/>
                <w:sz w:val="20"/>
                <w:u w:val="single"/>
                <w:lang w:val="ru-RU" w:eastAsia="en-US"/>
              </w:rPr>
              <w:t> </w:t>
            </w:r>
            <w:r w:rsidRPr="005C736F">
              <w:rPr>
                <w:rFonts w:eastAsia="Times New Roman"/>
                <w:color w:val="000000"/>
                <w:sz w:val="20"/>
                <w:u w:val="single"/>
                <w:lang w:eastAsia="en-US"/>
              </w:rPr>
              <w:t>424</w:t>
            </w:r>
            <w:r w:rsidR="004B3D78">
              <w:rPr>
                <w:rFonts w:eastAsia="Times New Roman"/>
                <w:color w:val="000000"/>
                <w:sz w:val="20"/>
                <w:u w:val="single"/>
                <w:lang w:val="ru-RU" w:eastAsia="en-US"/>
              </w:rPr>
              <w:t> </w:t>
            </w:r>
            <w:r w:rsidRPr="005C736F">
              <w:rPr>
                <w:rFonts w:eastAsia="Times New Roman"/>
                <w:color w:val="000000"/>
                <w:sz w:val="20"/>
                <w:u w:val="single"/>
                <w:lang w:eastAsia="en-US"/>
              </w:rPr>
              <w:t xml:space="preserve">808 </w:t>
            </w:r>
          </w:p>
        </w:tc>
      </w:tr>
      <w:tr w:rsidR="007D4D90" w:rsidRPr="005C736F" w:rsidTr="00EF1729">
        <w:trPr>
          <w:trHeight w:val="25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F367A9" w:rsidRDefault="006E2404" w:rsidP="005C736F">
            <w:pPr>
              <w:rPr>
                <w:rFonts w:eastAsia="Times New Roman"/>
                <w:b/>
                <w:color w:val="000000"/>
                <w:sz w:val="20"/>
                <w:lang w:eastAsia="en-US"/>
              </w:rPr>
            </w:pPr>
            <w:r>
              <w:rPr>
                <w:rFonts w:eastAsia="Times New Roman"/>
                <w:b/>
                <w:color w:val="000000"/>
                <w:sz w:val="20"/>
                <w:lang w:eastAsia="en-US"/>
              </w:rPr>
              <w:t>Итого</w:t>
            </w: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F367A9" w:rsidRDefault="007D4D90" w:rsidP="005C736F">
            <w:pPr>
              <w:rPr>
                <w:rFonts w:eastAsia="Times New Roman"/>
                <w:b/>
                <w:color w:val="000000"/>
                <w:sz w:val="20"/>
                <w:lang w:eastAsia="en-US"/>
              </w:rPr>
            </w:pP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F367A9" w:rsidRDefault="007D4D90" w:rsidP="005C736F">
            <w:pPr>
              <w:jc w:val="right"/>
              <w:rPr>
                <w:rFonts w:eastAsia="Times New Roman"/>
                <w:b/>
                <w:color w:val="000000"/>
                <w:sz w:val="20"/>
                <w:lang w:eastAsia="en-US"/>
              </w:rPr>
            </w:pPr>
            <w:r w:rsidRPr="00F367A9">
              <w:rPr>
                <w:rFonts w:eastAsia="Times New Roman"/>
                <w:b/>
                <w:color w:val="000000"/>
                <w:sz w:val="20"/>
                <w:lang w:eastAsia="en-US"/>
              </w:rPr>
              <w:t xml:space="preserve">    139</w:t>
            </w:r>
            <w:r w:rsidR="004B3D78">
              <w:rPr>
                <w:rFonts w:eastAsia="Times New Roman"/>
                <w:b/>
                <w:color w:val="000000"/>
                <w:sz w:val="20"/>
                <w:lang w:val="ru-RU" w:eastAsia="en-US"/>
              </w:rPr>
              <w:t> </w:t>
            </w:r>
            <w:r w:rsidRPr="00F367A9">
              <w:rPr>
                <w:rFonts w:eastAsia="Times New Roman"/>
                <w:b/>
                <w:color w:val="000000"/>
                <w:sz w:val="20"/>
                <w:lang w:eastAsia="en-US"/>
              </w:rPr>
              <w:t>238</w:t>
            </w:r>
            <w:r w:rsidR="004B3D78">
              <w:rPr>
                <w:rFonts w:eastAsia="Times New Roman"/>
                <w:b/>
                <w:color w:val="000000"/>
                <w:sz w:val="20"/>
                <w:lang w:val="ru-RU" w:eastAsia="en-US"/>
              </w:rPr>
              <w:t> </w:t>
            </w:r>
            <w:r w:rsidRPr="00F367A9">
              <w:rPr>
                <w:rFonts w:eastAsia="Times New Roman"/>
                <w:b/>
                <w:color w:val="000000"/>
                <w:sz w:val="20"/>
                <w:lang w:eastAsia="en-US"/>
              </w:rPr>
              <w:t xml:space="preserve">118 </w:t>
            </w:r>
          </w:p>
        </w:tc>
      </w:tr>
      <w:tr w:rsidR="007D4D90" w:rsidRPr="005C736F" w:rsidTr="00EF1729">
        <w:trPr>
          <w:trHeight w:val="25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rPr>
                <w:rFonts w:eastAsia="Times New Roman"/>
                <w:color w:val="000000"/>
                <w:sz w:val="20"/>
                <w:lang w:eastAsia="en-US"/>
              </w:rPr>
            </w:pP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rPr>
                <w:rFonts w:eastAsia="Times New Roman"/>
                <w:color w:val="000000"/>
                <w:sz w:val="20"/>
                <w:lang w:eastAsia="en-US"/>
              </w:rPr>
            </w:pP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rPr>
                <w:rFonts w:eastAsia="Times New Roman"/>
                <w:color w:val="000000"/>
                <w:sz w:val="20"/>
                <w:lang w:eastAsia="en-US"/>
              </w:rPr>
            </w:pPr>
          </w:p>
        </w:tc>
      </w:tr>
      <w:tr w:rsidR="007D4D90" w:rsidRPr="005C736F" w:rsidTr="00EF1729">
        <w:trPr>
          <w:trHeight w:val="255"/>
          <w:jc w:val="center"/>
        </w:trPr>
        <w:tc>
          <w:tcPr>
            <w:tcW w:w="3967" w:type="dxa"/>
            <w:tcBorders>
              <w:top w:val="single" w:sz="4" w:space="0" w:color="auto"/>
              <w:left w:val="single" w:sz="4" w:space="0" w:color="auto"/>
              <w:bottom w:val="single" w:sz="4" w:space="0" w:color="auto"/>
              <w:right w:val="single" w:sz="4" w:space="0" w:color="auto"/>
            </w:tcBorders>
            <w:noWrap/>
            <w:vAlign w:val="bottom"/>
          </w:tcPr>
          <w:p w:rsidR="007D4D90" w:rsidRPr="006E2404" w:rsidRDefault="004B3D78" w:rsidP="005C736F">
            <w:pPr>
              <w:rPr>
                <w:rFonts w:eastAsia="Times New Roman"/>
                <w:color w:val="000000"/>
                <w:sz w:val="20"/>
                <w:lang w:val="ru-RU" w:eastAsia="en-US"/>
              </w:rPr>
            </w:pPr>
            <w:r>
              <w:rPr>
                <w:rFonts w:eastAsia="Times New Roman"/>
                <w:color w:val="000000"/>
                <w:sz w:val="20"/>
                <w:lang w:val="ru-RU" w:eastAsia="en-US"/>
              </w:rPr>
              <w:t xml:space="preserve">Как доля </w:t>
            </w:r>
            <w:r w:rsidRPr="004B3D78">
              <w:rPr>
                <w:rFonts w:eastAsia="Times New Roman"/>
                <w:color w:val="000000"/>
                <w:sz w:val="20"/>
                <w:lang w:val="ru-RU" w:eastAsia="en-US"/>
              </w:rPr>
              <w:t>совокупн</w:t>
            </w:r>
            <w:r w:rsidR="00CA574C">
              <w:rPr>
                <w:rFonts w:eastAsia="Times New Roman"/>
                <w:color w:val="000000"/>
                <w:sz w:val="20"/>
                <w:lang w:val="ru-RU" w:eastAsia="en-US"/>
              </w:rPr>
              <w:t>ого</w:t>
            </w:r>
            <w:r>
              <w:rPr>
                <w:rFonts w:eastAsia="Times New Roman"/>
                <w:color w:val="000000"/>
                <w:sz w:val="20"/>
                <w:lang w:val="ru-RU" w:eastAsia="en-US"/>
              </w:rPr>
              <w:t xml:space="preserve"> </w:t>
            </w:r>
            <w:r w:rsidR="00CA574C" w:rsidRPr="00CA574C">
              <w:rPr>
                <w:rFonts w:eastAsia="Times New Roman"/>
                <w:color w:val="000000"/>
                <w:sz w:val="20"/>
                <w:lang w:val="ru-RU" w:eastAsia="en-US"/>
              </w:rPr>
              <w:t>доход</w:t>
            </w:r>
            <w:r w:rsidR="00CA574C">
              <w:rPr>
                <w:rFonts w:eastAsia="Times New Roman"/>
                <w:color w:val="000000"/>
                <w:sz w:val="20"/>
                <w:lang w:val="ru-RU" w:eastAsia="en-US"/>
              </w:rPr>
              <w:t>а</w:t>
            </w:r>
            <w:r w:rsidR="002A0B71">
              <w:rPr>
                <w:rFonts w:eastAsia="Times New Roman"/>
                <w:color w:val="000000"/>
                <w:sz w:val="20"/>
                <w:lang w:val="ru-RU" w:eastAsia="en-US"/>
              </w:rPr>
              <w:t xml:space="preserve"> PCT</w:t>
            </w:r>
          </w:p>
        </w:tc>
        <w:tc>
          <w:tcPr>
            <w:tcW w:w="2160" w:type="dxa"/>
            <w:tcBorders>
              <w:top w:val="single" w:sz="4" w:space="0" w:color="auto"/>
              <w:left w:val="single" w:sz="4" w:space="0" w:color="auto"/>
              <w:bottom w:val="single" w:sz="4" w:space="0" w:color="auto"/>
              <w:right w:val="single" w:sz="4" w:space="0" w:color="auto"/>
            </w:tcBorders>
            <w:noWrap/>
            <w:vAlign w:val="bottom"/>
          </w:tcPr>
          <w:p w:rsidR="007D4D90" w:rsidRPr="006E2404" w:rsidRDefault="007D4D90" w:rsidP="005C736F">
            <w:pPr>
              <w:rPr>
                <w:rFonts w:eastAsia="Times New Roman"/>
                <w:color w:val="000000"/>
                <w:sz w:val="20"/>
                <w:lang w:val="ru-RU" w:eastAsia="en-US"/>
              </w:rPr>
            </w:pPr>
          </w:p>
        </w:tc>
        <w:tc>
          <w:tcPr>
            <w:tcW w:w="1837" w:type="dxa"/>
            <w:tcBorders>
              <w:top w:val="single" w:sz="4" w:space="0" w:color="auto"/>
              <w:left w:val="single" w:sz="4" w:space="0" w:color="auto"/>
              <w:bottom w:val="single" w:sz="4" w:space="0" w:color="auto"/>
              <w:right w:val="single" w:sz="4" w:space="0" w:color="auto"/>
            </w:tcBorders>
            <w:noWrap/>
            <w:vAlign w:val="bottom"/>
          </w:tcPr>
          <w:p w:rsidR="007D4D90" w:rsidRPr="005C736F" w:rsidRDefault="007D4D90" w:rsidP="005C736F">
            <w:pPr>
              <w:jc w:val="right"/>
              <w:rPr>
                <w:rFonts w:eastAsia="Times New Roman"/>
                <w:color w:val="000000"/>
                <w:sz w:val="20"/>
                <w:lang w:eastAsia="en-US"/>
              </w:rPr>
            </w:pPr>
            <w:r w:rsidRPr="005C736F">
              <w:rPr>
                <w:rFonts w:eastAsia="Times New Roman"/>
                <w:color w:val="000000"/>
                <w:sz w:val="20"/>
                <w:lang w:eastAsia="en-US"/>
              </w:rPr>
              <w:t>34</w:t>
            </w:r>
            <w:r w:rsidR="004B3D78">
              <w:rPr>
                <w:rFonts w:eastAsia="Times New Roman"/>
                <w:color w:val="000000"/>
                <w:sz w:val="20"/>
                <w:lang w:val="ru-RU" w:eastAsia="en-US"/>
              </w:rPr>
              <w:t>,</w:t>
            </w:r>
            <w:r w:rsidRPr="005C736F">
              <w:rPr>
                <w:rFonts w:eastAsia="Times New Roman"/>
                <w:color w:val="000000"/>
                <w:sz w:val="20"/>
                <w:lang w:eastAsia="en-US"/>
              </w:rPr>
              <w:t>9%</w:t>
            </w:r>
          </w:p>
        </w:tc>
      </w:tr>
      <w:tr w:rsidR="007D4D90" w:rsidRPr="005C736F" w:rsidTr="00EF1729">
        <w:trPr>
          <w:trHeight w:val="255"/>
          <w:jc w:val="center"/>
        </w:trPr>
        <w:tc>
          <w:tcPr>
            <w:tcW w:w="3967" w:type="dxa"/>
            <w:tcBorders>
              <w:top w:val="single" w:sz="4" w:space="0" w:color="auto"/>
              <w:left w:val="nil"/>
              <w:bottom w:val="nil"/>
              <w:right w:val="nil"/>
            </w:tcBorders>
            <w:noWrap/>
            <w:vAlign w:val="bottom"/>
          </w:tcPr>
          <w:p w:rsidR="007D4D90" w:rsidRPr="005C736F" w:rsidRDefault="007D4D90" w:rsidP="005C736F">
            <w:pPr>
              <w:rPr>
                <w:rFonts w:eastAsia="Times New Roman"/>
                <w:color w:val="000000"/>
                <w:sz w:val="20"/>
                <w:lang w:eastAsia="en-US"/>
              </w:rPr>
            </w:pPr>
          </w:p>
        </w:tc>
        <w:tc>
          <w:tcPr>
            <w:tcW w:w="2160" w:type="dxa"/>
            <w:tcBorders>
              <w:top w:val="single" w:sz="4" w:space="0" w:color="auto"/>
              <w:left w:val="nil"/>
              <w:bottom w:val="nil"/>
              <w:right w:val="nil"/>
            </w:tcBorders>
            <w:noWrap/>
            <w:vAlign w:val="bottom"/>
          </w:tcPr>
          <w:p w:rsidR="007D4D90" w:rsidRPr="005C736F" w:rsidRDefault="007D4D90" w:rsidP="005C736F">
            <w:pPr>
              <w:rPr>
                <w:rFonts w:eastAsia="Times New Roman"/>
                <w:color w:val="000000"/>
                <w:sz w:val="20"/>
                <w:lang w:eastAsia="en-US"/>
              </w:rPr>
            </w:pPr>
          </w:p>
        </w:tc>
        <w:tc>
          <w:tcPr>
            <w:tcW w:w="1837" w:type="dxa"/>
            <w:tcBorders>
              <w:top w:val="single" w:sz="4" w:space="0" w:color="auto"/>
              <w:left w:val="nil"/>
              <w:bottom w:val="nil"/>
              <w:right w:val="nil"/>
            </w:tcBorders>
            <w:noWrap/>
            <w:vAlign w:val="bottom"/>
          </w:tcPr>
          <w:p w:rsidR="007D4D90" w:rsidRPr="005C736F" w:rsidRDefault="007D4D90" w:rsidP="005C736F">
            <w:pPr>
              <w:rPr>
                <w:rFonts w:eastAsia="Times New Roman"/>
                <w:color w:val="000000"/>
                <w:sz w:val="20"/>
                <w:lang w:eastAsia="en-US"/>
              </w:rPr>
            </w:pPr>
          </w:p>
        </w:tc>
      </w:tr>
      <w:tr w:rsidR="00EF1729" w:rsidRPr="00EF1729" w:rsidTr="00EF1729">
        <w:trPr>
          <w:trHeight w:val="255"/>
          <w:jc w:val="center"/>
        </w:trPr>
        <w:tc>
          <w:tcPr>
            <w:tcW w:w="7964" w:type="dxa"/>
            <w:gridSpan w:val="3"/>
            <w:tcBorders>
              <w:top w:val="nil"/>
              <w:left w:val="nil"/>
              <w:bottom w:val="nil"/>
              <w:right w:val="nil"/>
            </w:tcBorders>
            <w:noWrap/>
            <w:vAlign w:val="bottom"/>
          </w:tcPr>
          <w:p w:rsidR="00EF1729" w:rsidRPr="004B3D78" w:rsidRDefault="00EF1729" w:rsidP="005C736F">
            <w:pPr>
              <w:rPr>
                <w:rFonts w:eastAsia="Times New Roman"/>
                <w:color w:val="000000"/>
                <w:sz w:val="20"/>
                <w:lang w:val="ru-RU" w:eastAsia="en-US"/>
              </w:rPr>
            </w:pPr>
            <w:r w:rsidRPr="004B3D78">
              <w:rPr>
                <w:rFonts w:eastAsia="Times New Roman"/>
                <w:color w:val="000000"/>
                <w:sz w:val="20"/>
                <w:lang w:val="ru-RU" w:eastAsia="en-US"/>
              </w:rPr>
              <w:t>Примечание 1</w:t>
            </w:r>
            <w:r>
              <w:rPr>
                <w:rFonts w:eastAsia="Times New Roman"/>
                <w:color w:val="000000"/>
                <w:sz w:val="20"/>
                <w:lang w:val="ru-RU" w:eastAsia="en-US"/>
              </w:rPr>
              <w:t>: Кроме</w:t>
            </w:r>
            <w:r w:rsidRPr="004B3D78">
              <w:rPr>
                <w:rFonts w:eastAsia="Times New Roman"/>
                <w:color w:val="000000"/>
                <w:sz w:val="20"/>
                <w:lang w:val="ru-RU" w:eastAsia="en-US"/>
              </w:rPr>
              <w:t xml:space="preserve"> </w:t>
            </w:r>
            <w:r>
              <w:rPr>
                <w:rFonts w:eastAsia="Times New Roman"/>
                <w:color w:val="000000"/>
                <w:sz w:val="20"/>
                <w:lang w:val="ru-RU" w:eastAsia="en-US"/>
              </w:rPr>
              <w:t>сумм,</w:t>
            </w:r>
            <w:r w:rsidRPr="004B3D78">
              <w:rPr>
                <w:rFonts w:eastAsia="Times New Roman"/>
                <w:color w:val="000000"/>
                <w:sz w:val="20"/>
                <w:lang w:val="ru-RU" w:eastAsia="en-US"/>
              </w:rPr>
              <w:t xml:space="preserve"> п</w:t>
            </w:r>
            <w:bookmarkStart w:id="5" w:name="_GoBack"/>
            <w:bookmarkEnd w:id="5"/>
            <w:r w:rsidRPr="004B3D78">
              <w:rPr>
                <w:rFonts w:eastAsia="Times New Roman"/>
                <w:color w:val="000000"/>
                <w:sz w:val="20"/>
                <w:lang w:val="ru-RU" w:eastAsia="en-US"/>
              </w:rPr>
              <w:t>олученн</w:t>
            </w:r>
            <w:r>
              <w:rPr>
                <w:rFonts w:eastAsia="Times New Roman"/>
                <w:color w:val="000000"/>
                <w:sz w:val="20"/>
                <w:lang w:val="ru-RU" w:eastAsia="en-US"/>
              </w:rPr>
              <w:t xml:space="preserve">ых в </w:t>
            </w:r>
            <w:r w:rsidRPr="004B3D78">
              <w:rPr>
                <w:rFonts w:eastAsia="Times New Roman"/>
                <w:color w:val="000000"/>
                <w:sz w:val="20"/>
                <w:lang w:val="ru-RU" w:eastAsia="en-US"/>
              </w:rPr>
              <w:t>шв. франк</w:t>
            </w:r>
            <w:r>
              <w:rPr>
                <w:rFonts w:eastAsia="Times New Roman"/>
                <w:color w:val="000000"/>
                <w:sz w:val="20"/>
                <w:lang w:val="ru-RU" w:eastAsia="en-US"/>
              </w:rPr>
              <w:t>ах</w:t>
            </w:r>
          </w:p>
        </w:tc>
      </w:tr>
    </w:tbl>
    <w:p w:rsidR="007D4D90" w:rsidRPr="004B3D78" w:rsidRDefault="007D4D90" w:rsidP="00810570">
      <w:pPr>
        <w:rPr>
          <w:lang w:val="ru-RU"/>
        </w:rPr>
      </w:pPr>
    </w:p>
    <w:p w:rsidR="007D4D90" w:rsidRPr="00CA4168" w:rsidRDefault="00CD7C47" w:rsidP="00D84079">
      <w:pPr>
        <w:pStyle w:val="ONUME"/>
        <w:numPr>
          <w:ilvl w:val="0"/>
          <w:numId w:val="16"/>
        </w:numPr>
        <w:ind w:left="0" w:firstLine="0"/>
      </w:pPr>
      <w:r w:rsidRPr="0002742B">
        <w:t>А</w:t>
      </w:r>
      <w:r w:rsidR="006E2404" w:rsidRPr="0002742B">
        <w:t>нализ</w:t>
      </w:r>
      <w:r w:rsidR="007D4D90" w:rsidRPr="0002742B">
        <w:t xml:space="preserve"> </w:t>
      </w:r>
      <w:r>
        <w:t>фактических</w:t>
      </w:r>
      <w:r w:rsidR="007D4D90" w:rsidRPr="0002742B">
        <w:t xml:space="preserve"> </w:t>
      </w:r>
      <w:r>
        <w:t>денежных</w:t>
      </w:r>
      <w:r w:rsidR="006E2404" w:rsidRPr="0002742B">
        <w:t xml:space="preserve"> поток</w:t>
      </w:r>
      <w:r>
        <w:t>ов</w:t>
      </w:r>
      <w:r w:rsidR="007D4D90" w:rsidRPr="0002742B">
        <w:t xml:space="preserve"> </w:t>
      </w:r>
      <w:r w:rsidR="008A38C8" w:rsidRPr="0002742B">
        <w:t>ясн</w:t>
      </w:r>
      <w:r>
        <w:t xml:space="preserve">о показывает, что в 17-месячный </w:t>
      </w:r>
      <w:r w:rsidR="0065069A" w:rsidRPr="0002742B">
        <w:t xml:space="preserve">период с 1 января </w:t>
      </w:r>
      <w:r w:rsidR="0065069A" w:rsidRPr="00CD7C47">
        <w:t>2015 г. по 31 мая 2016 г.</w:t>
      </w:r>
      <w:r w:rsidR="007D4D90" w:rsidRPr="00CD7C47">
        <w:t xml:space="preserve"> </w:t>
      </w:r>
      <w:r>
        <w:t xml:space="preserve">общая сумма средств в </w:t>
      </w:r>
      <w:r w:rsidR="000E25D1" w:rsidRPr="00CD7C47">
        <w:t>японских иенах</w:t>
      </w:r>
      <w:r w:rsidR="007D4D90" w:rsidRPr="00CD7C47">
        <w:t xml:space="preserve">, </w:t>
      </w:r>
      <w:r w:rsidR="00E33D8F" w:rsidRPr="00CD7C47">
        <w:t xml:space="preserve">долларах США </w:t>
      </w:r>
      <w:r w:rsidR="006E2404" w:rsidRPr="00CD7C47">
        <w:t>и</w:t>
      </w:r>
      <w:r w:rsidR="007D4D90" w:rsidRPr="00CD7C47">
        <w:t xml:space="preserve"> </w:t>
      </w:r>
      <w:r w:rsidRPr="00CD7C47">
        <w:t>евро</w:t>
      </w:r>
      <w:r>
        <w:t>,</w:t>
      </w:r>
      <w:r w:rsidR="007D4D90" w:rsidRPr="00CD7C47">
        <w:t xml:space="preserve"> </w:t>
      </w:r>
      <w:r>
        <w:t>доступных для хеджирования</w:t>
      </w:r>
      <w:r w:rsidR="007D4D90" w:rsidRPr="00CD7C47">
        <w:t xml:space="preserve"> </w:t>
      </w:r>
      <w:r w:rsidR="006E2404" w:rsidRPr="00CD7C47">
        <w:t>бюджет</w:t>
      </w:r>
      <w:r>
        <w:t>ного</w:t>
      </w:r>
      <w:r w:rsidR="007D4D90" w:rsidRPr="00CD7C47">
        <w:t xml:space="preserve"> </w:t>
      </w:r>
      <w:r w:rsidR="006E2404" w:rsidRPr="00CD7C47">
        <w:t>доход</w:t>
      </w:r>
      <w:r>
        <w:t>а</w:t>
      </w:r>
      <w:r w:rsidR="007D4D90" w:rsidRPr="00CD7C47">
        <w:t xml:space="preserve"> </w:t>
      </w:r>
      <w:r w:rsidRPr="00C553E3">
        <w:rPr>
          <w:lang w:val="en-US"/>
        </w:rPr>
        <w:t>PCT</w:t>
      </w:r>
      <w:r w:rsidRPr="00CD7C47">
        <w:t xml:space="preserve"> </w:t>
      </w:r>
      <w:r>
        <w:t xml:space="preserve">при помощи </w:t>
      </w:r>
      <w:r w:rsidR="004B6100" w:rsidRPr="00CD7C47">
        <w:t>форвардных контрактов</w:t>
      </w:r>
      <w:r>
        <w:t xml:space="preserve">, была бы </w:t>
      </w:r>
      <w:r w:rsidR="006E2404" w:rsidRPr="00CD7C47">
        <w:t>ниже</w:t>
      </w:r>
      <w:r w:rsidR="007D4D90" w:rsidRPr="00CD7C47">
        <w:t xml:space="preserve"> </w:t>
      </w:r>
      <w:r>
        <w:t>предлагаемого</w:t>
      </w:r>
      <w:r w:rsidR="006E2404" w:rsidRPr="00CD7C47">
        <w:t xml:space="preserve"> интервал</w:t>
      </w:r>
      <w:r>
        <w:t xml:space="preserve">а </w:t>
      </w:r>
      <w:r w:rsidRPr="00CD7C47">
        <w:t>70</w:t>
      </w:r>
      <w:r>
        <w:t xml:space="preserve">% - </w:t>
      </w:r>
      <w:r w:rsidRPr="00CD7C47">
        <w:t>90</w:t>
      </w:r>
      <w:r>
        <w:t>%</w:t>
      </w:r>
      <w:r w:rsidR="00CA4168">
        <w:t xml:space="preserve">, что </w:t>
      </w:r>
      <w:r w:rsidR="0089242B">
        <w:t xml:space="preserve">создало бы для </w:t>
      </w:r>
      <w:r w:rsidR="008A38C8" w:rsidRPr="00CD7C47">
        <w:t>ВОИС</w:t>
      </w:r>
      <w:r w:rsidR="007D4D90" w:rsidRPr="00CD7C47">
        <w:t xml:space="preserve"> </w:t>
      </w:r>
      <w:r w:rsidR="0089242B">
        <w:t>значительный курсовой</w:t>
      </w:r>
      <w:r w:rsidR="00CA4168">
        <w:t xml:space="preserve"> </w:t>
      </w:r>
      <w:r w:rsidR="006E2404" w:rsidRPr="00CD7C47">
        <w:t>риск</w:t>
      </w:r>
      <w:r w:rsidR="00CA4168">
        <w:t xml:space="preserve"> без </w:t>
      </w:r>
      <w:r w:rsidR="00CA4168" w:rsidRPr="00CA4168">
        <w:t>какой-либо</w:t>
      </w:r>
      <w:r w:rsidR="00CA4168">
        <w:t xml:space="preserve"> возможности</w:t>
      </w:r>
      <w:r w:rsidR="006E2404" w:rsidRPr="00CD7C47">
        <w:t xml:space="preserve"> </w:t>
      </w:r>
      <w:r w:rsidR="00CA4168">
        <w:t xml:space="preserve">корректировки, которая </w:t>
      </w:r>
      <w:r w:rsidR="0089242B">
        <w:t xml:space="preserve">существует </w:t>
      </w:r>
      <w:r w:rsidR="00CA4168">
        <w:t xml:space="preserve">в настоящее время благодаря </w:t>
      </w:r>
      <w:r w:rsidR="00CA4168" w:rsidRPr="00CA4168">
        <w:t>систем</w:t>
      </w:r>
      <w:r w:rsidR="00CA4168">
        <w:t xml:space="preserve">е </w:t>
      </w:r>
      <w:r w:rsidR="0089242B">
        <w:t xml:space="preserve">установления </w:t>
      </w:r>
      <w:r w:rsidR="006E2404" w:rsidRPr="00CD7C47">
        <w:t>эквивалент</w:t>
      </w:r>
      <w:r w:rsidR="00CA4168">
        <w:t>ных размеров пошлин</w:t>
      </w:r>
      <w:r w:rsidR="007D4D90" w:rsidRPr="00CD7C47">
        <w:t xml:space="preserve">.  </w:t>
      </w:r>
      <w:r w:rsidR="006E2404" w:rsidRPr="00CA4168">
        <w:t>Кроме того,</w:t>
      </w:r>
      <w:r w:rsidR="007D4D90" w:rsidRPr="00CA4168">
        <w:t xml:space="preserve"> </w:t>
      </w:r>
      <w:r w:rsidR="00CA4168" w:rsidRPr="00CA4168">
        <w:t>значительны</w:t>
      </w:r>
      <w:r w:rsidR="00CA4168">
        <w:t>е</w:t>
      </w:r>
      <w:r w:rsidR="007D4D90" w:rsidRPr="00CA4168">
        <w:t xml:space="preserve"> </w:t>
      </w:r>
      <w:r w:rsidR="00CA4168">
        <w:t xml:space="preserve">колебания </w:t>
      </w:r>
      <w:r w:rsidR="001D5D82">
        <w:t>доходов</w:t>
      </w:r>
      <w:r w:rsidR="002A0B71" w:rsidRPr="00CA4168">
        <w:t xml:space="preserve"> </w:t>
      </w:r>
      <w:r w:rsidR="002A0B71">
        <w:rPr>
          <w:lang w:val="en-US"/>
        </w:rPr>
        <w:t>PCT</w:t>
      </w:r>
      <w:r w:rsidR="00CA4168">
        <w:t xml:space="preserve"> от </w:t>
      </w:r>
      <w:r w:rsidR="00CA4168" w:rsidRPr="00CA4168">
        <w:t>месяц</w:t>
      </w:r>
      <w:r w:rsidR="00CA4168">
        <w:t xml:space="preserve">а к </w:t>
      </w:r>
      <w:r w:rsidR="00CA4168" w:rsidRPr="00CA4168">
        <w:t>месяц</w:t>
      </w:r>
      <w:r w:rsidR="00CA4168">
        <w:t>у затруднили бы прогнозирование суммы</w:t>
      </w:r>
      <w:r w:rsidR="007D4D90" w:rsidRPr="00CA4168">
        <w:t xml:space="preserve"> </w:t>
      </w:r>
      <w:r w:rsidR="004B6100" w:rsidRPr="00CA4168">
        <w:t>форвардных контрактов</w:t>
      </w:r>
      <w:r w:rsidR="00CA4168">
        <w:t xml:space="preserve">, которые </w:t>
      </w:r>
      <w:r w:rsidR="00610030">
        <w:t xml:space="preserve">необходимо было бы </w:t>
      </w:r>
      <w:r w:rsidR="00CA4168">
        <w:t xml:space="preserve">заключать </w:t>
      </w:r>
      <w:r w:rsidR="0057401D" w:rsidRPr="00CA4168">
        <w:t>в каждой валюте</w:t>
      </w:r>
      <w:r w:rsidR="007D4D90" w:rsidRPr="00CA4168">
        <w:t xml:space="preserve"> </w:t>
      </w:r>
      <w:r w:rsidR="006E2404" w:rsidRPr="00CA4168">
        <w:t>каждый</w:t>
      </w:r>
      <w:r w:rsidR="007D4D90" w:rsidRPr="00CA4168">
        <w:t xml:space="preserve"> </w:t>
      </w:r>
      <w:r w:rsidR="006E2404" w:rsidRPr="00CA4168">
        <w:t>месяц</w:t>
      </w:r>
      <w:r w:rsidR="007D4D90" w:rsidRPr="00CA4168">
        <w:t xml:space="preserve">, </w:t>
      </w:r>
      <w:r w:rsidR="00CA4168">
        <w:t xml:space="preserve">и потребовало бы </w:t>
      </w:r>
      <w:r w:rsidR="006E2404" w:rsidRPr="00CA4168">
        <w:t>использова</w:t>
      </w:r>
      <w:r w:rsidR="00CA4168">
        <w:t>ния у</w:t>
      </w:r>
      <w:r w:rsidR="006E2404" w:rsidRPr="00CA4168">
        <w:t>средн</w:t>
      </w:r>
      <w:r w:rsidR="00CA4168">
        <w:t xml:space="preserve">енных сумм, основанных на </w:t>
      </w:r>
      <w:r w:rsidR="006E2404" w:rsidRPr="00CA4168">
        <w:t>прогноз</w:t>
      </w:r>
      <w:r w:rsidR="00CA4168">
        <w:t xml:space="preserve">ах. </w:t>
      </w:r>
      <w:r w:rsidR="00CA4168" w:rsidRPr="00CA4168">
        <w:t>И</w:t>
      </w:r>
      <w:r w:rsidR="006E2404" w:rsidRPr="00CA4168">
        <w:t>спользова</w:t>
      </w:r>
      <w:r w:rsidR="00CA4168">
        <w:t>ние</w:t>
      </w:r>
      <w:r w:rsidR="006E2404" w:rsidRPr="00CA4168">
        <w:t xml:space="preserve"> </w:t>
      </w:r>
      <w:r w:rsidR="00CA4168">
        <w:t xml:space="preserve">для заключения </w:t>
      </w:r>
      <w:r w:rsidR="004B6100" w:rsidRPr="00CA4168">
        <w:t>форвардных контрактов</w:t>
      </w:r>
      <w:r w:rsidR="007D4D90" w:rsidRPr="00CA4168">
        <w:t xml:space="preserve"> </w:t>
      </w:r>
      <w:r w:rsidR="00CA4168">
        <w:t>у</w:t>
      </w:r>
      <w:r w:rsidR="00CA4168" w:rsidRPr="00CA4168">
        <w:t>средн</w:t>
      </w:r>
      <w:r w:rsidR="00CA4168">
        <w:t xml:space="preserve">енных сумм </w:t>
      </w:r>
      <w:r w:rsidR="00CA4168" w:rsidRPr="00CA4168">
        <w:t xml:space="preserve">в каждой валюте </w:t>
      </w:r>
      <w:r w:rsidR="00CA4168">
        <w:t>привело бы в</w:t>
      </w:r>
      <w:r w:rsidR="00CA4168" w:rsidRPr="00CA4168">
        <w:t xml:space="preserve"> </w:t>
      </w:r>
      <w:r w:rsidR="00CA4168">
        <w:t>случае недостатка</w:t>
      </w:r>
      <w:r w:rsidR="007D4D90" w:rsidRPr="00CA4168">
        <w:t xml:space="preserve"> </w:t>
      </w:r>
      <w:r w:rsidR="00CA4168">
        <w:t>доступных</w:t>
      </w:r>
      <w:r w:rsidR="00CA4168" w:rsidRPr="00CA4168">
        <w:t xml:space="preserve"> </w:t>
      </w:r>
      <w:r w:rsidR="00CA4168">
        <w:t>средств</w:t>
      </w:r>
      <w:r w:rsidR="002A0B71" w:rsidRPr="00CA4168">
        <w:t xml:space="preserve"> </w:t>
      </w:r>
      <w:r w:rsidR="00CA4168">
        <w:t xml:space="preserve">в </w:t>
      </w:r>
      <w:r w:rsidR="006E2404" w:rsidRPr="00CA4168">
        <w:t>конкретн</w:t>
      </w:r>
      <w:r w:rsidR="00CA4168">
        <w:t>ой</w:t>
      </w:r>
      <w:r w:rsidR="006E2404" w:rsidRPr="00CA4168">
        <w:t xml:space="preserve"> </w:t>
      </w:r>
      <w:r w:rsidR="00CA4168">
        <w:t>валюте</w:t>
      </w:r>
      <w:r w:rsidR="007D4D90" w:rsidRPr="00CA4168">
        <w:t xml:space="preserve"> </w:t>
      </w:r>
      <w:r w:rsidR="00CA4168">
        <w:t xml:space="preserve">к необходимости либо </w:t>
      </w:r>
      <w:r w:rsidR="00610030">
        <w:t>заключения</w:t>
      </w:r>
      <w:r w:rsidR="00CA4168">
        <w:t xml:space="preserve"> валютных </w:t>
      </w:r>
      <w:r w:rsidR="00CA4168" w:rsidRPr="00CA4168">
        <w:t>с</w:t>
      </w:r>
      <w:r w:rsidR="00CA4168">
        <w:t>вопов, как предлагали</w:t>
      </w:r>
      <w:r w:rsidR="006E2404" w:rsidRPr="00CA4168">
        <w:t xml:space="preserve"> </w:t>
      </w:r>
      <w:r w:rsidR="00CA4168" w:rsidRPr="00CA4168">
        <w:t>консультанты</w:t>
      </w:r>
      <w:r w:rsidR="00CA4168">
        <w:t xml:space="preserve"> </w:t>
      </w:r>
      <w:r w:rsidR="00CA4168" w:rsidRPr="00CA4168">
        <w:t>компани</w:t>
      </w:r>
      <w:r w:rsidR="00CA4168">
        <w:t xml:space="preserve">и </w:t>
      </w:r>
      <w:r w:rsidR="00066872">
        <w:rPr>
          <w:lang w:val="en-US"/>
        </w:rPr>
        <w:t>FTI</w:t>
      </w:r>
      <w:r w:rsidR="00066872" w:rsidRPr="00CA4168">
        <w:t xml:space="preserve"> </w:t>
      </w:r>
      <w:r w:rsidR="00066872">
        <w:rPr>
          <w:lang w:val="en-US"/>
        </w:rPr>
        <w:t>Treasury</w:t>
      </w:r>
      <w:r w:rsidR="007D4D90" w:rsidRPr="00CA4168">
        <w:t xml:space="preserve">, </w:t>
      </w:r>
      <w:r w:rsidR="00CA4168">
        <w:t>что может быть дорого</w:t>
      </w:r>
      <w:r w:rsidR="00610030">
        <w:t>стоящим решением</w:t>
      </w:r>
      <w:r w:rsidR="007D4D90" w:rsidRPr="00CA4168">
        <w:t xml:space="preserve">, </w:t>
      </w:r>
      <w:r w:rsidR="00CA4168">
        <w:t>либо покупки</w:t>
      </w:r>
      <w:r w:rsidR="007D4D90" w:rsidRPr="00CA4168">
        <w:t xml:space="preserve"> </w:t>
      </w:r>
      <w:r w:rsidR="00CA4168">
        <w:t xml:space="preserve">валюты путем </w:t>
      </w:r>
      <w:r w:rsidR="006E2404" w:rsidRPr="00CA4168">
        <w:t>прод</w:t>
      </w:r>
      <w:r w:rsidR="00CA4168">
        <w:t>ажи</w:t>
      </w:r>
      <w:r w:rsidR="007D4D90" w:rsidRPr="00CA4168">
        <w:t xml:space="preserve"> </w:t>
      </w:r>
      <w:r w:rsidR="00610030">
        <w:t xml:space="preserve">сумм в </w:t>
      </w:r>
      <w:r w:rsidR="00CA4168">
        <w:t xml:space="preserve">швейцарских </w:t>
      </w:r>
      <w:r w:rsidR="00610030">
        <w:t>франках</w:t>
      </w:r>
      <w:r w:rsidR="007D4D90" w:rsidRPr="00CA4168">
        <w:t xml:space="preserve"> </w:t>
      </w:r>
      <w:r w:rsidR="00CA4168">
        <w:t xml:space="preserve">из резервов </w:t>
      </w:r>
      <w:r w:rsidR="008A38C8" w:rsidRPr="00CA4168">
        <w:t>ВОИС</w:t>
      </w:r>
      <w:r w:rsidR="007D4D90" w:rsidRPr="00CA4168">
        <w:t xml:space="preserve">, </w:t>
      </w:r>
      <w:r w:rsidR="00CA4168">
        <w:t>что может приводить к значительным курсовым разницам</w:t>
      </w:r>
      <w:r w:rsidR="007D4D90" w:rsidRPr="00CA4168">
        <w:t>.</w:t>
      </w:r>
    </w:p>
    <w:p w:rsidR="007D4D90" w:rsidRPr="00137E50" w:rsidRDefault="006B0CEC" w:rsidP="00D84079">
      <w:pPr>
        <w:pStyle w:val="ONUME"/>
        <w:numPr>
          <w:ilvl w:val="0"/>
          <w:numId w:val="16"/>
        </w:numPr>
        <w:ind w:left="0" w:firstLine="0"/>
      </w:pPr>
      <w:r w:rsidRPr="0074727B">
        <w:t>Таким образом</w:t>
      </w:r>
      <w:r w:rsidR="007D4D90" w:rsidRPr="006B0CEC">
        <w:t xml:space="preserve">, </w:t>
      </w:r>
      <w:r>
        <w:t xml:space="preserve">представляется сомнительным, чтобы </w:t>
      </w:r>
      <w:r w:rsidR="006E2404" w:rsidRPr="006B0CEC">
        <w:t xml:space="preserve">предлагаемый </w:t>
      </w:r>
      <w:r>
        <w:t xml:space="preserve">механизм </w:t>
      </w:r>
      <w:r w:rsidR="00610030">
        <w:t xml:space="preserve">использования </w:t>
      </w:r>
      <w:r w:rsidR="004B6100" w:rsidRPr="006B0CEC">
        <w:t>форвардных контрактов</w:t>
      </w:r>
      <w:r w:rsidR="007D4D90" w:rsidRPr="006B0CEC">
        <w:t xml:space="preserve"> </w:t>
      </w:r>
      <w:r w:rsidR="00610030">
        <w:t xml:space="preserve">как </w:t>
      </w:r>
      <w:r w:rsidRPr="006B0CEC">
        <w:t>средств</w:t>
      </w:r>
      <w:r>
        <w:t xml:space="preserve">а </w:t>
      </w:r>
      <w:r w:rsidR="006E2404" w:rsidRPr="006B0CEC">
        <w:t>хедж</w:t>
      </w:r>
      <w:r>
        <w:t>ирования</w:t>
      </w:r>
      <w:r w:rsidR="006E2404" w:rsidRPr="006B0CEC">
        <w:t xml:space="preserve"> </w:t>
      </w:r>
      <w:r w:rsidR="00610030">
        <w:t xml:space="preserve">доходов </w:t>
      </w:r>
      <w:r w:rsidR="008A38C8" w:rsidRPr="006B0CEC">
        <w:t>ВОИС</w:t>
      </w:r>
      <w:r w:rsidR="007D4D90" w:rsidRPr="006B0CEC">
        <w:t xml:space="preserve"> </w:t>
      </w:r>
      <w:r w:rsidR="00610030">
        <w:t xml:space="preserve">в виде пошлин </w:t>
      </w:r>
      <w:r w:rsidR="007D4D90" w:rsidRPr="00C553E3">
        <w:rPr>
          <w:lang w:val="en-US"/>
        </w:rPr>
        <w:t>PCT</w:t>
      </w:r>
      <w:r w:rsidR="007D4D90" w:rsidRPr="006B0CEC">
        <w:t xml:space="preserve"> </w:t>
      </w:r>
      <w:r w:rsidR="00137E50">
        <w:t xml:space="preserve">в </w:t>
      </w:r>
      <w:r w:rsidR="00610030">
        <w:t xml:space="preserve">иных </w:t>
      </w:r>
      <w:r w:rsidR="00137E50">
        <w:t>валютах, кроме швейцарского франка,</w:t>
      </w:r>
      <w:r w:rsidR="007D4D90" w:rsidRPr="006B0CEC">
        <w:t xml:space="preserve"> </w:t>
      </w:r>
      <w:r w:rsidR="00137E50">
        <w:t>мог решить задачу</w:t>
      </w:r>
      <w:r w:rsidR="007D4D90" w:rsidRPr="006B0CEC">
        <w:t xml:space="preserve"> </w:t>
      </w:r>
      <w:r w:rsidR="00137E50">
        <w:t xml:space="preserve">ограничения рисков, связанных с курсовыми </w:t>
      </w:r>
      <w:r w:rsidR="006E2404" w:rsidRPr="006B0CEC">
        <w:t>колебания</w:t>
      </w:r>
      <w:r w:rsidR="00137E50">
        <w:t>ми</w:t>
      </w:r>
      <w:r w:rsidR="007D4D90" w:rsidRPr="006B0CEC">
        <w:t xml:space="preserve">.  </w:t>
      </w:r>
      <w:r w:rsidR="006E2404" w:rsidRPr="00137E50">
        <w:t xml:space="preserve">Хотя </w:t>
      </w:r>
      <w:r w:rsidR="00610030">
        <w:t>предлагаемая</w:t>
      </w:r>
      <w:r w:rsidR="00137E50" w:rsidRPr="00137E50">
        <w:t xml:space="preserve"> </w:t>
      </w:r>
      <w:r w:rsidR="00610030">
        <w:t>стратегия</w:t>
      </w:r>
      <w:r w:rsidR="00137E50">
        <w:t xml:space="preserve"> </w:t>
      </w:r>
      <w:r w:rsidR="00610030">
        <w:t xml:space="preserve">позволяла бы </w:t>
      </w:r>
      <w:r w:rsidR="00137E50">
        <w:t xml:space="preserve">хеджировать </w:t>
      </w:r>
      <w:r w:rsidR="007D4D90" w:rsidRPr="00137E50">
        <w:t>65</w:t>
      </w:r>
      <w:r w:rsidR="00137E50">
        <w:t>,</w:t>
      </w:r>
      <w:r w:rsidR="007D4D90" w:rsidRPr="00137E50">
        <w:t>1</w:t>
      </w:r>
      <w:r w:rsidR="00137E50">
        <w:t xml:space="preserve">% </w:t>
      </w:r>
      <w:r w:rsidR="00610030">
        <w:t xml:space="preserve">доходов </w:t>
      </w:r>
      <w:r w:rsidR="002A0B71">
        <w:rPr>
          <w:lang w:val="en-US"/>
        </w:rPr>
        <w:t>PCT</w:t>
      </w:r>
      <w:r w:rsidR="007D4D90" w:rsidRPr="00137E50">
        <w:t xml:space="preserve">, </w:t>
      </w:r>
      <w:r w:rsidR="00137E50">
        <w:t xml:space="preserve">для </w:t>
      </w:r>
      <w:r w:rsidR="006E2404" w:rsidRPr="00137E50">
        <w:t>остальн</w:t>
      </w:r>
      <w:r w:rsidR="00137E50">
        <w:t>ых</w:t>
      </w:r>
      <w:r w:rsidR="007D4D90" w:rsidRPr="00137E50">
        <w:t xml:space="preserve"> 34</w:t>
      </w:r>
      <w:r w:rsidR="00137E50">
        <w:t>,</w:t>
      </w:r>
      <w:r w:rsidR="007D4D90" w:rsidRPr="00137E50">
        <w:t>9</w:t>
      </w:r>
      <w:r w:rsidR="00137E50">
        <w:t xml:space="preserve">% существовал бы гораздо более высокий </w:t>
      </w:r>
      <w:r w:rsidR="006E2404" w:rsidRPr="00137E50">
        <w:t>риск</w:t>
      </w:r>
      <w:r w:rsidR="007D4D90" w:rsidRPr="00137E50">
        <w:t xml:space="preserve"> </w:t>
      </w:r>
      <w:r w:rsidR="00137E50">
        <w:t>курсовых колебаний, чем в настоящее время</w:t>
      </w:r>
      <w:r w:rsidR="007D4D90" w:rsidRPr="00137E50">
        <w:t xml:space="preserve">, </w:t>
      </w:r>
      <w:r w:rsidR="006E2404" w:rsidRPr="00137E50">
        <w:t xml:space="preserve">поскольку </w:t>
      </w:r>
      <w:r w:rsidR="00137E50">
        <w:t xml:space="preserve">применяемый сегодня в рамках </w:t>
      </w:r>
      <w:r w:rsidR="00137E50" w:rsidRPr="00C553E3">
        <w:rPr>
          <w:lang w:val="en-US"/>
        </w:rPr>
        <w:t>PCT</w:t>
      </w:r>
      <w:r w:rsidR="00137E50" w:rsidRPr="00137E50">
        <w:t xml:space="preserve"> </w:t>
      </w:r>
      <w:r w:rsidR="00137E50">
        <w:t xml:space="preserve">механизм </w:t>
      </w:r>
      <w:r w:rsidR="00610030">
        <w:t xml:space="preserve">установления </w:t>
      </w:r>
      <w:r w:rsidR="006E2404" w:rsidRPr="00137E50">
        <w:t>эквивалент</w:t>
      </w:r>
      <w:r w:rsidR="00610030">
        <w:t>н</w:t>
      </w:r>
      <w:r w:rsidR="00137E50">
        <w:t>ых</w:t>
      </w:r>
      <w:r w:rsidR="00610030">
        <w:t xml:space="preserve"> размеров пошлин </w:t>
      </w:r>
      <w:r w:rsidR="00137E50">
        <w:t xml:space="preserve">уже нельзя было бы использовать для </w:t>
      </w:r>
      <w:r w:rsidR="006E2404" w:rsidRPr="00137E50">
        <w:t xml:space="preserve">корректировки </w:t>
      </w:r>
      <w:r w:rsidR="00610030">
        <w:t xml:space="preserve">ставок </w:t>
      </w:r>
      <w:r w:rsidR="00137E50">
        <w:t>пошлин</w:t>
      </w:r>
      <w:r w:rsidR="007D4D90" w:rsidRPr="00137E50">
        <w:t>.</w:t>
      </w:r>
    </w:p>
    <w:p w:rsidR="007D4D90" w:rsidRDefault="008A38C8" w:rsidP="00D84079">
      <w:pPr>
        <w:pStyle w:val="Heading1"/>
      </w:pPr>
      <w:r>
        <w:t>Вывод</w:t>
      </w:r>
      <w:r w:rsidR="007D4D90">
        <w:t xml:space="preserve"> </w:t>
      </w:r>
    </w:p>
    <w:p w:rsidR="007D4D90" w:rsidRPr="002B64B4" w:rsidRDefault="007D4D90" w:rsidP="002B64B4"/>
    <w:p w:rsidR="007D4D90" w:rsidRPr="006E2404" w:rsidRDefault="00137E50" w:rsidP="00D84079">
      <w:pPr>
        <w:pStyle w:val="ONUME"/>
        <w:numPr>
          <w:ilvl w:val="0"/>
          <w:numId w:val="16"/>
        </w:numPr>
        <w:ind w:left="0" w:firstLine="0"/>
      </w:pPr>
      <w:bookmarkStart w:id="6" w:name="c"/>
      <w:bookmarkStart w:id="7" w:name="_Ref453954188"/>
      <w:r w:rsidRPr="00137E50">
        <w:t>Анализ денежны</w:t>
      </w:r>
      <w:r>
        <w:t>х</w:t>
      </w:r>
      <w:r w:rsidRPr="00137E50">
        <w:t xml:space="preserve"> поток</w:t>
      </w:r>
      <w:r>
        <w:t>ов</w:t>
      </w:r>
      <w:bookmarkEnd w:id="6"/>
      <w:r w:rsidR="007D4D90" w:rsidRPr="00137E50">
        <w:t xml:space="preserve"> </w:t>
      </w:r>
      <w:r>
        <w:t>показывает</w:t>
      </w:r>
      <w:r w:rsidRPr="00137E50">
        <w:t xml:space="preserve">, </w:t>
      </w:r>
      <w:r>
        <w:t>что</w:t>
      </w:r>
      <w:r w:rsidRPr="00137E50">
        <w:t xml:space="preserve"> </w:t>
      </w:r>
      <w:r w:rsidR="008A38C8" w:rsidRPr="00137E50">
        <w:t>ВОИС</w:t>
      </w:r>
      <w:r w:rsidR="007D4D90" w:rsidRPr="00137E50">
        <w:t xml:space="preserve"> </w:t>
      </w:r>
      <w:r>
        <w:t>не</w:t>
      </w:r>
      <w:r w:rsidRPr="00137E50">
        <w:t xml:space="preserve"> </w:t>
      </w:r>
      <w:r>
        <w:t>имела</w:t>
      </w:r>
      <w:r w:rsidRPr="00137E50">
        <w:t xml:space="preserve"> </w:t>
      </w:r>
      <w:r>
        <w:t>бы</w:t>
      </w:r>
      <w:r w:rsidRPr="00137E50">
        <w:t xml:space="preserve"> </w:t>
      </w:r>
      <w:r w:rsidR="006E2404" w:rsidRPr="00137E50">
        <w:t>достаточн</w:t>
      </w:r>
      <w:r>
        <w:t>ых</w:t>
      </w:r>
      <w:r w:rsidR="007D4D90" w:rsidRPr="00137E50">
        <w:t xml:space="preserve"> </w:t>
      </w:r>
      <w:r w:rsidR="006E2404" w:rsidRPr="00137E50">
        <w:t>объемов</w:t>
      </w:r>
      <w:r w:rsidR="007D4D90" w:rsidRPr="00137E50">
        <w:t xml:space="preserve"> </w:t>
      </w:r>
      <w:r w:rsidR="00610030" w:rsidRPr="00610030">
        <w:t>средств</w:t>
      </w:r>
      <w:r w:rsidR="007D4D90" w:rsidRPr="00137E50">
        <w:t xml:space="preserve"> </w:t>
      </w:r>
      <w:r w:rsidR="002A2D74" w:rsidRPr="00137E50">
        <w:t>в долларах США</w:t>
      </w:r>
      <w:r w:rsidR="007D4D90" w:rsidRPr="00137E50">
        <w:t xml:space="preserve">, </w:t>
      </w:r>
      <w:r>
        <w:t xml:space="preserve">имела бы лишь </w:t>
      </w:r>
      <w:r w:rsidR="006E2404" w:rsidRPr="00137E50">
        <w:t>минимальн</w:t>
      </w:r>
      <w:r>
        <w:t>ый</w:t>
      </w:r>
      <w:r w:rsidR="006E2404" w:rsidRPr="00137E50">
        <w:t xml:space="preserve"> объем</w:t>
      </w:r>
      <w:r w:rsidR="007D4D90" w:rsidRPr="00137E50">
        <w:t xml:space="preserve"> </w:t>
      </w:r>
      <w:r>
        <w:t xml:space="preserve">доступных </w:t>
      </w:r>
      <w:r w:rsidRPr="00137E50">
        <w:t>средств</w:t>
      </w:r>
      <w:r>
        <w:t xml:space="preserve"> </w:t>
      </w:r>
      <w:r w:rsidR="004B2858" w:rsidRPr="00137E50">
        <w:t>в евро</w:t>
      </w:r>
      <w:r w:rsidR="007D4D90" w:rsidRPr="00137E50">
        <w:t xml:space="preserve"> </w:t>
      </w:r>
      <w:r w:rsidR="006E2404" w:rsidRPr="00137E50">
        <w:t>и</w:t>
      </w:r>
      <w:r w:rsidR="007D4D90" w:rsidRPr="00137E50">
        <w:t xml:space="preserve"> </w:t>
      </w:r>
      <w:r w:rsidRPr="00137E50">
        <w:t xml:space="preserve">подвергалась бы </w:t>
      </w:r>
      <w:r w:rsidR="006E2404" w:rsidRPr="00137E50">
        <w:t>риск</w:t>
      </w:r>
      <w:r>
        <w:t>у</w:t>
      </w:r>
      <w:r w:rsidR="006E2404" w:rsidRPr="00137E50">
        <w:t xml:space="preserve"> в связи с </w:t>
      </w:r>
      <w:r w:rsidR="00610030">
        <w:t xml:space="preserve">наличием </w:t>
      </w:r>
      <w:r w:rsidR="006E2404" w:rsidRPr="00137E50">
        <w:t>ежемесячн</w:t>
      </w:r>
      <w:r>
        <w:t xml:space="preserve">ых </w:t>
      </w:r>
      <w:r w:rsidR="00610030">
        <w:t>денежных</w:t>
      </w:r>
      <w:r>
        <w:t xml:space="preserve"> потоков</w:t>
      </w:r>
      <w:r w:rsidR="007D4D90" w:rsidRPr="00137E50">
        <w:t xml:space="preserve"> </w:t>
      </w:r>
      <w:r>
        <w:t>во всех трех</w:t>
      </w:r>
      <w:r w:rsidR="007D4D90" w:rsidRPr="00137E50">
        <w:t xml:space="preserve"> </w:t>
      </w:r>
      <w:r w:rsidR="006E2404" w:rsidRPr="00137E50">
        <w:t>валют</w:t>
      </w:r>
      <w:r>
        <w:t>ах:</w:t>
      </w:r>
      <w:r w:rsidR="007D4D90" w:rsidRPr="00137E50">
        <w:t xml:space="preserve"> </w:t>
      </w:r>
      <w:r w:rsidR="00E33D8F" w:rsidRPr="00137E50">
        <w:t>долларах США</w:t>
      </w:r>
      <w:r w:rsidR="007D4D90" w:rsidRPr="00137E50">
        <w:t xml:space="preserve">, </w:t>
      </w:r>
      <w:r w:rsidRPr="00137E50">
        <w:t xml:space="preserve">евро </w:t>
      </w:r>
      <w:r w:rsidR="006E2404" w:rsidRPr="00137E50">
        <w:t>и</w:t>
      </w:r>
      <w:r w:rsidR="007D4D90" w:rsidRPr="00C553E3">
        <w:rPr>
          <w:lang w:val="en-US"/>
        </w:rPr>
        <w:t> </w:t>
      </w:r>
      <w:r w:rsidR="000E25D1" w:rsidRPr="00137E50">
        <w:t>японских иенах</w:t>
      </w:r>
      <w:r w:rsidR="007D4D90" w:rsidRPr="00137E50">
        <w:t xml:space="preserve">.  </w:t>
      </w:r>
      <w:r w:rsidRPr="0074727B">
        <w:t>Таким образом</w:t>
      </w:r>
      <w:r>
        <w:t xml:space="preserve">, </w:t>
      </w:r>
      <w:r w:rsidRPr="00137E50">
        <w:t>п</w:t>
      </w:r>
      <w:r w:rsidR="006E2404" w:rsidRPr="00137E50">
        <w:t>редложение</w:t>
      </w:r>
      <w:r w:rsidR="007D4D90" w:rsidRPr="00137E50">
        <w:t xml:space="preserve"> </w:t>
      </w:r>
      <w:r>
        <w:t xml:space="preserve">использовать форвардные контракты для </w:t>
      </w:r>
      <w:r w:rsidR="006E2404" w:rsidRPr="00137E50">
        <w:t>хедж</w:t>
      </w:r>
      <w:r>
        <w:t xml:space="preserve">ирования </w:t>
      </w:r>
      <w:r w:rsidR="00610030">
        <w:t>доходов</w:t>
      </w:r>
      <w:r>
        <w:t xml:space="preserve"> </w:t>
      </w:r>
      <w:r w:rsidR="006E2404" w:rsidRPr="00137E50">
        <w:t>бюджет</w:t>
      </w:r>
      <w:r>
        <w:t>а</w:t>
      </w:r>
      <w:r w:rsidR="007D4D90" w:rsidRPr="00137E50">
        <w:t xml:space="preserve"> </w:t>
      </w:r>
      <w:r w:rsidR="007D4D90" w:rsidRPr="00C553E3">
        <w:rPr>
          <w:lang w:val="en-US"/>
        </w:rPr>
        <w:t>PCT</w:t>
      </w:r>
      <w:r w:rsidR="007D4D90" w:rsidRPr="00137E50">
        <w:t xml:space="preserve"> </w:t>
      </w:r>
      <w:r>
        <w:t xml:space="preserve">не решало бы </w:t>
      </w:r>
      <w:r w:rsidRPr="00AB7D5E">
        <w:t>проблем</w:t>
      </w:r>
      <w:r>
        <w:t xml:space="preserve"> </w:t>
      </w:r>
      <w:r w:rsidR="00610030">
        <w:t>курсовых</w:t>
      </w:r>
      <w:r w:rsidR="00BF2C36">
        <w:t xml:space="preserve"> </w:t>
      </w:r>
      <w:r w:rsidR="006E2404" w:rsidRPr="00137E50">
        <w:t>риск</w:t>
      </w:r>
      <w:r w:rsidR="00610030">
        <w:t>ов, связанных</w:t>
      </w:r>
      <w:r w:rsidR="00BF2C36">
        <w:t xml:space="preserve"> с тем, что </w:t>
      </w:r>
      <w:r w:rsidR="008A38C8" w:rsidRPr="00137E50">
        <w:t>ВОИС</w:t>
      </w:r>
      <w:r w:rsidR="007D4D90" w:rsidRPr="00137E50">
        <w:t xml:space="preserve"> </w:t>
      </w:r>
      <w:r w:rsidR="00BF2C36">
        <w:t>получает</w:t>
      </w:r>
      <w:r w:rsidR="007D4D90" w:rsidRPr="00137E50">
        <w:t xml:space="preserve"> </w:t>
      </w:r>
      <w:r w:rsidR="00610030">
        <w:t>доходы</w:t>
      </w:r>
      <w:r w:rsidR="002A0B71" w:rsidRPr="00137E50">
        <w:t xml:space="preserve"> </w:t>
      </w:r>
      <w:r w:rsidR="002A0B71">
        <w:rPr>
          <w:lang w:val="en-US"/>
        </w:rPr>
        <w:t>PCT</w:t>
      </w:r>
      <w:r w:rsidR="00BF2C36">
        <w:t xml:space="preserve"> в иных </w:t>
      </w:r>
      <w:r w:rsidR="006E2404" w:rsidRPr="00137E50">
        <w:t>валют</w:t>
      </w:r>
      <w:r w:rsidR="00BF2C36">
        <w:t>ах, кроме швейцарского франка</w:t>
      </w:r>
      <w:r w:rsidR="007D4D90" w:rsidRPr="00137E50">
        <w:t xml:space="preserve">.  </w:t>
      </w:r>
      <w:r w:rsidR="00BF2C36">
        <w:t>Кроме того, анализ данных денежных</w:t>
      </w:r>
      <w:r w:rsidR="00BF2C36" w:rsidRPr="00BF2C36">
        <w:t xml:space="preserve"> поток</w:t>
      </w:r>
      <w:r w:rsidR="00BF2C36">
        <w:t xml:space="preserve">ов и </w:t>
      </w:r>
      <w:r w:rsidR="00BF2C36" w:rsidRPr="00BF2C36">
        <w:t>историческ</w:t>
      </w:r>
      <w:r w:rsidR="00BF2C36">
        <w:t xml:space="preserve">их </w:t>
      </w:r>
      <w:r w:rsidR="00BF2C36">
        <w:rPr>
          <w:snapToGrid w:val="0"/>
        </w:rPr>
        <w:t>данн</w:t>
      </w:r>
      <w:r w:rsidR="00BF2C36">
        <w:t xml:space="preserve">ых о поступлениях </w:t>
      </w:r>
      <w:r w:rsidR="00BF2C36" w:rsidRPr="00BF2C36">
        <w:t xml:space="preserve">и </w:t>
      </w:r>
      <w:r w:rsidR="00BF2C36">
        <w:t>выплатах в каждой</w:t>
      </w:r>
      <w:r w:rsidR="00BF2C36" w:rsidRPr="00BF2C36">
        <w:t xml:space="preserve"> </w:t>
      </w:r>
      <w:r w:rsidR="00BF2C36">
        <w:t xml:space="preserve">из трех основных </w:t>
      </w:r>
      <w:r w:rsidR="00BF2C36" w:rsidRPr="00BF2C36">
        <w:t>валют</w:t>
      </w:r>
      <w:r w:rsidR="00BF2C36">
        <w:t>,</w:t>
      </w:r>
      <w:r w:rsidR="00BF2C36" w:rsidRPr="00BF2C36">
        <w:t xml:space="preserve"> </w:t>
      </w:r>
      <w:r w:rsidR="00BF2C36">
        <w:t>в которых</w:t>
      </w:r>
      <w:r w:rsidR="00BF2C36" w:rsidRPr="00BF2C36">
        <w:t xml:space="preserve"> </w:t>
      </w:r>
      <w:r w:rsidR="00BF2C36" w:rsidRPr="00C553E3">
        <w:rPr>
          <w:lang w:val="en-US"/>
        </w:rPr>
        <w:t>PCT</w:t>
      </w:r>
      <w:r w:rsidR="00BF2C36" w:rsidRPr="00BF2C36">
        <w:t xml:space="preserve"> </w:t>
      </w:r>
      <w:r w:rsidR="00BF2C36">
        <w:t xml:space="preserve">получает свои </w:t>
      </w:r>
      <w:r w:rsidR="00EE5B7C">
        <w:t>доходы</w:t>
      </w:r>
      <w:r w:rsidR="00BF2C36">
        <w:t xml:space="preserve">, а также то, что </w:t>
      </w:r>
      <w:r w:rsidR="00610030">
        <w:t xml:space="preserve">в будущем </w:t>
      </w:r>
      <w:r w:rsidR="00BF2C36">
        <w:t>никаких значительных</w:t>
      </w:r>
      <w:r w:rsidR="00BF2C36" w:rsidRPr="00BF2C36">
        <w:t xml:space="preserve"> </w:t>
      </w:r>
      <w:r w:rsidR="00BF2C36">
        <w:t xml:space="preserve">изменений в структуре </w:t>
      </w:r>
      <w:r w:rsidR="00BF2C36" w:rsidRPr="00BF2C36">
        <w:t xml:space="preserve">поступлений или </w:t>
      </w:r>
      <w:r w:rsidR="00BF2C36">
        <w:t xml:space="preserve">выплат </w:t>
      </w:r>
      <w:r w:rsidR="00610030">
        <w:t xml:space="preserve">также </w:t>
      </w:r>
      <w:r w:rsidR="00BF2C36">
        <w:t xml:space="preserve">не ожидается, позволяет сделать вывод </w:t>
      </w:r>
      <w:r w:rsidR="00BF2C36" w:rsidRPr="00BF2C36">
        <w:t>о том, что</w:t>
      </w:r>
      <w:r w:rsidR="00BF2C36">
        <w:t xml:space="preserve"> </w:t>
      </w:r>
      <w:r w:rsidR="00BF2C36" w:rsidRPr="00EF0F43">
        <w:t>как</w:t>
      </w:r>
      <w:r w:rsidR="00826562">
        <w:t>о</w:t>
      </w:r>
      <w:r w:rsidR="00BF2C36">
        <w:t>е</w:t>
      </w:r>
      <w:r w:rsidR="00BF2C36" w:rsidRPr="00EF0F43">
        <w:t>-либо</w:t>
      </w:r>
      <w:r w:rsidR="00BF2C36">
        <w:t xml:space="preserve"> </w:t>
      </w:r>
      <w:r w:rsidR="00BF2C36" w:rsidRPr="00BF2C36">
        <w:t xml:space="preserve">изменение </w:t>
      </w:r>
      <w:r w:rsidR="00BF2C36">
        <w:t>ситуации</w:t>
      </w:r>
      <w:r w:rsidR="00BF2C36" w:rsidRPr="00BF2C36">
        <w:t xml:space="preserve"> в будущем</w:t>
      </w:r>
      <w:r w:rsidR="00BF2C36">
        <w:t xml:space="preserve"> </w:t>
      </w:r>
      <w:r w:rsidR="006E2404" w:rsidRPr="00BF2C36">
        <w:t>маловероятн</w:t>
      </w:r>
      <w:r w:rsidR="00610030">
        <w:t>о</w:t>
      </w:r>
      <w:r w:rsidR="00BF2C36">
        <w:t xml:space="preserve">. В связи с этим </w:t>
      </w:r>
      <w:r w:rsidR="008A38C8" w:rsidRPr="006E2404">
        <w:t>Секретариат</w:t>
      </w:r>
      <w:r w:rsidR="007D4D90" w:rsidRPr="006E2404">
        <w:t xml:space="preserve"> </w:t>
      </w:r>
      <w:r w:rsidR="006E2404" w:rsidRPr="006E2404">
        <w:t>предлагает</w:t>
      </w:r>
      <w:r w:rsidR="007D4D90" w:rsidRPr="006E2404">
        <w:t xml:space="preserve"> </w:t>
      </w:r>
      <w:r w:rsidR="00EE5B7C">
        <w:t xml:space="preserve">не продолжать </w:t>
      </w:r>
      <w:r w:rsidR="00826562">
        <w:t xml:space="preserve">моделирование </w:t>
      </w:r>
      <w:r w:rsidR="00FA1431">
        <w:t>стратегии хеджирования</w:t>
      </w:r>
      <w:r w:rsidR="00826562">
        <w:t xml:space="preserve"> на базе форвардных контрактов,</w:t>
      </w:r>
      <w:r w:rsidR="007D4D90" w:rsidRPr="006E2404">
        <w:t xml:space="preserve"> </w:t>
      </w:r>
      <w:r w:rsidR="00826562">
        <w:t>предложенной консультантами по вопросам финансового управления</w:t>
      </w:r>
      <w:r w:rsidR="007D4D90" w:rsidRPr="006E2404">
        <w:t>.</w:t>
      </w:r>
      <w:bookmarkEnd w:id="7"/>
    </w:p>
    <w:p w:rsidR="007D4D90" w:rsidRPr="006E2404" w:rsidRDefault="006E2404" w:rsidP="00DC6904">
      <w:pPr>
        <w:pStyle w:val="ONUME"/>
        <w:keepLines/>
        <w:numPr>
          <w:ilvl w:val="0"/>
          <w:numId w:val="16"/>
        </w:numPr>
        <w:ind w:left="0" w:firstLine="0"/>
      </w:pPr>
      <w:bookmarkStart w:id="8" w:name="_Ref453954197"/>
      <w:r w:rsidRPr="006E2404">
        <w:t>Хотя</w:t>
      </w:r>
      <w:r w:rsidR="007D4D90" w:rsidRPr="006E2404">
        <w:t xml:space="preserve"> </w:t>
      </w:r>
      <w:r w:rsidRPr="006E2404">
        <w:t>использова</w:t>
      </w:r>
      <w:r w:rsidR="00F55DA2">
        <w:t>ние</w:t>
      </w:r>
      <w:r w:rsidRPr="006E2404">
        <w:t xml:space="preserve"> </w:t>
      </w:r>
      <w:r w:rsidR="004B6100">
        <w:t>форвардных контрактов</w:t>
      </w:r>
      <w:r w:rsidR="007D4D90" w:rsidRPr="006E2404">
        <w:t xml:space="preserve"> </w:t>
      </w:r>
      <w:r w:rsidR="00F55DA2">
        <w:t xml:space="preserve">не </w:t>
      </w:r>
      <w:r w:rsidR="00F55DA2" w:rsidRPr="006E2404">
        <w:t>представляется</w:t>
      </w:r>
      <w:r w:rsidR="00F55DA2">
        <w:t xml:space="preserve"> </w:t>
      </w:r>
      <w:r w:rsidR="00EE5B7C">
        <w:t xml:space="preserve">адекватным </w:t>
      </w:r>
      <w:r w:rsidRPr="006E2404">
        <w:t>решени</w:t>
      </w:r>
      <w:r w:rsidR="00F55DA2">
        <w:t xml:space="preserve">ем, </w:t>
      </w:r>
      <w:r w:rsidR="00EE5B7C">
        <w:t>обеспечивающим</w:t>
      </w:r>
      <w:r w:rsidR="00F55DA2">
        <w:t xml:space="preserve"> снижение курсовых </w:t>
      </w:r>
      <w:r w:rsidRPr="006E2404">
        <w:t>риск</w:t>
      </w:r>
      <w:r w:rsidR="00F55DA2">
        <w:t xml:space="preserve">ов </w:t>
      </w:r>
      <w:r w:rsidR="00F55DA2" w:rsidRPr="006E2404">
        <w:t>ВОИС</w:t>
      </w:r>
      <w:r w:rsidR="007D4D90" w:rsidRPr="006E2404">
        <w:t xml:space="preserve">, </w:t>
      </w:r>
      <w:r w:rsidR="008A38C8" w:rsidRPr="006E2404">
        <w:t>Секретариат</w:t>
      </w:r>
      <w:r w:rsidR="007D4D90" w:rsidRPr="006E2404">
        <w:t xml:space="preserve"> </w:t>
      </w:r>
      <w:r w:rsidR="00F55DA2">
        <w:t>намерен и далее</w:t>
      </w:r>
      <w:r w:rsidR="00EE5B7C">
        <w:t xml:space="preserve"> </w:t>
      </w:r>
      <w:r w:rsidR="00F55DA2" w:rsidRPr="00F55DA2">
        <w:t>отслеживать</w:t>
      </w:r>
      <w:r w:rsidR="00F55DA2">
        <w:t xml:space="preserve"> </w:t>
      </w:r>
      <w:r w:rsidRPr="006E2404">
        <w:t>и</w:t>
      </w:r>
      <w:r w:rsidR="007D4D90" w:rsidRPr="006E2404">
        <w:t xml:space="preserve"> </w:t>
      </w:r>
      <w:r w:rsidRPr="006E2404">
        <w:t>анализир</w:t>
      </w:r>
      <w:r w:rsidR="00F55DA2">
        <w:t>овать денежные</w:t>
      </w:r>
      <w:r w:rsidRPr="006E2404">
        <w:t xml:space="preserve"> поток</w:t>
      </w:r>
      <w:r w:rsidR="00EE5B7C">
        <w:t>и</w:t>
      </w:r>
      <w:r w:rsidR="007D4D90" w:rsidRPr="006E2404">
        <w:t xml:space="preserve"> </w:t>
      </w:r>
      <w:r w:rsidR="00F55DA2">
        <w:t xml:space="preserve">во </w:t>
      </w:r>
      <w:r w:rsidRPr="006E2404">
        <w:t>все</w:t>
      </w:r>
      <w:r w:rsidR="00F55DA2">
        <w:t>х</w:t>
      </w:r>
      <w:r w:rsidR="007D4D90" w:rsidRPr="006E2404">
        <w:t xml:space="preserve"> </w:t>
      </w:r>
      <w:r w:rsidRPr="006E2404">
        <w:t>валют</w:t>
      </w:r>
      <w:r w:rsidR="00F55DA2">
        <w:t>ах</w:t>
      </w:r>
      <w:r w:rsidR="007D4D90" w:rsidRPr="006E2404">
        <w:t xml:space="preserve"> </w:t>
      </w:r>
      <w:r w:rsidRPr="006E2404">
        <w:t>и</w:t>
      </w:r>
      <w:r w:rsidR="007D4D90" w:rsidRPr="006E2404">
        <w:t xml:space="preserve"> </w:t>
      </w:r>
      <w:r w:rsidR="00F55DA2">
        <w:t>использовать результаты такого анализа для управления оста</w:t>
      </w:r>
      <w:r w:rsidR="00C53592">
        <w:t>т</w:t>
      </w:r>
      <w:r w:rsidR="00F55DA2">
        <w:t xml:space="preserve">ками на </w:t>
      </w:r>
      <w:r w:rsidRPr="006E2404">
        <w:t>банк</w:t>
      </w:r>
      <w:r w:rsidR="00F55DA2">
        <w:t>овском счете</w:t>
      </w:r>
      <w:r w:rsidR="007D4D90" w:rsidRPr="006E2404">
        <w:t xml:space="preserve">, </w:t>
      </w:r>
      <w:r w:rsidR="00F55DA2">
        <w:t xml:space="preserve">с тем, чтобы </w:t>
      </w:r>
      <w:r w:rsidR="00EE5B7C">
        <w:t xml:space="preserve">по возможности </w:t>
      </w:r>
      <w:r w:rsidR="00F55DA2">
        <w:t xml:space="preserve">минимизировать </w:t>
      </w:r>
      <w:r w:rsidR="00C53592">
        <w:t xml:space="preserve">влияние </w:t>
      </w:r>
      <w:r w:rsidR="00EE5B7C">
        <w:t>изменений</w:t>
      </w:r>
      <w:r w:rsidR="00C53592">
        <w:t xml:space="preserve"> обменных курсов</w:t>
      </w:r>
      <w:r w:rsidRPr="006E2404">
        <w:t xml:space="preserve"> </w:t>
      </w:r>
      <w:r w:rsidR="00C53592">
        <w:t xml:space="preserve">на </w:t>
      </w:r>
      <w:r w:rsidRPr="006E2404">
        <w:t>финансовые результаты</w:t>
      </w:r>
      <w:r w:rsidR="00C53592">
        <w:t xml:space="preserve"> </w:t>
      </w:r>
      <w:r w:rsidR="00C53592" w:rsidRPr="006E2404">
        <w:t>ВОИС</w:t>
      </w:r>
      <w:r w:rsidR="007D4D90" w:rsidRPr="006E2404">
        <w:t xml:space="preserve">. </w:t>
      </w:r>
      <w:r w:rsidR="004B4CD2">
        <w:t xml:space="preserve"> </w:t>
      </w:r>
      <w:r w:rsidR="00C53592">
        <w:t xml:space="preserve">Пока </w:t>
      </w:r>
      <w:r w:rsidR="00EE5B7C">
        <w:t xml:space="preserve">следует </w:t>
      </w:r>
      <w:r w:rsidR="00C53592">
        <w:t>констатировать</w:t>
      </w:r>
      <w:r w:rsidR="007D4D90" w:rsidRPr="006E2404">
        <w:t xml:space="preserve">, </w:t>
      </w:r>
      <w:r w:rsidR="00C53592">
        <w:t xml:space="preserve">что </w:t>
      </w:r>
      <w:r w:rsidRPr="006E2404">
        <w:t xml:space="preserve">хотя </w:t>
      </w:r>
      <w:r w:rsidR="00C53592">
        <w:t xml:space="preserve">применяемый сегодня </w:t>
      </w:r>
      <w:r w:rsidRPr="006E2404">
        <w:t>механизм</w:t>
      </w:r>
      <w:r w:rsidR="007D4D90" w:rsidRPr="006E2404">
        <w:t xml:space="preserve"> </w:t>
      </w:r>
      <w:r w:rsidR="00EE5B7C">
        <w:t xml:space="preserve">установления </w:t>
      </w:r>
      <w:r w:rsidR="00C53592" w:rsidRPr="006E2404">
        <w:t>эквивалент</w:t>
      </w:r>
      <w:r w:rsidR="00EE5B7C">
        <w:t>ного размера пошлин</w:t>
      </w:r>
      <w:r w:rsidR="00C53592" w:rsidRPr="006E2404">
        <w:t xml:space="preserve"> </w:t>
      </w:r>
      <w:r w:rsidR="00C53592">
        <w:t xml:space="preserve">вступает в действие только при </w:t>
      </w:r>
      <w:r w:rsidRPr="006E2404">
        <w:t>крупн</w:t>
      </w:r>
      <w:r w:rsidR="00C53592">
        <w:t>ых изменениях обменных</w:t>
      </w:r>
      <w:r w:rsidRPr="006E2404">
        <w:t xml:space="preserve"> курс</w:t>
      </w:r>
      <w:r w:rsidR="00EE5B7C">
        <w:t>ов</w:t>
      </w:r>
      <w:r w:rsidR="00C53592">
        <w:t xml:space="preserve">, причем не </w:t>
      </w:r>
      <w:r w:rsidR="00EE5B7C">
        <w:t xml:space="preserve">обеспечивает </w:t>
      </w:r>
      <w:r w:rsidRPr="006E2404">
        <w:t>немедленно</w:t>
      </w:r>
      <w:r w:rsidR="00EE5B7C">
        <w:t xml:space="preserve">й </w:t>
      </w:r>
      <w:r w:rsidR="00D4176C">
        <w:t>р</w:t>
      </w:r>
      <w:r w:rsidR="00EE5B7C">
        <w:t>еакции на них</w:t>
      </w:r>
      <w:r w:rsidR="007D4D90" w:rsidRPr="006E2404">
        <w:t xml:space="preserve">, </w:t>
      </w:r>
      <w:r w:rsidR="00C53592">
        <w:t xml:space="preserve">он доказал свою </w:t>
      </w:r>
      <w:r w:rsidRPr="006E2404">
        <w:t>эффективн</w:t>
      </w:r>
      <w:r w:rsidR="00C53592">
        <w:t xml:space="preserve">ость как </w:t>
      </w:r>
      <w:r w:rsidR="00C53592" w:rsidRPr="00C53592">
        <w:t>средств</w:t>
      </w:r>
      <w:r w:rsidR="00EE5B7C">
        <w:t>а</w:t>
      </w:r>
      <w:r w:rsidR="00C53592">
        <w:t xml:space="preserve"> ограничения</w:t>
      </w:r>
      <w:r w:rsidR="008A38C8" w:rsidRPr="006E2404">
        <w:t xml:space="preserve"> </w:t>
      </w:r>
      <w:r w:rsidR="00EE5B7C">
        <w:t xml:space="preserve">потерь </w:t>
      </w:r>
      <w:r w:rsidRPr="006E2404">
        <w:t>даже</w:t>
      </w:r>
      <w:r w:rsidR="007D4D90" w:rsidRPr="006E2404">
        <w:t xml:space="preserve"> </w:t>
      </w:r>
      <w:r w:rsidRPr="006E2404">
        <w:t>в период</w:t>
      </w:r>
      <w:r w:rsidR="00EE5B7C">
        <w:t>ы</w:t>
      </w:r>
      <w:r w:rsidR="007D4D90" w:rsidRPr="006E2404">
        <w:t xml:space="preserve"> </w:t>
      </w:r>
      <w:r w:rsidR="00EE5B7C">
        <w:t>очень крупных изменений курсов</w:t>
      </w:r>
      <w:r w:rsidR="00C53592">
        <w:t xml:space="preserve"> валют к швейцарскому франку</w:t>
      </w:r>
      <w:r w:rsidRPr="006E2404">
        <w:t xml:space="preserve">, </w:t>
      </w:r>
      <w:r w:rsidR="00C53592">
        <w:t xml:space="preserve">какие имели место, </w:t>
      </w:r>
      <w:r w:rsidRPr="006E2404">
        <w:t>например, в начале</w:t>
      </w:r>
      <w:r w:rsidR="007D4D90" w:rsidRPr="006E2404">
        <w:t xml:space="preserve"> 2015</w:t>
      </w:r>
      <w:r w:rsidR="00C53592">
        <w:t xml:space="preserve"> г</w:t>
      </w:r>
      <w:r w:rsidR="007D4D90" w:rsidRPr="006E2404">
        <w:t>.</w:t>
      </w:r>
      <w:bookmarkEnd w:id="8"/>
      <w:r w:rsidR="00C53592">
        <w:t xml:space="preserve"> </w:t>
      </w:r>
    </w:p>
    <w:p w:rsidR="007D4D90" w:rsidRPr="006E2404" w:rsidRDefault="00C53592" w:rsidP="00DC6904">
      <w:pPr>
        <w:pStyle w:val="ONUME"/>
        <w:keepLines/>
        <w:numPr>
          <w:ilvl w:val="0"/>
          <w:numId w:val="16"/>
        </w:numPr>
        <w:ind w:left="0" w:firstLine="0"/>
      </w:pPr>
      <w:r>
        <w:t>Предлагается следующий</w:t>
      </w:r>
      <w:r w:rsidR="007D4D90" w:rsidRPr="006E2404">
        <w:t xml:space="preserve"> </w:t>
      </w:r>
      <w:r w:rsidR="008A38C8" w:rsidRPr="006E2404">
        <w:t>пункт решения</w:t>
      </w:r>
      <w:r w:rsidR="007D4D90" w:rsidRPr="006E2404">
        <w:t>.</w:t>
      </w:r>
    </w:p>
    <w:p w:rsidR="007D4D90" w:rsidRPr="008A38C8" w:rsidRDefault="008A38C8" w:rsidP="00AE6ED3">
      <w:pPr>
        <w:pStyle w:val="ONUME"/>
        <w:numPr>
          <w:ilvl w:val="0"/>
          <w:numId w:val="16"/>
        </w:numPr>
        <w:tabs>
          <w:tab w:val="left" w:pos="6096"/>
        </w:tabs>
        <w:spacing w:after="0"/>
        <w:ind w:left="5490" w:firstLine="0"/>
        <w:rPr>
          <w:i/>
        </w:rPr>
      </w:pPr>
      <w:r w:rsidRPr="008A38C8">
        <w:rPr>
          <w:i/>
        </w:rPr>
        <w:t>Комитет по программе и бюджету</w:t>
      </w:r>
      <w:r w:rsidR="007D4D90" w:rsidRPr="008A38C8">
        <w:rPr>
          <w:i/>
        </w:rPr>
        <w:t xml:space="preserve"> </w:t>
      </w:r>
      <w:r w:rsidRPr="008A38C8">
        <w:rPr>
          <w:i/>
        </w:rPr>
        <w:t>принял к сведению содержание документа</w:t>
      </w:r>
      <w:r w:rsidR="007D4D90" w:rsidRPr="008A38C8">
        <w:rPr>
          <w:i/>
        </w:rPr>
        <w:t xml:space="preserve"> </w:t>
      </w:r>
      <w:r w:rsidR="00F46777">
        <w:rPr>
          <w:i/>
          <w:lang w:val="en-US"/>
        </w:rPr>
        <w:t>WO</w:t>
      </w:r>
      <w:r w:rsidR="00F46777" w:rsidRPr="00F46777">
        <w:rPr>
          <w:i/>
        </w:rPr>
        <w:t>/</w:t>
      </w:r>
      <w:r w:rsidR="00F46777">
        <w:rPr>
          <w:i/>
          <w:lang w:val="en-US"/>
        </w:rPr>
        <w:t>PBC</w:t>
      </w:r>
      <w:r w:rsidR="00F46777" w:rsidRPr="00F46777">
        <w:rPr>
          <w:i/>
        </w:rPr>
        <w:t>/</w:t>
      </w:r>
      <w:r w:rsidR="007D4D90" w:rsidRPr="008A38C8">
        <w:rPr>
          <w:i/>
        </w:rPr>
        <w:t xml:space="preserve">25/20, </w:t>
      </w:r>
      <w:r w:rsidR="00C53592" w:rsidRPr="00C53592">
        <w:rPr>
          <w:i/>
        </w:rPr>
        <w:t xml:space="preserve">в частности, </w:t>
      </w:r>
      <w:r w:rsidR="00C53592">
        <w:rPr>
          <w:i/>
        </w:rPr>
        <w:t>его пункт</w:t>
      </w:r>
      <w:r w:rsidR="00EE5B7C">
        <w:rPr>
          <w:i/>
        </w:rPr>
        <w:t>ы</w:t>
      </w:r>
      <w:r w:rsidR="007D4D90" w:rsidRPr="00C553E3">
        <w:rPr>
          <w:i/>
          <w:lang w:val="en-US"/>
        </w:rPr>
        <w:t> </w:t>
      </w:r>
      <w:r w:rsidR="007D4D90">
        <w:rPr>
          <w:i/>
        </w:rPr>
        <w:fldChar w:fldCharType="begin"/>
      </w:r>
      <w:r w:rsidR="007D4D90" w:rsidRPr="008A38C8">
        <w:rPr>
          <w:i/>
        </w:rPr>
        <w:instrText xml:space="preserve"> </w:instrText>
      </w:r>
      <w:r w:rsidR="007D4D90" w:rsidRPr="00C553E3">
        <w:rPr>
          <w:i/>
          <w:lang w:val="en-US"/>
        </w:rPr>
        <w:instrText>REF</w:instrText>
      </w:r>
      <w:r w:rsidR="007D4D90" w:rsidRPr="008A38C8">
        <w:rPr>
          <w:i/>
        </w:rPr>
        <w:instrText xml:space="preserve"> _</w:instrText>
      </w:r>
      <w:r w:rsidR="007D4D90" w:rsidRPr="00C553E3">
        <w:rPr>
          <w:i/>
          <w:lang w:val="en-US"/>
        </w:rPr>
        <w:instrText>Ref</w:instrText>
      </w:r>
      <w:r w:rsidR="007D4D90" w:rsidRPr="008A38C8">
        <w:rPr>
          <w:i/>
        </w:rPr>
        <w:instrText>453954188 \</w:instrText>
      </w:r>
      <w:r w:rsidR="007D4D90" w:rsidRPr="00C553E3">
        <w:rPr>
          <w:i/>
          <w:lang w:val="en-US"/>
        </w:rPr>
        <w:instrText>r</w:instrText>
      </w:r>
      <w:r w:rsidR="007D4D90" w:rsidRPr="008A38C8">
        <w:rPr>
          <w:i/>
        </w:rPr>
        <w:instrText xml:space="preserve"> \</w:instrText>
      </w:r>
      <w:r w:rsidR="007D4D90" w:rsidRPr="00C553E3">
        <w:rPr>
          <w:i/>
          <w:lang w:val="en-US"/>
        </w:rPr>
        <w:instrText>h</w:instrText>
      </w:r>
      <w:r w:rsidR="007D4D90" w:rsidRPr="008A38C8">
        <w:rPr>
          <w:i/>
        </w:rPr>
        <w:instrText xml:space="preserve"> </w:instrText>
      </w:r>
      <w:r w:rsidR="007D4D90">
        <w:rPr>
          <w:i/>
        </w:rPr>
      </w:r>
      <w:r w:rsidR="007D4D90">
        <w:rPr>
          <w:i/>
        </w:rPr>
        <w:fldChar w:fldCharType="separate"/>
      </w:r>
      <w:r w:rsidR="004B2858" w:rsidRPr="004B2858">
        <w:rPr>
          <w:i/>
        </w:rPr>
        <w:t>24</w:t>
      </w:r>
      <w:r w:rsidR="007D4D90">
        <w:rPr>
          <w:i/>
        </w:rPr>
        <w:fldChar w:fldCharType="end"/>
      </w:r>
      <w:r w:rsidR="007D4D90" w:rsidRPr="008A38C8">
        <w:rPr>
          <w:i/>
        </w:rPr>
        <w:t xml:space="preserve"> </w:t>
      </w:r>
      <w:r w:rsidR="006E2404" w:rsidRPr="006E2404">
        <w:rPr>
          <w:i/>
        </w:rPr>
        <w:t>и</w:t>
      </w:r>
      <w:r w:rsidR="007D4D90" w:rsidRPr="00C553E3">
        <w:rPr>
          <w:i/>
          <w:lang w:val="en-US"/>
        </w:rPr>
        <w:t> </w:t>
      </w:r>
      <w:r w:rsidR="007D4D90">
        <w:rPr>
          <w:i/>
        </w:rPr>
        <w:fldChar w:fldCharType="begin"/>
      </w:r>
      <w:r w:rsidR="007D4D90" w:rsidRPr="008A38C8">
        <w:rPr>
          <w:i/>
        </w:rPr>
        <w:instrText xml:space="preserve"> </w:instrText>
      </w:r>
      <w:r w:rsidR="007D4D90" w:rsidRPr="00C553E3">
        <w:rPr>
          <w:i/>
          <w:lang w:val="en-US"/>
        </w:rPr>
        <w:instrText>REF</w:instrText>
      </w:r>
      <w:r w:rsidR="007D4D90" w:rsidRPr="008A38C8">
        <w:rPr>
          <w:i/>
        </w:rPr>
        <w:instrText xml:space="preserve"> _</w:instrText>
      </w:r>
      <w:r w:rsidR="007D4D90" w:rsidRPr="00C553E3">
        <w:rPr>
          <w:i/>
          <w:lang w:val="en-US"/>
        </w:rPr>
        <w:instrText>Ref</w:instrText>
      </w:r>
      <w:r w:rsidR="007D4D90" w:rsidRPr="008A38C8">
        <w:rPr>
          <w:i/>
        </w:rPr>
        <w:instrText>453954197 \</w:instrText>
      </w:r>
      <w:r w:rsidR="007D4D90" w:rsidRPr="00C553E3">
        <w:rPr>
          <w:i/>
          <w:lang w:val="en-US"/>
        </w:rPr>
        <w:instrText>r</w:instrText>
      </w:r>
      <w:r w:rsidR="007D4D90" w:rsidRPr="008A38C8">
        <w:rPr>
          <w:i/>
        </w:rPr>
        <w:instrText xml:space="preserve"> \</w:instrText>
      </w:r>
      <w:r w:rsidR="007D4D90" w:rsidRPr="00C553E3">
        <w:rPr>
          <w:i/>
          <w:lang w:val="en-US"/>
        </w:rPr>
        <w:instrText>h</w:instrText>
      </w:r>
      <w:r w:rsidR="007D4D90" w:rsidRPr="008A38C8">
        <w:rPr>
          <w:i/>
        </w:rPr>
        <w:instrText xml:space="preserve"> </w:instrText>
      </w:r>
      <w:r w:rsidR="007D4D90">
        <w:rPr>
          <w:i/>
        </w:rPr>
      </w:r>
      <w:r w:rsidR="007D4D90">
        <w:rPr>
          <w:i/>
        </w:rPr>
        <w:fldChar w:fldCharType="separate"/>
      </w:r>
      <w:r w:rsidR="004B2858" w:rsidRPr="004B2858">
        <w:rPr>
          <w:i/>
        </w:rPr>
        <w:t>25</w:t>
      </w:r>
      <w:r w:rsidR="007D4D90">
        <w:rPr>
          <w:i/>
        </w:rPr>
        <w:fldChar w:fldCharType="end"/>
      </w:r>
      <w:r w:rsidR="00C53592">
        <w:rPr>
          <w:i/>
        </w:rPr>
        <w:t xml:space="preserve">. </w:t>
      </w:r>
    </w:p>
    <w:p w:rsidR="007D4D90" w:rsidRPr="008A38C8" w:rsidRDefault="007D4D90" w:rsidP="00AE6ED3">
      <w:pPr>
        <w:pStyle w:val="ONUME"/>
        <w:numPr>
          <w:ilvl w:val="0"/>
          <w:numId w:val="0"/>
        </w:numPr>
        <w:spacing w:after="0"/>
        <w:rPr>
          <w:i/>
        </w:rPr>
      </w:pPr>
    </w:p>
    <w:p w:rsidR="007D4D90" w:rsidRPr="008A38C8" w:rsidRDefault="007D4D90" w:rsidP="00AE6ED3">
      <w:pPr>
        <w:pStyle w:val="ONUME"/>
        <w:numPr>
          <w:ilvl w:val="0"/>
          <w:numId w:val="0"/>
        </w:numPr>
        <w:spacing w:after="0"/>
        <w:rPr>
          <w:i/>
        </w:rPr>
      </w:pPr>
    </w:p>
    <w:p w:rsidR="007D4D90" w:rsidRPr="006E2404" w:rsidRDefault="004B4CD2" w:rsidP="00657768">
      <w:pPr>
        <w:pStyle w:val="Endofdocument-Annex"/>
        <w:rPr>
          <w:lang w:val="ru-RU"/>
        </w:rPr>
      </w:pPr>
      <w:r>
        <w:rPr>
          <w:lang w:val="ru-RU"/>
        </w:rPr>
        <w:t>[Приложение следуе</w:t>
      </w:r>
      <w:r w:rsidR="008A38C8" w:rsidRPr="006E2404">
        <w:rPr>
          <w:lang w:val="ru-RU"/>
        </w:rPr>
        <w:t>т]</w:t>
      </w: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657768">
      <w:pPr>
        <w:pStyle w:val="Endofdocument-Annex"/>
        <w:rPr>
          <w:highlight w:val="cyan"/>
          <w:lang w:val="ru-RU"/>
        </w:rPr>
      </w:pPr>
    </w:p>
    <w:p w:rsidR="007D4D90" w:rsidRPr="006E2404" w:rsidRDefault="007D4D90" w:rsidP="007D673B">
      <w:pPr>
        <w:rPr>
          <w:highlight w:val="cyan"/>
          <w:lang w:val="ru-RU"/>
        </w:rPr>
      </w:pPr>
    </w:p>
    <w:p w:rsidR="007D4D90" w:rsidRPr="006E2404" w:rsidRDefault="007D4D90" w:rsidP="007D673B">
      <w:pPr>
        <w:rPr>
          <w:highlight w:val="cyan"/>
          <w:lang w:val="ru-RU"/>
        </w:rPr>
        <w:sectPr w:rsidR="007D4D90" w:rsidRPr="006E2404" w:rsidSect="00BC0C8E">
          <w:headerReference w:type="default" r:id="rId12"/>
          <w:headerReference w:type="first" r:id="rId13"/>
          <w:pgSz w:w="11920" w:h="16860"/>
          <w:pgMar w:top="624" w:right="1191" w:bottom="1418" w:left="1418" w:header="539" w:footer="0" w:gutter="0"/>
          <w:pgNumType w:start="1"/>
          <w:cols w:space="720"/>
          <w:titlePg/>
          <w:docGrid w:linePitch="299"/>
        </w:sectPr>
      </w:pPr>
    </w:p>
    <w:p w:rsidR="007D4D90" w:rsidRPr="006E2404" w:rsidRDefault="007D4D90" w:rsidP="00A86FDE">
      <w:pPr>
        <w:spacing w:before="25"/>
        <w:ind w:right="5077"/>
        <w:rPr>
          <w:rFonts w:eastAsia="Times New Roman"/>
          <w:b/>
          <w:bCs/>
          <w:sz w:val="28"/>
          <w:szCs w:val="28"/>
          <w:lang w:val="ru-RU"/>
        </w:rPr>
      </w:pPr>
    </w:p>
    <w:tbl>
      <w:tblPr>
        <w:tblW w:w="9356" w:type="dxa"/>
        <w:tblInd w:w="108" w:type="dxa"/>
        <w:tblLayout w:type="fixed"/>
        <w:tblLook w:val="01E0" w:firstRow="1" w:lastRow="1" w:firstColumn="1" w:lastColumn="1" w:noHBand="0" w:noVBand="0"/>
      </w:tblPr>
      <w:tblGrid>
        <w:gridCol w:w="4513"/>
        <w:gridCol w:w="4337"/>
        <w:gridCol w:w="506"/>
      </w:tblGrid>
      <w:tr w:rsidR="00124DCE" w:rsidRPr="008B2CC1" w:rsidTr="00555B8B">
        <w:tc>
          <w:tcPr>
            <w:tcW w:w="4513" w:type="dxa"/>
            <w:tcBorders>
              <w:bottom w:val="single" w:sz="4" w:space="0" w:color="auto"/>
            </w:tcBorders>
            <w:tcMar>
              <w:bottom w:w="170" w:type="dxa"/>
            </w:tcMar>
          </w:tcPr>
          <w:p w:rsidR="00124DCE" w:rsidRPr="008B2CC1" w:rsidRDefault="00124DCE" w:rsidP="00916EE2"/>
        </w:tc>
        <w:tc>
          <w:tcPr>
            <w:tcW w:w="4337" w:type="dxa"/>
            <w:tcBorders>
              <w:bottom w:val="single" w:sz="4" w:space="0" w:color="auto"/>
            </w:tcBorders>
            <w:tcMar>
              <w:left w:w="0" w:type="dxa"/>
              <w:right w:w="0" w:type="dxa"/>
            </w:tcMar>
          </w:tcPr>
          <w:p w:rsidR="00124DCE" w:rsidRPr="008B2CC1" w:rsidRDefault="00A76E3C" w:rsidP="00916EE2">
            <w:r>
              <w:rPr>
                <w:noProof/>
                <w:lang w:eastAsia="en-US"/>
              </w:rPr>
              <w:drawing>
                <wp:inline distT="0" distB="0" distL="0" distR="0">
                  <wp:extent cx="1691640" cy="1257935"/>
                  <wp:effectExtent l="0" t="0" r="3810" b="0"/>
                  <wp:docPr id="4" name="Picture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125793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24DCE" w:rsidRPr="00CE6BAB" w:rsidRDefault="00124DCE" w:rsidP="00916EE2">
            <w:pPr>
              <w:jc w:val="right"/>
            </w:pPr>
            <w:r>
              <w:rPr>
                <w:b/>
                <w:sz w:val="40"/>
                <w:szCs w:val="40"/>
              </w:rPr>
              <w:t>R</w:t>
            </w:r>
          </w:p>
        </w:tc>
      </w:tr>
      <w:tr w:rsidR="00124DCE"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124DCE" w:rsidRPr="0090731E" w:rsidRDefault="00124DCE" w:rsidP="00555B8B">
            <w:pPr>
              <w:jc w:val="right"/>
              <w:rPr>
                <w:rFonts w:ascii="Arial Black" w:hAnsi="Arial Black"/>
                <w:caps/>
                <w:sz w:val="15"/>
              </w:rPr>
            </w:pPr>
            <w:r w:rsidRPr="006D229A">
              <w:rPr>
                <w:rFonts w:ascii="Arial Black" w:hAnsi="Arial Black"/>
                <w:caps/>
                <w:sz w:val="15"/>
                <w:lang w:val="ru-RU"/>
              </w:rPr>
              <w:t>PCT/WG/9/9</w:t>
            </w:r>
            <w:r>
              <w:rPr>
                <w:rFonts w:ascii="Arial Black" w:hAnsi="Arial Black"/>
                <w:caps/>
                <w:sz w:val="15"/>
              </w:rPr>
              <w:t xml:space="preserve"> </w:t>
            </w:r>
            <w:r w:rsidRPr="0090731E">
              <w:rPr>
                <w:rFonts w:ascii="Arial Black" w:hAnsi="Arial Black"/>
                <w:caps/>
                <w:sz w:val="15"/>
              </w:rPr>
              <w:t xml:space="preserve">   </w:t>
            </w:r>
          </w:p>
        </w:tc>
      </w:tr>
      <w:tr w:rsidR="00124DCE" w:rsidRPr="001832A6" w:rsidTr="00916EE2">
        <w:trPr>
          <w:trHeight w:hRule="exact" w:val="170"/>
        </w:trPr>
        <w:tc>
          <w:tcPr>
            <w:tcW w:w="9356" w:type="dxa"/>
            <w:gridSpan w:val="3"/>
            <w:noWrap/>
            <w:tcMar>
              <w:left w:w="0" w:type="dxa"/>
              <w:right w:w="0" w:type="dxa"/>
            </w:tcMar>
            <w:vAlign w:val="bottom"/>
          </w:tcPr>
          <w:p w:rsidR="00124DCE" w:rsidRPr="0090731E" w:rsidRDefault="00124DCE" w:rsidP="00555B8B">
            <w:pPr>
              <w:jc w:val="right"/>
              <w:rPr>
                <w:rFonts w:ascii="Arial Black" w:hAnsi="Arial Black"/>
                <w:caps/>
                <w:sz w:val="15"/>
              </w:rPr>
            </w:pPr>
            <w:r w:rsidRPr="006D229A">
              <w:rPr>
                <w:rFonts w:ascii="Arial Black" w:hAnsi="Arial Black"/>
                <w:caps/>
                <w:sz w:val="15"/>
                <w:lang w:val="ru-RU"/>
              </w:rPr>
              <w:t>ОРИГИНАЛ: АНГЛИЙСКИЙ</w:t>
            </w:r>
          </w:p>
        </w:tc>
      </w:tr>
      <w:tr w:rsidR="00124DCE" w:rsidRPr="001832A6" w:rsidTr="00916EE2">
        <w:trPr>
          <w:trHeight w:hRule="exact" w:val="198"/>
        </w:trPr>
        <w:tc>
          <w:tcPr>
            <w:tcW w:w="9356" w:type="dxa"/>
            <w:gridSpan w:val="3"/>
            <w:tcMar>
              <w:left w:w="0" w:type="dxa"/>
              <w:right w:w="0" w:type="dxa"/>
            </w:tcMar>
            <w:vAlign w:val="bottom"/>
          </w:tcPr>
          <w:p w:rsidR="00124DCE" w:rsidRPr="0090731E" w:rsidRDefault="00124DCE" w:rsidP="00555B8B">
            <w:pPr>
              <w:jc w:val="right"/>
              <w:rPr>
                <w:rFonts w:ascii="Arial Black" w:hAnsi="Arial Black"/>
                <w:caps/>
                <w:sz w:val="15"/>
              </w:rPr>
            </w:pPr>
            <w:r w:rsidRPr="006D229A">
              <w:rPr>
                <w:rFonts w:ascii="Arial Black" w:hAnsi="Arial Black"/>
                <w:caps/>
                <w:sz w:val="15"/>
                <w:lang w:val="ru-RU"/>
              </w:rPr>
              <w:t>дата: 15 марта 2016 г.</w:t>
            </w:r>
          </w:p>
        </w:tc>
      </w:tr>
    </w:tbl>
    <w:p w:rsidR="00124DCE" w:rsidRPr="008B2CC1" w:rsidRDefault="00124DCE" w:rsidP="008B2CC1"/>
    <w:p w:rsidR="00124DCE" w:rsidRPr="008B2CC1" w:rsidRDefault="00124DCE" w:rsidP="008B2CC1"/>
    <w:p w:rsidR="00124DCE" w:rsidRPr="008B2CC1" w:rsidRDefault="00124DCE" w:rsidP="008B2CC1"/>
    <w:p w:rsidR="00124DCE" w:rsidRPr="008B2CC1" w:rsidRDefault="00124DCE" w:rsidP="008B2CC1"/>
    <w:p w:rsidR="00124DCE" w:rsidRPr="008B2CC1" w:rsidRDefault="00124DCE" w:rsidP="008B2CC1"/>
    <w:p w:rsidR="00124DCE" w:rsidRPr="009F4F7E" w:rsidRDefault="00124DCE" w:rsidP="00555B8B">
      <w:pPr>
        <w:rPr>
          <w:b/>
          <w:sz w:val="28"/>
          <w:szCs w:val="28"/>
          <w:lang w:val="ru-RU"/>
        </w:rPr>
      </w:pPr>
      <w:r w:rsidRPr="009F4F7E">
        <w:rPr>
          <w:b/>
          <w:sz w:val="28"/>
          <w:szCs w:val="28"/>
          <w:lang w:val="ru-RU"/>
        </w:rPr>
        <w:t>Рабочая группа по</w:t>
      </w:r>
    </w:p>
    <w:p w:rsidR="00124DCE" w:rsidRPr="002C2B08" w:rsidRDefault="00124DCE" w:rsidP="00555B8B">
      <w:pPr>
        <w:rPr>
          <w:b/>
          <w:sz w:val="28"/>
          <w:szCs w:val="28"/>
          <w:lang w:val="ru-RU"/>
        </w:rPr>
      </w:pPr>
      <w:r w:rsidRPr="009F4F7E">
        <w:rPr>
          <w:b/>
          <w:sz w:val="28"/>
          <w:szCs w:val="28"/>
          <w:lang w:val="ru-RU"/>
        </w:rPr>
        <w:t>Договору</w:t>
      </w:r>
      <w:r w:rsidRPr="002C2B08">
        <w:rPr>
          <w:b/>
          <w:sz w:val="28"/>
          <w:szCs w:val="28"/>
          <w:lang w:val="ru-RU"/>
        </w:rPr>
        <w:t xml:space="preserve"> </w:t>
      </w:r>
      <w:r w:rsidRPr="009F4F7E">
        <w:rPr>
          <w:b/>
          <w:sz w:val="28"/>
          <w:szCs w:val="28"/>
          <w:lang w:val="ru-RU"/>
        </w:rPr>
        <w:t>о</w:t>
      </w:r>
      <w:r w:rsidRPr="002C2B08">
        <w:rPr>
          <w:b/>
          <w:sz w:val="28"/>
          <w:szCs w:val="28"/>
          <w:lang w:val="ru-RU"/>
        </w:rPr>
        <w:t xml:space="preserve"> </w:t>
      </w:r>
      <w:r w:rsidRPr="009F4F7E">
        <w:rPr>
          <w:b/>
          <w:sz w:val="28"/>
          <w:szCs w:val="28"/>
          <w:lang w:val="ru-RU"/>
        </w:rPr>
        <w:t>патентной</w:t>
      </w:r>
      <w:r w:rsidRPr="002C2B08">
        <w:rPr>
          <w:b/>
          <w:sz w:val="28"/>
          <w:szCs w:val="28"/>
          <w:lang w:val="ru-RU"/>
        </w:rPr>
        <w:t xml:space="preserve"> </w:t>
      </w:r>
      <w:r w:rsidRPr="009F4F7E">
        <w:rPr>
          <w:b/>
          <w:sz w:val="28"/>
          <w:szCs w:val="28"/>
          <w:lang w:val="ru-RU"/>
        </w:rPr>
        <w:t>кооперации</w:t>
      </w:r>
      <w:r w:rsidRPr="002C2B08">
        <w:rPr>
          <w:b/>
          <w:sz w:val="28"/>
          <w:szCs w:val="28"/>
          <w:lang w:val="ru-RU"/>
        </w:rPr>
        <w:t xml:space="preserve"> (</w:t>
      </w:r>
      <w:r w:rsidRPr="009F4F7E">
        <w:rPr>
          <w:b/>
          <w:sz w:val="28"/>
          <w:szCs w:val="28"/>
        </w:rPr>
        <w:t>PCT</w:t>
      </w:r>
      <w:r w:rsidRPr="002C2B08">
        <w:rPr>
          <w:b/>
          <w:sz w:val="28"/>
          <w:szCs w:val="28"/>
          <w:lang w:val="ru-RU"/>
        </w:rPr>
        <w:t>)</w:t>
      </w:r>
    </w:p>
    <w:p w:rsidR="00124DCE" w:rsidRPr="002C2B08" w:rsidRDefault="00124DCE" w:rsidP="003845C1">
      <w:pPr>
        <w:rPr>
          <w:lang w:val="ru-RU"/>
        </w:rPr>
      </w:pPr>
    </w:p>
    <w:p w:rsidR="00124DCE" w:rsidRPr="002C2B08" w:rsidRDefault="00124DCE" w:rsidP="003845C1">
      <w:pPr>
        <w:rPr>
          <w:lang w:val="ru-RU"/>
        </w:rPr>
      </w:pPr>
    </w:p>
    <w:p w:rsidR="00124DCE" w:rsidRPr="002C2B08" w:rsidRDefault="00124DCE" w:rsidP="008B2CC1">
      <w:pPr>
        <w:rPr>
          <w:b/>
          <w:sz w:val="24"/>
          <w:szCs w:val="24"/>
          <w:lang w:val="ru-RU"/>
        </w:rPr>
      </w:pPr>
      <w:r>
        <w:rPr>
          <w:b/>
          <w:sz w:val="24"/>
          <w:szCs w:val="24"/>
          <w:lang w:val="ru-RU"/>
        </w:rPr>
        <w:t>Девятая</w:t>
      </w:r>
      <w:r w:rsidRPr="002C2B08">
        <w:rPr>
          <w:b/>
          <w:sz w:val="24"/>
          <w:szCs w:val="24"/>
          <w:lang w:val="ru-RU"/>
        </w:rPr>
        <w:t xml:space="preserve"> </w:t>
      </w:r>
      <w:r>
        <w:rPr>
          <w:b/>
          <w:sz w:val="24"/>
          <w:szCs w:val="24"/>
          <w:lang w:val="ru-RU"/>
        </w:rPr>
        <w:t>сессия</w:t>
      </w:r>
    </w:p>
    <w:p w:rsidR="00124DCE" w:rsidRPr="002C2B08" w:rsidRDefault="00124DCE" w:rsidP="008B2CC1">
      <w:pPr>
        <w:rPr>
          <w:b/>
          <w:sz w:val="24"/>
          <w:szCs w:val="24"/>
          <w:lang w:val="ru-RU"/>
        </w:rPr>
      </w:pPr>
      <w:r>
        <w:rPr>
          <w:b/>
          <w:sz w:val="24"/>
          <w:szCs w:val="24"/>
          <w:lang w:val="ru-RU"/>
        </w:rPr>
        <w:t>Женева</w:t>
      </w:r>
      <w:r w:rsidRPr="002C2B08">
        <w:rPr>
          <w:b/>
          <w:sz w:val="24"/>
          <w:szCs w:val="24"/>
          <w:lang w:val="ru-RU"/>
        </w:rPr>
        <w:t>, 17 – 20</w:t>
      </w:r>
      <w:r>
        <w:rPr>
          <w:b/>
          <w:sz w:val="24"/>
          <w:szCs w:val="24"/>
          <w:lang w:val="ru-RU"/>
        </w:rPr>
        <w:t xml:space="preserve"> мая</w:t>
      </w:r>
      <w:r w:rsidRPr="002C2B08">
        <w:rPr>
          <w:b/>
          <w:sz w:val="24"/>
          <w:szCs w:val="24"/>
          <w:lang w:val="ru-RU"/>
        </w:rPr>
        <w:t xml:space="preserve"> 2016 </w:t>
      </w:r>
      <w:r>
        <w:rPr>
          <w:b/>
          <w:sz w:val="24"/>
          <w:szCs w:val="24"/>
          <w:lang w:val="ru-RU"/>
        </w:rPr>
        <w:t>г</w:t>
      </w:r>
      <w:r w:rsidRPr="002C2B08">
        <w:rPr>
          <w:b/>
          <w:sz w:val="24"/>
          <w:szCs w:val="24"/>
          <w:lang w:val="ru-RU"/>
        </w:rPr>
        <w:t>.</w:t>
      </w:r>
    </w:p>
    <w:p w:rsidR="00124DCE" w:rsidRPr="002C2B08" w:rsidRDefault="00124DCE" w:rsidP="008B2CC1">
      <w:pPr>
        <w:rPr>
          <w:lang w:val="ru-RU"/>
        </w:rPr>
      </w:pPr>
    </w:p>
    <w:p w:rsidR="00124DCE" w:rsidRPr="002C2B08" w:rsidRDefault="00124DCE" w:rsidP="008B2CC1">
      <w:pPr>
        <w:rPr>
          <w:lang w:val="ru-RU"/>
        </w:rPr>
      </w:pPr>
    </w:p>
    <w:p w:rsidR="00124DCE" w:rsidRPr="002C2B08" w:rsidRDefault="00124DCE" w:rsidP="008B2CC1">
      <w:pPr>
        <w:rPr>
          <w:lang w:val="ru-RU"/>
        </w:rPr>
      </w:pPr>
    </w:p>
    <w:p w:rsidR="00124DCE" w:rsidRPr="002C2B08" w:rsidRDefault="00124DCE" w:rsidP="008B2CC1">
      <w:pPr>
        <w:rPr>
          <w:caps/>
          <w:sz w:val="24"/>
          <w:lang w:val="ru-RU"/>
        </w:rPr>
      </w:pPr>
      <w:r w:rsidRPr="009F4F7E">
        <w:rPr>
          <w:caps/>
          <w:sz w:val="24"/>
          <w:lang w:val="ru-RU"/>
        </w:rPr>
        <w:t>ДОХОД</w:t>
      </w:r>
      <w:r w:rsidR="008C1646">
        <w:rPr>
          <w:caps/>
          <w:sz w:val="24"/>
          <w:lang w:val="ru-RU"/>
        </w:rPr>
        <w:t>Ы</w:t>
      </w:r>
      <w:r w:rsidRPr="002C2B08">
        <w:rPr>
          <w:caps/>
          <w:sz w:val="24"/>
          <w:lang w:val="ru-RU"/>
        </w:rPr>
        <w:t xml:space="preserve"> </w:t>
      </w:r>
      <w:r w:rsidRPr="009F4F7E">
        <w:rPr>
          <w:caps/>
          <w:sz w:val="24"/>
          <w:lang w:val="ru-RU"/>
        </w:rPr>
        <w:t>В</w:t>
      </w:r>
      <w:r w:rsidRPr="002C2B08">
        <w:rPr>
          <w:caps/>
          <w:sz w:val="24"/>
          <w:lang w:val="ru-RU"/>
        </w:rPr>
        <w:t xml:space="preserve"> </w:t>
      </w:r>
      <w:r w:rsidRPr="009F4F7E">
        <w:rPr>
          <w:caps/>
          <w:sz w:val="24"/>
          <w:lang w:val="ru-RU"/>
        </w:rPr>
        <w:t>ВИДЕ</w:t>
      </w:r>
      <w:r w:rsidRPr="002C2B08">
        <w:rPr>
          <w:caps/>
          <w:sz w:val="24"/>
          <w:lang w:val="ru-RU"/>
        </w:rPr>
        <w:t xml:space="preserve"> </w:t>
      </w:r>
      <w:r w:rsidRPr="009F4F7E">
        <w:rPr>
          <w:caps/>
          <w:sz w:val="24"/>
          <w:lang w:val="ru-RU"/>
        </w:rPr>
        <w:t>ПОШЛИН</w:t>
      </w:r>
      <w:r w:rsidRPr="002C2B08">
        <w:rPr>
          <w:caps/>
          <w:sz w:val="24"/>
          <w:lang w:val="ru-RU"/>
        </w:rPr>
        <w:t xml:space="preserve"> </w:t>
      </w:r>
      <w:r w:rsidRPr="009F4F7E">
        <w:rPr>
          <w:caps/>
          <w:sz w:val="24"/>
        </w:rPr>
        <w:t>PCT</w:t>
      </w:r>
      <w:r w:rsidRPr="002C2B08">
        <w:rPr>
          <w:caps/>
          <w:sz w:val="24"/>
          <w:lang w:val="ru-RU"/>
        </w:rPr>
        <w:t xml:space="preserve">:  </w:t>
      </w:r>
      <w:r>
        <w:rPr>
          <w:caps/>
          <w:sz w:val="24"/>
          <w:lang w:val="ru-RU"/>
        </w:rPr>
        <w:t>ОТЧЕТ</w:t>
      </w:r>
      <w:r w:rsidRPr="002C2B08">
        <w:rPr>
          <w:caps/>
          <w:sz w:val="24"/>
          <w:lang w:val="ru-RU"/>
        </w:rPr>
        <w:t xml:space="preserve"> </w:t>
      </w:r>
      <w:r>
        <w:rPr>
          <w:caps/>
          <w:sz w:val="24"/>
          <w:lang w:val="ru-RU"/>
        </w:rPr>
        <w:t>О</w:t>
      </w:r>
      <w:r w:rsidRPr="002C2B08">
        <w:rPr>
          <w:caps/>
          <w:sz w:val="24"/>
          <w:lang w:val="ru-RU"/>
        </w:rPr>
        <w:t xml:space="preserve"> </w:t>
      </w:r>
      <w:r>
        <w:rPr>
          <w:caps/>
          <w:sz w:val="24"/>
          <w:lang w:val="ru-RU"/>
        </w:rPr>
        <w:t>ХОДЕ</w:t>
      </w:r>
      <w:r w:rsidRPr="002C2B08">
        <w:rPr>
          <w:caps/>
          <w:sz w:val="24"/>
          <w:lang w:val="ru-RU"/>
        </w:rPr>
        <w:t xml:space="preserve"> </w:t>
      </w:r>
      <w:r>
        <w:rPr>
          <w:caps/>
          <w:sz w:val="24"/>
          <w:lang w:val="ru-RU"/>
        </w:rPr>
        <w:t>АНАЛИЗА</w:t>
      </w:r>
      <w:r w:rsidRPr="002C2B08">
        <w:rPr>
          <w:caps/>
          <w:sz w:val="24"/>
          <w:lang w:val="ru-RU"/>
        </w:rPr>
        <w:t xml:space="preserve"> </w:t>
      </w:r>
      <w:r w:rsidRPr="009F4F7E">
        <w:rPr>
          <w:caps/>
          <w:sz w:val="24"/>
          <w:lang w:val="ru-RU"/>
        </w:rPr>
        <w:t>возможны</w:t>
      </w:r>
      <w:r>
        <w:rPr>
          <w:caps/>
          <w:sz w:val="24"/>
          <w:lang w:val="ru-RU"/>
        </w:rPr>
        <w:t>Х</w:t>
      </w:r>
      <w:r w:rsidRPr="002C2B08">
        <w:rPr>
          <w:caps/>
          <w:sz w:val="24"/>
          <w:lang w:val="ru-RU"/>
        </w:rPr>
        <w:t xml:space="preserve"> </w:t>
      </w:r>
      <w:r w:rsidRPr="009F4F7E">
        <w:rPr>
          <w:caps/>
          <w:sz w:val="24"/>
          <w:lang w:val="ru-RU"/>
        </w:rPr>
        <w:t>мер</w:t>
      </w:r>
      <w:r>
        <w:rPr>
          <w:caps/>
          <w:sz w:val="24"/>
          <w:lang w:val="ru-RU"/>
        </w:rPr>
        <w:t xml:space="preserve"> </w:t>
      </w:r>
      <w:r w:rsidR="00572794">
        <w:rPr>
          <w:caps/>
          <w:sz w:val="24"/>
          <w:lang w:val="ru-RU"/>
        </w:rPr>
        <w:t>для уменьшения</w:t>
      </w:r>
      <w:r w:rsidRPr="002C2B08">
        <w:rPr>
          <w:caps/>
          <w:sz w:val="24"/>
          <w:lang w:val="ru-RU"/>
        </w:rPr>
        <w:t xml:space="preserve"> </w:t>
      </w:r>
      <w:r w:rsidRPr="009F4F7E">
        <w:rPr>
          <w:caps/>
          <w:sz w:val="24"/>
          <w:lang w:val="ru-RU"/>
        </w:rPr>
        <w:t>рисков</w:t>
      </w:r>
      <w:r w:rsidRPr="002C2B08">
        <w:rPr>
          <w:caps/>
          <w:sz w:val="24"/>
          <w:lang w:val="ru-RU"/>
        </w:rPr>
        <w:t xml:space="preserve">, </w:t>
      </w:r>
      <w:r w:rsidRPr="009F4F7E">
        <w:rPr>
          <w:caps/>
          <w:sz w:val="24"/>
          <w:lang w:val="ru-RU"/>
        </w:rPr>
        <w:t>связанных</w:t>
      </w:r>
      <w:r w:rsidRPr="002C2B08">
        <w:rPr>
          <w:caps/>
          <w:sz w:val="24"/>
          <w:lang w:val="ru-RU"/>
        </w:rPr>
        <w:t xml:space="preserve"> </w:t>
      </w:r>
      <w:r w:rsidRPr="009F4F7E">
        <w:rPr>
          <w:caps/>
          <w:sz w:val="24"/>
          <w:lang w:val="ru-RU"/>
        </w:rPr>
        <w:t>с</w:t>
      </w:r>
      <w:r w:rsidRPr="002C2B08">
        <w:rPr>
          <w:caps/>
          <w:sz w:val="24"/>
          <w:lang w:val="ru-RU"/>
        </w:rPr>
        <w:t xml:space="preserve"> </w:t>
      </w:r>
      <w:r w:rsidRPr="009F4F7E">
        <w:rPr>
          <w:caps/>
          <w:sz w:val="24"/>
          <w:lang w:val="ru-RU"/>
        </w:rPr>
        <w:t>изменениЯМИ</w:t>
      </w:r>
      <w:r w:rsidRPr="002C2B08">
        <w:rPr>
          <w:caps/>
          <w:sz w:val="24"/>
          <w:lang w:val="ru-RU"/>
        </w:rPr>
        <w:t xml:space="preserve"> </w:t>
      </w:r>
      <w:r w:rsidRPr="009F4F7E">
        <w:rPr>
          <w:caps/>
          <w:sz w:val="24"/>
          <w:lang w:val="ru-RU"/>
        </w:rPr>
        <w:t>обменных</w:t>
      </w:r>
      <w:r w:rsidRPr="002C2B08">
        <w:rPr>
          <w:caps/>
          <w:sz w:val="24"/>
          <w:lang w:val="ru-RU"/>
        </w:rPr>
        <w:t xml:space="preserve"> </w:t>
      </w:r>
      <w:r w:rsidRPr="009F4F7E">
        <w:rPr>
          <w:caps/>
          <w:sz w:val="24"/>
          <w:lang w:val="ru-RU"/>
        </w:rPr>
        <w:t>курсов</w:t>
      </w:r>
    </w:p>
    <w:p w:rsidR="00124DCE" w:rsidRPr="002C2B08" w:rsidRDefault="00124DCE" w:rsidP="008B2CC1">
      <w:pPr>
        <w:rPr>
          <w:lang w:val="ru-RU"/>
        </w:rPr>
      </w:pPr>
    </w:p>
    <w:p w:rsidR="00124DCE" w:rsidRPr="009F4F7E" w:rsidRDefault="00124DCE">
      <w:pPr>
        <w:rPr>
          <w:lang w:val="ru-RU"/>
        </w:rPr>
      </w:pPr>
      <w:r w:rsidRPr="009F4F7E">
        <w:rPr>
          <w:i/>
          <w:lang w:val="ru-RU"/>
        </w:rPr>
        <w:t>Документ подготовлен Международным бюро</w:t>
      </w:r>
      <w:r>
        <w:rPr>
          <w:i/>
          <w:lang w:val="ru-RU"/>
        </w:rPr>
        <w:t xml:space="preserve"> </w:t>
      </w:r>
    </w:p>
    <w:p w:rsidR="00124DCE" w:rsidRPr="009F4F7E" w:rsidRDefault="00124DCE">
      <w:pPr>
        <w:rPr>
          <w:lang w:val="ru-RU"/>
        </w:rPr>
      </w:pPr>
    </w:p>
    <w:p w:rsidR="00124DCE" w:rsidRPr="009F4F7E" w:rsidRDefault="00124DCE">
      <w:pPr>
        <w:rPr>
          <w:lang w:val="ru-RU"/>
        </w:rPr>
      </w:pPr>
    </w:p>
    <w:p w:rsidR="00124DCE" w:rsidRPr="009F4F7E" w:rsidRDefault="00124DCE" w:rsidP="00555B8B">
      <w:pPr>
        <w:pStyle w:val="Heading1"/>
        <w:rPr>
          <w:lang w:val="ru-RU"/>
        </w:rPr>
      </w:pPr>
      <w:r>
        <w:rPr>
          <w:lang w:val="ru-RU"/>
        </w:rPr>
        <w:t>реЗЮМЕ</w:t>
      </w:r>
    </w:p>
    <w:p w:rsidR="00124DCE" w:rsidRPr="00D5750A" w:rsidRDefault="00124DCE" w:rsidP="00FB30DF">
      <w:pPr>
        <w:pStyle w:val="ONUME"/>
        <w:numPr>
          <w:ilvl w:val="0"/>
          <w:numId w:val="19"/>
        </w:numPr>
      </w:pPr>
      <w:r>
        <w:rPr>
          <w:lang w:eastAsia="ko-KR"/>
        </w:rPr>
        <w:t xml:space="preserve">В настоящем документе содержится отчет о ходе осуществляемого Международного бюро анализа по вопросам, </w:t>
      </w:r>
      <w:r w:rsidRPr="008A5367">
        <w:rPr>
          <w:lang w:eastAsia="ko-KR"/>
        </w:rPr>
        <w:t>связанны</w:t>
      </w:r>
      <w:r>
        <w:rPr>
          <w:lang w:eastAsia="ko-KR"/>
        </w:rPr>
        <w:t>м</w:t>
      </w:r>
      <w:r w:rsidRPr="008A5367">
        <w:rPr>
          <w:lang w:eastAsia="ko-KR"/>
        </w:rPr>
        <w:t xml:space="preserve"> с</w:t>
      </w:r>
      <w:r>
        <w:rPr>
          <w:lang w:eastAsia="ko-KR"/>
        </w:rPr>
        <w:t xml:space="preserve"> возможной</w:t>
      </w:r>
      <w:r w:rsidRPr="008A5367">
        <w:rPr>
          <w:lang w:eastAsia="ko-KR"/>
        </w:rPr>
        <w:t xml:space="preserve"> реализацией стратегии хеджирования доходов PCT в виде пошлин</w:t>
      </w:r>
      <w:r>
        <w:rPr>
          <w:lang w:eastAsia="ko-KR"/>
        </w:rPr>
        <w:t xml:space="preserve">, а также обновленная информация о положении дел в связи с возможным введением  </w:t>
      </w:r>
      <w:r>
        <w:rPr>
          <w:rFonts w:eastAsia="Malgun Gothic"/>
          <w:lang w:eastAsia="ko-KR"/>
        </w:rPr>
        <w:t>«</w:t>
      </w:r>
      <w:r w:rsidRPr="008A5367">
        <w:rPr>
          <w:rFonts w:eastAsia="Malgun Gothic"/>
          <w:lang w:eastAsia="ko-KR"/>
        </w:rPr>
        <w:t>механизм</w:t>
      </w:r>
      <w:r>
        <w:rPr>
          <w:rFonts w:eastAsia="Malgun Gothic"/>
          <w:lang w:eastAsia="ko-KR"/>
        </w:rPr>
        <w:t>а</w:t>
      </w:r>
      <w:r w:rsidRPr="008A5367">
        <w:rPr>
          <w:rFonts w:eastAsia="Malgun Gothic"/>
          <w:lang w:eastAsia="ko-KR"/>
        </w:rPr>
        <w:t xml:space="preserve"> сальдирования</w:t>
      </w:r>
      <w:r>
        <w:rPr>
          <w:rFonts w:eastAsia="Malgun Gothic"/>
          <w:lang w:eastAsia="ko-KR"/>
        </w:rPr>
        <w:t>»</w:t>
      </w:r>
      <w:r w:rsidRPr="008A5367">
        <w:rPr>
          <w:rFonts w:eastAsia="Malgun Gothic"/>
          <w:lang w:eastAsia="ko-KR"/>
        </w:rPr>
        <w:t xml:space="preserve"> для всех связанных с пошлинами РСТ операций</w:t>
      </w:r>
      <w:r>
        <w:rPr>
          <w:rFonts w:eastAsia="Malgun Gothic"/>
          <w:lang w:eastAsia="ko-KR"/>
        </w:rPr>
        <w:t xml:space="preserve">.  Международное бюро предлагает продолжить изучение обеих предложенных мер </w:t>
      </w:r>
      <w:r w:rsidRPr="008A5367">
        <w:rPr>
          <w:rFonts w:eastAsia="Malgun Gothic"/>
          <w:lang w:eastAsia="ko-KR"/>
        </w:rPr>
        <w:t>для уменьшения рисков, связанных с изменени</w:t>
      </w:r>
      <w:r>
        <w:rPr>
          <w:rFonts w:eastAsia="Malgun Gothic"/>
          <w:lang w:eastAsia="ko-KR"/>
        </w:rPr>
        <w:t>ями</w:t>
      </w:r>
      <w:r w:rsidRPr="008A5367">
        <w:rPr>
          <w:rFonts w:eastAsia="Malgun Gothic"/>
          <w:lang w:eastAsia="ko-KR"/>
        </w:rPr>
        <w:t xml:space="preserve"> обменных курсов</w:t>
      </w:r>
      <w:r>
        <w:rPr>
          <w:rFonts w:eastAsia="Malgun Gothic"/>
          <w:lang w:eastAsia="ko-KR"/>
        </w:rPr>
        <w:t xml:space="preserve">, с целью представления Рабочей группе на ее следующей сессии в 2017 г. предложений относительно целесообразности начала хеджевых операций и введения </w:t>
      </w:r>
      <w:r w:rsidRPr="008A5367">
        <w:rPr>
          <w:rFonts w:eastAsia="Malgun Gothic"/>
          <w:lang w:eastAsia="ko-KR"/>
        </w:rPr>
        <w:t>«механизм</w:t>
      </w:r>
      <w:r>
        <w:rPr>
          <w:rFonts w:eastAsia="Malgun Gothic"/>
          <w:lang w:eastAsia="ko-KR"/>
        </w:rPr>
        <w:t>а</w:t>
      </w:r>
      <w:r w:rsidRPr="008A5367">
        <w:rPr>
          <w:rFonts w:eastAsia="Malgun Gothic"/>
          <w:lang w:eastAsia="ko-KR"/>
        </w:rPr>
        <w:t xml:space="preserve"> сальдирования»</w:t>
      </w:r>
      <w:r>
        <w:rPr>
          <w:rFonts w:eastAsia="Malgun Gothic"/>
          <w:lang w:eastAsia="ko-KR"/>
        </w:rPr>
        <w:t xml:space="preserve">. </w:t>
      </w:r>
    </w:p>
    <w:p w:rsidR="00124DCE" w:rsidRPr="002A3A43" w:rsidRDefault="00124DCE" w:rsidP="00555B8B">
      <w:pPr>
        <w:pStyle w:val="Heading1"/>
        <w:rPr>
          <w:lang w:val="ru-RU"/>
        </w:rPr>
      </w:pPr>
      <w:r>
        <w:rPr>
          <w:lang w:val="ru-RU"/>
        </w:rPr>
        <w:t>СПРАВОЧНАЯ ИНФОРМАЦИЯ</w:t>
      </w:r>
    </w:p>
    <w:p w:rsidR="00124DCE" w:rsidRPr="002A3A43" w:rsidRDefault="00124DCE" w:rsidP="00124DCE">
      <w:pPr>
        <w:pStyle w:val="ONUME"/>
        <w:numPr>
          <w:ilvl w:val="0"/>
          <w:numId w:val="19"/>
        </w:numPr>
      </w:pPr>
      <w:r>
        <w:t>На</w:t>
      </w:r>
      <w:r w:rsidRPr="002A3A43">
        <w:t xml:space="preserve"> </w:t>
      </w:r>
      <w:r>
        <w:t>своей</w:t>
      </w:r>
      <w:r w:rsidRPr="002A3A43">
        <w:t xml:space="preserve"> </w:t>
      </w:r>
      <w:r>
        <w:t>восьмой</w:t>
      </w:r>
      <w:r w:rsidRPr="002A3A43">
        <w:t xml:space="preserve"> </w:t>
      </w:r>
      <w:r>
        <w:t>сессии</w:t>
      </w:r>
      <w:r w:rsidRPr="002A3A43">
        <w:t xml:space="preserve"> </w:t>
      </w:r>
      <w:r>
        <w:t>в</w:t>
      </w:r>
      <w:r w:rsidRPr="002A3A43">
        <w:t xml:space="preserve"> </w:t>
      </w:r>
      <w:r>
        <w:t>мае</w:t>
      </w:r>
      <w:r w:rsidRPr="002A3A43">
        <w:t xml:space="preserve"> 2015 </w:t>
      </w:r>
      <w:r>
        <w:t>г</w:t>
      </w:r>
      <w:r w:rsidRPr="002A3A43">
        <w:t xml:space="preserve">. </w:t>
      </w:r>
      <w:r>
        <w:t>Рабочая</w:t>
      </w:r>
      <w:r w:rsidRPr="002A3A43">
        <w:t xml:space="preserve"> </w:t>
      </w:r>
      <w:r>
        <w:t xml:space="preserve">группа обсудила подготовленный Международным бюро документ, в котором были изложены различные возможные меры </w:t>
      </w:r>
      <w:r w:rsidRPr="002A3A43">
        <w:t>для уменьшения рисков, которым могут быть подвержены доходы в виде пошлин РСТ вследствие изменения обменных курсов</w:t>
      </w:r>
      <w:r>
        <w:t xml:space="preserve"> (документ</w:t>
      </w:r>
      <w:r w:rsidRPr="002A3A43">
        <w:t xml:space="preserve"> </w:t>
      </w:r>
      <w:r>
        <w:t>PCT</w:t>
      </w:r>
      <w:r w:rsidRPr="002A3A43">
        <w:t>/</w:t>
      </w:r>
      <w:r>
        <w:t>WG/8/15).  Ход обсуждений вкратце освещен в пунктах 21-36</w:t>
      </w:r>
      <w:r w:rsidRPr="002A3A43">
        <w:t xml:space="preserve"> </w:t>
      </w:r>
      <w:r>
        <w:t>Резюме Председателя (документ PCT</w:t>
      </w:r>
      <w:r w:rsidRPr="002A3A43">
        <w:t>/</w:t>
      </w:r>
      <w:r>
        <w:t>WG</w:t>
      </w:r>
      <w:r w:rsidRPr="002A3A43">
        <w:t>/8/25)</w:t>
      </w:r>
      <w:r>
        <w:t>; подробно отражены все выступления в пунктах 52-78 отчета о работе сессии (документ PCT</w:t>
      </w:r>
      <w:r w:rsidRPr="004049FA">
        <w:t>/</w:t>
      </w:r>
      <w:r>
        <w:t>WG</w:t>
      </w:r>
      <w:r w:rsidRPr="004049FA">
        <w:t>/8/26)</w:t>
      </w:r>
      <w:r>
        <w:t>.</w:t>
      </w:r>
    </w:p>
    <w:p w:rsidR="00124DCE" w:rsidRPr="004049FA" w:rsidRDefault="00124DCE" w:rsidP="00124DCE">
      <w:pPr>
        <w:pStyle w:val="ONUME"/>
        <w:numPr>
          <w:ilvl w:val="0"/>
          <w:numId w:val="19"/>
        </w:numPr>
      </w:pPr>
      <w:r>
        <w:t>В настоящем документе представлена обновленная информация о проработке двух возможных мер, обсуждавшихся в документе PCT</w:t>
      </w:r>
      <w:r w:rsidRPr="004049FA">
        <w:t>/</w:t>
      </w:r>
      <w:r>
        <w:t>WG</w:t>
      </w:r>
      <w:r w:rsidRPr="004049FA">
        <w:t xml:space="preserve">/8/15, </w:t>
      </w:r>
      <w:r>
        <w:t>а именно</w:t>
      </w:r>
      <w:r w:rsidRPr="004049FA">
        <w:t>:</w:t>
      </w:r>
    </w:p>
    <w:p w:rsidR="00124DCE" w:rsidRPr="004049FA" w:rsidRDefault="00124DCE" w:rsidP="00124DCE">
      <w:pPr>
        <w:pStyle w:val="ONUME"/>
        <w:numPr>
          <w:ilvl w:val="1"/>
          <w:numId w:val="19"/>
        </w:numPr>
      </w:pPr>
      <w:r w:rsidRPr="004049FA">
        <w:t xml:space="preserve">хеджирование и установление эквивалентного размера пошлин </w:t>
      </w:r>
      <w:r>
        <w:t>PCT</w:t>
      </w:r>
      <w:r w:rsidRPr="004049FA">
        <w:t xml:space="preserve"> на фиксированный период времени</w:t>
      </w:r>
      <w:r>
        <w:t>; и</w:t>
      </w:r>
    </w:p>
    <w:p w:rsidR="00124DCE" w:rsidRPr="005343E1" w:rsidRDefault="00124DCE" w:rsidP="00124DCE">
      <w:pPr>
        <w:pStyle w:val="ONUME"/>
        <w:numPr>
          <w:ilvl w:val="1"/>
          <w:numId w:val="19"/>
        </w:numPr>
      </w:pPr>
      <w:r w:rsidRPr="005343E1">
        <w:t xml:space="preserve">введение </w:t>
      </w:r>
      <w:r>
        <w:t xml:space="preserve">«механизма </w:t>
      </w:r>
      <w:r w:rsidRPr="005343E1">
        <w:t>сальдирования</w:t>
      </w:r>
      <w:r>
        <w:t xml:space="preserve">» при </w:t>
      </w:r>
      <w:r w:rsidRPr="005343E1">
        <w:t>перечислени</w:t>
      </w:r>
      <w:r>
        <w:t>и</w:t>
      </w:r>
      <w:r w:rsidRPr="005343E1">
        <w:t xml:space="preserve"> пошлин </w:t>
      </w:r>
      <w:r>
        <w:t>PCT</w:t>
      </w:r>
      <w:r w:rsidRPr="005343E1">
        <w:t>.</w:t>
      </w:r>
    </w:p>
    <w:p w:rsidR="00124DCE" w:rsidRPr="004049FA" w:rsidRDefault="00124DCE" w:rsidP="00555B8B">
      <w:pPr>
        <w:pStyle w:val="Heading1"/>
        <w:rPr>
          <w:lang w:val="ru-RU"/>
        </w:rPr>
      </w:pPr>
      <w:r w:rsidRPr="004049FA">
        <w:rPr>
          <w:lang w:val="ru-RU"/>
        </w:rPr>
        <w:t>хеджирование и установление эквивалентного размера пошлин рст на фиксированный период времени</w:t>
      </w:r>
    </w:p>
    <w:p w:rsidR="00124DCE" w:rsidRPr="005343E1" w:rsidRDefault="00124DCE" w:rsidP="00555B8B">
      <w:pPr>
        <w:pStyle w:val="Heading2"/>
        <w:rPr>
          <w:lang w:val="ru-RU"/>
        </w:rPr>
      </w:pPr>
      <w:r>
        <w:rPr>
          <w:lang w:val="ru-RU"/>
        </w:rPr>
        <w:t>ОПРЕДЕЛЕНИЕ ХЕДЖИРОВАНИЯ</w:t>
      </w:r>
    </w:p>
    <w:p w:rsidR="00124DCE" w:rsidRPr="005343E1" w:rsidRDefault="00124DCE" w:rsidP="00124DCE">
      <w:pPr>
        <w:pStyle w:val="ONUME"/>
        <w:numPr>
          <w:ilvl w:val="0"/>
          <w:numId w:val="19"/>
        </w:numPr>
      </w:pPr>
      <w:r w:rsidRPr="005343E1">
        <w:t>Под хеджированием понимается открытие балансирующих позиций с целью све</w:t>
      </w:r>
      <w:r>
        <w:t xml:space="preserve">дения </w:t>
      </w:r>
      <w:r w:rsidRPr="005343E1">
        <w:t xml:space="preserve">к минимуму </w:t>
      </w:r>
      <w:r>
        <w:t>рисков, таких как неблагоприятная динамика</w:t>
      </w:r>
      <w:r w:rsidRPr="005343E1">
        <w:t xml:space="preserve"> процентных ставок или, </w:t>
      </w:r>
      <w:r>
        <w:t xml:space="preserve">как </w:t>
      </w:r>
      <w:r w:rsidRPr="005343E1">
        <w:t xml:space="preserve">в случае ВОИС, </w:t>
      </w:r>
      <w:r>
        <w:t xml:space="preserve">влияние изменений </w:t>
      </w:r>
      <w:r w:rsidRPr="005343E1">
        <w:t>обменных курсов</w:t>
      </w:r>
      <w:r>
        <w:t>.  Как показано в пунктах  20–22 приложения I</w:t>
      </w:r>
      <w:r>
        <w:rPr>
          <w:rFonts w:eastAsia="Malgun Gothic"/>
          <w:lang w:eastAsia="ko-KR"/>
        </w:rPr>
        <w:t xml:space="preserve"> к документу </w:t>
      </w:r>
      <w:r>
        <w:t>PCT</w:t>
      </w:r>
      <w:r w:rsidRPr="009D5616">
        <w:t>/</w:t>
      </w:r>
      <w:r>
        <w:t>WG</w:t>
      </w:r>
      <w:r w:rsidRPr="009D5616">
        <w:t>/8/15</w:t>
      </w:r>
      <w:r>
        <w:t xml:space="preserve">, одним из способов хеджирования рисков, возникающих при осуществлении операций в иностранных валютах, является использование </w:t>
      </w:r>
      <w:r w:rsidRPr="005343E1">
        <w:t>форвардных валютных контрактов («форвардов»).</w:t>
      </w:r>
      <w:r>
        <w:t xml:space="preserve">  </w:t>
      </w:r>
      <w:r w:rsidRPr="009D5616">
        <w:t>Форвард – это договор между двумя сторонами об обмене определенны</w:t>
      </w:r>
      <w:r>
        <w:t>х</w:t>
      </w:r>
      <w:r w:rsidRPr="009D5616">
        <w:t xml:space="preserve"> сумм валюты по согласованному обменному курсу </w:t>
      </w:r>
      <w:r>
        <w:t>(</w:t>
      </w:r>
      <w:r w:rsidRPr="009D5616">
        <w:t>«форвардн</w:t>
      </w:r>
      <w:r>
        <w:t>ому</w:t>
      </w:r>
      <w:r w:rsidRPr="009D5616">
        <w:t xml:space="preserve"> курс</w:t>
      </w:r>
      <w:r>
        <w:t>у</w:t>
      </w:r>
      <w:r w:rsidRPr="009D5616">
        <w:t>»</w:t>
      </w:r>
      <w:r>
        <w:t xml:space="preserve">) </w:t>
      </w:r>
      <w:r w:rsidRPr="009D5616">
        <w:t xml:space="preserve">в установленную дату в будущем. </w:t>
      </w:r>
    </w:p>
    <w:p w:rsidR="00124DCE" w:rsidRPr="009D5616" w:rsidRDefault="00124DCE" w:rsidP="00124DCE">
      <w:pPr>
        <w:pStyle w:val="ONUME"/>
        <w:numPr>
          <w:ilvl w:val="0"/>
          <w:numId w:val="19"/>
        </w:numPr>
      </w:pPr>
      <w:bookmarkStart w:id="9" w:name="_Ref445214070"/>
      <w:r>
        <w:t>Обычно</w:t>
      </w:r>
      <w:r w:rsidRPr="009D5616">
        <w:t xml:space="preserve"> стратегия хеджирования валют</w:t>
      </w:r>
      <w:r>
        <w:rPr>
          <w:rFonts w:eastAsia="Malgun Gothic"/>
          <w:lang w:eastAsia="ko-KR"/>
        </w:rPr>
        <w:t>ного курса</w:t>
      </w:r>
      <w:r w:rsidRPr="009D5616">
        <w:t xml:space="preserve"> предполагает </w:t>
      </w:r>
      <w:r>
        <w:t>заключение</w:t>
      </w:r>
      <w:r w:rsidRPr="009D5616">
        <w:t xml:space="preserve"> форвардных контрактов на разные </w:t>
      </w:r>
      <w:r>
        <w:t>даты</w:t>
      </w:r>
      <w:r w:rsidRPr="009D5616">
        <w:t xml:space="preserve"> в течение определенного периода</w:t>
      </w:r>
      <w:r>
        <w:t xml:space="preserve"> времени</w:t>
      </w:r>
      <w:r w:rsidRPr="009D5616">
        <w:t>.</w:t>
      </w:r>
      <w:r>
        <w:t xml:space="preserve">  Сумма в </w:t>
      </w:r>
      <w:r w:rsidRPr="009D5616">
        <w:t>швейцарски</w:t>
      </w:r>
      <w:r>
        <w:t>х</w:t>
      </w:r>
      <w:r w:rsidRPr="009D5616">
        <w:t xml:space="preserve"> франк</w:t>
      </w:r>
      <w:r>
        <w:t>ах, эквивалентная сумме пошлин за этот период в</w:t>
      </w:r>
      <w:r w:rsidRPr="009D5616">
        <w:t xml:space="preserve"> хеджируемому валюте</w:t>
      </w:r>
      <w:r>
        <w:t>, определяется по</w:t>
      </w:r>
      <w:r w:rsidRPr="009D5616">
        <w:t xml:space="preserve"> средневзвешенно</w:t>
      </w:r>
      <w:r>
        <w:t xml:space="preserve">му форвардному курсу, называемому </w:t>
      </w:r>
      <w:r w:rsidRPr="009D5616">
        <w:t xml:space="preserve"> смешанны</w:t>
      </w:r>
      <w:r>
        <w:t>м</w:t>
      </w:r>
      <w:r w:rsidRPr="009D5616">
        <w:t xml:space="preserve"> </w:t>
      </w:r>
      <w:r>
        <w:t xml:space="preserve">курсом </w:t>
      </w:r>
      <w:r w:rsidRPr="009D5616">
        <w:t xml:space="preserve">хеджирования и </w:t>
      </w:r>
      <w:r>
        <w:t>за</w:t>
      </w:r>
      <w:r w:rsidRPr="009D5616">
        <w:t>фиксированно</w:t>
      </w:r>
      <w:r>
        <w:t>му на</w:t>
      </w:r>
      <w:r w:rsidRPr="009D5616">
        <w:t xml:space="preserve"> период, охваченный форвардным</w:t>
      </w:r>
      <w:r>
        <w:t>и</w:t>
      </w:r>
      <w:r w:rsidRPr="009D5616">
        <w:t xml:space="preserve"> контрактам</w:t>
      </w:r>
      <w:r>
        <w:t>и</w:t>
      </w:r>
      <w:r w:rsidRPr="009D5616">
        <w:t xml:space="preserve">. </w:t>
      </w:r>
      <w:r>
        <w:t xml:space="preserve"> </w:t>
      </w:r>
      <w:r w:rsidRPr="009D5616">
        <w:t xml:space="preserve">Таким образом, фиксация эквивалентной суммы </w:t>
      </w:r>
      <w:r>
        <w:t>на</w:t>
      </w:r>
      <w:r w:rsidRPr="009D5616">
        <w:t xml:space="preserve"> период хеджирования должн</w:t>
      </w:r>
      <w:r>
        <w:t>а</w:t>
      </w:r>
      <w:r w:rsidRPr="009D5616">
        <w:t xml:space="preserve"> обеспечить большую предсказуемость </w:t>
      </w:r>
      <w:r>
        <w:t>поступлений</w:t>
      </w:r>
      <w:r w:rsidRPr="009D5616">
        <w:t xml:space="preserve"> в валютах хеджируем</w:t>
      </w:r>
      <w:r>
        <w:t>ого</w:t>
      </w:r>
      <w:r w:rsidRPr="009D5616">
        <w:t xml:space="preserve"> доход</w:t>
      </w:r>
      <w:r>
        <w:t>а</w:t>
      </w:r>
      <w:r w:rsidRPr="009D5616">
        <w:t xml:space="preserve">. </w:t>
      </w:r>
      <w:r>
        <w:t xml:space="preserve"> </w:t>
      </w:r>
      <w:r w:rsidRPr="009D5616">
        <w:t>Более подробное объяснение это</w:t>
      </w:r>
      <w:r>
        <w:t>й процедуры</w:t>
      </w:r>
      <w:r w:rsidRPr="009D5616">
        <w:t xml:space="preserve"> с </w:t>
      </w:r>
      <w:r>
        <w:t xml:space="preserve">соответствующим </w:t>
      </w:r>
      <w:r w:rsidRPr="009D5616">
        <w:t xml:space="preserve">примером </w:t>
      </w:r>
      <w:r>
        <w:t>см. в пунктах 23–</w:t>
      </w:r>
      <w:r w:rsidRPr="009D5616">
        <w:t xml:space="preserve">29 </w:t>
      </w:r>
      <w:r>
        <w:t>п</w:t>
      </w:r>
      <w:r w:rsidRPr="009D5616">
        <w:t>риложения I к документу РСТ/WG/815.</w:t>
      </w:r>
    </w:p>
    <w:bookmarkEnd w:id="9"/>
    <w:p w:rsidR="00124DCE" w:rsidRPr="00CE7B69" w:rsidRDefault="00124DCE" w:rsidP="00555B8B">
      <w:pPr>
        <w:pStyle w:val="Heading2"/>
        <w:rPr>
          <w:lang w:val="ru-RU"/>
        </w:rPr>
      </w:pPr>
      <w:r w:rsidRPr="00CE7B69">
        <w:rPr>
          <w:lang w:val="ru-RU"/>
        </w:rPr>
        <w:t>Обсуждения в рамках Рабочей группы</w:t>
      </w:r>
      <w:r>
        <w:rPr>
          <w:lang w:val="ru-RU"/>
        </w:rPr>
        <w:t xml:space="preserve"> и</w:t>
      </w:r>
      <w:r w:rsidRPr="00CE7B69">
        <w:rPr>
          <w:lang w:val="ru-RU"/>
        </w:rPr>
        <w:t xml:space="preserve"> КОМИТЕТА ПО ПРОГРАММЕ И БЮДЖЕ</w:t>
      </w:r>
      <w:r>
        <w:rPr>
          <w:lang w:val="ru-RU"/>
        </w:rPr>
        <w:t xml:space="preserve">ТУ И НА </w:t>
      </w:r>
      <w:r w:rsidRPr="00CE7B69">
        <w:rPr>
          <w:lang w:val="ru-RU"/>
        </w:rPr>
        <w:t>Ассамбле</w:t>
      </w:r>
      <w:r>
        <w:rPr>
          <w:lang w:val="ru-RU"/>
        </w:rPr>
        <w:t>Е</w:t>
      </w:r>
      <w:r w:rsidRPr="00CE7B69">
        <w:rPr>
          <w:lang w:val="ru-RU"/>
        </w:rPr>
        <w:t xml:space="preserve"> РСТ  </w:t>
      </w:r>
    </w:p>
    <w:p w:rsidR="00124DCE" w:rsidRPr="00CE7B69" w:rsidRDefault="00124DCE" w:rsidP="00124DCE">
      <w:pPr>
        <w:pStyle w:val="ONUME"/>
        <w:numPr>
          <w:ilvl w:val="0"/>
          <w:numId w:val="19"/>
        </w:numPr>
      </w:pPr>
      <w:r w:rsidRPr="00CE7B69">
        <w:t>Рабочая группа по PCT на своей восьмой сессии, состоявшейся в мае 2015 г.,</w:t>
      </w:r>
      <w:r>
        <w:t xml:space="preserve"> </w:t>
      </w:r>
      <w:r>
        <w:rPr>
          <w:rFonts w:eastAsia="Malgun Gothic"/>
          <w:lang w:eastAsia="ko-KR"/>
        </w:rPr>
        <w:t xml:space="preserve">приняла решение по </w:t>
      </w:r>
      <w:r w:rsidRPr="00CE7B69">
        <w:t>изложен</w:t>
      </w:r>
      <w:r>
        <w:t>ному</w:t>
      </w:r>
      <w:r w:rsidRPr="00CE7B69">
        <w:t xml:space="preserve"> в документе PCT/WG/8/15</w:t>
      </w:r>
      <w:r>
        <w:t xml:space="preserve"> </w:t>
      </w:r>
      <w:r w:rsidRPr="00CE7B69">
        <w:t>предложени</w:t>
      </w:r>
      <w:r>
        <w:t>ю</w:t>
      </w:r>
      <w:r w:rsidRPr="00CE7B69">
        <w:t xml:space="preserve"> Международного бюро приступить к хеджированию рисков, связанных с международными пошлинами за подачу заявок, взимаемыми в евро</w:t>
      </w:r>
      <w:r>
        <w:t>, японских иенах и долларах США (см. пункт 78 Отчета о работе сессии, документ PCT</w:t>
      </w:r>
      <w:r w:rsidRPr="00F14C88">
        <w:t>/</w:t>
      </w:r>
      <w:r>
        <w:t>WG</w:t>
      </w:r>
      <w:r w:rsidRPr="00F14C88">
        <w:t>/8/26</w:t>
      </w:r>
      <w:r>
        <w:t>), с целью его представления Ассамблее для рассмотрения на сессии в октябре 2015 г.</w:t>
      </w:r>
    </w:p>
    <w:p w:rsidR="00124DCE" w:rsidRPr="00F14C88" w:rsidRDefault="00124DCE" w:rsidP="00C340F7">
      <w:pPr>
        <w:pStyle w:val="ONUME"/>
        <w:numPr>
          <w:ilvl w:val="0"/>
          <w:numId w:val="0"/>
        </w:numPr>
        <w:ind w:left="567"/>
      </w:pPr>
      <w:r>
        <w:t>«78.</w:t>
      </w:r>
      <w:r>
        <w:tab/>
      </w:r>
      <w:r w:rsidRPr="00F14C88">
        <w:t>Рабочая группа согласилась с предлагаемыми изменениями к Директивным указаниям Ассамблеи РСТ, касающимися установления эквивалентных размеров определенных пошлин, в том виде, в каком они сформулированы в Приложении II к документу PCT/WG/8/15, и предложила представить их на рассмотрение Ассамблеи на ее следующей сессии в октябре 2015 г., оставляя за Секретариатом право внесения в них редакционных изменений, или – в качестве альтернативного варианта – предлагает представить на утверждение Ассамблеи проект согласованного понимания, подробно характеризующего новую процедуру установления эквивалентных размеров пошлин в валютах, предлагаемых для хеджирования, с использованием смешанных курсов хеджирования, вместе с предлагаемыми изменениями к Директивным указаниям</w:t>
      </w:r>
      <w:r>
        <w:t>».</w:t>
      </w:r>
    </w:p>
    <w:p w:rsidR="00124DCE" w:rsidRPr="00F14C88" w:rsidRDefault="00124DCE" w:rsidP="00124DCE">
      <w:pPr>
        <w:pStyle w:val="ONUME"/>
        <w:numPr>
          <w:ilvl w:val="0"/>
          <w:numId w:val="19"/>
        </w:numPr>
      </w:pPr>
      <w:r>
        <w:t>До</w:t>
      </w:r>
      <w:r w:rsidRPr="00F14C88">
        <w:t xml:space="preserve"> </w:t>
      </w:r>
      <w:r>
        <w:t>октябрьской</w:t>
      </w:r>
      <w:r w:rsidRPr="00F14C88">
        <w:t xml:space="preserve"> </w:t>
      </w:r>
      <w:r>
        <w:t>сессии</w:t>
      </w:r>
      <w:r w:rsidRPr="00F14C88">
        <w:t xml:space="preserve"> </w:t>
      </w:r>
      <w:r>
        <w:t>Ассамблеи</w:t>
      </w:r>
      <w:r w:rsidRPr="00F14C88">
        <w:t xml:space="preserve"> 2015 </w:t>
      </w:r>
      <w:r>
        <w:t>г</w:t>
      </w:r>
      <w:r w:rsidRPr="00F14C88">
        <w:t>.</w:t>
      </w:r>
      <w:r>
        <w:t xml:space="preserve"> </w:t>
      </w:r>
      <w:r w:rsidRPr="00F14C88">
        <w:t>Международное бюро представило</w:t>
      </w:r>
      <w:r>
        <w:t xml:space="preserve"> участникам двадцать четвертой сессии Комитета по программе и бюджету (КПБ), состоявшейся 14-18 сентября 2015 г., обновленную информацию о </w:t>
      </w:r>
      <w:r w:rsidRPr="00927CA8">
        <w:t>реализаци</w:t>
      </w:r>
      <w:r>
        <w:t>и предложенной</w:t>
      </w:r>
      <w:r w:rsidRPr="00927CA8">
        <w:t xml:space="preserve"> стратегии хеджирования доходов PCT в виде пошлин</w:t>
      </w:r>
      <w:r>
        <w:t>, которая была изложена в документе</w:t>
      </w:r>
      <w:r w:rsidRPr="00F14C88">
        <w:t xml:space="preserve"> </w:t>
      </w:r>
      <w:r>
        <w:t>WO</w:t>
      </w:r>
      <w:r w:rsidRPr="00927CA8">
        <w:t>/</w:t>
      </w:r>
      <w:r>
        <w:t>PBC</w:t>
      </w:r>
      <w:r w:rsidRPr="00927CA8">
        <w:t>/24/</w:t>
      </w:r>
      <w:r>
        <w:t>INF</w:t>
      </w:r>
      <w:r w:rsidRPr="00927CA8">
        <w:t>.3</w:t>
      </w:r>
      <w:r>
        <w:t xml:space="preserve">, где были обозначены некоторые риски и проблемы, сопряженные с данной стратегией. Рассмотрев упомянутый документ, КПБ </w:t>
      </w:r>
      <w:r w:rsidRPr="00927CA8">
        <w:t>принял следующ</w:t>
      </w:r>
      <w:r>
        <w:t>ую</w:t>
      </w:r>
      <w:r w:rsidRPr="00927CA8">
        <w:t xml:space="preserve"> рекомендаци</w:t>
      </w:r>
      <w:r>
        <w:t>ю</w:t>
      </w:r>
      <w:r w:rsidRPr="00927CA8">
        <w:t xml:space="preserve"> для Ассамблеи РСТ (см. документ WO/PBC/24/17, пункт 10</w:t>
      </w:r>
      <w:r w:rsidRPr="00B850CC">
        <w:t xml:space="preserve"> </w:t>
      </w:r>
      <w:r w:rsidRPr="00927CA8">
        <w:t>повестки дня</w:t>
      </w:r>
      <w:r>
        <w:t>):</w:t>
      </w:r>
    </w:p>
    <w:p w:rsidR="00124DCE" w:rsidRPr="005B6207" w:rsidRDefault="00124DCE" w:rsidP="00555B8B">
      <w:pPr>
        <w:pStyle w:val="ONUME"/>
        <w:numPr>
          <w:ilvl w:val="0"/>
          <w:numId w:val="0"/>
        </w:numPr>
        <w:ind w:left="567"/>
      </w:pPr>
      <w:r>
        <w:t>«</w:t>
      </w:r>
      <w:r w:rsidRPr="005B6207">
        <w:t>В отношении рекомендации Рабочей группы по РСТ, содержащейся в документе PCT/WG/8/15, Комитет по программе и бюджету (КПБ) был проинформирован – посредством документа WO/PBC/24/INF/3 – о ряде проблем, связанных с реализацией стратегии хеджирования доходов РСТ в виде пошлин.  После внимательного рассмотрения изложенных в этом документе проблем КПБ рекомендовал Ассамблее Союза РСТ:</w:t>
      </w:r>
      <w:r>
        <w:t xml:space="preserve"> </w:t>
      </w:r>
    </w:p>
    <w:p w:rsidR="00124DCE" w:rsidRPr="005B6207" w:rsidRDefault="00124DCE" w:rsidP="00555B8B">
      <w:pPr>
        <w:pStyle w:val="ONUME"/>
        <w:numPr>
          <w:ilvl w:val="0"/>
          <w:numId w:val="0"/>
        </w:numPr>
        <w:ind w:left="1134"/>
      </w:pPr>
      <w:r w:rsidRPr="005B6207">
        <w:t>(</w:t>
      </w:r>
      <w:r>
        <w:t>i</w:t>
      </w:r>
      <w:r w:rsidRPr="005B6207">
        <w:t>)</w:t>
      </w:r>
      <w:r w:rsidRPr="005B6207">
        <w:tab/>
        <w:t>предоставить Секретариату дополнительное время для проведения дальнейшего всестороннего анализа этих проблем в целях надлежащей оценки всех задач, связанных с реализацией такой стратегии хеджирования; и, как следствие,</w:t>
      </w:r>
    </w:p>
    <w:p w:rsidR="00124DCE" w:rsidRPr="005B6207" w:rsidRDefault="00124DCE" w:rsidP="00555B8B">
      <w:pPr>
        <w:pStyle w:val="ONUME"/>
        <w:numPr>
          <w:ilvl w:val="0"/>
          <w:numId w:val="0"/>
        </w:numPr>
        <w:ind w:left="1134"/>
      </w:pPr>
      <w:r w:rsidRPr="005B6207">
        <w:t>(</w:t>
      </w:r>
      <w:r>
        <w:t>ii</w:t>
      </w:r>
      <w:r w:rsidRPr="005B6207">
        <w:t>)</w:t>
      </w:r>
      <w:r w:rsidRPr="005B6207">
        <w:tab/>
        <w:t>отложить принятие своего решения в отношении вышеуказанной рекомендации до завершения проведения такого анализа</w:t>
      </w:r>
      <w:r>
        <w:t>».</w:t>
      </w:r>
    </w:p>
    <w:p w:rsidR="00124DCE" w:rsidRPr="005B6207" w:rsidRDefault="00124DCE" w:rsidP="00124DCE">
      <w:pPr>
        <w:pStyle w:val="ONUME"/>
        <w:numPr>
          <w:ilvl w:val="0"/>
          <w:numId w:val="19"/>
        </w:numPr>
      </w:pPr>
      <w:r>
        <w:t>С учетом данной рекомендации КПБ Ассамблея РСТ на своей сорок седьмой сессии, состоявшейся в октябре 2015 г., приняла следующее решение (см. документ     PCT</w:t>
      </w:r>
      <w:r w:rsidRPr="005B6207">
        <w:t>/</w:t>
      </w:r>
      <w:r>
        <w:t>A</w:t>
      </w:r>
      <w:r w:rsidRPr="005B6207">
        <w:t>/47/5</w:t>
      </w:r>
      <w:r>
        <w:t xml:space="preserve"> Rev</w:t>
      </w:r>
      <w:r w:rsidRPr="005B6207">
        <w:t>.</w:t>
      </w:r>
      <w:r>
        <w:t xml:space="preserve"> и пункт 23 Отчета о работе сессии, документ</w:t>
      </w:r>
      <w:r w:rsidRPr="005B6207">
        <w:t xml:space="preserve"> </w:t>
      </w:r>
      <w:r>
        <w:t>PCT</w:t>
      </w:r>
      <w:r w:rsidRPr="005B6207">
        <w:t>/</w:t>
      </w:r>
      <w:r>
        <w:t>A</w:t>
      </w:r>
      <w:r w:rsidRPr="005B6207">
        <w:t>/47/9</w:t>
      </w:r>
      <w:r>
        <w:t>:</w:t>
      </w:r>
    </w:p>
    <w:p w:rsidR="00124DCE" w:rsidRPr="005B6207" w:rsidRDefault="00124DCE" w:rsidP="000B058B">
      <w:pPr>
        <w:pStyle w:val="ONUME"/>
        <w:numPr>
          <w:ilvl w:val="0"/>
          <w:numId w:val="0"/>
        </w:numPr>
        <w:ind w:left="567"/>
      </w:pPr>
      <w:r>
        <w:t xml:space="preserve"> «</w:t>
      </w:r>
      <w:r w:rsidRPr="005B6207">
        <w:t>23.</w:t>
      </w:r>
      <w:r w:rsidRPr="005B6207">
        <w:tab/>
      </w:r>
      <w:r>
        <w:t>Ассамблея</w:t>
      </w:r>
      <w:r w:rsidRPr="005B6207">
        <w:t>:</w:t>
      </w:r>
    </w:p>
    <w:p w:rsidR="00124DCE" w:rsidRPr="005B6207" w:rsidRDefault="00124DCE" w:rsidP="000B058B">
      <w:pPr>
        <w:pStyle w:val="ONUME"/>
        <w:numPr>
          <w:ilvl w:val="0"/>
          <w:numId w:val="0"/>
        </w:numPr>
        <w:ind w:left="1134"/>
      </w:pPr>
      <w:r w:rsidRPr="005B6207">
        <w:t>(</w:t>
      </w:r>
      <w:r>
        <w:t>i</w:t>
      </w:r>
      <w:r w:rsidRPr="005B6207">
        <w:t>)</w:t>
      </w:r>
      <w:r w:rsidRPr="005B6207">
        <w:tab/>
        <w:t>приняла к сведению содержание документа PCT/A/47/5 Rev.;</w:t>
      </w:r>
    </w:p>
    <w:p w:rsidR="00124DCE" w:rsidRPr="005B6207" w:rsidRDefault="00124DCE" w:rsidP="000B058B">
      <w:pPr>
        <w:pStyle w:val="ONUME"/>
        <w:numPr>
          <w:ilvl w:val="0"/>
          <w:numId w:val="0"/>
        </w:numPr>
        <w:ind w:left="1134"/>
      </w:pPr>
      <w:r w:rsidRPr="005B6207">
        <w:t>(</w:t>
      </w:r>
      <w:r>
        <w:t>ii</w:t>
      </w:r>
      <w:r w:rsidRPr="005B6207">
        <w:t>)</w:t>
      </w:r>
      <w:r w:rsidRPr="005B6207">
        <w:tab/>
        <w:t>предложила Секретариату провести дальнейший анализ проблем, связанных с реализацией стратегии хеджирования доходов РСТ в виде пошлин, которые изложены в документе WO/PBC/24/INF.3;</w:t>
      </w:r>
    </w:p>
    <w:p w:rsidR="00124DCE" w:rsidRPr="005B6207" w:rsidRDefault="00124DCE" w:rsidP="000B058B">
      <w:pPr>
        <w:pStyle w:val="ONUME"/>
        <w:numPr>
          <w:ilvl w:val="0"/>
          <w:numId w:val="0"/>
        </w:numPr>
        <w:ind w:left="1134"/>
      </w:pPr>
      <w:r w:rsidRPr="005B6207">
        <w:t>(</w:t>
      </w:r>
      <w:r>
        <w:t>iii</w:t>
      </w:r>
      <w:r w:rsidRPr="005B6207">
        <w:t>)</w:t>
      </w:r>
      <w:r w:rsidRPr="005B6207">
        <w:tab/>
        <w:t>отложила принятие любых решений относительно предлагаемых изменений к Директивным указаниям Ассамблеи, касающимся установления эквивалентного размера определенных пошлин, которые были согласованы Рабочей группой, до завершения проведения такого анализа; и</w:t>
      </w:r>
    </w:p>
    <w:p w:rsidR="00124DCE" w:rsidRPr="005B6207" w:rsidRDefault="00124DCE" w:rsidP="000B058B">
      <w:pPr>
        <w:pStyle w:val="ONUME"/>
        <w:numPr>
          <w:ilvl w:val="0"/>
          <w:numId w:val="0"/>
        </w:numPr>
        <w:ind w:left="1134"/>
      </w:pPr>
      <w:r w:rsidRPr="005B6207">
        <w:t>(</w:t>
      </w:r>
      <w:r>
        <w:t>iv</w:t>
      </w:r>
      <w:r w:rsidRPr="005B6207">
        <w:t>)</w:t>
      </w:r>
      <w:r w:rsidRPr="005B6207">
        <w:tab/>
        <w:t>предложила Секретариату представить отчет о ходе работы на сессии Рабочей группы по РСТ в 2016 г.</w:t>
      </w:r>
      <w:r>
        <w:t>»</w:t>
      </w:r>
    </w:p>
    <w:p w:rsidR="00124DCE" w:rsidRPr="000F01D4" w:rsidRDefault="00124DCE" w:rsidP="00124DCE">
      <w:pPr>
        <w:pStyle w:val="ONUME"/>
        <w:numPr>
          <w:ilvl w:val="0"/>
          <w:numId w:val="19"/>
        </w:numPr>
      </w:pPr>
      <w:r>
        <w:t xml:space="preserve">В нижеследующих пунктах 10–17 представлен запрошенный Ассамблеей </w:t>
      </w:r>
      <w:r w:rsidRPr="000F01D4">
        <w:t>отчет о ходе работы по анализу вопросов, связанных с возможной реализацией стратегии хеджирования доходов PCT в виде пошлин</w:t>
      </w:r>
      <w:r>
        <w:t>, изложенной в документе WO</w:t>
      </w:r>
      <w:r w:rsidRPr="000F01D4">
        <w:t>/</w:t>
      </w:r>
      <w:r>
        <w:t>PBC</w:t>
      </w:r>
      <w:r w:rsidRPr="000F01D4">
        <w:t>/24/</w:t>
      </w:r>
      <w:r>
        <w:t>INF</w:t>
      </w:r>
      <w:r w:rsidRPr="000F01D4">
        <w:t>.3.</w:t>
      </w:r>
    </w:p>
    <w:p w:rsidR="00124DCE" w:rsidRPr="000F01D4" w:rsidRDefault="00124DCE" w:rsidP="00555B8B">
      <w:pPr>
        <w:pStyle w:val="Heading2"/>
        <w:rPr>
          <w:lang w:val="ru-RU"/>
        </w:rPr>
      </w:pPr>
      <w:r>
        <w:rPr>
          <w:lang w:val="ru-RU"/>
        </w:rPr>
        <w:t>ОТЧЕТ О ХОДЕ РАБОТЫ</w:t>
      </w:r>
    </w:p>
    <w:p w:rsidR="00124DCE" w:rsidRPr="000F01D4" w:rsidRDefault="00124DCE" w:rsidP="00555B8B">
      <w:pPr>
        <w:pStyle w:val="Heading3"/>
        <w:rPr>
          <w:lang w:val="ru-RU"/>
        </w:rPr>
      </w:pPr>
      <w:r>
        <w:rPr>
          <w:lang w:val="ru-RU"/>
        </w:rPr>
        <w:t>И</w:t>
      </w:r>
      <w:r w:rsidRPr="000F01D4">
        <w:rPr>
          <w:lang w:val="ru-RU"/>
        </w:rPr>
        <w:t>митационное моделирование  форвардн</w:t>
      </w:r>
      <w:r>
        <w:rPr>
          <w:lang w:val="ru-RU"/>
        </w:rPr>
        <w:t>ого</w:t>
      </w:r>
      <w:r w:rsidRPr="000F01D4">
        <w:rPr>
          <w:lang w:val="ru-RU"/>
        </w:rPr>
        <w:t xml:space="preserve"> контракт</w:t>
      </w:r>
      <w:r>
        <w:rPr>
          <w:lang w:val="ru-RU"/>
        </w:rPr>
        <w:t>а</w:t>
      </w:r>
      <w:r w:rsidRPr="000F01D4">
        <w:rPr>
          <w:lang w:val="ru-RU"/>
        </w:rPr>
        <w:t xml:space="preserve"> </w:t>
      </w:r>
      <w:r>
        <w:rPr>
          <w:lang w:val="ru-RU"/>
        </w:rPr>
        <w:t>на покупку</w:t>
      </w:r>
    </w:p>
    <w:p w:rsidR="00124DCE" w:rsidRPr="000F01D4" w:rsidRDefault="00124DCE" w:rsidP="00124DCE">
      <w:pPr>
        <w:pStyle w:val="ONUME"/>
        <w:numPr>
          <w:ilvl w:val="0"/>
          <w:numId w:val="19"/>
        </w:numPr>
      </w:pPr>
      <w:bookmarkStart w:id="10" w:name="_Ref445225184"/>
      <w:r w:rsidRPr="000F01D4">
        <w:t>В ноябре 2015 г. Международное бюро смоделировал</w:t>
      </w:r>
      <w:r>
        <w:t>о</w:t>
      </w:r>
      <w:r w:rsidRPr="000F01D4">
        <w:t xml:space="preserve"> </w:t>
      </w:r>
      <w:r>
        <w:t>процедуру</w:t>
      </w:r>
      <w:r w:rsidRPr="000F01D4">
        <w:t xml:space="preserve"> тендера </w:t>
      </w:r>
      <w:r>
        <w:t>на</w:t>
      </w:r>
      <w:r w:rsidRPr="000F01D4">
        <w:t xml:space="preserve"> продаж</w:t>
      </w:r>
      <w:r>
        <w:t>у</w:t>
      </w:r>
      <w:r w:rsidRPr="000F01D4">
        <w:t xml:space="preserve"> японской иены, евро  и доллар</w:t>
      </w:r>
      <w:r>
        <w:t>ов</w:t>
      </w:r>
      <w:r w:rsidRPr="000F01D4">
        <w:t xml:space="preserve"> США </w:t>
      </w:r>
      <w:r>
        <w:t>для покупки</w:t>
      </w:r>
      <w:r w:rsidRPr="000F01D4">
        <w:t xml:space="preserve"> швейцарских франков с использованием </w:t>
      </w:r>
      <w:r>
        <w:t xml:space="preserve">договоров о покупке на срок, охватывающих </w:t>
      </w:r>
      <w:r w:rsidRPr="000F01D4">
        <w:t>период с ноября 2015 г</w:t>
      </w:r>
      <w:r>
        <w:t>.</w:t>
      </w:r>
      <w:r w:rsidRPr="000F01D4">
        <w:t xml:space="preserve"> </w:t>
      </w:r>
      <w:r>
        <w:t>по</w:t>
      </w:r>
      <w:r w:rsidRPr="000F01D4">
        <w:t xml:space="preserve"> декабр</w:t>
      </w:r>
      <w:r>
        <w:t>ь</w:t>
      </w:r>
      <w:r w:rsidRPr="000F01D4">
        <w:t xml:space="preserve"> 2016 г. </w:t>
      </w:r>
      <w:r>
        <w:t xml:space="preserve">Имитационная модель должна была позволить лучше понять </w:t>
      </w:r>
      <w:r w:rsidRPr="000F01D4">
        <w:t>процесс заключени</w:t>
      </w:r>
      <w:r>
        <w:t>я</w:t>
      </w:r>
      <w:r w:rsidRPr="000F01D4">
        <w:t xml:space="preserve"> таких </w:t>
      </w:r>
      <w:r>
        <w:t>договоров на тот случай</w:t>
      </w:r>
      <w:r w:rsidRPr="000F01D4">
        <w:t xml:space="preserve">, если Международное бюро приступит к </w:t>
      </w:r>
      <w:r>
        <w:t xml:space="preserve">реализации </w:t>
      </w:r>
      <w:r w:rsidRPr="000F01D4">
        <w:t xml:space="preserve">стратегии хеджирования. </w:t>
      </w:r>
      <w:r>
        <w:t>Кроме того, в результате м</w:t>
      </w:r>
      <w:r w:rsidRPr="000F01D4">
        <w:t>оделировани</w:t>
      </w:r>
      <w:r>
        <w:t>я была получена</w:t>
      </w:r>
      <w:r w:rsidRPr="000F01D4">
        <w:t xml:space="preserve"> ценн</w:t>
      </w:r>
      <w:r>
        <w:t>ая</w:t>
      </w:r>
      <w:r w:rsidRPr="000F01D4">
        <w:t xml:space="preserve"> информаци</w:t>
      </w:r>
      <w:r>
        <w:t>я</w:t>
      </w:r>
      <w:r w:rsidRPr="000F01D4">
        <w:t xml:space="preserve"> о расходах, которые будут </w:t>
      </w:r>
      <w:r>
        <w:t xml:space="preserve">возникать при заключении </w:t>
      </w:r>
      <w:r w:rsidRPr="000F01D4">
        <w:t>форвардны</w:t>
      </w:r>
      <w:r>
        <w:t>х</w:t>
      </w:r>
      <w:r w:rsidRPr="000F01D4">
        <w:t xml:space="preserve"> контракт</w:t>
      </w:r>
      <w:r>
        <w:t>ов на покупку</w:t>
      </w:r>
      <w:r w:rsidRPr="000F01D4">
        <w:t>.</w:t>
      </w:r>
    </w:p>
    <w:bookmarkEnd w:id="10"/>
    <w:p w:rsidR="00124DCE" w:rsidRPr="00C91783" w:rsidRDefault="00124DCE" w:rsidP="00555B8B">
      <w:pPr>
        <w:pStyle w:val="Heading3"/>
        <w:rPr>
          <w:lang w:val="ru-RU"/>
        </w:rPr>
      </w:pPr>
      <w:r>
        <w:rPr>
          <w:lang w:val="ru-RU"/>
        </w:rPr>
        <w:t xml:space="preserve">Обновленная информация о прогнозе поступлений в разбивке по валютам </w:t>
      </w:r>
    </w:p>
    <w:p w:rsidR="00124DCE" w:rsidRPr="000C0EFC" w:rsidRDefault="00124DCE" w:rsidP="00124DCE">
      <w:pPr>
        <w:pStyle w:val="ONUME"/>
        <w:numPr>
          <w:ilvl w:val="0"/>
          <w:numId w:val="19"/>
        </w:numPr>
      </w:pPr>
      <w:r w:rsidRPr="000C0EFC">
        <w:t>Как указано в пунктах 18</w:t>
      </w:r>
      <w:r>
        <w:t>–</w:t>
      </w:r>
      <w:r w:rsidRPr="000C0EFC">
        <w:t xml:space="preserve">21 документа WO/PBC/24/INF.3,  </w:t>
      </w:r>
      <w:r>
        <w:t>платежи</w:t>
      </w:r>
      <w:r w:rsidRPr="000C0EFC">
        <w:t xml:space="preserve"> в каждой из валют (японск</w:t>
      </w:r>
      <w:r>
        <w:t xml:space="preserve">их </w:t>
      </w:r>
      <w:r w:rsidRPr="000C0EFC">
        <w:t>иена</w:t>
      </w:r>
      <w:r>
        <w:t>х</w:t>
      </w:r>
      <w:r w:rsidRPr="000C0EFC">
        <w:t>, евро и долларах США)</w:t>
      </w:r>
      <w:r>
        <w:t xml:space="preserve"> поступают в ВОИС нерегулярно</w:t>
      </w:r>
      <w:r w:rsidRPr="000C0EFC">
        <w:t xml:space="preserve"> </w:t>
      </w:r>
      <w:r>
        <w:t>и их размеры</w:t>
      </w:r>
      <w:r w:rsidRPr="000C0EFC">
        <w:t xml:space="preserve"> предсказать</w:t>
      </w:r>
      <w:r>
        <w:t xml:space="preserve"> трудно</w:t>
      </w:r>
      <w:r w:rsidRPr="000C0EFC">
        <w:t>.</w:t>
      </w:r>
      <w:r>
        <w:t xml:space="preserve"> </w:t>
      </w:r>
      <w:r w:rsidRPr="000C0EFC">
        <w:t xml:space="preserve"> Если Международное бюро </w:t>
      </w:r>
      <w:r>
        <w:t>будет</w:t>
      </w:r>
      <w:r w:rsidRPr="000C0EFC">
        <w:t xml:space="preserve"> </w:t>
      </w:r>
      <w:r>
        <w:t xml:space="preserve">ежемесячно </w:t>
      </w:r>
      <w:r w:rsidRPr="000C0EFC">
        <w:t>заключать форвардные контракты на продажу конкретны</w:t>
      </w:r>
      <w:r>
        <w:t>х</w:t>
      </w:r>
      <w:r w:rsidRPr="000C0EFC">
        <w:t xml:space="preserve"> сумм каждой валюты, </w:t>
      </w:r>
      <w:r>
        <w:t>то в случае неполучения вовремя хотя бы в</w:t>
      </w:r>
      <w:r w:rsidRPr="000C0EFC">
        <w:t xml:space="preserve"> одной из трех валют </w:t>
      </w:r>
      <w:r>
        <w:t xml:space="preserve">суммы, требующейся для исполнения контракта в оговоренный срок, </w:t>
      </w:r>
      <w:r w:rsidRPr="000C0EFC">
        <w:t>возможны</w:t>
      </w:r>
      <w:r>
        <w:t xml:space="preserve"> курсовые</w:t>
      </w:r>
      <w:r w:rsidRPr="000C0EFC">
        <w:t xml:space="preserve"> потери при продаж</w:t>
      </w:r>
      <w:r>
        <w:t>е швейцарских франков</w:t>
      </w:r>
      <w:r w:rsidRPr="000C0EFC">
        <w:t xml:space="preserve"> или други</w:t>
      </w:r>
      <w:r>
        <w:t>х</w:t>
      </w:r>
      <w:r w:rsidRPr="000C0EFC">
        <w:t xml:space="preserve"> валют</w:t>
      </w:r>
      <w:r>
        <w:t xml:space="preserve"> для получения необходимой суммы в </w:t>
      </w:r>
      <w:r w:rsidRPr="00253F4C">
        <w:t xml:space="preserve">японских иенах, евро </w:t>
      </w:r>
      <w:r>
        <w:t>или</w:t>
      </w:r>
      <w:r w:rsidRPr="00253F4C">
        <w:t xml:space="preserve"> долларах США</w:t>
      </w:r>
      <w:r w:rsidRPr="000C0EFC">
        <w:t xml:space="preserve">. </w:t>
      </w:r>
      <w:r>
        <w:t xml:space="preserve"> К тому же</w:t>
      </w:r>
      <w:r w:rsidRPr="000C0EFC">
        <w:t xml:space="preserve"> в результате хранения </w:t>
      </w:r>
      <w:r>
        <w:t>сумм в других, помимо швейцарского франка, валютах в объемах свыше требуемых</w:t>
      </w:r>
      <w:r w:rsidR="00FB30DF">
        <w:t xml:space="preserve"> </w:t>
      </w:r>
      <w:r w:rsidR="00FB30DF" w:rsidRPr="000C0EFC">
        <w:t>могут возник</w:t>
      </w:r>
      <w:r w:rsidR="00FB30DF">
        <w:t>а</w:t>
      </w:r>
      <w:r w:rsidR="00FB30DF" w:rsidRPr="000C0EFC">
        <w:t xml:space="preserve">ть </w:t>
      </w:r>
      <w:r w:rsidR="00FB30DF">
        <w:t>курсовые</w:t>
      </w:r>
      <w:r w:rsidR="00FB30DF" w:rsidRPr="000C0EFC">
        <w:t xml:space="preserve"> потери или </w:t>
      </w:r>
      <w:r w:rsidR="00FB30DF">
        <w:t>курсовая прибыль</w:t>
      </w:r>
      <w:r>
        <w:t xml:space="preserve">. </w:t>
      </w:r>
      <w:r w:rsidRPr="000C0EFC">
        <w:t xml:space="preserve"> </w:t>
      </w:r>
      <w:r>
        <w:t>С</w:t>
      </w:r>
      <w:r w:rsidRPr="000C0EFC">
        <w:t xml:space="preserve"> ноября 2015 г. Международное бюро подробно отслеживает</w:t>
      </w:r>
      <w:r>
        <w:t xml:space="preserve"> получение валютных платежей  </w:t>
      </w:r>
      <w:r w:rsidRPr="000C0EFC">
        <w:t>по дате</w:t>
      </w:r>
      <w:r>
        <w:t xml:space="preserve"> поступления.  </w:t>
      </w:r>
      <w:r w:rsidRPr="000C0EFC">
        <w:t>Эт</w:t>
      </w:r>
      <w:r>
        <w:t>а информация</w:t>
      </w:r>
      <w:r w:rsidRPr="000C0EFC">
        <w:t xml:space="preserve"> будет </w:t>
      </w:r>
      <w:r>
        <w:t>сопоставлена с данными за</w:t>
      </w:r>
      <w:r w:rsidRPr="000C0EFC">
        <w:t xml:space="preserve"> 2014/</w:t>
      </w:r>
      <w:r>
        <w:t>20</w:t>
      </w:r>
      <w:r w:rsidRPr="000C0EFC">
        <w:t>15</w:t>
      </w:r>
      <w:r>
        <w:t xml:space="preserve"> гг.</w:t>
      </w:r>
      <w:r w:rsidRPr="000C0EFC">
        <w:t>, чтобы Международно</w:t>
      </w:r>
      <w:r>
        <w:t>е</w:t>
      </w:r>
      <w:r w:rsidRPr="000C0EFC">
        <w:t xml:space="preserve"> бюро </w:t>
      </w:r>
      <w:r>
        <w:t xml:space="preserve">могло рассчитать </w:t>
      </w:r>
      <w:r w:rsidRPr="000C0EFC">
        <w:t>объем</w:t>
      </w:r>
      <w:r>
        <w:t>ы сумм в</w:t>
      </w:r>
      <w:r w:rsidRPr="000C0EFC">
        <w:t xml:space="preserve"> каждой валют</w:t>
      </w:r>
      <w:r>
        <w:t>е</w:t>
      </w:r>
      <w:r w:rsidRPr="000C0EFC">
        <w:t>, котор</w:t>
      </w:r>
      <w:r>
        <w:t>ые</w:t>
      </w:r>
      <w:r w:rsidRPr="000C0EFC">
        <w:t xml:space="preserve"> он</w:t>
      </w:r>
      <w:r>
        <w:t>о</w:t>
      </w:r>
      <w:r w:rsidRPr="000C0EFC">
        <w:t xml:space="preserve"> мо</w:t>
      </w:r>
      <w:r>
        <w:t>жет выделять ежемесячно для продажи, если</w:t>
      </w:r>
      <w:r w:rsidRPr="000C0EFC">
        <w:t xml:space="preserve"> Ассамблея </w:t>
      </w:r>
      <w:r>
        <w:t xml:space="preserve">РСТ </w:t>
      </w:r>
      <w:r w:rsidRPr="000C0EFC">
        <w:t>примет решение приступить к хеджированию.</w:t>
      </w:r>
      <w:r>
        <w:t xml:space="preserve"> </w:t>
      </w:r>
    </w:p>
    <w:p w:rsidR="00124DCE" w:rsidRPr="0095342C" w:rsidRDefault="00124DCE" w:rsidP="00124DCE">
      <w:pPr>
        <w:pStyle w:val="ONUME"/>
        <w:keepLines/>
        <w:numPr>
          <w:ilvl w:val="0"/>
          <w:numId w:val="19"/>
        </w:numPr>
      </w:pPr>
      <w:r w:rsidRPr="0095342C">
        <w:t xml:space="preserve">Кроме того, как отмечено в документе </w:t>
      </w:r>
      <w:r>
        <w:t>WO/</w:t>
      </w:r>
      <w:r w:rsidRPr="0095342C">
        <w:t>PBC/24/INF.3, возможност</w:t>
      </w:r>
      <w:r>
        <w:t>и практической реализации</w:t>
      </w:r>
      <w:r w:rsidRPr="0095342C">
        <w:t xml:space="preserve"> политики хеджирования огранич</w:t>
      </w:r>
      <w:r>
        <w:t xml:space="preserve">иваются </w:t>
      </w:r>
      <w:r w:rsidRPr="0095342C">
        <w:t xml:space="preserve"> наличием достаточных средств в каждой из трех валют</w:t>
      </w:r>
      <w:r>
        <w:t xml:space="preserve"> для</w:t>
      </w:r>
      <w:r w:rsidRPr="0095342C">
        <w:t xml:space="preserve"> покрыт</w:t>
      </w:r>
      <w:r>
        <w:t xml:space="preserve">ия </w:t>
      </w:r>
      <w:r w:rsidRPr="0095342C">
        <w:t>прогнозируемы</w:t>
      </w:r>
      <w:r>
        <w:t>х</w:t>
      </w:r>
      <w:r w:rsidRPr="0095342C">
        <w:t xml:space="preserve"> расход</w:t>
      </w:r>
      <w:r>
        <w:t>ов</w:t>
      </w:r>
      <w:r w:rsidRPr="0095342C">
        <w:t xml:space="preserve"> в каждой валюте. </w:t>
      </w:r>
      <w:r>
        <w:t xml:space="preserve"> У </w:t>
      </w:r>
      <w:r w:rsidRPr="0095342C">
        <w:t>ВОИС име</w:t>
      </w:r>
      <w:r>
        <w:t>ются</w:t>
      </w:r>
      <w:r w:rsidRPr="0095342C">
        <w:t xml:space="preserve"> </w:t>
      </w:r>
      <w:r>
        <w:t>крупные</w:t>
      </w:r>
      <w:r w:rsidRPr="0095342C">
        <w:t xml:space="preserve"> обязательства, которые должны </w:t>
      </w:r>
      <w:r>
        <w:t>погашаться</w:t>
      </w:r>
      <w:r w:rsidRPr="0095342C">
        <w:t xml:space="preserve"> в долларах США и евро.</w:t>
      </w:r>
      <w:r>
        <w:t xml:space="preserve"> </w:t>
      </w:r>
      <w:r w:rsidRPr="0095342C">
        <w:t xml:space="preserve"> </w:t>
      </w:r>
      <w:r>
        <w:t xml:space="preserve">Поэтому конвертировать в швейцарские франки </w:t>
      </w:r>
      <w:r w:rsidRPr="0095342C">
        <w:t xml:space="preserve">по форвардным контрактам </w:t>
      </w:r>
      <w:r>
        <w:t>можно не все поступающие в</w:t>
      </w:r>
      <w:r w:rsidRPr="0095342C">
        <w:t xml:space="preserve"> ВОИС </w:t>
      </w:r>
      <w:r>
        <w:t xml:space="preserve">доходы в виде пошлин </w:t>
      </w:r>
      <w:r w:rsidRPr="0095342C">
        <w:t>в этих валютах</w:t>
      </w:r>
      <w:r>
        <w:t xml:space="preserve">. </w:t>
      </w:r>
      <w:r w:rsidRPr="0095342C">
        <w:t xml:space="preserve"> Как указано в пункте 12 документа </w:t>
      </w:r>
      <w:r w:rsidRPr="00B40830">
        <w:t>WO/PBC/24/INF.3</w:t>
      </w:r>
      <w:r w:rsidRPr="0095342C">
        <w:t>, 45</w:t>
      </w:r>
      <w:r>
        <w:t>%</w:t>
      </w:r>
      <w:r w:rsidRPr="0095342C">
        <w:t xml:space="preserve"> поступлений в долларах США и 40</w:t>
      </w:r>
      <w:r>
        <w:t>%</w:t>
      </w:r>
      <w:r w:rsidRPr="0095342C">
        <w:t xml:space="preserve"> поступлений в евро </w:t>
      </w:r>
      <w:r>
        <w:t>нужны</w:t>
      </w:r>
      <w:r w:rsidRPr="0095342C">
        <w:t xml:space="preserve"> для удовлетворения оперативных потребностей ВОИС в 2014 г. и в первой половине 2015 года. </w:t>
      </w:r>
      <w:r>
        <w:t xml:space="preserve"> Работа по</w:t>
      </w:r>
      <w:r w:rsidRPr="0095342C">
        <w:t xml:space="preserve"> отслеживани</w:t>
      </w:r>
      <w:r>
        <w:t>ю</w:t>
      </w:r>
      <w:r w:rsidRPr="0095342C">
        <w:t xml:space="preserve"> этих </w:t>
      </w:r>
      <w:r>
        <w:t>потребностей</w:t>
      </w:r>
      <w:r w:rsidRPr="0095342C">
        <w:t xml:space="preserve"> продолжается, и</w:t>
      </w:r>
      <w:r>
        <w:t xml:space="preserve"> полученные</w:t>
      </w:r>
      <w:r w:rsidRPr="0095342C">
        <w:t xml:space="preserve"> результаты будут использоваться при определении влияния</w:t>
      </w:r>
      <w:r>
        <w:t xml:space="preserve"> данного фактора</w:t>
      </w:r>
      <w:r w:rsidRPr="0095342C">
        <w:t xml:space="preserve"> на стратеги</w:t>
      </w:r>
      <w:r>
        <w:t>ю</w:t>
      </w:r>
      <w:r w:rsidRPr="0095342C">
        <w:t xml:space="preserve"> хеджирования. </w:t>
      </w:r>
      <w:r>
        <w:t xml:space="preserve"> </w:t>
      </w:r>
    </w:p>
    <w:p w:rsidR="00124DCE" w:rsidRPr="00036E0C" w:rsidRDefault="00124DCE" w:rsidP="00555B8B">
      <w:pPr>
        <w:pStyle w:val="Heading3"/>
        <w:rPr>
          <w:lang w:val="ru-RU"/>
        </w:rPr>
      </w:pPr>
      <w:r w:rsidRPr="00036E0C">
        <w:rPr>
          <w:lang w:val="ru-RU"/>
        </w:rPr>
        <w:t>Обновленная</w:t>
      </w:r>
      <w:r w:rsidRPr="00066FDA">
        <w:rPr>
          <w:lang w:val="ru-RU"/>
        </w:rPr>
        <w:t xml:space="preserve"> информация </w:t>
      </w:r>
      <w:r>
        <w:rPr>
          <w:lang w:val="ru-RU"/>
        </w:rPr>
        <w:t>о влиянии на размеры поступлений</w:t>
      </w:r>
      <w:r w:rsidRPr="00066FDA">
        <w:rPr>
          <w:lang w:val="ru-RU"/>
        </w:rPr>
        <w:t xml:space="preserve"> </w:t>
      </w:r>
      <w:r>
        <w:t>PCT</w:t>
      </w:r>
      <w:r>
        <w:rPr>
          <w:lang w:val="ru-RU"/>
        </w:rPr>
        <w:t xml:space="preserve"> </w:t>
      </w:r>
    </w:p>
    <w:p w:rsidR="00124DCE" w:rsidRPr="00066FDA" w:rsidRDefault="00124DCE" w:rsidP="00124DCE">
      <w:pPr>
        <w:pStyle w:val="ONUME"/>
        <w:numPr>
          <w:ilvl w:val="0"/>
          <w:numId w:val="19"/>
        </w:numPr>
      </w:pPr>
      <w:r>
        <w:t xml:space="preserve">В соответствии с </w:t>
      </w:r>
      <w:r w:rsidRPr="00066FDA">
        <w:t>существующ</w:t>
      </w:r>
      <w:r>
        <w:t>ей</w:t>
      </w:r>
      <w:r w:rsidRPr="00066FDA">
        <w:t xml:space="preserve"> процедур</w:t>
      </w:r>
      <w:r>
        <w:t xml:space="preserve">ой </w:t>
      </w:r>
      <w:r w:rsidRPr="00066FDA">
        <w:t>установления эквивалентного размера пошлин РСТ</w:t>
      </w:r>
      <w:r>
        <w:t xml:space="preserve"> Международное бюро вправе периодически корректировать </w:t>
      </w:r>
      <w:r w:rsidRPr="00D409A4">
        <w:t>эквивалентн</w:t>
      </w:r>
      <w:r>
        <w:t>ый</w:t>
      </w:r>
      <w:r w:rsidRPr="00D409A4">
        <w:t xml:space="preserve"> размер пошлин</w:t>
      </w:r>
      <w:r>
        <w:t xml:space="preserve"> в других, помимо швейцарского франка, валютах для того, чтобы они соответствовали размерам пошлин, установленных Ассамблеей РСТ в швейцарских франках.  Однако, как показано в пункте 5 выше, в соответствии с предложенным механизмом хеджирования размер каждой пошлины, уплачиваемой в долларах США, японских иенах и евро, будет фиксироваться на двенадцатимесячный период по средневзвешенному курсу, рассчитываемому путем взвешивания заключенных форвардных контрактов для определения суммы, подлежащей продаже каждый месяц (смешанный курс хеджирования).  Таким образом, ВОИС утратит способность корректировать </w:t>
      </w:r>
      <w:r w:rsidRPr="001379FA">
        <w:t>эквивалентн</w:t>
      </w:r>
      <w:r>
        <w:t>ый</w:t>
      </w:r>
      <w:r w:rsidRPr="001379FA">
        <w:t xml:space="preserve"> размер пошлин </w:t>
      </w:r>
      <w:r>
        <w:t>в течение двенадцатимесячного периода хеджирования.</w:t>
      </w:r>
    </w:p>
    <w:p w:rsidR="00124DCE" w:rsidRPr="001379FA" w:rsidRDefault="00124DCE" w:rsidP="00124DCE">
      <w:pPr>
        <w:pStyle w:val="ONUME"/>
        <w:numPr>
          <w:ilvl w:val="0"/>
          <w:numId w:val="19"/>
        </w:numPr>
      </w:pPr>
      <w:r w:rsidRPr="001379FA">
        <w:t xml:space="preserve">Международное бюро </w:t>
      </w:r>
      <w:r>
        <w:t>приступило к</w:t>
      </w:r>
      <w:r w:rsidRPr="001379FA">
        <w:t xml:space="preserve"> </w:t>
      </w:r>
      <w:r>
        <w:t xml:space="preserve">проведению </w:t>
      </w:r>
      <w:r w:rsidRPr="001379FA">
        <w:t>анализ</w:t>
      </w:r>
      <w:r>
        <w:t>а, который должен показать, как изменился бы в случае применения нового подхода размер</w:t>
      </w:r>
      <w:r w:rsidRPr="001379FA">
        <w:t xml:space="preserve"> доходов PCT в виде пошлин </w:t>
      </w:r>
      <w:r>
        <w:t xml:space="preserve">в период </w:t>
      </w:r>
      <w:r w:rsidRPr="001379FA">
        <w:t xml:space="preserve">с ноября 2015 года, </w:t>
      </w:r>
      <w:r>
        <w:t xml:space="preserve">а также на протяжении двухлетнего периода </w:t>
      </w:r>
      <w:r w:rsidRPr="001379FA">
        <w:t>2014/</w:t>
      </w:r>
      <w:r>
        <w:t>20</w:t>
      </w:r>
      <w:r w:rsidRPr="001379FA">
        <w:t xml:space="preserve">15 гг. </w:t>
      </w:r>
      <w:r>
        <w:t xml:space="preserve"> Без такого анализа государствам-членам было бы трудно оценить п</w:t>
      </w:r>
      <w:r w:rsidRPr="001379FA">
        <w:t>отенциальн</w:t>
      </w:r>
      <w:r>
        <w:t>ы</w:t>
      </w:r>
      <w:r w:rsidRPr="001379FA">
        <w:t xml:space="preserve">е </w:t>
      </w:r>
      <w:r>
        <w:t>последствия</w:t>
      </w:r>
      <w:r w:rsidRPr="001379FA">
        <w:t xml:space="preserve"> планируемой стратегии хеджирования </w:t>
      </w:r>
      <w:r>
        <w:t>для размеров доходов РСТ в виде пошлин и</w:t>
      </w:r>
      <w:r w:rsidRPr="001379FA">
        <w:t xml:space="preserve">, </w:t>
      </w:r>
      <w:r>
        <w:t>соответственно</w:t>
      </w:r>
      <w:r w:rsidRPr="001379FA">
        <w:t xml:space="preserve">, </w:t>
      </w:r>
      <w:r>
        <w:t>для</w:t>
      </w:r>
      <w:r w:rsidRPr="001379FA">
        <w:t xml:space="preserve"> бюджет</w:t>
      </w:r>
      <w:r>
        <w:t>а</w:t>
      </w:r>
      <w:r w:rsidRPr="001379FA">
        <w:t xml:space="preserve"> всей организации.</w:t>
      </w:r>
      <w:r>
        <w:t xml:space="preserve"> </w:t>
      </w:r>
    </w:p>
    <w:p w:rsidR="00124DCE" w:rsidRPr="00864056" w:rsidRDefault="00124DCE" w:rsidP="00555B8B">
      <w:pPr>
        <w:pStyle w:val="Heading3"/>
        <w:rPr>
          <w:lang w:val="ru-RU"/>
        </w:rPr>
      </w:pPr>
      <w:r>
        <w:rPr>
          <w:lang w:val="ru-RU"/>
        </w:rPr>
        <w:t>Разработка</w:t>
      </w:r>
      <w:r w:rsidRPr="00864056">
        <w:rPr>
          <w:lang w:val="ru-RU"/>
        </w:rPr>
        <w:t xml:space="preserve"> </w:t>
      </w:r>
      <w:r>
        <w:rPr>
          <w:lang w:val="ru-RU"/>
        </w:rPr>
        <w:t>матрицы</w:t>
      </w:r>
      <w:r w:rsidRPr="00864056">
        <w:rPr>
          <w:lang w:val="ru-RU"/>
        </w:rPr>
        <w:t xml:space="preserve"> </w:t>
      </w:r>
      <w:r>
        <w:rPr>
          <w:lang w:val="ru-RU"/>
        </w:rPr>
        <w:t>для</w:t>
      </w:r>
      <w:r w:rsidRPr="00864056">
        <w:rPr>
          <w:lang w:val="ru-RU"/>
        </w:rPr>
        <w:t xml:space="preserve"> </w:t>
      </w:r>
      <w:r>
        <w:rPr>
          <w:lang w:val="ru-RU"/>
        </w:rPr>
        <w:t>отслеживания курсовых корректировок согласно МСУГС</w:t>
      </w:r>
    </w:p>
    <w:p w:rsidR="00124DCE" w:rsidRPr="005B3AC6" w:rsidRDefault="00124DCE" w:rsidP="00124DCE">
      <w:pPr>
        <w:pStyle w:val="ONUME"/>
        <w:numPr>
          <w:ilvl w:val="0"/>
          <w:numId w:val="19"/>
        </w:numPr>
      </w:pPr>
      <w:r w:rsidRPr="005B3AC6">
        <w:t>Международные стандарты учета в гражданском секторе (МСУГС) определяют строгие правила отражения прибыл</w:t>
      </w:r>
      <w:r>
        <w:t>и</w:t>
      </w:r>
      <w:r w:rsidRPr="005B3AC6">
        <w:t xml:space="preserve"> и убытков от колебаний обменных курсов в финансовой отчетности </w:t>
      </w:r>
      <w:r>
        <w:t>ВОИС</w:t>
      </w:r>
      <w:r w:rsidRPr="005B3AC6">
        <w:t xml:space="preserve">. </w:t>
      </w:r>
      <w:r>
        <w:t xml:space="preserve"> Применение</w:t>
      </w:r>
      <w:r w:rsidRPr="005B3AC6">
        <w:t xml:space="preserve"> этих правил </w:t>
      </w:r>
      <w:r>
        <w:t xml:space="preserve">дополнительно </w:t>
      </w:r>
      <w:r w:rsidRPr="005B3AC6">
        <w:t xml:space="preserve">осложняется необходимостью использования операционного обменного курса </w:t>
      </w:r>
      <w:r>
        <w:t xml:space="preserve">ООН </w:t>
      </w:r>
      <w:r w:rsidRPr="005B3AC6">
        <w:t>(</w:t>
      </w:r>
      <w:r w:rsidRPr="00DA0AD2">
        <w:t>UNORE</w:t>
      </w:r>
      <w:r w:rsidRPr="005B3AC6">
        <w:t>)</w:t>
      </w:r>
      <w:r>
        <w:t xml:space="preserve"> </w:t>
      </w:r>
      <w:r w:rsidRPr="005B3AC6">
        <w:t>для учета операций</w:t>
      </w:r>
      <w:r>
        <w:t xml:space="preserve"> в других, помимо швейцарского франка, </w:t>
      </w:r>
      <w:r w:rsidRPr="005B3AC6">
        <w:t xml:space="preserve"> валют</w:t>
      </w:r>
      <w:r>
        <w:t>ах</w:t>
      </w:r>
      <w:r w:rsidRPr="005B3AC6">
        <w:t xml:space="preserve">, </w:t>
      </w:r>
      <w:r>
        <w:t>поскольку</w:t>
      </w:r>
      <w:r w:rsidRPr="005B3AC6">
        <w:t xml:space="preserve"> </w:t>
      </w:r>
      <w:r>
        <w:t xml:space="preserve">курс </w:t>
      </w:r>
      <w:r w:rsidRPr="005B3AC6">
        <w:t>UNORE устанавливается ежемесячно или два раза в месяц</w:t>
      </w:r>
      <w:r>
        <w:t xml:space="preserve">, а курсы </w:t>
      </w:r>
      <w:r w:rsidRPr="005B3AC6">
        <w:t>банк</w:t>
      </w:r>
      <w:r>
        <w:t>ов –</w:t>
      </w:r>
      <w:r w:rsidRPr="005B3AC6">
        <w:t xml:space="preserve"> </w:t>
      </w:r>
      <w:r>
        <w:t>ежедневно, а нередко и несколько раз в день.</w:t>
      </w:r>
      <w:r w:rsidRPr="005B3AC6">
        <w:t xml:space="preserve"> </w:t>
      </w:r>
      <w:r>
        <w:t xml:space="preserve"> Ввиду этого </w:t>
      </w:r>
      <w:r w:rsidRPr="005B3AC6">
        <w:t>банковски</w:t>
      </w:r>
      <w:r>
        <w:t xml:space="preserve">е курсы и курс </w:t>
      </w:r>
      <w:r w:rsidRPr="005B3AC6">
        <w:t xml:space="preserve">UNORE </w:t>
      </w:r>
      <w:r>
        <w:t xml:space="preserve">различаются, в результате чего образуется курсовая разница, требующая отражения в счетах.  </w:t>
      </w:r>
    </w:p>
    <w:p w:rsidR="00124DCE" w:rsidRPr="002C35DD" w:rsidRDefault="00124DCE" w:rsidP="00124DCE">
      <w:pPr>
        <w:pStyle w:val="ONUME"/>
        <w:numPr>
          <w:ilvl w:val="0"/>
          <w:numId w:val="19"/>
        </w:numPr>
      </w:pPr>
      <w:r w:rsidRPr="002C35DD">
        <w:t xml:space="preserve">С помощью консультантов была разработана матрица, </w:t>
      </w:r>
      <w:r>
        <w:t>которая должна дать</w:t>
      </w:r>
      <w:r w:rsidRPr="002C35DD">
        <w:t xml:space="preserve"> Международному бюро </w:t>
      </w:r>
      <w:r>
        <w:t>возможность о</w:t>
      </w:r>
      <w:r w:rsidRPr="002C35DD">
        <w:t xml:space="preserve">тслеживать </w:t>
      </w:r>
      <w:r>
        <w:t>в единой сводной ведомости</w:t>
      </w:r>
      <w:r w:rsidRPr="002C35DD">
        <w:t xml:space="preserve"> все </w:t>
      </w:r>
      <w:r>
        <w:t xml:space="preserve">курсовые корректировки, которые </w:t>
      </w:r>
      <w:r w:rsidRPr="002C35DD">
        <w:t xml:space="preserve">Организация  </w:t>
      </w:r>
      <w:r>
        <w:t>должна будет проводить по счетам,  и</w:t>
      </w:r>
      <w:r w:rsidRPr="002C35DD">
        <w:t xml:space="preserve"> их влияние на </w:t>
      </w:r>
      <w:r>
        <w:t xml:space="preserve">величину </w:t>
      </w:r>
      <w:r w:rsidRPr="002C35DD">
        <w:t>доход</w:t>
      </w:r>
      <w:r>
        <w:t>ов</w:t>
      </w:r>
      <w:r w:rsidRPr="002C35DD">
        <w:t xml:space="preserve"> и расход</w:t>
      </w:r>
      <w:r>
        <w:t xml:space="preserve">ов </w:t>
      </w:r>
      <w:r w:rsidRPr="002C35DD">
        <w:t>и актив</w:t>
      </w:r>
      <w:r>
        <w:t>ов</w:t>
      </w:r>
      <w:r w:rsidRPr="002C35DD">
        <w:t xml:space="preserve"> и обязательств. </w:t>
      </w:r>
      <w:r>
        <w:t xml:space="preserve"> </w:t>
      </w:r>
      <w:r w:rsidRPr="002C35DD">
        <w:t xml:space="preserve">Международное бюро использует </w:t>
      </w:r>
      <w:r>
        <w:t xml:space="preserve">эту </w:t>
      </w:r>
      <w:r w:rsidRPr="002C35DD">
        <w:t xml:space="preserve">матрицу для отслеживания изменений </w:t>
      </w:r>
      <w:r>
        <w:t xml:space="preserve">за период </w:t>
      </w:r>
      <w:r w:rsidRPr="002C35DD">
        <w:t>с ноября 2015 г</w:t>
      </w:r>
      <w:r>
        <w:t>. и</w:t>
      </w:r>
      <w:r w:rsidRPr="002C35DD">
        <w:t xml:space="preserve"> затем будет ретроспективно отслеживать </w:t>
      </w:r>
      <w:r>
        <w:t>корректировки</w:t>
      </w:r>
      <w:r w:rsidRPr="002C35DD">
        <w:t xml:space="preserve">, которые </w:t>
      </w:r>
      <w:r>
        <w:t>потребовались бы в случае применения</w:t>
      </w:r>
      <w:r w:rsidRPr="002C35DD">
        <w:t xml:space="preserve"> </w:t>
      </w:r>
      <w:r>
        <w:t>М</w:t>
      </w:r>
      <w:r w:rsidRPr="002C35DD">
        <w:t>еждународн</w:t>
      </w:r>
      <w:r>
        <w:t>ым</w:t>
      </w:r>
      <w:r w:rsidRPr="002C35DD">
        <w:t xml:space="preserve"> бюро </w:t>
      </w:r>
      <w:r>
        <w:t>методов</w:t>
      </w:r>
      <w:r w:rsidRPr="002C35DD">
        <w:t xml:space="preserve"> хеджировани</w:t>
      </w:r>
      <w:r>
        <w:t>я в период с</w:t>
      </w:r>
      <w:r w:rsidRPr="002C35DD">
        <w:t xml:space="preserve"> ноября 2014 г</w:t>
      </w:r>
      <w:r>
        <w:t>.</w:t>
      </w:r>
      <w:r w:rsidRPr="002C35DD">
        <w:t xml:space="preserve"> по октябрь 2015 г.</w:t>
      </w:r>
    </w:p>
    <w:p w:rsidR="00124DCE" w:rsidRPr="002C35DD" w:rsidRDefault="00124DCE" w:rsidP="00555B8B">
      <w:pPr>
        <w:pStyle w:val="Heading3"/>
      </w:pPr>
      <w:bookmarkStart w:id="11" w:name="_Ref445465948"/>
      <w:bookmarkStart w:id="12" w:name="_Ref445225198"/>
      <w:r w:rsidRPr="002C35DD">
        <w:rPr>
          <w:lang w:val="ru-RU"/>
        </w:rPr>
        <w:t>Дальнейшие действия</w:t>
      </w:r>
    </w:p>
    <w:p w:rsidR="00124DCE" w:rsidRPr="002C35DD" w:rsidRDefault="00124DCE" w:rsidP="00124DCE">
      <w:pPr>
        <w:pStyle w:val="ONUME"/>
        <w:numPr>
          <w:ilvl w:val="0"/>
          <w:numId w:val="19"/>
        </w:numPr>
      </w:pPr>
      <w:r w:rsidRPr="002C35DD">
        <w:t xml:space="preserve">Международное бюро намерено воспользоваться услугами внешнего консультанта, который в настоящее время </w:t>
      </w:r>
      <w:r>
        <w:t xml:space="preserve">подыскивается </w:t>
      </w:r>
      <w:r w:rsidRPr="002C35DD">
        <w:t>для оказания Международно</w:t>
      </w:r>
      <w:r>
        <w:t>му</w:t>
      </w:r>
      <w:r w:rsidRPr="002C35DD">
        <w:t xml:space="preserve"> бюро помощи, в частности, в реализации новой инвестиционной политики ВОИС</w:t>
      </w:r>
      <w:r>
        <w:t xml:space="preserve"> и</w:t>
      </w:r>
      <w:r w:rsidRPr="002C35DD">
        <w:t xml:space="preserve"> по</w:t>
      </w:r>
      <w:r>
        <w:t xml:space="preserve"> валютным</w:t>
      </w:r>
      <w:r w:rsidRPr="002C35DD">
        <w:t xml:space="preserve"> вопросам и </w:t>
      </w:r>
      <w:r>
        <w:t xml:space="preserve">вопросам </w:t>
      </w:r>
      <w:r w:rsidRPr="002C35DD">
        <w:t>возможн</w:t>
      </w:r>
      <w:r>
        <w:t>ой</w:t>
      </w:r>
      <w:r w:rsidRPr="002C35DD">
        <w:t xml:space="preserve"> стратеги</w:t>
      </w:r>
      <w:r>
        <w:t>и</w:t>
      </w:r>
      <w:r w:rsidRPr="002C35DD">
        <w:t xml:space="preserve"> хеджирования. </w:t>
      </w:r>
      <w:r>
        <w:t xml:space="preserve"> Поступившие заявления</w:t>
      </w:r>
      <w:r w:rsidRPr="002C35DD">
        <w:t xml:space="preserve"> рассмотрены</w:t>
      </w:r>
      <w:r>
        <w:t>, и кандидатура</w:t>
      </w:r>
      <w:r w:rsidRPr="002C35DD">
        <w:t xml:space="preserve"> консультанта, как ожидается, </w:t>
      </w:r>
      <w:r>
        <w:t>будет определена</w:t>
      </w:r>
      <w:r w:rsidRPr="002C35DD">
        <w:t xml:space="preserve"> в марте 2016 г.</w:t>
      </w:r>
    </w:p>
    <w:bookmarkEnd w:id="11"/>
    <w:p w:rsidR="00124DCE" w:rsidRPr="00133F5B" w:rsidRDefault="00124DCE" w:rsidP="00124DCE">
      <w:pPr>
        <w:pStyle w:val="ONUME"/>
        <w:keepLines/>
        <w:numPr>
          <w:ilvl w:val="0"/>
          <w:numId w:val="19"/>
        </w:numPr>
      </w:pPr>
      <w:r>
        <w:t>При содействии</w:t>
      </w:r>
      <w:r w:rsidRPr="00133F5B">
        <w:t xml:space="preserve"> этого внешнего консультанта</w:t>
      </w:r>
      <w:r>
        <w:t xml:space="preserve"> </w:t>
      </w:r>
      <w:r w:rsidRPr="00133F5B">
        <w:t xml:space="preserve">Международное бюро тщательно </w:t>
      </w:r>
      <w:r>
        <w:t>про</w:t>
      </w:r>
      <w:r w:rsidRPr="00133F5B">
        <w:t>анализир</w:t>
      </w:r>
      <w:r>
        <w:t xml:space="preserve">ует </w:t>
      </w:r>
      <w:r w:rsidRPr="00133F5B">
        <w:t xml:space="preserve">прогнозы </w:t>
      </w:r>
      <w:r>
        <w:t>поступлений средств и динамику за</w:t>
      </w:r>
      <w:r w:rsidRPr="00133F5B">
        <w:t>фиксированных эквивалентных размер</w:t>
      </w:r>
      <w:r>
        <w:t xml:space="preserve">ов </w:t>
      </w:r>
      <w:r w:rsidRPr="00133F5B">
        <w:t xml:space="preserve">пошлин РСТ в трех валютах. </w:t>
      </w:r>
      <w:r>
        <w:t xml:space="preserve"> </w:t>
      </w:r>
      <w:r w:rsidRPr="00133F5B">
        <w:t xml:space="preserve">Результаты этого анализа, </w:t>
      </w:r>
      <w:r>
        <w:t>данные имитационного</w:t>
      </w:r>
      <w:r w:rsidRPr="00133F5B">
        <w:t xml:space="preserve"> моделирования форвардных контрактов и опыт отслеживания </w:t>
      </w:r>
      <w:r>
        <w:t xml:space="preserve">курсовых </w:t>
      </w:r>
      <w:r w:rsidRPr="00133F5B">
        <w:t xml:space="preserve">корректировок в соответствии с правилами МСУГС будут </w:t>
      </w:r>
      <w:r>
        <w:t>учитываться</w:t>
      </w:r>
      <w:r w:rsidRPr="00133F5B">
        <w:t xml:space="preserve"> Международным бюро </w:t>
      </w:r>
      <w:r>
        <w:t>при</w:t>
      </w:r>
      <w:r w:rsidRPr="00133F5B">
        <w:t xml:space="preserve"> представлении Рабочей группе для обсуждения на ее </w:t>
      </w:r>
      <w:r>
        <w:t xml:space="preserve">сессии </w:t>
      </w:r>
      <w:r w:rsidRPr="00133F5B">
        <w:t xml:space="preserve">2017 </w:t>
      </w:r>
      <w:r>
        <w:t>г.</w:t>
      </w:r>
      <w:r w:rsidRPr="00133F5B">
        <w:t xml:space="preserve"> предложения о</w:t>
      </w:r>
      <w:r>
        <w:t xml:space="preserve"> целесообразности</w:t>
      </w:r>
      <w:r w:rsidRPr="00133F5B">
        <w:t xml:space="preserve"> осуществл</w:t>
      </w:r>
      <w:r>
        <w:t>ения</w:t>
      </w:r>
      <w:r w:rsidRPr="00133F5B">
        <w:t xml:space="preserve"> стратеги</w:t>
      </w:r>
      <w:r>
        <w:t>и</w:t>
      </w:r>
      <w:r w:rsidRPr="00133F5B">
        <w:t xml:space="preserve"> хеджирования.</w:t>
      </w:r>
    </w:p>
    <w:bookmarkEnd w:id="12"/>
    <w:p w:rsidR="00124DCE" w:rsidRPr="000B28C5" w:rsidRDefault="00124DCE" w:rsidP="00555B8B">
      <w:pPr>
        <w:pStyle w:val="Heading1"/>
        <w:rPr>
          <w:lang w:val="ru-RU"/>
        </w:rPr>
      </w:pPr>
      <w:r w:rsidRPr="000B28C5">
        <w:rPr>
          <w:lang w:val="ru-RU"/>
        </w:rPr>
        <w:t xml:space="preserve">введение «механизма сальдирования» при перечислении пошлин </w:t>
      </w:r>
    </w:p>
    <w:p w:rsidR="00124DCE" w:rsidRPr="000B28C5" w:rsidRDefault="00124DCE" w:rsidP="00555B8B">
      <w:pPr>
        <w:pStyle w:val="Heading2"/>
        <w:rPr>
          <w:lang w:val="ru-RU"/>
        </w:rPr>
      </w:pPr>
      <w:r>
        <w:rPr>
          <w:lang w:val="ru-RU"/>
        </w:rPr>
        <w:t>ОПРЕДЕЛЕНИЕ САЛЬДИРОВАНИЯ</w:t>
      </w:r>
    </w:p>
    <w:p w:rsidR="00124DCE" w:rsidRPr="000B28C5" w:rsidRDefault="00124DCE" w:rsidP="00124DCE">
      <w:pPr>
        <w:pStyle w:val="ONUME"/>
        <w:numPr>
          <w:ilvl w:val="0"/>
          <w:numId w:val="19"/>
        </w:numPr>
      </w:pPr>
      <w:r w:rsidRPr="000B28C5">
        <w:t xml:space="preserve">«Сальдирование» представляет собой механизм расчетов, который используется для проведения частичного или полного взаимозачета положительных (кредиторская задолженность) и отрицательных (дебиторская задолженность) сумм.  При процедуре сальдирования производится консолидация всех операций между участниками и рассчитываются суммы к оплате на «чистой» основе, обычно в виде единого платежа или поступления. </w:t>
      </w:r>
      <w:r>
        <w:t>Для</w:t>
      </w:r>
      <w:r w:rsidRPr="000B28C5">
        <w:t xml:space="preserve"> </w:t>
      </w:r>
      <w:r>
        <w:t>осуществления</w:t>
      </w:r>
      <w:r w:rsidRPr="000B28C5">
        <w:t xml:space="preserve"> </w:t>
      </w:r>
      <w:r>
        <w:t>этой</w:t>
      </w:r>
      <w:r w:rsidRPr="000B28C5">
        <w:t xml:space="preserve"> </w:t>
      </w:r>
      <w:r>
        <w:t>процедуры</w:t>
      </w:r>
      <w:r w:rsidRPr="000B28C5">
        <w:t xml:space="preserve"> </w:t>
      </w:r>
      <w:r>
        <w:t>используется</w:t>
      </w:r>
      <w:r w:rsidRPr="000B28C5">
        <w:t xml:space="preserve"> </w:t>
      </w:r>
      <w:r>
        <w:t>программная</w:t>
      </w:r>
      <w:r w:rsidRPr="000B28C5">
        <w:t xml:space="preserve"> </w:t>
      </w:r>
      <w:r>
        <w:t>система</w:t>
      </w:r>
      <w:r w:rsidRPr="000B28C5">
        <w:t xml:space="preserve"> </w:t>
      </w:r>
      <w:r>
        <w:t>сальдирования</w:t>
      </w:r>
      <w:r w:rsidRPr="000B28C5">
        <w:t xml:space="preserve">. </w:t>
      </w:r>
    </w:p>
    <w:p w:rsidR="00124DCE" w:rsidRPr="0071397E" w:rsidRDefault="00124DCE" w:rsidP="00124DCE">
      <w:pPr>
        <w:pStyle w:val="ONUME"/>
        <w:numPr>
          <w:ilvl w:val="0"/>
          <w:numId w:val="19"/>
        </w:numPr>
      </w:pPr>
      <w:r>
        <w:t xml:space="preserve">В одном из возможных вариантов процедура сальдирования доходов </w:t>
      </w:r>
      <w:r w:rsidRPr="0071397E">
        <w:t xml:space="preserve">РСТ </w:t>
      </w:r>
      <w:r>
        <w:t xml:space="preserve">в виде пошлин </w:t>
      </w:r>
      <w:r w:rsidRPr="0071397E">
        <w:t xml:space="preserve">будет </w:t>
      </w:r>
      <w:r>
        <w:t>предусматривать</w:t>
      </w:r>
      <w:r w:rsidRPr="0071397E">
        <w:t xml:space="preserve"> </w:t>
      </w:r>
      <w:r>
        <w:t xml:space="preserve">перечисление </w:t>
      </w:r>
      <w:r w:rsidRPr="0071397E">
        <w:t>получающ</w:t>
      </w:r>
      <w:r>
        <w:t>им</w:t>
      </w:r>
      <w:r w:rsidRPr="0071397E">
        <w:t xml:space="preserve"> ведомство</w:t>
      </w:r>
      <w:r>
        <w:t>м</w:t>
      </w:r>
      <w:r w:rsidRPr="0071397E">
        <w:t xml:space="preserve"> пошлин </w:t>
      </w:r>
      <w:r w:rsidRPr="006F5557">
        <w:t>за подачу международн</w:t>
      </w:r>
      <w:r>
        <w:t>ых</w:t>
      </w:r>
      <w:r w:rsidRPr="006F5557">
        <w:t xml:space="preserve"> заяв</w:t>
      </w:r>
      <w:r>
        <w:t>ок</w:t>
      </w:r>
      <w:r w:rsidRPr="006F5557">
        <w:t xml:space="preserve"> </w:t>
      </w:r>
      <w:r w:rsidRPr="0071397E">
        <w:t xml:space="preserve">и за поиск от заявителей Международному бюро. </w:t>
      </w:r>
      <w:r>
        <w:t xml:space="preserve"> Затем п</w:t>
      </w:r>
      <w:r w:rsidRPr="0071397E">
        <w:t xml:space="preserve">ошлина за поиск </w:t>
      </w:r>
      <w:r>
        <w:t>будет перечисляться</w:t>
      </w:r>
      <w:r w:rsidRPr="0071397E">
        <w:t xml:space="preserve"> Международным бюро </w:t>
      </w:r>
      <w:r>
        <w:t>м</w:t>
      </w:r>
      <w:r w:rsidRPr="0071397E">
        <w:t>еждународно</w:t>
      </w:r>
      <w:r>
        <w:t>му</w:t>
      </w:r>
      <w:r w:rsidRPr="0071397E">
        <w:t xml:space="preserve"> поисково</w:t>
      </w:r>
      <w:r>
        <w:t>му</w:t>
      </w:r>
      <w:r w:rsidRPr="0071397E">
        <w:t xml:space="preserve"> орган</w:t>
      </w:r>
      <w:r>
        <w:t>у</w:t>
      </w:r>
      <w:r w:rsidRPr="0071397E">
        <w:t xml:space="preserve">. </w:t>
      </w:r>
      <w:r>
        <w:t>К</w:t>
      </w:r>
      <w:r w:rsidRPr="0071397E">
        <w:t xml:space="preserve">ак правило, </w:t>
      </w:r>
      <w:r>
        <w:t>получающее ведомство  будет перечислять пошлины  один раз</w:t>
      </w:r>
      <w:r w:rsidRPr="0071397E">
        <w:t xml:space="preserve"> </w:t>
      </w:r>
      <w:r w:rsidRPr="000B4EB2">
        <w:t>в месяц в установленный для этого день</w:t>
      </w:r>
      <w:r w:rsidRPr="0071397E">
        <w:t xml:space="preserve">  в </w:t>
      </w:r>
      <w:r>
        <w:t xml:space="preserve">местной </w:t>
      </w:r>
      <w:r w:rsidRPr="0071397E">
        <w:t>валюте</w:t>
      </w:r>
      <w:r>
        <w:t xml:space="preserve"> получения</w:t>
      </w:r>
      <w:r w:rsidRPr="0071397E">
        <w:t xml:space="preserve"> пошлины, если </w:t>
      </w:r>
      <w:r>
        <w:t>она</w:t>
      </w:r>
      <w:r w:rsidRPr="0071397E">
        <w:t xml:space="preserve"> свободно конвертируется в швейцарски</w:t>
      </w:r>
      <w:r>
        <w:t>е</w:t>
      </w:r>
      <w:r w:rsidRPr="0071397E">
        <w:t xml:space="preserve"> франк</w:t>
      </w:r>
      <w:r>
        <w:t>и</w:t>
      </w:r>
      <w:r w:rsidRPr="0071397E">
        <w:t xml:space="preserve">. </w:t>
      </w:r>
      <w:r>
        <w:t xml:space="preserve"> </w:t>
      </w:r>
      <w:r w:rsidRPr="0071397E">
        <w:t>Для получающе</w:t>
      </w:r>
      <w:r>
        <w:t>го</w:t>
      </w:r>
      <w:r w:rsidRPr="0071397E">
        <w:t xml:space="preserve"> ведомств</w:t>
      </w:r>
      <w:r>
        <w:t>а</w:t>
      </w:r>
      <w:r w:rsidRPr="0071397E">
        <w:t>, выступа</w:t>
      </w:r>
      <w:r>
        <w:t>ющего также</w:t>
      </w:r>
      <w:r w:rsidRPr="0071397E">
        <w:t xml:space="preserve"> в качестве </w:t>
      </w:r>
      <w:r>
        <w:t>м</w:t>
      </w:r>
      <w:r w:rsidRPr="0071397E">
        <w:t xml:space="preserve">еждународного поискового органа, платеж </w:t>
      </w:r>
      <w:r>
        <w:t xml:space="preserve">в каждой валюте </w:t>
      </w:r>
      <w:r w:rsidRPr="0071397E">
        <w:t xml:space="preserve">будет </w:t>
      </w:r>
      <w:r>
        <w:t>представлять собой</w:t>
      </w:r>
      <w:r w:rsidRPr="0071397E">
        <w:t xml:space="preserve"> разниц</w:t>
      </w:r>
      <w:r>
        <w:t xml:space="preserve">у </w:t>
      </w:r>
      <w:r w:rsidRPr="0071397E">
        <w:t xml:space="preserve">между общей </w:t>
      </w:r>
      <w:r>
        <w:t>суммой</w:t>
      </w:r>
      <w:r w:rsidRPr="0071397E">
        <w:t xml:space="preserve"> </w:t>
      </w:r>
      <w:r w:rsidRPr="000B4EB2">
        <w:t>пошлин за подачу международных заявок</w:t>
      </w:r>
      <w:r w:rsidRPr="0071397E">
        <w:t>, собираемых в качестве получающего ведомства (котор</w:t>
      </w:r>
      <w:r>
        <w:t xml:space="preserve">ую </w:t>
      </w:r>
      <w:r w:rsidRPr="0071397E">
        <w:t xml:space="preserve"> получающее ведомство "задолжал</w:t>
      </w:r>
      <w:r>
        <w:t>о</w:t>
      </w:r>
      <w:r w:rsidRPr="0071397E">
        <w:t>" Международно</w:t>
      </w:r>
      <w:r>
        <w:t>му</w:t>
      </w:r>
      <w:r w:rsidRPr="0071397E">
        <w:t xml:space="preserve"> бюро)</w:t>
      </w:r>
      <w:r>
        <w:t>, и</w:t>
      </w:r>
      <w:r w:rsidRPr="0071397E">
        <w:t xml:space="preserve"> общ</w:t>
      </w:r>
      <w:r>
        <w:t>ей суммой</w:t>
      </w:r>
      <w:r w:rsidRPr="0071397E">
        <w:t xml:space="preserve"> </w:t>
      </w:r>
      <w:r>
        <w:t xml:space="preserve">пошлин за </w:t>
      </w:r>
      <w:r w:rsidRPr="0071397E">
        <w:t>поиск, подлежащ</w:t>
      </w:r>
      <w:r>
        <w:t>ей</w:t>
      </w:r>
      <w:r w:rsidRPr="0071397E">
        <w:t xml:space="preserve"> уплате</w:t>
      </w:r>
      <w:r>
        <w:t xml:space="preserve"> м</w:t>
      </w:r>
      <w:r w:rsidRPr="0071397E">
        <w:t>еждународн</w:t>
      </w:r>
      <w:r>
        <w:t>ому</w:t>
      </w:r>
      <w:r w:rsidRPr="0071397E">
        <w:t xml:space="preserve"> поисков</w:t>
      </w:r>
      <w:r>
        <w:t>ому</w:t>
      </w:r>
      <w:r w:rsidRPr="0071397E">
        <w:t xml:space="preserve"> орган</w:t>
      </w:r>
      <w:r>
        <w:t>у</w:t>
      </w:r>
      <w:r w:rsidRPr="0071397E">
        <w:t xml:space="preserve"> (котор</w:t>
      </w:r>
      <w:r>
        <w:t>ую</w:t>
      </w:r>
      <w:r w:rsidRPr="0071397E">
        <w:t xml:space="preserve"> Международное бюро "задолжал</w:t>
      </w:r>
      <w:r>
        <w:t>о</w:t>
      </w:r>
      <w:r w:rsidRPr="0071397E">
        <w:t xml:space="preserve">" </w:t>
      </w:r>
      <w:r>
        <w:t>м</w:t>
      </w:r>
      <w:r w:rsidRPr="0071397E">
        <w:t>еждународн</w:t>
      </w:r>
      <w:r>
        <w:t>ому</w:t>
      </w:r>
      <w:r w:rsidRPr="0071397E">
        <w:t xml:space="preserve"> поисков</w:t>
      </w:r>
      <w:r>
        <w:t>ому</w:t>
      </w:r>
      <w:r w:rsidRPr="0071397E">
        <w:t xml:space="preserve"> орган</w:t>
      </w:r>
      <w:r>
        <w:t>у</w:t>
      </w:r>
      <w:r w:rsidRPr="0071397E">
        <w:t xml:space="preserve">). </w:t>
      </w:r>
      <w:r>
        <w:t xml:space="preserve"> При образовании чистого остатка</w:t>
      </w:r>
      <w:r w:rsidRPr="0071397E">
        <w:t xml:space="preserve"> в </w:t>
      </w:r>
      <w:r>
        <w:t>определенной</w:t>
      </w:r>
      <w:r w:rsidRPr="0071397E">
        <w:t xml:space="preserve"> валюте в пользу </w:t>
      </w:r>
      <w:r>
        <w:t>м</w:t>
      </w:r>
      <w:r w:rsidRPr="0071397E">
        <w:t xml:space="preserve">еждународного поискового органа Международное бюро </w:t>
      </w:r>
      <w:r>
        <w:t>перечислит эту</w:t>
      </w:r>
      <w:r w:rsidRPr="0071397E">
        <w:t xml:space="preserve"> сумму </w:t>
      </w:r>
      <w:r>
        <w:t>м</w:t>
      </w:r>
      <w:r w:rsidRPr="0071397E">
        <w:t>еждународн</w:t>
      </w:r>
      <w:r>
        <w:t>ому</w:t>
      </w:r>
      <w:r w:rsidRPr="0071397E">
        <w:t xml:space="preserve"> поисков</w:t>
      </w:r>
      <w:r>
        <w:t>ому</w:t>
      </w:r>
      <w:r w:rsidRPr="0071397E">
        <w:t xml:space="preserve"> орган</w:t>
      </w:r>
      <w:r>
        <w:t>у</w:t>
      </w:r>
      <w:r w:rsidRPr="0071397E">
        <w:t xml:space="preserve"> вскоре после получ</w:t>
      </w:r>
      <w:r>
        <w:t>ения платежа</w:t>
      </w:r>
      <w:r w:rsidRPr="0071397E">
        <w:t xml:space="preserve"> от получающе</w:t>
      </w:r>
      <w:r>
        <w:t>го</w:t>
      </w:r>
      <w:r w:rsidRPr="0071397E">
        <w:t xml:space="preserve"> ведомств</w:t>
      </w:r>
      <w:r>
        <w:t>а</w:t>
      </w:r>
      <w:r w:rsidRPr="0071397E">
        <w:t xml:space="preserve"> вместе с необходимой платежной информаци</w:t>
      </w:r>
      <w:r>
        <w:t>ей</w:t>
      </w:r>
      <w:r w:rsidRPr="0071397E">
        <w:t xml:space="preserve"> получающе</w:t>
      </w:r>
      <w:r>
        <w:t>го</w:t>
      </w:r>
      <w:r w:rsidRPr="0071397E">
        <w:t xml:space="preserve"> ведомств</w:t>
      </w:r>
      <w:r>
        <w:t>а</w:t>
      </w:r>
      <w:r w:rsidRPr="0071397E">
        <w:t xml:space="preserve">. </w:t>
      </w:r>
      <w:r>
        <w:t xml:space="preserve"> Таким образом, для функционирования </w:t>
      </w:r>
      <w:r w:rsidRPr="0004773B">
        <w:t>«механизм</w:t>
      </w:r>
      <w:r>
        <w:t>а</w:t>
      </w:r>
      <w:r w:rsidRPr="0004773B">
        <w:t xml:space="preserve"> сальдирования»</w:t>
      </w:r>
      <w:r>
        <w:t xml:space="preserve"> </w:t>
      </w:r>
      <w:r w:rsidRPr="0071397E">
        <w:t>с централизованной оплат</w:t>
      </w:r>
      <w:r>
        <w:t xml:space="preserve">ой пошлин РСТ необходимо обеспечивать </w:t>
      </w:r>
      <w:r w:rsidRPr="0071397E">
        <w:t>регулярн</w:t>
      </w:r>
      <w:r>
        <w:t>ость</w:t>
      </w:r>
      <w:r w:rsidRPr="0071397E">
        <w:t xml:space="preserve"> </w:t>
      </w:r>
      <w:r>
        <w:t xml:space="preserve"> взаимных </w:t>
      </w:r>
      <w:r w:rsidRPr="0071397E">
        <w:t>платежей Международн</w:t>
      </w:r>
      <w:r>
        <w:t>ого</w:t>
      </w:r>
      <w:r w:rsidRPr="0071397E">
        <w:t xml:space="preserve"> бюро и соответствующих ведомств. </w:t>
      </w:r>
      <w:r>
        <w:t xml:space="preserve"> Д</w:t>
      </w:r>
      <w:r w:rsidRPr="0071397E">
        <w:t>ополнительн</w:t>
      </w:r>
      <w:r>
        <w:t>ая</w:t>
      </w:r>
      <w:r w:rsidRPr="0071397E">
        <w:t xml:space="preserve"> информаци</w:t>
      </w:r>
      <w:r>
        <w:t>я</w:t>
      </w:r>
      <w:r w:rsidRPr="0071397E">
        <w:t xml:space="preserve"> </w:t>
      </w:r>
      <w:r>
        <w:t xml:space="preserve">о «сальдировании» содержится в пунктах </w:t>
      </w:r>
      <w:r w:rsidRPr="0071397E">
        <w:t>37</w:t>
      </w:r>
      <w:r>
        <w:t>–</w:t>
      </w:r>
      <w:r w:rsidRPr="0071397E">
        <w:t>44 приложени</w:t>
      </w:r>
      <w:r>
        <w:t>я</w:t>
      </w:r>
      <w:r w:rsidRPr="0071397E">
        <w:t xml:space="preserve"> I к документу </w:t>
      </w:r>
      <w:r>
        <w:t>PCT</w:t>
      </w:r>
      <w:r w:rsidRPr="0073639D">
        <w:t>/</w:t>
      </w:r>
      <w:r>
        <w:t>WG</w:t>
      </w:r>
      <w:r w:rsidRPr="0073639D">
        <w:t xml:space="preserve">/8/15 </w:t>
      </w:r>
      <w:r w:rsidRPr="0071397E">
        <w:t>.</w:t>
      </w:r>
    </w:p>
    <w:p w:rsidR="00124DCE" w:rsidRPr="0073639D" w:rsidRDefault="00124DCE" w:rsidP="00124DCE">
      <w:pPr>
        <w:pStyle w:val="ONUME"/>
        <w:numPr>
          <w:ilvl w:val="0"/>
          <w:numId w:val="19"/>
        </w:numPr>
      </w:pPr>
      <w:r>
        <w:t xml:space="preserve">При использовании предложенного «механизма сальдирования» уже не нужно будет прибегать к </w:t>
      </w:r>
      <w:r w:rsidRPr="0073639D">
        <w:t>процедур</w:t>
      </w:r>
      <w:r>
        <w:t>е</w:t>
      </w:r>
      <w:r w:rsidRPr="0073639D">
        <w:t xml:space="preserve"> согласно правилу 16.1(e)</w:t>
      </w:r>
      <w:r>
        <w:t xml:space="preserve">, поскольку </w:t>
      </w:r>
      <w:r w:rsidRPr="0073639D">
        <w:t>международны</w:t>
      </w:r>
      <w:r>
        <w:t>й</w:t>
      </w:r>
      <w:r w:rsidRPr="0073639D">
        <w:t xml:space="preserve"> поисковы</w:t>
      </w:r>
      <w:r>
        <w:t>й</w:t>
      </w:r>
      <w:r w:rsidRPr="0073639D">
        <w:t xml:space="preserve"> орган</w:t>
      </w:r>
      <w:r>
        <w:t xml:space="preserve"> во всех случаях</w:t>
      </w:r>
      <w:r w:rsidRPr="0073639D">
        <w:t xml:space="preserve"> буд</w:t>
      </w:r>
      <w:r>
        <w:t>е</w:t>
      </w:r>
      <w:r w:rsidRPr="0073639D">
        <w:t>т получать пошлину за поиск в полном объеме</w:t>
      </w:r>
      <w:r>
        <w:t xml:space="preserve"> </w:t>
      </w:r>
      <w:r w:rsidRPr="0073639D">
        <w:t>в валюте, установленной международным поисковым органом</w:t>
      </w:r>
      <w:r>
        <w:t>.</w:t>
      </w:r>
    </w:p>
    <w:p w:rsidR="00124DCE" w:rsidRPr="0073639D" w:rsidRDefault="00124DCE" w:rsidP="00555B8B">
      <w:pPr>
        <w:pStyle w:val="Heading2"/>
        <w:rPr>
          <w:lang w:val="ru-RU"/>
        </w:rPr>
      </w:pPr>
      <w:r>
        <w:rPr>
          <w:lang w:val="ru-RU"/>
        </w:rPr>
        <w:t>ОБСУЖДЕНИЕ РАБОЧЕЙ ГРУППОЙ</w:t>
      </w:r>
    </w:p>
    <w:p w:rsidR="00124DCE" w:rsidRPr="00600CBA" w:rsidRDefault="00124DCE" w:rsidP="00124DCE">
      <w:pPr>
        <w:pStyle w:val="ONUME"/>
        <w:numPr>
          <w:ilvl w:val="0"/>
          <w:numId w:val="19"/>
        </w:numPr>
      </w:pPr>
      <w:r>
        <w:t>Как указано в пункте 13 документа</w:t>
      </w:r>
      <w:r w:rsidRPr="00600CBA">
        <w:t xml:space="preserve"> </w:t>
      </w:r>
      <w:r>
        <w:t>PCT</w:t>
      </w:r>
      <w:r w:rsidRPr="00600CBA">
        <w:t>/</w:t>
      </w:r>
      <w:r>
        <w:t>WG</w:t>
      </w:r>
      <w:r w:rsidRPr="00600CBA">
        <w:t>/8/15</w:t>
      </w:r>
      <w:r>
        <w:t xml:space="preserve">, представленного на восьмой сессии Рабочей группы в мае 2015 г., Международное бюро сообщило, что оно </w:t>
      </w:r>
      <w:r w:rsidRPr="00600CBA">
        <w:t>продолжи</w:t>
      </w:r>
      <w:r>
        <w:t>т</w:t>
      </w:r>
      <w:r w:rsidRPr="00600CBA">
        <w:t xml:space="preserve"> разработку предложения о введении «механизма сальдирования» для всех связанных с пошлинами РСТ операций между </w:t>
      </w:r>
      <w:r>
        <w:t xml:space="preserve">получающими ведомствами, </w:t>
      </w:r>
      <w:r w:rsidRPr="00600CBA">
        <w:t>международным</w:t>
      </w:r>
      <w:r>
        <w:t>и</w:t>
      </w:r>
      <w:r w:rsidRPr="00600CBA">
        <w:t xml:space="preserve"> поисковым</w:t>
      </w:r>
      <w:r>
        <w:t>и</w:t>
      </w:r>
      <w:r w:rsidRPr="00600CBA">
        <w:t xml:space="preserve"> орган</w:t>
      </w:r>
      <w:r>
        <w:t>ами и Международным бюро</w:t>
      </w:r>
      <w:r w:rsidRPr="00600CBA">
        <w:t xml:space="preserve">, учитывая вопросы, поднятые в ответ на циркулярное письмо </w:t>
      </w:r>
      <w:r>
        <w:t>C</w:t>
      </w:r>
      <w:r w:rsidRPr="00600CBA">
        <w:t>.</w:t>
      </w:r>
      <w:r>
        <w:t> PCT </w:t>
      </w:r>
      <w:r w:rsidRPr="00600CBA">
        <w:t>1440, с целью представ</w:t>
      </w:r>
      <w:r>
        <w:t>ления</w:t>
      </w:r>
      <w:r w:rsidRPr="00600CBA">
        <w:t xml:space="preserve"> детально</w:t>
      </w:r>
      <w:r>
        <w:t>го</w:t>
      </w:r>
      <w:r w:rsidRPr="00600CBA">
        <w:t xml:space="preserve"> предложени</w:t>
      </w:r>
      <w:r>
        <w:t>я</w:t>
      </w:r>
      <w:r w:rsidRPr="00600CBA">
        <w:t xml:space="preserve"> для обсуждения Рабочей группой на ее следующей сессии в 2016 г.</w:t>
      </w:r>
      <w:r>
        <w:t xml:space="preserve"> Ход обсуждения вопроса о «сальдировании» кратко отражен в пунктах 32–34 Резюме Председателя (документ PCT</w:t>
      </w:r>
      <w:r w:rsidRPr="00600CBA">
        <w:t>/</w:t>
      </w:r>
      <w:r>
        <w:t>WG</w:t>
      </w:r>
      <w:r w:rsidRPr="00600CBA">
        <w:t>/8/25</w:t>
      </w:r>
      <w:r>
        <w:t>):</w:t>
      </w:r>
    </w:p>
    <w:p w:rsidR="00124DCE" w:rsidRPr="00600CBA" w:rsidRDefault="00124DCE" w:rsidP="00555B8B">
      <w:pPr>
        <w:pStyle w:val="ONUME"/>
        <w:numPr>
          <w:ilvl w:val="0"/>
          <w:numId w:val="0"/>
        </w:numPr>
        <w:ind w:left="567"/>
      </w:pPr>
      <w:r w:rsidRPr="00600CBA">
        <w:t xml:space="preserve"> </w:t>
      </w:r>
      <w:r>
        <w:t>«</w:t>
      </w:r>
      <w:r w:rsidRPr="00600CBA">
        <w:t>32.</w:t>
      </w:r>
      <w:r w:rsidRPr="00600CBA">
        <w:tab/>
        <w:t>Несколько делегаций заявили о своей принципиальной поддержке предложения о переходе к механизму сальдирования для всех связанных с пошлинами РСТ операций между получающими ведомствами, международными поисковыми органами и Международным бюро, отметив при этом, что для принятия решения на этот счет им нужна дополнительная информация.</w:t>
      </w:r>
    </w:p>
    <w:p w:rsidR="00124DCE" w:rsidRPr="00600CBA" w:rsidRDefault="00124DCE" w:rsidP="00555B8B">
      <w:pPr>
        <w:pStyle w:val="ONUME"/>
        <w:numPr>
          <w:ilvl w:val="0"/>
          <w:numId w:val="0"/>
        </w:numPr>
        <w:ind w:left="567"/>
      </w:pPr>
      <w:r w:rsidRPr="00600CBA">
        <w:t>33.</w:t>
      </w:r>
      <w:r w:rsidRPr="00600CBA">
        <w:tab/>
        <w:t>Одна из делегаций заявила, что не может поддержать предложение о механизме сальдирования из опасения, что это приведет к увеличению объемов работы для получающих ведомств.</w:t>
      </w:r>
    </w:p>
    <w:p w:rsidR="00124DCE" w:rsidRPr="00600CBA" w:rsidRDefault="00124DCE" w:rsidP="00555B8B">
      <w:pPr>
        <w:pStyle w:val="ONUME"/>
        <w:numPr>
          <w:ilvl w:val="0"/>
          <w:numId w:val="0"/>
        </w:numPr>
        <w:ind w:left="567"/>
      </w:pPr>
      <w:r w:rsidRPr="00600CBA">
        <w:t>34.</w:t>
      </w:r>
      <w:r w:rsidRPr="00600CBA">
        <w:tab/>
        <w:t>Одна делегация выразила надежду на то, что внедрение механизма сальдирования может быть выполнено оперативно, и привела примеры из своего успешного опыта в качестве международного поискового органа со ссылкой на реализуемый в настоящее время пилотный проект, в рамках которого получение пошлин за поиск от получающего ведомства происходит через посредство Международного бюро.  Далее эта же делегация заявила, что, по ее мнению, можно достичь еще больших преимуществ, если скомбинировать механизм сальдирования с механизмом электронной передачи копий для поиска из получающих ведомств в международный поисковый орган через посредство Международного бюро (процедура eSearchCopy)</w:t>
      </w:r>
      <w:r>
        <w:t>».</w:t>
      </w:r>
    </w:p>
    <w:p w:rsidR="00124DCE" w:rsidRPr="00600CBA" w:rsidRDefault="00124DCE" w:rsidP="00555B8B">
      <w:pPr>
        <w:pStyle w:val="Heading2"/>
        <w:rPr>
          <w:lang w:val="ru-RU"/>
        </w:rPr>
      </w:pPr>
      <w:r>
        <w:rPr>
          <w:lang w:val="ru-RU"/>
        </w:rPr>
        <w:t>ОБНОВЛЕННАЯ ИНФОРМАЦИЯ</w:t>
      </w:r>
    </w:p>
    <w:p w:rsidR="00124DCE" w:rsidRPr="00BD345C" w:rsidRDefault="00124DCE" w:rsidP="00124DCE">
      <w:pPr>
        <w:pStyle w:val="ONUME"/>
        <w:numPr>
          <w:ilvl w:val="0"/>
          <w:numId w:val="19"/>
        </w:numPr>
      </w:pPr>
      <w:r>
        <w:t>Для дальнейшей проработки вопроса о возможном применении «механизма сальдирования» нужно завершить процедуру оформления на работу консультанта, упомянутого в пункте 17 выше, которому, в частности, будет поручено детально проанализировать последствия возможного</w:t>
      </w:r>
      <w:r w:rsidRPr="005B5AF5">
        <w:t xml:space="preserve"> введени</w:t>
      </w:r>
      <w:r>
        <w:t>я</w:t>
      </w:r>
      <w:r w:rsidRPr="005B5AF5">
        <w:t xml:space="preserve"> «механизма сальдирования» для всех связанных с пошлинами РСТ операций между получающими ведомствами, международными поисковыми органами и Международным бюро</w:t>
      </w:r>
      <w:r>
        <w:t>.</w:t>
      </w:r>
    </w:p>
    <w:p w:rsidR="00124DCE" w:rsidRPr="005B5AF5" w:rsidRDefault="00124DCE" w:rsidP="00124DCE">
      <w:pPr>
        <w:pStyle w:val="ONUME"/>
        <w:numPr>
          <w:ilvl w:val="0"/>
          <w:numId w:val="19"/>
        </w:numPr>
      </w:pPr>
      <w:r>
        <w:t>Результаты</w:t>
      </w:r>
      <w:r w:rsidRPr="005B5AF5">
        <w:t xml:space="preserve"> </w:t>
      </w:r>
      <w:r>
        <w:t>этого</w:t>
      </w:r>
      <w:r w:rsidRPr="005B5AF5">
        <w:t xml:space="preserve"> </w:t>
      </w:r>
      <w:r>
        <w:t>анализа</w:t>
      </w:r>
      <w:r w:rsidRPr="005B5AF5">
        <w:t xml:space="preserve"> будут учитываться Международным бюро при представлении Рабочей группе для обсуждения на ее сессии 2017 г. предложения о целесообразности введения механизма сальдирования</w:t>
      </w:r>
      <w:r>
        <w:t>.</w:t>
      </w:r>
    </w:p>
    <w:p w:rsidR="00124DCE" w:rsidRPr="00CE6BAB" w:rsidRDefault="00124DCE" w:rsidP="00555B8B">
      <w:pPr>
        <w:pStyle w:val="ONUME"/>
        <w:numPr>
          <w:ilvl w:val="0"/>
          <w:numId w:val="0"/>
        </w:numPr>
      </w:pPr>
    </w:p>
    <w:p w:rsidR="00124DCE" w:rsidRPr="005B5AF5" w:rsidRDefault="00124DCE" w:rsidP="00124DCE">
      <w:pPr>
        <w:pStyle w:val="ONUME"/>
        <w:numPr>
          <w:ilvl w:val="0"/>
          <w:numId w:val="19"/>
        </w:numPr>
        <w:ind w:left="5533"/>
        <w:rPr>
          <w:i/>
        </w:rPr>
      </w:pPr>
      <w:r w:rsidRPr="005B5AF5">
        <w:rPr>
          <w:i/>
        </w:rPr>
        <w:t>Рабочей группе предлагается принять к сведению содержание настоящего документа.</w:t>
      </w:r>
    </w:p>
    <w:p w:rsidR="00124DCE" w:rsidRPr="005B5AF5" w:rsidRDefault="00124DCE" w:rsidP="00555B8B">
      <w:pPr>
        <w:pStyle w:val="ONUME"/>
        <w:numPr>
          <w:ilvl w:val="0"/>
          <w:numId w:val="0"/>
        </w:numPr>
        <w:ind w:left="5533"/>
        <w:rPr>
          <w:i/>
        </w:rPr>
      </w:pPr>
    </w:p>
    <w:p w:rsidR="00124DCE" w:rsidRPr="002514F7" w:rsidRDefault="00124DCE" w:rsidP="00555B8B">
      <w:pPr>
        <w:pStyle w:val="ONUME"/>
        <w:numPr>
          <w:ilvl w:val="0"/>
          <w:numId w:val="0"/>
        </w:numPr>
        <w:ind w:left="5533"/>
      </w:pPr>
      <w:r w:rsidRPr="002514F7">
        <w:t>[</w:t>
      </w:r>
      <w:r w:rsidR="00BA0B10">
        <w:t xml:space="preserve">Конец </w:t>
      </w:r>
      <w:r w:rsidR="00DC60A9">
        <w:t xml:space="preserve">приложения и </w:t>
      </w:r>
      <w:r w:rsidR="00BA0B10">
        <w:t>документа</w:t>
      </w:r>
      <w:r w:rsidRPr="002514F7">
        <w:t>]</w:t>
      </w:r>
    </w:p>
    <w:sectPr w:rsidR="00124DCE" w:rsidRPr="002514F7" w:rsidSect="00BC0C8E">
      <w:headerReference w:type="default" r:id="rId14"/>
      <w:headerReference w:type="first" r:id="rId15"/>
      <w:pgSz w:w="11920" w:h="16860"/>
      <w:pgMar w:top="1000" w:right="1020" w:bottom="280" w:left="1300" w:header="536"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672" w:rsidRDefault="00A11672">
      <w:r>
        <w:separator/>
      </w:r>
    </w:p>
  </w:endnote>
  <w:endnote w:type="continuationSeparator" w:id="0">
    <w:p w:rsidR="00A11672" w:rsidRDefault="00A11672" w:rsidP="003B38C1">
      <w:r>
        <w:separator/>
      </w:r>
    </w:p>
    <w:p w:rsidR="00A11672" w:rsidRPr="003B38C1" w:rsidRDefault="00A11672" w:rsidP="003B38C1">
      <w:pPr>
        <w:spacing w:after="60"/>
        <w:rPr>
          <w:sz w:val="17"/>
        </w:rPr>
      </w:pPr>
      <w:r>
        <w:rPr>
          <w:sz w:val="17"/>
        </w:rPr>
        <w:t>[Endnote continued from previous page]</w:t>
      </w:r>
    </w:p>
  </w:endnote>
  <w:endnote w:type="continuationNotice" w:id="1">
    <w:p w:rsidR="00A11672" w:rsidRPr="003B38C1" w:rsidRDefault="00A116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672" w:rsidRDefault="00A11672">
      <w:r>
        <w:separator/>
      </w:r>
    </w:p>
  </w:footnote>
  <w:footnote w:type="continuationSeparator" w:id="0">
    <w:p w:rsidR="00A11672" w:rsidRDefault="00A11672" w:rsidP="008B60B2">
      <w:r>
        <w:separator/>
      </w:r>
    </w:p>
    <w:p w:rsidR="00A11672" w:rsidRPr="00ED77FB" w:rsidRDefault="00A11672" w:rsidP="008B60B2">
      <w:pPr>
        <w:spacing w:after="60"/>
        <w:rPr>
          <w:sz w:val="17"/>
          <w:szCs w:val="17"/>
        </w:rPr>
      </w:pPr>
      <w:r w:rsidRPr="00ED77FB">
        <w:rPr>
          <w:sz w:val="17"/>
          <w:szCs w:val="17"/>
        </w:rPr>
        <w:t>[Footnote continued from previous page]</w:t>
      </w:r>
    </w:p>
  </w:footnote>
  <w:footnote w:type="continuationNotice" w:id="1">
    <w:p w:rsidR="00A11672" w:rsidRPr="00ED77FB" w:rsidRDefault="00A116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2B" w:rsidRDefault="0089242B" w:rsidP="00451F50">
    <w:pPr>
      <w:pStyle w:val="Header"/>
      <w:jc w:val="right"/>
    </w:pPr>
    <w:r w:rsidRPr="00D53E8E">
      <w:rPr>
        <w:lang w:val="fr-CH"/>
      </w:rPr>
      <w:t>WO/PBC/2</w:t>
    </w:r>
    <w:r>
      <w:rPr>
        <w:lang w:val="fr-CH"/>
      </w:rPr>
      <w:t>5</w:t>
    </w:r>
    <w:r w:rsidRPr="00D53E8E">
      <w:rPr>
        <w:lang w:val="fr-CH"/>
      </w:rPr>
      <w:t>/</w:t>
    </w:r>
    <w:r>
      <w:rPr>
        <w:lang w:val="fr-CH"/>
      </w:rPr>
      <w:t>20</w:t>
    </w:r>
  </w:p>
  <w:p w:rsidR="0089242B" w:rsidRDefault="0089242B" w:rsidP="00451F50">
    <w:pPr>
      <w:pStyle w:val="Header"/>
      <w:jc w:val="right"/>
    </w:pPr>
    <w:r>
      <w:rPr>
        <w:lang w:val="ru-RU"/>
      </w:rPr>
      <w:t>стр</w:t>
    </w:r>
    <w:r w:rsidRPr="004B2858">
      <w:t xml:space="preserve">. </w:t>
    </w:r>
    <w:r>
      <w:fldChar w:fldCharType="begin"/>
    </w:r>
    <w:r>
      <w:instrText xml:space="preserve"> PAGE   \* MERGEFORMAT </w:instrText>
    </w:r>
    <w:r>
      <w:fldChar w:fldCharType="separate"/>
    </w:r>
    <w:r w:rsidR="00C100D7">
      <w:rPr>
        <w:noProof/>
      </w:rPr>
      <w:t>10</w:t>
    </w:r>
    <w:r>
      <w:fldChar w:fldCharType="end"/>
    </w:r>
  </w:p>
  <w:p w:rsidR="0089242B" w:rsidRPr="00451F50" w:rsidRDefault="0089242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2B" w:rsidRDefault="0089242B" w:rsidP="00451F5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2B" w:rsidRPr="00D53E8E" w:rsidRDefault="0089242B" w:rsidP="00451F50">
    <w:pPr>
      <w:jc w:val="right"/>
      <w:rPr>
        <w:lang w:val="fr-CH"/>
      </w:rPr>
    </w:pPr>
    <w:r w:rsidRPr="00D53E8E">
      <w:rPr>
        <w:lang w:val="fr-CH"/>
      </w:rPr>
      <w:t>WO/PBC/2</w:t>
    </w:r>
    <w:r>
      <w:rPr>
        <w:lang w:val="fr-CH"/>
      </w:rPr>
      <w:t>5</w:t>
    </w:r>
    <w:r w:rsidRPr="00D53E8E">
      <w:rPr>
        <w:lang w:val="fr-CH"/>
      </w:rPr>
      <w:t>/</w:t>
    </w:r>
    <w:r>
      <w:rPr>
        <w:lang w:val="fr-CH"/>
      </w:rPr>
      <w:t>20</w:t>
    </w:r>
  </w:p>
  <w:p w:rsidR="0089242B" w:rsidRPr="00D53E8E" w:rsidRDefault="001D77B8" w:rsidP="00451F50">
    <w:pPr>
      <w:jc w:val="right"/>
      <w:rPr>
        <w:lang w:val="fr-CH"/>
      </w:rPr>
    </w:pPr>
    <w:r>
      <w:rPr>
        <w:lang w:val="ru-RU"/>
      </w:rPr>
      <w:t>П</w:t>
    </w:r>
    <w:r w:rsidRPr="00025F2F">
      <w:rPr>
        <w:lang w:val="ru-RU"/>
      </w:rPr>
      <w:t>риложени</w:t>
    </w:r>
    <w:r>
      <w:rPr>
        <w:lang w:val="ru-RU"/>
      </w:rPr>
      <w:t>е</w:t>
    </w:r>
    <w:r w:rsidR="0089242B">
      <w:rPr>
        <w:lang w:val="fr-CH"/>
      </w:rPr>
      <w:t xml:space="preserve">, </w:t>
    </w:r>
    <w:r>
      <w:rPr>
        <w:lang w:val="ru-RU"/>
      </w:rPr>
      <w:t xml:space="preserve">стр. </w:t>
    </w:r>
    <w:r w:rsidR="0089242B" w:rsidRPr="00D53E8E">
      <w:rPr>
        <w:lang w:val="fr-CH"/>
      </w:rPr>
      <w:fldChar w:fldCharType="begin"/>
    </w:r>
    <w:r w:rsidR="0089242B" w:rsidRPr="00D53E8E">
      <w:rPr>
        <w:lang w:val="fr-CH"/>
      </w:rPr>
      <w:instrText xml:space="preserve"> PAGE  \* MERGEFORMAT </w:instrText>
    </w:r>
    <w:r w:rsidR="0089242B" w:rsidRPr="00D53E8E">
      <w:rPr>
        <w:lang w:val="fr-CH"/>
      </w:rPr>
      <w:fldChar w:fldCharType="separate"/>
    </w:r>
    <w:r w:rsidR="00EF1729">
      <w:rPr>
        <w:noProof/>
        <w:lang w:val="fr-CH"/>
      </w:rPr>
      <w:t>6</w:t>
    </w:r>
    <w:r w:rsidR="0089242B" w:rsidRPr="00D53E8E">
      <w:rPr>
        <w:lang w:val="fr-CH"/>
      </w:rPr>
      <w:fldChar w:fldCharType="end"/>
    </w:r>
  </w:p>
  <w:p w:rsidR="0089242B" w:rsidRDefault="0089242B" w:rsidP="00477D6B">
    <w:pPr>
      <w:jc w:val="right"/>
      <w:rPr>
        <w:lang w:val="fr-CH"/>
      </w:rPr>
    </w:pPr>
  </w:p>
  <w:p w:rsidR="0089242B" w:rsidRPr="00451F50" w:rsidRDefault="0089242B"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2B" w:rsidRDefault="0089242B">
    <w:pPr>
      <w:pStyle w:val="Header"/>
    </w:pPr>
  </w:p>
  <w:p w:rsidR="0089242B" w:rsidRPr="001D77B8" w:rsidRDefault="0089242B" w:rsidP="00451F50">
    <w:pPr>
      <w:jc w:val="right"/>
      <w:rPr>
        <w:lang w:val="ru-RU"/>
      </w:rPr>
    </w:pPr>
    <w:r w:rsidRPr="00B859DE">
      <w:t>WO</w:t>
    </w:r>
    <w:r w:rsidRPr="001D77B8">
      <w:rPr>
        <w:lang w:val="ru-RU"/>
      </w:rPr>
      <w:t>/</w:t>
    </w:r>
    <w:r w:rsidRPr="00B859DE">
      <w:t>PBC</w:t>
    </w:r>
    <w:r w:rsidRPr="001D77B8">
      <w:rPr>
        <w:lang w:val="ru-RU"/>
      </w:rPr>
      <w:t>/25/20</w:t>
    </w:r>
  </w:p>
  <w:p w:rsidR="0089242B" w:rsidRPr="001D77B8" w:rsidRDefault="001D77B8" w:rsidP="00451F50">
    <w:pPr>
      <w:pStyle w:val="Header"/>
      <w:jc w:val="right"/>
      <w:rPr>
        <w:lang w:val="ru-RU"/>
      </w:rPr>
    </w:pPr>
    <w:r w:rsidRPr="001D77B8">
      <w:rPr>
        <w:lang w:val="ru-RU"/>
      </w:rPr>
      <w:t>ПРИЛОЖЕНИ</w:t>
    </w:r>
    <w:r>
      <w:rPr>
        <w:lang w:val="ru-RU"/>
      </w:rPr>
      <w:t xml:space="preserve">Е </w:t>
    </w:r>
  </w:p>
  <w:p w:rsidR="0089242B" w:rsidRPr="001D77B8" w:rsidRDefault="0089242B" w:rsidP="00451F50">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C54FC28"/>
    <w:lvl w:ilvl="0">
      <w:start w:val="1"/>
      <w:numFmt w:val="decimal"/>
      <w:lvlText w:val="%1."/>
      <w:lvlJc w:val="left"/>
      <w:pPr>
        <w:tabs>
          <w:tab w:val="num" w:pos="360"/>
        </w:tabs>
        <w:ind w:left="360" w:hanging="360"/>
      </w:pPr>
    </w:lvl>
  </w:abstractNum>
  <w:abstractNum w:abstractNumId="1">
    <w:nsid w:val="06CD29E3"/>
    <w:multiLevelType w:val="multilevel"/>
    <w:tmpl w:val="D828F01E"/>
    <w:lvl w:ilvl="0">
      <w:start w:val="1"/>
      <w:numFmt w:val="decimal"/>
      <w:lvlRestart w:val="0"/>
      <w:pStyle w:val="ONUMFS"/>
      <w:lvlText w:val="%1."/>
      <w:lvlJc w:val="left"/>
      <w:pPr>
        <w:tabs>
          <w:tab w:val="num" w:pos="567"/>
        </w:tabs>
      </w:pPr>
      <w:rPr>
        <w:rFonts w:cs="Times New Roman" w:hint="default"/>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95F3094"/>
    <w:multiLevelType w:val="hybridMultilevel"/>
    <w:tmpl w:val="76E0E90E"/>
    <w:lvl w:ilvl="0" w:tplc="2EBA1770">
      <w:start w:val="1"/>
      <w:numFmt w:val="lowerRoman"/>
      <w:pStyle w:val="ONUME"/>
      <w:lvlText w:val="(%1)"/>
      <w:lvlJc w:val="left"/>
      <w:pPr>
        <w:ind w:left="7650" w:hanging="720"/>
      </w:pPr>
      <w:rPr>
        <w:rFonts w:cs="Times New Roman" w:hint="default"/>
      </w:rPr>
    </w:lvl>
    <w:lvl w:ilvl="1" w:tplc="04090019" w:tentative="1">
      <w:start w:val="1"/>
      <w:numFmt w:val="lowerLetter"/>
      <w:lvlText w:val="%2."/>
      <w:lvlJc w:val="left"/>
      <w:pPr>
        <w:ind w:left="8010" w:hanging="360"/>
      </w:pPr>
      <w:rPr>
        <w:rFonts w:cs="Times New Roman"/>
      </w:rPr>
    </w:lvl>
    <w:lvl w:ilvl="2" w:tplc="0409001B" w:tentative="1">
      <w:start w:val="1"/>
      <w:numFmt w:val="lowerRoman"/>
      <w:lvlText w:val="%3."/>
      <w:lvlJc w:val="right"/>
      <w:pPr>
        <w:ind w:left="8730" w:hanging="180"/>
      </w:pPr>
      <w:rPr>
        <w:rFonts w:cs="Times New Roman"/>
      </w:rPr>
    </w:lvl>
    <w:lvl w:ilvl="3" w:tplc="0409000F" w:tentative="1">
      <w:start w:val="1"/>
      <w:numFmt w:val="decimal"/>
      <w:lvlText w:val="%4."/>
      <w:lvlJc w:val="left"/>
      <w:pPr>
        <w:ind w:left="9450" w:hanging="360"/>
      </w:pPr>
      <w:rPr>
        <w:rFonts w:cs="Times New Roman"/>
      </w:rPr>
    </w:lvl>
    <w:lvl w:ilvl="4" w:tplc="04090019" w:tentative="1">
      <w:start w:val="1"/>
      <w:numFmt w:val="lowerLetter"/>
      <w:lvlText w:val="%5."/>
      <w:lvlJc w:val="left"/>
      <w:pPr>
        <w:ind w:left="10170" w:hanging="360"/>
      </w:pPr>
      <w:rPr>
        <w:rFonts w:cs="Times New Roman"/>
      </w:rPr>
    </w:lvl>
    <w:lvl w:ilvl="5" w:tplc="0409001B" w:tentative="1">
      <w:start w:val="1"/>
      <w:numFmt w:val="lowerRoman"/>
      <w:lvlText w:val="%6."/>
      <w:lvlJc w:val="right"/>
      <w:pPr>
        <w:ind w:left="10890" w:hanging="180"/>
      </w:pPr>
      <w:rPr>
        <w:rFonts w:cs="Times New Roman"/>
      </w:rPr>
    </w:lvl>
    <w:lvl w:ilvl="6" w:tplc="0409000F" w:tentative="1">
      <w:start w:val="1"/>
      <w:numFmt w:val="decimal"/>
      <w:lvlText w:val="%7."/>
      <w:lvlJc w:val="left"/>
      <w:pPr>
        <w:ind w:left="11610" w:hanging="360"/>
      </w:pPr>
      <w:rPr>
        <w:rFonts w:cs="Times New Roman"/>
      </w:rPr>
    </w:lvl>
    <w:lvl w:ilvl="7" w:tplc="04090019" w:tentative="1">
      <w:start w:val="1"/>
      <w:numFmt w:val="lowerLetter"/>
      <w:lvlText w:val="%8."/>
      <w:lvlJc w:val="left"/>
      <w:pPr>
        <w:ind w:left="12330" w:hanging="360"/>
      </w:pPr>
      <w:rPr>
        <w:rFonts w:cs="Times New Roman"/>
      </w:rPr>
    </w:lvl>
    <w:lvl w:ilvl="8" w:tplc="0409001B" w:tentative="1">
      <w:start w:val="1"/>
      <w:numFmt w:val="lowerRoman"/>
      <w:lvlText w:val="%9."/>
      <w:lvlJc w:val="right"/>
      <w:pPr>
        <w:ind w:left="13050" w:hanging="180"/>
      </w:pPr>
      <w:rPr>
        <w:rFonts w:cs="Times New Roman"/>
      </w:rPr>
    </w:lvl>
  </w:abstractNum>
  <w:abstractNum w:abstractNumId="3">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307796E"/>
    <w:multiLevelType w:val="multilevel"/>
    <w:tmpl w:val="E7A2D9A8"/>
    <w:lvl w:ilvl="0">
      <w:start w:val="1"/>
      <w:numFmt w:val="decimal"/>
      <w:lvlRestart w:val="0"/>
      <w:lvlText w:val="%1."/>
      <w:lvlJc w:val="left"/>
      <w:pPr>
        <w:tabs>
          <w:tab w:val="num" w:pos="567"/>
        </w:tabs>
        <w:ind w:left="0" w:firstLine="0"/>
      </w:pPr>
      <w:rPr>
        <w:rFonts w:cs="Times New Roman" w:hint="default"/>
        <w:sz w:val="22"/>
        <w:szCs w:val="22"/>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5014F1F"/>
    <w:multiLevelType w:val="multilevel"/>
    <w:tmpl w:val="D828F01E"/>
    <w:lvl w:ilvl="0">
      <w:start w:val="1"/>
      <w:numFmt w:val="decimal"/>
      <w:lvlRestart w:val="0"/>
      <w:lvlText w:val="%1."/>
      <w:lvlJc w:val="left"/>
      <w:pPr>
        <w:tabs>
          <w:tab w:val="num" w:pos="567"/>
        </w:tabs>
      </w:pPr>
      <w:rPr>
        <w:rFonts w:cs="Times New Roman" w:hint="default"/>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55015881"/>
    <w:multiLevelType w:val="hybridMultilevel"/>
    <w:tmpl w:val="B40A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E256B9"/>
    <w:multiLevelType w:val="hybridMultilevel"/>
    <w:tmpl w:val="A4B4356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0">
    <w:nsid w:val="5E203ED3"/>
    <w:multiLevelType w:val="hybridMultilevel"/>
    <w:tmpl w:val="BCAEEC64"/>
    <w:lvl w:ilvl="0" w:tplc="0409000F">
      <w:start w:val="1"/>
      <w:numFmt w:val="decimal"/>
      <w:lvlText w:val="%1."/>
      <w:lvlJc w:val="left"/>
      <w:pPr>
        <w:tabs>
          <w:tab w:val="num" w:pos="709"/>
        </w:tabs>
        <w:ind w:left="14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5D11C28"/>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abstractNumId w:val="0"/>
  </w:num>
  <w:num w:numId="2">
    <w:abstractNumId w:val="6"/>
  </w:num>
  <w:num w:numId="3">
    <w:abstractNumId w:val="1"/>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5"/>
  </w:num>
  <w:num w:numId="12">
    <w:abstractNumId w:val="8"/>
  </w:num>
  <w:num w:numId="13">
    <w:abstractNumId w:val="11"/>
  </w:num>
  <w:num w:numId="14">
    <w:abstractNumId w:val="9"/>
  </w:num>
  <w:num w:numId="15">
    <w:abstractNumId w:val="2"/>
  </w:num>
  <w:num w:numId="16">
    <w:abstractNumId w:val="1"/>
  </w:num>
  <w:num w:numId="17">
    <w:abstractNumId w:val="3"/>
  </w:num>
  <w:num w:numId="18">
    <w:abstractNumId w:val="7"/>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E"/>
    <w:rsid w:val="0000736B"/>
    <w:rsid w:val="00023B7E"/>
    <w:rsid w:val="00025F2F"/>
    <w:rsid w:val="0002742B"/>
    <w:rsid w:val="0003439B"/>
    <w:rsid w:val="0004193B"/>
    <w:rsid w:val="00042314"/>
    <w:rsid w:val="00043CAA"/>
    <w:rsid w:val="000547B2"/>
    <w:rsid w:val="00066872"/>
    <w:rsid w:val="00070132"/>
    <w:rsid w:val="00075432"/>
    <w:rsid w:val="00084DAE"/>
    <w:rsid w:val="00093C38"/>
    <w:rsid w:val="000968ED"/>
    <w:rsid w:val="000B058B"/>
    <w:rsid w:val="000B4B3C"/>
    <w:rsid w:val="000B5AEC"/>
    <w:rsid w:val="000C2142"/>
    <w:rsid w:val="000C7457"/>
    <w:rsid w:val="000E25D1"/>
    <w:rsid w:val="000E71A6"/>
    <w:rsid w:val="000E77FC"/>
    <w:rsid w:val="000F5E56"/>
    <w:rsid w:val="000F7DB3"/>
    <w:rsid w:val="00104D78"/>
    <w:rsid w:val="00111061"/>
    <w:rsid w:val="0011288A"/>
    <w:rsid w:val="00124DCE"/>
    <w:rsid w:val="001362EE"/>
    <w:rsid w:val="001378A5"/>
    <w:rsid w:val="00137E50"/>
    <w:rsid w:val="00154013"/>
    <w:rsid w:val="00161E41"/>
    <w:rsid w:val="00166CB7"/>
    <w:rsid w:val="001720F6"/>
    <w:rsid w:val="001832A6"/>
    <w:rsid w:val="001850F1"/>
    <w:rsid w:val="001A7224"/>
    <w:rsid w:val="001D5D82"/>
    <w:rsid w:val="001D77B8"/>
    <w:rsid w:val="001F4EDD"/>
    <w:rsid w:val="00200BE7"/>
    <w:rsid w:val="00213E6A"/>
    <w:rsid w:val="00213FCA"/>
    <w:rsid w:val="00214685"/>
    <w:rsid w:val="00221FAB"/>
    <w:rsid w:val="00247A90"/>
    <w:rsid w:val="002610FC"/>
    <w:rsid w:val="002634C4"/>
    <w:rsid w:val="0026751B"/>
    <w:rsid w:val="00271B4F"/>
    <w:rsid w:val="00272728"/>
    <w:rsid w:val="00274D14"/>
    <w:rsid w:val="002765A0"/>
    <w:rsid w:val="002928D3"/>
    <w:rsid w:val="002A0B71"/>
    <w:rsid w:val="002A2D74"/>
    <w:rsid w:val="002B64B4"/>
    <w:rsid w:val="002C5688"/>
    <w:rsid w:val="002C644D"/>
    <w:rsid w:val="002E6414"/>
    <w:rsid w:val="002F1FE6"/>
    <w:rsid w:val="002F2F39"/>
    <w:rsid w:val="002F4E68"/>
    <w:rsid w:val="00306C77"/>
    <w:rsid w:val="00312F7F"/>
    <w:rsid w:val="003339F8"/>
    <w:rsid w:val="00337C8C"/>
    <w:rsid w:val="00361450"/>
    <w:rsid w:val="00361817"/>
    <w:rsid w:val="003673CF"/>
    <w:rsid w:val="003710D3"/>
    <w:rsid w:val="003745A7"/>
    <w:rsid w:val="003845C1"/>
    <w:rsid w:val="00390026"/>
    <w:rsid w:val="0039761B"/>
    <w:rsid w:val="003A27B5"/>
    <w:rsid w:val="003A6F89"/>
    <w:rsid w:val="003A7DA8"/>
    <w:rsid w:val="003B38C1"/>
    <w:rsid w:val="003B71BF"/>
    <w:rsid w:val="003C028C"/>
    <w:rsid w:val="003C242E"/>
    <w:rsid w:val="003C5B9F"/>
    <w:rsid w:val="003E225F"/>
    <w:rsid w:val="003E3EB5"/>
    <w:rsid w:val="003E6D3C"/>
    <w:rsid w:val="003F1BE5"/>
    <w:rsid w:val="003F2C12"/>
    <w:rsid w:val="003F379D"/>
    <w:rsid w:val="003F423B"/>
    <w:rsid w:val="0040281A"/>
    <w:rsid w:val="00406161"/>
    <w:rsid w:val="0042142C"/>
    <w:rsid w:val="00423E3E"/>
    <w:rsid w:val="00427AF4"/>
    <w:rsid w:val="00451F50"/>
    <w:rsid w:val="004647DA"/>
    <w:rsid w:val="00474062"/>
    <w:rsid w:val="004754AC"/>
    <w:rsid w:val="00477D6B"/>
    <w:rsid w:val="00487E1C"/>
    <w:rsid w:val="00491327"/>
    <w:rsid w:val="00496ADC"/>
    <w:rsid w:val="004A09BD"/>
    <w:rsid w:val="004A1350"/>
    <w:rsid w:val="004B2858"/>
    <w:rsid w:val="004B3D78"/>
    <w:rsid w:val="004B4CD2"/>
    <w:rsid w:val="004B546F"/>
    <w:rsid w:val="004B56EF"/>
    <w:rsid w:val="004B6100"/>
    <w:rsid w:val="004B76E4"/>
    <w:rsid w:val="004C5BC1"/>
    <w:rsid w:val="004D2EF3"/>
    <w:rsid w:val="005019FF"/>
    <w:rsid w:val="00506676"/>
    <w:rsid w:val="005179AE"/>
    <w:rsid w:val="005261ED"/>
    <w:rsid w:val="0053057A"/>
    <w:rsid w:val="00532818"/>
    <w:rsid w:val="00555B8B"/>
    <w:rsid w:val="00560A29"/>
    <w:rsid w:val="00565C54"/>
    <w:rsid w:val="005725F2"/>
    <w:rsid w:val="00572794"/>
    <w:rsid w:val="00572797"/>
    <w:rsid w:val="0057401D"/>
    <w:rsid w:val="005A2E04"/>
    <w:rsid w:val="005A3271"/>
    <w:rsid w:val="005C5A55"/>
    <w:rsid w:val="005C6649"/>
    <w:rsid w:val="005C736F"/>
    <w:rsid w:val="005D069B"/>
    <w:rsid w:val="005D1415"/>
    <w:rsid w:val="005F39E9"/>
    <w:rsid w:val="005F5C25"/>
    <w:rsid w:val="005F6C09"/>
    <w:rsid w:val="00604E74"/>
    <w:rsid w:val="00605827"/>
    <w:rsid w:val="00610030"/>
    <w:rsid w:val="00621377"/>
    <w:rsid w:val="00623A95"/>
    <w:rsid w:val="00630628"/>
    <w:rsid w:val="00637747"/>
    <w:rsid w:val="00646050"/>
    <w:rsid w:val="00646829"/>
    <w:rsid w:val="00646E14"/>
    <w:rsid w:val="0065069A"/>
    <w:rsid w:val="00651E69"/>
    <w:rsid w:val="00656E3B"/>
    <w:rsid w:val="00657768"/>
    <w:rsid w:val="0066611B"/>
    <w:rsid w:val="00667ED6"/>
    <w:rsid w:val="006713CA"/>
    <w:rsid w:val="006725A5"/>
    <w:rsid w:val="006747FB"/>
    <w:rsid w:val="00676C5C"/>
    <w:rsid w:val="00686F5D"/>
    <w:rsid w:val="00697924"/>
    <w:rsid w:val="006B0CEC"/>
    <w:rsid w:val="006D18D1"/>
    <w:rsid w:val="006E1809"/>
    <w:rsid w:val="006E2404"/>
    <w:rsid w:val="006E44AC"/>
    <w:rsid w:val="0070011E"/>
    <w:rsid w:val="0070655D"/>
    <w:rsid w:val="00707EC1"/>
    <w:rsid w:val="007104CB"/>
    <w:rsid w:val="0071469C"/>
    <w:rsid w:val="0072176F"/>
    <w:rsid w:val="00725932"/>
    <w:rsid w:val="00734D05"/>
    <w:rsid w:val="0074464A"/>
    <w:rsid w:val="00770963"/>
    <w:rsid w:val="007A396E"/>
    <w:rsid w:val="007B5EFB"/>
    <w:rsid w:val="007D1613"/>
    <w:rsid w:val="007D4BDB"/>
    <w:rsid w:val="007D4D90"/>
    <w:rsid w:val="007D673B"/>
    <w:rsid w:val="007F2586"/>
    <w:rsid w:val="007F38D8"/>
    <w:rsid w:val="00801837"/>
    <w:rsid w:val="00810570"/>
    <w:rsid w:val="00811706"/>
    <w:rsid w:val="008118D8"/>
    <w:rsid w:val="00811D34"/>
    <w:rsid w:val="00826562"/>
    <w:rsid w:val="0084081C"/>
    <w:rsid w:val="00865F73"/>
    <w:rsid w:val="0086619A"/>
    <w:rsid w:val="0088170B"/>
    <w:rsid w:val="0089242B"/>
    <w:rsid w:val="008A067A"/>
    <w:rsid w:val="008A38C8"/>
    <w:rsid w:val="008B06F4"/>
    <w:rsid w:val="008B1BF4"/>
    <w:rsid w:val="008B2CC1"/>
    <w:rsid w:val="008B60B2"/>
    <w:rsid w:val="008C0121"/>
    <w:rsid w:val="008C108E"/>
    <w:rsid w:val="008C1209"/>
    <w:rsid w:val="008C1646"/>
    <w:rsid w:val="008D41B8"/>
    <w:rsid w:val="008F7091"/>
    <w:rsid w:val="0090462F"/>
    <w:rsid w:val="00906BD5"/>
    <w:rsid w:val="0090731E"/>
    <w:rsid w:val="00916EE2"/>
    <w:rsid w:val="00921D5A"/>
    <w:rsid w:val="009237E5"/>
    <w:rsid w:val="009404F2"/>
    <w:rsid w:val="00953096"/>
    <w:rsid w:val="009547C0"/>
    <w:rsid w:val="00960C46"/>
    <w:rsid w:val="00966A22"/>
    <w:rsid w:val="0096722F"/>
    <w:rsid w:val="009742BA"/>
    <w:rsid w:val="00980843"/>
    <w:rsid w:val="009842D7"/>
    <w:rsid w:val="00986F84"/>
    <w:rsid w:val="00994A05"/>
    <w:rsid w:val="009973E9"/>
    <w:rsid w:val="009A0CAD"/>
    <w:rsid w:val="009B1896"/>
    <w:rsid w:val="009B36E8"/>
    <w:rsid w:val="009B6F55"/>
    <w:rsid w:val="009D1B73"/>
    <w:rsid w:val="009D5265"/>
    <w:rsid w:val="009E2791"/>
    <w:rsid w:val="009E3F6F"/>
    <w:rsid w:val="009F3F59"/>
    <w:rsid w:val="009F499F"/>
    <w:rsid w:val="00A11672"/>
    <w:rsid w:val="00A143E8"/>
    <w:rsid w:val="00A172D2"/>
    <w:rsid w:val="00A20ECC"/>
    <w:rsid w:val="00A227F3"/>
    <w:rsid w:val="00A24CF0"/>
    <w:rsid w:val="00A406FA"/>
    <w:rsid w:val="00A42A8F"/>
    <w:rsid w:val="00A42DAF"/>
    <w:rsid w:val="00A45BD8"/>
    <w:rsid w:val="00A5769B"/>
    <w:rsid w:val="00A576EF"/>
    <w:rsid w:val="00A673EE"/>
    <w:rsid w:val="00A762F2"/>
    <w:rsid w:val="00A76DBD"/>
    <w:rsid w:val="00A76E3C"/>
    <w:rsid w:val="00A77461"/>
    <w:rsid w:val="00A839D7"/>
    <w:rsid w:val="00A869B7"/>
    <w:rsid w:val="00A86FDE"/>
    <w:rsid w:val="00A92DFE"/>
    <w:rsid w:val="00AA2EC7"/>
    <w:rsid w:val="00AA58F5"/>
    <w:rsid w:val="00AB1DEB"/>
    <w:rsid w:val="00AC205C"/>
    <w:rsid w:val="00AE6ED3"/>
    <w:rsid w:val="00AF0A6B"/>
    <w:rsid w:val="00AF34F3"/>
    <w:rsid w:val="00AF51C1"/>
    <w:rsid w:val="00B0132C"/>
    <w:rsid w:val="00B05A69"/>
    <w:rsid w:val="00B11C39"/>
    <w:rsid w:val="00B27FA1"/>
    <w:rsid w:val="00B31A46"/>
    <w:rsid w:val="00B40177"/>
    <w:rsid w:val="00B46FC1"/>
    <w:rsid w:val="00B502CF"/>
    <w:rsid w:val="00B606AF"/>
    <w:rsid w:val="00B76BFB"/>
    <w:rsid w:val="00B859DE"/>
    <w:rsid w:val="00B92758"/>
    <w:rsid w:val="00B96BD0"/>
    <w:rsid w:val="00B9734B"/>
    <w:rsid w:val="00BA0B10"/>
    <w:rsid w:val="00BB6A70"/>
    <w:rsid w:val="00BC0031"/>
    <w:rsid w:val="00BC0C8E"/>
    <w:rsid w:val="00BC1029"/>
    <w:rsid w:val="00BF2C36"/>
    <w:rsid w:val="00C0136C"/>
    <w:rsid w:val="00C068DD"/>
    <w:rsid w:val="00C07C32"/>
    <w:rsid w:val="00C100D7"/>
    <w:rsid w:val="00C11BFE"/>
    <w:rsid w:val="00C17FAA"/>
    <w:rsid w:val="00C2289A"/>
    <w:rsid w:val="00C24128"/>
    <w:rsid w:val="00C340F7"/>
    <w:rsid w:val="00C35029"/>
    <w:rsid w:val="00C53592"/>
    <w:rsid w:val="00C54360"/>
    <w:rsid w:val="00C553E3"/>
    <w:rsid w:val="00C56403"/>
    <w:rsid w:val="00C61230"/>
    <w:rsid w:val="00C744C1"/>
    <w:rsid w:val="00C7627D"/>
    <w:rsid w:val="00C878E7"/>
    <w:rsid w:val="00CA10BA"/>
    <w:rsid w:val="00CA25D3"/>
    <w:rsid w:val="00CA4168"/>
    <w:rsid w:val="00CA574C"/>
    <w:rsid w:val="00CB108D"/>
    <w:rsid w:val="00CB58E4"/>
    <w:rsid w:val="00CB7696"/>
    <w:rsid w:val="00CC6D0C"/>
    <w:rsid w:val="00CC707E"/>
    <w:rsid w:val="00CD0A5A"/>
    <w:rsid w:val="00CD0B8F"/>
    <w:rsid w:val="00CD49B0"/>
    <w:rsid w:val="00CD7C47"/>
    <w:rsid w:val="00CE50D5"/>
    <w:rsid w:val="00CE7ED1"/>
    <w:rsid w:val="00D04697"/>
    <w:rsid w:val="00D12CE2"/>
    <w:rsid w:val="00D15B74"/>
    <w:rsid w:val="00D1606E"/>
    <w:rsid w:val="00D24FEE"/>
    <w:rsid w:val="00D264D4"/>
    <w:rsid w:val="00D33DB1"/>
    <w:rsid w:val="00D4176C"/>
    <w:rsid w:val="00D420A9"/>
    <w:rsid w:val="00D43A74"/>
    <w:rsid w:val="00D45252"/>
    <w:rsid w:val="00D4592C"/>
    <w:rsid w:val="00D53E8E"/>
    <w:rsid w:val="00D57607"/>
    <w:rsid w:val="00D71B4D"/>
    <w:rsid w:val="00D84079"/>
    <w:rsid w:val="00D90467"/>
    <w:rsid w:val="00D93D55"/>
    <w:rsid w:val="00DA1B2F"/>
    <w:rsid w:val="00DC60A9"/>
    <w:rsid w:val="00DC6904"/>
    <w:rsid w:val="00DC714F"/>
    <w:rsid w:val="00DC7FA6"/>
    <w:rsid w:val="00DD79AF"/>
    <w:rsid w:val="00DE73E9"/>
    <w:rsid w:val="00E2468B"/>
    <w:rsid w:val="00E27A77"/>
    <w:rsid w:val="00E32EEF"/>
    <w:rsid w:val="00E335FE"/>
    <w:rsid w:val="00E33D8F"/>
    <w:rsid w:val="00E37350"/>
    <w:rsid w:val="00E4723C"/>
    <w:rsid w:val="00E55CBB"/>
    <w:rsid w:val="00E65E0F"/>
    <w:rsid w:val="00E675C0"/>
    <w:rsid w:val="00E72686"/>
    <w:rsid w:val="00E8572D"/>
    <w:rsid w:val="00E8673A"/>
    <w:rsid w:val="00E9792A"/>
    <w:rsid w:val="00EA29C2"/>
    <w:rsid w:val="00EB0038"/>
    <w:rsid w:val="00EB339A"/>
    <w:rsid w:val="00EC2FFF"/>
    <w:rsid w:val="00EC4E49"/>
    <w:rsid w:val="00EC619C"/>
    <w:rsid w:val="00ED77FB"/>
    <w:rsid w:val="00EE309A"/>
    <w:rsid w:val="00EE45FA"/>
    <w:rsid w:val="00EE5B7C"/>
    <w:rsid w:val="00EF088A"/>
    <w:rsid w:val="00EF1729"/>
    <w:rsid w:val="00F15F89"/>
    <w:rsid w:val="00F206D0"/>
    <w:rsid w:val="00F271FE"/>
    <w:rsid w:val="00F27E4B"/>
    <w:rsid w:val="00F367A9"/>
    <w:rsid w:val="00F46777"/>
    <w:rsid w:val="00F516DC"/>
    <w:rsid w:val="00F55DA2"/>
    <w:rsid w:val="00F644AB"/>
    <w:rsid w:val="00F66152"/>
    <w:rsid w:val="00FA088F"/>
    <w:rsid w:val="00FA1431"/>
    <w:rsid w:val="00FB30DF"/>
    <w:rsid w:val="00FE0037"/>
    <w:rsid w:val="00FF0367"/>
    <w:rsid w:val="00FF2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qFormat="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3E8"/>
    <w:rPr>
      <w:rFonts w:ascii="Arial" w:eastAsia="SimSun" w:hAnsi="Arial" w:cs="Arial"/>
      <w:sz w:val="22"/>
      <w:lang w:val="en-US" w:eastAsia="zh-CN"/>
    </w:rPr>
  </w:style>
  <w:style w:type="paragraph" w:styleId="Heading1">
    <w:name w:val="heading 1"/>
    <w:basedOn w:val="Normal"/>
    <w:next w:val="Normal"/>
    <w:link w:val="Heading1Char"/>
    <w:qFormat/>
    <w:rsid w:val="00A143E8"/>
    <w:pPr>
      <w:keepNext/>
      <w:spacing w:before="240" w:after="60"/>
      <w:outlineLvl w:val="0"/>
    </w:pPr>
    <w:rPr>
      <w:b/>
      <w:bCs/>
      <w:caps/>
      <w:kern w:val="32"/>
      <w:szCs w:val="32"/>
    </w:rPr>
  </w:style>
  <w:style w:type="paragraph" w:styleId="Heading2">
    <w:name w:val="heading 2"/>
    <w:basedOn w:val="Normal"/>
    <w:next w:val="Normal"/>
    <w:link w:val="Heading2Char"/>
    <w:qFormat/>
    <w:rsid w:val="00A143E8"/>
    <w:pPr>
      <w:keepNext/>
      <w:spacing w:before="240" w:after="60"/>
      <w:outlineLvl w:val="1"/>
    </w:pPr>
    <w:rPr>
      <w:bCs/>
      <w:iCs/>
      <w:caps/>
      <w:szCs w:val="28"/>
    </w:rPr>
  </w:style>
  <w:style w:type="paragraph" w:styleId="Heading3">
    <w:name w:val="heading 3"/>
    <w:basedOn w:val="Normal"/>
    <w:next w:val="Normal"/>
    <w:link w:val="Heading3Char"/>
    <w:qFormat/>
    <w:rsid w:val="00A143E8"/>
    <w:pPr>
      <w:keepNext/>
      <w:spacing w:before="240" w:after="60"/>
      <w:outlineLvl w:val="2"/>
    </w:pPr>
    <w:rPr>
      <w:bCs/>
      <w:szCs w:val="26"/>
      <w:u w:val="single"/>
    </w:rPr>
  </w:style>
  <w:style w:type="paragraph" w:styleId="Heading4">
    <w:name w:val="heading 4"/>
    <w:basedOn w:val="Normal"/>
    <w:next w:val="Normal"/>
    <w:link w:val="Heading4Char"/>
    <w:qFormat/>
    <w:rsid w:val="00A143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143E8"/>
    <w:pPr>
      <w:ind w:left="5534"/>
    </w:pPr>
  </w:style>
  <w:style w:type="paragraph" w:styleId="BodyText">
    <w:name w:val="Body Text"/>
    <w:basedOn w:val="Normal"/>
    <w:link w:val="BodyTextChar"/>
    <w:rsid w:val="00A143E8"/>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A143E8"/>
    <w:pPr>
      <w:tabs>
        <w:tab w:val="center" w:pos="4320"/>
        <w:tab w:val="right" w:pos="8640"/>
      </w:tabs>
    </w:pPr>
  </w:style>
  <w:style w:type="paragraph" w:styleId="FootnoteText">
    <w:name w:val="footnote text"/>
    <w:basedOn w:val="Normal"/>
    <w:link w:val="FootnoteTextChar"/>
    <w:semiHidden/>
    <w:rsid w:val="00A143E8"/>
    <w:rPr>
      <w:sz w:val="18"/>
    </w:rPr>
  </w:style>
  <w:style w:type="paragraph" w:styleId="Header">
    <w:name w:val="header"/>
    <w:basedOn w:val="Normal"/>
    <w:link w:val="HeaderChar"/>
    <w:rsid w:val="00A143E8"/>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A143E8"/>
    <w:pPr>
      <w:numPr>
        <w:numId w:val="15"/>
      </w:numPr>
      <w:tabs>
        <w:tab w:val="num" w:pos="567"/>
      </w:tabs>
    </w:pPr>
    <w:rPr>
      <w:rFonts w:cs="Times New Roman"/>
      <w:lang w:val="ru-RU" w:eastAsia="ru-RU"/>
    </w:rPr>
  </w:style>
  <w:style w:type="paragraph" w:customStyle="1" w:styleId="ONUMFS">
    <w:name w:val="ONUM FS"/>
    <w:basedOn w:val="BodyText"/>
    <w:rsid w:val="00A143E8"/>
    <w:pPr>
      <w:numPr>
        <w:numId w:val="16"/>
      </w:numPr>
    </w:pPr>
  </w:style>
  <w:style w:type="paragraph" w:styleId="Salutation">
    <w:name w:val="Salutation"/>
    <w:basedOn w:val="Normal"/>
    <w:next w:val="Normal"/>
    <w:link w:val="SalutationChar"/>
    <w:semiHidden/>
    <w:rsid w:val="00A143E8"/>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locked/>
    <w:rsid w:val="00A77461"/>
    <w:rPr>
      <w:rFonts w:ascii="Tahoma" w:eastAsia="SimSun" w:hAnsi="Tahoma" w:cs="Tahoma"/>
      <w:sz w:val="16"/>
      <w:szCs w:val="16"/>
    </w:rPr>
  </w:style>
  <w:style w:type="character" w:customStyle="1" w:styleId="Heading1Char">
    <w:name w:val="Heading 1 Char"/>
    <w:basedOn w:val="DefaultParagraphFont"/>
    <w:link w:val="Heading1"/>
    <w:locked/>
    <w:rsid w:val="00A143E8"/>
    <w:rPr>
      <w:rFonts w:ascii="Arial" w:eastAsia="SimSun" w:hAnsi="Arial" w:cs="Arial"/>
      <w:b/>
      <w:bCs/>
      <w:caps/>
      <w:kern w:val="32"/>
      <w:sz w:val="32"/>
      <w:szCs w:val="32"/>
    </w:rPr>
  </w:style>
  <w:style w:type="character" w:customStyle="1" w:styleId="Heading2Char">
    <w:name w:val="Heading 2 Char"/>
    <w:basedOn w:val="DefaultParagraphFont"/>
    <w:link w:val="Heading2"/>
    <w:locked/>
    <w:rsid w:val="00A143E8"/>
    <w:rPr>
      <w:rFonts w:ascii="Arial" w:eastAsia="SimSun" w:hAnsi="Arial" w:cs="Arial"/>
      <w:bCs/>
      <w:iCs/>
      <w:caps/>
      <w:sz w:val="28"/>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val="en-US" w:eastAsia="en-US"/>
    </w:rPr>
  </w:style>
  <w:style w:type="character" w:customStyle="1" w:styleId="HeaderChar">
    <w:name w:val="Header Char"/>
    <w:basedOn w:val="DefaultParagraphFont"/>
    <w:link w:val="Header"/>
    <w:locked/>
    <w:rsid w:val="00A143E8"/>
    <w:rPr>
      <w:rFonts w:ascii="Arial" w:eastAsia="SimSun" w:hAnsi="Arial" w:cs="Arial"/>
      <w:sz w:val="22"/>
    </w:rPr>
  </w:style>
  <w:style w:type="character" w:customStyle="1" w:styleId="ONUMEChar">
    <w:name w:val="ONUM E Char"/>
    <w:link w:val="ONUME"/>
    <w:locked/>
    <w:rsid w:val="00906BD5"/>
    <w:rPr>
      <w:rFonts w:ascii="Arial" w:eastAsia="SimSun" w:hAnsi="Arial"/>
      <w:sz w:val="22"/>
    </w:rPr>
  </w:style>
  <w:style w:type="paragraph" w:customStyle="1" w:styleId="1">
    <w:name w:val="Абзац списка1"/>
    <w:basedOn w:val="Normal"/>
    <w:rsid w:val="00271B4F"/>
    <w:pPr>
      <w:ind w:left="720"/>
      <w:contextualSpacing/>
    </w:pPr>
  </w:style>
  <w:style w:type="character" w:customStyle="1" w:styleId="BodyTextChar">
    <w:name w:val="Body Text Char"/>
    <w:basedOn w:val="DefaultParagraphFont"/>
    <w:link w:val="BodyText"/>
    <w:locked/>
    <w:rsid w:val="00A143E8"/>
    <w:rPr>
      <w:rFonts w:ascii="Arial" w:eastAsia="SimSun" w:hAnsi="Arial" w:cs="Arial"/>
      <w:sz w:val="22"/>
    </w:rPr>
  </w:style>
  <w:style w:type="character" w:customStyle="1" w:styleId="FooterChar">
    <w:name w:val="Footer Char"/>
    <w:basedOn w:val="DefaultParagraphFont"/>
    <w:link w:val="Footer"/>
    <w:semiHidden/>
    <w:locked/>
    <w:rsid w:val="00A143E8"/>
    <w:rPr>
      <w:rFonts w:ascii="Arial" w:eastAsia="SimSun" w:hAnsi="Arial" w:cs="Arial"/>
      <w:sz w:val="22"/>
    </w:rPr>
  </w:style>
  <w:style w:type="character" w:styleId="FootnoteReference">
    <w:name w:val="footnote reference"/>
    <w:basedOn w:val="DefaultParagraphFont"/>
    <w:semiHidden/>
    <w:rsid w:val="00A143E8"/>
    <w:rPr>
      <w:rFonts w:cs="Times New Roman"/>
      <w:vertAlign w:val="superscript"/>
    </w:rPr>
  </w:style>
  <w:style w:type="character" w:customStyle="1" w:styleId="FootnoteTextChar">
    <w:name w:val="Footnote Text Char"/>
    <w:basedOn w:val="DefaultParagraphFont"/>
    <w:link w:val="FootnoteText"/>
    <w:semiHidden/>
    <w:locked/>
    <w:rsid w:val="00A143E8"/>
    <w:rPr>
      <w:rFonts w:ascii="Arial" w:eastAsia="SimSun" w:hAnsi="Arial" w:cs="Arial"/>
      <w:sz w:val="18"/>
    </w:rPr>
  </w:style>
  <w:style w:type="character" w:customStyle="1" w:styleId="Heading3Char">
    <w:name w:val="Heading 3 Char"/>
    <w:basedOn w:val="DefaultParagraphFont"/>
    <w:link w:val="Heading3"/>
    <w:locked/>
    <w:rsid w:val="00A143E8"/>
    <w:rPr>
      <w:rFonts w:ascii="Arial" w:eastAsia="SimSun" w:hAnsi="Arial" w:cs="Arial"/>
      <w:bCs/>
      <w:sz w:val="26"/>
      <w:szCs w:val="26"/>
      <w:u w:val="single"/>
    </w:rPr>
  </w:style>
  <w:style w:type="character" w:customStyle="1" w:styleId="Heading4Char">
    <w:name w:val="Heading 4 Char"/>
    <w:basedOn w:val="DefaultParagraphFont"/>
    <w:link w:val="Heading4"/>
    <w:locked/>
    <w:rsid w:val="00A143E8"/>
    <w:rPr>
      <w:rFonts w:ascii="Arial" w:eastAsia="SimSun" w:hAnsi="Arial" w:cs="Arial"/>
      <w:bCs/>
      <w:i/>
      <w:sz w:val="28"/>
      <w:szCs w:val="28"/>
    </w:rPr>
  </w:style>
  <w:style w:type="paragraph" w:customStyle="1" w:styleId="LegTitle">
    <w:name w:val="Leg # Title"/>
    <w:basedOn w:val="Normal"/>
    <w:next w:val="Normal"/>
    <w:rsid w:val="00A143E8"/>
    <w:pPr>
      <w:keepNext/>
      <w:keepLines/>
      <w:suppressAutoHyphens/>
      <w:spacing w:before="240"/>
      <w:jc w:val="center"/>
    </w:pPr>
    <w:rPr>
      <w:rFonts w:eastAsia="Times New Roman" w:cs="Times New Roman"/>
      <w:b/>
      <w:lang w:eastAsia="ja-JP"/>
    </w:rPr>
  </w:style>
  <w:style w:type="paragraph" w:customStyle="1" w:styleId="Leg1">
    <w:name w:val="Leg (1)"/>
    <w:basedOn w:val="Normal"/>
    <w:rsid w:val="00A143E8"/>
    <w:pPr>
      <w:tabs>
        <w:tab w:val="left" w:pos="397"/>
      </w:tabs>
      <w:spacing w:before="120"/>
    </w:pPr>
    <w:rPr>
      <w:rFonts w:eastAsia="Times New Roman" w:cs="Times New Roman"/>
      <w:lang w:eastAsia="ja-JP"/>
    </w:rPr>
  </w:style>
  <w:style w:type="paragraph" w:customStyle="1" w:styleId="Leg1a">
    <w:name w:val="Leg (1)(a)"/>
    <w:basedOn w:val="Normal"/>
    <w:rsid w:val="00A143E8"/>
    <w:pPr>
      <w:tabs>
        <w:tab w:val="left" w:pos="709"/>
      </w:tabs>
      <w:spacing w:before="120"/>
    </w:pPr>
    <w:rPr>
      <w:rFonts w:eastAsia="Times New Roman" w:cs="Times New Roman"/>
      <w:lang w:eastAsia="ja-JP"/>
    </w:rPr>
  </w:style>
  <w:style w:type="paragraph" w:customStyle="1" w:styleId="Leg1i">
    <w:name w:val="Leg (1)(i)"/>
    <w:basedOn w:val="Normal"/>
    <w:rsid w:val="00A143E8"/>
    <w:pPr>
      <w:tabs>
        <w:tab w:val="right" w:pos="1134"/>
        <w:tab w:val="left" w:pos="1276"/>
      </w:tabs>
      <w:spacing w:before="60"/>
    </w:pPr>
    <w:rPr>
      <w:rFonts w:eastAsia="Times New Roman" w:cs="Times New Roman"/>
      <w:lang w:eastAsia="ja-JP"/>
    </w:rPr>
  </w:style>
  <w:style w:type="paragraph" w:customStyle="1" w:styleId="Lega">
    <w:name w:val="Leg (a)"/>
    <w:basedOn w:val="Normal"/>
    <w:rsid w:val="00A143E8"/>
    <w:pPr>
      <w:tabs>
        <w:tab w:val="left" w:pos="454"/>
      </w:tabs>
      <w:spacing w:before="119"/>
    </w:pPr>
    <w:rPr>
      <w:rFonts w:eastAsia="Times New Roman" w:cs="Times New Roman"/>
      <w:lang w:eastAsia="ja-JP"/>
    </w:rPr>
  </w:style>
  <w:style w:type="paragraph" w:customStyle="1" w:styleId="Legi">
    <w:name w:val="Leg (i)"/>
    <w:basedOn w:val="Normal"/>
    <w:rsid w:val="00A143E8"/>
    <w:pPr>
      <w:tabs>
        <w:tab w:val="right" w:pos="1020"/>
        <w:tab w:val="left" w:pos="1191"/>
      </w:tabs>
      <w:spacing w:before="60"/>
    </w:pPr>
    <w:rPr>
      <w:rFonts w:eastAsia="Times New Roman" w:cs="Times New Roman"/>
      <w:lang w:eastAsia="ja-JP"/>
    </w:rPr>
  </w:style>
  <w:style w:type="character" w:customStyle="1" w:styleId="Legitalmutatis">
    <w:name w:val="Leg ital (mutatis)"/>
    <w:basedOn w:val="DefaultParagraphFont"/>
    <w:rsid w:val="00A143E8"/>
    <w:rPr>
      <w:rFonts w:cs="Times New Roman"/>
      <w:i/>
    </w:rPr>
  </w:style>
  <w:style w:type="paragraph" w:customStyle="1" w:styleId="LegSubRule">
    <w:name w:val="Leg SubRule #"/>
    <w:basedOn w:val="Normal"/>
    <w:rsid w:val="00A143E8"/>
    <w:pPr>
      <w:keepNext/>
      <w:keepLines/>
      <w:tabs>
        <w:tab w:val="left" w:pos="510"/>
      </w:tabs>
      <w:spacing w:before="119"/>
      <w:ind w:left="533" w:hanging="533"/>
      <w:jc w:val="both"/>
    </w:pPr>
    <w:rPr>
      <w:rFonts w:eastAsia="Times New Roman" w:cs="Times New Roman"/>
      <w:lang w:eastAsia="ja-JP"/>
    </w:rPr>
  </w:style>
  <w:style w:type="paragraph" w:customStyle="1" w:styleId="RComment">
    <w:name w:val="RComment"/>
    <w:basedOn w:val="Normal"/>
    <w:next w:val="Normal"/>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locked/>
    <w:rsid w:val="00A143E8"/>
    <w:rPr>
      <w:rFonts w:cs="Times New Roman"/>
      <w:sz w:val="24"/>
      <w:lang w:val="x-none" w:eastAsia="en-US"/>
    </w:rPr>
  </w:style>
  <w:style w:type="paragraph" w:customStyle="1" w:styleId="RContinued">
    <w:name w:val="RContinued"/>
    <w:basedOn w:val="RText"/>
    <w:next w:val="Normal"/>
    <w:rsid w:val="00A143E8"/>
    <w:pPr>
      <w:pageBreakBefore/>
      <w:spacing w:after="360"/>
      <w:jc w:val="center"/>
    </w:pPr>
    <w:rPr>
      <w:i/>
    </w:rPr>
  </w:style>
  <w:style w:type="character" w:customStyle="1" w:styleId="RDeletedText">
    <w:name w:val="RDeletedText"/>
    <w:basedOn w:val="DefaultParagraphFont"/>
    <w:rsid w:val="00A143E8"/>
    <w:rPr>
      <w:rFonts w:cs="Times New Roman"/>
      <w:strike/>
      <w:color w:val="FF0000"/>
    </w:rPr>
  </w:style>
  <w:style w:type="character" w:customStyle="1" w:styleId="RInsertedText">
    <w:name w:val="RInsertedText"/>
    <w:basedOn w:val="DefaultParagraphFont"/>
    <w:rsid w:val="00A143E8"/>
    <w:rPr>
      <w:rFonts w:cs="Times New Roman"/>
      <w:color w:val="0000FF"/>
      <w:u w:val="single"/>
    </w:rPr>
  </w:style>
  <w:style w:type="character" w:customStyle="1" w:styleId="RItalic">
    <w:name w:val="RItalic"/>
    <w:basedOn w:val="DefaultParagraphFont"/>
    <w:rsid w:val="00A143E8"/>
    <w:rPr>
      <w:rFonts w:cs="Times New Roman"/>
      <w:i/>
    </w:rPr>
  </w:style>
  <w:style w:type="paragraph" w:customStyle="1" w:styleId="RNoMain">
    <w:name w:val="RNo.(Main)"/>
    <w:basedOn w:val="Normal"/>
    <w:next w:val="Normal"/>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locked/>
    <w:rsid w:val="00A143E8"/>
    <w:rPr>
      <w:rFonts w:cs="Times New Roman"/>
      <w:sz w:val="24"/>
      <w:lang w:val="x-none"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locked/>
    <w:rsid w:val="00A143E8"/>
    <w:rPr>
      <w:rFonts w:cs="Times New Roman"/>
      <w:sz w:val="24"/>
      <w:lang w:val="x-none"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SalutationChar">
    <w:name w:val="Salutation Char"/>
    <w:basedOn w:val="DefaultParagraphFont"/>
    <w:link w:val="Salutation"/>
    <w:semiHidden/>
    <w:locked/>
    <w:rsid w:val="00A143E8"/>
    <w:rPr>
      <w:rFonts w:ascii="Arial" w:eastAsia="SimSun" w:hAnsi="Arial" w:cs="Arial"/>
      <w:sz w:val="22"/>
    </w:rPr>
  </w:style>
  <w:style w:type="character" w:styleId="CommentReference">
    <w:name w:val="annotation reference"/>
    <w:basedOn w:val="DefaultParagraphFont"/>
    <w:semiHidden/>
    <w:rsid w:val="00214685"/>
    <w:rPr>
      <w:rFonts w:cs="Times New Roman"/>
      <w:sz w:val="16"/>
      <w:szCs w:val="16"/>
    </w:rPr>
  </w:style>
  <w:style w:type="paragraph" w:styleId="CommentSubject">
    <w:name w:val="annotation subject"/>
    <w:basedOn w:val="CommentText"/>
    <w:next w:val="CommentText"/>
    <w:link w:val="CommentSubjectChar"/>
    <w:semiHidden/>
    <w:rsid w:val="00214685"/>
    <w:rPr>
      <w:b/>
      <w:bCs/>
      <w:sz w:val="20"/>
    </w:rPr>
  </w:style>
  <w:style w:type="character" w:customStyle="1" w:styleId="CommentTextChar">
    <w:name w:val="Comment Text Char"/>
    <w:basedOn w:val="DefaultParagraphFont"/>
    <w:link w:val="CommentText"/>
    <w:semiHidden/>
    <w:locked/>
    <w:rsid w:val="00214685"/>
    <w:rPr>
      <w:rFonts w:ascii="Arial" w:eastAsia="SimSun" w:hAnsi="Arial" w:cs="Arial"/>
      <w:sz w:val="18"/>
    </w:rPr>
  </w:style>
  <w:style w:type="character" w:customStyle="1" w:styleId="CommentSubjectChar">
    <w:name w:val="Comment Subject Char"/>
    <w:basedOn w:val="CommentTextChar"/>
    <w:link w:val="CommentSubject"/>
    <w:semiHidden/>
    <w:locked/>
    <w:rsid w:val="00214685"/>
    <w:rPr>
      <w:rFonts w:ascii="Arial" w:eastAsia="SimSun" w:hAnsi="Arial" w:cs="Arial"/>
      <w:b/>
      <w:bCs/>
      <w:sz w:val="18"/>
    </w:rPr>
  </w:style>
  <w:style w:type="paragraph" w:customStyle="1" w:styleId="10">
    <w:name w:val="Рецензия1"/>
    <w:hidden/>
    <w:semiHidden/>
    <w:rsid w:val="00D420A9"/>
    <w:rPr>
      <w:rFonts w:ascii="Arial" w:eastAsia="SimSun" w:hAnsi="Arial" w:cs="Arial"/>
      <w:sz w:val="22"/>
      <w:lang w:val="en-US" w:eastAsia="zh-CN"/>
    </w:rPr>
  </w:style>
  <w:style w:type="table" w:styleId="TableGrid">
    <w:name w:val="Table Grid"/>
    <w:basedOn w:val="TableNormal"/>
    <w:locked/>
    <w:rsid w:val="00EF1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qFormat="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3E8"/>
    <w:rPr>
      <w:rFonts w:ascii="Arial" w:eastAsia="SimSun" w:hAnsi="Arial" w:cs="Arial"/>
      <w:sz w:val="22"/>
      <w:lang w:val="en-US" w:eastAsia="zh-CN"/>
    </w:rPr>
  </w:style>
  <w:style w:type="paragraph" w:styleId="Heading1">
    <w:name w:val="heading 1"/>
    <w:basedOn w:val="Normal"/>
    <w:next w:val="Normal"/>
    <w:link w:val="Heading1Char"/>
    <w:qFormat/>
    <w:rsid w:val="00A143E8"/>
    <w:pPr>
      <w:keepNext/>
      <w:spacing w:before="240" w:after="60"/>
      <w:outlineLvl w:val="0"/>
    </w:pPr>
    <w:rPr>
      <w:b/>
      <w:bCs/>
      <w:caps/>
      <w:kern w:val="32"/>
      <w:szCs w:val="32"/>
    </w:rPr>
  </w:style>
  <w:style w:type="paragraph" w:styleId="Heading2">
    <w:name w:val="heading 2"/>
    <w:basedOn w:val="Normal"/>
    <w:next w:val="Normal"/>
    <w:link w:val="Heading2Char"/>
    <w:qFormat/>
    <w:rsid w:val="00A143E8"/>
    <w:pPr>
      <w:keepNext/>
      <w:spacing w:before="240" w:after="60"/>
      <w:outlineLvl w:val="1"/>
    </w:pPr>
    <w:rPr>
      <w:bCs/>
      <w:iCs/>
      <w:caps/>
      <w:szCs w:val="28"/>
    </w:rPr>
  </w:style>
  <w:style w:type="paragraph" w:styleId="Heading3">
    <w:name w:val="heading 3"/>
    <w:basedOn w:val="Normal"/>
    <w:next w:val="Normal"/>
    <w:link w:val="Heading3Char"/>
    <w:qFormat/>
    <w:rsid w:val="00A143E8"/>
    <w:pPr>
      <w:keepNext/>
      <w:spacing w:before="240" w:after="60"/>
      <w:outlineLvl w:val="2"/>
    </w:pPr>
    <w:rPr>
      <w:bCs/>
      <w:szCs w:val="26"/>
      <w:u w:val="single"/>
    </w:rPr>
  </w:style>
  <w:style w:type="paragraph" w:styleId="Heading4">
    <w:name w:val="heading 4"/>
    <w:basedOn w:val="Normal"/>
    <w:next w:val="Normal"/>
    <w:link w:val="Heading4Char"/>
    <w:qFormat/>
    <w:rsid w:val="00A143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143E8"/>
    <w:pPr>
      <w:ind w:left="5534"/>
    </w:pPr>
  </w:style>
  <w:style w:type="paragraph" w:styleId="BodyText">
    <w:name w:val="Body Text"/>
    <w:basedOn w:val="Normal"/>
    <w:link w:val="BodyTextChar"/>
    <w:rsid w:val="00A143E8"/>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A143E8"/>
    <w:pPr>
      <w:tabs>
        <w:tab w:val="center" w:pos="4320"/>
        <w:tab w:val="right" w:pos="8640"/>
      </w:tabs>
    </w:pPr>
  </w:style>
  <w:style w:type="paragraph" w:styleId="FootnoteText">
    <w:name w:val="footnote text"/>
    <w:basedOn w:val="Normal"/>
    <w:link w:val="FootnoteTextChar"/>
    <w:semiHidden/>
    <w:rsid w:val="00A143E8"/>
    <w:rPr>
      <w:sz w:val="18"/>
    </w:rPr>
  </w:style>
  <w:style w:type="paragraph" w:styleId="Header">
    <w:name w:val="header"/>
    <w:basedOn w:val="Normal"/>
    <w:link w:val="HeaderChar"/>
    <w:rsid w:val="00A143E8"/>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A143E8"/>
    <w:pPr>
      <w:numPr>
        <w:numId w:val="15"/>
      </w:numPr>
      <w:tabs>
        <w:tab w:val="num" w:pos="567"/>
      </w:tabs>
    </w:pPr>
    <w:rPr>
      <w:rFonts w:cs="Times New Roman"/>
      <w:lang w:val="ru-RU" w:eastAsia="ru-RU"/>
    </w:rPr>
  </w:style>
  <w:style w:type="paragraph" w:customStyle="1" w:styleId="ONUMFS">
    <w:name w:val="ONUM FS"/>
    <w:basedOn w:val="BodyText"/>
    <w:rsid w:val="00A143E8"/>
    <w:pPr>
      <w:numPr>
        <w:numId w:val="16"/>
      </w:numPr>
    </w:pPr>
  </w:style>
  <w:style w:type="paragraph" w:styleId="Salutation">
    <w:name w:val="Salutation"/>
    <w:basedOn w:val="Normal"/>
    <w:next w:val="Normal"/>
    <w:link w:val="SalutationChar"/>
    <w:semiHidden/>
    <w:rsid w:val="00A143E8"/>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locked/>
    <w:rsid w:val="00A77461"/>
    <w:rPr>
      <w:rFonts w:ascii="Tahoma" w:eastAsia="SimSun" w:hAnsi="Tahoma" w:cs="Tahoma"/>
      <w:sz w:val="16"/>
      <w:szCs w:val="16"/>
    </w:rPr>
  </w:style>
  <w:style w:type="character" w:customStyle="1" w:styleId="Heading1Char">
    <w:name w:val="Heading 1 Char"/>
    <w:basedOn w:val="DefaultParagraphFont"/>
    <w:link w:val="Heading1"/>
    <w:locked/>
    <w:rsid w:val="00A143E8"/>
    <w:rPr>
      <w:rFonts w:ascii="Arial" w:eastAsia="SimSun" w:hAnsi="Arial" w:cs="Arial"/>
      <w:b/>
      <w:bCs/>
      <w:caps/>
      <w:kern w:val="32"/>
      <w:sz w:val="32"/>
      <w:szCs w:val="32"/>
    </w:rPr>
  </w:style>
  <w:style w:type="character" w:customStyle="1" w:styleId="Heading2Char">
    <w:name w:val="Heading 2 Char"/>
    <w:basedOn w:val="DefaultParagraphFont"/>
    <w:link w:val="Heading2"/>
    <w:locked/>
    <w:rsid w:val="00A143E8"/>
    <w:rPr>
      <w:rFonts w:ascii="Arial" w:eastAsia="SimSun" w:hAnsi="Arial" w:cs="Arial"/>
      <w:bCs/>
      <w:iCs/>
      <w:caps/>
      <w:sz w:val="28"/>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val="en-US" w:eastAsia="en-US"/>
    </w:rPr>
  </w:style>
  <w:style w:type="character" w:customStyle="1" w:styleId="HeaderChar">
    <w:name w:val="Header Char"/>
    <w:basedOn w:val="DefaultParagraphFont"/>
    <w:link w:val="Header"/>
    <w:locked/>
    <w:rsid w:val="00A143E8"/>
    <w:rPr>
      <w:rFonts w:ascii="Arial" w:eastAsia="SimSun" w:hAnsi="Arial" w:cs="Arial"/>
      <w:sz w:val="22"/>
    </w:rPr>
  </w:style>
  <w:style w:type="character" w:customStyle="1" w:styleId="ONUMEChar">
    <w:name w:val="ONUM E Char"/>
    <w:link w:val="ONUME"/>
    <w:locked/>
    <w:rsid w:val="00906BD5"/>
    <w:rPr>
      <w:rFonts w:ascii="Arial" w:eastAsia="SimSun" w:hAnsi="Arial"/>
      <w:sz w:val="22"/>
    </w:rPr>
  </w:style>
  <w:style w:type="paragraph" w:customStyle="1" w:styleId="1">
    <w:name w:val="Абзац списка1"/>
    <w:basedOn w:val="Normal"/>
    <w:rsid w:val="00271B4F"/>
    <w:pPr>
      <w:ind w:left="720"/>
      <w:contextualSpacing/>
    </w:pPr>
  </w:style>
  <w:style w:type="character" w:customStyle="1" w:styleId="BodyTextChar">
    <w:name w:val="Body Text Char"/>
    <w:basedOn w:val="DefaultParagraphFont"/>
    <w:link w:val="BodyText"/>
    <w:locked/>
    <w:rsid w:val="00A143E8"/>
    <w:rPr>
      <w:rFonts w:ascii="Arial" w:eastAsia="SimSun" w:hAnsi="Arial" w:cs="Arial"/>
      <w:sz w:val="22"/>
    </w:rPr>
  </w:style>
  <w:style w:type="character" w:customStyle="1" w:styleId="FooterChar">
    <w:name w:val="Footer Char"/>
    <w:basedOn w:val="DefaultParagraphFont"/>
    <w:link w:val="Footer"/>
    <w:semiHidden/>
    <w:locked/>
    <w:rsid w:val="00A143E8"/>
    <w:rPr>
      <w:rFonts w:ascii="Arial" w:eastAsia="SimSun" w:hAnsi="Arial" w:cs="Arial"/>
      <w:sz w:val="22"/>
    </w:rPr>
  </w:style>
  <w:style w:type="character" w:styleId="FootnoteReference">
    <w:name w:val="footnote reference"/>
    <w:basedOn w:val="DefaultParagraphFont"/>
    <w:semiHidden/>
    <w:rsid w:val="00A143E8"/>
    <w:rPr>
      <w:rFonts w:cs="Times New Roman"/>
      <w:vertAlign w:val="superscript"/>
    </w:rPr>
  </w:style>
  <w:style w:type="character" w:customStyle="1" w:styleId="FootnoteTextChar">
    <w:name w:val="Footnote Text Char"/>
    <w:basedOn w:val="DefaultParagraphFont"/>
    <w:link w:val="FootnoteText"/>
    <w:semiHidden/>
    <w:locked/>
    <w:rsid w:val="00A143E8"/>
    <w:rPr>
      <w:rFonts w:ascii="Arial" w:eastAsia="SimSun" w:hAnsi="Arial" w:cs="Arial"/>
      <w:sz w:val="18"/>
    </w:rPr>
  </w:style>
  <w:style w:type="character" w:customStyle="1" w:styleId="Heading3Char">
    <w:name w:val="Heading 3 Char"/>
    <w:basedOn w:val="DefaultParagraphFont"/>
    <w:link w:val="Heading3"/>
    <w:locked/>
    <w:rsid w:val="00A143E8"/>
    <w:rPr>
      <w:rFonts w:ascii="Arial" w:eastAsia="SimSun" w:hAnsi="Arial" w:cs="Arial"/>
      <w:bCs/>
      <w:sz w:val="26"/>
      <w:szCs w:val="26"/>
      <w:u w:val="single"/>
    </w:rPr>
  </w:style>
  <w:style w:type="character" w:customStyle="1" w:styleId="Heading4Char">
    <w:name w:val="Heading 4 Char"/>
    <w:basedOn w:val="DefaultParagraphFont"/>
    <w:link w:val="Heading4"/>
    <w:locked/>
    <w:rsid w:val="00A143E8"/>
    <w:rPr>
      <w:rFonts w:ascii="Arial" w:eastAsia="SimSun" w:hAnsi="Arial" w:cs="Arial"/>
      <w:bCs/>
      <w:i/>
      <w:sz w:val="28"/>
      <w:szCs w:val="28"/>
    </w:rPr>
  </w:style>
  <w:style w:type="paragraph" w:customStyle="1" w:styleId="LegTitle">
    <w:name w:val="Leg # Title"/>
    <w:basedOn w:val="Normal"/>
    <w:next w:val="Normal"/>
    <w:rsid w:val="00A143E8"/>
    <w:pPr>
      <w:keepNext/>
      <w:keepLines/>
      <w:suppressAutoHyphens/>
      <w:spacing w:before="240"/>
      <w:jc w:val="center"/>
    </w:pPr>
    <w:rPr>
      <w:rFonts w:eastAsia="Times New Roman" w:cs="Times New Roman"/>
      <w:b/>
      <w:lang w:eastAsia="ja-JP"/>
    </w:rPr>
  </w:style>
  <w:style w:type="paragraph" w:customStyle="1" w:styleId="Leg1">
    <w:name w:val="Leg (1)"/>
    <w:basedOn w:val="Normal"/>
    <w:rsid w:val="00A143E8"/>
    <w:pPr>
      <w:tabs>
        <w:tab w:val="left" w:pos="397"/>
      </w:tabs>
      <w:spacing w:before="120"/>
    </w:pPr>
    <w:rPr>
      <w:rFonts w:eastAsia="Times New Roman" w:cs="Times New Roman"/>
      <w:lang w:eastAsia="ja-JP"/>
    </w:rPr>
  </w:style>
  <w:style w:type="paragraph" w:customStyle="1" w:styleId="Leg1a">
    <w:name w:val="Leg (1)(a)"/>
    <w:basedOn w:val="Normal"/>
    <w:rsid w:val="00A143E8"/>
    <w:pPr>
      <w:tabs>
        <w:tab w:val="left" w:pos="709"/>
      </w:tabs>
      <w:spacing w:before="120"/>
    </w:pPr>
    <w:rPr>
      <w:rFonts w:eastAsia="Times New Roman" w:cs="Times New Roman"/>
      <w:lang w:eastAsia="ja-JP"/>
    </w:rPr>
  </w:style>
  <w:style w:type="paragraph" w:customStyle="1" w:styleId="Leg1i">
    <w:name w:val="Leg (1)(i)"/>
    <w:basedOn w:val="Normal"/>
    <w:rsid w:val="00A143E8"/>
    <w:pPr>
      <w:tabs>
        <w:tab w:val="right" w:pos="1134"/>
        <w:tab w:val="left" w:pos="1276"/>
      </w:tabs>
      <w:spacing w:before="60"/>
    </w:pPr>
    <w:rPr>
      <w:rFonts w:eastAsia="Times New Roman" w:cs="Times New Roman"/>
      <w:lang w:eastAsia="ja-JP"/>
    </w:rPr>
  </w:style>
  <w:style w:type="paragraph" w:customStyle="1" w:styleId="Lega">
    <w:name w:val="Leg (a)"/>
    <w:basedOn w:val="Normal"/>
    <w:rsid w:val="00A143E8"/>
    <w:pPr>
      <w:tabs>
        <w:tab w:val="left" w:pos="454"/>
      </w:tabs>
      <w:spacing w:before="119"/>
    </w:pPr>
    <w:rPr>
      <w:rFonts w:eastAsia="Times New Roman" w:cs="Times New Roman"/>
      <w:lang w:eastAsia="ja-JP"/>
    </w:rPr>
  </w:style>
  <w:style w:type="paragraph" w:customStyle="1" w:styleId="Legi">
    <w:name w:val="Leg (i)"/>
    <w:basedOn w:val="Normal"/>
    <w:rsid w:val="00A143E8"/>
    <w:pPr>
      <w:tabs>
        <w:tab w:val="right" w:pos="1020"/>
        <w:tab w:val="left" w:pos="1191"/>
      </w:tabs>
      <w:spacing w:before="60"/>
    </w:pPr>
    <w:rPr>
      <w:rFonts w:eastAsia="Times New Roman" w:cs="Times New Roman"/>
      <w:lang w:eastAsia="ja-JP"/>
    </w:rPr>
  </w:style>
  <w:style w:type="character" w:customStyle="1" w:styleId="Legitalmutatis">
    <w:name w:val="Leg ital (mutatis)"/>
    <w:basedOn w:val="DefaultParagraphFont"/>
    <w:rsid w:val="00A143E8"/>
    <w:rPr>
      <w:rFonts w:cs="Times New Roman"/>
      <w:i/>
    </w:rPr>
  </w:style>
  <w:style w:type="paragraph" w:customStyle="1" w:styleId="LegSubRule">
    <w:name w:val="Leg SubRule #"/>
    <w:basedOn w:val="Normal"/>
    <w:rsid w:val="00A143E8"/>
    <w:pPr>
      <w:keepNext/>
      <w:keepLines/>
      <w:tabs>
        <w:tab w:val="left" w:pos="510"/>
      </w:tabs>
      <w:spacing w:before="119"/>
      <w:ind w:left="533" w:hanging="533"/>
      <w:jc w:val="both"/>
    </w:pPr>
    <w:rPr>
      <w:rFonts w:eastAsia="Times New Roman" w:cs="Times New Roman"/>
      <w:lang w:eastAsia="ja-JP"/>
    </w:rPr>
  </w:style>
  <w:style w:type="paragraph" w:customStyle="1" w:styleId="RComment">
    <w:name w:val="RComment"/>
    <w:basedOn w:val="Normal"/>
    <w:next w:val="Normal"/>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locked/>
    <w:rsid w:val="00A143E8"/>
    <w:rPr>
      <w:rFonts w:cs="Times New Roman"/>
      <w:sz w:val="24"/>
      <w:lang w:val="x-none" w:eastAsia="en-US"/>
    </w:rPr>
  </w:style>
  <w:style w:type="paragraph" w:customStyle="1" w:styleId="RContinued">
    <w:name w:val="RContinued"/>
    <w:basedOn w:val="RText"/>
    <w:next w:val="Normal"/>
    <w:rsid w:val="00A143E8"/>
    <w:pPr>
      <w:pageBreakBefore/>
      <w:spacing w:after="360"/>
      <w:jc w:val="center"/>
    </w:pPr>
    <w:rPr>
      <w:i/>
    </w:rPr>
  </w:style>
  <w:style w:type="character" w:customStyle="1" w:styleId="RDeletedText">
    <w:name w:val="RDeletedText"/>
    <w:basedOn w:val="DefaultParagraphFont"/>
    <w:rsid w:val="00A143E8"/>
    <w:rPr>
      <w:rFonts w:cs="Times New Roman"/>
      <w:strike/>
      <w:color w:val="FF0000"/>
    </w:rPr>
  </w:style>
  <w:style w:type="character" w:customStyle="1" w:styleId="RInsertedText">
    <w:name w:val="RInsertedText"/>
    <w:basedOn w:val="DefaultParagraphFont"/>
    <w:rsid w:val="00A143E8"/>
    <w:rPr>
      <w:rFonts w:cs="Times New Roman"/>
      <w:color w:val="0000FF"/>
      <w:u w:val="single"/>
    </w:rPr>
  </w:style>
  <w:style w:type="character" w:customStyle="1" w:styleId="RItalic">
    <w:name w:val="RItalic"/>
    <w:basedOn w:val="DefaultParagraphFont"/>
    <w:rsid w:val="00A143E8"/>
    <w:rPr>
      <w:rFonts w:cs="Times New Roman"/>
      <w:i/>
    </w:rPr>
  </w:style>
  <w:style w:type="paragraph" w:customStyle="1" w:styleId="RNoMain">
    <w:name w:val="RNo.(Main)"/>
    <w:basedOn w:val="Normal"/>
    <w:next w:val="Normal"/>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locked/>
    <w:rsid w:val="00A143E8"/>
    <w:rPr>
      <w:rFonts w:cs="Times New Roman"/>
      <w:sz w:val="24"/>
      <w:lang w:val="x-none"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locked/>
    <w:rsid w:val="00A143E8"/>
    <w:rPr>
      <w:rFonts w:cs="Times New Roman"/>
      <w:sz w:val="24"/>
      <w:lang w:val="x-none"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SalutationChar">
    <w:name w:val="Salutation Char"/>
    <w:basedOn w:val="DefaultParagraphFont"/>
    <w:link w:val="Salutation"/>
    <w:semiHidden/>
    <w:locked/>
    <w:rsid w:val="00A143E8"/>
    <w:rPr>
      <w:rFonts w:ascii="Arial" w:eastAsia="SimSun" w:hAnsi="Arial" w:cs="Arial"/>
      <w:sz w:val="22"/>
    </w:rPr>
  </w:style>
  <w:style w:type="character" w:styleId="CommentReference">
    <w:name w:val="annotation reference"/>
    <w:basedOn w:val="DefaultParagraphFont"/>
    <w:semiHidden/>
    <w:rsid w:val="00214685"/>
    <w:rPr>
      <w:rFonts w:cs="Times New Roman"/>
      <w:sz w:val="16"/>
      <w:szCs w:val="16"/>
    </w:rPr>
  </w:style>
  <w:style w:type="paragraph" w:styleId="CommentSubject">
    <w:name w:val="annotation subject"/>
    <w:basedOn w:val="CommentText"/>
    <w:next w:val="CommentText"/>
    <w:link w:val="CommentSubjectChar"/>
    <w:semiHidden/>
    <w:rsid w:val="00214685"/>
    <w:rPr>
      <w:b/>
      <w:bCs/>
      <w:sz w:val="20"/>
    </w:rPr>
  </w:style>
  <w:style w:type="character" w:customStyle="1" w:styleId="CommentTextChar">
    <w:name w:val="Comment Text Char"/>
    <w:basedOn w:val="DefaultParagraphFont"/>
    <w:link w:val="CommentText"/>
    <w:semiHidden/>
    <w:locked/>
    <w:rsid w:val="00214685"/>
    <w:rPr>
      <w:rFonts w:ascii="Arial" w:eastAsia="SimSun" w:hAnsi="Arial" w:cs="Arial"/>
      <w:sz w:val="18"/>
    </w:rPr>
  </w:style>
  <w:style w:type="character" w:customStyle="1" w:styleId="CommentSubjectChar">
    <w:name w:val="Comment Subject Char"/>
    <w:basedOn w:val="CommentTextChar"/>
    <w:link w:val="CommentSubject"/>
    <w:semiHidden/>
    <w:locked/>
    <w:rsid w:val="00214685"/>
    <w:rPr>
      <w:rFonts w:ascii="Arial" w:eastAsia="SimSun" w:hAnsi="Arial" w:cs="Arial"/>
      <w:b/>
      <w:bCs/>
      <w:sz w:val="18"/>
    </w:rPr>
  </w:style>
  <w:style w:type="paragraph" w:customStyle="1" w:styleId="10">
    <w:name w:val="Рецензия1"/>
    <w:hidden/>
    <w:semiHidden/>
    <w:rsid w:val="00D420A9"/>
    <w:rPr>
      <w:rFonts w:ascii="Arial" w:eastAsia="SimSun" w:hAnsi="Arial" w:cs="Arial"/>
      <w:sz w:val="22"/>
      <w:lang w:val="en-US" w:eastAsia="zh-CN"/>
    </w:rPr>
  </w:style>
  <w:style w:type="table" w:styleId="TableGrid">
    <w:name w:val="Table Grid"/>
    <w:basedOn w:val="TableNormal"/>
    <w:locked/>
    <w:rsid w:val="00EF1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WIPO\WIPO%20PCT%20Updated%202016\Cash%20flow%20analysis\Cash%20flow%20analysis%20Jan-May%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WIPO\WIPO%20PCT%20Updated%202016\Cash%20flow%20analysis\Cash%20flow%20analysis%20Jan-May%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[Cash flow analysis Jan-May 2016.xlsx]Charts!PivotTable1</c:name>
    <c:fmtId val="-1"/>
  </c:pivotSource>
  <c:chart>
    <c:title>
      <c:tx>
        <c:rich>
          <a:bodyPr/>
          <a:lstStyle/>
          <a:p>
            <a:pPr>
              <a:defRPr/>
            </a:pPr>
            <a:r>
              <a:rPr lang="ru-RU" sz="1200"/>
              <a:t>Доходы </a:t>
            </a:r>
            <a:r>
              <a:rPr lang="en-US" sz="1200"/>
              <a:t>PCT </a:t>
            </a:r>
            <a:r>
              <a:rPr lang="ru-RU" sz="1200"/>
              <a:t>в долл. США </a:t>
            </a:r>
            <a:r>
              <a:rPr lang="ru-RU" sz="1200" baseline="0"/>
              <a:t>и остаток средств в долл. США, доступный для заключения контрактов хеджирования</a:t>
            </a:r>
            <a:br>
              <a:rPr lang="ru-RU" sz="1200" baseline="0"/>
            </a:br>
            <a:r>
              <a:rPr lang="en-US" sz="1200" b="1" i="0" u="none" strike="noStrike" baseline="0">
                <a:effectLst/>
              </a:rPr>
              <a:t>(</a:t>
            </a:r>
            <a:r>
              <a:rPr lang="ru-RU" sz="1200" b="1" i="0" u="none" strike="noStrike" baseline="0">
                <a:effectLst/>
              </a:rPr>
              <a:t>в пересчете в шв. франки</a:t>
            </a:r>
            <a:r>
              <a:rPr lang="en-US" sz="1200" b="1" i="0" u="none" strike="noStrike" baseline="0">
                <a:effectLst/>
              </a:rPr>
              <a:t>)</a:t>
            </a:r>
            <a:endParaRPr lang="en-US" sz="1200"/>
          </a:p>
        </c:rich>
      </c:tx>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manualLayout>
          <c:layoutTarget val="inner"/>
          <c:xMode val="edge"/>
          <c:yMode val="edge"/>
          <c:x val="0.30412758822569508"/>
          <c:y val="0.2091515893206693"/>
          <c:w val="0.44188031935338629"/>
          <c:h val="0.65373286672499276"/>
        </c:manualLayout>
      </c:layout>
      <c:barChart>
        <c:barDir val="col"/>
        <c:grouping val="clustered"/>
        <c:varyColors val="0"/>
        <c:ser>
          <c:idx val="0"/>
          <c:order val="0"/>
          <c:tx>
            <c:strRef>
              <c:f>Charts!$I$2</c:f>
              <c:strCache>
                <c:ptCount val="1"/>
                <c:pt idx="0">
                  <c:v>Sum of PCT Revenue received in USD</c:v>
                </c:pt>
              </c:strCache>
            </c:strRef>
          </c:tx>
          <c:invertIfNegative val="0"/>
          <c:cat>
            <c:strRef>
              <c:f>Charts!$H$3:$H$20</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Charts!$I$3:$I$20</c:f>
              <c:numCache>
                <c:formatCode>General</c:formatCode>
                <c:ptCount val="17"/>
                <c:pt idx="0">
                  <c:v>12510419.556823276</c:v>
                </c:pt>
                <c:pt idx="1">
                  <c:v>8796711.0937581621</c:v>
                </c:pt>
                <c:pt idx="2">
                  <c:v>10147975.092428612</c:v>
                </c:pt>
                <c:pt idx="3">
                  <c:v>15504967.696022078</c:v>
                </c:pt>
                <c:pt idx="4">
                  <c:v>8274156.0271774326</c:v>
                </c:pt>
                <c:pt idx="5">
                  <c:v>7918400.9892234923</c:v>
                </c:pt>
                <c:pt idx="6">
                  <c:v>8964860.5365509186</c:v>
                </c:pt>
                <c:pt idx="7">
                  <c:v>7870070.2097771028</c:v>
                </c:pt>
                <c:pt idx="8">
                  <c:v>7611110.4850470023</c:v>
                </c:pt>
                <c:pt idx="9">
                  <c:v>9698595.3498496637</c:v>
                </c:pt>
                <c:pt idx="10">
                  <c:v>8861320.5622475389</c:v>
                </c:pt>
                <c:pt idx="11">
                  <c:v>8482595.4814489856</c:v>
                </c:pt>
                <c:pt idx="12">
                  <c:v>9506008.5500000045</c:v>
                </c:pt>
                <c:pt idx="13">
                  <c:v>7186249.7300000014</c:v>
                </c:pt>
                <c:pt idx="14">
                  <c:v>7994649.7599999988</c:v>
                </c:pt>
                <c:pt idx="15">
                  <c:v>8860131.5700000003</c:v>
                </c:pt>
                <c:pt idx="16">
                  <c:v>8422242.0600000005</c:v>
                </c:pt>
              </c:numCache>
            </c:numRef>
          </c:val>
        </c:ser>
        <c:ser>
          <c:idx val="1"/>
          <c:order val="1"/>
          <c:tx>
            <c:strRef>
              <c:f>Charts!$J$2</c:f>
              <c:strCache>
                <c:ptCount val="1"/>
                <c:pt idx="0">
                  <c:v>Sum of USD available to purchase forward contract</c:v>
                </c:pt>
              </c:strCache>
            </c:strRef>
          </c:tx>
          <c:invertIfNegative val="0"/>
          <c:cat>
            <c:strRef>
              <c:f>Charts!$H$3:$H$20</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Charts!$J$3:$J$20</c:f>
              <c:numCache>
                <c:formatCode>General</c:formatCode>
                <c:ptCount val="17"/>
                <c:pt idx="0">
                  <c:v>7917317.6700000046</c:v>
                </c:pt>
                <c:pt idx="1">
                  <c:v>1379637.620000001</c:v>
                </c:pt>
                <c:pt idx="2">
                  <c:v>3544283.6700000148</c:v>
                </c:pt>
                <c:pt idx="3">
                  <c:v>11419492.130000003</c:v>
                </c:pt>
                <c:pt idx="4">
                  <c:v>2793775.9799999911</c:v>
                </c:pt>
                <c:pt idx="5">
                  <c:v>4045293.9999999981</c:v>
                </c:pt>
                <c:pt idx="6">
                  <c:v>3691940.9299999923</c:v>
                </c:pt>
                <c:pt idx="7">
                  <c:v>528288.45000000205</c:v>
                </c:pt>
                <c:pt idx="8">
                  <c:v>2854039.9000000004</c:v>
                </c:pt>
                <c:pt idx="9">
                  <c:v>2164446.8199999956</c:v>
                </c:pt>
                <c:pt idx="10">
                  <c:v>3899576.3699999992</c:v>
                </c:pt>
                <c:pt idx="11">
                  <c:v>345240.08000000007</c:v>
                </c:pt>
                <c:pt idx="12">
                  <c:v>4467886.6800000025</c:v>
                </c:pt>
                <c:pt idx="13">
                  <c:v>31364.280000001192</c:v>
                </c:pt>
                <c:pt idx="14">
                  <c:v>3652440.0700000003</c:v>
                </c:pt>
                <c:pt idx="15">
                  <c:v>4467517.8800000008</c:v>
                </c:pt>
                <c:pt idx="16">
                  <c:v>1343967.790000001</c:v>
                </c:pt>
              </c:numCache>
            </c:numRef>
          </c:val>
        </c:ser>
        <c:dLbls>
          <c:showLegendKey val="0"/>
          <c:showVal val="0"/>
          <c:showCatName val="0"/>
          <c:showSerName val="0"/>
          <c:showPercent val="0"/>
          <c:showBubbleSize val="0"/>
        </c:dLbls>
        <c:gapWidth val="150"/>
        <c:axId val="122870016"/>
        <c:axId val="122871808"/>
      </c:barChart>
      <c:catAx>
        <c:axId val="122870016"/>
        <c:scaling>
          <c:orientation val="minMax"/>
        </c:scaling>
        <c:delete val="0"/>
        <c:axPos val="b"/>
        <c:numFmt formatCode="General" sourceLinked="0"/>
        <c:majorTickMark val="out"/>
        <c:minorTickMark val="none"/>
        <c:tickLblPos val="nextTo"/>
        <c:crossAx val="122871808"/>
        <c:crosses val="autoZero"/>
        <c:auto val="1"/>
        <c:lblAlgn val="ctr"/>
        <c:lblOffset val="100"/>
        <c:noMultiLvlLbl val="0"/>
      </c:catAx>
      <c:valAx>
        <c:axId val="122871808"/>
        <c:scaling>
          <c:orientation val="minMax"/>
        </c:scaling>
        <c:delete val="0"/>
        <c:axPos val="l"/>
        <c:majorGridlines/>
        <c:numFmt formatCode="#,##0_);[Red]\(#,##0\)" sourceLinked="0"/>
        <c:majorTickMark val="out"/>
        <c:minorTickMark val="none"/>
        <c:tickLblPos val="nextTo"/>
        <c:txPr>
          <a:bodyPr/>
          <a:lstStyle/>
          <a:p>
            <a:pPr>
              <a:defRPr baseline="0"/>
            </a:pPr>
            <a:endParaRPr lang="en-US"/>
          </a:p>
        </c:txPr>
        <c:crossAx val="122870016"/>
        <c:crosses val="autoZero"/>
        <c:crossBetween val="between"/>
      </c:valAx>
    </c:plotArea>
    <c:legend>
      <c:legendPos val="r"/>
      <c:layout>
        <c:manualLayout>
          <c:xMode val="edge"/>
          <c:yMode val="edge"/>
          <c:x val="0.80058902965629619"/>
          <c:y val="0.32149879702537176"/>
          <c:w val="0.19941097034370384"/>
          <c:h val="0.47047736220472441"/>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[Cash flow analysis Jan-May 2016.xlsx]Charts!PivotTable2</c:name>
    <c:fmtId val="-1"/>
  </c:pivotSource>
  <c:chart>
    <c:title>
      <c:tx>
        <c:rich>
          <a:bodyPr/>
          <a:lstStyle/>
          <a:p>
            <a:pPr>
              <a:defRPr/>
            </a:pPr>
            <a:r>
              <a:rPr lang="ru-RU" sz="1200"/>
              <a:t>Доходы </a:t>
            </a:r>
            <a:r>
              <a:rPr lang="en-US" sz="1200"/>
              <a:t>PCT </a:t>
            </a:r>
            <a:r>
              <a:rPr lang="ru-RU" sz="1200"/>
              <a:t>в евро и остаток средств в евро, доступный</a:t>
            </a:r>
            <a:r>
              <a:rPr lang="ru-RU" sz="1200" baseline="0"/>
              <a:t> </a:t>
            </a:r>
            <a:r>
              <a:rPr lang="ru-RU" sz="1200"/>
              <a:t>для заключения контрактов хеджирования</a:t>
            </a:r>
            <a:r>
              <a:rPr lang="en-US" sz="1200" baseline="0"/>
              <a:t/>
            </a:r>
            <a:br>
              <a:rPr lang="en-US" sz="1200" baseline="0"/>
            </a:br>
            <a:r>
              <a:rPr lang="en-US" sz="1200" baseline="0"/>
              <a:t>(</a:t>
            </a:r>
            <a:r>
              <a:rPr lang="ru-RU" sz="1200" baseline="0"/>
              <a:t>в пересчете в шв. франки</a:t>
            </a:r>
            <a:r>
              <a:rPr lang="en-US" sz="1200" baseline="0"/>
              <a:t>)</a:t>
            </a:r>
          </a:p>
          <a:p>
            <a:pPr>
              <a:defRPr/>
            </a:pPr>
            <a:endParaRPr lang="en-US"/>
          </a:p>
        </c:rich>
      </c:tx>
      <c:layout>
        <c:manualLayout>
          <c:xMode val="edge"/>
          <c:yMode val="edge"/>
          <c:x val="0.16546213362866793"/>
          <c:y val="2.1569536817606538E-2"/>
        </c:manualLayout>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s>
    <c:plotArea>
      <c:layout>
        <c:manualLayout>
          <c:layoutTarget val="inner"/>
          <c:xMode val="edge"/>
          <c:yMode val="edge"/>
          <c:x val="0.30412758822569508"/>
          <c:y val="0.2091515893206693"/>
          <c:w val="0.44188031935338629"/>
          <c:h val="0.65373286672499276"/>
        </c:manualLayout>
      </c:layout>
      <c:barChart>
        <c:barDir val="col"/>
        <c:grouping val="clustered"/>
        <c:varyColors val="0"/>
        <c:ser>
          <c:idx val="0"/>
          <c:order val="0"/>
          <c:tx>
            <c:strRef>
              <c:f>Charts!$I$31</c:f>
              <c:strCache>
                <c:ptCount val="1"/>
                <c:pt idx="0">
                  <c:v>Sum of PCT inflow in EUR</c:v>
                </c:pt>
              </c:strCache>
            </c:strRef>
          </c:tx>
          <c:invertIfNegative val="0"/>
          <c:cat>
            <c:strRef>
              <c:f>Charts!$H$32:$H$49</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Charts!$I$32:$I$49</c:f>
              <c:numCache>
                <c:formatCode>General</c:formatCode>
                <c:ptCount val="17"/>
                <c:pt idx="0">
                  <c:v>6757984.4978103079</c:v>
                </c:pt>
                <c:pt idx="1">
                  <c:v>3656495.3460296313</c:v>
                </c:pt>
                <c:pt idx="2">
                  <c:v>4383048.5167372562</c:v>
                </c:pt>
                <c:pt idx="3">
                  <c:v>4971357.315766532</c:v>
                </c:pt>
                <c:pt idx="4">
                  <c:v>4819031.43</c:v>
                </c:pt>
                <c:pt idx="5">
                  <c:v>4743621.71</c:v>
                </c:pt>
                <c:pt idx="6">
                  <c:v>5491629.8999999994</c:v>
                </c:pt>
                <c:pt idx="7">
                  <c:v>5223629.8299999991</c:v>
                </c:pt>
                <c:pt idx="8">
                  <c:v>4836738.6900000013</c:v>
                </c:pt>
                <c:pt idx="9">
                  <c:v>5008427.0900000045</c:v>
                </c:pt>
                <c:pt idx="10">
                  <c:v>5483236.0300000003</c:v>
                </c:pt>
                <c:pt idx="11">
                  <c:v>5278336.71</c:v>
                </c:pt>
                <c:pt idx="12">
                  <c:v>6224076.3100000015</c:v>
                </c:pt>
                <c:pt idx="13">
                  <c:v>4457734.5100000007</c:v>
                </c:pt>
                <c:pt idx="14">
                  <c:v>4507386.0500000017</c:v>
                </c:pt>
                <c:pt idx="15">
                  <c:v>5379779.7700000005</c:v>
                </c:pt>
                <c:pt idx="16">
                  <c:v>5080305.16</c:v>
                </c:pt>
              </c:numCache>
            </c:numRef>
          </c:val>
        </c:ser>
        <c:ser>
          <c:idx val="1"/>
          <c:order val="1"/>
          <c:tx>
            <c:strRef>
              <c:f>Charts!$J$31</c:f>
              <c:strCache>
                <c:ptCount val="1"/>
                <c:pt idx="0">
                  <c:v>Sum of EUR available to purchase forward contract</c:v>
                </c:pt>
              </c:strCache>
            </c:strRef>
          </c:tx>
          <c:invertIfNegative val="0"/>
          <c:cat>
            <c:strRef>
              <c:f>Charts!$H$32:$H$49</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Charts!$J$32:$J$49</c:f>
              <c:numCache>
                <c:formatCode>General</c:formatCode>
                <c:ptCount val="17"/>
                <c:pt idx="0">
                  <c:v>5360299.0199999977</c:v>
                </c:pt>
                <c:pt idx="1">
                  <c:v>1619056.1699999995</c:v>
                </c:pt>
                <c:pt idx="2">
                  <c:v>3349708.4999999991</c:v>
                </c:pt>
                <c:pt idx="3">
                  <c:v>3685507.3899999987</c:v>
                </c:pt>
                <c:pt idx="4">
                  <c:v>3710569.57</c:v>
                </c:pt>
                <c:pt idx="5">
                  <c:v>2783499.79</c:v>
                </c:pt>
                <c:pt idx="6">
                  <c:v>3293463.1699999995</c:v>
                </c:pt>
                <c:pt idx="7">
                  <c:v>3853576.1199999996</c:v>
                </c:pt>
                <c:pt idx="8">
                  <c:v>3887560.5100000012</c:v>
                </c:pt>
                <c:pt idx="9">
                  <c:v>3276241.900000005</c:v>
                </c:pt>
                <c:pt idx="10">
                  <c:v>4260318.8800000008</c:v>
                </c:pt>
                <c:pt idx="11">
                  <c:v>3469466.5199999996</c:v>
                </c:pt>
                <c:pt idx="12">
                  <c:v>4249900.6700000027</c:v>
                </c:pt>
                <c:pt idx="13">
                  <c:v>2733661.5500000007</c:v>
                </c:pt>
                <c:pt idx="14">
                  <c:v>3484838.2700000014</c:v>
                </c:pt>
                <c:pt idx="15">
                  <c:v>4226100.2</c:v>
                </c:pt>
                <c:pt idx="16">
                  <c:v>3449099.6500000004</c:v>
                </c:pt>
              </c:numCache>
            </c:numRef>
          </c:val>
        </c:ser>
        <c:dLbls>
          <c:showLegendKey val="0"/>
          <c:showVal val="0"/>
          <c:showCatName val="0"/>
          <c:showSerName val="0"/>
          <c:showPercent val="0"/>
          <c:showBubbleSize val="0"/>
        </c:dLbls>
        <c:gapWidth val="150"/>
        <c:axId val="127214336"/>
        <c:axId val="127215872"/>
      </c:barChart>
      <c:catAx>
        <c:axId val="127214336"/>
        <c:scaling>
          <c:orientation val="minMax"/>
        </c:scaling>
        <c:delete val="0"/>
        <c:axPos val="b"/>
        <c:numFmt formatCode="General" sourceLinked="0"/>
        <c:majorTickMark val="out"/>
        <c:minorTickMark val="none"/>
        <c:tickLblPos val="nextTo"/>
        <c:crossAx val="127215872"/>
        <c:crosses val="autoZero"/>
        <c:auto val="1"/>
        <c:lblAlgn val="ctr"/>
        <c:lblOffset val="100"/>
        <c:noMultiLvlLbl val="0"/>
      </c:catAx>
      <c:valAx>
        <c:axId val="127215872"/>
        <c:scaling>
          <c:orientation val="minMax"/>
        </c:scaling>
        <c:delete val="0"/>
        <c:axPos val="l"/>
        <c:majorGridlines/>
        <c:numFmt formatCode="#,##0_);[Red]\(#,##0\)" sourceLinked="0"/>
        <c:majorTickMark val="out"/>
        <c:minorTickMark val="none"/>
        <c:tickLblPos val="nextTo"/>
        <c:txPr>
          <a:bodyPr/>
          <a:lstStyle/>
          <a:p>
            <a:pPr>
              <a:defRPr baseline="0"/>
            </a:pPr>
            <a:endParaRPr lang="en-US"/>
          </a:p>
        </c:txPr>
        <c:crossAx val="127214336"/>
        <c:crosses val="autoZero"/>
        <c:crossBetween val="between"/>
      </c:valAx>
    </c:plotArea>
    <c:legend>
      <c:legendPos val="r"/>
      <c:layout>
        <c:manualLayout>
          <c:xMode val="edge"/>
          <c:yMode val="edge"/>
          <c:x val="0.80058902965629619"/>
          <c:y val="0.32149879702537176"/>
          <c:w val="0.19941097034370384"/>
          <c:h val="0.47047736220472441"/>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Series val="1"/>
      </c14:pivotOptions>
    </c:ext>
  </c:extLst>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4330-DD3A-4CE5-9D22-B28EF0AA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5372</Words>
  <Characters>34927</Characters>
  <Application>Microsoft Office Word</Application>
  <DocSecurity>0</DocSecurity>
  <Lines>291</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WO/PBC/24/</vt:lpstr>
      <vt:lpstr>WO/PBC/24/</vt:lpstr>
    </vt:vector>
  </TitlesOfParts>
  <Company>WIPO</Company>
  <LinksUpToDate>false</LinksUpToDate>
  <CharactersWithSpaces>40219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DOYON Geneviève</dc:creator>
  <cp:lastModifiedBy>KORCHAGINA Elena</cp:lastModifiedBy>
  <cp:revision>8</cp:revision>
  <cp:lastPrinted>2016-06-29T08:31:00Z</cp:lastPrinted>
  <dcterms:created xsi:type="dcterms:W3CDTF">2016-06-30T22:25:00Z</dcterms:created>
  <dcterms:modified xsi:type="dcterms:W3CDTF">2016-07-04T08:16:00Z</dcterms:modified>
</cp:coreProperties>
</file>