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8498C" w:rsidRPr="00AA717B" w:rsidTr="00A30B3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8498C" w:rsidRPr="00AA717B" w:rsidRDefault="0068498C" w:rsidP="00D0566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498C" w:rsidRPr="00AA717B" w:rsidRDefault="00A30B39" w:rsidP="00D05665">
            <w:pPr>
              <w:rPr>
                <w:lang w:val="ru-RU"/>
              </w:rPr>
            </w:pPr>
            <w:r w:rsidRPr="00AA717B">
              <w:rPr>
                <w:noProof/>
                <w:lang w:eastAsia="en-US"/>
              </w:rPr>
              <w:drawing>
                <wp:inline distT="0" distB="0" distL="0" distR="0" wp14:anchorId="2D886ED1" wp14:editId="6610201D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498C" w:rsidRPr="00AA717B" w:rsidRDefault="00F01F58" w:rsidP="00D05665">
            <w:pPr>
              <w:jc w:val="right"/>
              <w:rPr>
                <w:lang w:val="ru-RU"/>
              </w:rPr>
            </w:pPr>
            <w:r w:rsidRPr="00AA717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68498C" w:rsidRPr="00AA717B" w:rsidTr="00A30B39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8498C" w:rsidRPr="00AA717B" w:rsidRDefault="0068498C" w:rsidP="00DE156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>WO/PBC</w:t>
            </w:r>
            <w:r w:rsidR="00714148" w:rsidRPr="00AA717B">
              <w:rPr>
                <w:rFonts w:ascii="Arial Black" w:hAnsi="Arial Black"/>
                <w:caps/>
                <w:sz w:val="15"/>
                <w:lang w:val="ru-RU"/>
              </w:rPr>
              <w:t>/24/</w:t>
            </w:r>
            <w:r w:rsidR="00DE1561" w:rsidRPr="00AA717B">
              <w:rPr>
                <w:rFonts w:ascii="Arial Black" w:hAnsi="Arial Black"/>
                <w:caps/>
                <w:sz w:val="15"/>
                <w:lang w:val="ru-RU"/>
              </w:rPr>
              <w:t>12</w:t>
            </w:r>
          </w:p>
        </w:tc>
      </w:tr>
      <w:tr w:rsidR="00A30B39" w:rsidRPr="00AA717B" w:rsidTr="00D0566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0B39" w:rsidRPr="00AA717B" w:rsidRDefault="00A30B39" w:rsidP="005061B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0" w:name="Original"/>
            <w:bookmarkEnd w:id="0"/>
            <w:r w:rsidRPr="00AA717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30B39" w:rsidRPr="00AA717B" w:rsidTr="00D0566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0B39" w:rsidRPr="00AA717B" w:rsidRDefault="00A30B39" w:rsidP="00A30B3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1" w:name="Date"/>
            <w:bookmarkEnd w:id="1"/>
            <w:r w:rsidRPr="00AA717B">
              <w:rPr>
                <w:rFonts w:ascii="Arial Black" w:hAnsi="Arial Black"/>
                <w:caps/>
                <w:sz w:val="15"/>
                <w:lang w:val="ru-RU"/>
              </w:rPr>
              <w:t>10 июля 2015 г.</w:t>
            </w:r>
          </w:p>
        </w:tc>
      </w:tr>
    </w:tbl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lang w:val="ru-RU"/>
        </w:rPr>
      </w:pPr>
    </w:p>
    <w:p w:rsidR="002F6216" w:rsidRDefault="00911414" w:rsidP="00911414">
      <w:pPr>
        <w:rPr>
          <w:b/>
          <w:sz w:val="28"/>
          <w:szCs w:val="28"/>
          <w:lang w:val="ru-RU"/>
        </w:rPr>
      </w:pPr>
      <w:r w:rsidRPr="00AA717B">
        <w:rPr>
          <w:b/>
          <w:sz w:val="28"/>
          <w:szCs w:val="28"/>
          <w:lang w:val="ru-RU"/>
        </w:rPr>
        <w:t>Комитет по программе и бюджету</w:t>
      </w:r>
    </w:p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lang w:val="ru-RU"/>
        </w:rPr>
      </w:pPr>
    </w:p>
    <w:p w:rsidR="002F6216" w:rsidRDefault="00911414" w:rsidP="00911414">
      <w:pPr>
        <w:rPr>
          <w:b/>
          <w:sz w:val="24"/>
          <w:szCs w:val="24"/>
          <w:lang w:val="ru-RU"/>
        </w:rPr>
      </w:pPr>
      <w:r w:rsidRPr="00AA717B">
        <w:rPr>
          <w:b/>
          <w:sz w:val="24"/>
          <w:szCs w:val="24"/>
          <w:lang w:val="ru-RU"/>
        </w:rPr>
        <w:t>Двадцать четвертая сессия</w:t>
      </w:r>
    </w:p>
    <w:p w:rsidR="002F6216" w:rsidRDefault="00911414" w:rsidP="00911414">
      <w:pPr>
        <w:rPr>
          <w:lang w:val="ru-RU"/>
        </w:rPr>
      </w:pPr>
      <w:r w:rsidRPr="00AA717B">
        <w:rPr>
          <w:b/>
          <w:lang w:val="ru-RU"/>
        </w:rPr>
        <w:t>Женева, сентября 2015 г.</w:t>
      </w:r>
    </w:p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caps/>
          <w:sz w:val="24"/>
          <w:lang w:val="ru-RU"/>
        </w:rPr>
      </w:pPr>
      <w:bookmarkStart w:id="2" w:name="TitleOfDoc"/>
      <w:bookmarkEnd w:id="2"/>
    </w:p>
    <w:p w:rsidR="002F6216" w:rsidRDefault="00911414" w:rsidP="00911414">
      <w:pPr>
        <w:rPr>
          <w:caps/>
          <w:sz w:val="24"/>
          <w:lang w:val="ru-RU"/>
        </w:rPr>
      </w:pPr>
      <w:r w:rsidRPr="00AA717B">
        <w:rPr>
          <w:caps/>
          <w:sz w:val="24"/>
          <w:lang w:val="ru-RU"/>
        </w:rPr>
        <w:t>Заключительный отчет о ходе реализации проекта по повышению норм охраны и безопасности в существующих зданиях ВОИС</w:t>
      </w:r>
    </w:p>
    <w:p w:rsidR="002F6216" w:rsidRDefault="002F6216" w:rsidP="0054058F">
      <w:pPr>
        <w:tabs>
          <w:tab w:val="left" w:pos="5973"/>
        </w:tabs>
        <w:rPr>
          <w:i/>
          <w:szCs w:val="22"/>
          <w:lang w:val="ru-RU"/>
        </w:rPr>
      </w:pPr>
      <w:bookmarkStart w:id="3" w:name="Prepared"/>
      <w:bookmarkEnd w:id="3"/>
    </w:p>
    <w:p w:rsidR="002F6216" w:rsidRDefault="00911414" w:rsidP="00911414">
      <w:pPr>
        <w:rPr>
          <w:lang w:val="ru-RU"/>
        </w:rPr>
      </w:pPr>
      <w:r w:rsidRPr="00AA717B">
        <w:rPr>
          <w:i/>
          <w:lang w:val="ru-RU"/>
        </w:rPr>
        <w:t>подготовлен Секретариатом</w:t>
      </w:r>
    </w:p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lang w:val="ru-RU"/>
        </w:rPr>
      </w:pPr>
    </w:p>
    <w:p w:rsidR="002F6216" w:rsidRDefault="002F6216" w:rsidP="0068498C">
      <w:pPr>
        <w:rPr>
          <w:lang w:val="ru-RU"/>
        </w:rPr>
      </w:pPr>
    </w:p>
    <w:p w:rsidR="002F6216" w:rsidRDefault="00911414" w:rsidP="00911414">
      <w:pPr>
        <w:outlineLvl w:val="1"/>
        <w:rPr>
          <w:b/>
          <w:bCs/>
          <w:iCs/>
          <w:caps/>
          <w:szCs w:val="22"/>
          <w:lang w:val="ru-RU"/>
        </w:rPr>
      </w:pPr>
      <w:r w:rsidRPr="00AA717B">
        <w:rPr>
          <w:b/>
          <w:bCs/>
          <w:iCs/>
          <w:caps/>
          <w:szCs w:val="22"/>
          <w:lang w:val="ru-RU"/>
        </w:rPr>
        <w:t>СПРАВОЧНАЯ ИНФОРМАЦИЯ</w:t>
      </w:r>
    </w:p>
    <w:p w:rsidR="002F6216" w:rsidRDefault="002F6216" w:rsidP="0068498C">
      <w:pPr>
        <w:pStyle w:val="ONUME"/>
        <w:spacing w:after="0"/>
        <w:rPr>
          <w:lang w:val="ru-RU"/>
        </w:rPr>
      </w:pPr>
    </w:p>
    <w:p w:rsidR="002F6216" w:rsidRDefault="00911414" w:rsidP="007B574E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color w:val="auto"/>
          <w:sz w:val="22"/>
          <w:szCs w:val="22"/>
          <w:lang w:val="ru-RU"/>
        </w:rPr>
      </w:pPr>
      <w:r w:rsidRPr="00AA717B">
        <w:rPr>
          <w:color w:val="auto"/>
          <w:sz w:val="22"/>
          <w:szCs w:val="22"/>
          <w:lang w:val="ru-RU"/>
        </w:rPr>
        <w:t>Сорок шестая сессия Ассамблей государств членов ВОИС, состоявшаяся в сентябре 2008 г., одобрила предложение Секретариата о повышении норм охраны и безопасности в существующих зданиях ВОИС (документы WO/PBC/13/6(a) и A/46/10) в целях приведения норм охраны и безопасности в зданиях ВОИС в соответствие с минимальными требованиями стандартов ООН H-MOSS.</w:t>
      </w:r>
      <w:r w:rsidR="00885EDA" w:rsidRPr="00AA717B">
        <w:rPr>
          <w:color w:val="auto"/>
          <w:sz w:val="22"/>
          <w:szCs w:val="22"/>
          <w:lang w:val="ru-RU"/>
        </w:rPr>
        <w:t xml:space="preserve"> </w:t>
      </w:r>
      <w:r w:rsidR="00DE1561" w:rsidRPr="00AA717B">
        <w:rPr>
          <w:color w:val="auto"/>
          <w:sz w:val="22"/>
          <w:szCs w:val="22"/>
          <w:lang w:val="ru-RU"/>
        </w:rPr>
        <w:t xml:space="preserve"> </w:t>
      </w:r>
      <w:r w:rsidR="007B574E" w:rsidRPr="00AA717B">
        <w:rPr>
          <w:color w:val="auto"/>
          <w:sz w:val="22"/>
          <w:szCs w:val="22"/>
          <w:lang w:val="ru-RU"/>
        </w:rPr>
        <w:t>Эти стандарты были использованы в качестве основы при выработке рекомендаций оценки рисков безопасности (</w:t>
      </w:r>
      <w:r w:rsidR="00175159" w:rsidRPr="00AA717B">
        <w:rPr>
          <w:color w:val="auto"/>
          <w:sz w:val="22"/>
          <w:szCs w:val="22"/>
          <w:lang w:val="ru-RU"/>
        </w:rPr>
        <w:t>ОРБ</w:t>
      </w:r>
      <w:r w:rsidR="007B574E" w:rsidRPr="00AA717B">
        <w:rPr>
          <w:color w:val="auto"/>
          <w:sz w:val="22"/>
          <w:szCs w:val="22"/>
          <w:lang w:val="ru-RU"/>
        </w:rPr>
        <w:t>), проведенной независимым экспертом по вопросам безопасности в отношении штаб-квартиры ВОИС в 2006 г.</w:t>
      </w:r>
    </w:p>
    <w:p w:rsidR="002F6216" w:rsidRDefault="007B574E" w:rsidP="002F6216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</w:rPr>
      </w:pPr>
      <w:r w:rsidRPr="00982389">
        <w:rPr>
          <w:sz w:val="22"/>
          <w:szCs w:val="22"/>
          <w:lang w:val="ru-RU"/>
        </w:rPr>
        <w:t>На своей двадцать первой сессии Комитет по программе и бюджету (КПБ) получил обновленную информацию о ходе осуществления этого проекта (документ WO/PBC/21/9), в которо</w:t>
      </w:r>
      <w:r w:rsidR="00E32AAF" w:rsidRPr="00982389">
        <w:rPr>
          <w:sz w:val="22"/>
          <w:szCs w:val="22"/>
          <w:lang w:val="ru-RU"/>
        </w:rPr>
        <w:t>й</w:t>
      </w:r>
      <w:r w:rsidRPr="00982389">
        <w:rPr>
          <w:sz w:val="22"/>
          <w:szCs w:val="22"/>
          <w:lang w:val="ru-RU"/>
        </w:rPr>
        <w:t xml:space="preserve"> были отмечены изменения в проектном задании, включая выделение дополнительных средств для Центра доступа и пересмотренные спецификации периметра безопасности по итогам консультаций с принимающей страной, состоявшихся в июне 2011 г.</w:t>
      </w:r>
      <w:r w:rsidR="005B0E20" w:rsidRPr="00982389">
        <w:rPr>
          <w:sz w:val="22"/>
          <w:szCs w:val="22"/>
          <w:lang w:val="ru-RU"/>
        </w:rPr>
        <w:t xml:space="preserve"> </w:t>
      </w:r>
      <w:r w:rsidR="00DE1561" w:rsidRPr="00982389">
        <w:rPr>
          <w:sz w:val="22"/>
          <w:szCs w:val="22"/>
          <w:lang w:val="ru-RU"/>
        </w:rPr>
        <w:t xml:space="preserve"> </w:t>
      </w:r>
      <w:r w:rsidR="00A61175" w:rsidRPr="00982389">
        <w:rPr>
          <w:sz w:val="22"/>
          <w:szCs w:val="22"/>
          <w:lang w:val="ru-RU"/>
        </w:rPr>
        <w:t>В представленном КПБ отчете также напоминается о том, что был проведен анализ для повторной оценки риска и изменения первоначального проектного задания без ущерба для ожидаем</w:t>
      </w:r>
      <w:r w:rsidR="00E32AAF" w:rsidRPr="00982389">
        <w:rPr>
          <w:sz w:val="22"/>
          <w:szCs w:val="22"/>
          <w:lang w:val="ru-RU"/>
        </w:rPr>
        <w:t xml:space="preserve">ых </w:t>
      </w:r>
      <w:r w:rsidR="00A61175" w:rsidRPr="00982389">
        <w:rPr>
          <w:sz w:val="22"/>
          <w:szCs w:val="22"/>
          <w:lang w:val="ru-RU"/>
        </w:rPr>
        <w:t>результат</w:t>
      </w:r>
      <w:r w:rsidR="00E32AAF" w:rsidRPr="00982389">
        <w:rPr>
          <w:sz w:val="22"/>
          <w:szCs w:val="22"/>
          <w:lang w:val="ru-RU"/>
        </w:rPr>
        <w:t xml:space="preserve">ов от принятых </w:t>
      </w:r>
      <w:r w:rsidR="00A61175" w:rsidRPr="00982389">
        <w:rPr>
          <w:sz w:val="22"/>
          <w:szCs w:val="22"/>
          <w:lang w:val="ru-RU"/>
        </w:rPr>
        <w:t xml:space="preserve">мер </w:t>
      </w:r>
      <w:r w:rsidR="00E32AAF" w:rsidRPr="00982389">
        <w:rPr>
          <w:sz w:val="22"/>
          <w:szCs w:val="22"/>
          <w:lang w:val="ru-RU"/>
        </w:rPr>
        <w:t xml:space="preserve">в области </w:t>
      </w:r>
      <w:r w:rsidR="00A61175" w:rsidRPr="00982389">
        <w:rPr>
          <w:sz w:val="22"/>
          <w:szCs w:val="22"/>
          <w:lang w:val="ru-RU"/>
        </w:rPr>
        <w:t>безопасности и охраны.</w:t>
      </w:r>
      <w:r w:rsidR="00315B07" w:rsidRPr="00982389">
        <w:rPr>
          <w:sz w:val="22"/>
          <w:szCs w:val="22"/>
          <w:lang w:val="ru-RU"/>
        </w:rPr>
        <w:t xml:space="preserve"> </w:t>
      </w:r>
      <w:r w:rsidR="002F6216">
        <w:rPr>
          <w:sz w:val="22"/>
          <w:szCs w:val="22"/>
          <w:lang w:val="ru-RU"/>
        </w:rPr>
        <w:t xml:space="preserve"> </w:t>
      </w:r>
      <w:r w:rsidR="002F6216" w:rsidRPr="002F6216">
        <w:rPr>
          <w:sz w:val="22"/>
          <w:szCs w:val="22"/>
          <w:lang w:val="ru-RU"/>
        </w:rPr>
        <w:t>Данный отчет был также представлен пятьдесят первой сессии Ассамблей государств-членов ВОИС (документ A/51/10) в сентябре 2013 г.</w:t>
      </w:r>
      <w:r w:rsidR="002F6216" w:rsidRPr="002F6216">
        <w:rPr>
          <w:sz w:val="22"/>
          <w:szCs w:val="22"/>
        </w:rPr>
        <w:t xml:space="preserve"> </w:t>
      </w:r>
    </w:p>
    <w:p w:rsidR="002F6216" w:rsidRDefault="00A61175" w:rsidP="00A61175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 xml:space="preserve">Заключительный отчет дополняет представленные КПБ предыдущие отчеты о ходе работы (последним является документ WO/PBC/22/9) и содержит информацию для государств-членов о проделанной работе, достигнутых результатах и использовании бюджетных средств в рамках проекта «Повышение норм охраны и безопасности в существующих зданиях ВОИС» (проект H-MOSS) </w:t>
      </w:r>
      <w:r w:rsidR="002F555A">
        <w:rPr>
          <w:sz w:val="22"/>
          <w:szCs w:val="22"/>
          <w:lang w:val="ru-RU"/>
        </w:rPr>
        <w:t xml:space="preserve">за </w:t>
      </w:r>
      <w:r w:rsidRPr="00AA717B">
        <w:rPr>
          <w:sz w:val="22"/>
          <w:szCs w:val="22"/>
          <w:lang w:val="ru-RU"/>
        </w:rPr>
        <w:t>период с июля 2014 г.</w:t>
      </w:r>
      <w:r w:rsidR="00C01F46" w:rsidRPr="00AA717B">
        <w:rPr>
          <w:sz w:val="22"/>
          <w:szCs w:val="22"/>
          <w:lang w:val="ru-RU"/>
        </w:rPr>
        <w:t xml:space="preserve"> </w:t>
      </w:r>
    </w:p>
    <w:p w:rsidR="002F6216" w:rsidRDefault="00DE1561">
      <w:pPr>
        <w:spacing w:after="200" w:line="276" w:lineRule="auto"/>
        <w:rPr>
          <w:b/>
          <w:bCs/>
          <w:iCs/>
          <w:caps/>
          <w:szCs w:val="22"/>
          <w:lang w:val="ru-RU"/>
        </w:rPr>
      </w:pPr>
      <w:r w:rsidRPr="00AA717B">
        <w:rPr>
          <w:b/>
          <w:bCs/>
          <w:iCs/>
          <w:caps/>
          <w:szCs w:val="22"/>
          <w:lang w:val="ru-RU"/>
        </w:rPr>
        <w:br w:type="page"/>
      </w:r>
    </w:p>
    <w:p w:rsidR="002F6216" w:rsidRDefault="00315B07" w:rsidP="00DE1561">
      <w:pPr>
        <w:keepNext/>
        <w:keepLines/>
        <w:outlineLvl w:val="1"/>
        <w:rPr>
          <w:b/>
          <w:bCs/>
          <w:iCs/>
          <w:caps/>
          <w:szCs w:val="22"/>
          <w:lang w:val="ru-RU"/>
        </w:rPr>
      </w:pPr>
      <w:r w:rsidRPr="00AA717B">
        <w:rPr>
          <w:b/>
          <w:bCs/>
          <w:iCs/>
          <w:caps/>
          <w:szCs w:val="22"/>
          <w:lang w:val="ru-RU"/>
        </w:rPr>
        <w:t xml:space="preserve">ОБЗОР ХОДА осуществленИЯ ПРОЕКТА </w:t>
      </w:r>
    </w:p>
    <w:p w:rsidR="002F6216" w:rsidRDefault="002F6216" w:rsidP="00DE1561">
      <w:pPr>
        <w:keepNext/>
        <w:keepLines/>
        <w:outlineLvl w:val="1"/>
        <w:rPr>
          <w:bCs/>
          <w:iCs/>
          <w:caps/>
          <w:szCs w:val="22"/>
          <w:lang w:val="ru-RU"/>
        </w:rPr>
      </w:pPr>
    </w:p>
    <w:p w:rsidR="002F6216" w:rsidRDefault="005061A5" w:rsidP="00DE1561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 xml:space="preserve">Проект </w:t>
      </w:r>
      <w:r w:rsidR="00BD6C84" w:rsidRPr="00AA717B">
        <w:rPr>
          <w:sz w:val="22"/>
          <w:szCs w:val="22"/>
          <w:lang w:val="ru-RU"/>
        </w:rPr>
        <w:t xml:space="preserve">H-MOSS </w:t>
      </w:r>
      <w:r w:rsidRPr="00AA717B">
        <w:rPr>
          <w:sz w:val="22"/>
          <w:szCs w:val="22"/>
          <w:lang w:val="ru-RU"/>
        </w:rPr>
        <w:t>делится на три основных этапа</w:t>
      </w:r>
      <w:r w:rsidR="0068498C" w:rsidRPr="00AA717B">
        <w:rPr>
          <w:sz w:val="22"/>
          <w:szCs w:val="22"/>
          <w:lang w:val="ru-RU"/>
        </w:rPr>
        <w:t>:</w:t>
      </w:r>
      <w:r w:rsidRPr="00AA717B">
        <w:rPr>
          <w:sz w:val="22"/>
          <w:szCs w:val="22"/>
          <w:lang w:val="ru-RU"/>
        </w:rPr>
        <w:t xml:space="preserve"> </w:t>
      </w:r>
    </w:p>
    <w:p w:rsidR="002F6216" w:rsidRDefault="002F6216" w:rsidP="00DE1561">
      <w:pPr>
        <w:keepNext/>
        <w:keepLines/>
        <w:outlineLvl w:val="1"/>
        <w:rPr>
          <w:lang w:val="ru-RU"/>
        </w:rPr>
      </w:pPr>
    </w:p>
    <w:p w:rsidR="002F6216" w:rsidRDefault="00E51DEB" w:rsidP="00381C43">
      <w:pPr>
        <w:pStyle w:val="ListParagraph"/>
        <w:keepNext/>
        <w:keepLines/>
        <w:numPr>
          <w:ilvl w:val="0"/>
          <w:numId w:val="6"/>
        </w:numPr>
        <w:rPr>
          <w:rFonts w:eastAsiaTheme="minorHAnsi"/>
          <w:szCs w:val="22"/>
          <w:lang w:val="ru-RU" w:eastAsia="en-US"/>
        </w:rPr>
      </w:pPr>
      <w:r w:rsidRPr="00AA717B">
        <w:rPr>
          <w:rFonts w:eastAsiaTheme="minorHAnsi"/>
          <w:b/>
          <w:szCs w:val="22"/>
          <w:lang w:val="ru-RU" w:eastAsia="en-US"/>
        </w:rPr>
        <w:t>Этап</w:t>
      </w:r>
      <w:r w:rsidR="0068498C" w:rsidRPr="00AA717B">
        <w:rPr>
          <w:rFonts w:eastAsiaTheme="minorHAnsi"/>
          <w:b/>
          <w:szCs w:val="22"/>
          <w:lang w:val="ru-RU" w:eastAsia="en-US"/>
        </w:rPr>
        <w:t xml:space="preserve"> I</w:t>
      </w:r>
      <w:r w:rsidR="0068498C" w:rsidRPr="00AA717B">
        <w:rPr>
          <w:rFonts w:eastAsiaTheme="minorHAnsi"/>
          <w:szCs w:val="22"/>
          <w:lang w:val="ru-RU" w:eastAsia="en-US"/>
        </w:rPr>
        <w:t xml:space="preserve"> </w:t>
      </w:r>
      <w:r w:rsidR="00E94AF6" w:rsidRPr="00AA717B">
        <w:rPr>
          <w:rFonts w:eastAsiaTheme="minorHAnsi"/>
          <w:szCs w:val="22"/>
          <w:lang w:val="ru-RU" w:eastAsia="en-US"/>
        </w:rPr>
        <w:t xml:space="preserve">– </w:t>
      </w:r>
      <w:r w:rsidR="00381C43" w:rsidRPr="00AA717B">
        <w:rPr>
          <w:rFonts w:eastAsiaTheme="minorHAnsi"/>
          <w:szCs w:val="22"/>
          <w:lang w:val="ru-RU" w:eastAsia="en-US"/>
        </w:rPr>
        <w:t>Проектирование и разработка целостной системы охраны и безопасности, отвечающей требованиям ВОИС, основанным на применении эффективных принципов управления рисками, формирование внутренних и внешних партнерских связей и оценка соответствующих технических систем, в частности в плане инфраструктурной совместимости и соответствия стандартам H-MOSS Департамента по вопросам охраны и безопасности Организации Объединенных Наций.</w:t>
      </w:r>
      <w:r w:rsidR="00CC30E5" w:rsidRPr="00AA717B">
        <w:rPr>
          <w:rFonts w:eastAsiaTheme="minorHAnsi"/>
          <w:szCs w:val="22"/>
          <w:lang w:val="ru-RU" w:eastAsia="en-US"/>
        </w:rPr>
        <w:t xml:space="preserve"> </w:t>
      </w:r>
      <w:r w:rsidR="00C550C6" w:rsidRPr="00AA717B">
        <w:rPr>
          <w:rFonts w:eastAsiaTheme="minorHAnsi"/>
          <w:szCs w:val="22"/>
          <w:lang w:val="ru-RU" w:eastAsia="en-US"/>
        </w:rPr>
        <w:t>(Завершен)</w:t>
      </w:r>
    </w:p>
    <w:p w:rsidR="002F6216" w:rsidRDefault="002F6216" w:rsidP="0068498C">
      <w:pPr>
        <w:pStyle w:val="ListParagraph"/>
        <w:rPr>
          <w:lang w:val="ru-RU"/>
        </w:rPr>
      </w:pPr>
    </w:p>
    <w:p w:rsidR="002F6216" w:rsidRDefault="00E51DEB" w:rsidP="005F1B76">
      <w:pPr>
        <w:pStyle w:val="ListParagraph"/>
        <w:numPr>
          <w:ilvl w:val="0"/>
          <w:numId w:val="6"/>
        </w:numPr>
        <w:rPr>
          <w:lang w:val="ru-RU"/>
        </w:rPr>
      </w:pPr>
      <w:r w:rsidRPr="00AA717B">
        <w:rPr>
          <w:b/>
          <w:lang w:val="ru-RU"/>
        </w:rPr>
        <w:t>Этап</w:t>
      </w:r>
      <w:r w:rsidR="0068498C" w:rsidRPr="00AA717B">
        <w:rPr>
          <w:b/>
          <w:lang w:val="ru-RU"/>
        </w:rPr>
        <w:t xml:space="preserve"> II</w:t>
      </w:r>
      <w:r w:rsidR="0068498C" w:rsidRPr="00AA717B">
        <w:rPr>
          <w:lang w:val="ru-RU"/>
        </w:rPr>
        <w:t xml:space="preserve"> </w:t>
      </w:r>
      <w:r w:rsidR="0041392F" w:rsidRPr="00AA717B">
        <w:rPr>
          <w:lang w:val="ru-RU"/>
        </w:rPr>
        <w:t xml:space="preserve">– </w:t>
      </w:r>
      <w:r w:rsidR="000512C8" w:rsidRPr="00AA717B">
        <w:rPr>
          <w:lang w:val="ru-RU"/>
        </w:rPr>
        <w:t xml:space="preserve">Планирование и детальное проектирование, включающее в себя разработку технических спецификаций, объявление тендера, заключение подрядных договоров со строительными компаниями и поставщиками других услуг для закупки современных </w:t>
      </w:r>
      <w:r w:rsidR="000512C8" w:rsidRPr="00AA717B">
        <w:rPr>
          <w:rFonts w:eastAsiaTheme="minorHAnsi"/>
          <w:szCs w:val="22"/>
          <w:lang w:val="ru-RU" w:eastAsia="en-US"/>
        </w:rPr>
        <w:t xml:space="preserve">систем охраны и безопасности и управления ими, </w:t>
      </w:r>
      <w:r w:rsidR="00BC5496" w:rsidRPr="00AA717B">
        <w:rPr>
          <w:rFonts w:eastAsiaTheme="minorHAnsi"/>
          <w:szCs w:val="22"/>
          <w:lang w:val="ru-RU" w:eastAsia="en-US"/>
        </w:rPr>
        <w:t xml:space="preserve">внедрение вспомогательных </w:t>
      </w:r>
      <w:r w:rsidR="000512C8" w:rsidRPr="00AA717B">
        <w:rPr>
          <w:rFonts w:eastAsiaTheme="minorHAnsi"/>
          <w:szCs w:val="22"/>
          <w:lang w:val="ru-RU" w:eastAsia="en-US"/>
        </w:rPr>
        <w:t>систем связи</w:t>
      </w:r>
      <w:r w:rsidR="00BC5496" w:rsidRPr="00AA717B">
        <w:rPr>
          <w:rFonts w:eastAsiaTheme="minorHAnsi"/>
          <w:szCs w:val="22"/>
          <w:lang w:val="ru-RU" w:eastAsia="en-US"/>
        </w:rPr>
        <w:t>/сопряжения</w:t>
      </w:r>
      <w:r w:rsidR="00A43EBA" w:rsidRPr="00AA717B">
        <w:rPr>
          <w:lang w:val="ru-RU"/>
        </w:rPr>
        <w:t>.</w:t>
      </w:r>
      <w:r w:rsidR="00BC5496" w:rsidRPr="00AA717B">
        <w:rPr>
          <w:lang w:val="ru-RU"/>
        </w:rPr>
        <w:t xml:space="preserve"> </w:t>
      </w:r>
      <w:r w:rsidR="004B3892" w:rsidRPr="00AA717B">
        <w:rPr>
          <w:lang w:val="ru-RU"/>
        </w:rPr>
        <w:t xml:space="preserve"> (</w:t>
      </w:r>
      <w:r w:rsidR="000512C8" w:rsidRPr="00AA717B">
        <w:rPr>
          <w:rFonts w:eastAsiaTheme="minorHAnsi"/>
          <w:szCs w:val="22"/>
          <w:lang w:val="ru-RU" w:eastAsia="en-US"/>
        </w:rPr>
        <w:t>Завершен</w:t>
      </w:r>
      <w:r w:rsidR="004B3892" w:rsidRPr="00AA717B">
        <w:rPr>
          <w:lang w:val="ru-RU"/>
        </w:rPr>
        <w:t>)</w:t>
      </w:r>
      <w:r w:rsidR="00703B53" w:rsidRPr="00AA717B">
        <w:rPr>
          <w:lang w:val="ru-RU"/>
        </w:rPr>
        <w:t xml:space="preserve">  </w:t>
      </w:r>
    </w:p>
    <w:p w:rsidR="002F6216" w:rsidRDefault="002F6216" w:rsidP="0068498C">
      <w:pPr>
        <w:rPr>
          <w:lang w:val="ru-RU"/>
        </w:rPr>
      </w:pPr>
    </w:p>
    <w:p w:rsidR="002F6216" w:rsidRDefault="00E51DEB" w:rsidP="007B3EFD">
      <w:pPr>
        <w:pStyle w:val="ListParagraph"/>
        <w:numPr>
          <w:ilvl w:val="0"/>
          <w:numId w:val="6"/>
        </w:numPr>
        <w:rPr>
          <w:lang w:val="ru-RU" w:eastAsia="en-US"/>
        </w:rPr>
      </w:pPr>
      <w:r w:rsidRPr="00AA717B">
        <w:rPr>
          <w:b/>
          <w:lang w:val="ru-RU" w:eastAsia="en-US"/>
        </w:rPr>
        <w:t>Этап</w:t>
      </w:r>
      <w:r w:rsidR="0068498C" w:rsidRPr="00AA717B">
        <w:rPr>
          <w:b/>
          <w:lang w:val="ru-RU" w:eastAsia="en-US"/>
        </w:rPr>
        <w:t xml:space="preserve"> III</w:t>
      </w:r>
      <w:r w:rsidR="0068498C" w:rsidRPr="00AA717B">
        <w:rPr>
          <w:lang w:val="ru-RU" w:eastAsia="en-US"/>
        </w:rPr>
        <w:t xml:space="preserve"> </w:t>
      </w:r>
      <w:r w:rsidR="00F97E6E" w:rsidRPr="00AA717B">
        <w:rPr>
          <w:lang w:val="ru-RU" w:eastAsia="en-US"/>
        </w:rPr>
        <w:t xml:space="preserve">– </w:t>
      </w:r>
      <w:r w:rsidR="007B3EFD" w:rsidRPr="00AA717B">
        <w:rPr>
          <w:lang w:val="ru-RU" w:eastAsia="en-US"/>
        </w:rPr>
        <w:t xml:space="preserve">Реализация и тестирование систем и обучение персонала с </w:t>
      </w:r>
      <w:r w:rsidR="00AA717B" w:rsidRPr="00AA717B">
        <w:rPr>
          <w:lang w:val="ru-RU" w:eastAsia="en-US"/>
        </w:rPr>
        <w:t xml:space="preserve">особым упором на аспекты </w:t>
      </w:r>
      <w:r w:rsidR="007B3EFD" w:rsidRPr="00AA717B">
        <w:rPr>
          <w:lang w:val="ru-RU" w:eastAsia="en-US"/>
        </w:rPr>
        <w:t>функциональной совместимости, системны</w:t>
      </w:r>
      <w:r w:rsidR="00AA717B" w:rsidRPr="00AA717B">
        <w:rPr>
          <w:lang w:val="ru-RU" w:eastAsia="en-US"/>
        </w:rPr>
        <w:t>х функций</w:t>
      </w:r>
      <w:r w:rsidR="007B3EFD" w:rsidRPr="00AA717B">
        <w:rPr>
          <w:lang w:val="ru-RU" w:eastAsia="en-US"/>
        </w:rPr>
        <w:t>, процедур</w:t>
      </w:r>
      <w:r w:rsidR="00AA717B" w:rsidRPr="00AA717B">
        <w:rPr>
          <w:lang w:val="ru-RU" w:eastAsia="en-US"/>
        </w:rPr>
        <w:t xml:space="preserve"> </w:t>
      </w:r>
      <w:r w:rsidR="007B3EFD" w:rsidRPr="00AA717B">
        <w:rPr>
          <w:lang w:val="ru-RU" w:eastAsia="en-US"/>
        </w:rPr>
        <w:t>активного мониторинга, конечно</w:t>
      </w:r>
      <w:r w:rsidR="00AA717B" w:rsidRPr="00AA717B">
        <w:rPr>
          <w:lang w:val="ru-RU" w:eastAsia="en-US"/>
        </w:rPr>
        <w:t xml:space="preserve">го завершения работ и передачи всех </w:t>
      </w:r>
      <w:r w:rsidR="007B3EFD" w:rsidRPr="00AA717B">
        <w:rPr>
          <w:lang w:val="ru-RU" w:eastAsia="en-US"/>
        </w:rPr>
        <w:t>систем ВОИС для последующей эксплуатации.</w:t>
      </w:r>
      <w:r w:rsidR="00BC5496" w:rsidRPr="00AA717B">
        <w:rPr>
          <w:lang w:val="ru-RU" w:eastAsia="en-US"/>
        </w:rPr>
        <w:t xml:space="preserve"> </w:t>
      </w:r>
      <w:r w:rsidR="007B3EFD" w:rsidRPr="00AA717B">
        <w:rPr>
          <w:lang w:val="ru-RU" w:eastAsia="en-US"/>
        </w:rPr>
        <w:t xml:space="preserve"> (Будет завершен в сентябре 2015 г.)</w:t>
      </w:r>
    </w:p>
    <w:p w:rsidR="002F6216" w:rsidRDefault="002F6216" w:rsidP="0068498C">
      <w:pPr>
        <w:rPr>
          <w:rFonts w:eastAsiaTheme="minorHAnsi"/>
          <w:szCs w:val="22"/>
          <w:lang w:val="ru-RU" w:eastAsia="en-US"/>
        </w:rPr>
      </w:pPr>
    </w:p>
    <w:p w:rsidR="002F6216" w:rsidRDefault="007B3EFD" w:rsidP="007B3EFD">
      <w:pPr>
        <w:pStyle w:val="ONUME"/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lang w:val="ru-RU"/>
        </w:rPr>
      </w:pPr>
      <w:r w:rsidRPr="00AA717B">
        <w:rPr>
          <w:lang w:val="ru-RU"/>
        </w:rPr>
        <w:t>На момент написания данного отчета проект H-MOSS был близок к завершению: было выполнено приблизительно 98 процентов работ и все ожидаемые результаты от осуществления проекта должны быть достигнуты к сентябрю 2015 г.</w:t>
      </w:r>
      <w:r w:rsidR="00007E9E" w:rsidRPr="00AA717B">
        <w:rPr>
          <w:lang w:val="ru-RU"/>
        </w:rPr>
        <w:t xml:space="preserve"> </w:t>
      </w:r>
      <w:r w:rsidR="00AA717B" w:rsidRPr="00AA717B">
        <w:rPr>
          <w:lang w:val="ru-RU"/>
        </w:rPr>
        <w:t xml:space="preserve"> </w:t>
      </w:r>
      <w:r w:rsidRPr="00AA717B">
        <w:rPr>
          <w:lang w:val="ru-RU"/>
        </w:rPr>
        <w:t>В приводимой ниже таблице показан прогресс в реализации ключевых элементов проекта и указаны планируемые даты завершения работ.</w:t>
      </w:r>
      <w:r w:rsidR="005F5267" w:rsidRPr="00AA717B">
        <w:rPr>
          <w:lang w:val="ru-RU"/>
        </w:rPr>
        <w:t xml:space="preserve"> </w:t>
      </w:r>
      <w:r w:rsidR="00007E9E" w:rsidRPr="00AA717B">
        <w:rPr>
          <w:lang w:val="ru-RU"/>
        </w:rPr>
        <w:t xml:space="preserve"> </w:t>
      </w:r>
    </w:p>
    <w:p w:rsidR="0068498C" w:rsidRPr="00AA717B" w:rsidRDefault="0068498C" w:rsidP="0068498C">
      <w:pPr>
        <w:outlineLvl w:val="1"/>
        <w:rPr>
          <w:lang w:val="ru-RU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140"/>
        <w:gridCol w:w="2340"/>
        <w:gridCol w:w="2218"/>
      </w:tblGrid>
      <w:tr w:rsidR="0068498C" w:rsidRPr="00AA717B" w:rsidTr="003C24B9">
        <w:trPr>
          <w:trHeight w:val="577"/>
        </w:trPr>
        <w:tc>
          <w:tcPr>
            <w:tcW w:w="4140" w:type="dxa"/>
          </w:tcPr>
          <w:p w:rsidR="0068498C" w:rsidRPr="00AA717B" w:rsidRDefault="007B3EFD" w:rsidP="007B3EFD">
            <w:pPr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Элементы проекта</w:t>
            </w:r>
          </w:p>
        </w:tc>
        <w:tc>
          <w:tcPr>
            <w:tcW w:w="2340" w:type="dxa"/>
          </w:tcPr>
          <w:p w:rsidR="0068498C" w:rsidRPr="00AA717B" w:rsidRDefault="007B3EFD" w:rsidP="007B3EFD">
            <w:pPr>
              <w:ind w:left="34"/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Текущее состояние</w:t>
            </w:r>
            <w:r w:rsidR="00007E9E" w:rsidRPr="00AA717B">
              <w:rPr>
                <w:rFonts w:eastAsiaTheme="minorHAnsi"/>
                <w:b/>
                <w:lang w:val="ru-RU" w:eastAsia="en-US"/>
              </w:rPr>
              <w:t xml:space="preserve"> </w:t>
            </w:r>
          </w:p>
        </w:tc>
        <w:tc>
          <w:tcPr>
            <w:tcW w:w="2218" w:type="dxa"/>
          </w:tcPr>
          <w:p w:rsidR="0068498C" w:rsidRPr="00AA717B" w:rsidRDefault="007B3EFD" w:rsidP="007B3EFD">
            <w:pPr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Сроки завершения</w:t>
            </w:r>
          </w:p>
        </w:tc>
      </w:tr>
      <w:tr w:rsidR="00050996" w:rsidRPr="00AA717B" w:rsidTr="003C24B9">
        <w:trPr>
          <w:trHeight w:val="577"/>
        </w:trPr>
        <w:tc>
          <w:tcPr>
            <w:tcW w:w="4140" w:type="dxa"/>
          </w:tcPr>
          <w:p w:rsidR="002F6216" w:rsidRDefault="007B3EFD" w:rsidP="007B3EFD">
            <w:pPr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Обеспечение внутренней безопасности (ВОИС)</w:t>
            </w:r>
            <w:r w:rsidR="00050996" w:rsidRPr="00AA717B">
              <w:rPr>
                <w:rFonts w:eastAsiaTheme="minorHAnsi"/>
                <w:lang w:val="ru-RU" w:eastAsia="en-US"/>
              </w:rPr>
              <w:t xml:space="preserve"> </w:t>
            </w:r>
          </w:p>
          <w:p w:rsidR="002F6216" w:rsidRDefault="00BC5496" w:rsidP="008F236A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 xml:space="preserve">Системы </w:t>
            </w:r>
            <w:r w:rsidR="00765295" w:rsidRPr="00AA717B">
              <w:rPr>
                <w:rFonts w:eastAsiaTheme="minorHAnsi"/>
                <w:sz w:val="20"/>
                <w:lang w:val="ru-RU" w:eastAsia="en-US"/>
              </w:rPr>
              <w:t>скрытого</w:t>
            </w:r>
            <w:r w:rsidRPr="00AA717B">
              <w:rPr>
                <w:rFonts w:eastAsiaTheme="minorHAnsi"/>
                <w:sz w:val="20"/>
                <w:lang w:val="ru-RU" w:eastAsia="en-US"/>
              </w:rPr>
              <w:t xml:space="preserve"> видеонаблюдения </w:t>
            </w:r>
          </w:p>
          <w:p w:rsidR="002F6216" w:rsidRDefault="00BC5496" w:rsidP="008F236A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 xml:space="preserve">Системы контроля и управления доступом </w:t>
            </w:r>
          </w:p>
          <w:p w:rsidR="002F6216" w:rsidRDefault="00BC5496" w:rsidP="008F236A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Центр доступа</w:t>
            </w:r>
          </w:p>
          <w:p w:rsidR="002F6216" w:rsidRDefault="00765295" w:rsidP="008F236A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ЛВС с</w:t>
            </w:r>
            <w:r w:rsidR="00BC5496" w:rsidRPr="00AA717B">
              <w:rPr>
                <w:rFonts w:eastAsiaTheme="minorHAnsi"/>
                <w:sz w:val="20"/>
                <w:lang w:val="ru-RU" w:eastAsia="en-US"/>
              </w:rPr>
              <w:t>истем</w:t>
            </w:r>
            <w:r w:rsidRPr="00AA717B">
              <w:rPr>
                <w:rFonts w:eastAsiaTheme="minorHAnsi"/>
                <w:sz w:val="20"/>
                <w:lang w:val="ru-RU" w:eastAsia="en-US"/>
              </w:rPr>
              <w:t>ы</w:t>
            </w:r>
            <w:r w:rsidR="00BC5496" w:rsidRPr="00AA717B">
              <w:rPr>
                <w:rFonts w:eastAsiaTheme="minorHAnsi"/>
                <w:sz w:val="20"/>
                <w:lang w:val="ru-RU" w:eastAsia="en-US"/>
              </w:rPr>
              <w:t xml:space="preserve"> безопасности </w:t>
            </w:r>
            <w:r w:rsidRPr="00AA717B">
              <w:rPr>
                <w:rFonts w:eastAsiaTheme="minorHAnsi"/>
                <w:sz w:val="20"/>
                <w:lang w:val="ru-RU" w:eastAsia="en-US"/>
              </w:rPr>
              <w:t>и охраны</w:t>
            </w:r>
            <w:r w:rsidR="00050996" w:rsidRPr="00AA717B">
              <w:rPr>
                <w:rFonts w:eastAsiaTheme="minorHAnsi"/>
                <w:sz w:val="20"/>
                <w:lang w:val="ru-RU" w:eastAsia="en-US"/>
              </w:rPr>
              <w:t xml:space="preserve"> </w:t>
            </w:r>
          </w:p>
          <w:p w:rsidR="002F6216" w:rsidRDefault="00BC5496" w:rsidP="008F236A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 xml:space="preserve">Центр службы безопасности </w:t>
            </w:r>
          </w:p>
          <w:p w:rsidR="00050996" w:rsidRPr="00AA717B" w:rsidRDefault="00BC5496" w:rsidP="00BC5496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 xml:space="preserve">Системы пожарной сигнализации </w:t>
            </w:r>
          </w:p>
        </w:tc>
        <w:tc>
          <w:tcPr>
            <w:tcW w:w="2340" w:type="dxa"/>
          </w:tcPr>
          <w:p w:rsidR="00050996" w:rsidRPr="00AA717B" w:rsidRDefault="00E51DEB" w:rsidP="008F236A">
            <w:pPr>
              <w:ind w:left="34"/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Этап</w:t>
            </w:r>
            <w:r w:rsidR="00050996" w:rsidRPr="00AA717B">
              <w:rPr>
                <w:rFonts w:eastAsiaTheme="minorHAnsi"/>
                <w:lang w:val="ru-RU" w:eastAsia="en-US"/>
              </w:rPr>
              <w:t xml:space="preserve"> III </w:t>
            </w:r>
            <w:r w:rsidR="00050996" w:rsidRPr="00AA717B">
              <w:rPr>
                <w:rFonts w:eastAsiaTheme="minorHAnsi"/>
                <w:lang w:val="ru-RU" w:eastAsia="en-US"/>
              </w:rPr>
              <w:br/>
              <w:t xml:space="preserve"> </w:t>
            </w:r>
          </w:p>
        </w:tc>
        <w:tc>
          <w:tcPr>
            <w:tcW w:w="2218" w:type="dxa"/>
          </w:tcPr>
          <w:p w:rsidR="00050996" w:rsidRPr="00AA717B" w:rsidRDefault="000512C8" w:rsidP="000512C8">
            <w:pPr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szCs w:val="22"/>
                <w:lang w:val="ru-RU" w:eastAsia="en-US"/>
              </w:rPr>
              <w:t xml:space="preserve">Завершен в январе </w:t>
            </w:r>
            <w:r w:rsidR="00050996" w:rsidRPr="00AA717B">
              <w:rPr>
                <w:rFonts w:eastAsiaTheme="minorHAnsi"/>
                <w:lang w:val="ru-RU" w:eastAsia="en-US"/>
              </w:rPr>
              <w:t>2015</w:t>
            </w:r>
            <w:r w:rsidRPr="00AA717B">
              <w:rPr>
                <w:rFonts w:eastAsiaTheme="minorHAnsi"/>
                <w:lang w:val="ru-RU" w:eastAsia="en-US"/>
              </w:rPr>
              <w:t> г.</w:t>
            </w:r>
            <w:r w:rsidR="00050996" w:rsidRPr="00AA717B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050996" w:rsidRPr="00982389" w:rsidTr="003C24B9">
        <w:tc>
          <w:tcPr>
            <w:tcW w:w="4140" w:type="dxa"/>
            <w:vAlign w:val="center"/>
          </w:tcPr>
          <w:p w:rsidR="002F6216" w:rsidRDefault="007E46ED" w:rsidP="007E46ED">
            <w:pPr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Сооружение периметра безопасности ВОИС (FIPOI)</w:t>
            </w:r>
          </w:p>
          <w:p w:rsidR="002F6216" w:rsidRDefault="007E46ED" w:rsidP="007E46E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Противотранспортные заграждения</w:t>
            </w:r>
          </w:p>
          <w:p w:rsidR="002F6216" w:rsidRDefault="007E46ED" w:rsidP="007E46E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Ограждения от пешеходов (пересмотренное проектное задание)</w:t>
            </w:r>
          </w:p>
          <w:p w:rsidR="002F6216" w:rsidRDefault="007E46ED" w:rsidP="007E46ED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sz w:val="20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Будки охраны</w:t>
            </w:r>
          </w:p>
          <w:p w:rsidR="00050996" w:rsidRPr="00AA717B" w:rsidRDefault="00765295" w:rsidP="00765295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sz w:val="20"/>
                <w:lang w:val="ru-RU" w:eastAsia="en-US"/>
              </w:rPr>
              <w:t>Системы охранной сигнализации</w:t>
            </w:r>
          </w:p>
        </w:tc>
        <w:tc>
          <w:tcPr>
            <w:tcW w:w="2340" w:type="dxa"/>
          </w:tcPr>
          <w:p w:rsidR="00050996" w:rsidRPr="00AA717B" w:rsidRDefault="00E51DEB" w:rsidP="00007E9E">
            <w:pPr>
              <w:ind w:left="34"/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Этап</w:t>
            </w:r>
            <w:r w:rsidR="00050996" w:rsidRPr="00AA717B">
              <w:rPr>
                <w:rFonts w:eastAsiaTheme="minorHAnsi"/>
                <w:lang w:val="ru-RU" w:eastAsia="en-US"/>
              </w:rPr>
              <w:t xml:space="preserve"> III </w:t>
            </w:r>
            <w:r w:rsidR="00050996" w:rsidRPr="00AA717B">
              <w:rPr>
                <w:rFonts w:eastAsiaTheme="minorHAnsi"/>
                <w:lang w:val="ru-RU" w:eastAsia="en-US"/>
              </w:rPr>
              <w:br/>
            </w:r>
          </w:p>
        </w:tc>
        <w:tc>
          <w:tcPr>
            <w:tcW w:w="2218" w:type="dxa"/>
          </w:tcPr>
          <w:p w:rsidR="00050996" w:rsidRPr="00AA717B" w:rsidRDefault="000512C8" w:rsidP="000512C8">
            <w:pPr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lang w:val="ru-RU" w:eastAsia="en-US"/>
              </w:rPr>
              <w:t xml:space="preserve">Будет </w:t>
            </w:r>
            <w:r w:rsidRPr="00AA717B">
              <w:rPr>
                <w:rFonts w:eastAsiaTheme="minorHAnsi"/>
                <w:szCs w:val="22"/>
                <w:lang w:val="ru-RU" w:eastAsia="en-US"/>
              </w:rPr>
              <w:t>завершен</w:t>
            </w:r>
            <w:r w:rsidRPr="00AA717B">
              <w:rPr>
                <w:lang w:val="ru-RU" w:eastAsia="en-US"/>
              </w:rPr>
              <w:t xml:space="preserve"> в августе </w:t>
            </w:r>
            <w:r w:rsidR="00050996" w:rsidRPr="00AA717B">
              <w:rPr>
                <w:rFonts w:eastAsiaTheme="minorHAnsi"/>
                <w:lang w:val="ru-RU" w:eastAsia="en-US"/>
              </w:rPr>
              <w:t>2015</w:t>
            </w:r>
            <w:r w:rsidRPr="00AA717B">
              <w:rPr>
                <w:rFonts w:eastAsiaTheme="minorHAnsi"/>
                <w:lang w:val="ru-RU" w:eastAsia="en-US"/>
              </w:rPr>
              <w:t> г.</w:t>
            </w:r>
            <w:r w:rsidR="00050996" w:rsidRPr="00AA717B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050996" w:rsidRPr="00982389" w:rsidTr="003C24B9">
        <w:tc>
          <w:tcPr>
            <w:tcW w:w="4140" w:type="dxa"/>
          </w:tcPr>
          <w:p w:rsidR="00050996" w:rsidRPr="00AA717B" w:rsidRDefault="00765295" w:rsidP="00765295">
            <w:pPr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Системы охранной сигнализации для конференц-зала ВОИС</w:t>
            </w:r>
            <w:r w:rsidR="00050996" w:rsidRPr="00AA717B">
              <w:rPr>
                <w:rFonts w:eastAsiaTheme="minorHAnsi"/>
                <w:lang w:val="ru-RU" w:eastAsia="en-US"/>
              </w:rPr>
              <w:t>.</w:t>
            </w:r>
            <w:r w:rsidRPr="00AA717B">
              <w:rPr>
                <w:rFonts w:eastAsiaTheme="minorHAnsi"/>
                <w:lang w:val="ru-RU" w:eastAsia="en-US"/>
              </w:rPr>
              <w:t xml:space="preserve"> </w:t>
            </w:r>
          </w:p>
        </w:tc>
        <w:tc>
          <w:tcPr>
            <w:tcW w:w="2340" w:type="dxa"/>
          </w:tcPr>
          <w:p w:rsidR="00050996" w:rsidRPr="00AA717B" w:rsidRDefault="00E51DEB" w:rsidP="00007E9E">
            <w:pPr>
              <w:ind w:left="34"/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Этап</w:t>
            </w:r>
            <w:r w:rsidR="00050996" w:rsidRPr="00AA717B">
              <w:rPr>
                <w:rFonts w:eastAsiaTheme="minorHAnsi"/>
                <w:lang w:val="ru-RU" w:eastAsia="en-US"/>
              </w:rPr>
              <w:t> III</w:t>
            </w:r>
          </w:p>
        </w:tc>
        <w:tc>
          <w:tcPr>
            <w:tcW w:w="2218" w:type="dxa"/>
          </w:tcPr>
          <w:p w:rsidR="00050996" w:rsidRPr="00AA717B" w:rsidRDefault="000512C8" w:rsidP="00C16EA8">
            <w:pPr>
              <w:contextualSpacing/>
              <w:jc w:val="center"/>
              <w:rPr>
                <w:rFonts w:eastAsiaTheme="minorHAnsi"/>
                <w:lang w:val="ru-RU" w:eastAsia="en-US"/>
              </w:rPr>
            </w:pPr>
            <w:r w:rsidRPr="00AA717B">
              <w:rPr>
                <w:lang w:val="ru-RU" w:eastAsia="en-US"/>
              </w:rPr>
              <w:t xml:space="preserve">Будет </w:t>
            </w:r>
            <w:r w:rsidRPr="00AA717B">
              <w:rPr>
                <w:rFonts w:eastAsiaTheme="minorHAnsi"/>
                <w:szCs w:val="22"/>
                <w:lang w:val="ru-RU" w:eastAsia="en-US"/>
              </w:rPr>
              <w:t>завершен</w:t>
            </w:r>
            <w:r w:rsidRPr="00AA717B">
              <w:rPr>
                <w:lang w:val="ru-RU" w:eastAsia="en-US"/>
              </w:rPr>
              <w:t xml:space="preserve"> в сентябре 2015 г.</w:t>
            </w:r>
          </w:p>
        </w:tc>
      </w:tr>
    </w:tbl>
    <w:p w:rsidR="002F6216" w:rsidRDefault="002F6216" w:rsidP="0068498C">
      <w:pPr>
        <w:rPr>
          <w:rFonts w:eastAsiaTheme="minorHAnsi"/>
          <w:b/>
          <w:szCs w:val="22"/>
          <w:lang w:val="ru-RU" w:eastAsia="en-US"/>
        </w:rPr>
      </w:pPr>
    </w:p>
    <w:p w:rsidR="002F6216" w:rsidRDefault="002F6216" w:rsidP="0068498C">
      <w:pPr>
        <w:rPr>
          <w:rFonts w:eastAsiaTheme="minorHAnsi"/>
          <w:b/>
          <w:sz w:val="20"/>
          <w:szCs w:val="22"/>
          <w:lang w:val="ru-RU" w:eastAsia="en-US"/>
        </w:rPr>
      </w:pPr>
    </w:p>
    <w:p w:rsidR="002F6216" w:rsidRDefault="003B5F35" w:rsidP="003B5F35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 xml:space="preserve">Как было указано в предыдущем отчете о ходе реализации </w:t>
      </w:r>
      <w:r w:rsidR="00AA717B" w:rsidRPr="00AA717B">
        <w:rPr>
          <w:sz w:val="22"/>
          <w:lang w:val="ru-RU"/>
        </w:rPr>
        <w:t>проекта (документ WO/</w:t>
      </w:r>
      <w:r w:rsidRPr="00AA717B">
        <w:rPr>
          <w:sz w:val="22"/>
          <w:lang w:val="ru-RU"/>
        </w:rPr>
        <w:t>PBC/22/13), строительство конферен</w:t>
      </w:r>
      <w:r w:rsidR="0075692D" w:rsidRPr="00AA717B">
        <w:rPr>
          <w:sz w:val="22"/>
          <w:lang w:val="ru-RU"/>
        </w:rPr>
        <w:t>ц</w:t>
      </w:r>
      <w:r w:rsidRPr="00AA717B">
        <w:rPr>
          <w:sz w:val="22"/>
          <w:lang w:val="ru-RU"/>
        </w:rPr>
        <w:t>-зала и центра доступа ВОИС повлияло на поэтапное сооружение периметра безопасности ВОИС, и последние элементы периметра планируется установить к сентябрю 2015 г.</w:t>
      </w:r>
      <w:r w:rsidR="004213E5" w:rsidRPr="00AA717B">
        <w:rPr>
          <w:sz w:val="22"/>
          <w:lang w:val="ru-RU"/>
        </w:rPr>
        <w:t xml:space="preserve"> </w:t>
      </w:r>
      <w:r w:rsidR="00DE1561" w:rsidRPr="00AA717B">
        <w:rPr>
          <w:sz w:val="22"/>
          <w:lang w:val="ru-RU"/>
        </w:rPr>
        <w:t xml:space="preserve"> </w:t>
      </w:r>
      <w:r w:rsidRPr="00AA717B">
        <w:rPr>
          <w:sz w:val="22"/>
          <w:lang w:val="ru-RU"/>
        </w:rPr>
        <w:t>С административно-технической точки зрения, в большинстве случаев завершение строительства конференц-зала и центра доступа играло важную роль в обеспечении большей части предусмотренных проектом элементов безопасности и охраны.</w:t>
      </w:r>
      <w:r w:rsidR="00175CDC" w:rsidRPr="00AA717B">
        <w:rPr>
          <w:sz w:val="22"/>
          <w:lang w:val="ru-RU"/>
        </w:rPr>
        <w:t xml:space="preserve"> </w:t>
      </w:r>
    </w:p>
    <w:p w:rsidR="002F6216" w:rsidRDefault="00FE215B" w:rsidP="00FE215B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 xml:space="preserve">Система охранной сигнализации ВОИС состоит из двух основных элементов; лазерной системы обнаружения, установленной в помещениях ВОИС в январе 2015 г., </w:t>
      </w:r>
      <w:r w:rsidR="00837FDD" w:rsidRPr="00AA717B">
        <w:rPr>
          <w:sz w:val="22"/>
          <w:lang w:val="ru-RU"/>
        </w:rPr>
        <w:t>и наземной системы обнаружения «</w:t>
      </w:r>
      <w:r w:rsidRPr="00AA717B">
        <w:rPr>
          <w:sz w:val="22"/>
          <w:lang w:val="ru-RU"/>
        </w:rPr>
        <w:t>Omnitrax</w:t>
      </w:r>
      <w:r w:rsidR="00837FDD" w:rsidRPr="00AA717B">
        <w:rPr>
          <w:sz w:val="22"/>
          <w:lang w:val="ru-RU"/>
        </w:rPr>
        <w:t>»</w:t>
      </w:r>
      <w:r w:rsidRPr="00AA717B">
        <w:rPr>
          <w:sz w:val="22"/>
          <w:lang w:val="ru-RU"/>
        </w:rPr>
        <w:t xml:space="preserve">, установка которой должна </w:t>
      </w:r>
      <w:r w:rsidR="00837FDD" w:rsidRPr="00AA717B">
        <w:rPr>
          <w:sz w:val="22"/>
          <w:lang w:val="ru-RU"/>
        </w:rPr>
        <w:t>быть завершена в сентябре 2015 г</w:t>
      </w:r>
      <w:r w:rsidRPr="00AA717B">
        <w:rPr>
          <w:sz w:val="22"/>
          <w:lang w:val="ru-RU"/>
        </w:rPr>
        <w:t>.</w:t>
      </w:r>
      <w:r w:rsidR="00575B6F" w:rsidRPr="00AA717B">
        <w:rPr>
          <w:sz w:val="22"/>
          <w:lang w:val="ru-RU"/>
        </w:rPr>
        <w:t xml:space="preserve">  </w:t>
      </w:r>
    </w:p>
    <w:p w:rsidR="002F6216" w:rsidRDefault="002F6216" w:rsidP="0068498C">
      <w:pPr>
        <w:rPr>
          <w:rFonts w:eastAsiaTheme="minorHAnsi"/>
          <w:b/>
          <w:szCs w:val="22"/>
          <w:lang w:val="ru-RU" w:eastAsia="en-US"/>
        </w:rPr>
      </w:pPr>
    </w:p>
    <w:p w:rsidR="002F6216" w:rsidRDefault="00FE215B" w:rsidP="00FE215B">
      <w:pPr>
        <w:spacing w:line="276" w:lineRule="auto"/>
        <w:rPr>
          <w:rFonts w:eastAsiaTheme="minorHAnsi"/>
          <w:szCs w:val="22"/>
          <w:lang w:val="ru-RU" w:eastAsia="en-US"/>
        </w:rPr>
      </w:pPr>
      <w:r w:rsidRPr="00AA717B">
        <w:rPr>
          <w:rFonts w:eastAsiaTheme="minorHAnsi"/>
          <w:b/>
          <w:szCs w:val="22"/>
          <w:lang w:val="ru-RU" w:eastAsia="en-US"/>
        </w:rPr>
        <w:t xml:space="preserve">ЦЕЛИ, ДОСТИГНУТЫЕ ЗА </w:t>
      </w:r>
      <w:r w:rsidR="002F555A">
        <w:rPr>
          <w:rFonts w:eastAsiaTheme="minorHAnsi"/>
          <w:b/>
          <w:szCs w:val="22"/>
          <w:lang w:val="ru-RU" w:eastAsia="en-US"/>
        </w:rPr>
        <w:t xml:space="preserve">ВРЕМЯ С ОКОНЧАНИЯ ПОСЛЕДНЕГО </w:t>
      </w:r>
      <w:r w:rsidRPr="00AA717B">
        <w:rPr>
          <w:rFonts w:eastAsiaTheme="minorHAnsi"/>
          <w:b/>
          <w:szCs w:val="22"/>
          <w:lang w:val="ru-RU" w:eastAsia="en-US"/>
        </w:rPr>
        <w:t>ОТЧЕТН</w:t>
      </w:r>
      <w:r w:rsidR="002F555A">
        <w:rPr>
          <w:rFonts w:eastAsiaTheme="minorHAnsi"/>
          <w:b/>
          <w:szCs w:val="22"/>
          <w:lang w:val="ru-RU" w:eastAsia="en-US"/>
        </w:rPr>
        <w:t xml:space="preserve">ОГО </w:t>
      </w:r>
      <w:r w:rsidRPr="00AA717B">
        <w:rPr>
          <w:rFonts w:eastAsiaTheme="minorHAnsi"/>
          <w:b/>
          <w:szCs w:val="22"/>
          <w:lang w:val="ru-RU" w:eastAsia="en-US"/>
        </w:rPr>
        <w:t>ПЕРИОД</w:t>
      </w:r>
      <w:r w:rsidR="002F555A">
        <w:rPr>
          <w:rFonts w:eastAsiaTheme="minorHAnsi"/>
          <w:b/>
          <w:szCs w:val="22"/>
          <w:lang w:val="ru-RU" w:eastAsia="en-US"/>
        </w:rPr>
        <w:t>А</w:t>
      </w:r>
      <w:r w:rsidRPr="00AA717B">
        <w:rPr>
          <w:rFonts w:eastAsiaTheme="minorHAnsi"/>
          <w:b/>
          <w:szCs w:val="22"/>
          <w:lang w:val="ru-RU" w:eastAsia="en-US"/>
        </w:rPr>
        <w:t xml:space="preserve"> (</w:t>
      </w:r>
      <w:r w:rsidR="002F555A">
        <w:rPr>
          <w:rFonts w:eastAsiaTheme="minorHAnsi"/>
          <w:b/>
          <w:szCs w:val="22"/>
          <w:lang w:val="ru-RU" w:eastAsia="en-US"/>
        </w:rPr>
        <w:t xml:space="preserve">ЗАКОНЧИВШЕГОСЯ В ИЮЛЕ </w:t>
      </w:r>
      <w:r w:rsidRPr="00AA717B">
        <w:rPr>
          <w:rFonts w:eastAsiaTheme="minorHAnsi"/>
          <w:b/>
          <w:szCs w:val="22"/>
          <w:lang w:val="ru-RU" w:eastAsia="en-US"/>
        </w:rPr>
        <w:t xml:space="preserve">2014 </w:t>
      </w:r>
      <w:r w:rsidR="002F555A">
        <w:rPr>
          <w:rFonts w:eastAsiaTheme="minorHAnsi"/>
          <w:b/>
          <w:szCs w:val="22"/>
          <w:lang w:val="ru-RU" w:eastAsia="en-US"/>
        </w:rPr>
        <w:t>Г</w:t>
      </w:r>
      <w:r w:rsidRPr="00AA717B">
        <w:rPr>
          <w:rFonts w:eastAsiaTheme="minorHAnsi"/>
          <w:b/>
          <w:szCs w:val="22"/>
          <w:lang w:val="ru-RU" w:eastAsia="en-US"/>
        </w:rPr>
        <w:t>.)</w:t>
      </w:r>
      <w:r w:rsidR="001E1304" w:rsidRPr="00AA717B">
        <w:rPr>
          <w:rFonts w:eastAsiaTheme="minorHAnsi"/>
          <w:b/>
          <w:szCs w:val="22"/>
          <w:lang w:val="ru-RU" w:eastAsia="en-US"/>
        </w:rPr>
        <w:t xml:space="preserve"> </w:t>
      </w:r>
    </w:p>
    <w:p w:rsidR="002F6216" w:rsidRDefault="002F6216" w:rsidP="0068498C">
      <w:pPr>
        <w:outlineLvl w:val="1"/>
        <w:rPr>
          <w:sz w:val="20"/>
          <w:lang w:val="ru-RU"/>
        </w:rPr>
      </w:pPr>
    </w:p>
    <w:p w:rsidR="002F6216" w:rsidRPr="002F555A" w:rsidRDefault="00837FDD" w:rsidP="00E264E7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2F555A">
        <w:rPr>
          <w:sz w:val="22"/>
          <w:lang w:val="ru-RU"/>
        </w:rPr>
        <w:t xml:space="preserve">Со времени подготовки предыдущего отчета о ходе реализации проекта все остававшиеся системы операционной безопасности и охраны, включая турникеты, защитные двери, системы скрытого видеонаблюдения, техническую сигнализацию и устройства связи, были подключены к специально выделенной локальной вычислительной сети (ЛВС).  </w:t>
      </w:r>
      <w:r w:rsidR="002F555A" w:rsidRPr="002F555A">
        <w:rPr>
          <w:sz w:val="22"/>
          <w:lang w:val="ru-RU"/>
        </w:rPr>
        <w:t xml:space="preserve">Операционный центр координации мер безопасности (SCOC) </w:t>
      </w:r>
      <w:r w:rsidR="00E264E7" w:rsidRPr="002F555A">
        <w:rPr>
          <w:sz w:val="22"/>
          <w:lang w:val="ru-RU"/>
        </w:rPr>
        <w:t>полностью вступил в строй и является единым центром эксплуатации и мониторинга данных современных систем охраны и безопасности.</w:t>
      </w:r>
      <w:r w:rsidR="006372C2" w:rsidRPr="002F555A">
        <w:rPr>
          <w:sz w:val="22"/>
          <w:lang w:val="ru-RU"/>
        </w:rPr>
        <w:t xml:space="preserve"> </w:t>
      </w:r>
      <w:r w:rsidR="00E264E7" w:rsidRPr="002F555A">
        <w:rPr>
          <w:sz w:val="22"/>
          <w:lang w:val="ru-RU"/>
        </w:rPr>
        <w:t>SCOC обеспечивает непрерывный круглосуточный мониторинг и реагирование на инциденты в системе охраны и безопасности ВОИС, в которой работают специально подготовленные охранники.</w:t>
      </w:r>
      <w:r w:rsidR="006372C2" w:rsidRPr="002F555A">
        <w:rPr>
          <w:sz w:val="22"/>
          <w:lang w:val="ru-RU"/>
        </w:rPr>
        <w:t xml:space="preserve"> </w:t>
      </w:r>
    </w:p>
    <w:p w:rsidR="002F6216" w:rsidRDefault="00E264E7" w:rsidP="00E264E7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>Большая часть элементов противотранспортного периметра зданий AB, GBI и GBII, включая периметр здания PCT, был</w:t>
      </w:r>
      <w:r w:rsidR="0075692D" w:rsidRPr="00AA717B">
        <w:rPr>
          <w:sz w:val="22"/>
          <w:lang w:val="ru-RU"/>
        </w:rPr>
        <w:t>и</w:t>
      </w:r>
      <w:r w:rsidRPr="00AA717B">
        <w:rPr>
          <w:sz w:val="22"/>
          <w:lang w:val="ru-RU"/>
        </w:rPr>
        <w:t xml:space="preserve"> поэтапно установлен</w:t>
      </w:r>
      <w:r w:rsidR="0075692D" w:rsidRPr="00AA717B">
        <w:rPr>
          <w:sz w:val="22"/>
          <w:lang w:val="ru-RU"/>
        </w:rPr>
        <w:t>ы</w:t>
      </w:r>
      <w:r w:rsidRPr="00AA717B">
        <w:rPr>
          <w:sz w:val="22"/>
          <w:lang w:val="ru-RU"/>
        </w:rPr>
        <w:t xml:space="preserve"> в течение 2013 г., </w:t>
      </w:r>
      <w:r w:rsidR="0075692D" w:rsidRPr="00AA717B">
        <w:rPr>
          <w:sz w:val="22"/>
          <w:lang w:val="ru-RU"/>
        </w:rPr>
        <w:t xml:space="preserve">а </w:t>
      </w:r>
      <w:r w:rsidRPr="00AA717B">
        <w:rPr>
          <w:sz w:val="22"/>
          <w:lang w:val="ru-RU"/>
        </w:rPr>
        <w:t>последние элементы инфраструктуры периметра безопасности (ограждения, столбы и радиопоглощающие стены) вокруг нового здания, конференц-центра и центра доступа ВОИС были сооружены к концу 2014 г.</w:t>
      </w:r>
      <w:r w:rsidR="00BB1627" w:rsidRPr="00AA717B">
        <w:rPr>
          <w:sz w:val="22"/>
          <w:lang w:val="ru-RU"/>
        </w:rPr>
        <w:t xml:space="preserve"> </w:t>
      </w:r>
    </w:p>
    <w:p w:rsidR="002F6216" w:rsidRDefault="00536289" w:rsidP="00536289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>Будка охраны у въезда в подземную парковку здания PCT была установлена в апреле 2015 г., а подключение к будке систем скрытого видеонаблюдения, связи и управления физической безопасностью было завершено в июне 2015 г.</w:t>
      </w:r>
      <w:r w:rsidR="00BB1627" w:rsidRPr="00AA717B">
        <w:rPr>
          <w:sz w:val="22"/>
          <w:lang w:val="ru-RU"/>
        </w:rPr>
        <w:t xml:space="preserve">  </w:t>
      </w:r>
    </w:p>
    <w:p w:rsidR="002F6216" w:rsidRDefault="00536289" w:rsidP="00536289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>Создание инфраструктуры центра доступа было з</w:t>
      </w:r>
      <w:r w:rsidR="00DD6D71" w:rsidRPr="00AA717B">
        <w:rPr>
          <w:sz w:val="22"/>
          <w:lang w:val="ru-RU"/>
        </w:rPr>
        <w:t>авершено в начале сентября 2014 </w:t>
      </w:r>
      <w:r w:rsidRPr="00AA717B">
        <w:rPr>
          <w:sz w:val="22"/>
          <w:lang w:val="ru-RU"/>
        </w:rPr>
        <w:t xml:space="preserve">г., к </w:t>
      </w:r>
      <w:r w:rsidR="001B277F" w:rsidRPr="00AA717B">
        <w:rPr>
          <w:sz w:val="22"/>
          <w:lang w:val="ru-RU"/>
        </w:rPr>
        <w:t>открытию</w:t>
      </w:r>
      <w:r w:rsidRPr="00AA717B">
        <w:rPr>
          <w:sz w:val="22"/>
          <w:lang w:val="ru-RU"/>
        </w:rPr>
        <w:t xml:space="preserve"> первой Генеральной Ассамблеи ВОИС, </w:t>
      </w:r>
      <w:r w:rsidR="001B277F" w:rsidRPr="00AA717B">
        <w:rPr>
          <w:sz w:val="22"/>
          <w:lang w:val="ru-RU"/>
        </w:rPr>
        <w:t>состоявшейся</w:t>
      </w:r>
      <w:r w:rsidRPr="00AA717B">
        <w:rPr>
          <w:sz w:val="22"/>
          <w:lang w:val="ru-RU"/>
        </w:rPr>
        <w:t xml:space="preserve"> в новом конференц-зале ВОИС.</w:t>
      </w:r>
      <w:r w:rsidR="00F11839" w:rsidRPr="00AA717B">
        <w:rPr>
          <w:sz w:val="22"/>
          <w:lang w:val="ru-RU"/>
        </w:rPr>
        <w:t xml:space="preserve"> </w:t>
      </w:r>
      <w:r w:rsidR="00AA717B" w:rsidRPr="00AA717B">
        <w:rPr>
          <w:sz w:val="22"/>
          <w:lang w:val="ru-RU"/>
        </w:rPr>
        <w:t xml:space="preserve">Оснащение стоек приема и регистрации, ввод в эксплуатацию системы контроля доступа (турникеты, система скрытого видеонаблюдения) и системы пропусков и оборудование рабочих мест были завершены в ноябре 2014 г.  Несмотря на то, что новые системы безопасности вступили в строй перед самым началом работы Генеральной Ассамблеи </w:t>
      </w:r>
      <w:r w:rsidR="00AA717B">
        <w:rPr>
          <w:sz w:val="22"/>
          <w:lang w:val="ru-RU"/>
        </w:rPr>
        <w:t xml:space="preserve">в </w:t>
      </w:r>
      <w:r w:rsidR="00AA717B" w:rsidRPr="00AA717B">
        <w:rPr>
          <w:sz w:val="22"/>
          <w:lang w:val="ru-RU"/>
        </w:rPr>
        <w:t xml:space="preserve">2014 г., все системы работали без каких-либо серьезных сбоев. </w:t>
      </w:r>
    </w:p>
    <w:p w:rsidR="002F6216" w:rsidRDefault="00DD6D71" w:rsidP="00DD6D71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lang w:val="ru-RU"/>
        </w:rPr>
      </w:pPr>
      <w:r w:rsidRPr="00AA717B">
        <w:rPr>
          <w:sz w:val="22"/>
          <w:lang w:val="ru-RU"/>
        </w:rPr>
        <w:t>Секция конференционных услуг работает в тесном сотрудничестве со Службой охраны и безопасности (SSCS) при проведении в ВОИС различных совещаний, семинаров и конференций</w:t>
      </w:r>
      <w:r w:rsidR="00F11839" w:rsidRPr="00AA717B">
        <w:rPr>
          <w:sz w:val="22"/>
          <w:lang w:val="ru-RU"/>
        </w:rPr>
        <w:t xml:space="preserve">.  </w:t>
      </w:r>
      <w:r w:rsidR="00D70A88" w:rsidRPr="00AA717B">
        <w:rPr>
          <w:sz w:val="22"/>
          <w:lang w:val="ru-RU"/>
        </w:rPr>
        <w:t xml:space="preserve">Благодаря программе </w:t>
      </w:r>
      <w:r w:rsidR="001B277F" w:rsidRPr="00AA717B">
        <w:rPr>
          <w:sz w:val="22"/>
          <w:lang w:val="ru-RU"/>
        </w:rPr>
        <w:t>смежного</w:t>
      </w:r>
      <w:r w:rsidR="00D70A88" w:rsidRPr="00AA717B">
        <w:rPr>
          <w:sz w:val="22"/>
          <w:lang w:val="ru-RU"/>
        </w:rPr>
        <w:t xml:space="preserve"> обучения </w:t>
      </w:r>
      <w:r w:rsidR="001B277F" w:rsidRPr="00AA717B">
        <w:rPr>
          <w:sz w:val="22"/>
          <w:lang w:val="ru-RU"/>
        </w:rPr>
        <w:t xml:space="preserve">сотрудников SSCS, подрядной охранной фирмы (ARNDT) и Секции конференционных услуг было обеспечено создание и эффективное управление работой стоек приема и службы пропусков из нового центра доступа.  Это обучение включало в себя детальное ознакомление с техническими системами изготовления пропусков и управления доступом в помещения.  </w:t>
      </w:r>
      <w:r w:rsidR="0075692D" w:rsidRPr="00AA717B">
        <w:rPr>
          <w:sz w:val="22"/>
          <w:lang w:val="ru-RU"/>
        </w:rPr>
        <w:t xml:space="preserve">Для целей </w:t>
      </w:r>
      <w:r w:rsidR="001B277F" w:rsidRPr="00AA717B">
        <w:rPr>
          <w:sz w:val="22"/>
          <w:lang w:val="ru-RU"/>
        </w:rPr>
        <w:t>безопасности и регистрации SSCS и Секция конференционных услуг вовлечены в инициативу по уп</w:t>
      </w:r>
      <w:r w:rsidR="0075692D" w:rsidRPr="00AA717B">
        <w:rPr>
          <w:sz w:val="22"/>
          <w:lang w:val="ru-RU"/>
        </w:rPr>
        <w:t>орядочению процедур регистрации</w:t>
      </w:r>
      <w:r w:rsidR="002F555A">
        <w:rPr>
          <w:sz w:val="22"/>
          <w:lang w:val="ru-RU"/>
        </w:rPr>
        <w:t xml:space="preserve"> и загрузки </w:t>
      </w:r>
      <w:r w:rsidR="0075692D" w:rsidRPr="00AA717B">
        <w:rPr>
          <w:sz w:val="22"/>
          <w:lang w:val="ru-RU"/>
        </w:rPr>
        <w:t>фотографи</w:t>
      </w:r>
      <w:r w:rsidR="002F555A">
        <w:rPr>
          <w:sz w:val="22"/>
          <w:lang w:val="ru-RU"/>
        </w:rPr>
        <w:t>й</w:t>
      </w:r>
      <w:r w:rsidR="0075692D" w:rsidRPr="00AA717B">
        <w:rPr>
          <w:sz w:val="22"/>
          <w:lang w:val="ru-RU"/>
        </w:rPr>
        <w:t xml:space="preserve"> участников конференций еще на этапе первоначальной регистрации</w:t>
      </w:r>
      <w:r w:rsidR="00782FD6" w:rsidRPr="00AA717B">
        <w:rPr>
          <w:sz w:val="22"/>
          <w:lang w:val="ru-RU"/>
        </w:rPr>
        <w:t>.</w:t>
      </w:r>
      <w:r w:rsidR="00AE0C8B" w:rsidRPr="00AA717B">
        <w:rPr>
          <w:sz w:val="22"/>
          <w:lang w:val="ru-RU"/>
        </w:rPr>
        <w:t xml:space="preserve"> </w:t>
      </w:r>
    </w:p>
    <w:p w:rsidR="002F6216" w:rsidRPr="0054058F" w:rsidRDefault="0075692D" w:rsidP="00154A3D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54058F">
        <w:rPr>
          <w:sz w:val="22"/>
          <w:szCs w:val="22"/>
          <w:lang w:val="ru-RU"/>
        </w:rPr>
        <w:t xml:space="preserve">Недавно– в начале 2015 г. – силами Отдела внутреннего надзора (ОВН) был проведен внутренний аудит </w:t>
      </w:r>
      <w:r w:rsidRPr="0054058F">
        <w:rPr>
          <w:sz w:val="22"/>
          <w:lang w:val="ru-RU"/>
        </w:rPr>
        <w:t xml:space="preserve">Службы охраны и безопасности, который охватывал проект H-MOSS.  В подготовленном отчете было признано, что задержки в осуществлении проекта H-MOSS </w:t>
      </w:r>
      <w:r w:rsidR="00154A3D" w:rsidRPr="0054058F">
        <w:rPr>
          <w:sz w:val="22"/>
          <w:lang w:val="ru-RU"/>
        </w:rPr>
        <w:t xml:space="preserve">были непосредственно связаны со строительством нового конференц-зала ВОИС.  Кроме того, в отчете было рекомендовано </w:t>
      </w:r>
      <w:r w:rsidR="002F555A" w:rsidRPr="0054058F">
        <w:rPr>
          <w:sz w:val="22"/>
          <w:lang w:val="ru-RU"/>
        </w:rPr>
        <w:t xml:space="preserve">провести обзор существующей политики и процедур </w:t>
      </w:r>
      <w:r w:rsidR="002F555A" w:rsidRPr="0054058F">
        <w:rPr>
          <w:sz w:val="22"/>
          <w:lang w:val="ru-RU"/>
        </w:rPr>
        <w:t xml:space="preserve">в области </w:t>
      </w:r>
      <w:r w:rsidR="002F555A" w:rsidRPr="0054058F">
        <w:rPr>
          <w:sz w:val="22"/>
          <w:lang w:val="ru-RU"/>
        </w:rPr>
        <w:t xml:space="preserve">охраны и безопасности.  </w:t>
      </w:r>
      <w:r w:rsidR="0054058F" w:rsidRPr="0054058F">
        <w:rPr>
          <w:sz w:val="22"/>
          <w:lang w:val="ru-RU"/>
        </w:rPr>
        <w:t>В ходе аудита были также отмечены преимущества, включая полную изоляцию ЛВС системы безопасности от Интернета и ЛВС ВОИС, проведение своевременного технического обслуживания оборудования системы безопасности</w:t>
      </w:r>
      <w:r w:rsidR="0054058F" w:rsidRPr="0054058F">
        <w:rPr>
          <w:sz w:val="22"/>
          <w:lang w:val="ru-RU"/>
        </w:rPr>
        <w:t>, ведение журнала управления доступом и организацию регулярного обучения ответственных за безопасность на этаже</w:t>
      </w:r>
      <w:r w:rsidR="007C4A32" w:rsidRPr="0054058F">
        <w:rPr>
          <w:sz w:val="22"/>
          <w:szCs w:val="22"/>
          <w:lang w:val="ru-RU"/>
        </w:rPr>
        <w:t>.</w:t>
      </w:r>
      <w:r w:rsidR="006609FF" w:rsidRPr="0054058F">
        <w:rPr>
          <w:sz w:val="22"/>
          <w:szCs w:val="22"/>
          <w:lang w:val="ru-RU"/>
        </w:rPr>
        <w:t xml:space="preserve"> </w:t>
      </w:r>
      <w:r w:rsidR="009D032E" w:rsidRPr="0054058F">
        <w:rPr>
          <w:sz w:val="22"/>
          <w:szCs w:val="22"/>
          <w:lang w:val="ru-RU"/>
        </w:rPr>
        <w:t xml:space="preserve"> </w:t>
      </w:r>
    </w:p>
    <w:p w:rsidR="002F6216" w:rsidRDefault="00154A3D" w:rsidP="0068498C">
      <w:pPr>
        <w:spacing w:line="276" w:lineRule="auto"/>
        <w:rPr>
          <w:rFonts w:eastAsiaTheme="minorHAnsi"/>
          <w:b/>
          <w:szCs w:val="22"/>
          <w:lang w:val="ru-RU" w:eastAsia="en-US"/>
        </w:rPr>
      </w:pPr>
      <w:r w:rsidRPr="00AA717B">
        <w:rPr>
          <w:rFonts w:eastAsiaTheme="minorHAnsi"/>
          <w:b/>
          <w:szCs w:val="22"/>
          <w:lang w:val="ru-RU" w:eastAsia="en-US"/>
        </w:rPr>
        <w:t xml:space="preserve">РАСХОДЫ ПО ПРОЕКТУ </w:t>
      </w:r>
      <w:r w:rsidR="00A11331" w:rsidRPr="00AA717B">
        <w:rPr>
          <w:rFonts w:eastAsiaTheme="minorHAnsi"/>
          <w:b/>
          <w:szCs w:val="22"/>
          <w:lang w:val="ru-RU" w:eastAsia="en-US"/>
        </w:rPr>
        <w:t xml:space="preserve">H-MOSS </w:t>
      </w:r>
    </w:p>
    <w:p w:rsidR="002F6216" w:rsidRDefault="002F6216" w:rsidP="0068498C">
      <w:pPr>
        <w:spacing w:line="276" w:lineRule="auto"/>
        <w:rPr>
          <w:rFonts w:eastAsiaTheme="minorHAnsi"/>
          <w:b/>
          <w:szCs w:val="22"/>
          <w:lang w:val="ru-RU" w:eastAsia="en-US"/>
        </w:rPr>
      </w:pPr>
    </w:p>
    <w:p w:rsidR="002F6216" w:rsidRDefault="009F2778" w:rsidP="00050996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>Поскольку проект H-MOSS близится к завершению (сентябрь 2015 г.), важно отметить и п</w:t>
      </w:r>
      <w:r w:rsidR="0054058F">
        <w:rPr>
          <w:sz w:val="22"/>
          <w:szCs w:val="22"/>
          <w:lang w:val="ru-RU"/>
        </w:rPr>
        <w:t xml:space="preserve">ризнать </w:t>
      </w:r>
      <w:r w:rsidRPr="00AA717B">
        <w:rPr>
          <w:sz w:val="22"/>
          <w:szCs w:val="22"/>
          <w:lang w:val="ru-RU"/>
        </w:rPr>
        <w:t>успешное сотрудничество начиная с 2009 г. между ВОИС и принимающей страной в рамках «</w:t>
      </w:r>
      <w:r w:rsidRPr="00AA717B">
        <w:rPr>
          <w:i/>
          <w:sz w:val="22"/>
          <w:szCs w:val="22"/>
          <w:lang w:val="fr-FR"/>
        </w:rPr>
        <w:t>Fondation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pour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les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Immeubles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des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Organisations</w:t>
      </w:r>
      <w:r w:rsidRPr="00982389">
        <w:rPr>
          <w:i/>
          <w:sz w:val="22"/>
          <w:szCs w:val="22"/>
          <w:lang w:val="ru-RU"/>
        </w:rPr>
        <w:t xml:space="preserve"> </w:t>
      </w:r>
      <w:r w:rsidRPr="00AA717B">
        <w:rPr>
          <w:i/>
          <w:sz w:val="22"/>
          <w:szCs w:val="22"/>
          <w:lang w:val="fr-FR"/>
        </w:rPr>
        <w:t>Internationales</w:t>
      </w:r>
      <w:r w:rsidRPr="00AA717B">
        <w:rPr>
          <w:sz w:val="22"/>
          <w:szCs w:val="22"/>
          <w:lang w:val="ru-RU"/>
        </w:rPr>
        <w:t xml:space="preserve">» (FIPOI), </w:t>
      </w:r>
      <w:r w:rsidR="00AA717B" w:rsidRPr="00AA717B">
        <w:rPr>
          <w:sz w:val="22"/>
          <w:szCs w:val="22"/>
          <w:lang w:val="ru-RU"/>
        </w:rPr>
        <w:t xml:space="preserve">что позволило </w:t>
      </w:r>
      <w:r w:rsidRPr="00AA717B">
        <w:rPr>
          <w:sz w:val="22"/>
          <w:szCs w:val="22"/>
          <w:lang w:val="ru-RU"/>
        </w:rPr>
        <w:t xml:space="preserve">существенно улучшить физическую безопасность и охрану ВОИС, расширить возможности по управлению рисками и создать более безопасные условия для сотрудников и посетителей ВОИС.  </w:t>
      </w:r>
    </w:p>
    <w:p w:rsidR="002F6216" w:rsidRDefault="009F2778" w:rsidP="00DE1561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>Можно напомнить о том, что выделенные FIPOI средства на проект H-MOSS составили 5 млн шв. франков и предназначались для осуществления различных мер обеспечения внешней безопасности, в том время как смета расходов ВОИС, покрываемых за счет резервных фондов, составила 7,6 млн шв. франков</w:t>
      </w:r>
      <w:r w:rsidR="00AA717B" w:rsidRPr="00AA717B">
        <w:rPr>
          <w:sz w:val="22"/>
          <w:szCs w:val="22"/>
          <w:lang w:val="ru-RU"/>
        </w:rPr>
        <w:t>,</w:t>
      </w:r>
      <w:r w:rsidRPr="00AA717B">
        <w:rPr>
          <w:sz w:val="22"/>
          <w:szCs w:val="22"/>
          <w:lang w:val="ru-RU"/>
        </w:rPr>
        <w:t xml:space="preserve"> и эти расходы предназначались для принятия мер внутренней безопасности и охраны (документ A/46/10 Rev.).  </w:t>
      </w:r>
    </w:p>
    <w:p w:rsidR="002F6216" w:rsidRDefault="009F2778" w:rsidP="00050996">
      <w:pPr>
        <w:pStyle w:val="ONUME"/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szCs w:val="22"/>
          <w:lang w:val="ru-RU"/>
        </w:rPr>
      </w:pPr>
      <w:r w:rsidRPr="00AA717B">
        <w:rPr>
          <w:szCs w:val="22"/>
          <w:lang w:val="ru-RU"/>
        </w:rPr>
        <w:t>В ходе осуществления всего проекта ВОИС уделял</w:t>
      </w:r>
      <w:r w:rsidR="00AA717B" w:rsidRPr="00AA717B">
        <w:rPr>
          <w:szCs w:val="22"/>
          <w:lang w:val="ru-RU"/>
        </w:rPr>
        <w:t>а</w:t>
      </w:r>
      <w:r w:rsidRPr="00AA717B">
        <w:rPr>
          <w:szCs w:val="22"/>
          <w:lang w:val="ru-RU"/>
        </w:rPr>
        <w:t xml:space="preserve"> приоритетное внимание и координировал</w:t>
      </w:r>
      <w:r w:rsidR="00AA717B" w:rsidRPr="00AA717B">
        <w:rPr>
          <w:szCs w:val="22"/>
          <w:lang w:val="ru-RU"/>
        </w:rPr>
        <w:t>а</w:t>
      </w:r>
      <w:r w:rsidRPr="00AA717B">
        <w:rPr>
          <w:szCs w:val="22"/>
          <w:lang w:val="ru-RU"/>
        </w:rPr>
        <w:t xml:space="preserve"> деятельность и планы различных заинтересованных сторон для обеспечения его успешного завершения.  Начиная с этапа разработки и до завершения проекта его взаимосвязь с другими крупными проектами, такими как строительство нового здания и конференц-зала ВОИС, означал</w:t>
      </w:r>
      <w:r w:rsidR="00AA717B" w:rsidRPr="00AA717B">
        <w:rPr>
          <w:szCs w:val="22"/>
          <w:lang w:val="ru-RU"/>
        </w:rPr>
        <w:t xml:space="preserve">а, что </w:t>
      </w:r>
      <w:r w:rsidRPr="00AA717B">
        <w:rPr>
          <w:szCs w:val="22"/>
          <w:lang w:val="ru-RU"/>
        </w:rPr>
        <w:t xml:space="preserve">перед Организацией стояли особые задачи, которые дополнительно усложнялись трудностями управления столь долгосрочным проектом.  Таким образом, ожидаемые результаты проекта будут достигнуты по его завершении в сентябре 2015 г. без какого-либо превышения сметы расходов.  </w:t>
      </w:r>
    </w:p>
    <w:p w:rsidR="002F6216" w:rsidRDefault="002F6216" w:rsidP="00DE1561">
      <w:pPr>
        <w:pStyle w:val="ONUME"/>
        <w:tabs>
          <w:tab w:val="left" w:pos="567"/>
        </w:tabs>
        <w:spacing w:after="0"/>
        <w:rPr>
          <w:szCs w:val="22"/>
          <w:lang w:val="ru-RU"/>
        </w:rPr>
      </w:pPr>
    </w:p>
    <w:p w:rsidR="002F6216" w:rsidRDefault="009F2778" w:rsidP="00DE1561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 xml:space="preserve">По состоянию на 30 июня 2015 г. выделенные на осуществление проекта средства в размере 12 547 944,21 шв. франка были либо израсходованы, либо зарезервированы для выполнения запланированных работ.  После проведения окончательной финансовой выверки ожидается, что в резервы будет перечислен неизрасходованный остаток средств в размере приблизительно 4000,00 шв. франков.  См. таблицу ниже. </w:t>
      </w:r>
    </w:p>
    <w:p w:rsidR="0068498C" w:rsidRPr="00AA717B" w:rsidRDefault="0068498C" w:rsidP="00DD657D">
      <w:pPr>
        <w:pStyle w:val="Default"/>
        <w:tabs>
          <w:tab w:val="left" w:pos="567"/>
        </w:tabs>
        <w:spacing w:after="151"/>
        <w:rPr>
          <w:sz w:val="22"/>
          <w:szCs w:val="22"/>
          <w:lang w:val="ru-RU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68498C" w:rsidRPr="00AA717B" w:rsidTr="00D05665">
        <w:trPr>
          <w:gridBefore w:val="1"/>
          <w:wBefore w:w="4536" w:type="dxa"/>
          <w:trHeight w:val="419"/>
        </w:trPr>
        <w:tc>
          <w:tcPr>
            <w:tcW w:w="3948" w:type="dxa"/>
          </w:tcPr>
          <w:p w:rsidR="0068498C" w:rsidRPr="00AA717B" w:rsidRDefault="004876D4" w:rsidP="00050996">
            <w:pPr>
              <w:keepNext/>
              <w:keepLines/>
              <w:spacing w:line="276" w:lineRule="auto"/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Суммы в шв. франках</w:t>
            </w:r>
          </w:p>
        </w:tc>
      </w:tr>
      <w:tr w:rsidR="0068498C" w:rsidRPr="00AA717B" w:rsidTr="00D05665">
        <w:tc>
          <w:tcPr>
            <w:tcW w:w="4536" w:type="dxa"/>
          </w:tcPr>
          <w:p w:rsidR="0068498C" w:rsidRPr="00AA717B" w:rsidRDefault="004876D4" w:rsidP="004876D4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Смета расходов, утвержденная государствами-членами в декабре 2008 г.</w:t>
            </w:r>
          </w:p>
        </w:tc>
        <w:tc>
          <w:tcPr>
            <w:tcW w:w="3948" w:type="dxa"/>
          </w:tcPr>
          <w:p w:rsidR="0068498C" w:rsidRPr="00AA717B" w:rsidRDefault="0068498C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7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600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</w:p>
        </w:tc>
      </w:tr>
      <w:tr w:rsidR="0068498C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Доля принимающей страны</w:t>
            </w:r>
          </w:p>
        </w:tc>
        <w:tc>
          <w:tcPr>
            <w:tcW w:w="3948" w:type="dxa"/>
          </w:tcPr>
          <w:p w:rsidR="0068498C" w:rsidRPr="00AA717B" w:rsidRDefault="0068498C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5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</w:p>
        </w:tc>
      </w:tr>
      <w:tr w:rsidR="0068498C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Общий бюджет</w:t>
            </w:r>
          </w:p>
        </w:tc>
        <w:tc>
          <w:tcPr>
            <w:tcW w:w="3948" w:type="dxa"/>
          </w:tcPr>
          <w:p w:rsidR="0068498C" w:rsidRPr="00AA717B" w:rsidRDefault="0068498C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12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600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</w:p>
        </w:tc>
      </w:tr>
    </w:tbl>
    <w:p w:rsidR="0068498C" w:rsidRPr="00AA717B" w:rsidRDefault="0068498C" w:rsidP="0068498C">
      <w:pPr>
        <w:keepNext/>
        <w:keepLines/>
        <w:spacing w:line="276" w:lineRule="auto"/>
        <w:rPr>
          <w:rFonts w:eastAsiaTheme="minorHAnsi"/>
          <w:b/>
          <w:szCs w:val="22"/>
          <w:lang w:val="ru-RU"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786296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Выделенные средства</w:t>
            </w:r>
            <w:r w:rsidRPr="00AA717B">
              <w:rPr>
                <w:rStyle w:val="FootnoteReference"/>
                <w:rFonts w:eastAsiaTheme="minorHAnsi"/>
                <w:b/>
                <w:vertAlign w:val="baseline"/>
                <w:lang w:val="ru-RU" w:eastAsia="en-US"/>
              </w:rPr>
              <w:t xml:space="preserve"> </w:t>
            </w:r>
            <w:r w:rsidR="00050996" w:rsidRPr="00AA717B">
              <w:rPr>
                <w:rStyle w:val="FootnoteReference"/>
                <w:szCs w:val="22"/>
                <w:lang w:val="ru-RU"/>
              </w:rPr>
              <w:footnoteReference w:id="1"/>
            </w:r>
          </w:p>
        </w:tc>
        <w:tc>
          <w:tcPr>
            <w:tcW w:w="3948" w:type="dxa"/>
          </w:tcPr>
          <w:p w:rsidR="0068498C" w:rsidRPr="00AA717B" w:rsidRDefault="004876D4" w:rsidP="00D05665">
            <w:pPr>
              <w:keepNext/>
              <w:keepLines/>
              <w:spacing w:line="276" w:lineRule="auto"/>
              <w:ind w:left="11"/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Суммы в шв. франках</w:t>
            </w:r>
          </w:p>
        </w:tc>
      </w:tr>
      <w:tr w:rsidR="00786296" w:rsidRPr="00AA717B" w:rsidTr="00D05665">
        <w:tc>
          <w:tcPr>
            <w:tcW w:w="4536" w:type="dxa"/>
          </w:tcPr>
          <w:p w:rsidR="0068498C" w:rsidRPr="00AA717B" w:rsidRDefault="004876D4" w:rsidP="00635FDC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Средства, выделенные ВОИС</w:t>
            </w:r>
          </w:p>
        </w:tc>
        <w:tc>
          <w:tcPr>
            <w:tcW w:w="3948" w:type="dxa"/>
          </w:tcPr>
          <w:p w:rsidR="0068498C" w:rsidRPr="00AA717B" w:rsidRDefault="00BD632B" w:rsidP="00BD632B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7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547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944.21</w:t>
            </w:r>
          </w:p>
        </w:tc>
      </w:tr>
      <w:tr w:rsidR="00786296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Средства, выделенные принимающей страной</w:t>
            </w:r>
          </w:p>
        </w:tc>
        <w:tc>
          <w:tcPr>
            <w:tcW w:w="3948" w:type="dxa"/>
          </w:tcPr>
          <w:p w:rsidR="0068498C" w:rsidRPr="00AA717B" w:rsidRDefault="005F3D01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5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Pr="00AA717B">
              <w:rPr>
                <w:rFonts w:eastAsiaTheme="minorHAnsi"/>
                <w:b/>
                <w:lang w:val="ru-RU" w:eastAsia="en-US"/>
              </w:rPr>
              <w:t>000</w:t>
            </w:r>
          </w:p>
        </w:tc>
      </w:tr>
      <w:tr w:rsidR="0068498C" w:rsidRPr="00AA717B" w:rsidTr="00D05665">
        <w:tc>
          <w:tcPr>
            <w:tcW w:w="4536" w:type="dxa"/>
          </w:tcPr>
          <w:p w:rsidR="0068498C" w:rsidRPr="00AA717B" w:rsidRDefault="004876D4" w:rsidP="004876D4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 xml:space="preserve">Общая сумма выделенных средств </w:t>
            </w:r>
          </w:p>
        </w:tc>
        <w:tc>
          <w:tcPr>
            <w:tcW w:w="3948" w:type="dxa"/>
          </w:tcPr>
          <w:p w:rsidR="0068498C" w:rsidRPr="00AA717B" w:rsidRDefault="005F3D01" w:rsidP="00BD632B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12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</w:t>
            </w:r>
            <w:r w:rsidR="00BD632B" w:rsidRPr="00AA717B">
              <w:rPr>
                <w:rFonts w:eastAsiaTheme="minorHAnsi"/>
                <w:b/>
                <w:lang w:val="ru-RU" w:eastAsia="en-US"/>
              </w:rPr>
              <w:t>547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9446</w:t>
            </w:r>
            <w:r w:rsidR="00BD632B" w:rsidRPr="00AA717B">
              <w:rPr>
                <w:rFonts w:eastAsiaTheme="minorHAnsi"/>
                <w:b/>
                <w:lang w:val="ru-RU" w:eastAsia="en-US"/>
              </w:rPr>
              <w:t>21</w:t>
            </w:r>
          </w:p>
        </w:tc>
      </w:tr>
    </w:tbl>
    <w:p w:rsidR="0068498C" w:rsidRPr="00AA717B" w:rsidRDefault="0068498C" w:rsidP="0068498C">
      <w:pPr>
        <w:keepNext/>
        <w:keepLines/>
        <w:spacing w:line="276" w:lineRule="auto"/>
        <w:jc w:val="right"/>
        <w:rPr>
          <w:rFonts w:eastAsiaTheme="minorHAnsi"/>
          <w:b/>
          <w:szCs w:val="22"/>
          <w:lang w:val="ru-RU"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786296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Остаток выделенных средств</w:t>
            </w:r>
          </w:p>
        </w:tc>
        <w:tc>
          <w:tcPr>
            <w:tcW w:w="3948" w:type="dxa"/>
          </w:tcPr>
          <w:p w:rsidR="0068498C" w:rsidRPr="00AA717B" w:rsidRDefault="004876D4" w:rsidP="00D05665">
            <w:pPr>
              <w:keepNext/>
              <w:keepLines/>
              <w:spacing w:line="276" w:lineRule="auto"/>
              <w:ind w:left="33"/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Суммы в шв. франках</w:t>
            </w:r>
          </w:p>
        </w:tc>
      </w:tr>
      <w:tr w:rsidR="00786296" w:rsidRPr="00AA717B" w:rsidTr="00D05665">
        <w:tc>
          <w:tcPr>
            <w:tcW w:w="4536" w:type="dxa"/>
          </w:tcPr>
          <w:p w:rsidR="002F6216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 xml:space="preserve">Доступный остаток средств ВОИС </w:t>
            </w:r>
            <w:r w:rsidR="004A11A9" w:rsidRPr="00AA717B">
              <w:rPr>
                <w:rFonts w:eastAsiaTheme="minorHAnsi"/>
                <w:lang w:val="ru-RU" w:eastAsia="en-US"/>
              </w:rPr>
              <w:t>(</w:t>
            </w:r>
            <w:r w:rsidRPr="00AA717B">
              <w:rPr>
                <w:rFonts w:eastAsiaTheme="minorHAnsi"/>
                <w:lang w:val="ru-RU" w:eastAsia="en-US"/>
              </w:rPr>
              <w:t>по состоянию на 30 июня 20</w:t>
            </w:r>
            <w:r w:rsidR="004A11A9" w:rsidRPr="00AA717B">
              <w:rPr>
                <w:rFonts w:eastAsiaTheme="minorHAnsi"/>
                <w:lang w:val="ru-RU" w:eastAsia="en-US"/>
              </w:rPr>
              <w:t>15</w:t>
            </w:r>
            <w:r w:rsidRPr="00AA717B">
              <w:rPr>
                <w:rFonts w:eastAsiaTheme="minorHAnsi"/>
                <w:lang w:val="ru-RU" w:eastAsia="en-US"/>
              </w:rPr>
              <w:t> г.</w:t>
            </w:r>
            <w:r w:rsidR="004A11A9" w:rsidRPr="00AA717B">
              <w:rPr>
                <w:rFonts w:eastAsiaTheme="minorHAnsi"/>
                <w:lang w:val="ru-RU" w:eastAsia="en-US"/>
              </w:rPr>
              <w:t>)</w:t>
            </w:r>
          </w:p>
          <w:p w:rsidR="007C4A32" w:rsidRPr="00AA717B" w:rsidRDefault="00AA717B" w:rsidP="004876D4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(планируется израсходовать на оплату услуг)</w:t>
            </w:r>
          </w:p>
        </w:tc>
        <w:tc>
          <w:tcPr>
            <w:tcW w:w="3948" w:type="dxa"/>
          </w:tcPr>
          <w:p w:rsidR="0068498C" w:rsidRPr="00AA717B" w:rsidRDefault="00BD632B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52</w:t>
            </w:r>
            <w:r w:rsidR="004876D4" w:rsidRPr="00AA717B">
              <w:rPr>
                <w:rFonts w:eastAsiaTheme="minorHAnsi"/>
                <w:b/>
                <w:lang w:val="ru-RU" w:eastAsia="en-US"/>
              </w:rPr>
              <w:t> 055,</w:t>
            </w:r>
            <w:r w:rsidRPr="00AA717B">
              <w:rPr>
                <w:rFonts w:eastAsiaTheme="minorHAnsi"/>
                <w:b/>
                <w:lang w:val="ru-RU" w:eastAsia="en-US"/>
              </w:rPr>
              <w:t xml:space="preserve">79 </w:t>
            </w:r>
          </w:p>
        </w:tc>
      </w:tr>
      <w:tr w:rsidR="00786296" w:rsidRPr="00AA717B" w:rsidTr="00D05665">
        <w:tc>
          <w:tcPr>
            <w:tcW w:w="4536" w:type="dxa"/>
          </w:tcPr>
          <w:p w:rsidR="0068498C" w:rsidRPr="00AA717B" w:rsidRDefault="004876D4" w:rsidP="008F0729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 xml:space="preserve">Доступный остаток средств принимающей страны </w:t>
            </w:r>
          </w:p>
        </w:tc>
        <w:tc>
          <w:tcPr>
            <w:tcW w:w="3948" w:type="dxa"/>
          </w:tcPr>
          <w:p w:rsidR="0068498C" w:rsidRPr="00AA717B" w:rsidRDefault="005F3D01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0</w:t>
            </w:r>
          </w:p>
        </w:tc>
      </w:tr>
      <w:tr w:rsidR="00786296" w:rsidRPr="00AA717B" w:rsidTr="00D05665">
        <w:tc>
          <w:tcPr>
            <w:tcW w:w="4536" w:type="dxa"/>
          </w:tcPr>
          <w:p w:rsidR="0068498C" w:rsidRPr="00AA717B" w:rsidRDefault="004876D4" w:rsidP="004876D4">
            <w:pPr>
              <w:keepNext/>
              <w:keepLines/>
              <w:spacing w:line="276" w:lineRule="auto"/>
              <w:ind w:left="33" w:right="34"/>
              <w:contextualSpacing/>
              <w:rPr>
                <w:rFonts w:eastAsiaTheme="minorHAnsi"/>
                <w:lang w:val="ru-RU" w:eastAsia="en-US"/>
              </w:rPr>
            </w:pPr>
            <w:r w:rsidRPr="00AA717B">
              <w:rPr>
                <w:rFonts w:eastAsiaTheme="minorHAnsi"/>
                <w:lang w:val="ru-RU" w:eastAsia="en-US"/>
              </w:rPr>
              <w:t>Прогнозируемый остаток средств на сентябрь 2015 г.</w:t>
            </w:r>
          </w:p>
        </w:tc>
        <w:tc>
          <w:tcPr>
            <w:tcW w:w="3948" w:type="dxa"/>
          </w:tcPr>
          <w:p w:rsidR="0068498C" w:rsidRPr="00AA717B" w:rsidRDefault="004876D4" w:rsidP="00D05665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eastAsiaTheme="minorHAnsi"/>
                <w:b/>
                <w:lang w:val="ru-RU" w:eastAsia="en-US"/>
              </w:rPr>
            </w:pPr>
            <w:r w:rsidRPr="00AA717B">
              <w:rPr>
                <w:rFonts w:eastAsiaTheme="minorHAnsi"/>
                <w:b/>
                <w:lang w:val="ru-RU" w:eastAsia="en-US"/>
              </w:rPr>
              <w:t>4000,</w:t>
            </w:r>
            <w:r w:rsidR="004A11A9" w:rsidRPr="00AA717B">
              <w:rPr>
                <w:rFonts w:eastAsiaTheme="minorHAnsi"/>
                <w:b/>
                <w:lang w:val="ru-RU" w:eastAsia="en-US"/>
              </w:rPr>
              <w:t>00</w:t>
            </w:r>
          </w:p>
        </w:tc>
      </w:tr>
    </w:tbl>
    <w:p w:rsidR="002F6216" w:rsidRDefault="002F6216" w:rsidP="0068498C">
      <w:pPr>
        <w:ind w:left="5613"/>
        <w:rPr>
          <w:i/>
          <w:lang w:val="ru-RU"/>
        </w:rPr>
      </w:pPr>
    </w:p>
    <w:p w:rsidR="002F6216" w:rsidRDefault="002F6216" w:rsidP="0068498C">
      <w:pPr>
        <w:rPr>
          <w:i/>
          <w:szCs w:val="22"/>
          <w:lang w:val="ru-RU"/>
        </w:rPr>
      </w:pPr>
    </w:p>
    <w:p w:rsidR="002F6216" w:rsidRDefault="00DD657D" w:rsidP="00DE1561">
      <w:pPr>
        <w:pStyle w:val="Default"/>
        <w:numPr>
          <w:ilvl w:val="0"/>
          <w:numId w:val="5"/>
        </w:numPr>
        <w:tabs>
          <w:tab w:val="left" w:pos="567"/>
        </w:tabs>
        <w:spacing w:after="151"/>
        <w:ind w:left="0" w:firstLine="0"/>
        <w:rPr>
          <w:i/>
          <w:sz w:val="22"/>
          <w:szCs w:val="22"/>
          <w:lang w:val="ru-RU"/>
        </w:rPr>
      </w:pPr>
      <w:r w:rsidRPr="00AA717B">
        <w:rPr>
          <w:sz w:val="22"/>
          <w:szCs w:val="22"/>
          <w:lang w:val="ru-RU"/>
        </w:rPr>
        <w:t>Предлагается следующий пункт решения</w:t>
      </w:r>
      <w:r w:rsidR="00E1584D" w:rsidRPr="00AA717B">
        <w:rPr>
          <w:i/>
          <w:sz w:val="22"/>
          <w:szCs w:val="22"/>
          <w:lang w:val="ru-RU"/>
        </w:rPr>
        <w:t>.</w:t>
      </w:r>
    </w:p>
    <w:p w:rsidR="002F6216" w:rsidRPr="0054058F" w:rsidRDefault="00DE1561" w:rsidP="00DE1561">
      <w:pPr>
        <w:pStyle w:val="Default"/>
        <w:tabs>
          <w:tab w:val="left" w:pos="567"/>
          <w:tab w:val="left" w:pos="6096"/>
        </w:tabs>
        <w:spacing w:after="151"/>
        <w:ind w:left="5533"/>
        <w:rPr>
          <w:i/>
          <w:sz w:val="22"/>
          <w:szCs w:val="22"/>
          <w:lang w:val="ru-RU"/>
        </w:rPr>
      </w:pPr>
      <w:r w:rsidRPr="0054058F">
        <w:rPr>
          <w:i/>
          <w:sz w:val="22"/>
          <w:szCs w:val="22"/>
          <w:lang w:val="ru-RU"/>
        </w:rPr>
        <w:t>19.</w:t>
      </w:r>
      <w:r w:rsidRPr="0054058F">
        <w:rPr>
          <w:i/>
          <w:sz w:val="22"/>
          <w:szCs w:val="22"/>
          <w:lang w:val="ru-RU"/>
        </w:rPr>
        <w:tab/>
      </w:r>
      <w:r w:rsidR="00DD657D" w:rsidRPr="0054058F">
        <w:rPr>
          <w:i/>
          <w:sz w:val="22"/>
          <w:szCs w:val="22"/>
          <w:lang w:val="ru-RU"/>
        </w:rPr>
        <w:t xml:space="preserve">Комитет по программе и бюджету принял к сведению содержание </w:t>
      </w:r>
      <w:r w:rsidR="0054058F" w:rsidRPr="0054058F">
        <w:rPr>
          <w:i/>
          <w:sz w:val="22"/>
          <w:szCs w:val="22"/>
          <w:lang w:val="ru-RU"/>
        </w:rPr>
        <w:t>документа</w:t>
      </w:r>
      <w:r w:rsidR="0054058F" w:rsidRPr="0054058F">
        <w:rPr>
          <w:i/>
          <w:sz w:val="22"/>
          <w:szCs w:val="22"/>
          <w:lang w:val="ru-RU"/>
        </w:rPr>
        <w:t xml:space="preserve"> «</w:t>
      </w:r>
      <w:r w:rsidR="0054058F" w:rsidRPr="0054058F">
        <w:rPr>
          <w:i/>
          <w:lang w:val="ru-RU"/>
        </w:rPr>
        <w:t xml:space="preserve">Заключительный отчет о ходе реализации проекта по повышению норм охраны и безопасности в существующих зданиях </w:t>
      </w:r>
      <w:r w:rsidR="0054058F" w:rsidRPr="0054058F">
        <w:rPr>
          <w:i/>
          <w:caps/>
          <w:lang w:val="ru-RU"/>
        </w:rPr>
        <w:t>ВОИС</w:t>
      </w:r>
      <w:r w:rsidR="0054058F" w:rsidRPr="0054058F">
        <w:rPr>
          <w:i/>
          <w:caps/>
          <w:lang w:val="ru-RU"/>
        </w:rPr>
        <w:t>» (</w:t>
      </w:r>
      <w:r w:rsidR="00DD657D" w:rsidRPr="0054058F">
        <w:rPr>
          <w:i/>
          <w:sz w:val="22"/>
          <w:szCs w:val="22"/>
          <w:lang w:val="ru-RU"/>
        </w:rPr>
        <w:t>документ</w:t>
      </w:r>
      <w:r w:rsidRPr="0054058F">
        <w:rPr>
          <w:i/>
          <w:sz w:val="22"/>
          <w:szCs w:val="22"/>
          <w:lang w:val="ru-RU"/>
        </w:rPr>
        <w:t xml:space="preserve"> WO/PBC/24/12</w:t>
      </w:r>
      <w:r w:rsidR="0054058F">
        <w:rPr>
          <w:i/>
          <w:sz w:val="22"/>
          <w:szCs w:val="22"/>
          <w:lang w:val="ru-RU"/>
        </w:rPr>
        <w:t>)</w:t>
      </w:r>
      <w:r w:rsidR="0068498C" w:rsidRPr="0054058F">
        <w:rPr>
          <w:i/>
          <w:sz w:val="22"/>
          <w:szCs w:val="22"/>
          <w:lang w:val="ru-RU"/>
        </w:rPr>
        <w:t>.</w:t>
      </w:r>
    </w:p>
    <w:p w:rsidR="002F6216" w:rsidRDefault="002F6216" w:rsidP="002C6595">
      <w:pPr>
        <w:pStyle w:val="Endofdocument-Annex"/>
        <w:ind w:hanging="5534"/>
        <w:rPr>
          <w:szCs w:val="22"/>
          <w:lang w:val="ru-RU"/>
        </w:rPr>
      </w:pPr>
    </w:p>
    <w:p w:rsidR="002F6216" w:rsidRDefault="0068498C" w:rsidP="00DE1561">
      <w:pPr>
        <w:pStyle w:val="Endofdocument-Annex"/>
        <w:ind w:hanging="1"/>
        <w:rPr>
          <w:szCs w:val="22"/>
          <w:lang w:val="ru-RU"/>
        </w:rPr>
      </w:pPr>
      <w:r w:rsidRPr="00AA717B">
        <w:rPr>
          <w:szCs w:val="22"/>
          <w:lang w:val="ru-RU"/>
        </w:rPr>
        <w:t>[</w:t>
      </w:r>
      <w:r w:rsidR="00DD657D" w:rsidRPr="00AA717B">
        <w:rPr>
          <w:szCs w:val="22"/>
          <w:lang w:val="ru-RU"/>
        </w:rPr>
        <w:t>Конец документа</w:t>
      </w:r>
      <w:r w:rsidRPr="00AA717B">
        <w:rPr>
          <w:szCs w:val="22"/>
          <w:lang w:val="ru-RU"/>
        </w:rPr>
        <w:t>]</w:t>
      </w:r>
    </w:p>
    <w:p w:rsidR="002F6216" w:rsidRDefault="002F6216" w:rsidP="00DE1561">
      <w:pPr>
        <w:pStyle w:val="Endofdocument-Annex"/>
        <w:ind w:hanging="1"/>
        <w:rPr>
          <w:szCs w:val="22"/>
          <w:lang w:val="ru-RU"/>
        </w:rPr>
      </w:pPr>
    </w:p>
    <w:p w:rsidR="001E1E8B" w:rsidRPr="00AA717B" w:rsidRDefault="001E1E8B" w:rsidP="00DE1561">
      <w:pPr>
        <w:pStyle w:val="Endofdocument-Annex"/>
        <w:ind w:hanging="1"/>
        <w:rPr>
          <w:szCs w:val="22"/>
          <w:lang w:val="ru-RU"/>
        </w:rPr>
      </w:pPr>
    </w:p>
    <w:sectPr w:rsidR="001E1E8B" w:rsidRPr="00AA717B" w:rsidSect="00A708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1A" w:rsidRDefault="00A12F1A" w:rsidP="00FE72D6">
      <w:r>
        <w:separator/>
      </w:r>
    </w:p>
  </w:endnote>
  <w:endnote w:type="continuationSeparator" w:id="0">
    <w:p w:rsidR="00A12F1A" w:rsidRDefault="00A12F1A" w:rsidP="00F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1A" w:rsidRDefault="00A12F1A" w:rsidP="00FE72D6">
      <w:r>
        <w:separator/>
      </w:r>
    </w:p>
  </w:footnote>
  <w:footnote w:type="continuationSeparator" w:id="0">
    <w:p w:rsidR="00A12F1A" w:rsidRDefault="00A12F1A" w:rsidP="00FE72D6">
      <w:r>
        <w:continuationSeparator/>
      </w:r>
    </w:p>
  </w:footnote>
  <w:footnote w:id="1">
    <w:p w:rsidR="001E1E8B" w:rsidRPr="00417BFD" w:rsidRDefault="00050996" w:rsidP="0005099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17BFD">
        <w:rPr>
          <w:lang w:val="ru-RU"/>
        </w:rPr>
        <w:t xml:space="preserve"> </w:t>
      </w:r>
      <w:r w:rsidR="001E1E8B">
        <w:rPr>
          <w:rFonts w:eastAsiaTheme="minorHAnsi"/>
          <w:szCs w:val="22"/>
          <w:lang w:val="ru-RU" w:eastAsia="en-US"/>
        </w:rPr>
        <w:t>Примечание</w:t>
      </w:r>
      <w:r w:rsidR="001E1E8B" w:rsidRPr="00417BFD">
        <w:rPr>
          <w:rFonts w:eastAsiaTheme="minorHAnsi"/>
          <w:szCs w:val="22"/>
          <w:lang w:val="ru-RU" w:eastAsia="en-US"/>
        </w:rPr>
        <w:t>.</w:t>
      </w:r>
      <w:r w:rsidR="001E1E8B">
        <w:rPr>
          <w:rFonts w:eastAsiaTheme="minorHAnsi"/>
          <w:szCs w:val="22"/>
          <w:lang w:val="ru-RU" w:eastAsia="en-US"/>
        </w:rPr>
        <w:t xml:space="preserve"> </w:t>
      </w:r>
      <w:r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Общая с</w:t>
      </w:r>
      <w:r w:rsidR="001E1E8B">
        <w:rPr>
          <w:rFonts w:eastAsiaTheme="minorHAnsi"/>
          <w:szCs w:val="22"/>
          <w:lang w:val="ru-RU" w:eastAsia="en-US"/>
        </w:rPr>
        <w:t>умма не</w:t>
      </w:r>
      <w:r w:rsidR="00417BFD">
        <w:rPr>
          <w:rFonts w:eastAsiaTheme="minorHAnsi"/>
          <w:szCs w:val="22"/>
          <w:lang w:val="ru-RU" w:eastAsia="en-US"/>
        </w:rPr>
        <w:t>закрытых</w:t>
      </w:r>
      <w:r w:rsidR="001E1E8B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з</w:t>
      </w:r>
      <w:r w:rsidR="001E1E8B">
        <w:rPr>
          <w:rFonts w:eastAsiaTheme="minorHAnsi"/>
          <w:szCs w:val="22"/>
          <w:lang w:val="ru-RU" w:eastAsia="en-US"/>
        </w:rPr>
        <w:t>аказ-наря</w:t>
      </w:r>
      <w:r w:rsidR="00417BFD">
        <w:rPr>
          <w:rFonts w:eastAsiaTheme="minorHAnsi"/>
          <w:szCs w:val="22"/>
          <w:lang w:val="ru-RU" w:eastAsia="en-US"/>
        </w:rPr>
        <w:t xml:space="preserve">дов </w:t>
      </w:r>
      <w:r w:rsidR="001E1E8B">
        <w:rPr>
          <w:rFonts w:eastAsiaTheme="minorHAnsi"/>
          <w:szCs w:val="22"/>
          <w:lang w:val="ru-RU" w:eastAsia="en-US"/>
        </w:rPr>
        <w:t xml:space="preserve">(ЗН), </w:t>
      </w:r>
      <w:r w:rsidR="00417BFD">
        <w:rPr>
          <w:rFonts w:eastAsiaTheme="minorHAnsi"/>
          <w:szCs w:val="22"/>
          <w:lang w:val="ru-RU" w:eastAsia="en-US"/>
        </w:rPr>
        <w:t xml:space="preserve">средства на оплату которых были зарезервированы, составляет </w:t>
      </w:r>
      <w:r w:rsidRPr="00417BFD">
        <w:rPr>
          <w:rFonts w:eastAsiaTheme="minorHAnsi"/>
          <w:szCs w:val="22"/>
          <w:lang w:val="ru-RU" w:eastAsia="en-US"/>
        </w:rPr>
        <w:t>631</w:t>
      </w:r>
      <w:r w:rsidR="00417BFD">
        <w:rPr>
          <w:rFonts w:eastAsiaTheme="minorHAnsi"/>
          <w:szCs w:val="22"/>
          <w:lang w:val="ru-RU" w:eastAsia="en-US"/>
        </w:rPr>
        <w:t> </w:t>
      </w:r>
      <w:r w:rsidRPr="00417BFD">
        <w:rPr>
          <w:rFonts w:eastAsiaTheme="minorHAnsi"/>
          <w:szCs w:val="22"/>
          <w:lang w:val="ru-RU" w:eastAsia="en-US"/>
        </w:rPr>
        <w:t>787</w:t>
      </w:r>
      <w:r w:rsidR="00417BFD">
        <w:rPr>
          <w:rFonts w:eastAsiaTheme="minorHAnsi"/>
          <w:szCs w:val="22"/>
          <w:lang w:val="ru-RU" w:eastAsia="en-US"/>
        </w:rPr>
        <w:t>,</w:t>
      </w:r>
      <w:r w:rsidRPr="00417BFD">
        <w:rPr>
          <w:rFonts w:eastAsiaTheme="minorHAnsi"/>
          <w:szCs w:val="22"/>
          <w:lang w:val="ru-RU" w:eastAsia="en-US"/>
        </w:rPr>
        <w:t xml:space="preserve">67 </w:t>
      </w:r>
      <w:r w:rsidR="00417BFD">
        <w:rPr>
          <w:rFonts w:eastAsiaTheme="minorHAnsi"/>
          <w:szCs w:val="22"/>
          <w:lang w:val="ru-RU" w:eastAsia="en-US"/>
        </w:rPr>
        <w:t>шв. франков.  Эти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ЗН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будут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оплачены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и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закрыты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после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выполнения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и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утверждения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ВОИС</w:t>
      </w:r>
      <w:r w:rsidR="00417BFD" w:rsidRPr="00417BFD">
        <w:rPr>
          <w:rFonts w:eastAsiaTheme="minorHAnsi"/>
          <w:szCs w:val="22"/>
          <w:lang w:val="ru-RU" w:eastAsia="en-US"/>
        </w:rPr>
        <w:t xml:space="preserve"> </w:t>
      </w:r>
      <w:r w:rsidR="00417BFD">
        <w:rPr>
          <w:rFonts w:eastAsiaTheme="minorHAnsi"/>
          <w:szCs w:val="22"/>
          <w:lang w:val="ru-RU" w:eastAsia="en-US"/>
        </w:rPr>
        <w:t>окончательных технических договоров о поставке товаров или оказании услуг</w:t>
      </w:r>
      <w:r w:rsidRPr="00417BFD">
        <w:rPr>
          <w:rFonts w:eastAsiaTheme="minorHAnsi"/>
          <w:szCs w:val="22"/>
          <w:lang w:val="ru-RU" w:eastAsia="en-US"/>
        </w:rPr>
        <w:t>.</w:t>
      </w:r>
      <w:r w:rsidR="00417BFD">
        <w:rPr>
          <w:rFonts w:eastAsiaTheme="minorHAnsi"/>
          <w:szCs w:val="22"/>
          <w:lang w:val="ru-RU" w:eastAsia="en-US"/>
        </w:rPr>
        <w:t xml:space="preserve"> </w:t>
      </w:r>
    </w:p>
    <w:p w:rsidR="00050996" w:rsidRPr="00417BFD" w:rsidRDefault="00050996" w:rsidP="00050996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44" w:rsidRDefault="00100B59" w:rsidP="00477D6B">
    <w:pPr>
      <w:jc w:val="right"/>
    </w:pPr>
    <w:bookmarkStart w:id="4" w:name="Code2"/>
    <w:bookmarkEnd w:id="4"/>
    <w:r>
      <w:t>WO/PBC</w:t>
    </w:r>
    <w:r w:rsidR="00DE1561">
      <w:t>/24/12</w:t>
    </w:r>
  </w:p>
  <w:p w:rsidR="00A64344" w:rsidRDefault="0088315C" w:rsidP="00477D6B">
    <w:pPr>
      <w:jc w:val="right"/>
    </w:pPr>
    <w:r>
      <w:rPr>
        <w:lang w:val="ru-RU"/>
      </w:rPr>
      <w:t>стр.</w:t>
    </w:r>
    <w:r w:rsidR="00100B59">
      <w:t xml:space="preserve"> </w:t>
    </w:r>
    <w:r w:rsidR="00100B59">
      <w:fldChar w:fldCharType="begin"/>
    </w:r>
    <w:r w:rsidR="00100B59">
      <w:instrText xml:space="preserve"> PAGE  \* MERGEFORMAT </w:instrText>
    </w:r>
    <w:r w:rsidR="00100B59">
      <w:fldChar w:fldCharType="separate"/>
    </w:r>
    <w:r w:rsidR="0054058F">
      <w:rPr>
        <w:noProof/>
      </w:rPr>
      <w:t>5</w:t>
    </w:r>
    <w:r w:rsidR="00100B59">
      <w:fldChar w:fldCharType="end"/>
    </w:r>
  </w:p>
  <w:p w:rsidR="00030080" w:rsidRDefault="00A12F1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526"/>
    <w:multiLevelType w:val="hybridMultilevel"/>
    <w:tmpl w:val="FEA830CC"/>
    <w:lvl w:ilvl="0" w:tplc="7ED8B492">
      <w:start w:val="1"/>
      <w:numFmt w:val="bullet"/>
      <w:lvlText w:val="‒"/>
      <w:lvlJc w:val="left"/>
      <w:pPr>
        <w:ind w:left="36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74F77"/>
    <w:multiLevelType w:val="hybridMultilevel"/>
    <w:tmpl w:val="61AC77EC"/>
    <w:lvl w:ilvl="0" w:tplc="1AE8842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>
    <w:nsid w:val="24A87ED0"/>
    <w:multiLevelType w:val="hybridMultilevel"/>
    <w:tmpl w:val="5F84C3B4"/>
    <w:lvl w:ilvl="0" w:tplc="EFBC9C86">
      <w:start w:val="7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460A29"/>
    <w:multiLevelType w:val="multilevel"/>
    <w:tmpl w:val="98EACC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805FA"/>
    <w:multiLevelType w:val="hybridMultilevel"/>
    <w:tmpl w:val="58763010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142D"/>
    <w:multiLevelType w:val="hybridMultilevel"/>
    <w:tmpl w:val="8FC4D0E8"/>
    <w:lvl w:ilvl="0" w:tplc="8D94C978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32E52"/>
    <w:multiLevelType w:val="hybridMultilevel"/>
    <w:tmpl w:val="03229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8420E"/>
    <w:multiLevelType w:val="hybridMultilevel"/>
    <w:tmpl w:val="9E5E15D0"/>
    <w:lvl w:ilvl="0" w:tplc="3B627B42">
      <w:start w:val="1"/>
      <w:numFmt w:val="decimal"/>
      <w:lvlText w:val="%1."/>
      <w:lvlJc w:val="left"/>
      <w:pPr>
        <w:ind w:left="5747" w:hanging="360"/>
      </w:pPr>
      <w:rPr>
        <w:rFonts w:hint="default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AT.WIPO|FTS_Glossary|PreTradBeta|UPOV_Beta|WIPONew"/>
    <w:docVar w:name="TermBaseURL" w:val="empty"/>
    <w:docVar w:name="TextBases" w:val="TextBase TMs\Administrative\Publications|Team Server TMs\Default|TextBase TMs\Administrative\Meetings|TextBase TMs\Administrative\Other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68498C"/>
    <w:rsid w:val="00002401"/>
    <w:rsid w:val="000032D0"/>
    <w:rsid w:val="00007E9E"/>
    <w:rsid w:val="000255D7"/>
    <w:rsid w:val="00033732"/>
    <w:rsid w:val="00045189"/>
    <w:rsid w:val="00050996"/>
    <w:rsid w:val="000512C8"/>
    <w:rsid w:val="000969FD"/>
    <w:rsid w:val="000A6646"/>
    <w:rsid w:val="000D4EFC"/>
    <w:rsid w:val="000F1C0B"/>
    <w:rsid w:val="000F3209"/>
    <w:rsid w:val="00100B59"/>
    <w:rsid w:val="001062D2"/>
    <w:rsid w:val="00125B39"/>
    <w:rsid w:val="00154A3D"/>
    <w:rsid w:val="00175159"/>
    <w:rsid w:val="00175CDC"/>
    <w:rsid w:val="001811BC"/>
    <w:rsid w:val="001A716C"/>
    <w:rsid w:val="001B277F"/>
    <w:rsid w:val="001C7977"/>
    <w:rsid w:val="001D2C65"/>
    <w:rsid w:val="001E1304"/>
    <w:rsid w:val="001E1E8B"/>
    <w:rsid w:val="001F4737"/>
    <w:rsid w:val="002051BF"/>
    <w:rsid w:val="00206096"/>
    <w:rsid w:val="00233685"/>
    <w:rsid w:val="00251D3F"/>
    <w:rsid w:val="00283E7B"/>
    <w:rsid w:val="002A301B"/>
    <w:rsid w:val="002C0928"/>
    <w:rsid w:val="002C0D77"/>
    <w:rsid w:val="002C6595"/>
    <w:rsid w:val="002E7691"/>
    <w:rsid w:val="002F555A"/>
    <w:rsid w:val="002F6216"/>
    <w:rsid w:val="00307664"/>
    <w:rsid w:val="00315B07"/>
    <w:rsid w:val="00324952"/>
    <w:rsid w:val="00381C43"/>
    <w:rsid w:val="003842AA"/>
    <w:rsid w:val="00392CEF"/>
    <w:rsid w:val="003B5F35"/>
    <w:rsid w:val="003C24B9"/>
    <w:rsid w:val="004061A7"/>
    <w:rsid w:val="0041392F"/>
    <w:rsid w:val="00417BFD"/>
    <w:rsid w:val="004213E5"/>
    <w:rsid w:val="00435FCF"/>
    <w:rsid w:val="004430BE"/>
    <w:rsid w:val="00447DA5"/>
    <w:rsid w:val="00486A9D"/>
    <w:rsid w:val="004876D4"/>
    <w:rsid w:val="004A11A9"/>
    <w:rsid w:val="004B3892"/>
    <w:rsid w:val="005046B4"/>
    <w:rsid w:val="005061A5"/>
    <w:rsid w:val="00530657"/>
    <w:rsid w:val="00530941"/>
    <w:rsid w:val="00536289"/>
    <w:rsid w:val="0054058F"/>
    <w:rsid w:val="0055214E"/>
    <w:rsid w:val="00575B6F"/>
    <w:rsid w:val="00577BAB"/>
    <w:rsid w:val="00586DD5"/>
    <w:rsid w:val="005B0E20"/>
    <w:rsid w:val="005C207F"/>
    <w:rsid w:val="005C5064"/>
    <w:rsid w:val="005D64ED"/>
    <w:rsid w:val="005E0ADD"/>
    <w:rsid w:val="005F1B76"/>
    <w:rsid w:val="005F254A"/>
    <w:rsid w:val="005F3D01"/>
    <w:rsid w:val="005F5267"/>
    <w:rsid w:val="005F7193"/>
    <w:rsid w:val="006133C8"/>
    <w:rsid w:val="0061422C"/>
    <w:rsid w:val="006301CB"/>
    <w:rsid w:val="00635FDC"/>
    <w:rsid w:val="006372C2"/>
    <w:rsid w:val="00652379"/>
    <w:rsid w:val="006533FF"/>
    <w:rsid w:val="0065363C"/>
    <w:rsid w:val="006609FF"/>
    <w:rsid w:val="00670B1D"/>
    <w:rsid w:val="006769DE"/>
    <w:rsid w:val="0068498C"/>
    <w:rsid w:val="006C0A4B"/>
    <w:rsid w:val="006C1A07"/>
    <w:rsid w:val="006C6F6D"/>
    <w:rsid w:val="00703B53"/>
    <w:rsid w:val="00714148"/>
    <w:rsid w:val="00714B29"/>
    <w:rsid w:val="00742868"/>
    <w:rsid w:val="0075692D"/>
    <w:rsid w:val="00765295"/>
    <w:rsid w:val="00782FD6"/>
    <w:rsid w:val="00786296"/>
    <w:rsid w:val="007A470B"/>
    <w:rsid w:val="007B3EFD"/>
    <w:rsid w:val="007B574E"/>
    <w:rsid w:val="007C4A32"/>
    <w:rsid w:val="007C6723"/>
    <w:rsid w:val="007D1D7E"/>
    <w:rsid w:val="007E46ED"/>
    <w:rsid w:val="00822241"/>
    <w:rsid w:val="00837FDD"/>
    <w:rsid w:val="008615D6"/>
    <w:rsid w:val="0086202E"/>
    <w:rsid w:val="0088315C"/>
    <w:rsid w:val="00885EDA"/>
    <w:rsid w:val="008A2450"/>
    <w:rsid w:val="008C5BEB"/>
    <w:rsid w:val="008D07DC"/>
    <w:rsid w:val="008D3C14"/>
    <w:rsid w:val="008F0729"/>
    <w:rsid w:val="008F1615"/>
    <w:rsid w:val="00911414"/>
    <w:rsid w:val="009175F9"/>
    <w:rsid w:val="0097000F"/>
    <w:rsid w:val="00982389"/>
    <w:rsid w:val="00995200"/>
    <w:rsid w:val="009C0596"/>
    <w:rsid w:val="009C20D2"/>
    <w:rsid w:val="009C7D42"/>
    <w:rsid w:val="009D032E"/>
    <w:rsid w:val="009D27DE"/>
    <w:rsid w:val="009E5B5C"/>
    <w:rsid w:val="009E72F7"/>
    <w:rsid w:val="009F2778"/>
    <w:rsid w:val="009F6E55"/>
    <w:rsid w:val="00A058C3"/>
    <w:rsid w:val="00A11331"/>
    <w:rsid w:val="00A11F2C"/>
    <w:rsid w:val="00A12F1A"/>
    <w:rsid w:val="00A30B39"/>
    <w:rsid w:val="00A43EBA"/>
    <w:rsid w:val="00A61175"/>
    <w:rsid w:val="00A718F9"/>
    <w:rsid w:val="00A742F5"/>
    <w:rsid w:val="00A828C1"/>
    <w:rsid w:val="00A87F96"/>
    <w:rsid w:val="00A95B17"/>
    <w:rsid w:val="00A96C85"/>
    <w:rsid w:val="00AA6F61"/>
    <w:rsid w:val="00AA717B"/>
    <w:rsid w:val="00AB7AF9"/>
    <w:rsid w:val="00AC6697"/>
    <w:rsid w:val="00AD5E35"/>
    <w:rsid w:val="00AE0C8B"/>
    <w:rsid w:val="00B56E6B"/>
    <w:rsid w:val="00BA44C0"/>
    <w:rsid w:val="00BA5301"/>
    <w:rsid w:val="00BB1627"/>
    <w:rsid w:val="00BB5069"/>
    <w:rsid w:val="00BC5496"/>
    <w:rsid w:val="00BD632B"/>
    <w:rsid w:val="00BD6C84"/>
    <w:rsid w:val="00BD6DE4"/>
    <w:rsid w:val="00C01F46"/>
    <w:rsid w:val="00C1399F"/>
    <w:rsid w:val="00C1440D"/>
    <w:rsid w:val="00C16EA8"/>
    <w:rsid w:val="00C550C6"/>
    <w:rsid w:val="00C646EE"/>
    <w:rsid w:val="00C82EE1"/>
    <w:rsid w:val="00CB1A10"/>
    <w:rsid w:val="00CB1BA3"/>
    <w:rsid w:val="00CC30E5"/>
    <w:rsid w:val="00CD1451"/>
    <w:rsid w:val="00D0590B"/>
    <w:rsid w:val="00D169D4"/>
    <w:rsid w:val="00D35596"/>
    <w:rsid w:val="00D631B3"/>
    <w:rsid w:val="00D645B0"/>
    <w:rsid w:val="00D70A88"/>
    <w:rsid w:val="00D7544A"/>
    <w:rsid w:val="00D834C7"/>
    <w:rsid w:val="00D84B1A"/>
    <w:rsid w:val="00D84FEA"/>
    <w:rsid w:val="00D944ED"/>
    <w:rsid w:val="00DD657D"/>
    <w:rsid w:val="00DD6D71"/>
    <w:rsid w:val="00DE1561"/>
    <w:rsid w:val="00DF1B56"/>
    <w:rsid w:val="00DF1D57"/>
    <w:rsid w:val="00E01E68"/>
    <w:rsid w:val="00E14D65"/>
    <w:rsid w:val="00E1584D"/>
    <w:rsid w:val="00E264E7"/>
    <w:rsid w:val="00E32AAF"/>
    <w:rsid w:val="00E44FD1"/>
    <w:rsid w:val="00E51DEB"/>
    <w:rsid w:val="00E65B68"/>
    <w:rsid w:val="00E77F87"/>
    <w:rsid w:val="00E87AE3"/>
    <w:rsid w:val="00E94AF6"/>
    <w:rsid w:val="00EA315D"/>
    <w:rsid w:val="00EE71DB"/>
    <w:rsid w:val="00F002E3"/>
    <w:rsid w:val="00F01F58"/>
    <w:rsid w:val="00F11839"/>
    <w:rsid w:val="00F14353"/>
    <w:rsid w:val="00F75FC2"/>
    <w:rsid w:val="00F77AB7"/>
    <w:rsid w:val="00F80536"/>
    <w:rsid w:val="00F81F94"/>
    <w:rsid w:val="00F942A1"/>
    <w:rsid w:val="00F95D8A"/>
    <w:rsid w:val="00F97E6E"/>
    <w:rsid w:val="00FE215B"/>
    <w:rsid w:val="00FE29C0"/>
    <w:rsid w:val="00FE72D6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8498C"/>
    <w:pPr>
      <w:ind w:left="5534"/>
    </w:pPr>
  </w:style>
  <w:style w:type="paragraph" w:customStyle="1" w:styleId="ONUME">
    <w:name w:val="ONUM E"/>
    <w:basedOn w:val="BodyText"/>
    <w:rsid w:val="0068498C"/>
    <w:pPr>
      <w:spacing w:after="220"/>
    </w:pPr>
  </w:style>
  <w:style w:type="table" w:styleId="TableGrid">
    <w:name w:val="Table Grid"/>
    <w:basedOn w:val="TableNormal"/>
    <w:uiPriority w:val="59"/>
    <w:rsid w:val="0068498C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849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98C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8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1C79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977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C7977"/>
    <w:rPr>
      <w:vertAlign w:val="superscript"/>
    </w:rPr>
  </w:style>
  <w:style w:type="paragraph" w:styleId="Revision">
    <w:name w:val="Revision"/>
    <w:hidden/>
    <w:uiPriority w:val="99"/>
    <w:semiHidden/>
    <w:rsid w:val="00E1584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C01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8498C"/>
    <w:pPr>
      <w:ind w:left="5534"/>
    </w:pPr>
  </w:style>
  <w:style w:type="paragraph" w:customStyle="1" w:styleId="ONUME">
    <w:name w:val="ONUM E"/>
    <w:basedOn w:val="BodyText"/>
    <w:rsid w:val="0068498C"/>
    <w:pPr>
      <w:spacing w:after="220"/>
    </w:pPr>
  </w:style>
  <w:style w:type="table" w:styleId="TableGrid">
    <w:name w:val="Table Grid"/>
    <w:basedOn w:val="TableNormal"/>
    <w:uiPriority w:val="59"/>
    <w:rsid w:val="0068498C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849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98C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8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1C79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977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C7977"/>
    <w:rPr>
      <w:vertAlign w:val="superscript"/>
    </w:rPr>
  </w:style>
  <w:style w:type="paragraph" w:styleId="Revision">
    <w:name w:val="Revision"/>
    <w:hidden/>
    <w:uiPriority w:val="99"/>
    <w:semiHidden/>
    <w:rsid w:val="00E1584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C01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D7D1-2A1E-4CF2-A5EA-52F71F5E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 Jean</dc:creator>
  <cp:lastModifiedBy>PIVOVAROV Oleg</cp:lastModifiedBy>
  <cp:revision>4</cp:revision>
  <cp:lastPrinted>2015-07-23T09:55:00Z</cp:lastPrinted>
  <dcterms:created xsi:type="dcterms:W3CDTF">2015-08-03T13:10:00Z</dcterms:created>
  <dcterms:modified xsi:type="dcterms:W3CDTF">2015-08-03T13:40:00Z</dcterms:modified>
</cp:coreProperties>
</file>