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35DA8" w:rsidRPr="005A4164" w:rsidTr="00167405">
        <w:tc>
          <w:tcPr>
            <w:tcW w:w="4513" w:type="dxa"/>
            <w:tcBorders>
              <w:bottom w:val="single" w:sz="4" w:space="0" w:color="auto"/>
            </w:tcBorders>
            <w:tcMar>
              <w:bottom w:w="170" w:type="dxa"/>
            </w:tcMar>
          </w:tcPr>
          <w:p w:rsidR="00F35DA8" w:rsidRPr="005A4164" w:rsidRDefault="00F35DA8" w:rsidP="00167405">
            <w:pPr>
              <w:rPr>
                <w:lang w:val="ru-RU"/>
              </w:rPr>
            </w:pPr>
          </w:p>
        </w:tc>
        <w:tc>
          <w:tcPr>
            <w:tcW w:w="4337" w:type="dxa"/>
            <w:tcBorders>
              <w:bottom w:val="single" w:sz="4" w:space="0" w:color="auto"/>
            </w:tcBorders>
            <w:tcMar>
              <w:left w:w="0" w:type="dxa"/>
              <w:right w:w="0" w:type="dxa"/>
            </w:tcMar>
          </w:tcPr>
          <w:p w:rsidR="00F35DA8" w:rsidRPr="005A4164" w:rsidRDefault="00F1433F" w:rsidP="00167405">
            <w:pPr>
              <w:rPr>
                <w:lang w:val="ru-RU"/>
              </w:rPr>
            </w:pPr>
            <w:r w:rsidRPr="005A4164">
              <w:rPr>
                <w:noProof/>
                <w:sz w:val="18"/>
                <w:szCs w:val="18"/>
                <w:lang w:eastAsia="en-US"/>
              </w:rPr>
              <w:drawing>
                <wp:inline distT="0" distB="0" distL="0" distR="0" wp14:anchorId="2F24EDD0" wp14:editId="36C40EBE">
                  <wp:extent cx="1739900" cy="1289685"/>
                  <wp:effectExtent l="0" t="0" r="0" b="5715"/>
                  <wp:docPr id="6"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35DA8" w:rsidRPr="005A4164" w:rsidRDefault="00F1433F" w:rsidP="00167405">
            <w:pPr>
              <w:jc w:val="right"/>
              <w:rPr>
                <w:lang w:val="ru-RU"/>
              </w:rPr>
            </w:pPr>
            <w:r w:rsidRPr="005A4164">
              <w:rPr>
                <w:b/>
                <w:sz w:val="40"/>
                <w:szCs w:val="40"/>
                <w:lang w:val="ru-RU"/>
              </w:rPr>
              <w:t>R</w:t>
            </w:r>
          </w:p>
        </w:tc>
      </w:tr>
      <w:tr w:rsidR="00F35DA8" w:rsidRPr="005A4164" w:rsidTr="00167405">
        <w:trPr>
          <w:trHeight w:hRule="exact" w:val="340"/>
        </w:trPr>
        <w:tc>
          <w:tcPr>
            <w:tcW w:w="9356" w:type="dxa"/>
            <w:gridSpan w:val="3"/>
            <w:tcBorders>
              <w:top w:val="single" w:sz="4" w:space="0" w:color="auto"/>
            </w:tcBorders>
            <w:tcMar>
              <w:top w:w="170" w:type="dxa"/>
              <w:left w:w="0" w:type="dxa"/>
              <w:right w:w="0" w:type="dxa"/>
            </w:tcMar>
            <w:vAlign w:val="bottom"/>
          </w:tcPr>
          <w:p w:rsidR="00F35DA8" w:rsidRPr="005A4164" w:rsidRDefault="00F35DA8" w:rsidP="00167405">
            <w:pPr>
              <w:jc w:val="right"/>
              <w:rPr>
                <w:rFonts w:ascii="Arial Black" w:hAnsi="Arial Black"/>
                <w:caps/>
                <w:sz w:val="15"/>
                <w:lang w:val="ru-RU"/>
              </w:rPr>
            </w:pPr>
            <w:r w:rsidRPr="005A4164">
              <w:rPr>
                <w:rFonts w:ascii="Arial Black" w:hAnsi="Arial Black"/>
                <w:caps/>
                <w:sz w:val="15"/>
                <w:lang w:val="ru-RU"/>
              </w:rPr>
              <w:t>wo/pbc/23/</w:t>
            </w:r>
            <w:bookmarkStart w:id="0" w:name="Code"/>
            <w:bookmarkEnd w:id="0"/>
            <w:r w:rsidRPr="005A4164">
              <w:rPr>
                <w:rFonts w:ascii="Arial Black" w:hAnsi="Arial Black"/>
                <w:caps/>
                <w:sz w:val="15"/>
                <w:lang w:val="ru-RU"/>
              </w:rPr>
              <w:t>8</w:t>
            </w:r>
          </w:p>
        </w:tc>
      </w:tr>
      <w:tr w:rsidR="00F35DA8" w:rsidRPr="005A4164" w:rsidTr="00167405">
        <w:trPr>
          <w:trHeight w:hRule="exact" w:val="170"/>
        </w:trPr>
        <w:tc>
          <w:tcPr>
            <w:tcW w:w="9356" w:type="dxa"/>
            <w:gridSpan w:val="3"/>
            <w:noWrap/>
            <w:tcMar>
              <w:left w:w="0" w:type="dxa"/>
              <w:right w:w="0" w:type="dxa"/>
            </w:tcMar>
            <w:vAlign w:val="bottom"/>
          </w:tcPr>
          <w:p w:rsidR="00F35DA8" w:rsidRPr="005A4164" w:rsidRDefault="00C620D8" w:rsidP="00167405">
            <w:pPr>
              <w:jc w:val="right"/>
              <w:rPr>
                <w:rFonts w:ascii="Arial Black" w:hAnsi="Arial Black"/>
                <w:caps/>
                <w:sz w:val="15"/>
                <w:lang w:val="ru-RU"/>
              </w:rPr>
            </w:pPr>
            <w:r w:rsidRPr="005A4164">
              <w:rPr>
                <w:rFonts w:ascii="Arial Black" w:hAnsi="Arial Black"/>
                <w:caps/>
                <w:sz w:val="15"/>
                <w:szCs w:val="15"/>
                <w:lang w:val="ru-RU"/>
              </w:rPr>
              <w:t xml:space="preserve">ОРИГИНАЛ:  </w:t>
            </w:r>
            <w:bookmarkStart w:id="1" w:name="Original"/>
            <w:bookmarkEnd w:id="1"/>
            <w:r w:rsidRPr="005A4164">
              <w:rPr>
                <w:rFonts w:ascii="Arial Black" w:hAnsi="Arial Black"/>
                <w:caps/>
                <w:sz w:val="15"/>
                <w:szCs w:val="15"/>
                <w:lang w:val="ru-RU"/>
              </w:rPr>
              <w:t>АНГЛИЙСКИЙ</w:t>
            </w:r>
          </w:p>
        </w:tc>
      </w:tr>
      <w:tr w:rsidR="00F35DA8" w:rsidRPr="005A4164" w:rsidTr="00167405">
        <w:trPr>
          <w:trHeight w:hRule="exact" w:val="198"/>
        </w:trPr>
        <w:tc>
          <w:tcPr>
            <w:tcW w:w="9356" w:type="dxa"/>
            <w:gridSpan w:val="3"/>
            <w:tcMar>
              <w:left w:w="0" w:type="dxa"/>
              <w:right w:w="0" w:type="dxa"/>
            </w:tcMar>
            <w:vAlign w:val="bottom"/>
          </w:tcPr>
          <w:p w:rsidR="00F35DA8" w:rsidRPr="005A4164" w:rsidRDefault="00C620D8" w:rsidP="00D60490">
            <w:pPr>
              <w:jc w:val="right"/>
              <w:rPr>
                <w:rFonts w:ascii="Arial Black" w:hAnsi="Arial Black"/>
                <w:caps/>
                <w:sz w:val="15"/>
                <w:lang w:val="ru-RU"/>
              </w:rPr>
            </w:pPr>
            <w:r w:rsidRPr="005A4164">
              <w:rPr>
                <w:rFonts w:ascii="Arial Black" w:hAnsi="Arial Black"/>
                <w:caps/>
                <w:sz w:val="15"/>
                <w:szCs w:val="15"/>
                <w:lang w:val="ru-RU"/>
              </w:rPr>
              <w:t xml:space="preserve">ДАТА:  </w:t>
            </w:r>
            <w:bookmarkStart w:id="2" w:name="Date"/>
            <w:bookmarkEnd w:id="2"/>
            <w:r w:rsidRPr="005A4164">
              <w:rPr>
                <w:rFonts w:ascii="Arial Black" w:hAnsi="Arial Black"/>
                <w:caps/>
                <w:sz w:val="15"/>
                <w:szCs w:val="15"/>
                <w:lang w:val="ru-RU"/>
              </w:rPr>
              <w:t>12 ИЮНЯ 2015 Г.</w:t>
            </w:r>
          </w:p>
        </w:tc>
      </w:tr>
    </w:tbl>
    <w:p w:rsidR="00342DF9" w:rsidRPr="005A4164" w:rsidRDefault="00342DF9" w:rsidP="00C620D8">
      <w:pPr>
        <w:jc w:val="right"/>
        <w:rPr>
          <w:lang w:val="ru-RU"/>
        </w:rPr>
      </w:pPr>
    </w:p>
    <w:p w:rsidR="00342DF9" w:rsidRPr="005A4164" w:rsidRDefault="00342DF9" w:rsidP="00F35DA8">
      <w:pPr>
        <w:rPr>
          <w:lang w:val="ru-RU"/>
        </w:rPr>
      </w:pPr>
    </w:p>
    <w:p w:rsidR="00342DF9" w:rsidRPr="005A4164" w:rsidRDefault="00342DF9" w:rsidP="00F35DA8">
      <w:pPr>
        <w:rPr>
          <w:lang w:val="ru-RU"/>
        </w:rPr>
      </w:pPr>
    </w:p>
    <w:p w:rsidR="00342DF9" w:rsidRPr="005A4164" w:rsidRDefault="00342DF9" w:rsidP="00F35DA8">
      <w:pPr>
        <w:rPr>
          <w:lang w:val="ru-RU"/>
        </w:rPr>
      </w:pPr>
    </w:p>
    <w:p w:rsidR="00342DF9" w:rsidRPr="005A4164" w:rsidRDefault="00C620D8" w:rsidP="00C620D8">
      <w:pPr>
        <w:rPr>
          <w:b/>
          <w:sz w:val="28"/>
          <w:szCs w:val="28"/>
          <w:lang w:val="ru-RU"/>
        </w:rPr>
      </w:pPr>
      <w:r w:rsidRPr="005A4164">
        <w:rPr>
          <w:b/>
          <w:sz w:val="28"/>
          <w:szCs w:val="28"/>
          <w:lang w:val="ru-RU"/>
        </w:rPr>
        <w:t>Комитет по программе и бюджету</w:t>
      </w:r>
    </w:p>
    <w:p w:rsidR="00342DF9" w:rsidRPr="005A4164" w:rsidRDefault="00342DF9" w:rsidP="00C620D8">
      <w:pPr>
        <w:tabs>
          <w:tab w:val="left" w:pos="1035"/>
        </w:tabs>
        <w:rPr>
          <w:lang w:val="ru-RU"/>
        </w:rPr>
      </w:pPr>
    </w:p>
    <w:p w:rsidR="00342DF9" w:rsidRPr="005A4164" w:rsidRDefault="00342DF9" w:rsidP="00C620D8">
      <w:pPr>
        <w:rPr>
          <w:lang w:val="ru-RU"/>
        </w:rPr>
      </w:pPr>
    </w:p>
    <w:p w:rsidR="00342DF9" w:rsidRPr="005A4164" w:rsidRDefault="00C620D8" w:rsidP="00C620D8">
      <w:pPr>
        <w:rPr>
          <w:b/>
          <w:sz w:val="24"/>
          <w:szCs w:val="24"/>
          <w:lang w:val="ru-RU"/>
        </w:rPr>
      </w:pPr>
      <w:r w:rsidRPr="005A4164">
        <w:rPr>
          <w:b/>
          <w:sz w:val="24"/>
          <w:szCs w:val="24"/>
          <w:lang w:val="ru-RU"/>
        </w:rPr>
        <w:t>Двадцать третья сессия</w:t>
      </w:r>
    </w:p>
    <w:p w:rsidR="00342DF9" w:rsidRPr="005A4164" w:rsidRDefault="00C620D8" w:rsidP="00C620D8">
      <w:pPr>
        <w:rPr>
          <w:b/>
          <w:sz w:val="24"/>
          <w:szCs w:val="24"/>
          <w:lang w:val="ru-RU"/>
        </w:rPr>
      </w:pPr>
      <w:r w:rsidRPr="005A4164">
        <w:rPr>
          <w:b/>
          <w:sz w:val="24"/>
          <w:szCs w:val="24"/>
          <w:lang w:val="ru-RU"/>
        </w:rPr>
        <w:t xml:space="preserve">Женева, 13 – 17 июля 2015 г. </w:t>
      </w:r>
    </w:p>
    <w:p w:rsidR="00342DF9" w:rsidRPr="005A4164" w:rsidRDefault="00342DF9" w:rsidP="00F35DA8">
      <w:pPr>
        <w:rPr>
          <w:lang w:val="ru-RU"/>
        </w:rPr>
      </w:pPr>
    </w:p>
    <w:p w:rsidR="00342DF9" w:rsidRPr="005A4164" w:rsidRDefault="00342DF9" w:rsidP="00F35DA8">
      <w:pPr>
        <w:rPr>
          <w:lang w:val="ru-RU"/>
        </w:rPr>
      </w:pPr>
    </w:p>
    <w:p w:rsidR="00342DF9" w:rsidRPr="005A4164" w:rsidRDefault="00342DF9" w:rsidP="00F35DA8">
      <w:pPr>
        <w:rPr>
          <w:lang w:val="ru-RU"/>
        </w:rPr>
      </w:pPr>
    </w:p>
    <w:p w:rsidR="00342DF9" w:rsidRPr="005A4164" w:rsidRDefault="003842A9" w:rsidP="003842A9">
      <w:pPr>
        <w:rPr>
          <w:lang w:val="ru-RU"/>
        </w:rPr>
      </w:pPr>
      <w:bookmarkStart w:id="3" w:name="TitleOfDoc"/>
      <w:bookmarkEnd w:id="3"/>
      <w:r w:rsidRPr="005A4164">
        <w:rPr>
          <w:caps/>
          <w:sz w:val="24"/>
          <w:lang w:val="ru-RU"/>
        </w:rPr>
        <w:t xml:space="preserve">Предложение по пересмотренной политике ВОИС в отношении резервов </w:t>
      </w:r>
      <w:r w:rsidR="00F35DA8" w:rsidRPr="005A4164">
        <w:rPr>
          <w:caps/>
          <w:sz w:val="24"/>
          <w:lang w:val="ru-RU"/>
        </w:rPr>
        <w:t xml:space="preserve"> </w:t>
      </w:r>
    </w:p>
    <w:p w:rsidR="00342DF9" w:rsidRPr="005A4164" w:rsidRDefault="00342DF9" w:rsidP="00F35DA8">
      <w:pPr>
        <w:rPr>
          <w:i/>
          <w:lang w:val="ru-RU"/>
        </w:rPr>
      </w:pPr>
      <w:bookmarkStart w:id="4" w:name="Prepared"/>
      <w:bookmarkEnd w:id="4"/>
    </w:p>
    <w:p w:rsidR="00342DF9" w:rsidRPr="005A4164" w:rsidRDefault="003842A9" w:rsidP="003842A9">
      <w:pPr>
        <w:rPr>
          <w:i/>
          <w:lang w:val="ru-RU"/>
        </w:rPr>
      </w:pPr>
      <w:r w:rsidRPr="005A4164">
        <w:rPr>
          <w:i/>
          <w:lang w:val="ru-RU"/>
        </w:rPr>
        <w:t>Документ подготовлен Секретариатом</w:t>
      </w:r>
    </w:p>
    <w:p w:rsidR="00342DF9" w:rsidRPr="005A4164" w:rsidRDefault="00342DF9" w:rsidP="00F35DA8">
      <w:pPr>
        <w:rPr>
          <w:lang w:val="ru-RU"/>
        </w:rPr>
      </w:pPr>
    </w:p>
    <w:p w:rsidR="00342DF9" w:rsidRPr="005A4164" w:rsidRDefault="00342DF9" w:rsidP="00F35DA8">
      <w:pPr>
        <w:rPr>
          <w:lang w:val="ru-RU"/>
        </w:rPr>
      </w:pPr>
    </w:p>
    <w:p w:rsidR="00342DF9" w:rsidRPr="005A4164" w:rsidRDefault="00342DF9" w:rsidP="00F35DA8">
      <w:pPr>
        <w:rPr>
          <w:lang w:val="ru-RU"/>
        </w:rPr>
      </w:pPr>
    </w:p>
    <w:p w:rsidR="00342DF9" w:rsidRPr="005A4164" w:rsidRDefault="00342DF9" w:rsidP="007703D8">
      <w:pPr>
        <w:rPr>
          <w:lang w:val="ru-RU"/>
        </w:rPr>
      </w:pPr>
    </w:p>
    <w:p w:rsidR="00342DF9" w:rsidRPr="005A4164" w:rsidRDefault="003842A9" w:rsidP="003842A9">
      <w:pPr>
        <w:pStyle w:val="ListParagraph"/>
        <w:numPr>
          <w:ilvl w:val="0"/>
          <w:numId w:val="14"/>
        </w:numPr>
        <w:tabs>
          <w:tab w:val="left" w:pos="567"/>
        </w:tabs>
        <w:ind w:left="0" w:firstLine="0"/>
        <w:rPr>
          <w:lang w:val="ru-RU"/>
        </w:rPr>
      </w:pPr>
      <w:r w:rsidRPr="005A4164">
        <w:rPr>
          <w:lang w:val="ru-RU"/>
        </w:rPr>
        <w:t>Государства члены рассмотрели документ WO PBC/22/28 «Обзор финансового положения ВОИС и ее политики в отношении резервов» на двадцать второй сессии Комитета по программе и бюджету (КПБ).</w:t>
      </w:r>
      <w:r w:rsidR="00F35DA8" w:rsidRPr="005A4164">
        <w:rPr>
          <w:lang w:val="ru-RU"/>
        </w:rPr>
        <w:t xml:space="preserve">  </w:t>
      </w:r>
      <w:r w:rsidRPr="005A4164">
        <w:rPr>
          <w:lang w:val="ru-RU"/>
        </w:rPr>
        <w:t>По итогам рассмотрения документа КПБ</w:t>
      </w:r>
      <w:r w:rsidR="00D60490" w:rsidRPr="005A4164">
        <w:rPr>
          <w:lang w:val="ru-RU"/>
        </w:rPr>
        <w:t>:</w:t>
      </w:r>
    </w:p>
    <w:p w:rsidR="00342DF9" w:rsidRPr="005A4164" w:rsidRDefault="00342DF9" w:rsidP="007703D8">
      <w:pPr>
        <w:tabs>
          <w:tab w:val="left" w:pos="567"/>
        </w:tabs>
        <w:rPr>
          <w:lang w:val="ru-RU"/>
        </w:rPr>
      </w:pPr>
    </w:p>
    <w:p w:rsidR="00342DF9" w:rsidRPr="005A4164" w:rsidRDefault="003842A9" w:rsidP="000617F0">
      <w:pPr>
        <w:pStyle w:val="ONUME"/>
        <w:widowControl w:val="0"/>
        <w:numPr>
          <w:ilvl w:val="0"/>
          <w:numId w:val="0"/>
        </w:numPr>
        <w:tabs>
          <w:tab w:val="left" w:pos="567"/>
          <w:tab w:val="left" w:pos="1440"/>
        </w:tabs>
        <w:ind w:left="720"/>
        <w:rPr>
          <w:lang w:val="ru-RU"/>
        </w:rPr>
      </w:pPr>
      <w:r w:rsidRPr="005A4164">
        <w:rPr>
          <w:lang w:val="ru-RU"/>
        </w:rPr>
        <w:t>«</w:t>
      </w:r>
      <w:r w:rsidR="00F35DA8" w:rsidRPr="005A4164">
        <w:rPr>
          <w:lang w:val="ru-RU"/>
        </w:rPr>
        <w:t>(i)</w:t>
      </w:r>
      <w:r w:rsidR="00F35DA8" w:rsidRPr="005A4164">
        <w:rPr>
          <w:lang w:val="ru-RU"/>
        </w:rPr>
        <w:tab/>
      </w:r>
      <w:r w:rsidR="000617F0" w:rsidRPr="005A4164">
        <w:rPr>
          <w:lang w:val="ru-RU"/>
        </w:rPr>
        <w:t xml:space="preserve">признал необходимость проведения пересмотра политики в отношении </w:t>
      </w:r>
      <w:r w:rsidR="00B7066C" w:rsidRPr="005A4164">
        <w:rPr>
          <w:lang w:val="ru-RU"/>
        </w:rPr>
        <w:t>резервов и фондов оборотных средств</w:t>
      </w:r>
      <w:r w:rsidR="000617F0" w:rsidRPr="005A4164">
        <w:rPr>
          <w:lang w:val="ru-RU"/>
        </w:rPr>
        <w:t>;  и</w:t>
      </w:r>
    </w:p>
    <w:p w:rsidR="00342DF9" w:rsidRPr="005A4164" w:rsidRDefault="000617F0" w:rsidP="000617F0">
      <w:pPr>
        <w:pStyle w:val="ONUME"/>
        <w:widowControl w:val="0"/>
        <w:numPr>
          <w:ilvl w:val="0"/>
          <w:numId w:val="0"/>
        </w:numPr>
        <w:tabs>
          <w:tab w:val="left" w:pos="567"/>
          <w:tab w:val="left" w:pos="1440"/>
        </w:tabs>
        <w:spacing w:after="0"/>
        <w:ind w:left="720"/>
        <w:rPr>
          <w:lang w:val="ru-RU"/>
        </w:rPr>
      </w:pPr>
      <w:r w:rsidRPr="005A4164">
        <w:rPr>
          <w:lang w:val="ru-RU"/>
        </w:rPr>
        <w:t>(ii)</w:t>
      </w:r>
      <w:r w:rsidRPr="005A4164">
        <w:rPr>
          <w:lang w:val="ru-RU"/>
        </w:rPr>
        <w:tab/>
        <w:t>обратился к Секретариату с просьбой представить КПБ комплексный проект политики, который включал бы определение целевого показателя чистых активов, соображения относительно ликвидности, а также принципы управления имеющимся профицитом сверх целевого уровня, его использования и представления по нему отчетности, с учетом замечаний и указаний государств-членов и соответствующих рекомендаций аудиторских и надзорных органов</w:t>
      </w:r>
      <w:r w:rsidR="006D0A69" w:rsidRPr="005A4164">
        <w:rPr>
          <w:lang w:val="ru-RU"/>
        </w:rPr>
        <w:t>»</w:t>
      </w:r>
      <w:r w:rsidRPr="005A4164">
        <w:rPr>
          <w:lang w:val="ru-RU"/>
        </w:rPr>
        <w:t>.</w:t>
      </w:r>
    </w:p>
    <w:p w:rsidR="00342DF9" w:rsidRPr="005A4164" w:rsidRDefault="00342DF9" w:rsidP="007703D8">
      <w:pPr>
        <w:pStyle w:val="ONUME"/>
        <w:widowControl w:val="0"/>
        <w:numPr>
          <w:ilvl w:val="0"/>
          <w:numId w:val="0"/>
        </w:numPr>
        <w:tabs>
          <w:tab w:val="left" w:pos="567"/>
          <w:tab w:val="left" w:pos="1440"/>
        </w:tabs>
        <w:spacing w:after="0"/>
        <w:ind w:left="720"/>
        <w:rPr>
          <w:lang w:val="ru-RU"/>
        </w:rPr>
      </w:pPr>
    </w:p>
    <w:p w:rsidR="00342DF9" w:rsidRPr="005A4164" w:rsidRDefault="006D0A69" w:rsidP="006D0A69">
      <w:pPr>
        <w:pStyle w:val="ListParagraph"/>
        <w:numPr>
          <w:ilvl w:val="0"/>
          <w:numId w:val="14"/>
        </w:numPr>
        <w:tabs>
          <w:tab w:val="left" w:pos="567"/>
        </w:tabs>
        <w:ind w:left="0" w:firstLine="0"/>
        <w:rPr>
          <w:lang w:val="ru-RU"/>
        </w:rPr>
      </w:pPr>
      <w:r w:rsidRPr="005A4164">
        <w:rPr>
          <w:lang w:val="ru-RU"/>
        </w:rPr>
        <w:t>В соответствии с указаниями КПБ Секретариат представляет в приложении I к настоящему документу проект пересмотренной политики в отношении резервов</w:t>
      </w:r>
      <w:r w:rsidR="00A27505" w:rsidRPr="005A4164">
        <w:rPr>
          <w:lang w:val="ru-RU"/>
        </w:rPr>
        <w:t>.</w:t>
      </w:r>
    </w:p>
    <w:p w:rsidR="00342DF9" w:rsidRPr="005A4164" w:rsidRDefault="00342DF9" w:rsidP="006D0A69">
      <w:pPr>
        <w:pStyle w:val="ListParagraph"/>
        <w:tabs>
          <w:tab w:val="left" w:pos="567"/>
        </w:tabs>
        <w:ind w:left="0"/>
        <w:rPr>
          <w:lang w:val="ru-RU"/>
        </w:rPr>
      </w:pPr>
    </w:p>
    <w:p w:rsidR="00342DF9" w:rsidRPr="005A4164" w:rsidRDefault="006D0A69" w:rsidP="007703D8">
      <w:pPr>
        <w:pStyle w:val="ListParagraph"/>
        <w:keepNext/>
        <w:keepLines/>
        <w:numPr>
          <w:ilvl w:val="0"/>
          <w:numId w:val="14"/>
        </w:numPr>
        <w:tabs>
          <w:tab w:val="left" w:pos="567"/>
        </w:tabs>
        <w:ind w:left="0" w:firstLine="0"/>
        <w:rPr>
          <w:lang w:val="ru-RU"/>
        </w:rPr>
      </w:pPr>
      <w:r w:rsidRPr="005A4164">
        <w:rPr>
          <w:lang w:val="ru-RU"/>
        </w:rPr>
        <w:t>Целями пересмотренной политики являются следующие</w:t>
      </w:r>
      <w:r w:rsidR="00F35DA8" w:rsidRPr="005A4164">
        <w:rPr>
          <w:lang w:val="ru-RU"/>
        </w:rPr>
        <w:t>:</w:t>
      </w:r>
    </w:p>
    <w:p w:rsidR="00342DF9" w:rsidRPr="005A4164" w:rsidRDefault="00342DF9" w:rsidP="007703D8">
      <w:pPr>
        <w:pStyle w:val="ListParagraph"/>
        <w:keepNext/>
        <w:keepLines/>
        <w:tabs>
          <w:tab w:val="left" w:pos="567"/>
        </w:tabs>
        <w:ind w:left="0"/>
        <w:rPr>
          <w:lang w:val="ru-RU"/>
        </w:rPr>
      </w:pPr>
    </w:p>
    <w:p w:rsidR="00342DF9" w:rsidRPr="005A4164" w:rsidRDefault="00D62A22" w:rsidP="00D62A22">
      <w:pPr>
        <w:pStyle w:val="ONUME"/>
        <w:numPr>
          <w:ilvl w:val="0"/>
          <w:numId w:val="23"/>
        </w:numPr>
        <w:tabs>
          <w:tab w:val="left" w:pos="1276"/>
        </w:tabs>
        <w:ind w:left="1134" w:hanging="567"/>
        <w:rPr>
          <w:lang w:val="ru-RU"/>
        </w:rPr>
      </w:pPr>
      <w:r w:rsidRPr="005A4164">
        <w:rPr>
          <w:lang w:val="ru-RU"/>
        </w:rPr>
        <w:t>дальнейшее укрепление управления финансами и управления риском в Организации;</w:t>
      </w:r>
      <w:r w:rsidR="00B02EDD" w:rsidRPr="005A4164">
        <w:rPr>
          <w:lang w:val="ru-RU"/>
        </w:rPr>
        <w:t xml:space="preserve"> </w:t>
      </w:r>
    </w:p>
    <w:p w:rsidR="00342DF9" w:rsidRPr="005A4164" w:rsidRDefault="00D62A22" w:rsidP="00D62A22">
      <w:pPr>
        <w:pStyle w:val="ONUME"/>
        <w:numPr>
          <w:ilvl w:val="0"/>
          <w:numId w:val="23"/>
        </w:numPr>
        <w:tabs>
          <w:tab w:val="left" w:pos="1276"/>
        </w:tabs>
        <w:ind w:left="1134" w:hanging="567"/>
        <w:rPr>
          <w:lang w:val="ru-RU"/>
        </w:rPr>
      </w:pPr>
      <w:r w:rsidRPr="005A4164">
        <w:rPr>
          <w:lang w:val="ru-RU"/>
        </w:rPr>
        <w:t>предоставление Секретариату расширенных рекомендаций относительно дальнейшего управления резервами, в том числе в отношении целевых уровней и ликвидности;</w:t>
      </w:r>
      <w:r w:rsidR="00B02EDD" w:rsidRPr="005A4164">
        <w:rPr>
          <w:lang w:val="ru-RU"/>
        </w:rPr>
        <w:t xml:space="preserve">  </w:t>
      </w:r>
    </w:p>
    <w:p w:rsidR="00342DF9" w:rsidRPr="005A4164" w:rsidRDefault="006623A1" w:rsidP="007703D8">
      <w:pPr>
        <w:pStyle w:val="ONUME"/>
        <w:numPr>
          <w:ilvl w:val="0"/>
          <w:numId w:val="23"/>
        </w:numPr>
        <w:tabs>
          <w:tab w:val="left" w:pos="1276"/>
        </w:tabs>
        <w:ind w:left="1134" w:hanging="567"/>
        <w:rPr>
          <w:lang w:val="ru-RU"/>
        </w:rPr>
      </w:pPr>
      <w:r w:rsidRPr="005A4164">
        <w:rPr>
          <w:lang w:val="ru-RU"/>
        </w:rPr>
        <w:t xml:space="preserve">уточнение и углубление отчетности по резервам в соответствии с применимыми стандартами учета (МСУГС), нормативной базой Организации (финансовые положения различных </w:t>
      </w:r>
      <w:r w:rsidR="00ED6E29" w:rsidRPr="005A4164">
        <w:rPr>
          <w:lang w:val="ru-RU"/>
        </w:rPr>
        <w:t>союз</w:t>
      </w:r>
      <w:r w:rsidR="00DD07EC" w:rsidRPr="005A4164">
        <w:rPr>
          <w:lang w:val="ru-RU"/>
        </w:rPr>
        <w:t xml:space="preserve">ов </w:t>
      </w:r>
      <w:r w:rsidRPr="005A4164">
        <w:rPr>
          <w:lang w:val="ru-RU"/>
        </w:rPr>
        <w:t>Организации и ее финансовые положения и правила) и рекомендациями аудиторских и надзорных органов</w:t>
      </w:r>
      <w:r w:rsidR="00B02EDD" w:rsidRPr="005A4164">
        <w:rPr>
          <w:lang w:val="ru-RU"/>
        </w:rPr>
        <w:t xml:space="preserve">; </w:t>
      </w:r>
    </w:p>
    <w:p w:rsidR="00342DF9" w:rsidRPr="005A4164" w:rsidRDefault="006623A1" w:rsidP="00C65236">
      <w:pPr>
        <w:pStyle w:val="ONUME"/>
        <w:numPr>
          <w:ilvl w:val="0"/>
          <w:numId w:val="23"/>
        </w:numPr>
        <w:tabs>
          <w:tab w:val="left" w:pos="1276"/>
        </w:tabs>
        <w:ind w:left="1134" w:hanging="567"/>
        <w:rPr>
          <w:lang w:val="ru-RU"/>
        </w:rPr>
      </w:pPr>
      <w:r w:rsidRPr="005A4164">
        <w:rPr>
          <w:lang w:val="ru-RU"/>
        </w:rPr>
        <w:t xml:space="preserve">определение четких критериев и требований к информации, которые облегчат оценку государствами-членами предложений </w:t>
      </w:r>
      <w:r w:rsidR="00C65236" w:rsidRPr="005A4164">
        <w:rPr>
          <w:lang w:val="ru-RU"/>
        </w:rPr>
        <w:t xml:space="preserve">об использовании </w:t>
      </w:r>
      <w:r w:rsidR="00ED6E29" w:rsidRPr="005A4164">
        <w:rPr>
          <w:lang w:val="ru-RU"/>
        </w:rPr>
        <w:t xml:space="preserve">имеющихся </w:t>
      </w:r>
      <w:r w:rsidR="00C65236" w:rsidRPr="005A4164">
        <w:rPr>
          <w:lang w:val="ru-RU"/>
        </w:rPr>
        <w:t>резервов для финансирования проектов и принятие ими соответствующих решений</w:t>
      </w:r>
      <w:r w:rsidR="00B02EDD" w:rsidRPr="005A4164">
        <w:rPr>
          <w:lang w:val="ru-RU"/>
        </w:rPr>
        <w:t xml:space="preserve">; </w:t>
      </w:r>
      <w:r w:rsidR="005C1890" w:rsidRPr="005A4164">
        <w:rPr>
          <w:lang w:val="ru-RU"/>
        </w:rPr>
        <w:t xml:space="preserve"> </w:t>
      </w:r>
      <w:r w:rsidR="00C65236" w:rsidRPr="005A4164">
        <w:rPr>
          <w:lang w:val="ru-RU"/>
        </w:rPr>
        <w:t>и</w:t>
      </w:r>
      <w:r w:rsidR="005C1890" w:rsidRPr="005A4164">
        <w:rPr>
          <w:lang w:val="ru-RU"/>
        </w:rPr>
        <w:t xml:space="preserve"> </w:t>
      </w:r>
    </w:p>
    <w:p w:rsidR="00342DF9" w:rsidRPr="005A4164" w:rsidRDefault="00C65236" w:rsidP="00C65236">
      <w:pPr>
        <w:pStyle w:val="ONUME"/>
        <w:numPr>
          <w:ilvl w:val="0"/>
          <w:numId w:val="23"/>
        </w:numPr>
        <w:tabs>
          <w:tab w:val="left" w:pos="1276"/>
        </w:tabs>
        <w:ind w:left="1134" w:hanging="567"/>
        <w:rPr>
          <w:lang w:val="ru-RU"/>
        </w:rPr>
      </w:pPr>
      <w:r w:rsidRPr="005A4164">
        <w:rPr>
          <w:lang w:val="ru-RU"/>
        </w:rPr>
        <w:t>обеспечение более полного соблюдения рекомендаций аудиторских и надзорных органов в отношении резервов</w:t>
      </w:r>
      <w:r w:rsidR="005C1890" w:rsidRPr="005A4164">
        <w:rPr>
          <w:lang w:val="ru-RU"/>
        </w:rPr>
        <w:t>.</w:t>
      </w:r>
    </w:p>
    <w:p w:rsidR="00342DF9" w:rsidRPr="005A4164" w:rsidRDefault="00C65236" w:rsidP="00C573ED">
      <w:pPr>
        <w:pStyle w:val="ListParagraph"/>
        <w:numPr>
          <w:ilvl w:val="0"/>
          <w:numId w:val="14"/>
        </w:numPr>
        <w:tabs>
          <w:tab w:val="left" w:pos="709"/>
          <w:tab w:val="left" w:pos="6096"/>
        </w:tabs>
        <w:ind w:left="5533" w:right="-1" w:firstLine="0"/>
        <w:rPr>
          <w:i/>
          <w:lang w:val="ru-RU"/>
        </w:rPr>
      </w:pPr>
      <w:r w:rsidRPr="005A4164">
        <w:rPr>
          <w:i/>
          <w:lang w:val="ru-RU"/>
        </w:rPr>
        <w:t xml:space="preserve">Комитет по программе и бюджету (КПБ), изучив комплексный проект пересмотренной политики, включающий определение целевого показателя, соображения относительно ликвидности и принципы управления имеющимся профицитом сверх целевого уровня, его использования и представления по нему отчетности, с учетом замечаний и указаний государств-членов, а также соответствующих рекомендаций аудиторских и надзорных органов, </w:t>
      </w:r>
      <w:r w:rsidR="00C573ED" w:rsidRPr="005A4164">
        <w:rPr>
          <w:i/>
          <w:lang w:val="ru-RU"/>
        </w:rPr>
        <w:t xml:space="preserve">рекомендовал Ассамблеям государств членов ВОИС и </w:t>
      </w:r>
      <w:r w:rsidR="00ED6E29" w:rsidRPr="005A4164">
        <w:rPr>
          <w:i/>
          <w:lang w:val="ru-RU"/>
        </w:rPr>
        <w:t>союз</w:t>
      </w:r>
      <w:r w:rsidR="00DD07EC" w:rsidRPr="005A4164">
        <w:rPr>
          <w:i/>
          <w:lang w:val="ru-RU"/>
        </w:rPr>
        <w:t>ов</w:t>
      </w:r>
      <w:r w:rsidR="00C573ED" w:rsidRPr="005A4164">
        <w:rPr>
          <w:i/>
          <w:lang w:val="ru-RU"/>
        </w:rPr>
        <w:t>, каждой в той степени, насколько это ее касается, одобрить политику в отношении резервов, содержащуюся в приложении I к документу WO/PBC/23/8.</w:t>
      </w:r>
    </w:p>
    <w:p w:rsidR="00342DF9" w:rsidRPr="005A4164" w:rsidRDefault="00342DF9" w:rsidP="007703D8">
      <w:pPr>
        <w:pStyle w:val="ListParagraph"/>
        <w:tabs>
          <w:tab w:val="left" w:pos="709"/>
        </w:tabs>
        <w:ind w:left="0" w:right="-1"/>
        <w:rPr>
          <w:lang w:val="ru-RU"/>
        </w:rPr>
      </w:pPr>
    </w:p>
    <w:p w:rsidR="00342DF9" w:rsidRPr="005A4164" w:rsidRDefault="00DD07EC" w:rsidP="007703D8">
      <w:pPr>
        <w:pStyle w:val="ListParagraph"/>
        <w:numPr>
          <w:ilvl w:val="0"/>
          <w:numId w:val="14"/>
        </w:numPr>
        <w:ind w:left="0" w:right="-1" w:firstLine="0"/>
        <w:rPr>
          <w:lang w:val="ru-RU"/>
        </w:rPr>
      </w:pPr>
      <w:r w:rsidRPr="005A4164">
        <w:rPr>
          <w:lang w:val="ru-RU"/>
        </w:rPr>
        <w:t xml:space="preserve">При рассмотрении на двадцать второй сессии КПБ финансового положения и политики в отношении резервов было отмечено, что </w:t>
      </w:r>
      <w:r w:rsidR="00B719FE" w:rsidRPr="005A4164">
        <w:rPr>
          <w:lang w:val="ru-RU"/>
        </w:rPr>
        <w:t xml:space="preserve">Фонды </w:t>
      </w:r>
      <w:r w:rsidRPr="005A4164">
        <w:rPr>
          <w:lang w:val="ru-RU"/>
        </w:rPr>
        <w:t xml:space="preserve">оборотных средств (ФОС), который в настоящее время составляет 8,3 млн шв. франков и был создан за счет взносов государств-членов, с 1990 г. остается неизменным.  Имеющаяся на данный момент сумма в 8,3 млн шв. франков образуется из 2 млн шв. </w:t>
      </w:r>
      <w:bookmarkStart w:id="5" w:name="OLE_LINK1"/>
      <w:r w:rsidRPr="005A4164">
        <w:rPr>
          <w:lang w:val="ru-RU"/>
        </w:rPr>
        <w:t xml:space="preserve">франков, принадлежащих </w:t>
      </w:r>
      <w:bookmarkEnd w:id="5"/>
      <w:r w:rsidRPr="005A4164">
        <w:rPr>
          <w:lang w:val="ru-RU"/>
        </w:rPr>
        <w:t>Союзу PCT, 2 млн шв. франков, принадлежащих Мадридскому союзу, 260 000 шв. франков, принадлежащих Гаагскому союзу, и еще 4 млн шв. франков, принадлежащих союзам, финансируемым за счет взносов</w:t>
      </w:r>
      <w:r w:rsidR="00FC2793" w:rsidRPr="005A4164">
        <w:rPr>
          <w:lang w:val="ru-RU"/>
        </w:rPr>
        <w:t xml:space="preserve">. </w:t>
      </w:r>
    </w:p>
    <w:p w:rsidR="00342DF9" w:rsidRPr="005A4164" w:rsidRDefault="00342DF9" w:rsidP="007703D8">
      <w:pPr>
        <w:ind w:right="-1"/>
        <w:rPr>
          <w:lang w:val="ru-RU"/>
        </w:rPr>
      </w:pPr>
    </w:p>
    <w:p w:rsidR="00342DF9" w:rsidRPr="005A4164" w:rsidRDefault="00DD07EC" w:rsidP="007703D8">
      <w:pPr>
        <w:pStyle w:val="ListParagraph"/>
        <w:numPr>
          <w:ilvl w:val="0"/>
          <w:numId w:val="14"/>
        </w:numPr>
        <w:ind w:left="0" w:right="-1" w:firstLine="0"/>
        <w:rPr>
          <w:lang w:val="ru-RU"/>
        </w:rPr>
      </w:pPr>
      <w:r w:rsidRPr="005A4164">
        <w:rPr>
          <w:lang w:val="ru-RU"/>
        </w:rPr>
        <w:t xml:space="preserve">Система PCT </w:t>
      </w:r>
      <w:r w:rsidR="007C6CC1" w:rsidRPr="005A4164">
        <w:rPr>
          <w:lang w:val="ru-RU"/>
        </w:rPr>
        <w:t xml:space="preserve">со временем существенно </w:t>
      </w:r>
      <w:r w:rsidR="00B7066C" w:rsidRPr="005A4164">
        <w:rPr>
          <w:lang w:val="ru-RU"/>
        </w:rPr>
        <w:t>расширилась</w:t>
      </w:r>
      <w:r w:rsidR="007C6CC1" w:rsidRPr="005A4164">
        <w:rPr>
          <w:lang w:val="ru-RU"/>
        </w:rPr>
        <w:t xml:space="preserve">, и в настоящее время Организация получает приблизительно 76 процентов своего дохода от PCT.  Фонд оборотных средств PCT в размере 2 млн шв. франков составляет 1,4 процента </w:t>
      </w:r>
      <w:r w:rsidR="00ED6E29" w:rsidRPr="005A4164">
        <w:rPr>
          <w:lang w:val="ru-RU"/>
        </w:rPr>
        <w:t xml:space="preserve">резервов </w:t>
      </w:r>
      <w:r w:rsidR="007C6CC1" w:rsidRPr="005A4164">
        <w:rPr>
          <w:lang w:val="ru-RU"/>
        </w:rPr>
        <w:t>и фонд</w:t>
      </w:r>
      <w:r w:rsidR="00B7066C" w:rsidRPr="005A4164">
        <w:rPr>
          <w:lang w:val="ru-RU"/>
        </w:rPr>
        <w:t xml:space="preserve">а </w:t>
      </w:r>
      <w:r w:rsidR="007C6CC1" w:rsidRPr="005A4164">
        <w:rPr>
          <w:lang w:val="ru-RU"/>
        </w:rPr>
        <w:t>оборотных средств (РФОС) Союза PCT и приблизительно 1,0 процента РФОС всей Организации</w:t>
      </w:r>
      <w:r w:rsidR="005A4946" w:rsidRPr="005A4164">
        <w:rPr>
          <w:lang w:val="ru-RU"/>
        </w:rPr>
        <w:t xml:space="preserve">, и он более не обеспечивает существенной защиты от финансовых рисков или уменьшения их последствий в случае сокращения доходов PCT.  Если данные риски материализуются, для их преодоления будет </w:t>
      </w:r>
      <w:r w:rsidR="006A40CB" w:rsidRPr="005A4164">
        <w:rPr>
          <w:lang w:val="ru-RU"/>
        </w:rPr>
        <w:t xml:space="preserve">задействован, </w:t>
      </w:r>
      <w:r w:rsidR="005A4946" w:rsidRPr="005A4164">
        <w:rPr>
          <w:lang w:val="ru-RU"/>
        </w:rPr>
        <w:t>главным образом</w:t>
      </w:r>
      <w:r w:rsidR="006A40CB" w:rsidRPr="005A4164">
        <w:rPr>
          <w:lang w:val="ru-RU"/>
        </w:rPr>
        <w:t>,</w:t>
      </w:r>
      <w:r w:rsidR="005A4946" w:rsidRPr="005A4164">
        <w:rPr>
          <w:lang w:val="ru-RU"/>
        </w:rPr>
        <w:t xml:space="preserve"> компонент резервов РФОС, и пересмотренная политика в отношении резервов включает предложение об увеличении целевого уровня резервов Союза PCT с 15 до 20 процентов. </w:t>
      </w:r>
      <w:r w:rsidR="006A40CB" w:rsidRPr="005A4164">
        <w:rPr>
          <w:lang w:val="ru-RU"/>
        </w:rPr>
        <w:t xml:space="preserve">В этой связи </w:t>
      </w:r>
      <w:r w:rsidR="005A4946" w:rsidRPr="005A4164">
        <w:rPr>
          <w:lang w:val="ru-RU"/>
        </w:rPr>
        <w:t xml:space="preserve">Секретариат предлагает вернуть государствам-членам компонент ФОС, принадлежащий Союзу PCT и находящийся в доверительном управлении ВОИС в интересах государств–членов Союза PCT.  Для упрощения административных процедур предлагается осуществить данные платежи посредством вычетов из </w:t>
      </w:r>
      <w:r w:rsidR="006A40CB" w:rsidRPr="005A4164">
        <w:rPr>
          <w:lang w:val="ru-RU"/>
        </w:rPr>
        <w:t>выставляемых государствам-членам счетов-фактур на оплату взносов</w:t>
      </w:r>
      <w:r w:rsidR="003B4559" w:rsidRPr="005A4164">
        <w:rPr>
          <w:lang w:val="ru-RU"/>
        </w:rPr>
        <w:t>.</w:t>
      </w:r>
    </w:p>
    <w:p w:rsidR="00342DF9" w:rsidRPr="005A4164" w:rsidRDefault="00342DF9" w:rsidP="007703D8">
      <w:pPr>
        <w:ind w:left="1440" w:right="-1"/>
        <w:rPr>
          <w:lang w:val="ru-RU"/>
        </w:rPr>
      </w:pPr>
    </w:p>
    <w:p w:rsidR="00342DF9" w:rsidRPr="005A4164" w:rsidRDefault="006A40CB" w:rsidP="007703D8">
      <w:pPr>
        <w:pStyle w:val="ListParagraph"/>
        <w:numPr>
          <w:ilvl w:val="0"/>
          <w:numId w:val="14"/>
        </w:numPr>
        <w:tabs>
          <w:tab w:val="left" w:pos="709"/>
          <w:tab w:val="left" w:pos="5954"/>
        </w:tabs>
        <w:ind w:left="5387" w:firstLine="0"/>
        <w:rPr>
          <w:i/>
          <w:lang w:val="ru-RU"/>
        </w:rPr>
      </w:pPr>
      <w:r w:rsidRPr="005A4164">
        <w:rPr>
          <w:i/>
          <w:lang w:val="ru-RU"/>
        </w:rPr>
        <w:t>КПБ рекомендовал Ассамблеям государств членов ВОИС и союзов, каждой в той степени, насколько это ее касается, вернуть государствам-членам Союза PCT компонент</w:t>
      </w:r>
      <w:r w:rsidRPr="005A4164">
        <w:rPr>
          <w:lang w:val="ru-RU"/>
        </w:rPr>
        <w:t xml:space="preserve"> </w:t>
      </w:r>
      <w:r w:rsidRPr="005A4164">
        <w:rPr>
          <w:i/>
          <w:lang w:val="ru-RU"/>
        </w:rPr>
        <w:t>фонда оборотных средств (ФОС) в размере 2 млн шв. франков, принадлежащий Союзу PCT, посредством вычетов из счетов-фактур на оплату взносов за двухлетний период 2016-2017 гг</w:t>
      </w:r>
      <w:r w:rsidR="002E2D6D" w:rsidRPr="005A4164">
        <w:rPr>
          <w:i/>
          <w:lang w:val="ru-RU"/>
        </w:rPr>
        <w:t>.</w:t>
      </w:r>
    </w:p>
    <w:p w:rsidR="00342DF9" w:rsidRPr="005A4164" w:rsidRDefault="00342DF9" w:rsidP="007703D8">
      <w:pPr>
        <w:ind w:left="5040"/>
        <w:rPr>
          <w:szCs w:val="22"/>
          <w:lang w:val="ru-RU"/>
        </w:rPr>
      </w:pPr>
    </w:p>
    <w:p w:rsidR="00342DF9" w:rsidRPr="005A4164" w:rsidRDefault="00342DF9" w:rsidP="007703D8">
      <w:pPr>
        <w:ind w:left="5040"/>
        <w:rPr>
          <w:szCs w:val="22"/>
          <w:lang w:val="ru-RU"/>
        </w:rPr>
      </w:pPr>
    </w:p>
    <w:p w:rsidR="00342DF9" w:rsidRPr="005A4164" w:rsidRDefault="00C40CF1" w:rsidP="00C40CF1">
      <w:pPr>
        <w:pStyle w:val="Endofdocument"/>
        <w:spacing w:line="240" w:lineRule="auto"/>
        <w:rPr>
          <w:sz w:val="22"/>
          <w:szCs w:val="22"/>
          <w:lang w:val="ru-RU"/>
        </w:rPr>
      </w:pPr>
      <w:r w:rsidRPr="005A4164">
        <w:rPr>
          <w:sz w:val="22"/>
          <w:szCs w:val="22"/>
          <w:lang w:val="ru-RU"/>
        </w:rPr>
        <w:t>[Приложения следуют]</w:t>
      </w:r>
    </w:p>
    <w:p w:rsidR="00342DF9" w:rsidRPr="005A4164" w:rsidRDefault="00342DF9" w:rsidP="007703D8">
      <w:pPr>
        <w:pStyle w:val="Endofdocument"/>
        <w:spacing w:line="240" w:lineRule="auto"/>
        <w:rPr>
          <w:sz w:val="22"/>
          <w:szCs w:val="22"/>
          <w:lang w:val="ru-RU"/>
        </w:rPr>
      </w:pPr>
    </w:p>
    <w:p w:rsidR="00A94682" w:rsidRPr="005A4164" w:rsidRDefault="00A94682" w:rsidP="001A3402">
      <w:pPr>
        <w:pStyle w:val="Endofdocument"/>
        <w:rPr>
          <w:sz w:val="22"/>
          <w:szCs w:val="22"/>
          <w:lang w:val="ru-RU"/>
        </w:rPr>
        <w:sectPr w:rsidR="00A94682" w:rsidRPr="005A4164" w:rsidSect="009A673B">
          <w:headerReference w:type="default" r:id="rId10"/>
          <w:footerReference w:type="even" r:id="rId11"/>
          <w:footerReference w:type="default" r:id="rId12"/>
          <w:pgSz w:w="11907" w:h="16839" w:code="9"/>
          <w:pgMar w:top="567" w:right="1134" w:bottom="1361" w:left="1418" w:header="624" w:footer="720" w:gutter="0"/>
          <w:cols w:space="720"/>
          <w:titlePg/>
          <w:docGrid w:linePitch="360"/>
        </w:sectPr>
      </w:pPr>
    </w:p>
    <w:p w:rsidR="00342DF9" w:rsidRPr="005A4164" w:rsidRDefault="00C158F6" w:rsidP="007E3FFD">
      <w:pPr>
        <w:tabs>
          <w:tab w:val="left" w:pos="1701"/>
        </w:tabs>
        <w:rPr>
          <w:b/>
          <w:bCs/>
          <w:lang w:val="ru-RU"/>
        </w:rPr>
      </w:pPr>
      <w:r w:rsidRPr="005A4164">
        <w:rPr>
          <w:b/>
          <w:bCs/>
          <w:lang w:val="ru-RU"/>
        </w:rPr>
        <w:t>ПЕРЕСМОТРЕННАЯ ПОЛИТИКА В ОТНОШЕНИИ РЕЗЕРВОВ</w:t>
      </w:r>
      <w:r w:rsidR="00C3714C" w:rsidRPr="005A4164">
        <w:rPr>
          <w:b/>
          <w:bCs/>
          <w:lang w:val="ru-RU"/>
        </w:rPr>
        <w:t xml:space="preserve"> </w:t>
      </w:r>
    </w:p>
    <w:p w:rsidR="00342DF9" w:rsidRPr="005A4164" w:rsidRDefault="00342DF9" w:rsidP="007E3FFD">
      <w:pPr>
        <w:tabs>
          <w:tab w:val="left" w:pos="1701"/>
        </w:tabs>
        <w:rPr>
          <w:b/>
          <w:bCs/>
          <w:lang w:val="ru-RU"/>
        </w:rPr>
      </w:pPr>
    </w:p>
    <w:p w:rsidR="00342DF9" w:rsidRPr="005A4164" w:rsidRDefault="00342DF9" w:rsidP="007E3FFD">
      <w:pPr>
        <w:tabs>
          <w:tab w:val="left" w:pos="1701"/>
        </w:tabs>
        <w:jc w:val="center"/>
        <w:rPr>
          <w:b/>
          <w:bCs/>
          <w:lang w:val="ru-RU"/>
        </w:rPr>
      </w:pPr>
    </w:p>
    <w:p w:rsidR="00342DF9" w:rsidRPr="005A4164" w:rsidRDefault="00C3714C" w:rsidP="007E3FFD">
      <w:pPr>
        <w:tabs>
          <w:tab w:val="left" w:pos="567"/>
        </w:tabs>
        <w:rPr>
          <w:b/>
          <w:lang w:val="ru-RU"/>
        </w:rPr>
      </w:pPr>
      <w:r w:rsidRPr="005A4164">
        <w:rPr>
          <w:b/>
          <w:lang w:val="ru-RU"/>
        </w:rPr>
        <w:t>I.</w:t>
      </w:r>
      <w:r w:rsidR="00C948D8" w:rsidRPr="005A4164">
        <w:rPr>
          <w:b/>
          <w:lang w:val="ru-RU"/>
        </w:rPr>
        <w:tab/>
      </w:r>
      <w:r w:rsidR="00C158F6" w:rsidRPr="005A4164">
        <w:rPr>
          <w:b/>
          <w:lang w:val="ru-RU"/>
        </w:rPr>
        <w:t xml:space="preserve">ВВЕДЕНИЕ И ОПРЕДЕЛЕНИЯ </w:t>
      </w:r>
    </w:p>
    <w:p w:rsidR="00342DF9" w:rsidRPr="005A4164" w:rsidRDefault="00342DF9" w:rsidP="007E3FFD">
      <w:pPr>
        <w:tabs>
          <w:tab w:val="left" w:pos="1701"/>
        </w:tabs>
        <w:rPr>
          <w:b/>
          <w:lang w:val="ru-RU"/>
        </w:rPr>
      </w:pPr>
    </w:p>
    <w:p w:rsidR="00342DF9" w:rsidRPr="005A4164" w:rsidRDefault="001F1C79" w:rsidP="001F1C79">
      <w:pPr>
        <w:pStyle w:val="ListParagraph"/>
        <w:numPr>
          <w:ilvl w:val="0"/>
          <w:numId w:val="19"/>
        </w:numPr>
        <w:tabs>
          <w:tab w:val="left" w:pos="567"/>
        </w:tabs>
        <w:ind w:left="0" w:right="-1" w:firstLine="0"/>
        <w:rPr>
          <w:lang w:val="ru-RU"/>
        </w:rPr>
      </w:pPr>
      <w:r w:rsidRPr="005A4164">
        <w:rPr>
          <w:lang w:val="ru-RU"/>
        </w:rPr>
        <w:t>Резервы ВОИС служат цели уменьшения до минимума последствий сокращения доходов и обеспечения максимальных возможностей того, что Организация сможет выполнять свои обязательства в краткосрочной перспективе и сохранять свою финансовую стабильность.</w:t>
      </w:r>
      <w:r w:rsidR="00C3714C" w:rsidRPr="005A4164">
        <w:rPr>
          <w:lang w:val="ru-RU"/>
        </w:rPr>
        <w:t xml:space="preserve"> </w:t>
      </w:r>
      <w:r w:rsidRPr="005A4164">
        <w:rPr>
          <w:lang w:val="ru-RU"/>
        </w:rPr>
        <w:t>Резервы учитываются в качестве чистых активов Организации, а именно разницы между совокупными активами и совокупными пассивами.</w:t>
      </w:r>
      <w:r w:rsidR="00C3714C" w:rsidRPr="005A4164">
        <w:rPr>
          <w:lang w:val="ru-RU"/>
        </w:rPr>
        <w:t xml:space="preserve">  </w:t>
      </w:r>
      <w:r w:rsidRPr="005A4164">
        <w:rPr>
          <w:lang w:val="ru-RU"/>
        </w:rPr>
        <w:t>Резервы ВОИС состоят из резерв</w:t>
      </w:r>
      <w:r w:rsidR="00B7066C" w:rsidRPr="005A4164">
        <w:rPr>
          <w:lang w:val="ru-RU"/>
        </w:rPr>
        <w:t xml:space="preserve">ных фондов </w:t>
      </w:r>
      <w:r w:rsidRPr="005A4164">
        <w:rPr>
          <w:lang w:val="ru-RU"/>
        </w:rPr>
        <w:t>и фонд</w:t>
      </w:r>
      <w:r w:rsidR="00B7066C" w:rsidRPr="005A4164">
        <w:rPr>
          <w:lang w:val="ru-RU"/>
        </w:rPr>
        <w:t xml:space="preserve">ов </w:t>
      </w:r>
      <w:r w:rsidRPr="005A4164">
        <w:rPr>
          <w:lang w:val="ru-RU"/>
        </w:rPr>
        <w:t>оборотных средств Организации</w:t>
      </w:r>
      <w:r w:rsidR="00B7066C" w:rsidRPr="005A4164">
        <w:rPr>
          <w:lang w:val="ru-RU"/>
        </w:rPr>
        <w:t xml:space="preserve">, которые </w:t>
      </w:r>
      <w:r w:rsidRPr="005A4164">
        <w:rPr>
          <w:lang w:val="ru-RU"/>
        </w:rPr>
        <w:t xml:space="preserve">именуются </w:t>
      </w:r>
      <w:r w:rsidR="00B7066C" w:rsidRPr="005A4164">
        <w:rPr>
          <w:lang w:val="ru-RU"/>
        </w:rPr>
        <w:t>«</w:t>
      </w:r>
      <w:r w:rsidRPr="005A4164">
        <w:rPr>
          <w:lang w:val="ru-RU"/>
        </w:rPr>
        <w:t>Резерв</w:t>
      </w:r>
      <w:r w:rsidR="00B7066C" w:rsidRPr="005A4164">
        <w:rPr>
          <w:lang w:val="ru-RU"/>
        </w:rPr>
        <w:t xml:space="preserve">ом </w:t>
      </w:r>
      <w:r w:rsidRPr="005A4164">
        <w:rPr>
          <w:lang w:val="ru-RU"/>
        </w:rPr>
        <w:t>и фонд</w:t>
      </w:r>
      <w:r w:rsidR="00B7066C" w:rsidRPr="005A4164">
        <w:rPr>
          <w:lang w:val="ru-RU"/>
        </w:rPr>
        <w:t xml:space="preserve">ом </w:t>
      </w:r>
      <w:r w:rsidRPr="005A4164">
        <w:rPr>
          <w:lang w:val="ru-RU"/>
        </w:rPr>
        <w:t>оборотных средств (РФОС).</w:t>
      </w:r>
      <w:r w:rsidR="00C3714C" w:rsidRPr="005A4164">
        <w:rPr>
          <w:lang w:val="ru-RU"/>
        </w:rPr>
        <w:t xml:space="preserve"> </w:t>
      </w:r>
    </w:p>
    <w:p w:rsidR="00342DF9" w:rsidRPr="005A4164" w:rsidRDefault="00342DF9" w:rsidP="007E3FFD">
      <w:pPr>
        <w:pStyle w:val="ListParagraph"/>
        <w:tabs>
          <w:tab w:val="left" w:pos="567"/>
        </w:tabs>
        <w:ind w:left="0" w:right="-1"/>
        <w:rPr>
          <w:lang w:val="ru-RU"/>
        </w:rPr>
      </w:pPr>
    </w:p>
    <w:p w:rsidR="00342DF9" w:rsidRPr="005A4164" w:rsidRDefault="001F1C79" w:rsidP="001F1C79">
      <w:pPr>
        <w:pStyle w:val="ListParagraph"/>
        <w:numPr>
          <w:ilvl w:val="0"/>
          <w:numId w:val="19"/>
        </w:numPr>
        <w:tabs>
          <w:tab w:val="left" w:pos="567"/>
        </w:tabs>
        <w:ind w:left="0" w:right="-1" w:firstLine="0"/>
        <w:rPr>
          <w:lang w:val="ru-RU"/>
        </w:rPr>
      </w:pPr>
      <w:r w:rsidRPr="005A4164">
        <w:rPr>
          <w:lang w:val="ru-RU"/>
        </w:rPr>
        <w:t>В Финансовых положениях и правилах ВОИС (ФПП) определяются следующие два компонента РФОС:</w:t>
      </w:r>
      <w:r w:rsidR="001064D2" w:rsidRPr="005A4164">
        <w:rPr>
          <w:lang w:val="ru-RU"/>
        </w:rPr>
        <w:t xml:space="preserve"> </w:t>
      </w:r>
    </w:p>
    <w:p w:rsidR="00342DF9" w:rsidRPr="005A4164" w:rsidRDefault="00342DF9" w:rsidP="007E3FFD">
      <w:pPr>
        <w:pStyle w:val="ListParagraph"/>
        <w:tabs>
          <w:tab w:val="left" w:pos="1134"/>
        </w:tabs>
        <w:spacing w:after="120"/>
        <w:ind w:left="567"/>
        <w:rPr>
          <w:lang w:val="ru-RU"/>
        </w:rPr>
      </w:pPr>
    </w:p>
    <w:p w:rsidR="00342DF9" w:rsidRPr="005A4164" w:rsidRDefault="001F1C79" w:rsidP="001F1C79">
      <w:pPr>
        <w:pStyle w:val="ONUME"/>
        <w:numPr>
          <w:ilvl w:val="0"/>
          <w:numId w:val="35"/>
        </w:numPr>
        <w:tabs>
          <w:tab w:val="left" w:pos="1134"/>
        </w:tabs>
        <w:ind w:left="1134" w:hanging="567"/>
        <w:rPr>
          <w:lang w:val="ru-RU"/>
        </w:rPr>
      </w:pPr>
      <w:r w:rsidRPr="005A4164">
        <w:rPr>
          <w:b/>
          <w:lang w:val="ru-RU"/>
        </w:rPr>
        <w:t>«резервный фонд»</w:t>
      </w:r>
      <w:r w:rsidRPr="005A4164">
        <w:rPr>
          <w:lang w:val="ru-RU"/>
        </w:rPr>
        <w:t xml:space="preserve"> означает фонд, учрежденный Ассамблеями государств-членов и союзов, в той мере, в какой это касается каждой из них, в который перечисляется сумма превышения доходов в виде пошлин над суммами, требующимися для финансирования ассигнований по программе и бюджету.</w:t>
      </w:r>
      <w:r w:rsidR="00C3714C" w:rsidRPr="005A4164">
        <w:rPr>
          <w:lang w:val="ru-RU"/>
        </w:rPr>
        <w:t xml:space="preserve"> </w:t>
      </w:r>
      <w:r w:rsidRPr="005A4164">
        <w:rPr>
          <w:lang w:val="ru-RU"/>
        </w:rPr>
        <w:t xml:space="preserve">Резервные фонды используются в порядке, установленном Ассамблеями государств-членов и </w:t>
      </w:r>
      <w:r w:rsidR="00ED6E29" w:rsidRPr="005A4164">
        <w:rPr>
          <w:lang w:val="ru-RU"/>
        </w:rPr>
        <w:t>союз</w:t>
      </w:r>
      <w:r w:rsidRPr="005A4164">
        <w:rPr>
          <w:lang w:val="ru-RU"/>
        </w:rPr>
        <w:t xml:space="preserve">ов, в той мере, в какой это касается каждой из них </w:t>
      </w:r>
      <w:r w:rsidRPr="005A4164">
        <w:rPr>
          <w:i/>
          <w:lang w:val="ru-RU"/>
        </w:rPr>
        <w:t>(финансовое правило 101.3 (n))</w:t>
      </w:r>
      <w:r w:rsidRPr="005A4164">
        <w:rPr>
          <w:lang w:val="ru-RU"/>
        </w:rPr>
        <w:t>;  и</w:t>
      </w:r>
    </w:p>
    <w:p w:rsidR="00342DF9" w:rsidRPr="005A4164" w:rsidRDefault="001F1C79" w:rsidP="001F1C79">
      <w:pPr>
        <w:pStyle w:val="ONUME"/>
        <w:numPr>
          <w:ilvl w:val="0"/>
          <w:numId w:val="35"/>
        </w:numPr>
        <w:tabs>
          <w:tab w:val="left" w:pos="1276"/>
        </w:tabs>
        <w:ind w:left="1134" w:hanging="567"/>
        <w:rPr>
          <w:lang w:val="ru-RU"/>
        </w:rPr>
      </w:pPr>
      <w:r w:rsidRPr="005A4164">
        <w:rPr>
          <w:b/>
          <w:lang w:val="ru-RU"/>
        </w:rPr>
        <w:t>«фонд оборотных средств»</w:t>
      </w:r>
      <w:r w:rsidRPr="005A4164">
        <w:rPr>
          <w:lang w:val="ru-RU"/>
        </w:rPr>
        <w:t xml:space="preserve"> означает фонд, учрежденный для авансового финансирования ассигнований в случае временной нехватки ликвидных средств и для таких других целей, которые могут быть определены Ассамблеями государств-членов и </w:t>
      </w:r>
      <w:r w:rsidR="00ED6E29" w:rsidRPr="005A4164">
        <w:rPr>
          <w:lang w:val="ru-RU"/>
        </w:rPr>
        <w:t>союз</w:t>
      </w:r>
      <w:r w:rsidRPr="005A4164">
        <w:rPr>
          <w:lang w:val="ru-RU"/>
        </w:rPr>
        <w:t xml:space="preserve">ов, в той мере, в какой это  касается каждой из них </w:t>
      </w:r>
      <w:r w:rsidRPr="005A4164">
        <w:rPr>
          <w:i/>
          <w:lang w:val="ru-RU"/>
        </w:rPr>
        <w:t>(финансовое правило 101.3 (q) и положение 4.3)</w:t>
      </w:r>
      <w:r w:rsidRPr="005A4164">
        <w:rPr>
          <w:lang w:val="ru-RU"/>
        </w:rPr>
        <w:t>.</w:t>
      </w:r>
    </w:p>
    <w:p w:rsidR="00342DF9" w:rsidRPr="005A4164" w:rsidRDefault="00415899" w:rsidP="00415899">
      <w:pPr>
        <w:pStyle w:val="ListParagraph"/>
        <w:numPr>
          <w:ilvl w:val="0"/>
          <w:numId w:val="19"/>
        </w:numPr>
        <w:tabs>
          <w:tab w:val="left" w:pos="567"/>
        </w:tabs>
        <w:ind w:left="0" w:right="-1" w:firstLine="0"/>
        <w:rPr>
          <w:lang w:val="ru-RU"/>
        </w:rPr>
      </w:pPr>
      <w:r w:rsidRPr="005A4164">
        <w:rPr>
          <w:lang w:val="ru-RU"/>
        </w:rPr>
        <w:t xml:space="preserve">Кроме того, в Финансовых положениях и правилах (ФПП) ВОИС доли участия и правомочия Парижского, Бернского, Мадридского, Гаагского союзов, Союза МПК, Ниццкого союза, Союза PCT, Лиссабонского, Локарнского и Венского союзов в отношении </w:t>
      </w:r>
      <w:r w:rsidR="001064D2" w:rsidRPr="005A4164">
        <w:rPr>
          <w:lang w:val="ru-RU"/>
        </w:rPr>
        <w:t xml:space="preserve">резервов </w:t>
      </w:r>
      <w:r w:rsidRPr="005A4164">
        <w:rPr>
          <w:lang w:val="ru-RU"/>
        </w:rPr>
        <w:t>и фонд</w:t>
      </w:r>
      <w:r w:rsidR="001064D2" w:rsidRPr="005A4164">
        <w:rPr>
          <w:lang w:val="ru-RU"/>
        </w:rPr>
        <w:t xml:space="preserve">а </w:t>
      </w:r>
      <w:r w:rsidRPr="005A4164">
        <w:rPr>
          <w:lang w:val="ru-RU"/>
        </w:rPr>
        <w:t>оборотных средств Организации определены следующим образом:</w:t>
      </w:r>
    </w:p>
    <w:p w:rsidR="00342DF9" w:rsidRPr="005A4164" w:rsidRDefault="00342DF9" w:rsidP="007E3FFD">
      <w:pPr>
        <w:pStyle w:val="ListParagraph"/>
        <w:tabs>
          <w:tab w:val="left" w:pos="567"/>
        </w:tabs>
        <w:ind w:left="0" w:right="-1"/>
        <w:rPr>
          <w:lang w:val="ru-RU"/>
        </w:rPr>
      </w:pPr>
    </w:p>
    <w:p w:rsidR="00342DF9" w:rsidRPr="005A4164" w:rsidRDefault="00415899" w:rsidP="00415899">
      <w:pPr>
        <w:pStyle w:val="ListParagraph"/>
        <w:numPr>
          <w:ilvl w:val="0"/>
          <w:numId w:val="27"/>
        </w:numPr>
        <w:tabs>
          <w:tab w:val="left" w:pos="1134"/>
          <w:tab w:val="left" w:pos="3060"/>
        </w:tabs>
        <w:spacing w:after="120"/>
        <w:ind w:left="1134" w:hanging="567"/>
        <w:rPr>
          <w:lang w:val="ru-RU"/>
        </w:rPr>
      </w:pPr>
      <w:r w:rsidRPr="005A4164">
        <w:rPr>
          <w:lang w:val="ru-RU"/>
        </w:rPr>
        <w:t xml:space="preserve">Если после утверждения окончательной отчетности на счете любого из </w:t>
      </w:r>
      <w:r w:rsidR="00ED6E29" w:rsidRPr="005A4164">
        <w:rPr>
          <w:lang w:val="ru-RU"/>
        </w:rPr>
        <w:t>союз</w:t>
      </w:r>
      <w:r w:rsidRPr="005A4164">
        <w:rPr>
          <w:lang w:val="ru-RU"/>
        </w:rPr>
        <w:t>ов образуется положительное сальдо, оно перечисляется в резервны</w:t>
      </w:r>
      <w:r w:rsidR="001064D2" w:rsidRPr="005A4164">
        <w:rPr>
          <w:lang w:val="ru-RU"/>
        </w:rPr>
        <w:t>й фонд</w:t>
      </w:r>
      <w:r w:rsidRPr="005A4164">
        <w:rPr>
          <w:lang w:val="ru-RU"/>
        </w:rPr>
        <w:t xml:space="preserve">, если только Генеральная Ассамблея или Ассамблея соответствующего </w:t>
      </w:r>
      <w:r w:rsidR="00ED6E29" w:rsidRPr="005A4164">
        <w:rPr>
          <w:lang w:val="ru-RU"/>
        </w:rPr>
        <w:t>союз</w:t>
      </w:r>
      <w:r w:rsidRPr="005A4164">
        <w:rPr>
          <w:lang w:val="ru-RU"/>
        </w:rPr>
        <w:t>а не примет иного решения.</w:t>
      </w:r>
      <w:r w:rsidR="00C3714C" w:rsidRPr="005A4164">
        <w:rPr>
          <w:i/>
          <w:lang w:val="ru-RU"/>
        </w:rPr>
        <w:t xml:space="preserve"> </w:t>
      </w:r>
      <w:r w:rsidRPr="005A4164">
        <w:rPr>
          <w:i/>
          <w:lang w:val="ru-RU"/>
        </w:rPr>
        <w:t>(Положение 4.7 )</w:t>
      </w:r>
    </w:p>
    <w:p w:rsidR="00342DF9" w:rsidRPr="005A4164" w:rsidRDefault="00342DF9" w:rsidP="007E3FFD">
      <w:pPr>
        <w:pStyle w:val="ListParagraph"/>
        <w:tabs>
          <w:tab w:val="left" w:pos="1134"/>
          <w:tab w:val="left" w:pos="3060"/>
        </w:tabs>
        <w:spacing w:after="120"/>
        <w:ind w:left="1134" w:hanging="567"/>
        <w:rPr>
          <w:lang w:val="ru-RU"/>
        </w:rPr>
      </w:pPr>
    </w:p>
    <w:p w:rsidR="00342DF9" w:rsidRPr="005A4164" w:rsidRDefault="00415899" w:rsidP="00415899">
      <w:pPr>
        <w:pStyle w:val="ListParagraph"/>
        <w:numPr>
          <w:ilvl w:val="0"/>
          <w:numId w:val="27"/>
        </w:numPr>
        <w:tabs>
          <w:tab w:val="left" w:pos="1134"/>
          <w:tab w:val="left" w:pos="3060"/>
        </w:tabs>
        <w:spacing w:after="120"/>
        <w:ind w:left="1134" w:hanging="567"/>
        <w:rPr>
          <w:bCs/>
          <w:lang w:val="ru-RU"/>
        </w:rPr>
      </w:pPr>
      <w:r w:rsidRPr="005A4164">
        <w:rPr>
          <w:bCs/>
          <w:lang w:val="ru-RU"/>
        </w:rPr>
        <w:t>По решению Ассамблеи Мадридского союза и в соответствии со статьей 8(4) Мадридского соглашения сумма превышения доходов над расходами Мадридского союза распределяется между государствами-членами.  В отношении распределения чистого дохода Мадридского союза в статье 8(4) Мадридского соглашения и Протокола четко устанавливаются следующие требования:  «Годовой доход от различных поступлений за международную регистрацию, за исключением поступлений от пошлин, предусмотренных в пункте 2(ii) и (iii), распределяется Международным бюро поровну между договаривающимися сторонами за вычетом расходов и затрат, связанных с выполнением настоящего Протокола».</w:t>
      </w:r>
    </w:p>
    <w:p w:rsidR="00342DF9" w:rsidRPr="005A4164" w:rsidRDefault="00342DF9" w:rsidP="007E3FFD">
      <w:pPr>
        <w:pStyle w:val="ListParagraph"/>
        <w:tabs>
          <w:tab w:val="left" w:pos="1134"/>
          <w:tab w:val="left" w:pos="3060"/>
        </w:tabs>
        <w:spacing w:after="120"/>
        <w:ind w:left="1287"/>
        <w:rPr>
          <w:bCs/>
          <w:lang w:val="ru-RU"/>
        </w:rPr>
      </w:pPr>
    </w:p>
    <w:p w:rsidR="00342DF9" w:rsidRPr="005A4164" w:rsidRDefault="00415899" w:rsidP="00415899">
      <w:pPr>
        <w:pStyle w:val="ListParagraph"/>
        <w:numPr>
          <w:ilvl w:val="0"/>
          <w:numId w:val="27"/>
        </w:numPr>
        <w:tabs>
          <w:tab w:val="left" w:pos="1134"/>
          <w:tab w:val="left" w:pos="3060"/>
        </w:tabs>
        <w:spacing w:after="120"/>
        <w:ind w:left="1134" w:hanging="567"/>
        <w:rPr>
          <w:bCs/>
          <w:lang w:val="ru-RU"/>
        </w:rPr>
      </w:pPr>
      <w:r w:rsidRPr="005A4164">
        <w:rPr>
          <w:bCs/>
          <w:lang w:val="ru-RU"/>
        </w:rPr>
        <w:t xml:space="preserve">Поэтому в отличие от чистого дохода всех других </w:t>
      </w:r>
      <w:r w:rsidR="00ED6E29" w:rsidRPr="005A4164">
        <w:rPr>
          <w:bCs/>
          <w:lang w:val="ru-RU"/>
        </w:rPr>
        <w:t>союз</w:t>
      </w:r>
      <w:r w:rsidRPr="005A4164">
        <w:rPr>
          <w:bCs/>
          <w:lang w:val="ru-RU"/>
        </w:rPr>
        <w:t>ов, который автоматически перечисляется в РФОС Организации, чистый доход, полученный Мадридским союзом, перечисляется государствам-членам, если только они не примут решения об ином.</w:t>
      </w:r>
    </w:p>
    <w:p w:rsidR="00342DF9" w:rsidRPr="005A4164" w:rsidRDefault="00342DF9" w:rsidP="007E3FFD">
      <w:pPr>
        <w:pStyle w:val="ListParagraph"/>
        <w:tabs>
          <w:tab w:val="left" w:pos="1134"/>
          <w:tab w:val="left" w:pos="3060"/>
        </w:tabs>
        <w:spacing w:after="120"/>
        <w:ind w:left="1287"/>
        <w:rPr>
          <w:bCs/>
          <w:lang w:val="ru-RU"/>
        </w:rPr>
      </w:pPr>
    </w:p>
    <w:p w:rsidR="00342DF9" w:rsidRPr="005A4164" w:rsidRDefault="00415899" w:rsidP="00415899">
      <w:pPr>
        <w:pStyle w:val="ListParagraph"/>
        <w:numPr>
          <w:ilvl w:val="0"/>
          <w:numId w:val="27"/>
        </w:numPr>
        <w:tabs>
          <w:tab w:val="left" w:pos="1134"/>
          <w:tab w:val="left" w:pos="3060"/>
        </w:tabs>
        <w:spacing w:after="120"/>
        <w:ind w:left="1134" w:hanging="567"/>
        <w:rPr>
          <w:i/>
          <w:lang w:val="ru-RU"/>
        </w:rPr>
      </w:pPr>
      <w:r w:rsidRPr="005A4164">
        <w:rPr>
          <w:bCs/>
          <w:lang w:val="ru-RU"/>
        </w:rPr>
        <w:t xml:space="preserve">Если после утверждения окончательной отчетности на счете любого </w:t>
      </w:r>
      <w:r w:rsidR="00ED6E29" w:rsidRPr="005A4164">
        <w:rPr>
          <w:bCs/>
          <w:lang w:val="ru-RU"/>
        </w:rPr>
        <w:t>союз</w:t>
      </w:r>
      <w:r w:rsidRPr="005A4164">
        <w:rPr>
          <w:bCs/>
          <w:lang w:val="ru-RU"/>
        </w:rPr>
        <w:t>а образуется отрицательное сальдо, которое не может быть покрыто за счет резервн</w:t>
      </w:r>
      <w:r w:rsidR="001064D2" w:rsidRPr="005A4164">
        <w:rPr>
          <w:bCs/>
          <w:lang w:val="ru-RU"/>
        </w:rPr>
        <w:t xml:space="preserve">ого </w:t>
      </w:r>
      <w:r w:rsidRPr="005A4164">
        <w:rPr>
          <w:bCs/>
          <w:lang w:val="ru-RU"/>
        </w:rPr>
        <w:t>фонд</w:t>
      </w:r>
      <w:r w:rsidR="001064D2" w:rsidRPr="005A4164">
        <w:rPr>
          <w:bCs/>
          <w:lang w:val="ru-RU"/>
        </w:rPr>
        <w:t>а</w:t>
      </w:r>
      <w:r w:rsidRPr="005A4164">
        <w:rPr>
          <w:bCs/>
          <w:lang w:val="ru-RU"/>
        </w:rPr>
        <w:t xml:space="preserve">, то в зависимости от обстоятельств Генеральная Ассамблея ВОИС или Ассамблеи заинтересованных </w:t>
      </w:r>
      <w:r w:rsidR="00ED6E29" w:rsidRPr="005A4164">
        <w:rPr>
          <w:bCs/>
          <w:lang w:val="ru-RU"/>
        </w:rPr>
        <w:t>союз</w:t>
      </w:r>
      <w:r w:rsidRPr="005A4164">
        <w:rPr>
          <w:bCs/>
          <w:lang w:val="ru-RU"/>
        </w:rPr>
        <w:t xml:space="preserve">ов принимают решение о мерах по оздоровлению финансового положения. </w:t>
      </w:r>
      <w:r w:rsidRPr="005A4164">
        <w:rPr>
          <w:bCs/>
          <w:i/>
          <w:lang w:val="ru-RU"/>
        </w:rPr>
        <w:t xml:space="preserve">(Положение 4.8) </w:t>
      </w:r>
    </w:p>
    <w:p w:rsidR="00342DF9" w:rsidRPr="005A4164" w:rsidRDefault="00342DF9" w:rsidP="007E3FFD">
      <w:pPr>
        <w:pStyle w:val="ListParagraph"/>
        <w:rPr>
          <w:lang w:val="ru-RU"/>
        </w:rPr>
      </w:pPr>
    </w:p>
    <w:p w:rsidR="00342DF9" w:rsidRPr="005A4164" w:rsidRDefault="00415899" w:rsidP="00415899">
      <w:pPr>
        <w:pStyle w:val="ListParagraph"/>
        <w:numPr>
          <w:ilvl w:val="0"/>
          <w:numId w:val="27"/>
        </w:numPr>
        <w:tabs>
          <w:tab w:val="left" w:pos="1134"/>
          <w:tab w:val="left" w:pos="3060"/>
        </w:tabs>
        <w:ind w:left="1134" w:hanging="567"/>
        <w:rPr>
          <w:lang w:val="ru-RU"/>
        </w:rPr>
      </w:pPr>
      <w:r w:rsidRPr="005A4164">
        <w:rPr>
          <w:lang w:val="ru-RU"/>
        </w:rPr>
        <w:t xml:space="preserve">В размере, устанавливаемом Ассамблеями государств-членов и </w:t>
      </w:r>
      <w:r w:rsidR="00ED6E29" w:rsidRPr="005A4164">
        <w:rPr>
          <w:lang w:val="ru-RU"/>
        </w:rPr>
        <w:t>союз</w:t>
      </w:r>
      <w:r w:rsidRPr="005A4164">
        <w:rPr>
          <w:lang w:val="ru-RU"/>
        </w:rPr>
        <w:t xml:space="preserve">ов, в той мере, в какой это касается каждого из них, учреждается </w:t>
      </w:r>
      <w:r w:rsidRPr="005A4164">
        <w:rPr>
          <w:b/>
          <w:lang w:val="ru-RU"/>
        </w:rPr>
        <w:t xml:space="preserve">фонд оборотных средств </w:t>
      </w:r>
      <w:r w:rsidRPr="005A4164">
        <w:rPr>
          <w:lang w:val="ru-RU"/>
        </w:rPr>
        <w:t>Организации и Парижского, Бернского, Мадридского, Гаагского союзов, Союза МПК, Ниццкого союза, Союза РСТ, Лиссабонского, Локарнского и Венского союзов.</w:t>
      </w:r>
      <w:r w:rsidR="00C3714C" w:rsidRPr="005A4164">
        <w:rPr>
          <w:lang w:val="ru-RU"/>
        </w:rPr>
        <w:t xml:space="preserve"> </w:t>
      </w:r>
      <w:r w:rsidRPr="005A4164">
        <w:rPr>
          <w:i/>
          <w:lang w:val="ru-RU"/>
        </w:rPr>
        <w:t>(Положение 4.2).</w:t>
      </w:r>
      <w:r w:rsidR="007E3FFD" w:rsidRPr="005A4164">
        <w:rPr>
          <w:bCs/>
          <w:i/>
          <w:lang w:val="ru-RU"/>
        </w:rPr>
        <w:t xml:space="preserve"> </w:t>
      </w:r>
    </w:p>
    <w:p w:rsidR="00342DF9" w:rsidRPr="005A4164" w:rsidRDefault="00342DF9" w:rsidP="007E3FFD">
      <w:pPr>
        <w:rPr>
          <w:bCs/>
          <w:i/>
          <w:lang w:val="ru-RU"/>
        </w:rPr>
      </w:pPr>
    </w:p>
    <w:p w:rsidR="00342DF9" w:rsidRPr="005A4164" w:rsidRDefault="00342DF9" w:rsidP="007E3FFD">
      <w:pPr>
        <w:rPr>
          <w:bCs/>
          <w:i/>
          <w:lang w:val="ru-RU"/>
        </w:rPr>
      </w:pPr>
    </w:p>
    <w:p w:rsidR="00342DF9" w:rsidRPr="005A4164" w:rsidRDefault="00415899" w:rsidP="00415899">
      <w:pPr>
        <w:keepNext/>
        <w:tabs>
          <w:tab w:val="left" w:pos="567"/>
        </w:tabs>
        <w:rPr>
          <w:b/>
          <w:lang w:val="ru-RU"/>
        </w:rPr>
      </w:pPr>
      <w:r w:rsidRPr="005A4164">
        <w:rPr>
          <w:b/>
          <w:lang w:val="ru-RU"/>
        </w:rPr>
        <w:t>II.ПОЛИТИКА ВОИС В ОТНОШЕНИИ РЕЗЕРВОВ</w:t>
      </w:r>
    </w:p>
    <w:p w:rsidR="00342DF9" w:rsidRPr="005A4164" w:rsidRDefault="00342DF9" w:rsidP="007E3FFD">
      <w:pPr>
        <w:keepNext/>
        <w:rPr>
          <w:lang w:val="ru-RU"/>
        </w:rPr>
      </w:pPr>
    </w:p>
    <w:p w:rsidR="00342DF9" w:rsidRPr="005A4164" w:rsidRDefault="0036716D" w:rsidP="0036716D">
      <w:pPr>
        <w:pStyle w:val="ListParagraph"/>
        <w:numPr>
          <w:ilvl w:val="0"/>
          <w:numId w:val="19"/>
        </w:numPr>
        <w:ind w:left="0" w:right="-1" w:firstLine="0"/>
        <w:rPr>
          <w:lang w:val="ru-RU"/>
        </w:rPr>
      </w:pPr>
      <w:r w:rsidRPr="005A4164">
        <w:rPr>
          <w:lang w:val="ru-RU"/>
        </w:rPr>
        <w:t>Помимо вышеизложенного, где дается четкое определение РФОС Организации, в своих действиях ВОИС руководствовалась ясной политикой в отношении резервов, которая была принята государствами-членами в 2000 г. (см. документы А/35/15 и А/35/6) и в которой был установлен уровень необходимых Организации РФОС, а также определен ряд других важнейших принципов политики.</w:t>
      </w:r>
      <w:r w:rsidR="00C3714C" w:rsidRPr="005A4164">
        <w:rPr>
          <w:lang w:val="ru-RU"/>
        </w:rPr>
        <w:t xml:space="preserve">  </w:t>
      </w:r>
      <w:r w:rsidR="00075681" w:rsidRPr="005A4164">
        <w:rPr>
          <w:lang w:val="ru-RU"/>
        </w:rPr>
        <w:t xml:space="preserve">В то время как эта политика оставалась в силе и служила прочной и надлежащей основой для эффективного управления финансовой деятельностью Организации, Комитет по программе и бюджету (КПБ) на своей двадцать второй сессии, состоявшейся в сентябре 2014 г., провел обзор финансового положения ВОИС и ее политики в отношении резервов и обратился к Секретариату с просьбой представить КПБ проект политики, который включал бы определение целевого показателя, соображения относительно ликвидности, а также принципы управления имеющимся профицитом сверх целевого уровня, его использования и представления по нему отчетности, с учетом замечаний и указаний государств-членов и соответствующих рекомендаций аудиторских и надзорных органов.  Подготовка этого документа основывалась на обсуждении, проведенном с государствами-членами в ходе двадцать второй сессии КПБ на основе документа </w:t>
      </w:r>
      <w:r w:rsidR="00C3714C" w:rsidRPr="005A4164">
        <w:rPr>
          <w:bCs/>
          <w:lang w:val="ru-RU"/>
        </w:rPr>
        <w:t>WO/PBC/22/28.</w:t>
      </w:r>
    </w:p>
    <w:p w:rsidR="00342DF9" w:rsidRPr="005A4164" w:rsidRDefault="00342DF9" w:rsidP="007E3FFD">
      <w:pPr>
        <w:pStyle w:val="ListParagraph"/>
        <w:tabs>
          <w:tab w:val="left" w:pos="567"/>
        </w:tabs>
        <w:ind w:left="0" w:right="-1"/>
        <w:rPr>
          <w:lang w:val="ru-RU"/>
        </w:rPr>
      </w:pPr>
    </w:p>
    <w:p w:rsidR="00342DF9" w:rsidRPr="005A4164" w:rsidRDefault="00075681" w:rsidP="007E3FFD">
      <w:pPr>
        <w:pStyle w:val="ListParagraph"/>
        <w:numPr>
          <w:ilvl w:val="0"/>
          <w:numId w:val="19"/>
        </w:numPr>
        <w:tabs>
          <w:tab w:val="left" w:pos="567"/>
        </w:tabs>
        <w:ind w:left="0" w:right="-1" w:firstLine="0"/>
        <w:rPr>
          <w:lang w:val="ru-RU"/>
        </w:rPr>
      </w:pPr>
      <w:r w:rsidRPr="005A4164">
        <w:rPr>
          <w:lang w:val="ru-RU"/>
        </w:rPr>
        <w:t>Основными элементами пересмотренной политики в отношении резервов, которые более подробно рассматриваются ниже, являются следующие</w:t>
      </w:r>
      <w:r w:rsidR="00081CCC" w:rsidRPr="005A4164">
        <w:rPr>
          <w:lang w:val="ru-RU"/>
        </w:rPr>
        <w:t xml:space="preserve">: </w:t>
      </w:r>
    </w:p>
    <w:p w:rsidR="00342DF9" w:rsidRPr="005A4164" w:rsidRDefault="00342DF9" w:rsidP="007E3FFD">
      <w:pPr>
        <w:tabs>
          <w:tab w:val="left" w:pos="1134"/>
        </w:tabs>
        <w:spacing w:after="120"/>
        <w:ind w:left="567"/>
        <w:rPr>
          <w:lang w:val="ru-RU"/>
        </w:rPr>
      </w:pPr>
    </w:p>
    <w:p w:rsidR="00342DF9" w:rsidRPr="005A4164" w:rsidRDefault="00081CCC" w:rsidP="00081CCC">
      <w:pPr>
        <w:pStyle w:val="ListParagraph"/>
        <w:numPr>
          <w:ilvl w:val="0"/>
          <w:numId w:val="36"/>
        </w:numPr>
        <w:tabs>
          <w:tab w:val="left" w:pos="1134"/>
          <w:tab w:val="left" w:pos="3060"/>
        </w:tabs>
        <w:spacing w:after="120"/>
        <w:ind w:left="1134" w:hanging="567"/>
        <w:rPr>
          <w:lang w:val="ru-RU"/>
        </w:rPr>
      </w:pPr>
      <w:r w:rsidRPr="005A4164">
        <w:rPr>
          <w:lang w:val="ru-RU"/>
        </w:rPr>
        <w:t>ВОИС четко разграничивает компоненты резервов и фонда оборотных средств РФОС при ведении бухгалтерского учета, но не меняет структуры собственности на фонд оборотных средств;</w:t>
      </w:r>
    </w:p>
    <w:p w:rsidR="00342DF9" w:rsidRPr="005A4164" w:rsidRDefault="00342DF9" w:rsidP="007E3FFD">
      <w:pPr>
        <w:pStyle w:val="ListParagraph"/>
        <w:tabs>
          <w:tab w:val="left" w:pos="1134"/>
        </w:tabs>
        <w:spacing w:after="120"/>
        <w:ind w:left="1287"/>
        <w:rPr>
          <w:lang w:val="ru-RU"/>
        </w:rPr>
      </w:pPr>
    </w:p>
    <w:p w:rsidR="00342DF9" w:rsidRPr="005A4164" w:rsidRDefault="001045E2" w:rsidP="001045E2">
      <w:pPr>
        <w:pStyle w:val="ListParagraph"/>
        <w:numPr>
          <w:ilvl w:val="0"/>
          <w:numId w:val="36"/>
        </w:numPr>
        <w:tabs>
          <w:tab w:val="left" w:pos="1134"/>
          <w:tab w:val="left" w:pos="3060"/>
        </w:tabs>
        <w:spacing w:after="120"/>
        <w:ind w:left="1134" w:hanging="567"/>
        <w:rPr>
          <w:lang w:val="ru-RU"/>
        </w:rPr>
      </w:pPr>
      <w:r w:rsidRPr="005A4164">
        <w:rPr>
          <w:lang w:val="ru-RU"/>
        </w:rPr>
        <w:t>целевой уровень резервов, включая фонд оборотных средств, определяется на уровне союзов исходя из процентных долей расходов на двухлетний период («коэффициент ПДР») каждого союза и представляется в контексте бюджетного процесса Организации;</w:t>
      </w:r>
      <w:r w:rsidR="00C3714C" w:rsidRPr="005A4164">
        <w:rPr>
          <w:lang w:val="ru-RU"/>
        </w:rPr>
        <w:t xml:space="preserve"> </w:t>
      </w:r>
    </w:p>
    <w:p w:rsidR="00342DF9" w:rsidRPr="005A4164" w:rsidRDefault="00342DF9" w:rsidP="007E3FFD">
      <w:pPr>
        <w:pStyle w:val="ListParagraph"/>
        <w:rPr>
          <w:lang w:val="ru-RU"/>
        </w:rPr>
      </w:pPr>
    </w:p>
    <w:p w:rsidR="00342DF9" w:rsidRPr="005A4164" w:rsidRDefault="001045E2" w:rsidP="001045E2">
      <w:pPr>
        <w:pStyle w:val="ListParagraph"/>
        <w:numPr>
          <w:ilvl w:val="0"/>
          <w:numId w:val="36"/>
        </w:numPr>
        <w:tabs>
          <w:tab w:val="left" w:pos="1134"/>
          <w:tab w:val="left" w:pos="3060"/>
        </w:tabs>
        <w:spacing w:after="120"/>
        <w:ind w:left="1134" w:hanging="567"/>
        <w:rPr>
          <w:lang w:val="ru-RU"/>
        </w:rPr>
      </w:pPr>
      <w:r w:rsidRPr="005A4164">
        <w:rPr>
          <w:lang w:val="ru-RU"/>
        </w:rPr>
        <w:t>целевой уровень резервов, включая фонд оборотных средств, насколько это возможно, будет иметь форму денежной наличности или инвестиций, которые могут быть ликвидированы в короткий срок за низкую плату или без дополнительной оплаты и будут отвечать требованиям действующей инвестиционной политики;</w:t>
      </w:r>
      <w:r w:rsidR="00C3714C" w:rsidRPr="005A4164">
        <w:rPr>
          <w:lang w:val="ru-RU"/>
        </w:rPr>
        <w:t xml:space="preserve"> </w:t>
      </w:r>
    </w:p>
    <w:p w:rsidR="00342DF9" w:rsidRPr="005A4164" w:rsidRDefault="00342DF9" w:rsidP="007E3FFD">
      <w:pPr>
        <w:pStyle w:val="ListParagraph"/>
        <w:tabs>
          <w:tab w:val="left" w:pos="1134"/>
        </w:tabs>
        <w:spacing w:after="120"/>
        <w:ind w:left="1287"/>
        <w:rPr>
          <w:lang w:val="ru-RU"/>
        </w:rPr>
      </w:pPr>
    </w:p>
    <w:p w:rsidR="00342DF9" w:rsidRPr="005A4164" w:rsidRDefault="001045E2" w:rsidP="00CE1046">
      <w:pPr>
        <w:pStyle w:val="ListParagraph"/>
        <w:numPr>
          <w:ilvl w:val="0"/>
          <w:numId w:val="36"/>
        </w:numPr>
        <w:tabs>
          <w:tab w:val="left" w:pos="1134"/>
          <w:tab w:val="left" w:pos="3060"/>
        </w:tabs>
        <w:spacing w:after="120"/>
        <w:ind w:left="1134" w:hanging="567"/>
        <w:rPr>
          <w:lang w:val="ru-RU"/>
        </w:rPr>
      </w:pPr>
      <w:r w:rsidRPr="005A4164">
        <w:rPr>
          <w:lang w:val="ru-RU"/>
        </w:rPr>
        <w:t>государства-члены и Генеральный директор могут предлагать для утверждения деятельность по проектам, финансируемую за счет имеющегося профицита.</w:t>
      </w:r>
      <w:r w:rsidR="00C3714C" w:rsidRPr="005A4164">
        <w:rPr>
          <w:lang w:val="ru-RU"/>
        </w:rPr>
        <w:t xml:space="preserve"> </w:t>
      </w:r>
      <w:r w:rsidR="00CE1046" w:rsidRPr="005A4164">
        <w:rPr>
          <w:lang w:val="ru-RU"/>
        </w:rPr>
        <w:t>Из расчетов имеющегося профицита будут исключены суммы профицита резерва для переоценки стоимости (в результате переоценки стоимости земельного участк</w:t>
      </w:r>
      <w:r w:rsidR="00CE2747" w:rsidRPr="005A4164">
        <w:rPr>
          <w:lang w:val="ru-RU"/>
        </w:rPr>
        <w:t>а</w:t>
      </w:r>
      <w:r w:rsidR="00CE1046" w:rsidRPr="005A4164">
        <w:rPr>
          <w:lang w:val="ru-RU"/>
        </w:rPr>
        <w:t xml:space="preserve">, на котором было построено новое здание) и фонда оборотных средств (который был создан за счет взносов государств-членов решениями Ассамблей союзов и представляет собой средства, находящиеся в доверительном управлении ВОИС). </w:t>
      </w:r>
    </w:p>
    <w:p w:rsidR="00342DF9" w:rsidRPr="005A4164" w:rsidRDefault="00342DF9" w:rsidP="007E3FFD">
      <w:pPr>
        <w:pStyle w:val="ListParagraph"/>
        <w:tabs>
          <w:tab w:val="left" w:pos="1134"/>
        </w:tabs>
        <w:spacing w:after="120"/>
        <w:ind w:left="1287"/>
        <w:rPr>
          <w:lang w:val="ru-RU"/>
        </w:rPr>
      </w:pPr>
    </w:p>
    <w:p w:rsidR="00342DF9" w:rsidRPr="005A4164" w:rsidRDefault="00116F9F" w:rsidP="00CE1046">
      <w:pPr>
        <w:pStyle w:val="ListParagraph"/>
        <w:numPr>
          <w:ilvl w:val="0"/>
          <w:numId w:val="19"/>
        </w:numPr>
        <w:tabs>
          <w:tab w:val="left" w:pos="567"/>
        </w:tabs>
        <w:ind w:left="0" w:right="-1" w:firstLine="0"/>
        <w:rPr>
          <w:lang w:val="ru-RU"/>
        </w:rPr>
      </w:pPr>
      <w:r w:rsidRPr="005A4164">
        <w:rPr>
          <w:lang w:val="ru-RU"/>
        </w:rPr>
        <w:t>Более детально каждый из основных элементов пересмотренной политики в отношении резервов рассматривается в нижеследующем разделе</w:t>
      </w:r>
      <w:r w:rsidR="00CE1046" w:rsidRPr="005A4164">
        <w:rPr>
          <w:lang w:val="ru-RU"/>
        </w:rPr>
        <w:t>.</w:t>
      </w:r>
    </w:p>
    <w:p w:rsidR="00342DF9" w:rsidRPr="005A4164" w:rsidRDefault="00342DF9" w:rsidP="007E3FFD">
      <w:pPr>
        <w:rPr>
          <w:lang w:val="ru-RU"/>
        </w:rPr>
      </w:pPr>
    </w:p>
    <w:p w:rsidR="00342DF9" w:rsidRPr="005A4164" w:rsidRDefault="00342DF9" w:rsidP="007E3FFD">
      <w:pPr>
        <w:rPr>
          <w:lang w:val="ru-RU"/>
        </w:rPr>
      </w:pPr>
    </w:p>
    <w:p w:rsidR="00342DF9" w:rsidRPr="005A4164" w:rsidRDefault="00CE1046" w:rsidP="00CE1046">
      <w:pPr>
        <w:keepNext/>
        <w:keepLines/>
        <w:tabs>
          <w:tab w:val="left" w:pos="851"/>
        </w:tabs>
        <w:rPr>
          <w:b/>
          <w:lang w:val="ru-RU"/>
        </w:rPr>
      </w:pPr>
      <w:r w:rsidRPr="005A4164">
        <w:rPr>
          <w:b/>
          <w:lang w:val="ru-RU"/>
        </w:rPr>
        <w:t>II.  (A)</w:t>
      </w:r>
      <w:r w:rsidRPr="005A4164">
        <w:rPr>
          <w:lang w:val="ru-RU"/>
        </w:rPr>
        <w:t xml:space="preserve"> </w:t>
      </w:r>
      <w:r w:rsidRPr="005A4164">
        <w:rPr>
          <w:b/>
          <w:lang w:val="ru-RU"/>
        </w:rPr>
        <w:t>Разграничение фонда оборотных средств</w:t>
      </w:r>
    </w:p>
    <w:p w:rsidR="00342DF9" w:rsidRPr="005A4164" w:rsidRDefault="00342DF9" w:rsidP="00D3650E">
      <w:pPr>
        <w:keepNext/>
        <w:keepLines/>
        <w:rPr>
          <w:b/>
          <w:lang w:val="ru-RU"/>
        </w:rPr>
      </w:pPr>
    </w:p>
    <w:p w:rsidR="00342DF9" w:rsidRPr="005A4164" w:rsidRDefault="00122A2E" w:rsidP="00DC100B">
      <w:pPr>
        <w:pStyle w:val="ListParagraph"/>
        <w:keepNext/>
        <w:keepLines/>
        <w:numPr>
          <w:ilvl w:val="0"/>
          <w:numId w:val="19"/>
        </w:numPr>
        <w:tabs>
          <w:tab w:val="left" w:pos="567"/>
        </w:tabs>
        <w:ind w:left="0" w:right="-1" w:firstLine="0"/>
        <w:rPr>
          <w:lang w:val="ru-RU"/>
        </w:rPr>
      </w:pPr>
      <w:r w:rsidRPr="005A4164">
        <w:rPr>
          <w:lang w:val="ru-RU"/>
        </w:rPr>
        <w:t xml:space="preserve">Как было отмечено выше, </w:t>
      </w:r>
      <w:r w:rsidR="00CC7627" w:rsidRPr="005A4164">
        <w:rPr>
          <w:lang w:val="ru-RU"/>
        </w:rPr>
        <w:t xml:space="preserve">когда принималась концепция РФОС, для целей бухгалтерского учета и отчетности было сохранено разделение на резервный фонд и фонд оборотных средств.  Поэтому в отношении фонда оборотных средств по-прежнему применяется процедура, согласно которой взносы для финансирования фонда оборотных средств находятся в доверительном управлении ВОИС в интересах государств-членов соответствующих союзов.  </w:t>
      </w:r>
      <w:r w:rsidR="00DC100B" w:rsidRPr="005A4164">
        <w:rPr>
          <w:lang w:val="ru-RU"/>
        </w:rPr>
        <w:t>Размер фонда оборотных средств устанавливается положениями международных договоров соответствующих Союзов.</w:t>
      </w:r>
      <w:r w:rsidR="00C3714C" w:rsidRPr="005A4164">
        <w:rPr>
          <w:lang w:val="ru-RU"/>
        </w:rPr>
        <w:t xml:space="preserve">  </w:t>
      </w:r>
      <w:r w:rsidR="00DC100B" w:rsidRPr="005A4164">
        <w:rPr>
          <w:lang w:val="ru-RU"/>
        </w:rPr>
        <w:t xml:space="preserve">Размер фонда оборотных средств остается неизменным с </w:t>
      </w:r>
      <w:r w:rsidR="00E96C8A" w:rsidRPr="005A4164">
        <w:rPr>
          <w:lang w:val="ru-RU"/>
        </w:rPr>
        <w:t>1990</w:t>
      </w:r>
      <w:r w:rsidR="00DC100B" w:rsidRPr="005A4164">
        <w:rPr>
          <w:lang w:val="ru-RU"/>
        </w:rPr>
        <w:t xml:space="preserve"> г</w:t>
      </w:r>
      <w:r w:rsidR="00E96C8A" w:rsidRPr="005A4164">
        <w:rPr>
          <w:lang w:val="ru-RU"/>
        </w:rPr>
        <w:t xml:space="preserve">.  </w:t>
      </w:r>
      <w:r w:rsidR="00DC100B" w:rsidRPr="005A4164">
        <w:rPr>
          <w:lang w:val="ru-RU"/>
        </w:rPr>
        <w:t>Как следствие, корректировка общего уровня РФОС производится только путем изменения объема резервов без какой бы то ни было корректировки размера фонда оборотных средств.</w:t>
      </w:r>
      <w:r w:rsidR="00C3714C" w:rsidRPr="005A4164">
        <w:rPr>
          <w:lang w:val="ru-RU"/>
        </w:rPr>
        <w:t xml:space="preserve">  </w:t>
      </w:r>
      <w:r w:rsidR="00DC100B" w:rsidRPr="005A4164">
        <w:rPr>
          <w:lang w:val="ru-RU"/>
        </w:rPr>
        <w:t>При утверждении политики в отношении резервов в 2000 г. государства-члены договорились также о том, что данные о фондах оборотных средств по союзам, финансируемым за счет взносов, будут представляться в сводном виде.</w:t>
      </w:r>
      <w:r w:rsidR="00C3714C" w:rsidRPr="005A4164">
        <w:rPr>
          <w:lang w:val="ru-RU"/>
        </w:rPr>
        <w:t xml:space="preserve"> </w:t>
      </w:r>
      <w:r w:rsidR="00EE6A68" w:rsidRPr="005A4164">
        <w:rPr>
          <w:lang w:val="ru-RU"/>
        </w:rPr>
        <w:t xml:space="preserve"> </w:t>
      </w:r>
      <w:r w:rsidR="00DC100B" w:rsidRPr="005A4164">
        <w:rPr>
          <w:lang w:val="ru-RU"/>
        </w:rPr>
        <w:t>Это отражается в финансовой отчетности и финансовом отчете руководства (ФОР).</w:t>
      </w:r>
    </w:p>
    <w:p w:rsidR="00342DF9" w:rsidRPr="005A4164" w:rsidRDefault="00342DF9" w:rsidP="007E3FFD">
      <w:pPr>
        <w:rPr>
          <w:b/>
          <w:lang w:val="ru-RU"/>
        </w:rPr>
      </w:pPr>
    </w:p>
    <w:p w:rsidR="00342DF9" w:rsidRPr="005A4164" w:rsidRDefault="00342DF9" w:rsidP="007E3FFD">
      <w:pPr>
        <w:rPr>
          <w:b/>
          <w:lang w:val="ru-RU"/>
        </w:rPr>
      </w:pPr>
    </w:p>
    <w:p w:rsidR="00342DF9" w:rsidRPr="005A4164" w:rsidRDefault="00DC100B" w:rsidP="00DC100B">
      <w:pPr>
        <w:rPr>
          <w:b/>
          <w:lang w:val="ru-RU"/>
        </w:rPr>
      </w:pPr>
      <w:r w:rsidRPr="005A4164">
        <w:rPr>
          <w:b/>
          <w:lang w:val="ru-RU"/>
        </w:rPr>
        <w:t>II.  (B)</w:t>
      </w:r>
      <w:r w:rsidRPr="005A4164">
        <w:rPr>
          <w:lang w:val="ru-RU"/>
        </w:rPr>
        <w:t xml:space="preserve"> </w:t>
      </w:r>
      <w:r w:rsidRPr="005A4164">
        <w:rPr>
          <w:b/>
          <w:lang w:val="ru-RU"/>
        </w:rPr>
        <w:t>Установление требуемого (целевого) уровня резервов</w:t>
      </w:r>
    </w:p>
    <w:p w:rsidR="00342DF9" w:rsidRPr="005A4164" w:rsidRDefault="00342DF9" w:rsidP="007E3FFD">
      <w:pPr>
        <w:tabs>
          <w:tab w:val="left" w:pos="2970"/>
        </w:tabs>
        <w:rPr>
          <w:b/>
          <w:lang w:val="ru-RU"/>
        </w:rPr>
      </w:pPr>
    </w:p>
    <w:p w:rsidR="00342DF9" w:rsidRPr="005A4164" w:rsidRDefault="00DC100B" w:rsidP="00BF2C96">
      <w:pPr>
        <w:pStyle w:val="ListParagraph"/>
        <w:numPr>
          <w:ilvl w:val="0"/>
          <w:numId w:val="19"/>
        </w:numPr>
        <w:tabs>
          <w:tab w:val="left" w:pos="567"/>
        </w:tabs>
        <w:ind w:left="0" w:right="-1" w:firstLine="0"/>
        <w:rPr>
          <w:lang w:val="ru-RU"/>
        </w:rPr>
      </w:pPr>
      <w:r w:rsidRPr="005A4164">
        <w:rPr>
          <w:lang w:val="ru-RU"/>
        </w:rPr>
        <w:t xml:space="preserve">РФОС служит для минимизации риска возникновения дефицита и проблем с ликвидностью, что может иметь негативные последствия для выполнения программы, </w:t>
      </w:r>
      <w:r w:rsidR="00DF05C3" w:rsidRPr="005A4164">
        <w:rPr>
          <w:lang w:val="ru-RU"/>
        </w:rPr>
        <w:t xml:space="preserve">и </w:t>
      </w:r>
      <w:r w:rsidRPr="005A4164">
        <w:rPr>
          <w:lang w:val="ru-RU"/>
        </w:rPr>
        <w:t>обеспечения максимальных возможностей того, что Организация сможет выполнять свои обязательства и сохранять свою финансовую стабильность</w:t>
      </w:r>
      <w:r w:rsidR="00DF05C3" w:rsidRPr="005A4164">
        <w:rPr>
          <w:lang w:val="ru-RU"/>
        </w:rPr>
        <w:t xml:space="preserve">.  Вопрос о финансовом риске можно далее конкретизировать в свете рисков для доходов и рисков для расходов.  </w:t>
      </w:r>
      <w:r w:rsidR="00BF2C96" w:rsidRPr="005A4164">
        <w:rPr>
          <w:lang w:val="ru-RU"/>
        </w:rPr>
        <w:t>Риски, связанные с доходами, включают неуплату взносов, снижение объема поступлений в виде пошлин или колебания обменного курса.</w:t>
      </w:r>
      <w:r w:rsidR="00C3714C" w:rsidRPr="005A4164">
        <w:rPr>
          <w:lang w:val="ru-RU"/>
        </w:rPr>
        <w:t xml:space="preserve">  </w:t>
      </w:r>
      <w:r w:rsidR="00BF2C96" w:rsidRPr="005A4164">
        <w:rPr>
          <w:lang w:val="ru-RU"/>
        </w:rPr>
        <w:t>Риски, связанные с расходами, включают, например, банкротство поставщика на этапе до осуществления поставки.</w:t>
      </w:r>
      <w:r w:rsidR="00C3714C" w:rsidRPr="005A4164">
        <w:rPr>
          <w:lang w:val="ru-RU"/>
        </w:rPr>
        <w:t xml:space="preserve">  </w:t>
      </w:r>
    </w:p>
    <w:p w:rsidR="00342DF9" w:rsidRPr="005A4164" w:rsidRDefault="00342DF9" w:rsidP="007E3FFD">
      <w:pPr>
        <w:pStyle w:val="ListParagraph"/>
        <w:tabs>
          <w:tab w:val="left" w:pos="567"/>
        </w:tabs>
        <w:ind w:left="0" w:right="-1"/>
        <w:rPr>
          <w:lang w:val="ru-RU"/>
        </w:rPr>
      </w:pPr>
    </w:p>
    <w:p w:rsidR="00342DF9" w:rsidRPr="002C66AA" w:rsidRDefault="00BF2C96" w:rsidP="00E104B7">
      <w:pPr>
        <w:pStyle w:val="ListParagraph"/>
        <w:numPr>
          <w:ilvl w:val="0"/>
          <w:numId w:val="19"/>
        </w:numPr>
        <w:tabs>
          <w:tab w:val="left" w:pos="567"/>
        </w:tabs>
        <w:ind w:left="0" w:right="-1" w:firstLine="0"/>
        <w:rPr>
          <w:lang w:val="ru-RU"/>
        </w:rPr>
      </w:pPr>
      <w:r w:rsidRPr="002C66AA">
        <w:rPr>
          <w:lang w:val="ru-RU"/>
        </w:rPr>
        <w:t xml:space="preserve">ВОИС представляет собой организацию, которая финансируется, главным образом, за счет пошлин и сборов, получая 95 процентов своего дохода в виде сборов за оказание услуг.  </w:t>
      </w:r>
      <w:r w:rsidR="00E104B7" w:rsidRPr="002C66AA">
        <w:rPr>
          <w:lang w:val="ru-RU"/>
        </w:rPr>
        <w:t>Наибольший риск для ВОИС - это риск для ее доходов.</w:t>
      </w:r>
      <w:r w:rsidR="00C3714C" w:rsidRPr="002C66AA">
        <w:rPr>
          <w:lang w:val="ru-RU"/>
        </w:rPr>
        <w:t xml:space="preserve">  </w:t>
      </w:r>
      <w:r w:rsidR="00E104B7" w:rsidRPr="002C66AA">
        <w:rPr>
          <w:lang w:val="ru-RU"/>
        </w:rPr>
        <w:t>По существу, это риск неполучения доходов, поступление которых в двухлетнем периоде считалось гарантированным и которые необходимы для покрытия сметы расходов за этот же период.</w:t>
      </w:r>
      <w:r w:rsidR="00C3714C" w:rsidRPr="002C66AA">
        <w:rPr>
          <w:lang w:val="ru-RU"/>
        </w:rPr>
        <w:t xml:space="preserve">  </w:t>
      </w:r>
      <w:r w:rsidR="00E104B7" w:rsidRPr="002C66AA">
        <w:rPr>
          <w:lang w:val="ru-RU"/>
        </w:rPr>
        <w:t>Поэтому предлагаемая смета расходов на двухлетний период служит надежным и прямым индикатором для оценки риска.</w:t>
      </w:r>
      <w:r w:rsidR="00C3714C" w:rsidRPr="002C66AA">
        <w:rPr>
          <w:lang w:val="ru-RU"/>
        </w:rPr>
        <w:t xml:space="preserve">  </w:t>
      </w:r>
      <w:r w:rsidR="00E104B7" w:rsidRPr="002C66AA">
        <w:rPr>
          <w:lang w:val="ru-RU"/>
        </w:rPr>
        <w:t>Поэтому в политике ВОИС в отношении резервов уровень защиты, обеспечиваемой всей суммой средств РФОС, выражен процентным отношением к прогнозируемым расходом в течение двухлетнего периода (коэффициент ПДР):  чем выше коэффициент ПДР, тем выше степень защиты.</w:t>
      </w:r>
      <w:r w:rsidR="00C3714C" w:rsidRPr="002C66AA">
        <w:rPr>
          <w:lang w:val="ru-RU"/>
        </w:rPr>
        <w:t xml:space="preserve">  </w:t>
      </w:r>
      <w:r w:rsidR="00E104B7" w:rsidRPr="002C66AA">
        <w:rPr>
          <w:lang w:val="ru-RU"/>
        </w:rPr>
        <w:t>Коэффициент ПДР служит показателем того, как долго может обеспечиваться функционирование Организации исключительно за счет средств резервного фонда.</w:t>
      </w:r>
      <w:r w:rsidR="00C3714C" w:rsidRPr="002C66AA">
        <w:rPr>
          <w:lang w:val="ru-RU"/>
        </w:rPr>
        <w:t xml:space="preserve">  </w:t>
      </w:r>
      <w:r w:rsidR="00E104B7" w:rsidRPr="002C66AA">
        <w:rPr>
          <w:lang w:val="ru-RU"/>
        </w:rPr>
        <w:t>Например, при коэффициенте в 50% финансирование может быть обеспечено на протяжении 12 месяцев, а при коэффициенте в 25% – шесть месяцев.</w:t>
      </w:r>
      <w:r w:rsidR="00C3714C" w:rsidRPr="002C66AA">
        <w:rPr>
          <w:lang w:val="ru-RU"/>
        </w:rPr>
        <w:t xml:space="preserve">  </w:t>
      </w:r>
    </w:p>
    <w:p w:rsidR="00342DF9" w:rsidRPr="005A4164" w:rsidRDefault="00342DF9" w:rsidP="007E3FFD">
      <w:pPr>
        <w:pStyle w:val="ListParagraph"/>
        <w:tabs>
          <w:tab w:val="left" w:pos="567"/>
        </w:tabs>
        <w:ind w:left="0" w:right="-1"/>
        <w:rPr>
          <w:lang w:val="ru-RU"/>
        </w:rPr>
      </w:pPr>
    </w:p>
    <w:p w:rsidR="00342DF9" w:rsidRPr="005A4164" w:rsidRDefault="003E1CC5" w:rsidP="003E1CC5">
      <w:pPr>
        <w:pStyle w:val="ListParagraph"/>
        <w:numPr>
          <w:ilvl w:val="0"/>
          <w:numId w:val="19"/>
        </w:numPr>
        <w:ind w:left="0" w:right="-1" w:firstLine="0"/>
        <w:rPr>
          <w:lang w:val="ru-RU"/>
        </w:rPr>
      </w:pPr>
      <w:r w:rsidRPr="005A4164">
        <w:rPr>
          <w:lang w:val="ru-RU"/>
        </w:rPr>
        <w:t>В соответствии с вышеизложенным подходом целевой уровень РФОС был установлен в процентном отношении к смете расходов за двухлетний период (коэффициент ПДР) для союзов, финансируемых за счет взносов, Союза РСТ, Мадридского союза и Гаагского союза.</w:t>
      </w:r>
      <w:r w:rsidR="00C3714C" w:rsidRPr="005A4164">
        <w:rPr>
          <w:lang w:val="ru-RU"/>
        </w:rPr>
        <w:t xml:space="preserve">  </w:t>
      </w:r>
      <w:r w:rsidRPr="005A4164">
        <w:rPr>
          <w:lang w:val="ru-RU"/>
        </w:rPr>
        <w:t>На уровне союзов был установлен надлежащий коэффициент ПДР, отражающий риски и обеспокоенность в отношении ликвидности, характерные для каждого соответствующего союза.</w:t>
      </w:r>
      <w:r w:rsidR="00C3714C" w:rsidRPr="005A4164">
        <w:rPr>
          <w:lang w:val="ru-RU"/>
        </w:rPr>
        <w:t xml:space="preserve">  </w:t>
      </w:r>
      <w:r w:rsidRPr="005A4164">
        <w:rPr>
          <w:lang w:val="ru-RU"/>
        </w:rPr>
        <w:t>Таким образом, уровень РФОС для каждого союза исчисляется путем умножения сметы расходов на двухлетний период на коэффициент ПДР соответствующего союза.</w:t>
      </w:r>
      <w:r w:rsidR="00C3714C" w:rsidRPr="005A4164">
        <w:rPr>
          <w:lang w:val="ru-RU"/>
        </w:rPr>
        <w:t xml:space="preserve">  </w:t>
      </w:r>
      <w:r w:rsidRPr="005A4164">
        <w:rPr>
          <w:lang w:val="ru-RU"/>
        </w:rPr>
        <w:t>Выбор коэффициента ПДР в качестве точки отсчета обеспечивает увязку с размером предлагаем</w:t>
      </w:r>
      <w:r w:rsidR="008F0FC3" w:rsidRPr="005A4164">
        <w:rPr>
          <w:lang w:val="ru-RU"/>
        </w:rPr>
        <w:t xml:space="preserve">ой </w:t>
      </w:r>
      <w:r w:rsidRPr="005A4164">
        <w:rPr>
          <w:lang w:val="ru-RU"/>
        </w:rPr>
        <w:t>Программы и бюджета, что, в свою очередь, «обеспечивает, чтобы динамика изменений и связанного с ними риска и обе</w:t>
      </w:r>
      <w:r w:rsidR="008F0FC3" w:rsidRPr="005A4164">
        <w:rPr>
          <w:lang w:val="ru-RU"/>
        </w:rPr>
        <w:t xml:space="preserve">спокоенности </w:t>
      </w:r>
      <w:r w:rsidRPr="005A4164">
        <w:rPr>
          <w:lang w:val="ru-RU"/>
        </w:rPr>
        <w:t>в отношении ликвидности в полной мере отражались»</w:t>
      </w:r>
      <w:r w:rsidR="008F0FC3" w:rsidRPr="005A4164">
        <w:rPr>
          <w:rStyle w:val="FootnoteReference"/>
          <w:lang w:val="ru-RU"/>
        </w:rPr>
        <w:t xml:space="preserve"> </w:t>
      </w:r>
      <w:r w:rsidR="008F0FC3" w:rsidRPr="005A4164">
        <w:rPr>
          <w:rStyle w:val="FootnoteReference"/>
          <w:lang w:val="ru-RU"/>
        </w:rPr>
        <w:footnoteReference w:id="1"/>
      </w:r>
      <w:r w:rsidRPr="005A4164">
        <w:rPr>
          <w:lang w:val="ru-RU"/>
        </w:rPr>
        <w:t xml:space="preserve"> на уровне РФОС</w:t>
      </w:r>
      <w:r w:rsidR="00C3714C" w:rsidRPr="005A4164">
        <w:rPr>
          <w:lang w:val="ru-RU"/>
        </w:rPr>
        <w:t xml:space="preserve">. </w:t>
      </w:r>
    </w:p>
    <w:p w:rsidR="00342DF9" w:rsidRPr="005A4164" w:rsidRDefault="00342DF9" w:rsidP="008F0FC3">
      <w:pPr>
        <w:rPr>
          <w:lang w:val="ru-RU"/>
        </w:rPr>
      </w:pPr>
    </w:p>
    <w:p w:rsidR="00342DF9" w:rsidRPr="005A4164" w:rsidRDefault="0073714A" w:rsidP="00524E98">
      <w:pPr>
        <w:pStyle w:val="ListParagraph"/>
        <w:numPr>
          <w:ilvl w:val="0"/>
          <w:numId w:val="19"/>
        </w:numPr>
        <w:tabs>
          <w:tab w:val="left" w:pos="567"/>
        </w:tabs>
        <w:ind w:left="0" w:firstLine="0"/>
        <w:rPr>
          <w:lang w:val="ru-RU"/>
        </w:rPr>
      </w:pPr>
      <w:r w:rsidRPr="005A4164">
        <w:rPr>
          <w:lang w:val="ru-RU"/>
        </w:rPr>
        <w:t>По итогам обзора динамики доходов, расходов и фактических РФОС Организации и каждого союза предлагается повысить коэффициент ПДР для Союза РСТ с учетом существенного увеличения масштабов операций РСТ и возросшей зависимости Организации от доходов РСТ начиная с 2000 г.  Повышение уровня РФОС для Союза РСТ обеспечит б</w:t>
      </w:r>
      <w:r w:rsidRPr="005A4164">
        <w:rPr>
          <w:i/>
          <w:lang w:val="ru-RU"/>
        </w:rPr>
        <w:t>о</w:t>
      </w:r>
      <w:r w:rsidRPr="005A4164">
        <w:rPr>
          <w:lang w:val="ru-RU"/>
        </w:rPr>
        <w:t>льшую финансовую стабильность наиболее важной с финансовой точки зрения глобальной системы ИС Организации.  Коэффициент ПДР для Союза РСТ предлагается повысить с 15 до 20 процентов.  Коэффициент ПДР для союзов, финансируемых за счет взносов, остается на уровне 50%, для Мадридского союза – 25 процентов и для Гаагского союза – 15 процентов.  Лиссабонский союз в настоящее время не имеет целевого показателя РФОС.  Что касается Лиссабонского союза, то необходимо будет тщательно проследить за его развитием для определения надлежащих сроков принятия целевого показателя и уровня РФОС</w:t>
      </w:r>
      <w:r w:rsidR="00C3714C" w:rsidRPr="005A4164">
        <w:rPr>
          <w:lang w:val="ru-RU"/>
        </w:rPr>
        <w:t>.</w:t>
      </w:r>
      <w:r w:rsidR="009A7001" w:rsidRPr="005A4164">
        <w:rPr>
          <w:lang w:val="ru-RU"/>
        </w:rPr>
        <w:t xml:space="preserve"> </w:t>
      </w:r>
    </w:p>
    <w:p w:rsidR="00342DF9" w:rsidRPr="005A4164" w:rsidRDefault="00342DF9" w:rsidP="0073714A">
      <w:pPr>
        <w:tabs>
          <w:tab w:val="left" w:pos="7695"/>
        </w:tabs>
        <w:rPr>
          <w:lang w:val="ru-RU"/>
        </w:rPr>
      </w:pPr>
    </w:p>
    <w:p w:rsidR="00342DF9" w:rsidRPr="005A4164" w:rsidRDefault="00E56D01" w:rsidP="00524E98">
      <w:pPr>
        <w:pStyle w:val="ListParagraph"/>
        <w:numPr>
          <w:ilvl w:val="0"/>
          <w:numId w:val="19"/>
        </w:numPr>
        <w:tabs>
          <w:tab w:val="left" w:pos="567"/>
        </w:tabs>
        <w:ind w:left="0" w:right="-1" w:firstLine="0"/>
        <w:rPr>
          <w:lang w:val="ru-RU"/>
        </w:rPr>
      </w:pPr>
      <w:r w:rsidRPr="005A4164">
        <w:rPr>
          <w:lang w:val="ru-RU"/>
        </w:rPr>
        <w:t>Хотя коэффициенты ПДР определяются самими союзами, на практике работа Организации основана на единой Программе и бюджете, которая определяется исходя из программы (начиная с конца 1990-х гг.) и ожидаемых результатов (начиная с 2012-2013 гг.).  Что касается бюджета Организации, то определяемые союзами коэффициенты ПДР используются при установлении единого коэффициента ПДР Организации, который составляет приблизительно 22%.  Данный коэффициент эквивалентен более чем пяти месяцам прогнозируемых расходов в течение двухлетнего периода, и он выше текущего коэффициента в 18,5 процента, который эквивалентен приблизительно четырем месяцам прогнозируемых расходов Организации в течении двухлетнего периода.  Повышение целевого уровня резервов позволит усилить управление финансовыми рисками.  Кроме того, предлагаемое увеличение согласуется с высказанными государствами-членами предпочтениями того, чтобы повышение целевого уровня резервов осуществлялось постепенно.  Повышение целевого уровня резервов до 22 процентов также в большей степени согласуется с рекомендацией швейцарской внешней аудиторской фирмы от 2006 г. о том, чтобы целевой уровень резервов был установлен на уровне 25 процентов от прогнозируемых расходов на двухлетний период, что эквивалентно шести месяцам расходов в течение двухлетнего периода</w:t>
      </w:r>
      <w:r w:rsidR="00C3714C" w:rsidRPr="005A4164">
        <w:rPr>
          <w:lang w:val="ru-RU"/>
        </w:rPr>
        <w:t>.</w:t>
      </w:r>
      <w:r w:rsidRPr="005A4164">
        <w:rPr>
          <w:lang w:val="ru-RU"/>
        </w:rPr>
        <w:t xml:space="preserve"> </w:t>
      </w:r>
    </w:p>
    <w:p w:rsidR="00342DF9" w:rsidRPr="005A4164" w:rsidRDefault="00342DF9" w:rsidP="007E3FFD">
      <w:pPr>
        <w:rPr>
          <w:lang w:val="ru-RU"/>
        </w:rPr>
      </w:pPr>
    </w:p>
    <w:p w:rsidR="00342DF9" w:rsidRPr="005A4164" w:rsidRDefault="00396081" w:rsidP="00524E98">
      <w:pPr>
        <w:pStyle w:val="ListParagraph"/>
        <w:numPr>
          <w:ilvl w:val="0"/>
          <w:numId w:val="19"/>
        </w:numPr>
        <w:tabs>
          <w:tab w:val="left" w:pos="567"/>
          <w:tab w:val="left" w:pos="4590"/>
        </w:tabs>
        <w:ind w:left="0" w:right="-1" w:firstLine="0"/>
        <w:rPr>
          <w:bCs/>
          <w:lang w:val="ru-RU"/>
        </w:rPr>
      </w:pPr>
      <w:r w:rsidRPr="005A4164">
        <w:rPr>
          <w:lang w:val="ru-RU"/>
        </w:rPr>
        <w:t>В настоящее время ВОИС не стоит перед лицом риска нехватки ликвидности, так как она располагает значительными и ничем не ограниченными ресурсами денежной наличности, пополняемыми в результате проводимых ею операций.  Однако одна из задач поддержания целевого уровня РФОС заключается в том, чтобы сохранить возможность для Организации выполнять ее обязательства в краткосрочной перспективе.  Поэтому целевой уровень РФОС, насколько это возможно, будет иметь форму денежной наличности или инвестиций, которые могут быть ликвидированы в короткий срок за низкую плату или без дополнительной оплаты и будут отвечать требованиям действующей инвестиционной политики.  Возможность выполнения целевого показателя резервов в форме денежной наличности или других ликвидных активов будет зависеть от применимых отрицательных процентных ставок, лимитов, которые банковские учреждения смогут установить для ВОИС (лимиты сумм, к которым не применяются отрицательные процентные ставки), и инвестиционной политики</w:t>
      </w:r>
      <w:r w:rsidR="00D17541" w:rsidRPr="005A4164">
        <w:rPr>
          <w:lang w:val="ru-RU"/>
        </w:rPr>
        <w:t>.</w:t>
      </w:r>
      <w:r w:rsidRPr="005A4164">
        <w:rPr>
          <w:lang w:val="ru-RU"/>
        </w:rPr>
        <w:t xml:space="preserve"> </w:t>
      </w:r>
    </w:p>
    <w:p w:rsidR="00342DF9" w:rsidRPr="005A4164" w:rsidRDefault="00342DF9" w:rsidP="007E3FFD">
      <w:pPr>
        <w:pStyle w:val="ListParagraph"/>
        <w:rPr>
          <w:bCs/>
          <w:lang w:val="ru-RU"/>
        </w:rPr>
      </w:pPr>
    </w:p>
    <w:p w:rsidR="00342DF9" w:rsidRPr="005A4164" w:rsidRDefault="00342DF9" w:rsidP="007E3FFD">
      <w:pPr>
        <w:pStyle w:val="ListParagraph"/>
        <w:rPr>
          <w:bCs/>
          <w:lang w:val="ru-RU"/>
        </w:rPr>
      </w:pPr>
    </w:p>
    <w:p w:rsidR="00342DF9" w:rsidRPr="005A4164" w:rsidRDefault="00524E98" w:rsidP="00524E98">
      <w:pPr>
        <w:pStyle w:val="ONUME"/>
        <w:keepNext/>
        <w:keepLines/>
        <w:widowControl w:val="0"/>
        <w:numPr>
          <w:ilvl w:val="0"/>
          <w:numId w:val="0"/>
        </w:numPr>
        <w:tabs>
          <w:tab w:val="left" w:pos="851"/>
        </w:tabs>
        <w:spacing w:after="0"/>
        <w:rPr>
          <w:b/>
          <w:lang w:val="ru-RU"/>
        </w:rPr>
      </w:pPr>
      <w:r w:rsidRPr="005A4164">
        <w:rPr>
          <w:b/>
          <w:lang w:val="ru-RU"/>
        </w:rPr>
        <w:t>II. (C)</w:t>
      </w:r>
      <w:r w:rsidRPr="005A4164">
        <w:rPr>
          <w:b/>
          <w:lang w:val="ru-RU"/>
        </w:rPr>
        <w:tab/>
        <w:t xml:space="preserve">Отчетность по резервам </w:t>
      </w:r>
      <w:r w:rsidR="00C3714C" w:rsidRPr="005A4164">
        <w:rPr>
          <w:b/>
          <w:lang w:val="ru-RU"/>
        </w:rPr>
        <w:t xml:space="preserve"> </w:t>
      </w:r>
    </w:p>
    <w:p w:rsidR="00342DF9" w:rsidRPr="005A4164" w:rsidRDefault="00342DF9" w:rsidP="007E3FFD">
      <w:pPr>
        <w:pStyle w:val="ONUME"/>
        <w:keepNext/>
        <w:keepLines/>
        <w:widowControl w:val="0"/>
        <w:numPr>
          <w:ilvl w:val="0"/>
          <w:numId w:val="0"/>
        </w:numPr>
        <w:spacing w:after="0"/>
        <w:rPr>
          <w:lang w:val="ru-RU"/>
        </w:rPr>
      </w:pPr>
    </w:p>
    <w:p w:rsidR="00342DF9" w:rsidRPr="005A4164" w:rsidRDefault="00524E98" w:rsidP="00524E98">
      <w:pPr>
        <w:pStyle w:val="ListParagraph"/>
        <w:keepNext/>
        <w:keepLines/>
        <w:numPr>
          <w:ilvl w:val="0"/>
          <w:numId w:val="19"/>
        </w:numPr>
        <w:tabs>
          <w:tab w:val="left" w:pos="567"/>
        </w:tabs>
        <w:ind w:left="0" w:right="-1" w:firstLine="0"/>
        <w:rPr>
          <w:lang w:val="ru-RU"/>
        </w:rPr>
      </w:pPr>
      <w:r w:rsidRPr="005A4164">
        <w:rPr>
          <w:lang w:val="ru-RU"/>
        </w:rPr>
        <w:t>РФОС играют важную роль при осуществлении финансового планирования и управления финансами ВОИС, и отчетность по ним служит неотъемлемым компонентом двухлетней программы и бюджета, финансовой отчетности и ОУФД.</w:t>
      </w:r>
    </w:p>
    <w:p w:rsidR="00342DF9" w:rsidRPr="005A4164" w:rsidRDefault="00342DF9" w:rsidP="007E3FFD">
      <w:pPr>
        <w:pStyle w:val="ONUME"/>
        <w:widowControl w:val="0"/>
        <w:numPr>
          <w:ilvl w:val="0"/>
          <w:numId w:val="0"/>
        </w:numPr>
        <w:tabs>
          <w:tab w:val="left" w:pos="2970"/>
          <w:tab w:val="left" w:pos="3150"/>
        </w:tabs>
        <w:spacing w:after="0"/>
        <w:rPr>
          <w:lang w:val="ru-RU"/>
        </w:rPr>
      </w:pPr>
    </w:p>
    <w:p w:rsidR="00342DF9" w:rsidRPr="005A4164" w:rsidRDefault="00396081" w:rsidP="007E3FFD">
      <w:pPr>
        <w:pStyle w:val="ListParagraph"/>
        <w:numPr>
          <w:ilvl w:val="0"/>
          <w:numId w:val="19"/>
        </w:numPr>
        <w:tabs>
          <w:tab w:val="left" w:pos="567"/>
        </w:tabs>
        <w:ind w:left="0" w:right="-1" w:firstLine="0"/>
        <w:rPr>
          <w:lang w:val="ru-RU"/>
        </w:rPr>
      </w:pPr>
      <w:r w:rsidRPr="005A4164">
        <w:rPr>
          <w:lang w:val="ru-RU"/>
        </w:rPr>
        <w:t>Программа и бюджет ВОИС на двухлетний период содержит сценарий в отношении доходов, расходов и результатов в разбивке по союзам</w:t>
      </w:r>
      <w:r w:rsidR="00C3714C" w:rsidRPr="005A4164">
        <w:rPr>
          <w:lang w:val="ru-RU"/>
        </w:rPr>
        <w:t>.</w:t>
      </w:r>
      <w:r w:rsidRPr="005A4164">
        <w:rPr>
          <w:lang w:val="ru-RU"/>
        </w:rPr>
        <w:t xml:space="preserve"> </w:t>
      </w:r>
    </w:p>
    <w:p w:rsidR="00342DF9" w:rsidRPr="005A4164" w:rsidRDefault="00342DF9" w:rsidP="007E3FFD">
      <w:pPr>
        <w:pStyle w:val="ListParagraph"/>
        <w:ind w:left="0"/>
        <w:rPr>
          <w:lang w:val="ru-RU"/>
        </w:rPr>
      </w:pPr>
    </w:p>
    <w:p w:rsidR="00342DF9" w:rsidRPr="005A4164" w:rsidRDefault="00396081" w:rsidP="007E3FFD">
      <w:pPr>
        <w:pStyle w:val="ListParagraph"/>
        <w:numPr>
          <w:ilvl w:val="0"/>
          <w:numId w:val="19"/>
        </w:numPr>
        <w:tabs>
          <w:tab w:val="left" w:pos="567"/>
        </w:tabs>
        <w:ind w:left="0" w:right="-1" w:firstLine="0"/>
        <w:rPr>
          <w:lang w:val="ru-RU"/>
        </w:rPr>
      </w:pPr>
      <w:r w:rsidRPr="005A4164">
        <w:rPr>
          <w:lang w:val="ru-RU"/>
        </w:rPr>
        <w:t>Резервы ВОИС (чистые активы) указываются в Отчете I финансовой отчетности Организации «Отчет о финансовом положении» и в прилагаемых к нему примечаниях.  Согласно финансовой отчетности, чистые активы ВОИС включают резервы (накопленный профицит и профицит фонда на переоценку стоимости) и фонд оборотных средств.  Фонд оборотных средств устанавливается положениями учредительных договоров соответствующих союзов, формируется за счет взносов и находится в доверительном управлении ВОИС в интересах государств-членов различных союзов.  Эти средства могут быть использованы на основании решений Ассамблей союзов в случае временной нехватки ликвидности</w:t>
      </w:r>
      <w:r w:rsidR="00C3714C" w:rsidRPr="005A4164">
        <w:rPr>
          <w:lang w:val="ru-RU"/>
        </w:rPr>
        <w:t>.</w:t>
      </w:r>
      <w:r w:rsidRPr="005A4164">
        <w:rPr>
          <w:lang w:val="ru-RU"/>
        </w:rPr>
        <w:t xml:space="preserve"> </w:t>
      </w:r>
    </w:p>
    <w:p w:rsidR="00342DF9" w:rsidRPr="005A4164" w:rsidRDefault="00342DF9" w:rsidP="007E3FFD">
      <w:pPr>
        <w:pStyle w:val="ListParagraph"/>
        <w:tabs>
          <w:tab w:val="left" w:pos="567"/>
        </w:tabs>
        <w:ind w:left="0" w:right="-1"/>
        <w:rPr>
          <w:lang w:val="ru-RU"/>
        </w:rPr>
      </w:pPr>
    </w:p>
    <w:p w:rsidR="00342DF9" w:rsidRPr="005A4164" w:rsidRDefault="0008167F" w:rsidP="007E3FFD">
      <w:pPr>
        <w:pStyle w:val="ListParagraph"/>
        <w:numPr>
          <w:ilvl w:val="0"/>
          <w:numId w:val="19"/>
        </w:numPr>
        <w:tabs>
          <w:tab w:val="left" w:pos="567"/>
        </w:tabs>
        <w:ind w:left="0" w:right="-1" w:firstLine="0"/>
        <w:rPr>
          <w:lang w:val="ru-RU"/>
        </w:rPr>
      </w:pPr>
      <w:r w:rsidRPr="005A4164">
        <w:rPr>
          <w:lang w:val="ru-RU"/>
        </w:rPr>
        <w:t>В соответствии с рекомендациями, полученными по итогам аудита от внешней аудиторской фирмы в отношении создания отдельного резерва для финансирования проектов, предлагается расширить отчетность ВОИС по резервам.  Это касается как отчета о финансовом положении, так и самих примечаний, в частности, текущего примечания 21.  Предлагается создать отдельный резерв, который будет назван «Резерв для специальных проектов» и в который будут перечисляться средства на осуществление проектов, финансируемых за счет резервов, за вычетом начисленных расходов.  Сальдо резерва будет отражать суммы, которые могут быть использованы на цели утвержденных проектов.  Капитализированные суммы по различным проектам будут отражаться кредитной проводкой в накопленном профиците/(дефиците</w:t>
      </w:r>
      <w:r w:rsidR="00C3714C" w:rsidRPr="005A4164">
        <w:rPr>
          <w:lang w:val="ru-RU"/>
        </w:rPr>
        <w:t>).</w:t>
      </w:r>
      <w:r w:rsidRPr="005A4164">
        <w:rPr>
          <w:lang w:val="ru-RU"/>
        </w:rPr>
        <w:t xml:space="preserve"> </w:t>
      </w:r>
    </w:p>
    <w:p w:rsidR="00342DF9" w:rsidRPr="005A4164" w:rsidRDefault="00342DF9" w:rsidP="007E3FFD">
      <w:pPr>
        <w:pStyle w:val="ListParagraph"/>
        <w:tabs>
          <w:tab w:val="left" w:pos="567"/>
        </w:tabs>
        <w:ind w:left="0" w:right="-1"/>
        <w:rPr>
          <w:lang w:val="ru-RU"/>
        </w:rPr>
      </w:pPr>
    </w:p>
    <w:p w:rsidR="00342DF9" w:rsidRPr="005A4164" w:rsidRDefault="00CF2D38" w:rsidP="007E3FFD">
      <w:pPr>
        <w:pStyle w:val="ListParagraph"/>
        <w:numPr>
          <w:ilvl w:val="0"/>
          <w:numId w:val="19"/>
        </w:numPr>
        <w:tabs>
          <w:tab w:val="left" w:pos="567"/>
        </w:tabs>
        <w:ind w:left="0" w:right="-1" w:firstLine="0"/>
        <w:rPr>
          <w:lang w:val="ru-RU"/>
        </w:rPr>
      </w:pPr>
      <w:r w:rsidRPr="005A4164">
        <w:rPr>
          <w:lang w:val="ru-RU"/>
        </w:rPr>
        <w:t>В таблица 1 показано, как могло бы выглядеть примечание 21 в финансовой отчетности за 2014 г., если бы специальный резерв для проектов был создан в 2014 г</w:t>
      </w:r>
      <w:r w:rsidR="00C3714C" w:rsidRPr="005A4164">
        <w:rPr>
          <w:lang w:val="ru-RU"/>
        </w:rPr>
        <w:t>.</w:t>
      </w:r>
    </w:p>
    <w:p w:rsidR="00342DF9" w:rsidRPr="005A4164" w:rsidRDefault="00342DF9" w:rsidP="007E3FFD">
      <w:pPr>
        <w:rPr>
          <w:lang w:val="ru-RU"/>
        </w:rPr>
      </w:pPr>
    </w:p>
    <w:p w:rsidR="00E23EB8" w:rsidRDefault="00E23EB8">
      <w:pPr>
        <w:spacing w:after="200" w:line="276" w:lineRule="auto"/>
        <w:rPr>
          <w:b/>
          <w:lang w:val="ru-RU"/>
        </w:rPr>
      </w:pPr>
      <w:r>
        <w:rPr>
          <w:b/>
          <w:lang w:val="ru-RU"/>
        </w:rPr>
        <w:br w:type="page"/>
      </w:r>
    </w:p>
    <w:p w:rsidR="00CF2D38" w:rsidRPr="005A4164" w:rsidRDefault="00CF2D38" w:rsidP="00CF2D38">
      <w:pPr>
        <w:jc w:val="center"/>
        <w:rPr>
          <w:b/>
          <w:lang w:val="ru-RU"/>
        </w:rPr>
      </w:pPr>
      <w:r w:rsidRPr="005A4164">
        <w:rPr>
          <w:b/>
          <w:lang w:val="ru-RU"/>
        </w:rPr>
        <w:t>Таблица 1</w:t>
      </w:r>
    </w:p>
    <w:p w:rsidR="00CF2D38" w:rsidRPr="005A4164" w:rsidRDefault="00CF2D38" w:rsidP="00CF2D38">
      <w:pPr>
        <w:jc w:val="center"/>
        <w:rPr>
          <w:sz w:val="14"/>
          <w:lang w:val="ru-RU"/>
        </w:rPr>
      </w:pPr>
    </w:p>
    <w:p w:rsidR="00342DF9" w:rsidRDefault="00CF2D38" w:rsidP="00CF2D38">
      <w:pPr>
        <w:ind w:firstLine="426"/>
        <w:jc w:val="center"/>
        <w:rPr>
          <w:lang w:val="ru-RU"/>
        </w:rPr>
      </w:pPr>
      <w:r w:rsidRPr="005A4164">
        <w:rPr>
          <w:lang w:val="ru-RU"/>
        </w:rPr>
        <w:t xml:space="preserve">Примечание </w:t>
      </w:r>
      <w:r w:rsidR="00C3714C" w:rsidRPr="005A4164">
        <w:rPr>
          <w:lang w:val="ru-RU"/>
        </w:rPr>
        <w:t xml:space="preserve">21: </w:t>
      </w:r>
      <w:r w:rsidR="009009FA" w:rsidRPr="005A4164">
        <w:rPr>
          <w:lang w:val="ru-RU"/>
        </w:rPr>
        <w:t xml:space="preserve"> </w:t>
      </w:r>
      <w:r w:rsidRPr="005A4164">
        <w:rPr>
          <w:lang w:val="ru-RU"/>
        </w:rPr>
        <w:t xml:space="preserve">Остаток средств резервов и фонда </w:t>
      </w:r>
    </w:p>
    <w:p w:rsidR="00E23EB8" w:rsidRPr="005A4164" w:rsidRDefault="00E23EB8" w:rsidP="00CF2D38">
      <w:pPr>
        <w:ind w:firstLine="426"/>
        <w:jc w:val="center"/>
        <w:rPr>
          <w:lang w:val="ru-RU"/>
        </w:rPr>
      </w:pPr>
    </w:p>
    <w:p w:rsidR="00342DF9" w:rsidRPr="005A4164" w:rsidRDefault="00E23EB8" w:rsidP="007E3FFD">
      <w:pPr>
        <w:jc w:val="center"/>
        <w:rPr>
          <w:lang w:val="ru-RU"/>
        </w:rPr>
      </w:pPr>
      <w:r>
        <w:rPr>
          <w:noProof/>
          <w:lang w:eastAsia="en-US"/>
        </w:rPr>
        <w:drawing>
          <wp:inline distT="0" distB="0" distL="0" distR="0">
            <wp:extent cx="5940425" cy="217030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170306"/>
                    </a:xfrm>
                    <a:prstGeom prst="rect">
                      <a:avLst/>
                    </a:prstGeom>
                    <a:noFill/>
                    <a:ln>
                      <a:noFill/>
                    </a:ln>
                  </pic:spPr>
                </pic:pic>
              </a:graphicData>
            </a:graphic>
          </wp:inline>
        </w:drawing>
      </w:r>
    </w:p>
    <w:p w:rsidR="00342DF9" w:rsidRPr="005A4164" w:rsidRDefault="00342DF9" w:rsidP="007E3FFD">
      <w:pPr>
        <w:rPr>
          <w:lang w:val="ru-RU"/>
        </w:rPr>
      </w:pPr>
    </w:p>
    <w:p w:rsidR="00342DF9" w:rsidRPr="005A4164" w:rsidRDefault="00CF2D38" w:rsidP="007E3FFD">
      <w:pPr>
        <w:pStyle w:val="ListParagraph"/>
        <w:numPr>
          <w:ilvl w:val="0"/>
          <w:numId w:val="19"/>
        </w:numPr>
        <w:tabs>
          <w:tab w:val="left" w:pos="567"/>
        </w:tabs>
        <w:ind w:left="0" w:right="-1" w:firstLine="0"/>
        <w:rPr>
          <w:lang w:val="ru-RU"/>
        </w:rPr>
      </w:pPr>
      <w:r w:rsidRPr="005A4164">
        <w:rPr>
          <w:lang w:val="ru-RU"/>
        </w:rPr>
        <w:t xml:space="preserve">Из </w:t>
      </w:r>
      <w:r w:rsidR="00C751B0" w:rsidRPr="005A4164">
        <w:rPr>
          <w:lang w:val="ru-RU"/>
        </w:rPr>
        <w:t xml:space="preserve">данной таблице четко </w:t>
      </w:r>
      <w:r w:rsidRPr="005A4164">
        <w:rPr>
          <w:lang w:val="ru-RU"/>
        </w:rPr>
        <w:t>вид</w:t>
      </w:r>
      <w:r w:rsidR="000C06E7" w:rsidRPr="005A4164">
        <w:rPr>
          <w:lang w:val="ru-RU"/>
        </w:rPr>
        <w:t xml:space="preserve">ны </w:t>
      </w:r>
      <w:r w:rsidRPr="005A4164">
        <w:rPr>
          <w:lang w:val="ru-RU"/>
        </w:rPr>
        <w:t xml:space="preserve">остаток средств </w:t>
      </w:r>
      <w:r w:rsidR="00C751B0" w:rsidRPr="005A4164">
        <w:rPr>
          <w:lang w:val="ru-RU"/>
        </w:rPr>
        <w:t xml:space="preserve">на осуществление проектов по состоянию на конец декабря </w:t>
      </w:r>
      <w:r w:rsidR="00C3714C" w:rsidRPr="005A4164">
        <w:rPr>
          <w:lang w:val="ru-RU"/>
        </w:rPr>
        <w:t xml:space="preserve">2013 </w:t>
      </w:r>
      <w:r w:rsidR="00C751B0" w:rsidRPr="005A4164">
        <w:rPr>
          <w:lang w:val="ru-RU"/>
        </w:rPr>
        <w:t xml:space="preserve">г. и соответствующие расходы на эти проекты </w:t>
      </w:r>
      <w:r w:rsidR="000C06E7" w:rsidRPr="005A4164">
        <w:rPr>
          <w:lang w:val="ru-RU"/>
        </w:rPr>
        <w:t xml:space="preserve">в течение 2014 г. </w:t>
      </w:r>
      <w:r w:rsidR="00C3714C" w:rsidRPr="005A4164">
        <w:rPr>
          <w:lang w:val="ru-RU"/>
        </w:rPr>
        <w:t>(35</w:t>
      </w:r>
      <w:r w:rsidR="00C751B0" w:rsidRPr="005A4164">
        <w:rPr>
          <w:lang w:val="ru-RU"/>
        </w:rPr>
        <w:t>,</w:t>
      </w:r>
      <w:r w:rsidR="00C3714C" w:rsidRPr="005A4164">
        <w:rPr>
          <w:lang w:val="ru-RU"/>
        </w:rPr>
        <w:t xml:space="preserve">2 </w:t>
      </w:r>
      <w:r w:rsidR="00C751B0" w:rsidRPr="005A4164">
        <w:rPr>
          <w:lang w:val="ru-RU"/>
        </w:rPr>
        <w:t>млн шв. франков</w:t>
      </w:r>
      <w:r w:rsidR="00C3714C" w:rsidRPr="005A4164">
        <w:rPr>
          <w:lang w:val="ru-RU"/>
        </w:rPr>
        <w:t>)</w:t>
      </w:r>
      <w:r w:rsidR="000C06E7" w:rsidRPr="005A4164">
        <w:rPr>
          <w:lang w:val="ru-RU"/>
        </w:rPr>
        <w:t>.</w:t>
      </w:r>
      <w:r w:rsidR="00C3714C" w:rsidRPr="005A4164">
        <w:rPr>
          <w:lang w:val="ru-RU"/>
        </w:rPr>
        <w:t xml:space="preserve">  </w:t>
      </w:r>
      <w:r w:rsidR="007B3709" w:rsidRPr="005A4164">
        <w:rPr>
          <w:lang w:val="ru-RU"/>
        </w:rPr>
        <w:t xml:space="preserve">Часть расходов была капитализирована в соответствии с МСУГС </w:t>
      </w:r>
      <w:r w:rsidR="00C3714C" w:rsidRPr="005A4164">
        <w:rPr>
          <w:lang w:val="ru-RU"/>
        </w:rPr>
        <w:t>(29</w:t>
      </w:r>
      <w:r w:rsidR="007B3709" w:rsidRPr="005A4164">
        <w:rPr>
          <w:lang w:val="ru-RU"/>
        </w:rPr>
        <w:t>,</w:t>
      </w:r>
      <w:r w:rsidR="00C3714C" w:rsidRPr="005A4164">
        <w:rPr>
          <w:lang w:val="ru-RU"/>
        </w:rPr>
        <w:t>1</w:t>
      </w:r>
      <w:r w:rsidR="009009FA" w:rsidRPr="005A4164">
        <w:rPr>
          <w:lang w:val="ru-RU"/>
        </w:rPr>
        <w:t> </w:t>
      </w:r>
      <w:r w:rsidR="007B3709" w:rsidRPr="005A4164">
        <w:rPr>
          <w:lang w:val="ru-RU"/>
        </w:rPr>
        <w:t>млн шв. франков</w:t>
      </w:r>
      <w:r w:rsidR="00C3714C" w:rsidRPr="005A4164">
        <w:rPr>
          <w:lang w:val="ru-RU"/>
        </w:rPr>
        <w:t>)</w:t>
      </w:r>
      <w:r w:rsidR="007B3709" w:rsidRPr="005A4164">
        <w:rPr>
          <w:lang w:val="ru-RU"/>
        </w:rPr>
        <w:t>, и эта сумма была отражена кредитной проводкой в накопленном профиците</w:t>
      </w:r>
      <w:r w:rsidR="00C3714C" w:rsidRPr="005A4164">
        <w:rPr>
          <w:lang w:val="ru-RU"/>
        </w:rPr>
        <w:t xml:space="preserve">.  </w:t>
      </w:r>
      <w:r w:rsidR="000C06E7" w:rsidRPr="005A4164">
        <w:rPr>
          <w:lang w:val="ru-RU"/>
        </w:rPr>
        <w:t>Остаток</w:t>
      </w:r>
      <w:r w:rsidR="007B3709" w:rsidRPr="005A4164">
        <w:rPr>
          <w:lang w:val="ru-RU"/>
        </w:rPr>
        <w:t xml:space="preserve"> в </w:t>
      </w:r>
      <w:r w:rsidR="00C3714C" w:rsidRPr="005A4164">
        <w:rPr>
          <w:lang w:val="ru-RU"/>
        </w:rPr>
        <w:t>27</w:t>
      </w:r>
      <w:r w:rsidR="007B3709" w:rsidRPr="005A4164">
        <w:rPr>
          <w:lang w:val="ru-RU"/>
        </w:rPr>
        <w:t>,</w:t>
      </w:r>
      <w:r w:rsidR="00C3714C" w:rsidRPr="005A4164">
        <w:rPr>
          <w:lang w:val="ru-RU"/>
        </w:rPr>
        <w:t>2</w:t>
      </w:r>
      <w:r w:rsidR="009009FA" w:rsidRPr="005A4164">
        <w:rPr>
          <w:lang w:val="ru-RU"/>
        </w:rPr>
        <w:t> </w:t>
      </w:r>
      <w:r w:rsidR="007B3709" w:rsidRPr="005A4164">
        <w:rPr>
          <w:lang w:val="ru-RU"/>
        </w:rPr>
        <w:t xml:space="preserve">млн шв. франков по состоянию на конец </w:t>
      </w:r>
      <w:r w:rsidR="00C3714C" w:rsidRPr="005A4164">
        <w:rPr>
          <w:lang w:val="ru-RU"/>
        </w:rPr>
        <w:t xml:space="preserve">2014 </w:t>
      </w:r>
      <w:r w:rsidR="007B3709" w:rsidRPr="005A4164">
        <w:rPr>
          <w:lang w:val="ru-RU"/>
        </w:rPr>
        <w:t>г. соответствует средствам, которые будут использованы на уже утвержденные проекты</w:t>
      </w:r>
      <w:r w:rsidR="00C3714C" w:rsidRPr="005A4164">
        <w:rPr>
          <w:lang w:val="ru-RU"/>
        </w:rPr>
        <w:t>.</w:t>
      </w:r>
      <w:r w:rsidR="007B3709" w:rsidRPr="005A4164">
        <w:rPr>
          <w:lang w:val="ru-RU"/>
        </w:rPr>
        <w:t xml:space="preserve"> </w:t>
      </w:r>
    </w:p>
    <w:p w:rsidR="00342DF9" w:rsidRPr="005A4164" w:rsidRDefault="00342DF9" w:rsidP="007E3FFD">
      <w:pPr>
        <w:rPr>
          <w:lang w:val="ru-RU"/>
        </w:rPr>
      </w:pPr>
    </w:p>
    <w:p w:rsidR="00342DF9" w:rsidRPr="005A4164" w:rsidRDefault="00FA7214" w:rsidP="007E3FFD">
      <w:pPr>
        <w:pStyle w:val="ListParagraph"/>
        <w:numPr>
          <w:ilvl w:val="0"/>
          <w:numId w:val="19"/>
        </w:numPr>
        <w:tabs>
          <w:tab w:val="left" w:pos="567"/>
        </w:tabs>
        <w:ind w:left="0" w:right="-1" w:firstLine="0"/>
        <w:rPr>
          <w:lang w:val="ru-RU"/>
        </w:rPr>
      </w:pPr>
      <w:r w:rsidRPr="005A4164">
        <w:rPr>
          <w:lang w:val="ru-RU"/>
        </w:rPr>
        <w:t>Резерв для специальных проектов</w:t>
      </w:r>
      <w:r w:rsidR="00C3714C" w:rsidRPr="005A4164">
        <w:rPr>
          <w:lang w:val="ru-RU"/>
        </w:rPr>
        <w:t xml:space="preserve"> </w:t>
      </w:r>
      <w:r w:rsidRPr="005A4164">
        <w:rPr>
          <w:lang w:val="ru-RU"/>
        </w:rPr>
        <w:t>будет также указываться в отчете о финансовом положении, как показано в таблице 2, которая служит примером того, как этот р</w:t>
      </w:r>
      <w:r w:rsidR="000C06E7" w:rsidRPr="005A4164">
        <w:rPr>
          <w:lang w:val="ru-RU"/>
        </w:rPr>
        <w:t>е</w:t>
      </w:r>
      <w:r w:rsidRPr="005A4164">
        <w:rPr>
          <w:lang w:val="ru-RU"/>
        </w:rPr>
        <w:t>зерв мог бы быть отражен в финансовой отчетности за 2014 г</w:t>
      </w:r>
      <w:r w:rsidR="00C3714C" w:rsidRPr="005A4164">
        <w:rPr>
          <w:lang w:val="ru-RU"/>
        </w:rPr>
        <w:t>.</w:t>
      </w:r>
      <w:r w:rsidRPr="005A4164">
        <w:rPr>
          <w:lang w:val="ru-RU"/>
        </w:rPr>
        <w:t xml:space="preserve"> </w:t>
      </w:r>
    </w:p>
    <w:p w:rsidR="00342DF9" w:rsidRPr="005A4164" w:rsidRDefault="00342DF9" w:rsidP="007E3FFD">
      <w:pPr>
        <w:rPr>
          <w:lang w:val="ru-RU"/>
        </w:rPr>
      </w:pPr>
    </w:p>
    <w:p w:rsidR="00342DF9" w:rsidRPr="005A4164" w:rsidRDefault="00FA7214" w:rsidP="007E3FFD">
      <w:pPr>
        <w:keepNext/>
        <w:keepLines/>
        <w:jc w:val="center"/>
        <w:rPr>
          <w:b/>
          <w:lang w:val="ru-RU"/>
        </w:rPr>
      </w:pPr>
      <w:r w:rsidRPr="005A4164">
        <w:rPr>
          <w:b/>
          <w:lang w:val="ru-RU"/>
        </w:rPr>
        <w:t>Таблица</w:t>
      </w:r>
      <w:r w:rsidR="00C3714C" w:rsidRPr="005A4164">
        <w:rPr>
          <w:b/>
          <w:lang w:val="ru-RU"/>
        </w:rPr>
        <w:t xml:space="preserve"> 2</w:t>
      </w:r>
    </w:p>
    <w:p w:rsidR="00342DF9" w:rsidRPr="005A4164" w:rsidRDefault="00342DF9" w:rsidP="007E3FFD">
      <w:pPr>
        <w:keepNext/>
        <w:keepLines/>
        <w:jc w:val="center"/>
        <w:rPr>
          <w:sz w:val="18"/>
          <w:lang w:val="ru-RU"/>
        </w:rPr>
      </w:pPr>
    </w:p>
    <w:p w:rsidR="00342DF9" w:rsidRPr="005A4164" w:rsidRDefault="00FA7214" w:rsidP="007E3FFD">
      <w:pPr>
        <w:keepNext/>
        <w:keepLines/>
        <w:jc w:val="center"/>
        <w:rPr>
          <w:lang w:val="ru-RU"/>
        </w:rPr>
      </w:pPr>
      <w:r w:rsidRPr="005A4164">
        <w:rPr>
          <w:lang w:val="ru-RU"/>
        </w:rPr>
        <w:t xml:space="preserve">Выписка из отчета </w:t>
      </w:r>
      <w:r w:rsidR="00C3714C" w:rsidRPr="005A4164">
        <w:rPr>
          <w:lang w:val="ru-RU"/>
        </w:rPr>
        <w:t>1</w:t>
      </w:r>
      <w:r w:rsidRPr="005A4164">
        <w:rPr>
          <w:lang w:val="ru-RU"/>
        </w:rPr>
        <w:t>.</w:t>
      </w:r>
      <w:r w:rsidR="00C3714C" w:rsidRPr="005A4164">
        <w:rPr>
          <w:lang w:val="ru-RU"/>
        </w:rPr>
        <w:t xml:space="preserve">  </w:t>
      </w:r>
      <w:r w:rsidRPr="005A4164">
        <w:rPr>
          <w:lang w:val="ru-RU"/>
        </w:rPr>
        <w:t>Отчет о финансовом положении</w:t>
      </w:r>
    </w:p>
    <w:p w:rsidR="00342DF9" w:rsidRPr="005A4164" w:rsidRDefault="00342DF9" w:rsidP="007E3FFD">
      <w:pPr>
        <w:keepNext/>
        <w:keepLines/>
        <w:rPr>
          <w:lang w:val="ru-RU"/>
        </w:rPr>
      </w:pPr>
    </w:p>
    <w:p w:rsidR="00342DF9" w:rsidRPr="005A4164" w:rsidRDefault="00E23EB8" w:rsidP="007E3FFD">
      <w:pPr>
        <w:keepNext/>
        <w:keepLines/>
        <w:jc w:val="center"/>
        <w:rPr>
          <w:lang w:val="ru-RU"/>
        </w:rPr>
      </w:pPr>
      <w:r>
        <w:rPr>
          <w:noProof/>
          <w:lang w:eastAsia="en-US"/>
        </w:rPr>
        <w:drawing>
          <wp:inline distT="0" distB="0" distL="0" distR="0">
            <wp:extent cx="5106010" cy="21195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825" cy="2119518"/>
                    </a:xfrm>
                    <a:prstGeom prst="rect">
                      <a:avLst/>
                    </a:prstGeom>
                    <a:noFill/>
                    <a:ln>
                      <a:noFill/>
                    </a:ln>
                  </pic:spPr>
                </pic:pic>
              </a:graphicData>
            </a:graphic>
          </wp:inline>
        </w:drawing>
      </w:r>
    </w:p>
    <w:p w:rsidR="00342DF9" w:rsidRPr="005A4164" w:rsidRDefault="00342DF9" w:rsidP="007E3FFD">
      <w:pPr>
        <w:pStyle w:val="ONUME"/>
        <w:widowControl w:val="0"/>
        <w:numPr>
          <w:ilvl w:val="0"/>
          <w:numId w:val="0"/>
        </w:numPr>
        <w:spacing w:after="0"/>
        <w:rPr>
          <w:lang w:val="ru-RU"/>
        </w:rPr>
      </w:pPr>
    </w:p>
    <w:p w:rsidR="003A6182" w:rsidRPr="005A4164" w:rsidRDefault="003A6182" w:rsidP="003A6182">
      <w:pPr>
        <w:pStyle w:val="ListParagraph"/>
        <w:numPr>
          <w:ilvl w:val="0"/>
          <w:numId w:val="19"/>
        </w:numPr>
        <w:tabs>
          <w:tab w:val="left" w:pos="567"/>
        </w:tabs>
        <w:ind w:left="0" w:right="-1" w:firstLine="0"/>
        <w:rPr>
          <w:lang w:val="ru-RU"/>
        </w:rPr>
      </w:pPr>
      <w:r w:rsidRPr="005A4164">
        <w:rPr>
          <w:lang w:val="ru-RU"/>
        </w:rPr>
        <w:t xml:space="preserve">Отчетность о ходе реализации проектов, финансируемых за счет резервов, будет вестись в соответствии с решениями, принятыми Ассамблеями государств-членов при утверждении таких проектов.  Что касается финансовой отчетности, то, как было указано выше, начиная с 31 декабря 2015 г., в финансовом отчете «Отчет о финансовом положении» и в примечании «Резервы и сальдо средств» (в настоящее время примечание 21) предлагается указывать сальдо резерва для специальных проектов и движение средств по счетам резерва.  Это предложение было детально обсуждено с внешней аудиторской фирмой. </w:t>
      </w:r>
    </w:p>
    <w:p w:rsidR="003A6182" w:rsidRPr="005A4164" w:rsidRDefault="003A6182" w:rsidP="003A6182">
      <w:pPr>
        <w:pStyle w:val="ListParagraph"/>
        <w:tabs>
          <w:tab w:val="left" w:pos="3986"/>
        </w:tabs>
        <w:ind w:left="0" w:right="-1"/>
        <w:rPr>
          <w:lang w:val="ru-RU"/>
        </w:rPr>
      </w:pPr>
    </w:p>
    <w:p w:rsidR="003A6182" w:rsidRPr="005A4164" w:rsidRDefault="003A6182" w:rsidP="003A6182">
      <w:pPr>
        <w:pStyle w:val="ListParagraph"/>
        <w:numPr>
          <w:ilvl w:val="0"/>
          <w:numId w:val="19"/>
        </w:numPr>
        <w:tabs>
          <w:tab w:val="left" w:pos="567"/>
        </w:tabs>
        <w:ind w:left="0" w:right="-1" w:firstLine="0"/>
        <w:rPr>
          <w:lang w:val="ru-RU"/>
        </w:rPr>
      </w:pPr>
      <w:r w:rsidRPr="005A4164">
        <w:rPr>
          <w:lang w:val="ru-RU"/>
        </w:rPr>
        <w:t>Финансовая отчетность также содержит «Отчет о доходах, расходах и резервах в разбивке по сегментам», и в случае ВОИС такими сегментами являются ее союзы.  Активы и пассивы ВОИС принадлежат Организации в целом, а не отдельным союзам, за исключением инвестиционного имущества, принадлежащего Мадридскому союзу.  Поэтому в разбивке по сегментам или союзам приводятся только чистые активы, которые включают оборотные средства и резервы.  Отчет об управлении финансовой деятельностью в разделе «Резюме результатов в разбивке по союзам» содержит комплексный обзор финансовых показателей за каждый двухлетний период в разбивке по союзам.  В резюме указывается РФОС по состоянию на конец двухлетнего периода.</w:t>
      </w:r>
    </w:p>
    <w:p w:rsidR="003A6182" w:rsidRPr="005A4164" w:rsidRDefault="003A6182" w:rsidP="003A6182">
      <w:pPr>
        <w:rPr>
          <w:bCs/>
          <w:color w:val="333333"/>
          <w:lang w:val="ru-RU"/>
        </w:rPr>
      </w:pPr>
    </w:p>
    <w:p w:rsidR="003A6182" w:rsidRPr="005A4164" w:rsidRDefault="003A6182" w:rsidP="003A6182">
      <w:pPr>
        <w:rPr>
          <w:bCs/>
          <w:color w:val="333333"/>
          <w:lang w:val="ru-RU"/>
        </w:rPr>
      </w:pPr>
    </w:p>
    <w:p w:rsidR="00342DF9" w:rsidRPr="005A4164" w:rsidRDefault="003A6182" w:rsidP="003A6182">
      <w:pPr>
        <w:tabs>
          <w:tab w:val="left" w:pos="851"/>
        </w:tabs>
        <w:rPr>
          <w:b/>
          <w:lang w:val="ru-RU"/>
        </w:rPr>
      </w:pPr>
      <w:r w:rsidRPr="005A4164">
        <w:rPr>
          <w:b/>
          <w:lang w:val="ru-RU"/>
        </w:rPr>
        <w:t>II. (D)</w:t>
      </w:r>
      <w:r w:rsidRPr="005A4164">
        <w:rPr>
          <w:b/>
          <w:lang w:val="ru-RU"/>
        </w:rPr>
        <w:tab/>
        <w:t>Использование резервов:  принципы и механизмы утверждения</w:t>
      </w:r>
    </w:p>
    <w:p w:rsidR="00342DF9" w:rsidRPr="005A4164" w:rsidRDefault="00342DF9" w:rsidP="007E3FFD">
      <w:pPr>
        <w:rPr>
          <w:b/>
          <w:lang w:val="ru-RU"/>
        </w:rPr>
      </w:pPr>
    </w:p>
    <w:p w:rsidR="00564E5D" w:rsidRPr="005A4164" w:rsidRDefault="00564E5D" w:rsidP="00564E5D">
      <w:pPr>
        <w:pStyle w:val="ListParagraph"/>
        <w:numPr>
          <w:ilvl w:val="0"/>
          <w:numId w:val="19"/>
        </w:numPr>
        <w:tabs>
          <w:tab w:val="left" w:pos="567"/>
        </w:tabs>
        <w:ind w:left="0" w:right="-1" w:firstLine="0"/>
        <w:rPr>
          <w:lang w:val="ru-RU"/>
        </w:rPr>
      </w:pPr>
      <w:r w:rsidRPr="005A4164">
        <w:rPr>
          <w:lang w:val="ru-RU"/>
        </w:rPr>
        <w:t xml:space="preserve">Использование резервов прежде всего регулируется принципами, изложенными в Финансовых положениях и правилах (ФПП) ВОИС.  </w:t>
      </w:r>
    </w:p>
    <w:p w:rsidR="00564E5D" w:rsidRPr="005A4164" w:rsidRDefault="00564E5D" w:rsidP="00564E5D">
      <w:pPr>
        <w:pStyle w:val="ListParagraph"/>
        <w:tabs>
          <w:tab w:val="left" w:pos="567"/>
        </w:tabs>
        <w:ind w:left="0" w:right="-1"/>
        <w:rPr>
          <w:lang w:val="ru-RU"/>
        </w:rPr>
      </w:pPr>
    </w:p>
    <w:p w:rsidR="00564E5D" w:rsidRPr="005A4164" w:rsidRDefault="00564E5D" w:rsidP="00564E5D">
      <w:pPr>
        <w:pStyle w:val="ListParagraph"/>
        <w:numPr>
          <w:ilvl w:val="0"/>
          <w:numId w:val="19"/>
        </w:numPr>
        <w:tabs>
          <w:tab w:val="left" w:pos="567"/>
        </w:tabs>
        <w:ind w:left="0" w:right="-1" w:firstLine="0"/>
        <w:rPr>
          <w:lang w:val="ru-RU"/>
        </w:rPr>
      </w:pPr>
      <w:r w:rsidRPr="005A4164">
        <w:rPr>
          <w:lang w:val="ru-RU"/>
        </w:rPr>
        <w:t xml:space="preserve">Ниже приводится пересмотренный набор принципов в отношении использования резервов, отвечающий нормативной основе ВОИС.  Пересмотр этих принципов был продиктован целями управления финансовыми рисками и обеспечения финансовой устойчивости, а также настоятельными призывами нескольких государств-членов к тому, чтобы использование резервов было строго ограничено единовременными и чрезвычайными расходами.  В соответствии с пересмотренными принципами устанавливаются: </w:t>
      </w:r>
    </w:p>
    <w:p w:rsidR="00564E5D" w:rsidRPr="005A4164" w:rsidRDefault="00564E5D" w:rsidP="00564E5D">
      <w:pPr>
        <w:pStyle w:val="ONUME"/>
        <w:widowControl w:val="0"/>
        <w:numPr>
          <w:ilvl w:val="0"/>
          <w:numId w:val="0"/>
        </w:numPr>
        <w:tabs>
          <w:tab w:val="left" w:pos="1620"/>
          <w:tab w:val="left" w:pos="3150"/>
        </w:tabs>
        <w:spacing w:after="0"/>
        <w:ind w:left="720"/>
        <w:rPr>
          <w:lang w:val="ru-RU"/>
        </w:rPr>
      </w:pPr>
    </w:p>
    <w:p w:rsidR="00564E5D" w:rsidRPr="005A4164" w:rsidRDefault="00564E5D" w:rsidP="00564E5D">
      <w:pPr>
        <w:pStyle w:val="ONUME"/>
        <w:widowControl w:val="0"/>
        <w:numPr>
          <w:ilvl w:val="0"/>
          <w:numId w:val="28"/>
        </w:numPr>
        <w:tabs>
          <w:tab w:val="left" w:pos="1134"/>
        </w:tabs>
        <w:spacing w:after="120"/>
        <w:rPr>
          <w:lang w:val="ru-RU"/>
        </w:rPr>
      </w:pPr>
      <w:r w:rsidRPr="005A4164">
        <w:rPr>
          <w:lang w:val="ru-RU"/>
        </w:rPr>
        <w:t>более строгое определение имеющихся резервов;</w:t>
      </w:r>
    </w:p>
    <w:p w:rsidR="00564E5D" w:rsidRPr="005A4164" w:rsidRDefault="00564E5D" w:rsidP="00564E5D">
      <w:pPr>
        <w:pStyle w:val="ONUME"/>
        <w:widowControl w:val="0"/>
        <w:numPr>
          <w:ilvl w:val="0"/>
          <w:numId w:val="28"/>
        </w:numPr>
        <w:tabs>
          <w:tab w:val="left" w:pos="1134"/>
        </w:tabs>
        <w:spacing w:after="120"/>
        <w:ind w:left="1134" w:hanging="567"/>
        <w:rPr>
          <w:lang w:val="ru-RU"/>
        </w:rPr>
      </w:pPr>
      <w:r w:rsidRPr="005A4164">
        <w:rPr>
          <w:lang w:val="ru-RU"/>
        </w:rPr>
        <w:t>более строгое и более четкое определение видов и категорий проектов, которые могут быть предложены для финансирования за счет резервов;  и</w:t>
      </w:r>
    </w:p>
    <w:p w:rsidR="00564E5D" w:rsidRPr="005A4164" w:rsidRDefault="00564E5D" w:rsidP="00564E5D">
      <w:pPr>
        <w:pStyle w:val="ONUME"/>
        <w:widowControl w:val="0"/>
        <w:numPr>
          <w:ilvl w:val="0"/>
          <w:numId w:val="28"/>
        </w:numPr>
        <w:tabs>
          <w:tab w:val="left" w:pos="1134"/>
        </w:tabs>
        <w:spacing w:after="0"/>
        <w:ind w:left="1134" w:hanging="567"/>
        <w:rPr>
          <w:lang w:val="ru-RU"/>
        </w:rPr>
      </w:pPr>
      <w:r w:rsidRPr="005A4164">
        <w:rPr>
          <w:lang w:val="ru-RU"/>
        </w:rPr>
        <w:t xml:space="preserve">более четкие указания в отношении ключевых параметров для включения в предложения об использовании резервов, включая более полное отражение стоимости проекта, которая должно отражать не только стоимость всего проектного цикла, но также включать четкое описание регулярных расходов, которые станут обязательством Организации в результате осуществления проекта.  Это также согласуется с замечаниями и рекомендациями внешней аудиторской фирмы. </w:t>
      </w:r>
    </w:p>
    <w:p w:rsidR="00564E5D" w:rsidRPr="005A4164" w:rsidRDefault="00564E5D" w:rsidP="00564E5D">
      <w:pPr>
        <w:pStyle w:val="ONUME"/>
        <w:widowControl w:val="0"/>
        <w:numPr>
          <w:ilvl w:val="0"/>
          <w:numId w:val="0"/>
        </w:numPr>
        <w:tabs>
          <w:tab w:val="left" w:pos="1620"/>
          <w:tab w:val="left" w:pos="3150"/>
        </w:tabs>
        <w:spacing w:after="0"/>
        <w:ind w:left="720"/>
        <w:rPr>
          <w:lang w:val="ru-RU"/>
        </w:rPr>
      </w:pPr>
    </w:p>
    <w:p w:rsidR="00564E5D" w:rsidRPr="005A4164" w:rsidRDefault="00564E5D" w:rsidP="00564E5D">
      <w:pPr>
        <w:pStyle w:val="ListParagraph"/>
        <w:numPr>
          <w:ilvl w:val="0"/>
          <w:numId w:val="19"/>
        </w:numPr>
        <w:tabs>
          <w:tab w:val="left" w:pos="567"/>
        </w:tabs>
        <w:ind w:left="0" w:right="-1" w:firstLine="0"/>
        <w:rPr>
          <w:lang w:val="ru-RU"/>
        </w:rPr>
      </w:pPr>
      <w:r w:rsidRPr="005A4164">
        <w:rPr>
          <w:lang w:val="ru-RU"/>
        </w:rPr>
        <w:t xml:space="preserve">Основным назначением целевого уровня резервов Организации остается финансирование дефицита в течение какого-либо двухлетнего периода в случае, если доходы сократятся в такой степени, что фактические расходы превысят фактические доходы.  Резервы и фонд оборотных средств ВОИС неизменно оставались выше целевого уровня (см. график «Динамика финансового положения ВОИС, 1998-2014 гг. ниже).  </w:t>
      </w:r>
    </w:p>
    <w:p w:rsidR="00564E5D" w:rsidRPr="005A4164" w:rsidRDefault="00564E5D" w:rsidP="00564E5D">
      <w:pPr>
        <w:pStyle w:val="ONUME"/>
        <w:widowControl w:val="0"/>
        <w:numPr>
          <w:ilvl w:val="0"/>
          <w:numId w:val="0"/>
        </w:numPr>
        <w:tabs>
          <w:tab w:val="left" w:pos="1620"/>
          <w:tab w:val="left" w:pos="3150"/>
        </w:tabs>
        <w:spacing w:after="0"/>
        <w:rPr>
          <w:lang w:val="ru-RU"/>
        </w:rPr>
      </w:pPr>
    </w:p>
    <w:p w:rsidR="00564E5D" w:rsidRPr="005A4164" w:rsidRDefault="00564E5D" w:rsidP="00564E5D">
      <w:pPr>
        <w:pStyle w:val="ListParagraph"/>
        <w:numPr>
          <w:ilvl w:val="0"/>
          <w:numId w:val="19"/>
        </w:numPr>
        <w:tabs>
          <w:tab w:val="left" w:pos="567"/>
        </w:tabs>
        <w:ind w:left="0" w:right="-1" w:firstLine="0"/>
        <w:rPr>
          <w:lang w:val="ru-RU"/>
        </w:rPr>
      </w:pPr>
      <w:r w:rsidRPr="005A4164">
        <w:rPr>
          <w:lang w:val="ru-RU"/>
        </w:rPr>
        <w:t xml:space="preserve">В 2000 г. было принято решение о том, что Генеральный директор или государства-члены могут предлагать для утверждения Генеральной Ассамблеей ВОИС или соответствующими Ассамблеями союзов, в зависимости от обстоятельств, проектную деятельность для финансирования за счет имеющегося профицита.  В 2010 г. государства-члены утвердили набор принципов в отношении использования резервов (см. </w:t>
      </w:r>
      <w:r w:rsidRPr="005A4164">
        <w:rPr>
          <w:bCs/>
          <w:lang w:val="ru-RU"/>
        </w:rPr>
        <w:t xml:space="preserve">WO/PBC/15/7/REV).  Пересмотренные принципы в отношении использования резервов приводятся в нижеследующих пунктах. </w:t>
      </w:r>
    </w:p>
    <w:p w:rsidR="00564E5D" w:rsidRPr="005A4164" w:rsidRDefault="00564E5D" w:rsidP="00564E5D">
      <w:pPr>
        <w:pStyle w:val="ListParagraph"/>
        <w:rPr>
          <w:lang w:val="ru-RU"/>
        </w:rPr>
      </w:pPr>
    </w:p>
    <w:p w:rsidR="00342DF9" w:rsidRPr="005A4164" w:rsidRDefault="00564E5D" w:rsidP="00564E5D">
      <w:pPr>
        <w:pStyle w:val="ListParagraph"/>
        <w:numPr>
          <w:ilvl w:val="0"/>
          <w:numId w:val="19"/>
        </w:numPr>
        <w:tabs>
          <w:tab w:val="left" w:pos="567"/>
        </w:tabs>
        <w:ind w:left="0" w:right="-1" w:firstLine="0"/>
        <w:rPr>
          <w:lang w:val="ru-RU"/>
        </w:rPr>
      </w:pPr>
      <w:r w:rsidRPr="005A4164">
        <w:rPr>
          <w:lang w:val="ru-RU"/>
        </w:rPr>
        <w:t>Представляя предложения об использовании резервов, Организация должна обеспечить, чтобы их использование не привело к сокращению РФОС ниже целевого уровня.  Соответственно, первый принцип сформулирован следующим образом</w:t>
      </w:r>
      <w:r w:rsidR="00672788" w:rsidRPr="005A4164">
        <w:rPr>
          <w:lang w:val="ru-RU"/>
        </w:rPr>
        <w:t>:</w:t>
      </w:r>
      <w:r w:rsidRPr="005A4164">
        <w:rPr>
          <w:lang w:val="ru-RU"/>
        </w:rPr>
        <w:t xml:space="preserve"> </w:t>
      </w:r>
    </w:p>
    <w:p w:rsidR="00342DF9" w:rsidRPr="005A4164" w:rsidRDefault="00342DF9" w:rsidP="007E3FFD">
      <w:pPr>
        <w:keepNext/>
        <w:keepLines/>
        <w:ind w:left="567"/>
        <w:rPr>
          <w:lang w:val="ru-RU"/>
        </w:rPr>
      </w:pPr>
    </w:p>
    <w:p w:rsidR="00342DF9" w:rsidRPr="005A4164" w:rsidRDefault="00CB7656" w:rsidP="007E3FFD">
      <w:pPr>
        <w:keepNext/>
        <w:keepLines/>
        <w:tabs>
          <w:tab w:val="left" w:pos="2970"/>
        </w:tabs>
        <w:ind w:left="567"/>
        <w:rPr>
          <w:b/>
          <w:i/>
          <w:lang w:val="ru-RU"/>
        </w:rPr>
      </w:pPr>
      <w:r w:rsidRPr="005A4164">
        <w:rPr>
          <w:b/>
          <w:i/>
          <w:lang w:val="ru-RU"/>
        </w:rPr>
        <w:t>ПРИНЦИП</w:t>
      </w:r>
      <w:r w:rsidR="00C3714C" w:rsidRPr="005A4164">
        <w:rPr>
          <w:b/>
          <w:i/>
          <w:lang w:val="ru-RU"/>
        </w:rPr>
        <w:t xml:space="preserve"> 1</w:t>
      </w:r>
      <w:r w:rsidRPr="005A4164">
        <w:rPr>
          <w:b/>
          <w:i/>
          <w:lang w:val="ru-RU"/>
        </w:rPr>
        <w:t>.</w:t>
      </w:r>
      <w:r w:rsidR="009009FA" w:rsidRPr="005A4164">
        <w:rPr>
          <w:b/>
          <w:i/>
          <w:lang w:val="ru-RU"/>
        </w:rPr>
        <w:t xml:space="preserve"> </w:t>
      </w:r>
      <w:r w:rsidR="00C3714C" w:rsidRPr="005A4164">
        <w:rPr>
          <w:b/>
          <w:i/>
          <w:lang w:val="ru-RU"/>
        </w:rPr>
        <w:t xml:space="preserve"> </w:t>
      </w:r>
      <w:r w:rsidRPr="005A4164">
        <w:rPr>
          <w:b/>
          <w:i/>
          <w:lang w:val="ru-RU"/>
        </w:rPr>
        <w:t xml:space="preserve">Предложения по использованию </w:t>
      </w:r>
      <w:r w:rsidR="00672788" w:rsidRPr="005A4164">
        <w:rPr>
          <w:b/>
          <w:i/>
          <w:lang w:val="ru-RU"/>
        </w:rPr>
        <w:t>РФОС</w:t>
      </w:r>
      <w:r w:rsidRPr="005A4164">
        <w:rPr>
          <w:b/>
          <w:i/>
          <w:lang w:val="ru-RU"/>
        </w:rPr>
        <w:t xml:space="preserve"> должны относиться только к суммам, имеющимся в наличии в </w:t>
      </w:r>
      <w:r w:rsidR="00672788" w:rsidRPr="005A4164">
        <w:rPr>
          <w:b/>
          <w:i/>
          <w:lang w:val="ru-RU"/>
        </w:rPr>
        <w:t>РФОС</w:t>
      </w:r>
      <w:r w:rsidRPr="005A4164">
        <w:rPr>
          <w:b/>
          <w:i/>
          <w:lang w:val="ru-RU"/>
        </w:rPr>
        <w:t>, которые превышают целевой уровень, требуемый политикой ВОИС в области резервов</w:t>
      </w:r>
      <w:r w:rsidR="00C3714C" w:rsidRPr="005A4164">
        <w:rPr>
          <w:b/>
          <w:i/>
          <w:lang w:val="ru-RU"/>
        </w:rPr>
        <w:t xml:space="preserve">.  </w:t>
      </w:r>
      <w:r w:rsidRPr="005A4164">
        <w:rPr>
          <w:b/>
          <w:i/>
          <w:lang w:val="ru-RU"/>
        </w:rPr>
        <w:t>Это применимо как на уровне отдельных союзов, так и на уровне Организации в целом</w:t>
      </w:r>
      <w:r w:rsidR="00C3714C" w:rsidRPr="005A4164">
        <w:rPr>
          <w:b/>
          <w:i/>
          <w:lang w:val="ru-RU"/>
        </w:rPr>
        <w:t xml:space="preserve">. </w:t>
      </w:r>
    </w:p>
    <w:p w:rsidR="00342DF9" w:rsidRPr="005A4164" w:rsidRDefault="00342DF9" w:rsidP="007E3FFD">
      <w:pPr>
        <w:keepNext/>
        <w:keepLines/>
        <w:ind w:left="567"/>
        <w:rPr>
          <w:lang w:val="ru-RU"/>
        </w:rPr>
      </w:pPr>
    </w:p>
    <w:p w:rsidR="00262511" w:rsidRPr="005A4164" w:rsidRDefault="00262511" w:rsidP="00262511">
      <w:pPr>
        <w:pStyle w:val="ListParagraph"/>
        <w:numPr>
          <w:ilvl w:val="0"/>
          <w:numId w:val="19"/>
        </w:numPr>
        <w:tabs>
          <w:tab w:val="left" w:pos="567"/>
        </w:tabs>
        <w:ind w:left="0" w:right="-1" w:firstLine="0"/>
        <w:rPr>
          <w:lang w:val="ru-RU"/>
        </w:rPr>
      </w:pPr>
      <w:r w:rsidRPr="005A4164">
        <w:rPr>
          <w:lang w:val="ru-RU"/>
        </w:rPr>
        <w:t>Расчеты доступных сумм, превышающих целевой уровень, должны быть ясными, прозрачными и консервативными.  Соответственно, второй принцип в отношении использования резервов, предусматривающий ясный и более консервативный подход к расчету имеющихся резервов, сформулирован следующим образом:</w:t>
      </w:r>
    </w:p>
    <w:p w:rsidR="00262511" w:rsidRPr="005A4164" w:rsidRDefault="00262511" w:rsidP="00262511">
      <w:pPr>
        <w:pStyle w:val="ONUME"/>
        <w:widowControl w:val="0"/>
        <w:numPr>
          <w:ilvl w:val="0"/>
          <w:numId w:val="0"/>
        </w:numPr>
        <w:tabs>
          <w:tab w:val="left" w:pos="1620"/>
        </w:tabs>
        <w:spacing w:after="0"/>
        <w:rPr>
          <w:lang w:val="ru-RU"/>
        </w:rPr>
      </w:pPr>
    </w:p>
    <w:p w:rsidR="00262511" w:rsidRPr="005A4164" w:rsidRDefault="00262511" w:rsidP="00262511">
      <w:pPr>
        <w:pStyle w:val="ONUME"/>
        <w:widowControl w:val="0"/>
        <w:numPr>
          <w:ilvl w:val="0"/>
          <w:numId w:val="0"/>
        </w:numPr>
        <w:tabs>
          <w:tab w:val="left" w:pos="1620"/>
        </w:tabs>
        <w:spacing w:after="0"/>
        <w:ind w:left="567"/>
        <w:rPr>
          <w:b/>
          <w:i/>
          <w:lang w:val="ru-RU"/>
        </w:rPr>
      </w:pPr>
      <w:r w:rsidRPr="005A4164">
        <w:rPr>
          <w:b/>
          <w:i/>
          <w:lang w:val="ru-RU"/>
        </w:rPr>
        <w:t xml:space="preserve">ПРИНЦИП 2.  Расчеты имеющихся резервов будут основаны на информации об уровне РФОС, содержащейся в последней финансовой отчетности, и будут должным образом учитывать фактические, зарезервированные и планируемые расходы за счет резервов на финансовый период (финансовые периоды), в течение которого (которых) предполагается осуществление предложенного проекта.  Из расчета сумм, имеющихся сверх целевого уровня РФОС, будут исключены суммы профицита резерва для переоценки стоимости (в результате переоценки стоимости земельного участка, на котором было построено новое здание) и фонда оборотных средств (который был создан за счет взносов государств-членов).  </w:t>
      </w:r>
    </w:p>
    <w:p w:rsidR="00262511" w:rsidRPr="005A4164" w:rsidRDefault="00262511" w:rsidP="00262511">
      <w:pPr>
        <w:pStyle w:val="ONUME"/>
        <w:widowControl w:val="0"/>
        <w:numPr>
          <w:ilvl w:val="0"/>
          <w:numId w:val="0"/>
        </w:numPr>
        <w:tabs>
          <w:tab w:val="left" w:pos="1620"/>
        </w:tabs>
        <w:spacing w:after="0"/>
        <w:rPr>
          <w:lang w:val="ru-RU"/>
        </w:rPr>
      </w:pPr>
    </w:p>
    <w:p w:rsidR="00342DF9" w:rsidRPr="005A4164" w:rsidRDefault="00262511" w:rsidP="00262511">
      <w:pPr>
        <w:pStyle w:val="ListParagraph"/>
        <w:numPr>
          <w:ilvl w:val="0"/>
          <w:numId w:val="19"/>
        </w:numPr>
        <w:tabs>
          <w:tab w:val="left" w:pos="567"/>
        </w:tabs>
        <w:ind w:left="0" w:right="-1" w:firstLine="0"/>
        <w:rPr>
          <w:lang w:val="ru-RU"/>
        </w:rPr>
      </w:pPr>
      <w:r w:rsidRPr="005A4164">
        <w:rPr>
          <w:lang w:val="ru-RU"/>
        </w:rPr>
        <w:t>Резервы Организации могут быть востребованы для финансирования дефицита в течение определенного двухлетнего периода, если фактические расходы превысят фактические доходы, и поэтому резерв не должен использоваться для увеличения финансирования операционных и регулярных расходов.  Плановый дефицит создает ложное чувство доступности средств в течение длительного периода времени и может вести к принятию долгосрочных обязательств (например, по найму персонала), финансируемых за счет краткосрочных или чрезвычайных средств.  Учитывая в особенности то обстоятельство, что приблизительно две третьи расходов ВОИС составляют расходы на персонал, это может вести к существенным рискам для Организации.  Соответственно, третий принцип в отношении предложений об использовании резервов сформулирован следующим образом</w:t>
      </w:r>
      <w:r w:rsidR="00672788" w:rsidRPr="005A4164">
        <w:rPr>
          <w:lang w:val="ru-RU"/>
        </w:rPr>
        <w:t>:</w:t>
      </w:r>
      <w:r w:rsidRPr="005A4164">
        <w:rPr>
          <w:lang w:val="ru-RU"/>
        </w:rPr>
        <w:t xml:space="preserve"> </w:t>
      </w:r>
    </w:p>
    <w:p w:rsidR="00342DF9" w:rsidRPr="005A4164" w:rsidRDefault="00342DF9" w:rsidP="007E3FFD">
      <w:pPr>
        <w:ind w:left="993"/>
        <w:rPr>
          <w:lang w:val="ru-RU"/>
        </w:rPr>
      </w:pPr>
    </w:p>
    <w:p w:rsidR="001707EB" w:rsidRPr="005A4164" w:rsidRDefault="00CB7656" w:rsidP="001707EB">
      <w:pPr>
        <w:tabs>
          <w:tab w:val="left" w:pos="3150"/>
          <w:tab w:val="left" w:pos="3420"/>
        </w:tabs>
        <w:spacing w:after="120"/>
        <w:ind w:left="567"/>
        <w:rPr>
          <w:b/>
          <w:i/>
          <w:lang w:val="ru-RU"/>
        </w:rPr>
      </w:pPr>
      <w:r w:rsidRPr="005A4164">
        <w:rPr>
          <w:b/>
          <w:i/>
          <w:lang w:val="ru-RU"/>
        </w:rPr>
        <w:t>ПРИНЦИП</w:t>
      </w:r>
      <w:r w:rsidR="00C3714C" w:rsidRPr="005A4164">
        <w:rPr>
          <w:b/>
          <w:i/>
          <w:lang w:val="ru-RU"/>
        </w:rPr>
        <w:t xml:space="preserve"> 3</w:t>
      </w:r>
      <w:r w:rsidR="0052599D" w:rsidRPr="005A4164">
        <w:rPr>
          <w:b/>
          <w:i/>
          <w:lang w:val="ru-RU"/>
        </w:rPr>
        <w:t>.</w:t>
      </w:r>
      <w:r w:rsidR="00C3714C" w:rsidRPr="005A4164">
        <w:rPr>
          <w:b/>
          <w:i/>
          <w:lang w:val="ru-RU"/>
        </w:rPr>
        <w:t xml:space="preserve"> </w:t>
      </w:r>
      <w:r w:rsidR="0052599D" w:rsidRPr="005A4164">
        <w:rPr>
          <w:b/>
          <w:i/>
          <w:lang w:val="ru-RU"/>
        </w:rPr>
        <w:t xml:space="preserve"> </w:t>
      </w:r>
      <w:r w:rsidR="001707EB" w:rsidRPr="005A4164">
        <w:rPr>
          <w:b/>
          <w:i/>
          <w:lang w:val="ru-RU"/>
        </w:rPr>
        <w:t xml:space="preserve">Предложения об использовании резервов должны быть связаны с чрезвычайными единовременными капитальными проектами и расходами и в исключительных обстоятельствах со стратегическими инициативами, принимаемыми Ассамблеями союзов ВОИС.  Капитальные проекты, как правило, будут определяться в генеральном плате долгосрочных капитальных проектов и могут быть указаны как проекты, связанные со строительством/ремонтом помещений и информационно-коммуникационными технологиями, необходимыми для поддержания помещений и систем Организации в надлежащем рабочем состоянии путем их значительного расширения или ввода дополнительных объектов и систем. </w:t>
      </w:r>
    </w:p>
    <w:p w:rsidR="00342DF9" w:rsidRPr="005A4164" w:rsidRDefault="001707EB" w:rsidP="007935A3">
      <w:pPr>
        <w:pStyle w:val="ListParagraph"/>
        <w:numPr>
          <w:ilvl w:val="0"/>
          <w:numId w:val="19"/>
        </w:numPr>
        <w:tabs>
          <w:tab w:val="left" w:pos="567"/>
        </w:tabs>
        <w:ind w:left="0" w:right="-1" w:firstLine="0"/>
        <w:rPr>
          <w:lang w:val="ru-RU"/>
        </w:rPr>
      </w:pPr>
      <w:r w:rsidRPr="005A4164">
        <w:rPr>
          <w:lang w:val="ru-RU"/>
        </w:rPr>
        <w:t>Проекты, финансируемые за счет резервов, могут негативно сказываться на уровнях ликвидности резервов.  Кроме того, по завершении таких проектов возникают определенные регулярные и постоянные потребности в ресурсах.  Решения государств-членов об использовании резервов должны приниматься на основе комплексной информации и полного понимания последствий таких решений для управления финансами Организации.  Соответственно, четвертый принцип в отношении предложений об использовании резервов гласит</w:t>
      </w:r>
      <w:r w:rsidR="00C3714C" w:rsidRPr="005A4164">
        <w:rPr>
          <w:lang w:val="ru-RU"/>
        </w:rPr>
        <w:t>:</w:t>
      </w:r>
      <w:r w:rsidRPr="005A4164">
        <w:rPr>
          <w:lang w:val="ru-RU"/>
        </w:rPr>
        <w:t xml:space="preserve"> </w:t>
      </w:r>
    </w:p>
    <w:p w:rsidR="00342DF9" w:rsidRPr="005A4164" w:rsidRDefault="00342DF9" w:rsidP="00FD5ED8">
      <w:pPr>
        <w:tabs>
          <w:tab w:val="left" w:pos="3150"/>
        </w:tabs>
        <w:rPr>
          <w:lang w:val="ru-RU"/>
        </w:rPr>
      </w:pPr>
    </w:p>
    <w:p w:rsidR="00536F1B" w:rsidRPr="005A4164" w:rsidRDefault="00CB7656" w:rsidP="00536F1B">
      <w:pPr>
        <w:pStyle w:val="ONUME"/>
        <w:widowControl w:val="0"/>
        <w:numPr>
          <w:ilvl w:val="0"/>
          <w:numId w:val="0"/>
        </w:numPr>
        <w:tabs>
          <w:tab w:val="left" w:pos="1620"/>
        </w:tabs>
        <w:spacing w:after="0"/>
        <w:ind w:left="720"/>
        <w:rPr>
          <w:b/>
          <w:i/>
          <w:lang w:val="ru-RU"/>
        </w:rPr>
      </w:pPr>
      <w:r w:rsidRPr="005A4164">
        <w:rPr>
          <w:b/>
          <w:i/>
          <w:lang w:val="ru-RU"/>
        </w:rPr>
        <w:t>ПРИНЦИП</w:t>
      </w:r>
      <w:r w:rsidR="00C3714C" w:rsidRPr="005A4164">
        <w:rPr>
          <w:b/>
          <w:i/>
          <w:lang w:val="ru-RU"/>
        </w:rPr>
        <w:t xml:space="preserve"> 4</w:t>
      </w:r>
      <w:r w:rsidR="0052599D" w:rsidRPr="005A4164">
        <w:rPr>
          <w:b/>
          <w:i/>
          <w:lang w:val="ru-RU"/>
        </w:rPr>
        <w:t xml:space="preserve">. </w:t>
      </w:r>
      <w:r w:rsidR="00C3714C" w:rsidRPr="005A4164">
        <w:rPr>
          <w:b/>
          <w:i/>
          <w:lang w:val="ru-RU"/>
        </w:rPr>
        <w:t xml:space="preserve"> </w:t>
      </w:r>
      <w:r w:rsidR="00536F1B" w:rsidRPr="005A4164">
        <w:rPr>
          <w:b/>
          <w:i/>
          <w:lang w:val="ru-RU"/>
        </w:rPr>
        <w:t xml:space="preserve">Предложения об использовании резервов должны быть комплексно прорабатываться и основываться на информации о стоимости всего цикла реализации проекта, прогнозируемых выгод (которые могут иметь как финансовое, так и качественное выражение), регулярных расходов, которые Организация будет обязана финансировать в рамках своего регулярного бюджета в последующие двухлетние периоды, а также последствий для оборота денежных средств и уровня ликвидности резервов. </w:t>
      </w:r>
    </w:p>
    <w:p w:rsidR="00536F1B" w:rsidRPr="005A4164" w:rsidRDefault="00536F1B" w:rsidP="00536F1B">
      <w:pPr>
        <w:tabs>
          <w:tab w:val="left" w:pos="3150"/>
        </w:tabs>
        <w:rPr>
          <w:lang w:val="ru-RU"/>
        </w:rPr>
      </w:pPr>
    </w:p>
    <w:p w:rsidR="00536F1B" w:rsidRPr="005A4164" w:rsidRDefault="00536F1B" w:rsidP="00536F1B">
      <w:pPr>
        <w:pStyle w:val="ListParagraph"/>
        <w:numPr>
          <w:ilvl w:val="0"/>
          <w:numId w:val="19"/>
        </w:numPr>
        <w:tabs>
          <w:tab w:val="left" w:pos="567"/>
        </w:tabs>
        <w:ind w:left="0" w:right="-1" w:firstLine="0"/>
        <w:rPr>
          <w:lang w:val="ru-RU"/>
        </w:rPr>
      </w:pPr>
      <w:r w:rsidRPr="005A4164">
        <w:rPr>
          <w:lang w:val="ru-RU"/>
        </w:rPr>
        <w:t xml:space="preserve">В отличие от проектов и деятельности, предусмотренных в регулярном бюджете, средства для которых выделяются только на двухлетний период, в течение которого утверждается их осуществление, проекты, финансируемые за счет резервов Организации, как было указано в связи с принципом 4 выше, могут осуществляться в течение нескольких двухлетних периодов, и следует внимательно следить за тем, чтобы средства для утвержденных проектов были в наличии на весь срок реализации проекта/инициативы, утвержденных государствами-членами.  Это обеспечит эффективное завершение утвержденных проектов.  Соответственно, пятый принцип в отношении предложений об использовании резервов сформулирован следующим образом:  </w:t>
      </w:r>
    </w:p>
    <w:p w:rsidR="00536F1B" w:rsidRPr="005A4164" w:rsidRDefault="00536F1B" w:rsidP="00536F1B">
      <w:pPr>
        <w:rPr>
          <w:lang w:val="ru-RU"/>
        </w:rPr>
      </w:pPr>
    </w:p>
    <w:p w:rsidR="00342DF9" w:rsidRPr="005A4164" w:rsidRDefault="00536F1B" w:rsidP="00536F1B">
      <w:pPr>
        <w:pStyle w:val="ONUME"/>
        <w:widowControl w:val="0"/>
        <w:numPr>
          <w:ilvl w:val="0"/>
          <w:numId w:val="0"/>
        </w:numPr>
        <w:tabs>
          <w:tab w:val="left" w:pos="1620"/>
        </w:tabs>
        <w:spacing w:after="0"/>
        <w:ind w:left="720"/>
        <w:rPr>
          <w:b/>
          <w:i/>
          <w:lang w:val="ru-RU"/>
        </w:rPr>
      </w:pPr>
      <w:r w:rsidRPr="005A4164">
        <w:rPr>
          <w:b/>
          <w:i/>
          <w:lang w:val="ru-RU"/>
        </w:rPr>
        <w:t>ПРИНЦИП 5:  Предложения об использовании резервов могут касаться проектов и инициатив, которые выходят за рамки двухлетнего финансового периода Организации и которые могут осуществляться на протяжении нескольких двухлетних периодов</w:t>
      </w:r>
      <w:r w:rsidR="007D3203" w:rsidRPr="005A4164">
        <w:rPr>
          <w:b/>
          <w:i/>
          <w:lang w:val="ru-RU"/>
        </w:rPr>
        <w:t>.</w:t>
      </w:r>
      <w:r w:rsidRPr="005A4164">
        <w:rPr>
          <w:b/>
          <w:i/>
          <w:lang w:val="ru-RU"/>
        </w:rPr>
        <w:t xml:space="preserve"> </w:t>
      </w:r>
    </w:p>
    <w:p w:rsidR="00342DF9" w:rsidRPr="005A4164" w:rsidRDefault="00342DF9" w:rsidP="007E3FFD">
      <w:pPr>
        <w:tabs>
          <w:tab w:val="left" w:pos="3330"/>
          <w:tab w:val="left" w:pos="3420"/>
        </w:tabs>
        <w:ind w:left="720"/>
        <w:rPr>
          <w:b/>
          <w:lang w:val="ru-RU"/>
        </w:rPr>
      </w:pPr>
    </w:p>
    <w:p w:rsidR="00342DF9" w:rsidRPr="005A4164" w:rsidRDefault="00342DF9" w:rsidP="007E3FFD">
      <w:pPr>
        <w:tabs>
          <w:tab w:val="left" w:pos="3330"/>
          <w:tab w:val="left" w:pos="3420"/>
        </w:tabs>
        <w:ind w:left="720"/>
        <w:rPr>
          <w:b/>
          <w:lang w:val="ru-RU"/>
        </w:rPr>
      </w:pPr>
    </w:p>
    <w:p w:rsidR="00342DF9" w:rsidRPr="005A4164" w:rsidRDefault="009009FA" w:rsidP="007E3FFD">
      <w:pPr>
        <w:keepNext/>
        <w:keepLines/>
        <w:tabs>
          <w:tab w:val="left" w:pos="851"/>
        </w:tabs>
        <w:rPr>
          <w:b/>
          <w:lang w:val="ru-RU"/>
        </w:rPr>
      </w:pPr>
      <w:r w:rsidRPr="005A4164">
        <w:rPr>
          <w:b/>
          <w:lang w:val="ru-RU"/>
        </w:rPr>
        <w:t xml:space="preserve">III. </w:t>
      </w:r>
      <w:r w:rsidR="00C3714C" w:rsidRPr="005A4164">
        <w:rPr>
          <w:b/>
          <w:lang w:val="ru-RU"/>
        </w:rPr>
        <w:t>(B)</w:t>
      </w:r>
      <w:r w:rsidR="00C3714C" w:rsidRPr="005A4164">
        <w:rPr>
          <w:b/>
          <w:lang w:val="ru-RU"/>
        </w:rPr>
        <w:tab/>
      </w:r>
      <w:r w:rsidR="008C4F9E" w:rsidRPr="005A4164">
        <w:rPr>
          <w:b/>
          <w:lang w:val="ru-RU"/>
        </w:rPr>
        <w:t xml:space="preserve">Механизм утверждения предложений об использовании резервов </w:t>
      </w:r>
    </w:p>
    <w:p w:rsidR="00342DF9" w:rsidRPr="005A4164" w:rsidRDefault="00342DF9" w:rsidP="007E3FFD">
      <w:pPr>
        <w:keepNext/>
        <w:keepLines/>
        <w:rPr>
          <w:b/>
          <w:lang w:val="ru-RU"/>
        </w:rPr>
      </w:pPr>
    </w:p>
    <w:p w:rsidR="008C4F9E" w:rsidRPr="005A4164" w:rsidRDefault="008C4F9E" w:rsidP="008C4F9E">
      <w:pPr>
        <w:pStyle w:val="ListParagraph"/>
        <w:keepNext/>
        <w:keepLines/>
        <w:numPr>
          <w:ilvl w:val="0"/>
          <w:numId w:val="19"/>
        </w:numPr>
        <w:tabs>
          <w:tab w:val="left" w:pos="567"/>
        </w:tabs>
        <w:ind w:left="0" w:right="-1" w:firstLine="0"/>
        <w:rPr>
          <w:lang w:val="ru-RU"/>
        </w:rPr>
      </w:pPr>
      <w:r w:rsidRPr="005A4164">
        <w:rPr>
          <w:lang w:val="ru-RU"/>
        </w:rPr>
        <w:t>Предложения об использовании имеющихся резервов Организации могут вноситься Генеральным директором или государствами-членами для их рассмотрения Ассамблеями государств-членов и союзов, каждой в той степени, насколько это ее касается</w:t>
      </w:r>
      <w:r w:rsidR="00880D61" w:rsidRPr="005A4164">
        <w:rPr>
          <w:lang w:val="ru-RU"/>
        </w:rPr>
        <w:t xml:space="preserve">. </w:t>
      </w:r>
    </w:p>
    <w:p w:rsidR="008C4F9E" w:rsidRPr="005A4164" w:rsidRDefault="008C4F9E" w:rsidP="008C4F9E">
      <w:pPr>
        <w:keepNext/>
        <w:keepLines/>
        <w:tabs>
          <w:tab w:val="left" w:pos="567"/>
        </w:tabs>
        <w:ind w:right="-1"/>
        <w:rPr>
          <w:lang w:val="ru-RU"/>
        </w:rPr>
      </w:pPr>
    </w:p>
    <w:p w:rsidR="00342DF9" w:rsidRPr="005A4164" w:rsidRDefault="00342DF9" w:rsidP="007E3FFD">
      <w:pPr>
        <w:keepNext/>
        <w:keepLines/>
        <w:ind w:left="567" w:right="616"/>
        <w:rPr>
          <w:lang w:val="ru-RU"/>
        </w:rPr>
      </w:pPr>
    </w:p>
    <w:p w:rsidR="00342DF9" w:rsidRPr="005A4164" w:rsidRDefault="008C4F9E" w:rsidP="007E3FFD">
      <w:pPr>
        <w:keepNext/>
        <w:keepLines/>
        <w:ind w:left="567" w:right="616"/>
        <w:rPr>
          <w:b/>
          <w:bCs/>
          <w:i/>
          <w:lang w:val="ru-RU"/>
        </w:rPr>
      </w:pPr>
      <w:r w:rsidRPr="005A4164">
        <w:rPr>
          <w:b/>
          <w:i/>
          <w:lang w:val="ru-RU"/>
        </w:rPr>
        <w:t>МЕХАНИЗМ УТВЕРЖДЕНИЯ</w:t>
      </w:r>
      <w:r w:rsidR="00C3714C" w:rsidRPr="005A4164">
        <w:rPr>
          <w:b/>
          <w:bCs/>
          <w:i/>
          <w:lang w:val="ru-RU"/>
        </w:rPr>
        <w:t xml:space="preserve">:  </w:t>
      </w:r>
    </w:p>
    <w:p w:rsidR="00342DF9" w:rsidRPr="005A4164" w:rsidRDefault="00342DF9" w:rsidP="007E3FFD">
      <w:pPr>
        <w:keepNext/>
        <w:keepLines/>
        <w:ind w:left="567" w:right="616"/>
        <w:rPr>
          <w:b/>
          <w:bCs/>
          <w:i/>
          <w:lang w:val="ru-RU"/>
        </w:rPr>
      </w:pPr>
    </w:p>
    <w:p w:rsidR="00342DF9" w:rsidRPr="005A4164" w:rsidRDefault="00B243B0" w:rsidP="007E3FFD">
      <w:pPr>
        <w:keepNext/>
        <w:keepLines/>
        <w:ind w:left="567" w:right="616"/>
        <w:rPr>
          <w:b/>
          <w:bCs/>
          <w:i/>
          <w:lang w:val="ru-RU"/>
        </w:rPr>
      </w:pPr>
      <w:r w:rsidRPr="005A4164">
        <w:rPr>
          <w:b/>
          <w:i/>
          <w:lang w:val="ru-RU"/>
        </w:rPr>
        <w:t xml:space="preserve">Предложения об использовании резервов могут вноситься Генеральным директором ВОИС или государствами-членами </w:t>
      </w:r>
      <w:r w:rsidR="00880D61" w:rsidRPr="005A4164">
        <w:rPr>
          <w:b/>
          <w:i/>
          <w:lang w:val="ru-RU"/>
        </w:rPr>
        <w:t>через КПБ для их рассмотрения Ассамблеями государств-членов и союзов, каждой в той степени, насколько это ее касается.  Предложения должны готовиться в соответствии с установленными принципами в отношении использования резервов</w:t>
      </w:r>
      <w:r w:rsidR="00C3714C" w:rsidRPr="005A4164">
        <w:rPr>
          <w:b/>
          <w:bCs/>
          <w:i/>
          <w:lang w:val="ru-RU"/>
        </w:rPr>
        <w:t xml:space="preserve">.  </w:t>
      </w:r>
    </w:p>
    <w:p w:rsidR="00342DF9" w:rsidRPr="005A4164" w:rsidRDefault="00342DF9" w:rsidP="007E3FFD">
      <w:pPr>
        <w:keepNext/>
        <w:keepLines/>
        <w:ind w:left="567" w:right="616"/>
        <w:rPr>
          <w:b/>
          <w:bCs/>
          <w:i/>
          <w:lang w:val="ru-RU"/>
        </w:rPr>
      </w:pPr>
    </w:p>
    <w:p w:rsidR="00342DF9" w:rsidRPr="005A4164" w:rsidRDefault="00880D61" w:rsidP="007E3FFD">
      <w:pPr>
        <w:keepNext/>
        <w:keepLines/>
        <w:ind w:left="567" w:right="616"/>
        <w:rPr>
          <w:b/>
          <w:i/>
          <w:lang w:val="ru-RU"/>
        </w:rPr>
      </w:pPr>
      <w:r w:rsidRPr="005A4164">
        <w:rPr>
          <w:b/>
          <w:bCs/>
          <w:i/>
          <w:lang w:val="ru-RU"/>
        </w:rPr>
        <w:t xml:space="preserve">Что касается Мадридского союза, в случае которого любое использование профицита за двухлетний период регулируется статьей 8(4) Мадридского соглашения и протокола, предложение об </w:t>
      </w:r>
      <w:r w:rsidRPr="005A4164">
        <w:rPr>
          <w:b/>
          <w:i/>
          <w:lang w:val="ru-RU"/>
        </w:rPr>
        <w:t>использовании профицита и/или РФОС сверх целевого уровня, предписываемого политикой в отношении резервов, вносится Генеральным директором на рассмотрение Ассамблеи Мадридского союза</w:t>
      </w:r>
      <w:r w:rsidR="00C3714C" w:rsidRPr="005A4164">
        <w:rPr>
          <w:b/>
          <w:bCs/>
          <w:i/>
          <w:lang w:val="ru-RU"/>
        </w:rPr>
        <w:t xml:space="preserve">.  </w:t>
      </w:r>
    </w:p>
    <w:p w:rsidR="00342DF9" w:rsidRPr="005A4164" w:rsidRDefault="00342DF9" w:rsidP="007E3FFD">
      <w:pPr>
        <w:ind w:left="567" w:right="616"/>
        <w:rPr>
          <w:u w:val="single"/>
          <w:lang w:val="ru-RU"/>
        </w:rPr>
      </w:pPr>
    </w:p>
    <w:p w:rsidR="00FD5ED8" w:rsidRPr="005A4164" w:rsidRDefault="00FD5ED8" w:rsidP="00FD5ED8">
      <w:pPr>
        <w:pStyle w:val="Endofdocument"/>
        <w:spacing w:line="240" w:lineRule="auto"/>
        <w:ind w:left="0"/>
        <w:rPr>
          <w:lang w:val="ru-RU"/>
        </w:rPr>
        <w:sectPr w:rsidR="00FD5ED8" w:rsidRPr="005A4164" w:rsidSect="009A673B">
          <w:headerReference w:type="default" r:id="rId15"/>
          <w:headerReference w:type="first" r:id="rId16"/>
          <w:pgSz w:w="11907" w:h="16839" w:code="9"/>
          <w:pgMar w:top="567" w:right="1134" w:bottom="1247" w:left="1418" w:header="624" w:footer="720" w:gutter="0"/>
          <w:pgNumType w:start="1"/>
          <w:cols w:space="720"/>
          <w:titlePg/>
          <w:docGrid w:linePitch="360"/>
        </w:sectPr>
      </w:pPr>
    </w:p>
    <w:p w:rsidR="00342DF9" w:rsidRPr="002C66AA" w:rsidRDefault="002C66AA" w:rsidP="00FD5ED8">
      <w:pPr>
        <w:pStyle w:val="Endofdocument"/>
        <w:spacing w:after="0" w:line="240" w:lineRule="auto"/>
        <w:ind w:left="0"/>
        <w:jc w:val="center"/>
        <w:rPr>
          <w:b/>
          <w:lang w:val="ru-RU"/>
        </w:rPr>
      </w:pPr>
      <w:r>
        <w:rPr>
          <w:b/>
          <w:lang w:val="ru-RU"/>
        </w:rPr>
        <w:t>ДИНАМИКА ФИНАНСОВОГО ПОЛОЖЕНИЯ ВОИС,</w:t>
      </w:r>
      <w:r w:rsidR="00FD5ED8" w:rsidRPr="002C66AA">
        <w:rPr>
          <w:b/>
          <w:lang w:val="ru-RU"/>
        </w:rPr>
        <w:t xml:space="preserve"> 1998-2014</w:t>
      </w:r>
      <w:r>
        <w:rPr>
          <w:b/>
          <w:lang w:val="ru-RU"/>
        </w:rPr>
        <w:t xml:space="preserve"> ГГ.</w:t>
      </w:r>
    </w:p>
    <w:p w:rsidR="00342DF9" w:rsidRPr="002C66AA" w:rsidRDefault="00342DF9" w:rsidP="00FD5ED8">
      <w:pPr>
        <w:pStyle w:val="Endofdocument"/>
        <w:spacing w:after="0" w:line="240" w:lineRule="auto"/>
        <w:ind w:left="0"/>
        <w:rPr>
          <w:lang w:val="ru-RU"/>
        </w:rPr>
      </w:pPr>
    </w:p>
    <w:p w:rsidR="00342DF9" w:rsidRPr="005A4164" w:rsidRDefault="002C66AA" w:rsidP="00FD5ED8">
      <w:pPr>
        <w:pStyle w:val="Endofdocument"/>
        <w:spacing w:after="0" w:line="240" w:lineRule="auto"/>
        <w:ind w:left="0"/>
        <w:rPr>
          <w:lang w:val="ru-RU"/>
        </w:rPr>
      </w:pPr>
      <w:r>
        <w:rPr>
          <w:noProof/>
        </w:rPr>
        <w:drawing>
          <wp:inline distT="0" distB="0" distL="0" distR="0">
            <wp:extent cx="9072245" cy="28083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72245" cy="2808357"/>
                    </a:xfrm>
                    <a:prstGeom prst="rect">
                      <a:avLst/>
                    </a:prstGeom>
                    <a:noFill/>
                    <a:ln>
                      <a:noFill/>
                    </a:ln>
                  </pic:spPr>
                </pic:pic>
              </a:graphicData>
            </a:graphic>
          </wp:inline>
        </w:drawing>
      </w:r>
    </w:p>
    <w:p w:rsidR="00342DF9" w:rsidRPr="005A4164" w:rsidRDefault="002C66AA" w:rsidP="002C66AA">
      <w:pPr>
        <w:pStyle w:val="Endofdocument"/>
        <w:spacing w:after="0" w:line="240" w:lineRule="auto"/>
        <w:ind w:left="0"/>
        <w:jc w:val="right"/>
        <w:rPr>
          <w:lang w:val="ru-RU"/>
        </w:rPr>
      </w:pPr>
      <w:r>
        <w:rPr>
          <w:noProof/>
        </w:rPr>
        <w:drawing>
          <wp:inline distT="0" distB="0" distL="0" distR="0">
            <wp:extent cx="7432244" cy="2049562"/>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32965" cy="2049761"/>
                    </a:xfrm>
                    <a:prstGeom prst="rect">
                      <a:avLst/>
                    </a:prstGeom>
                    <a:noFill/>
                    <a:ln>
                      <a:noFill/>
                    </a:ln>
                  </pic:spPr>
                </pic:pic>
              </a:graphicData>
            </a:graphic>
          </wp:inline>
        </w:drawing>
      </w:r>
    </w:p>
    <w:p w:rsidR="00342DF9" w:rsidRPr="005A4164" w:rsidRDefault="00342DF9" w:rsidP="00FD5ED8">
      <w:pPr>
        <w:pStyle w:val="Endofdocument"/>
        <w:spacing w:after="0" w:line="240" w:lineRule="auto"/>
        <w:ind w:left="0"/>
        <w:rPr>
          <w:lang w:val="ru-RU"/>
        </w:rPr>
      </w:pPr>
    </w:p>
    <w:p w:rsidR="00342DF9" w:rsidRPr="005A4164" w:rsidRDefault="00342DF9" w:rsidP="00FD5ED8">
      <w:pPr>
        <w:pStyle w:val="Endofdocument"/>
        <w:spacing w:after="0" w:line="240" w:lineRule="auto"/>
        <w:ind w:left="0"/>
        <w:rPr>
          <w:lang w:val="ru-RU"/>
        </w:rPr>
      </w:pPr>
    </w:p>
    <w:p w:rsidR="00342DF9" w:rsidRPr="005A4164" w:rsidRDefault="00106225" w:rsidP="002C66AA">
      <w:pPr>
        <w:pStyle w:val="Endofdocument"/>
        <w:spacing w:line="240" w:lineRule="auto"/>
        <w:ind w:left="10574" w:firstLine="226"/>
        <w:rPr>
          <w:sz w:val="22"/>
          <w:lang w:val="ru-RU"/>
        </w:rPr>
      </w:pPr>
      <w:r w:rsidRPr="005A4164">
        <w:rPr>
          <w:sz w:val="22"/>
          <w:lang w:val="ru-RU"/>
        </w:rPr>
        <w:t>[</w:t>
      </w:r>
      <w:r w:rsidR="005A4164">
        <w:rPr>
          <w:sz w:val="22"/>
          <w:lang w:val="ru-RU"/>
        </w:rPr>
        <w:t>Приложение</w:t>
      </w:r>
      <w:r w:rsidRPr="005A4164">
        <w:rPr>
          <w:sz w:val="22"/>
          <w:lang w:val="ru-RU"/>
        </w:rPr>
        <w:t xml:space="preserve"> II </w:t>
      </w:r>
      <w:r w:rsidR="005A4164">
        <w:rPr>
          <w:sz w:val="22"/>
          <w:lang w:val="ru-RU"/>
        </w:rPr>
        <w:t>следует</w:t>
      </w:r>
      <w:r w:rsidRPr="005A4164">
        <w:rPr>
          <w:sz w:val="22"/>
          <w:lang w:val="ru-RU"/>
        </w:rPr>
        <w:t>]</w:t>
      </w:r>
    </w:p>
    <w:p w:rsidR="00106225" w:rsidRPr="005A4164" w:rsidRDefault="00106225" w:rsidP="007E3FFD">
      <w:pPr>
        <w:pStyle w:val="Endofdocument"/>
        <w:spacing w:line="240" w:lineRule="auto"/>
        <w:rPr>
          <w:sz w:val="22"/>
          <w:lang w:val="ru-RU"/>
        </w:rPr>
        <w:sectPr w:rsidR="00106225" w:rsidRPr="005A4164" w:rsidSect="009A673B">
          <w:headerReference w:type="first" r:id="rId19"/>
          <w:pgSz w:w="16839" w:h="11907" w:orient="landscape" w:code="9"/>
          <w:pgMar w:top="1134" w:right="1134" w:bottom="1134" w:left="1418" w:header="624" w:footer="720" w:gutter="0"/>
          <w:cols w:space="720"/>
          <w:docGrid w:linePitch="360"/>
        </w:sectPr>
      </w:pPr>
    </w:p>
    <w:p w:rsidR="005A4164" w:rsidRPr="005A4164" w:rsidRDefault="005A4164" w:rsidP="005A4164">
      <w:pPr>
        <w:rPr>
          <w:b/>
          <w:lang w:val="ru-RU"/>
        </w:rPr>
      </w:pPr>
      <w:r>
        <w:rPr>
          <w:b/>
          <w:lang w:val="ru-RU"/>
        </w:rPr>
        <w:t xml:space="preserve">РАЗБИКА ФОНДА ОБОРОТНЫХ СРЕДСТВ (ФОС) СОЮЗА </w:t>
      </w:r>
      <w:r w:rsidR="00DD02E1" w:rsidRPr="005A4164">
        <w:rPr>
          <w:b/>
          <w:lang w:val="ru-RU"/>
        </w:rPr>
        <w:t xml:space="preserve">PCT </w:t>
      </w:r>
      <w:r>
        <w:rPr>
          <w:b/>
          <w:lang w:val="ru-RU"/>
        </w:rPr>
        <w:br/>
        <w:t xml:space="preserve">ПО ГОСУДАРСТВАМ-ЧЛЕНАМ </w:t>
      </w:r>
    </w:p>
    <w:p w:rsidR="00342DF9" w:rsidRPr="005A4164" w:rsidRDefault="00342DF9" w:rsidP="00DD02E1">
      <w:pPr>
        <w:rPr>
          <w:b/>
          <w:lang w:val="ru-RU"/>
        </w:rPr>
      </w:pPr>
    </w:p>
    <w:p w:rsidR="00DD02E1" w:rsidRPr="005A4164" w:rsidRDefault="00DD02E1" w:rsidP="00332680">
      <w:pPr>
        <w:rPr>
          <w:lang w:val="ru-RU"/>
        </w:rPr>
      </w:pPr>
    </w:p>
    <w:tbl>
      <w:tblPr>
        <w:tblW w:w="5554" w:type="dxa"/>
        <w:jc w:val="center"/>
        <w:tblInd w:w="-276" w:type="dxa"/>
        <w:tblLook w:val="04A0" w:firstRow="1" w:lastRow="0" w:firstColumn="1" w:lastColumn="0" w:noHBand="0" w:noVBand="1"/>
      </w:tblPr>
      <w:tblGrid>
        <w:gridCol w:w="3129"/>
        <w:gridCol w:w="2425"/>
      </w:tblGrid>
      <w:tr w:rsidR="00332680" w:rsidRPr="005A4164" w:rsidTr="00497A16">
        <w:trPr>
          <w:trHeight w:val="255"/>
          <w:jc w:val="center"/>
        </w:trPr>
        <w:tc>
          <w:tcPr>
            <w:tcW w:w="3129"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332680" w:rsidRPr="005A4164" w:rsidRDefault="00C1786A" w:rsidP="00332680">
            <w:pPr>
              <w:jc w:val="center"/>
              <w:rPr>
                <w:rFonts w:eastAsia="Times New Roman"/>
                <w:b/>
                <w:bCs/>
                <w:color w:val="000000"/>
                <w:sz w:val="20"/>
                <w:u w:val="single"/>
                <w:lang w:eastAsia="en-US"/>
              </w:rPr>
            </w:pPr>
            <w:r>
              <w:rPr>
                <w:rFonts w:eastAsia="Times New Roman"/>
                <w:b/>
                <w:bCs/>
                <w:color w:val="000000"/>
                <w:sz w:val="20"/>
                <w:u w:val="single"/>
                <w:lang w:eastAsia="en-US"/>
              </w:rPr>
              <w:t>Государство-член</w:t>
            </w:r>
          </w:p>
        </w:tc>
        <w:tc>
          <w:tcPr>
            <w:tcW w:w="2425"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332680" w:rsidRPr="005A4164" w:rsidRDefault="00C1786A" w:rsidP="00332680">
            <w:pPr>
              <w:jc w:val="center"/>
              <w:rPr>
                <w:rFonts w:eastAsia="Times New Roman"/>
                <w:b/>
                <w:bCs/>
                <w:color w:val="000000"/>
                <w:sz w:val="20"/>
                <w:u w:val="single"/>
                <w:lang w:eastAsia="en-US"/>
              </w:rPr>
            </w:pPr>
            <w:r>
              <w:rPr>
                <w:rFonts w:eastAsia="Times New Roman"/>
                <w:b/>
                <w:bCs/>
                <w:color w:val="000000"/>
                <w:sz w:val="20"/>
                <w:u w:val="single"/>
                <w:lang w:eastAsia="en-US"/>
              </w:rPr>
              <w:t>ФОС PCT</w:t>
            </w:r>
          </w:p>
        </w:tc>
      </w:tr>
      <w:tr w:rsidR="00332680" w:rsidRPr="005A4164" w:rsidTr="00497A16">
        <w:trPr>
          <w:trHeight w:val="255"/>
          <w:jc w:val="center"/>
        </w:trPr>
        <w:tc>
          <w:tcPr>
            <w:tcW w:w="3129" w:type="dxa"/>
            <w:vMerge/>
            <w:tcBorders>
              <w:top w:val="single" w:sz="4" w:space="0" w:color="auto"/>
              <w:left w:val="single" w:sz="4" w:space="0" w:color="auto"/>
              <w:bottom w:val="single" w:sz="4" w:space="0" w:color="000000"/>
              <w:right w:val="single" w:sz="4" w:space="0" w:color="auto"/>
            </w:tcBorders>
            <w:vAlign w:val="center"/>
            <w:hideMark/>
          </w:tcPr>
          <w:p w:rsidR="00332680" w:rsidRPr="005A4164" w:rsidRDefault="00332680" w:rsidP="00332680">
            <w:pPr>
              <w:rPr>
                <w:rFonts w:eastAsia="Times New Roman"/>
                <w:b/>
                <w:bCs/>
                <w:color w:val="000000"/>
                <w:sz w:val="20"/>
                <w:u w:val="single"/>
                <w:lang w:eastAsia="en-US"/>
              </w:rPr>
            </w:pPr>
          </w:p>
        </w:tc>
        <w:tc>
          <w:tcPr>
            <w:tcW w:w="2425" w:type="dxa"/>
            <w:vMerge/>
            <w:tcBorders>
              <w:top w:val="single" w:sz="4" w:space="0" w:color="auto"/>
              <w:left w:val="single" w:sz="4" w:space="0" w:color="auto"/>
              <w:bottom w:val="single" w:sz="4" w:space="0" w:color="000000"/>
              <w:right w:val="single" w:sz="4" w:space="0" w:color="auto"/>
            </w:tcBorders>
            <w:vAlign w:val="center"/>
            <w:hideMark/>
          </w:tcPr>
          <w:p w:rsidR="00332680" w:rsidRPr="005A4164" w:rsidRDefault="00332680" w:rsidP="00332680">
            <w:pPr>
              <w:rPr>
                <w:rFonts w:eastAsia="Times New Roman"/>
                <w:b/>
                <w:bCs/>
                <w:color w:val="000000"/>
                <w:sz w:val="20"/>
                <w:u w:val="single"/>
                <w:lang w:eastAsia="en-US"/>
              </w:rPr>
            </w:pP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000000" w:fill="FFFFFF"/>
            <w:noWrap/>
            <w:vAlign w:val="bottom"/>
            <w:hideMark/>
          </w:tcPr>
          <w:p w:rsidR="00332680" w:rsidRPr="005A4164" w:rsidRDefault="00332680" w:rsidP="00332680">
            <w:pPr>
              <w:jc w:val="center"/>
              <w:rPr>
                <w:rFonts w:eastAsia="Times New Roman"/>
                <w:color w:val="000000"/>
                <w:sz w:val="20"/>
                <w:lang w:eastAsia="en-US"/>
              </w:rPr>
            </w:pPr>
            <w:r w:rsidRPr="005A4164">
              <w:rPr>
                <w:rFonts w:eastAsia="Times New Roman"/>
                <w:color w:val="000000"/>
                <w:sz w:val="20"/>
                <w:lang w:eastAsia="en-US"/>
              </w:rPr>
              <w:t> </w:t>
            </w:r>
          </w:p>
        </w:tc>
        <w:tc>
          <w:tcPr>
            <w:tcW w:w="2425" w:type="dxa"/>
            <w:tcBorders>
              <w:top w:val="nil"/>
              <w:left w:val="nil"/>
              <w:bottom w:val="nil"/>
              <w:right w:val="single" w:sz="4" w:space="0" w:color="auto"/>
            </w:tcBorders>
            <w:shd w:val="clear" w:color="000000" w:fill="FFFFFF"/>
            <w:noWrap/>
            <w:vAlign w:val="bottom"/>
            <w:hideMark/>
          </w:tcPr>
          <w:p w:rsidR="00332680" w:rsidRPr="005A4164" w:rsidRDefault="00332680" w:rsidP="00332680">
            <w:pPr>
              <w:rPr>
                <w:rFonts w:eastAsia="Times New Roman"/>
                <w:color w:val="000000"/>
                <w:sz w:val="20"/>
                <w:lang w:eastAsia="en-US"/>
              </w:rPr>
            </w:pPr>
            <w:r w:rsidRPr="005A4164">
              <w:rPr>
                <w:rFonts w:eastAsia="Times New Roman"/>
                <w:color w:val="000000"/>
                <w:sz w:val="20"/>
                <w:lang w:eastAsia="en-US"/>
              </w:rPr>
              <w:t>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Алжир</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Аргентина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Австралия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jc w:val="right"/>
              <w:rPr>
                <w:rFonts w:eastAsia="Times New Roman"/>
                <w:color w:val="000000"/>
                <w:sz w:val="20"/>
                <w:lang w:eastAsia="en-US"/>
              </w:rPr>
            </w:pPr>
            <w:r>
              <w:rPr>
                <w:rFonts w:eastAsia="Times New Roman"/>
                <w:color w:val="000000"/>
                <w:sz w:val="20"/>
                <w:lang w:eastAsia="en-US"/>
              </w:rPr>
              <w:t xml:space="preserve">                    91</w:t>
            </w:r>
            <w:r>
              <w:rPr>
                <w:rFonts w:eastAsia="Times New Roman"/>
                <w:color w:val="000000"/>
                <w:sz w:val="20"/>
                <w:lang w:val="ru-RU" w:eastAsia="en-US"/>
              </w:rPr>
              <w:t> </w:t>
            </w:r>
            <w:r>
              <w:rPr>
                <w:rFonts w:eastAsia="Times New Roman"/>
                <w:color w:val="000000"/>
                <w:sz w:val="20"/>
                <w:lang w:eastAsia="en-US"/>
              </w:rPr>
              <w:t>000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Австрия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2C66AA">
            <w:pPr>
              <w:jc w:val="right"/>
              <w:rPr>
                <w:rFonts w:eastAsia="Times New Roman"/>
                <w:color w:val="000000"/>
                <w:sz w:val="20"/>
                <w:lang w:eastAsia="en-US"/>
              </w:rPr>
            </w:pPr>
            <w:r>
              <w:rPr>
                <w:rFonts w:eastAsia="Times New Roman"/>
                <w:color w:val="000000"/>
                <w:sz w:val="20"/>
                <w:lang w:eastAsia="en-US"/>
              </w:rPr>
              <w:t xml:space="preserve">                    19</w:t>
            </w:r>
            <w:r>
              <w:rPr>
                <w:rFonts w:eastAsia="Times New Roman"/>
                <w:color w:val="000000"/>
                <w:sz w:val="20"/>
                <w:lang w:val="ru-RU" w:eastAsia="en-US"/>
              </w:rPr>
              <w:t> </w:t>
            </w:r>
            <w:r w:rsidR="00332680" w:rsidRPr="005A4164">
              <w:rPr>
                <w:rFonts w:eastAsia="Times New Roman"/>
                <w:color w:val="000000"/>
                <w:sz w:val="20"/>
                <w:lang w:eastAsia="en-US"/>
              </w:rPr>
              <w:t>250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Багамские Острова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Барбадос</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Бельгия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jc w:val="right"/>
              <w:rPr>
                <w:rFonts w:eastAsia="Times New Roman"/>
                <w:color w:val="000000"/>
                <w:sz w:val="20"/>
                <w:lang w:eastAsia="en-US"/>
              </w:rPr>
            </w:pPr>
            <w:r>
              <w:rPr>
                <w:rFonts w:eastAsia="Times New Roman"/>
                <w:color w:val="000000"/>
                <w:sz w:val="20"/>
                <w:lang w:eastAsia="en-US"/>
              </w:rPr>
              <w:t xml:space="preserve">                      9</w:t>
            </w:r>
            <w:r>
              <w:rPr>
                <w:rFonts w:eastAsia="Times New Roman"/>
                <w:color w:val="000000"/>
                <w:sz w:val="20"/>
                <w:lang w:val="ru-RU" w:eastAsia="en-US"/>
              </w:rPr>
              <w:t> </w:t>
            </w:r>
            <w:r>
              <w:rPr>
                <w:rFonts w:eastAsia="Times New Roman"/>
                <w:color w:val="000000"/>
                <w:sz w:val="20"/>
                <w:lang w:eastAsia="en-US"/>
              </w:rPr>
              <w:t>800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Бенин</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Бразилия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jc w:val="right"/>
              <w:rPr>
                <w:rFonts w:eastAsia="Times New Roman"/>
                <w:color w:val="000000"/>
                <w:sz w:val="20"/>
                <w:lang w:eastAsia="en-US"/>
              </w:rPr>
            </w:pPr>
            <w:r>
              <w:rPr>
                <w:rFonts w:eastAsia="Times New Roman"/>
                <w:color w:val="000000"/>
                <w:sz w:val="20"/>
                <w:lang w:eastAsia="en-US"/>
              </w:rPr>
              <w:t xml:space="preserve">                      4</w:t>
            </w:r>
            <w:r>
              <w:rPr>
                <w:rFonts w:eastAsia="Times New Roman"/>
                <w:color w:val="000000"/>
                <w:sz w:val="20"/>
                <w:lang w:val="ru-RU" w:eastAsia="en-US"/>
              </w:rPr>
              <w:t> </w:t>
            </w:r>
            <w:r>
              <w:rPr>
                <w:rFonts w:eastAsia="Times New Roman"/>
                <w:color w:val="000000"/>
                <w:sz w:val="20"/>
                <w:lang w:eastAsia="en-US"/>
              </w:rPr>
              <w:t>200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Болгария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2C66AA">
            <w:pPr>
              <w:jc w:val="right"/>
              <w:rPr>
                <w:rFonts w:eastAsia="Times New Roman"/>
                <w:color w:val="000000"/>
                <w:sz w:val="20"/>
                <w:lang w:eastAsia="en-US"/>
              </w:rPr>
            </w:pPr>
            <w:r w:rsidRPr="005A4164">
              <w:rPr>
                <w:rFonts w:eastAsia="Times New Roman"/>
                <w:color w:val="000000"/>
                <w:sz w:val="20"/>
                <w:lang w:eastAsia="en-US"/>
              </w:rPr>
              <w:t xml:space="preserve">                         200</w:t>
            </w:r>
            <w:r w:rsidR="002C66AA">
              <w:rPr>
                <w:rFonts w:eastAsia="Times New Roman"/>
                <w:color w:val="000000"/>
                <w:sz w:val="20"/>
                <w:lang w:val="ru-RU" w:eastAsia="en-US"/>
              </w:rPr>
              <w:t>,</w:t>
            </w:r>
            <w:r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Буркина-Фасо</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Бурунди</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Камерун</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Канада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Центральноафриканская Республика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Чад</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Чили</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Китай</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Конго</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Коста-Рика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Кот-д</w:t>
            </w:r>
            <w:r>
              <w:rPr>
                <w:rFonts w:eastAsia="Times New Roman"/>
                <w:color w:val="000000"/>
                <w:sz w:val="20"/>
                <w:lang w:eastAsia="en-US"/>
              </w:rPr>
              <w:t>’</w:t>
            </w:r>
            <w:r>
              <w:rPr>
                <w:rFonts w:eastAsia="Times New Roman"/>
                <w:color w:val="000000"/>
                <w:sz w:val="20"/>
                <w:lang w:val="ru-RU" w:eastAsia="en-US"/>
              </w:rPr>
              <w:t>Ивуар</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Куба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Кипр</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Чешская Республика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Корейская Народно-Демократическая Республика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Демократическая Республика Конго</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Дания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jc w:val="right"/>
              <w:rPr>
                <w:rFonts w:eastAsia="Times New Roman"/>
                <w:color w:val="000000"/>
                <w:sz w:val="20"/>
                <w:lang w:eastAsia="en-US"/>
              </w:rPr>
            </w:pPr>
            <w:r>
              <w:rPr>
                <w:rFonts w:eastAsia="Times New Roman"/>
                <w:color w:val="000000"/>
                <w:sz w:val="20"/>
                <w:lang w:eastAsia="en-US"/>
              </w:rPr>
              <w:t xml:space="preserve">                    41</w:t>
            </w:r>
            <w:r>
              <w:rPr>
                <w:rFonts w:eastAsia="Times New Roman"/>
                <w:color w:val="000000"/>
                <w:sz w:val="20"/>
                <w:lang w:val="ru-RU" w:eastAsia="en-US"/>
              </w:rPr>
              <w:t> </w:t>
            </w:r>
            <w:r>
              <w:rPr>
                <w:rFonts w:eastAsia="Times New Roman"/>
                <w:color w:val="000000"/>
                <w:sz w:val="20"/>
                <w:lang w:eastAsia="en-US"/>
              </w:rPr>
              <w:t>000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Доминиканская Республика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Египет</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Фиджи</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Финляндия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2C66AA">
            <w:pPr>
              <w:jc w:val="right"/>
              <w:rPr>
                <w:rFonts w:eastAsia="Times New Roman"/>
                <w:color w:val="000000"/>
                <w:sz w:val="20"/>
                <w:lang w:eastAsia="en-US"/>
              </w:rPr>
            </w:pPr>
            <w:r>
              <w:rPr>
                <w:rFonts w:eastAsia="Times New Roman"/>
                <w:color w:val="000000"/>
                <w:sz w:val="20"/>
                <w:lang w:eastAsia="en-US"/>
              </w:rPr>
              <w:t xml:space="preserve">                    34</w:t>
            </w:r>
            <w:r>
              <w:rPr>
                <w:rFonts w:eastAsia="Times New Roman"/>
                <w:color w:val="000000"/>
                <w:sz w:val="20"/>
                <w:lang w:val="ru-RU" w:eastAsia="en-US"/>
              </w:rPr>
              <w:t> </w:t>
            </w:r>
            <w:r w:rsidR="00332680" w:rsidRPr="005A4164">
              <w:rPr>
                <w:rFonts w:eastAsia="Times New Roman"/>
                <w:color w:val="000000"/>
                <w:sz w:val="20"/>
                <w:lang w:eastAsia="en-US"/>
              </w:rPr>
              <w:t>200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Франция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jc w:val="right"/>
              <w:rPr>
                <w:rFonts w:eastAsia="Times New Roman"/>
                <w:color w:val="000000"/>
                <w:sz w:val="20"/>
                <w:lang w:eastAsia="en-US"/>
              </w:rPr>
            </w:pPr>
            <w:r>
              <w:rPr>
                <w:rFonts w:eastAsia="Times New Roman"/>
                <w:color w:val="000000"/>
                <w:sz w:val="20"/>
                <w:lang w:eastAsia="en-US"/>
              </w:rPr>
              <w:t xml:space="preserve">                  110</w:t>
            </w:r>
            <w:r>
              <w:rPr>
                <w:rFonts w:eastAsia="Times New Roman"/>
                <w:color w:val="000000"/>
                <w:sz w:val="20"/>
                <w:lang w:val="ru-RU" w:eastAsia="en-US"/>
              </w:rPr>
              <w:t> </w:t>
            </w:r>
            <w:r>
              <w:rPr>
                <w:rFonts w:eastAsia="Times New Roman"/>
                <w:color w:val="000000"/>
                <w:sz w:val="20"/>
                <w:lang w:eastAsia="en-US"/>
              </w:rPr>
              <w:t>700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Габон</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Германия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2C66AA">
            <w:pPr>
              <w:jc w:val="right"/>
              <w:rPr>
                <w:rFonts w:eastAsia="Times New Roman"/>
                <w:color w:val="000000"/>
                <w:sz w:val="20"/>
                <w:lang w:eastAsia="en-US"/>
              </w:rPr>
            </w:pPr>
            <w:r w:rsidRPr="005A4164">
              <w:rPr>
                <w:rFonts w:eastAsia="Times New Roman"/>
                <w:color w:val="000000"/>
                <w:sz w:val="20"/>
                <w:lang w:eastAsia="en-US"/>
              </w:rPr>
              <w:t xml:space="preserve">                  222</w:t>
            </w:r>
            <w:r w:rsidR="002C66AA">
              <w:rPr>
                <w:rFonts w:eastAsia="Times New Roman"/>
                <w:color w:val="000000"/>
                <w:sz w:val="20"/>
                <w:lang w:val="ru-RU" w:eastAsia="en-US"/>
              </w:rPr>
              <w:t> </w:t>
            </w:r>
            <w:r w:rsidR="002C66AA">
              <w:rPr>
                <w:rFonts w:eastAsia="Times New Roman"/>
                <w:color w:val="000000"/>
                <w:sz w:val="20"/>
                <w:lang w:eastAsia="en-US"/>
              </w:rPr>
              <w:t>900</w:t>
            </w:r>
            <w:r w:rsidR="002C66AA">
              <w:rPr>
                <w:rFonts w:eastAsia="Times New Roman"/>
                <w:color w:val="000000"/>
                <w:sz w:val="20"/>
                <w:lang w:val="ru-RU" w:eastAsia="en-US"/>
              </w:rPr>
              <w:t>,</w:t>
            </w:r>
            <w:r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Гана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Греция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Гвинея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Гаити</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Святой Престол</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Венгрия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jc w:val="right"/>
              <w:rPr>
                <w:rFonts w:eastAsia="Times New Roman"/>
                <w:color w:val="000000"/>
                <w:sz w:val="20"/>
                <w:lang w:eastAsia="en-US"/>
              </w:rPr>
            </w:pPr>
            <w:r>
              <w:rPr>
                <w:rFonts w:eastAsia="Times New Roman"/>
                <w:color w:val="000000"/>
                <w:sz w:val="20"/>
                <w:lang w:eastAsia="en-US"/>
              </w:rPr>
              <w:t xml:space="preserve">                    22</w:t>
            </w:r>
            <w:r>
              <w:rPr>
                <w:rFonts w:eastAsia="Times New Roman"/>
                <w:color w:val="000000"/>
                <w:sz w:val="20"/>
                <w:lang w:val="ru-RU" w:eastAsia="en-US"/>
              </w:rPr>
              <w:t> </w:t>
            </w:r>
            <w:r>
              <w:rPr>
                <w:rFonts w:eastAsia="Times New Roman"/>
                <w:color w:val="000000"/>
                <w:sz w:val="20"/>
                <w:lang w:eastAsia="en-US"/>
              </w:rPr>
              <w:t>150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Исландия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Индия</w:t>
            </w:r>
          </w:p>
        </w:tc>
        <w:tc>
          <w:tcPr>
            <w:tcW w:w="2425" w:type="dxa"/>
            <w:tcBorders>
              <w:top w:val="nil"/>
              <w:left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Индонезия</w:t>
            </w:r>
          </w:p>
        </w:tc>
        <w:tc>
          <w:tcPr>
            <w:tcW w:w="2425" w:type="dxa"/>
            <w:tcBorders>
              <w:top w:val="nil"/>
              <w:left w:val="nil"/>
              <w:bottom w:val="single" w:sz="4" w:space="0" w:color="auto"/>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bl>
    <w:p w:rsidR="000E4E10" w:rsidRPr="005A4164" w:rsidRDefault="000E4E10">
      <w:pPr>
        <w:rPr>
          <w:lang w:val="ru-RU"/>
        </w:rPr>
      </w:pPr>
      <w:r w:rsidRPr="005A4164">
        <w:rPr>
          <w:lang w:val="ru-RU"/>
        </w:rPr>
        <w:br w:type="page"/>
      </w:r>
    </w:p>
    <w:tbl>
      <w:tblPr>
        <w:tblW w:w="5554" w:type="dxa"/>
        <w:jc w:val="center"/>
        <w:tblInd w:w="-276" w:type="dxa"/>
        <w:tblLook w:val="04A0" w:firstRow="1" w:lastRow="0" w:firstColumn="1" w:lastColumn="0" w:noHBand="0" w:noVBand="1"/>
      </w:tblPr>
      <w:tblGrid>
        <w:gridCol w:w="3129"/>
        <w:gridCol w:w="2425"/>
      </w:tblGrid>
      <w:tr w:rsidR="00332680" w:rsidRPr="005A4164" w:rsidTr="00497A16">
        <w:trPr>
          <w:trHeight w:val="510"/>
          <w:jc w:val="center"/>
        </w:trPr>
        <w:tc>
          <w:tcPr>
            <w:tcW w:w="312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332680" w:rsidRPr="005A4164" w:rsidRDefault="00C1786A" w:rsidP="00332680">
            <w:pPr>
              <w:jc w:val="center"/>
              <w:rPr>
                <w:rFonts w:eastAsia="Times New Roman"/>
                <w:b/>
                <w:bCs/>
                <w:color w:val="000000"/>
                <w:sz w:val="20"/>
                <w:u w:val="single"/>
                <w:lang w:eastAsia="en-US"/>
              </w:rPr>
            </w:pPr>
            <w:r>
              <w:rPr>
                <w:rFonts w:eastAsia="Times New Roman"/>
                <w:b/>
                <w:bCs/>
                <w:color w:val="000000"/>
                <w:sz w:val="20"/>
                <w:u w:val="single"/>
                <w:lang w:eastAsia="en-US"/>
              </w:rPr>
              <w:t>Государство-член</w:t>
            </w:r>
          </w:p>
        </w:tc>
        <w:tc>
          <w:tcPr>
            <w:tcW w:w="2425"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332680" w:rsidRPr="005A4164" w:rsidRDefault="00C1786A" w:rsidP="00332680">
            <w:pPr>
              <w:jc w:val="center"/>
              <w:rPr>
                <w:rFonts w:eastAsia="Times New Roman"/>
                <w:b/>
                <w:bCs/>
                <w:color w:val="000000"/>
                <w:sz w:val="20"/>
                <w:u w:val="single"/>
                <w:lang w:eastAsia="en-US"/>
              </w:rPr>
            </w:pPr>
            <w:r>
              <w:rPr>
                <w:rFonts w:eastAsia="Times New Roman"/>
                <w:b/>
                <w:bCs/>
                <w:color w:val="000000"/>
                <w:sz w:val="20"/>
                <w:u w:val="single"/>
                <w:lang w:eastAsia="en-US"/>
              </w:rPr>
              <w:t>ФОС PCT</w:t>
            </w:r>
          </w:p>
        </w:tc>
      </w:tr>
      <w:tr w:rsidR="00332680" w:rsidRPr="005A4164" w:rsidTr="00497A16">
        <w:trPr>
          <w:trHeight w:val="255"/>
          <w:jc w:val="center"/>
        </w:trPr>
        <w:tc>
          <w:tcPr>
            <w:tcW w:w="3129" w:type="dxa"/>
            <w:tcBorders>
              <w:top w:val="single" w:sz="4" w:space="0" w:color="auto"/>
              <w:left w:val="single" w:sz="4" w:space="0" w:color="auto"/>
              <w:bottom w:val="nil"/>
              <w:right w:val="single" w:sz="4" w:space="0" w:color="auto"/>
            </w:tcBorders>
            <w:shd w:val="clear" w:color="auto" w:fill="auto"/>
            <w:noWrap/>
            <w:vAlign w:val="bottom"/>
          </w:tcPr>
          <w:p w:rsidR="00332680" w:rsidRPr="005A4164" w:rsidRDefault="00332680" w:rsidP="00332680">
            <w:pPr>
              <w:jc w:val="center"/>
              <w:rPr>
                <w:rFonts w:eastAsia="Times New Roman"/>
                <w:color w:val="000000"/>
                <w:sz w:val="20"/>
                <w:lang w:eastAsia="en-US"/>
              </w:rPr>
            </w:pPr>
            <w:r w:rsidRPr="005A4164">
              <w:rPr>
                <w:rFonts w:eastAsia="Times New Roman"/>
                <w:color w:val="000000"/>
                <w:sz w:val="20"/>
                <w:lang w:eastAsia="en-US"/>
              </w:rPr>
              <w:t> </w:t>
            </w:r>
          </w:p>
        </w:tc>
        <w:tc>
          <w:tcPr>
            <w:tcW w:w="2425" w:type="dxa"/>
            <w:tcBorders>
              <w:top w:val="single" w:sz="4" w:space="0" w:color="auto"/>
              <w:left w:val="nil"/>
              <w:bottom w:val="nil"/>
              <w:right w:val="single" w:sz="4" w:space="0" w:color="auto"/>
            </w:tcBorders>
            <w:shd w:val="clear" w:color="auto" w:fill="auto"/>
            <w:noWrap/>
            <w:vAlign w:val="bottom"/>
          </w:tcPr>
          <w:p w:rsidR="00332680" w:rsidRPr="005A4164" w:rsidRDefault="00332680" w:rsidP="00332680">
            <w:pPr>
              <w:rPr>
                <w:rFonts w:eastAsia="Times New Roman"/>
                <w:color w:val="000000"/>
                <w:sz w:val="20"/>
                <w:lang w:eastAsia="en-US"/>
              </w:rPr>
            </w:pPr>
            <w:r w:rsidRPr="005A4164">
              <w:rPr>
                <w:rFonts w:eastAsia="Times New Roman"/>
                <w:color w:val="000000"/>
                <w:sz w:val="20"/>
                <w:lang w:eastAsia="en-US"/>
              </w:rPr>
              <w:t> </w:t>
            </w:r>
          </w:p>
        </w:tc>
      </w:tr>
      <w:tr w:rsidR="00DD02E1"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tcPr>
          <w:p w:rsidR="00DD02E1" w:rsidRPr="005A4164" w:rsidRDefault="006D3E8F" w:rsidP="006D3E8F">
            <w:pPr>
              <w:rPr>
                <w:rFonts w:eastAsia="Times New Roman"/>
                <w:color w:val="000000"/>
                <w:sz w:val="20"/>
                <w:lang w:eastAsia="en-US"/>
              </w:rPr>
            </w:pPr>
            <w:r w:rsidRPr="006D3E8F">
              <w:rPr>
                <w:rFonts w:eastAsia="Times New Roman"/>
                <w:color w:val="000000"/>
                <w:sz w:val="20"/>
                <w:lang w:val="ru-RU" w:eastAsia="en-US"/>
              </w:rPr>
              <w:t>Иран (Исламская Республика)</w:t>
            </w:r>
          </w:p>
        </w:tc>
        <w:tc>
          <w:tcPr>
            <w:tcW w:w="2425" w:type="dxa"/>
            <w:tcBorders>
              <w:top w:val="nil"/>
              <w:left w:val="nil"/>
              <w:bottom w:val="nil"/>
              <w:right w:val="single" w:sz="4" w:space="0" w:color="auto"/>
            </w:tcBorders>
            <w:shd w:val="clear" w:color="auto" w:fill="auto"/>
            <w:noWrap/>
            <w:vAlign w:val="bottom"/>
          </w:tcPr>
          <w:p w:rsidR="00DD02E1" w:rsidRPr="005A4164" w:rsidRDefault="001D6B5B" w:rsidP="001D6B5B">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Ирак</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Ирландия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Израиль</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Италия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2C66AA">
            <w:pPr>
              <w:jc w:val="right"/>
              <w:rPr>
                <w:rFonts w:eastAsia="Times New Roman"/>
                <w:color w:val="000000"/>
                <w:sz w:val="20"/>
                <w:lang w:eastAsia="en-US"/>
              </w:rPr>
            </w:pPr>
            <w:r>
              <w:rPr>
                <w:rFonts w:eastAsia="Times New Roman"/>
                <w:color w:val="000000"/>
                <w:sz w:val="20"/>
                <w:lang w:eastAsia="en-US"/>
              </w:rPr>
              <w:t xml:space="preserve">                    16</w:t>
            </w:r>
            <w:r>
              <w:rPr>
                <w:rFonts w:eastAsia="Times New Roman"/>
                <w:color w:val="000000"/>
                <w:sz w:val="20"/>
                <w:lang w:val="ru-RU" w:eastAsia="en-US"/>
              </w:rPr>
              <w:t> </w:t>
            </w:r>
            <w:r w:rsidR="00332680" w:rsidRPr="005A4164">
              <w:rPr>
                <w:rFonts w:eastAsia="Times New Roman"/>
                <w:color w:val="000000"/>
                <w:sz w:val="20"/>
                <w:lang w:eastAsia="en-US"/>
              </w:rPr>
              <w:t>500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Япония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2C66AA">
            <w:pPr>
              <w:jc w:val="right"/>
              <w:rPr>
                <w:rFonts w:eastAsia="Times New Roman"/>
                <w:color w:val="000000"/>
                <w:sz w:val="20"/>
                <w:lang w:eastAsia="en-US"/>
              </w:rPr>
            </w:pPr>
            <w:r w:rsidRPr="005A4164">
              <w:rPr>
                <w:rFonts w:eastAsia="Times New Roman"/>
                <w:color w:val="000000"/>
                <w:sz w:val="20"/>
                <w:lang w:eastAsia="en-US"/>
              </w:rPr>
              <w:t xml:space="preserve">                  194</w:t>
            </w:r>
            <w:r w:rsidR="002C66AA">
              <w:rPr>
                <w:rFonts w:eastAsia="Times New Roman"/>
                <w:color w:val="000000"/>
                <w:sz w:val="20"/>
                <w:lang w:val="ru-RU" w:eastAsia="en-US"/>
              </w:rPr>
              <w:t> </w:t>
            </w:r>
            <w:r w:rsidR="002C66AA">
              <w:rPr>
                <w:rFonts w:eastAsia="Times New Roman"/>
                <w:color w:val="000000"/>
                <w:sz w:val="20"/>
                <w:lang w:eastAsia="en-US"/>
              </w:rPr>
              <w:t>600</w:t>
            </w:r>
            <w:r w:rsidR="002C66AA">
              <w:rPr>
                <w:rFonts w:eastAsia="Times New Roman"/>
                <w:color w:val="000000"/>
                <w:sz w:val="20"/>
                <w:lang w:val="ru-RU" w:eastAsia="en-US"/>
              </w:rPr>
              <w:t>,</w:t>
            </w:r>
            <w:r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Иордания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Кения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Ливан</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Ливия</w:t>
            </w:r>
          </w:p>
        </w:tc>
        <w:tc>
          <w:tcPr>
            <w:tcW w:w="2425" w:type="dxa"/>
            <w:tcBorders>
              <w:top w:val="nil"/>
              <w:left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Лихтенштейн</w:t>
            </w:r>
          </w:p>
        </w:tc>
        <w:tc>
          <w:tcPr>
            <w:tcW w:w="2425" w:type="dxa"/>
            <w:tcBorders>
              <w:top w:val="nil"/>
              <w:left w:val="single" w:sz="4" w:space="0" w:color="auto"/>
              <w:right w:val="single" w:sz="4" w:space="0" w:color="auto"/>
            </w:tcBorders>
            <w:shd w:val="clear" w:color="auto" w:fill="auto"/>
            <w:noWrap/>
            <w:vAlign w:val="bottom"/>
            <w:hideMark/>
          </w:tcPr>
          <w:p w:rsidR="00332680" w:rsidRPr="005A4164" w:rsidRDefault="002C66AA" w:rsidP="00332680">
            <w:pPr>
              <w:jc w:val="right"/>
              <w:rPr>
                <w:rFonts w:eastAsia="Times New Roman"/>
                <w:color w:val="000000"/>
                <w:sz w:val="20"/>
                <w:lang w:eastAsia="en-US"/>
              </w:rPr>
            </w:pPr>
            <w:r>
              <w:rPr>
                <w:rFonts w:eastAsia="Times New Roman"/>
                <w:color w:val="000000"/>
                <w:sz w:val="20"/>
                <w:lang w:eastAsia="en-US"/>
              </w:rPr>
              <w:t xml:space="preserve">                      1</w:t>
            </w:r>
            <w:r>
              <w:rPr>
                <w:rFonts w:eastAsia="Times New Roman"/>
                <w:color w:val="000000"/>
                <w:sz w:val="20"/>
                <w:lang w:val="ru-RU" w:eastAsia="en-US"/>
              </w:rPr>
              <w:t> </w:t>
            </w:r>
            <w:r>
              <w:rPr>
                <w:rFonts w:eastAsia="Times New Roman"/>
                <w:color w:val="000000"/>
                <w:sz w:val="20"/>
                <w:lang w:eastAsia="en-US"/>
              </w:rPr>
              <w:t>500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Люксембург</w:t>
            </w:r>
          </w:p>
        </w:tc>
        <w:tc>
          <w:tcPr>
            <w:tcW w:w="2425" w:type="dxa"/>
            <w:tcBorders>
              <w:top w:val="nil"/>
              <w:left w:val="single" w:sz="4" w:space="0" w:color="auto"/>
              <w:bottom w:val="nil"/>
              <w:right w:val="single" w:sz="4" w:space="0" w:color="auto"/>
            </w:tcBorders>
            <w:shd w:val="clear" w:color="auto" w:fill="auto"/>
            <w:noWrap/>
            <w:vAlign w:val="bottom"/>
            <w:hideMark/>
          </w:tcPr>
          <w:p w:rsidR="00332680" w:rsidRPr="005A4164" w:rsidRDefault="002C66AA" w:rsidP="00332680">
            <w:pPr>
              <w:jc w:val="right"/>
              <w:rPr>
                <w:rFonts w:eastAsia="Times New Roman"/>
                <w:color w:val="000000"/>
                <w:sz w:val="20"/>
                <w:lang w:eastAsia="en-US"/>
              </w:rPr>
            </w:pPr>
            <w:r>
              <w:rPr>
                <w:rFonts w:eastAsia="Times New Roman"/>
                <w:color w:val="000000"/>
                <w:sz w:val="20"/>
                <w:lang w:eastAsia="en-US"/>
              </w:rPr>
              <w:t xml:space="preserve">                         650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Мадагаскар</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332680">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Малави</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Мали</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Мальта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Мавритания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rPr>
                <w:rFonts w:eastAsia="Times New Roman"/>
                <w:color w:val="000000"/>
                <w:sz w:val="20"/>
                <w:lang w:eastAsia="en-US"/>
              </w:rPr>
            </w:pPr>
            <w:r>
              <w:rPr>
                <w:rFonts w:eastAsia="Times New Roman"/>
                <w:color w:val="000000"/>
                <w:sz w:val="20"/>
                <w:lang w:eastAsia="en-US"/>
              </w:rPr>
              <w:t xml:space="preserve">                          50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Маврикий</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Мексика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Монако</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rPr>
                <w:rFonts w:eastAsia="Times New Roman"/>
                <w:color w:val="000000"/>
                <w:sz w:val="20"/>
                <w:lang w:eastAsia="en-US"/>
              </w:rPr>
            </w:pPr>
            <w:r>
              <w:rPr>
                <w:rFonts w:eastAsia="Times New Roman"/>
                <w:color w:val="000000"/>
                <w:sz w:val="20"/>
                <w:lang w:eastAsia="en-US"/>
              </w:rPr>
              <w:t xml:space="preserve">                         200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5A4164" w:rsidRDefault="006D3E8F" w:rsidP="006D3E8F">
            <w:pPr>
              <w:rPr>
                <w:rFonts w:eastAsia="Times New Roman"/>
                <w:color w:val="000000"/>
                <w:sz w:val="20"/>
                <w:lang w:eastAsia="en-US"/>
              </w:rPr>
            </w:pPr>
            <w:r>
              <w:rPr>
                <w:rFonts w:eastAsia="Times New Roman"/>
                <w:color w:val="000000"/>
                <w:sz w:val="20"/>
                <w:lang w:val="ru-RU" w:eastAsia="en-US"/>
              </w:rPr>
              <w:t>Монголия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Марокко</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Нидерланды</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rPr>
                <w:rFonts w:eastAsia="Times New Roman"/>
                <w:color w:val="000000"/>
                <w:sz w:val="20"/>
                <w:lang w:eastAsia="en-US"/>
              </w:rPr>
            </w:pPr>
            <w:r>
              <w:rPr>
                <w:rFonts w:eastAsia="Times New Roman"/>
                <w:color w:val="000000"/>
                <w:sz w:val="20"/>
                <w:lang w:eastAsia="en-US"/>
              </w:rPr>
              <w:t xml:space="preserve">                    20</w:t>
            </w:r>
            <w:r>
              <w:rPr>
                <w:rFonts w:eastAsia="Times New Roman"/>
                <w:color w:val="000000"/>
                <w:sz w:val="20"/>
                <w:lang w:val="ru-RU" w:eastAsia="en-US"/>
              </w:rPr>
              <w:t> </w:t>
            </w:r>
            <w:r>
              <w:rPr>
                <w:rFonts w:eastAsia="Times New Roman"/>
                <w:color w:val="000000"/>
                <w:sz w:val="20"/>
                <w:lang w:eastAsia="en-US"/>
              </w:rPr>
              <w:t>350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6D3E8F">
            <w:pPr>
              <w:rPr>
                <w:rFonts w:eastAsia="Times New Roman"/>
                <w:color w:val="000000"/>
                <w:sz w:val="20"/>
                <w:lang w:val="ru-RU" w:eastAsia="en-US"/>
              </w:rPr>
            </w:pPr>
            <w:r>
              <w:rPr>
                <w:rFonts w:eastAsia="Times New Roman"/>
                <w:color w:val="000000"/>
                <w:sz w:val="20"/>
                <w:lang w:val="ru-RU" w:eastAsia="en-US"/>
              </w:rPr>
              <w:t>Новая Зеландия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Нигер</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Нигерия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Норвегия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rPr>
                <w:rFonts w:eastAsia="Times New Roman"/>
                <w:color w:val="000000"/>
                <w:sz w:val="20"/>
                <w:lang w:eastAsia="en-US"/>
              </w:rPr>
            </w:pPr>
            <w:r>
              <w:rPr>
                <w:rFonts w:eastAsia="Times New Roman"/>
                <w:color w:val="000000"/>
                <w:sz w:val="20"/>
                <w:lang w:eastAsia="en-US"/>
              </w:rPr>
              <w:t xml:space="preserve">                    21</w:t>
            </w:r>
            <w:r>
              <w:rPr>
                <w:rFonts w:eastAsia="Times New Roman"/>
                <w:color w:val="000000"/>
                <w:sz w:val="20"/>
                <w:lang w:val="ru-RU" w:eastAsia="en-US"/>
              </w:rPr>
              <w:t> </w:t>
            </w:r>
            <w:r>
              <w:rPr>
                <w:rFonts w:eastAsia="Times New Roman"/>
                <w:color w:val="000000"/>
                <w:sz w:val="20"/>
                <w:lang w:eastAsia="en-US"/>
              </w:rPr>
              <w:t>750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Пакистан</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Филиппины</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Польша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Португалия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Республика Корея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rPr>
                <w:rFonts w:eastAsia="Times New Roman"/>
                <w:color w:val="000000"/>
                <w:sz w:val="20"/>
                <w:lang w:eastAsia="en-US"/>
              </w:rPr>
            </w:pPr>
            <w:r>
              <w:rPr>
                <w:rFonts w:eastAsia="Times New Roman"/>
                <w:color w:val="000000"/>
                <w:sz w:val="20"/>
                <w:lang w:eastAsia="en-US"/>
              </w:rPr>
              <w:t xml:space="preserve">                      3</w:t>
            </w:r>
            <w:r>
              <w:rPr>
                <w:rFonts w:eastAsia="Times New Roman"/>
                <w:color w:val="000000"/>
                <w:sz w:val="20"/>
                <w:lang w:val="ru-RU" w:eastAsia="en-US"/>
              </w:rPr>
              <w:t> </w:t>
            </w:r>
            <w:r>
              <w:rPr>
                <w:rFonts w:eastAsia="Times New Roman"/>
                <w:color w:val="000000"/>
                <w:sz w:val="20"/>
                <w:lang w:eastAsia="en-US"/>
              </w:rPr>
              <w:t>700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Румыния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rPr>
                <w:rFonts w:eastAsia="Times New Roman"/>
                <w:color w:val="000000"/>
                <w:sz w:val="20"/>
                <w:lang w:eastAsia="en-US"/>
              </w:rPr>
            </w:pPr>
            <w:r>
              <w:rPr>
                <w:rFonts w:eastAsia="Times New Roman"/>
                <w:color w:val="000000"/>
                <w:sz w:val="20"/>
                <w:lang w:eastAsia="en-US"/>
              </w:rPr>
              <w:t xml:space="preserve">                         550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sidRPr="006D3E8F">
              <w:rPr>
                <w:rFonts w:eastAsia="Times New Roman"/>
                <w:color w:val="000000"/>
                <w:sz w:val="20"/>
                <w:lang w:val="ru-RU" w:eastAsia="en-US"/>
              </w:rPr>
              <w:t>Российская Федерация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rPr>
                <w:rFonts w:eastAsia="Times New Roman"/>
                <w:color w:val="000000"/>
                <w:sz w:val="20"/>
                <w:lang w:eastAsia="en-US"/>
              </w:rPr>
            </w:pPr>
            <w:r>
              <w:rPr>
                <w:rFonts w:eastAsia="Times New Roman"/>
                <w:color w:val="000000"/>
                <w:sz w:val="20"/>
                <w:lang w:eastAsia="en-US"/>
              </w:rPr>
              <w:t xml:space="preserve">                    24</w:t>
            </w:r>
            <w:r>
              <w:rPr>
                <w:rFonts w:eastAsia="Times New Roman"/>
                <w:color w:val="000000"/>
                <w:sz w:val="20"/>
                <w:lang w:val="ru-RU" w:eastAsia="en-US"/>
              </w:rPr>
              <w:t> </w:t>
            </w:r>
            <w:r>
              <w:rPr>
                <w:rFonts w:eastAsia="Times New Roman"/>
                <w:color w:val="000000"/>
                <w:sz w:val="20"/>
                <w:lang w:eastAsia="en-US"/>
              </w:rPr>
              <w:t>750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Руанда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Сан-Марино</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Сенегал</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Словакия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Южная Африка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Испания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Шри-Ланка</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2C66AA" w:rsidP="00332680">
            <w:pPr>
              <w:rPr>
                <w:rFonts w:eastAsia="Times New Roman"/>
                <w:color w:val="000000"/>
                <w:sz w:val="20"/>
                <w:lang w:eastAsia="en-US"/>
              </w:rPr>
            </w:pPr>
            <w:r>
              <w:rPr>
                <w:rFonts w:eastAsia="Times New Roman"/>
                <w:color w:val="000000"/>
                <w:sz w:val="20"/>
                <w:lang w:eastAsia="en-US"/>
              </w:rPr>
              <w:t xml:space="preserve">                         300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Судан</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Суринам</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Швеция</w:t>
            </w:r>
          </w:p>
        </w:tc>
        <w:tc>
          <w:tcPr>
            <w:tcW w:w="2425" w:type="dxa"/>
            <w:tcBorders>
              <w:top w:val="nil"/>
              <w:left w:val="nil"/>
              <w:bottom w:val="nil"/>
              <w:right w:val="single" w:sz="4" w:space="0" w:color="auto"/>
            </w:tcBorders>
            <w:shd w:val="clear" w:color="auto" w:fill="auto"/>
            <w:noWrap/>
            <w:vAlign w:val="bottom"/>
            <w:hideMark/>
          </w:tcPr>
          <w:p w:rsidR="00332680" w:rsidRPr="005A4164" w:rsidRDefault="00332680" w:rsidP="002C66AA">
            <w:pPr>
              <w:rPr>
                <w:rFonts w:eastAsia="Times New Roman"/>
                <w:color w:val="000000"/>
                <w:sz w:val="20"/>
                <w:lang w:eastAsia="en-US"/>
              </w:rPr>
            </w:pPr>
            <w:r w:rsidRPr="005A4164">
              <w:rPr>
                <w:rFonts w:eastAsia="Times New Roman"/>
                <w:color w:val="000000"/>
                <w:sz w:val="20"/>
                <w:lang w:eastAsia="en-US"/>
              </w:rPr>
              <w:t xml:space="preserve">                  162</w:t>
            </w:r>
            <w:r w:rsidR="002C66AA">
              <w:rPr>
                <w:rFonts w:eastAsia="Times New Roman"/>
                <w:color w:val="000000"/>
                <w:sz w:val="20"/>
                <w:lang w:val="ru-RU" w:eastAsia="en-US"/>
              </w:rPr>
              <w:t> </w:t>
            </w:r>
            <w:r w:rsidR="002C66AA">
              <w:rPr>
                <w:rFonts w:eastAsia="Times New Roman"/>
                <w:color w:val="000000"/>
                <w:sz w:val="20"/>
                <w:lang w:eastAsia="en-US"/>
              </w:rPr>
              <w:t>800</w:t>
            </w:r>
            <w:r w:rsidR="002C66AA">
              <w:rPr>
                <w:rFonts w:eastAsia="Times New Roman"/>
                <w:color w:val="000000"/>
                <w:sz w:val="20"/>
                <w:lang w:val="ru-RU" w:eastAsia="en-US"/>
              </w:rPr>
              <w:t>,</w:t>
            </w:r>
            <w:r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Швейцария</w:t>
            </w:r>
          </w:p>
        </w:tc>
        <w:tc>
          <w:tcPr>
            <w:tcW w:w="2425" w:type="dxa"/>
            <w:tcBorders>
              <w:top w:val="nil"/>
              <w:left w:val="nil"/>
              <w:right w:val="single" w:sz="4" w:space="0" w:color="auto"/>
            </w:tcBorders>
            <w:shd w:val="clear" w:color="auto" w:fill="auto"/>
            <w:noWrap/>
            <w:vAlign w:val="bottom"/>
            <w:hideMark/>
          </w:tcPr>
          <w:p w:rsidR="00332680" w:rsidRPr="005A4164" w:rsidRDefault="00332680" w:rsidP="002C66AA">
            <w:pPr>
              <w:rPr>
                <w:rFonts w:eastAsia="Times New Roman"/>
                <w:color w:val="000000"/>
                <w:sz w:val="20"/>
                <w:lang w:eastAsia="en-US"/>
              </w:rPr>
            </w:pPr>
            <w:r w:rsidRPr="005A4164">
              <w:rPr>
                <w:rFonts w:eastAsia="Times New Roman"/>
                <w:color w:val="000000"/>
                <w:sz w:val="20"/>
                <w:lang w:eastAsia="en-US"/>
              </w:rPr>
              <w:t xml:space="preserve">                    74</w:t>
            </w:r>
            <w:r w:rsidR="002C66AA">
              <w:rPr>
                <w:rFonts w:eastAsia="Times New Roman"/>
                <w:color w:val="000000"/>
                <w:sz w:val="20"/>
                <w:lang w:val="ru-RU" w:eastAsia="en-US"/>
              </w:rPr>
              <w:t> </w:t>
            </w:r>
            <w:r w:rsidRPr="005A4164">
              <w:rPr>
                <w:rFonts w:eastAsia="Times New Roman"/>
                <w:color w:val="000000"/>
                <w:sz w:val="20"/>
                <w:lang w:eastAsia="en-US"/>
              </w:rPr>
              <w:t>000</w:t>
            </w:r>
            <w:r w:rsidR="002C66AA">
              <w:rPr>
                <w:rFonts w:eastAsia="Times New Roman"/>
                <w:color w:val="000000"/>
                <w:sz w:val="20"/>
                <w:lang w:val="ru-RU" w:eastAsia="en-US"/>
              </w:rPr>
              <w:t>,</w:t>
            </w:r>
            <w:r w:rsidRPr="005A4164">
              <w:rPr>
                <w:rFonts w:eastAsia="Times New Roman"/>
                <w:color w:val="000000"/>
                <w:sz w:val="20"/>
                <w:lang w:eastAsia="en-US"/>
              </w:rPr>
              <w:t xml:space="preserve">00 </w:t>
            </w:r>
          </w:p>
        </w:tc>
      </w:tr>
      <w:tr w:rsidR="00332680" w:rsidRPr="005A4164" w:rsidTr="00497A16">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Сирийская Арабская Республика</w:t>
            </w:r>
          </w:p>
        </w:tc>
        <w:tc>
          <w:tcPr>
            <w:tcW w:w="2425" w:type="dxa"/>
            <w:tcBorders>
              <w:top w:val="nil"/>
              <w:left w:val="nil"/>
              <w:bottom w:val="single" w:sz="4" w:space="0" w:color="auto"/>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bl>
    <w:p w:rsidR="00332680" w:rsidRPr="005A4164" w:rsidRDefault="00332680">
      <w:pPr>
        <w:rPr>
          <w:lang w:val="ru-RU"/>
        </w:rPr>
      </w:pPr>
      <w:r w:rsidRPr="005A4164">
        <w:rPr>
          <w:lang w:val="ru-RU"/>
        </w:rPr>
        <w:br w:type="page"/>
      </w:r>
    </w:p>
    <w:tbl>
      <w:tblPr>
        <w:tblW w:w="5604" w:type="dxa"/>
        <w:jc w:val="center"/>
        <w:tblInd w:w="93" w:type="dxa"/>
        <w:tblLook w:val="04A0" w:firstRow="1" w:lastRow="0" w:firstColumn="1" w:lastColumn="0" w:noHBand="0" w:noVBand="1"/>
      </w:tblPr>
      <w:tblGrid>
        <w:gridCol w:w="3203"/>
        <w:gridCol w:w="2401"/>
      </w:tblGrid>
      <w:tr w:rsidR="00332680" w:rsidRPr="005A4164" w:rsidTr="00497A16">
        <w:trPr>
          <w:trHeight w:val="510"/>
          <w:jc w:val="center"/>
        </w:trPr>
        <w:tc>
          <w:tcPr>
            <w:tcW w:w="320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332680" w:rsidRPr="005A4164" w:rsidRDefault="00C1786A" w:rsidP="00332680">
            <w:pPr>
              <w:jc w:val="center"/>
              <w:rPr>
                <w:rFonts w:eastAsia="Times New Roman"/>
                <w:b/>
                <w:bCs/>
                <w:color w:val="000000"/>
                <w:sz w:val="20"/>
                <w:u w:val="single"/>
                <w:lang w:eastAsia="en-US"/>
              </w:rPr>
            </w:pPr>
            <w:r>
              <w:rPr>
                <w:rFonts w:eastAsia="Times New Roman"/>
                <w:b/>
                <w:bCs/>
                <w:color w:val="000000"/>
                <w:sz w:val="20"/>
                <w:u w:val="single"/>
                <w:lang w:eastAsia="en-US"/>
              </w:rPr>
              <w:t>Государство-член</w:t>
            </w:r>
          </w:p>
        </w:tc>
        <w:tc>
          <w:tcPr>
            <w:tcW w:w="24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332680" w:rsidRPr="005A4164" w:rsidRDefault="00C1786A" w:rsidP="00332680">
            <w:pPr>
              <w:jc w:val="center"/>
              <w:rPr>
                <w:rFonts w:eastAsia="Times New Roman"/>
                <w:b/>
                <w:bCs/>
                <w:color w:val="000000"/>
                <w:sz w:val="20"/>
                <w:u w:val="single"/>
                <w:lang w:eastAsia="en-US"/>
              </w:rPr>
            </w:pPr>
            <w:r>
              <w:rPr>
                <w:rFonts w:eastAsia="Times New Roman"/>
                <w:b/>
                <w:bCs/>
                <w:color w:val="000000"/>
                <w:sz w:val="20"/>
                <w:u w:val="single"/>
                <w:lang w:eastAsia="en-US"/>
              </w:rPr>
              <w:t>ФОС PCT</w:t>
            </w:r>
          </w:p>
        </w:tc>
      </w:tr>
      <w:tr w:rsidR="00332680" w:rsidRPr="005A4164" w:rsidTr="00497A16">
        <w:trPr>
          <w:trHeight w:val="255"/>
          <w:jc w:val="center"/>
        </w:trPr>
        <w:tc>
          <w:tcPr>
            <w:tcW w:w="3203" w:type="dxa"/>
            <w:tcBorders>
              <w:top w:val="single" w:sz="4" w:space="0" w:color="auto"/>
              <w:left w:val="single" w:sz="4" w:space="0" w:color="auto"/>
              <w:bottom w:val="nil"/>
              <w:right w:val="single" w:sz="4" w:space="0" w:color="auto"/>
            </w:tcBorders>
            <w:shd w:val="clear" w:color="auto" w:fill="auto"/>
            <w:noWrap/>
            <w:vAlign w:val="bottom"/>
          </w:tcPr>
          <w:p w:rsidR="00332680" w:rsidRPr="005A4164" w:rsidRDefault="00332680" w:rsidP="00332680">
            <w:pPr>
              <w:rPr>
                <w:rFonts w:eastAsia="Times New Roman"/>
                <w:color w:val="000000"/>
                <w:sz w:val="20"/>
                <w:lang w:eastAsia="en-US"/>
              </w:rPr>
            </w:pPr>
          </w:p>
        </w:tc>
        <w:tc>
          <w:tcPr>
            <w:tcW w:w="2401" w:type="dxa"/>
            <w:tcBorders>
              <w:top w:val="single" w:sz="4" w:space="0" w:color="auto"/>
              <w:left w:val="nil"/>
              <w:bottom w:val="nil"/>
              <w:right w:val="single" w:sz="4" w:space="0" w:color="auto"/>
            </w:tcBorders>
            <w:shd w:val="clear" w:color="auto" w:fill="auto"/>
            <w:noWrap/>
            <w:vAlign w:val="bottom"/>
          </w:tcPr>
          <w:p w:rsidR="00332680" w:rsidRPr="005A4164" w:rsidRDefault="00332680" w:rsidP="00332680">
            <w:pPr>
              <w:rPr>
                <w:rFonts w:eastAsia="Times New Roman"/>
                <w:color w:val="000000"/>
                <w:sz w:val="20"/>
                <w:lang w:eastAsia="en-US"/>
              </w:rPr>
            </w:pP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Таиланд</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Того</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Тринидад и Тобаго</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Тунис</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Турция</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Уганда</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Соединенное Королевство</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2C66AA" w:rsidP="00332680">
            <w:pPr>
              <w:rPr>
                <w:rFonts w:eastAsia="Times New Roman"/>
                <w:color w:val="000000"/>
                <w:sz w:val="20"/>
                <w:lang w:eastAsia="en-US"/>
              </w:rPr>
            </w:pPr>
            <w:r>
              <w:rPr>
                <w:rFonts w:eastAsia="Times New Roman"/>
                <w:color w:val="000000"/>
                <w:sz w:val="20"/>
                <w:lang w:eastAsia="en-US"/>
              </w:rPr>
              <w:t xml:space="preserve">                  168</w:t>
            </w:r>
            <w:r>
              <w:rPr>
                <w:rFonts w:eastAsia="Times New Roman"/>
                <w:color w:val="000000"/>
                <w:sz w:val="20"/>
                <w:lang w:val="ru-RU" w:eastAsia="en-US"/>
              </w:rPr>
              <w:t> </w:t>
            </w:r>
            <w:r>
              <w:rPr>
                <w:rFonts w:eastAsia="Times New Roman"/>
                <w:color w:val="000000"/>
                <w:sz w:val="20"/>
                <w:lang w:eastAsia="en-US"/>
              </w:rPr>
              <w:t>000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Объединенная Республика Танзания</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sidRPr="006D3E8F">
              <w:rPr>
                <w:rFonts w:eastAsia="Times New Roman"/>
                <w:color w:val="000000"/>
                <w:sz w:val="20"/>
                <w:lang w:val="ru-RU" w:eastAsia="en-US"/>
              </w:rPr>
              <w:t>Соединенные Штаты Америки</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2C66AA" w:rsidP="002C66AA">
            <w:pPr>
              <w:rPr>
                <w:rFonts w:eastAsia="Times New Roman"/>
                <w:color w:val="000000"/>
                <w:sz w:val="20"/>
                <w:lang w:eastAsia="en-US"/>
              </w:rPr>
            </w:pPr>
            <w:r>
              <w:rPr>
                <w:rFonts w:eastAsia="Times New Roman"/>
                <w:color w:val="000000"/>
                <w:sz w:val="20"/>
                <w:lang w:eastAsia="en-US"/>
              </w:rPr>
              <w:t xml:space="preserve">                  754</w:t>
            </w:r>
            <w:r>
              <w:rPr>
                <w:rFonts w:eastAsia="Times New Roman"/>
                <w:color w:val="000000"/>
                <w:sz w:val="20"/>
                <w:lang w:val="ru-RU" w:eastAsia="en-US"/>
              </w:rPr>
              <w:t> </w:t>
            </w:r>
            <w:r w:rsidR="00332680" w:rsidRPr="005A4164">
              <w:rPr>
                <w:rFonts w:eastAsia="Times New Roman"/>
                <w:color w:val="000000"/>
                <w:sz w:val="20"/>
                <w:lang w:eastAsia="en-US"/>
              </w:rPr>
              <w:t>900</w:t>
            </w:r>
            <w:r>
              <w:rPr>
                <w:rFonts w:eastAsia="Times New Roman"/>
                <w:color w:val="000000"/>
                <w:sz w:val="20"/>
                <w:lang w:val="ru-RU" w:eastAsia="en-US"/>
              </w:rPr>
              <w:t>,</w:t>
            </w:r>
            <w:r w:rsidR="00332680" w:rsidRPr="005A4164">
              <w:rPr>
                <w:rFonts w:eastAsia="Times New Roman"/>
                <w:color w:val="000000"/>
                <w:sz w:val="20"/>
                <w:lang w:eastAsia="en-US"/>
              </w:rPr>
              <w:t xml:space="preserve">00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6D3E8F" w:rsidRDefault="006D3E8F" w:rsidP="00332680">
            <w:pPr>
              <w:rPr>
                <w:rFonts w:eastAsia="Times New Roman"/>
                <w:color w:val="000000"/>
                <w:sz w:val="20"/>
                <w:lang w:val="ru-RU" w:eastAsia="en-US"/>
              </w:rPr>
            </w:pPr>
            <w:r>
              <w:rPr>
                <w:rFonts w:eastAsia="Times New Roman"/>
                <w:color w:val="000000"/>
                <w:sz w:val="20"/>
                <w:lang w:val="ru-RU" w:eastAsia="en-US"/>
              </w:rPr>
              <w:t>Уругвай</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5A4164" w:rsidRDefault="006D3E8F" w:rsidP="003B10A1">
            <w:pPr>
              <w:rPr>
                <w:rFonts w:eastAsia="Times New Roman"/>
                <w:color w:val="000000"/>
                <w:sz w:val="20"/>
                <w:lang w:eastAsia="en-US"/>
              </w:rPr>
            </w:pPr>
            <w:r>
              <w:rPr>
                <w:rFonts w:eastAsia="Times New Roman"/>
                <w:color w:val="000000"/>
                <w:sz w:val="20"/>
                <w:lang w:val="ru-RU" w:eastAsia="en-US"/>
              </w:rPr>
              <w:t>Венесуэла</w:t>
            </w:r>
            <w:r w:rsidR="00332680" w:rsidRPr="005A4164">
              <w:rPr>
                <w:rFonts w:eastAsia="Times New Roman"/>
                <w:color w:val="000000"/>
                <w:sz w:val="20"/>
                <w:lang w:eastAsia="en-US"/>
              </w:rPr>
              <w:t xml:space="preserve"> (</w:t>
            </w:r>
            <w:r w:rsidR="003B10A1">
              <w:rPr>
                <w:rFonts w:eastAsia="Times New Roman"/>
                <w:color w:val="000000"/>
                <w:sz w:val="20"/>
                <w:lang w:val="ru-RU" w:eastAsia="en-US"/>
              </w:rPr>
              <w:t>Боливарианская Республика</w:t>
            </w:r>
            <w:r w:rsidR="00332680" w:rsidRPr="005A4164">
              <w:rPr>
                <w:rFonts w:eastAsia="Times New Roman"/>
                <w:color w:val="000000"/>
                <w:sz w:val="20"/>
                <w:lang w:eastAsia="en-US"/>
              </w:rPr>
              <w:t>)</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B10A1" w:rsidRDefault="003B10A1" w:rsidP="00332680">
            <w:pPr>
              <w:rPr>
                <w:rFonts w:eastAsia="Times New Roman"/>
                <w:color w:val="000000"/>
                <w:sz w:val="20"/>
                <w:lang w:val="ru-RU" w:eastAsia="en-US"/>
              </w:rPr>
            </w:pPr>
            <w:r>
              <w:rPr>
                <w:rFonts w:eastAsia="Times New Roman"/>
                <w:color w:val="000000"/>
                <w:sz w:val="20"/>
                <w:lang w:val="ru-RU" w:eastAsia="en-US"/>
              </w:rPr>
              <w:t>Вьетнам</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B10A1" w:rsidRDefault="003B10A1" w:rsidP="00332680">
            <w:pPr>
              <w:rPr>
                <w:rFonts w:eastAsia="Times New Roman"/>
                <w:color w:val="000000"/>
                <w:sz w:val="20"/>
                <w:lang w:val="ru-RU" w:eastAsia="en-US"/>
              </w:rPr>
            </w:pPr>
            <w:r>
              <w:rPr>
                <w:rFonts w:eastAsia="Times New Roman"/>
                <w:color w:val="000000"/>
                <w:sz w:val="20"/>
                <w:lang w:val="ru-RU" w:eastAsia="en-US"/>
              </w:rPr>
              <w:t>Замбия</w:t>
            </w:r>
          </w:p>
        </w:tc>
        <w:tc>
          <w:tcPr>
            <w:tcW w:w="2401" w:type="dxa"/>
            <w:tcBorders>
              <w:top w:val="nil"/>
              <w:left w:val="nil"/>
              <w:bottom w:val="nil"/>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203" w:type="dxa"/>
            <w:tcBorders>
              <w:top w:val="nil"/>
              <w:left w:val="single" w:sz="4" w:space="0" w:color="auto"/>
              <w:bottom w:val="single" w:sz="4" w:space="0" w:color="auto"/>
              <w:right w:val="single" w:sz="4" w:space="0" w:color="auto"/>
            </w:tcBorders>
            <w:shd w:val="clear" w:color="auto" w:fill="auto"/>
            <w:noWrap/>
            <w:vAlign w:val="bottom"/>
            <w:hideMark/>
          </w:tcPr>
          <w:p w:rsidR="00332680" w:rsidRPr="003B10A1" w:rsidRDefault="003B10A1" w:rsidP="00332680">
            <w:pPr>
              <w:rPr>
                <w:rFonts w:eastAsia="Times New Roman"/>
                <w:color w:val="000000"/>
                <w:sz w:val="20"/>
                <w:lang w:val="ru-RU" w:eastAsia="en-US"/>
              </w:rPr>
            </w:pPr>
            <w:r>
              <w:rPr>
                <w:rFonts w:eastAsia="Times New Roman"/>
                <w:color w:val="000000"/>
                <w:sz w:val="20"/>
                <w:lang w:val="ru-RU" w:eastAsia="en-US"/>
              </w:rPr>
              <w:t>Зимбабве</w:t>
            </w:r>
          </w:p>
        </w:tc>
        <w:tc>
          <w:tcPr>
            <w:tcW w:w="2401" w:type="dxa"/>
            <w:tcBorders>
              <w:top w:val="nil"/>
              <w:left w:val="nil"/>
              <w:bottom w:val="single" w:sz="4" w:space="0" w:color="auto"/>
              <w:right w:val="single" w:sz="4" w:space="0" w:color="auto"/>
            </w:tcBorders>
            <w:shd w:val="clear" w:color="auto" w:fill="auto"/>
            <w:noWrap/>
            <w:vAlign w:val="bottom"/>
            <w:hideMark/>
          </w:tcPr>
          <w:p w:rsidR="00332680" w:rsidRPr="005A4164" w:rsidRDefault="00332680" w:rsidP="005247AA">
            <w:pPr>
              <w:jc w:val="right"/>
              <w:rPr>
                <w:rFonts w:eastAsia="Times New Roman"/>
                <w:color w:val="000000"/>
                <w:sz w:val="20"/>
                <w:lang w:eastAsia="en-US"/>
              </w:rPr>
            </w:pPr>
            <w:r w:rsidRPr="005A4164">
              <w:rPr>
                <w:rFonts w:eastAsia="Times New Roman"/>
                <w:color w:val="000000"/>
                <w:sz w:val="20"/>
                <w:lang w:eastAsia="en-US"/>
              </w:rPr>
              <w:t xml:space="preserve">                               -   </w:t>
            </w:r>
          </w:p>
        </w:tc>
      </w:tr>
      <w:tr w:rsidR="00332680" w:rsidRPr="005A4164" w:rsidTr="00497A16">
        <w:trPr>
          <w:trHeight w:val="255"/>
          <w:jc w:val="center"/>
        </w:trPr>
        <w:tc>
          <w:tcPr>
            <w:tcW w:w="3203" w:type="dxa"/>
            <w:tcBorders>
              <w:top w:val="nil"/>
              <w:left w:val="single" w:sz="4" w:space="0" w:color="auto"/>
              <w:bottom w:val="nil"/>
              <w:right w:val="single" w:sz="4" w:space="0" w:color="auto"/>
            </w:tcBorders>
            <w:shd w:val="clear" w:color="000000" w:fill="C5D9F1"/>
            <w:noWrap/>
            <w:vAlign w:val="bottom"/>
            <w:hideMark/>
          </w:tcPr>
          <w:p w:rsidR="00332680" w:rsidRPr="005A4164" w:rsidRDefault="00332680" w:rsidP="00332680">
            <w:pPr>
              <w:rPr>
                <w:rFonts w:eastAsia="Times New Roman"/>
                <w:color w:val="000000"/>
                <w:sz w:val="20"/>
                <w:lang w:eastAsia="en-US"/>
              </w:rPr>
            </w:pPr>
            <w:r w:rsidRPr="005A4164">
              <w:rPr>
                <w:rFonts w:eastAsia="Times New Roman"/>
                <w:color w:val="000000"/>
                <w:sz w:val="20"/>
                <w:lang w:eastAsia="en-US"/>
              </w:rPr>
              <w:t> </w:t>
            </w:r>
          </w:p>
        </w:tc>
        <w:tc>
          <w:tcPr>
            <w:tcW w:w="2401" w:type="dxa"/>
            <w:tcBorders>
              <w:top w:val="nil"/>
              <w:left w:val="nil"/>
              <w:bottom w:val="nil"/>
              <w:right w:val="single" w:sz="4" w:space="0" w:color="auto"/>
            </w:tcBorders>
            <w:shd w:val="clear" w:color="000000" w:fill="C5D9F1"/>
            <w:noWrap/>
            <w:vAlign w:val="bottom"/>
            <w:hideMark/>
          </w:tcPr>
          <w:p w:rsidR="00332680" w:rsidRPr="005A4164" w:rsidRDefault="00332680" w:rsidP="00332680">
            <w:pPr>
              <w:rPr>
                <w:rFonts w:eastAsia="Times New Roman"/>
                <w:color w:val="000000"/>
                <w:sz w:val="20"/>
                <w:lang w:eastAsia="en-US"/>
              </w:rPr>
            </w:pPr>
            <w:r w:rsidRPr="005A4164">
              <w:rPr>
                <w:rFonts w:eastAsia="Times New Roman"/>
                <w:color w:val="000000"/>
                <w:sz w:val="20"/>
                <w:lang w:eastAsia="en-US"/>
              </w:rPr>
              <w:t> </w:t>
            </w:r>
          </w:p>
        </w:tc>
      </w:tr>
      <w:tr w:rsidR="00332680" w:rsidRPr="005A4164" w:rsidTr="00497A16">
        <w:trPr>
          <w:trHeight w:val="487"/>
          <w:jc w:val="center"/>
        </w:trPr>
        <w:tc>
          <w:tcPr>
            <w:tcW w:w="3203" w:type="dxa"/>
            <w:tcBorders>
              <w:top w:val="nil"/>
              <w:left w:val="single" w:sz="4" w:space="0" w:color="auto"/>
              <w:bottom w:val="single" w:sz="4" w:space="0" w:color="auto"/>
              <w:right w:val="single" w:sz="4" w:space="0" w:color="auto"/>
            </w:tcBorders>
            <w:shd w:val="clear" w:color="000000" w:fill="C5D9F1"/>
            <w:noWrap/>
            <w:hideMark/>
          </w:tcPr>
          <w:p w:rsidR="00332680" w:rsidRPr="002C66AA" w:rsidRDefault="002C66AA" w:rsidP="00332680">
            <w:pPr>
              <w:rPr>
                <w:rFonts w:eastAsia="Times New Roman"/>
                <w:b/>
                <w:color w:val="000000"/>
                <w:sz w:val="20"/>
                <w:lang w:val="ru-RU" w:eastAsia="en-US"/>
              </w:rPr>
            </w:pPr>
            <w:r>
              <w:rPr>
                <w:rFonts w:eastAsia="Times New Roman"/>
                <w:b/>
                <w:color w:val="000000"/>
                <w:sz w:val="20"/>
                <w:lang w:val="ru-RU" w:eastAsia="en-US"/>
              </w:rPr>
              <w:t>ВСЕГО</w:t>
            </w:r>
          </w:p>
        </w:tc>
        <w:tc>
          <w:tcPr>
            <w:tcW w:w="2401" w:type="dxa"/>
            <w:tcBorders>
              <w:top w:val="nil"/>
              <w:left w:val="nil"/>
              <w:bottom w:val="single" w:sz="4" w:space="0" w:color="auto"/>
              <w:right w:val="single" w:sz="4" w:space="0" w:color="auto"/>
            </w:tcBorders>
            <w:shd w:val="clear" w:color="000000" w:fill="C5D9F1"/>
            <w:noWrap/>
            <w:hideMark/>
          </w:tcPr>
          <w:p w:rsidR="00332680" w:rsidRPr="005A4164" w:rsidRDefault="002C66AA" w:rsidP="002C66AA">
            <w:pPr>
              <w:jc w:val="right"/>
              <w:rPr>
                <w:rFonts w:eastAsia="Times New Roman"/>
                <w:b/>
                <w:color w:val="000000"/>
                <w:sz w:val="20"/>
                <w:lang w:eastAsia="en-US"/>
              </w:rPr>
            </w:pPr>
            <w:r>
              <w:rPr>
                <w:rFonts w:eastAsia="Times New Roman"/>
                <w:b/>
                <w:color w:val="000000"/>
                <w:sz w:val="20"/>
                <w:lang w:eastAsia="en-US"/>
              </w:rPr>
              <w:t>2</w:t>
            </w:r>
            <w:r>
              <w:rPr>
                <w:rFonts w:eastAsia="Times New Roman"/>
                <w:b/>
                <w:color w:val="000000"/>
                <w:sz w:val="20"/>
                <w:lang w:val="ru-RU" w:eastAsia="en-US"/>
              </w:rPr>
              <w:t> </w:t>
            </w:r>
            <w:r w:rsidR="00332680" w:rsidRPr="005A4164">
              <w:rPr>
                <w:rFonts w:eastAsia="Times New Roman"/>
                <w:b/>
                <w:color w:val="000000"/>
                <w:sz w:val="20"/>
                <w:lang w:eastAsia="en-US"/>
              </w:rPr>
              <w:t>000</w:t>
            </w:r>
            <w:r>
              <w:rPr>
                <w:rFonts w:eastAsia="Times New Roman"/>
                <w:b/>
                <w:color w:val="000000"/>
                <w:sz w:val="20"/>
                <w:lang w:val="ru-RU" w:eastAsia="en-US"/>
              </w:rPr>
              <w:t> </w:t>
            </w:r>
            <w:r>
              <w:rPr>
                <w:rFonts w:eastAsia="Times New Roman"/>
                <w:b/>
                <w:color w:val="000000"/>
                <w:sz w:val="20"/>
                <w:lang w:eastAsia="en-US"/>
              </w:rPr>
              <w:t>000</w:t>
            </w:r>
            <w:r>
              <w:rPr>
                <w:rFonts w:eastAsia="Times New Roman"/>
                <w:b/>
                <w:color w:val="000000"/>
                <w:sz w:val="20"/>
                <w:lang w:val="ru-RU" w:eastAsia="en-US"/>
              </w:rPr>
              <w:t>,</w:t>
            </w:r>
            <w:r w:rsidR="00332680" w:rsidRPr="005A4164">
              <w:rPr>
                <w:rFonts w:eastAsia="Times New Roman"/>
                <w:b/>
                <w:color w:val="000000"/>
                <w:sz w:val="20"/>
                <w:lang w:eastAsia="en-US"/>
              </w:rPr>
              <w:t xml:space="preserve">00 </w:t>
            </w:r>
          </w:p>
        </w:tc>
      </w:tr>
    </w:tbl>
    <w:p w:rsidR="00342DF9" w:rsidRPr="005A4164" w:rsidRDefault="00342DF9" w:rsidP="00332680">
      <w:pPr>
        <w:rPr>
          <w:lang w:val="ru-RU"/>
        </w:rPr>
      </w:pPr>
    </w:p>
    <w:p w:rsidR="00342DF9" w:rsidRPr="005A4164" w:rsidRDefault="00342DF9" w:rsidP="00332680">
      <w:pPr>
        <w:rPr>
          <w:lang w:val="ru-RU"/>
        </w:rPr>
      </w:pPr>
    </w:p>
    <w:p w:rsidR="00342DF9" w:rsidRPr="005A4164" w:rsidRDefault="00342DF9">
      <w:pPr>
        <w:spacing w:after="200" w:line="276" w:lineRule="auto"/>
        <w:rPr>
          <w:lang w:val="ru-RU"/>
        </w:rPr>
      </w:pPr>
    </w:p>
    <w:p w:rsidR="00342DF9" w:rsidRPr="005A4164" w:rsidRDefault="00DD02E1" w:rsidP="00DD02E1">
      <w:pPr>
        <w:pStyle w:val="Endofdocument"/>
        <w:rPr>
          <w:sz w:val="22"/>
          <w:lang w:val="ru-RU"/>
        </w:rPr>
      </w:pPr>
      <w:r w:rsidRPr="005A4164">
        <w:rPr>
          <w:sz w:val="22"/>
          <w:lang w:val="ru-RU"/>
        </w:rPr>
        <w:t>[</w:t>
      </w:r>
      <w:r w:rsidR="00032C8E" w:rsidRPr="005A4164">
        <w:rPr>
          <w:sz w:val="22"/>
          <w:lang w:val="ru-RU"/>
        </w:rPr>
        <w:t xml:space="preserve">Конец приложения </w:t>
      </w:r>
      <w:r w:rsidRPr="005A4164">
        <w:rPr>
          <w:sz w:val="22"/>
          <w:lang w:val="ru-RU"/>
        </w:rPr>
        <w:t xml:space="preserve">II </w:t>
      </w:r>
      <w:r w:rsidR="00032C8E" w:rsidRPr="005A4164">
        <w:rPr>
          <w:sz w:val="22"/>
          <w:lang w:val="ru-RU"/>
        </w:rPr>
        <w:t>и документа</w:t>
      </w:r>
      <w:r w:rsidRPr="005A4164">
        <w:rPr>
          <w:sz w:val="22"/>
          <w:lang w:val="ru-RU"/>
        </w:rPr>
        <w:t>]</w:t>
      </w:r>
    </w:p>
    <w:p w:rsidR="00342DF9" w:rsidRPr="005A4164" w:rsidRDefault="00342DF9">
      <w:pPr>
        <w:spacing w:after="200" w:line="276" w:lineRule="auto"/>
        <w:rPr>
          <w:lang w:val="ru-RU"/>
        </w:rPr>
      </w:pPr>
    </w:p>
    <w:p w:rsidR="00342DF9" w:rsidRPr="005A4164" w:rsidRDefault="00342DF9" w:rsidP="00C0178F">
      <w:pPr>
        <w:rPr>
          <w:lang w:val="ru-RU"/>
        </w:rPr>
      </w:pPr>
    </w:p>
    <w:p w:rsidR="00E104B7" w:rsidRPr="005A4164" w:rsidRDefault="00E104B7" w:rsidP="00C0178F">
      <w:pPr>
        <w:rPr>
          <w:lang w:val="ru-RU"/>
        </w:rPr>
      </w:pPr>
    </w:p>
    <w:sectPr w:rsidR="00E104B7" w:rsidRPr="005A4164" w:rsidSect="009A673B">
      <w:headerReference w:type="default" r:id="rId20"/>
      <w:headerReference w:type="first" r:id="rId21"/>
      <w:pgSz w:w="11907" w:h="16839" w:code="9"/>
      <w:pgMar w:top="567" w:right="1134" w:bottom="1418" w:left="1418" w:header="62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562" w:rsidRDefault="00802562">
      <w:r>
        <w:separator/>
      </w:r>
    </w:p>
  </w:endnote>
  <w:endnote w:type="continuationSeparator" w:id="0">
    <w:p w:rsidR="00802562" w:rsidRDefault="0080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AA" w:rsidRDefault="002C66AA" w:rsidP="001674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C66AA" w:rsidRDefault="002C66AA" w:rsidP="001674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AA" w:rsidRDefault="002C66AA" w:rsidP="001674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562" w:rsidRDefault="00802562">
      <w:r>
        <w:separator/>
      </w:r>
    </w:p>
  </w:footnote>
  <w:footnote w:type="continuationSeparator" w:id="0">
    <w:p w:rsidR="00802562" w:rsidRDefault="00802562">
      <w:r>
        <w:continuationSeparator/>
      </w:r>
    </w:p>
  </w:footnote>
  <w:footnote w:id="1">
    <w:p w:rsidR="002C66AA" w:rsidRPr="00754B38" w:rsidRDefault="002C66AA" w:rsidP="008F0FC3">
      <w:pPr>
        <w:pStyle w:val="FootnoteText"/>
        <w:rPr>
          <w:lang w:val="ru-RU"/>
        </w:rPr>
      </w:pPr>
      <w:r>
        <w:rPr>
          <w:rStyle w:val="FootnoteReference"/>
        </w:rPr>
        <w:footnoteRef/>
      </w:r>
      <w:r w:rsidRPr="00754B38">
        <w:rPr>
          <w:lang w:val="ru-RU"/>
        </w:rPr>
        <w:t xml:space="preserve"> </w:t>
      </w:r>
      <w:r w:rsidRPr="00754B38">
        <w:rPr>
          <w:lang w:val="ru-RU"/>
        </w:rPr>
        <w:tab/>
      </w:r>
      <w:r>
        <w:rPr>
          <w:szCs w:val="18"/>
          <w:lang w:val="ru-RU"/>
        </w:rPr>
        <w:t>Документ</w:t>
      </w:r>
      <w:r w:rsidRPr="00754B38">
        <w:rPr>
          <w:szCs w:val="18"/>
          <w:lang w:val="ru-RU"/>
        </w:rPr>
        <w:t xml:space="preserve"> </w:t>
      </w:r>
      <w:r w:rsidRPr="00FC1274">
        <w:rPr>
          <w:szCs w:val="18"/>
        </w:rPr>
        <w:t>A</w:t>
      </w:r>
      <w:r w:rsidRPr="00754B38">
        <w:rPr>
          <w:szCs w:val="18"/>
          <w:lang w:val="ru-RU"/>
        </w:rPr>
        <w:t xml:space="preserve">/35/6 </w:t>
      </w:r>
      <w:r>
        <w:rPr>
          <w:szCs w:val="18"/>
          <w:lang w:val="ru-RU"/>
        </w:rPr>
        <w:t>от</w:t>
      </w:r>
      <w:r w:rsidRPr="00754B38">
        <w:rPr>
          <w:szCs w:val="18"/>
          <w:lang w:val="ru-RU"/>
        </w:rPr>
        <w:t xml:space="preserve"> 2000 </w:t>
      </w:r>
      <w:r>
        <w:rPr>
          <w:szCs w:val="18"/>
          <w:lang w:val="ru-RU"/>
        </w:rPr>
        <w:t>г</w:t>
      </w:r>
      <w:r w:rsidRPr="00754B38">
        <w:rPr>
          <w:szCs w:val="18"/>
          <w:lang w:val="ru-RU"/>
        </w:rPr>
        <w:t>. (</w:t>
      </w:r>
      <w:r>
        <w:rPr>
          <w:szCs w:val="18"/>
          <w:lang w:val="ru-RU"/>
        </w:rPr>
        <w:t>предложение по политике в отношении резервов</w:t>
      </w:r>
      <w:r w:rsidRPr="00754B38">
        <w:rPr>
          <w:szCs w:val="18"/>
          <w:lang w:val="ru-RU"/>
        </w:rPr>
        <w:t>)</w:t>
      </w:r>
      <w:r>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AA" w:rsidRDefault="002C66AA">
    <w:pPr>
      <w:pStyle w:val="Header"/>
      <w:jc w:val="right"/>
    </w:pPr>
    <w:r>
      <w:t xml:space="preserve">WO/PBC/23/8 </w:t>
    </w:r>
  </w:p>
  <w:p w:rsidR="002C66AA" w:rsidRDefault="002C66AA">
    <w:pPr>
      <w:pStyle w:val="Header"/>
      <w:jc w:val="right"/>
    </w:pPr>
    <w:r>
      <w:rPr>
        <w:lang w:val="ru-RU"/>
      </w:rPr>
      <w:t>стр</w:t>
    </w:r>
    <w:r w:rsidRPr="006A40CB">
      <w:t>.</w:t>
    </w:r>
    <w:r>
      <w:t xml:space="preserve"> </w:t>
    </w:r>
    <w:sdt>
      <w:sdtPr>
        <w:id w:val="-3343059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3768F">
          <w:rPr>
            <w:noProof/>
          </w:rPr>
          <w:t>3</w:t>
        </w:r>
        <w:r>
          <w:rPr>
            <w:noProof/>
          </w:rPr>
          <w:fldChar w:fldCharType="end"/>
        </w:r>
      </w:sdtContent>
    </w:sdt>
  </w:p>
  <w:p w:rsidR="002C66AA" w:rsidRDefault="002C66AA">
    <w:pPr>
      <w:pStyle w:val="Header"/>
    </w:pPr>
  </w:p>
  <w:p w:rsidR="002C66AA" w:rsidRDefault="002C66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AA" w:rsidRPr="003A6182" w:rsidRDefault="002C66AA" w:rsidP="00332680">
    <w:pPr>
      <w:jc w:val="right"/>
      <w:rPr>
        <w:lang w:val="ru-RU"/>
      </w:rPr>
    </w:pPr>
    <w:bookmarkStart w:id="6" w:name="Code2"/>
    <w:bookmarkEnd w:id="6"/>
    <w:r>
      <w:t>WO</w:t>
    </w:r>
    <w:r w:rsidRPr="003A6182">
      <w:rPr>
        <w:lang w:val="ru-RU"/>
      </w:rPr>
      <w:t>/</w:t>
    </w:r>
    <w:r>
      <w:t>PBC</w:t>
    </w:r>
    <w:r w:rsidRPr="003A6182">
      <w:rPr>
        <w:lang w:val="ru-RU"/>
      </w:rPr>
      <w:t>/23/8</w:t>
    </w:r>
  </w:p>
  <w:p w:rsidR="002C66AA" w:rsidRDefault="002C66AA" w:rsidP="00332680">
    <w:pPr>
      <w:jc w:val="right"/>
    </w:pPr>
    <w:r>
      <w:rPr>
        <w:lang w:val="ru-RU"/>
      </w:rPr>
      <w:t>Приложение</w:t>
    </w:r>
    <w:r w:rsidRPr="003A6182">
      <w:rPr>
        <w:lang w:val="ru-RU"/>
      </w:rPr>
      <w:t xml:space="preserve"> </w:t>
    </w:r>
    <w:r>
      <w:t>I</w:t>
    </w:r>
    <w:r w:rsidRPr="003A6182">
      <w:rPr>
        <w:lang w:val="ru-RU"/>
      </w:rPr>
      <w:t xml:space="preserve">, </w:t>
    </w:r>
    <w:r>
      <w:rPr>
        <w:lang w:val="ru-RU"/>
      </w:rPr>
      <w:t>стр</w:t>
    </w:r>
    <w:r w:rsidRPr="003A6182">
      <w:rPr>
        <w:lang w:val="ru-RU"/>
      </w:rPr>
      <w:t xml:space="preserve">. </w:t>
    </w:r>
    <w:r>
      <w:fldChar w:fldCharType="begin"/>
    </w:r>
    <w:r w:rsidRPr="003A6182">
      <w:rPr>
        <w:lang w:val="ru-RU"/>
      </w:rPr>
      <w:instrText xml:space="preserve"> </w:instrText>
    </w:r>
    <w:r>
      <w:instrText>PAGE</w:instrText>
    </w:r>
    <w:r w:rsidRPr="003A6182">
      <w:rPr>
        <w:lang w:val="ru-RU"/>
      </w:rPr>
      <w:instrText xml:space="preserve">  \* </w:instrText>
    </w:r>
    <w:r>
      <w:instrText>MERGEFORMAT</w:instrText>
    </w:r>
    <w:r w:rsidRPr="003A6182">
      <w:rPr>
        <w:lang w:val="ru-RU"/>
      </w:rPr>
      <w:instrText xml:space="preserve"> </w:instrText>
    </w:r>
    <w:r>
      <w:fldChar w:fldCharType="separate"/>
    </w:r>
    <w:r w:rsidR="0053768F">
      <w:rPr>
        <w:noProof/>
      </w:rPr>
      <w:t>10</w:t>
    </w:r>
    <w:r>
      <w:fldChar w:fldCharType="end"/>
    </w:r>
  </w:p>
  <w:p w:rsidR="002C66AA" w:rsidRDefault="002C66AA" w:rsidP="00332680">
    <w:pPr>
      <w:jc w:val="right"/>
    </w:pPr>
  </w:p>
  <w:p w:rsidR="002C66AA" w:rsidRDefault="002C66AA" w:rsidP="00332680">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AA" w:rsidRDefault="002C66AA" w:rsidP="00C948D8">
    <w:pPr>
      <w:jc w:val="right"/>
    </w:pPr>
    <w:r>
      <w:t>WO/PBC/23/8</w:t>
    </w:r>
  </w:p>
  <w:p w:rsidR="002C66AA" w:rsidRDefault="002C66AA" w:rsidP="00C948D8">
    <w:pPr>
      <w:pStyle w:val="Header"/>
      <w:jc w:val="right"/>
    </w:pPr>
    <w:r>
      <w:rPr>
        <w:lang w:val="ru-RU"/>
      </w:rPr>
      <w:t>ПРИЛОЖЕНИЕ</w:t>
    </w:r>
    <w:r>
      <w:t xml:space="preserve"> I</w:t>
    </w:r>
  </w:p>
  <w:p w:rsidR="002C66AA" w:rsidRDefault="002C66AA" w:rsidP="00C948D8">
    <w:pPr>
      <w:pStyle w:val="Header"/>
      <w:jc w:val="right"/>
    </w:pPr>
  </w:p>
  <w:p w:rsidR="002C66AA" w:rsidRDefault="002C66AA" w:rsidP="00C948D8">
    <w:pPr>
      <w:pStyle w:val="Header"/>
      <w:jc w:val="right"/>
    </w:pPr>
  </w:p>
  <w:p w:rsidR="002C66AA" w:rsidRDefault="002C66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AA" w:rsidRDefault="002C66AA" w:rsidP="00C948D8">
    <w:pPr>
      <w:jc w:val="right"/>
    </w:pPr>
    <w:r>
      <w:t>WO/PBC/23/8</w:t>
    </w:r>
  </w:p>
  <w:p w:rsidR="002C66AA" w:rsidRDefault="002C66AA" w:rsidP="00C948D8">
    <w:pPr>
      <w:pStyle w:val="Header"/>
      <w:jc w:val="right"/>
    </w:pPr>
    <w:r>
      <w:t>ANNEX I</w:t>
    </w:r>
  </w:p>
  <w:p w:rsidR="002C66AA" w:rsidRDefault="002C66AA" w:rsidP="00C948D8">
    <w:pPr>
      <w:pStyle w:val="Header"/>
      <w:jc w:val="right"/>
    </w:pPr>
  </w:p>
  <w:p w:rsidR="002C66AA" w:rsidRDefault="002C66AA" w:rsidP="00C948D8">
    <w:pPr>
      <w:pStyle w:val="Header"/>
      <w:jc w:val="right"/>
    </w:pPr>
  </w:p>
  <w:p w:rsidR="002C66AA" w:rsidRDefault="002C66A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AA" w:rsidRPr="006D3E8F" w:rsidRDefault="002C66AA" w:rsidP="00332680">
    <w:pPr>
      <w:jc w:val="right"/>
      <w:rPr>
        <w:lang w:val="ru-RU"/>
      </w:rPr>
    </w:pPr>
    <w:r w:rsidRPr="00DD02E1">
      <w:rPr>
        <w:lang w:val="fr-FR"/>
      </w:rPr>
      <w:t>WO</w:t>
    </w:r>
    <w:r w:rsidRPr="006D3E8F">
      <w:rPr>
        <w:lang w:val="ru-RU"/>
      </w:rPr>
      <w:t>/</w:t>
    </w:r>
    <w:r w:rsidRPr="00DD02E1">
      <w:rPr>
        <w:lang w:val="fr-FR"/>
      </w:rPr>
      <w:t>PBC</w:t>
    </w:r>
    <w:r w:rsidRPr="006D3E8F">
      <w:rPr>
        <w:lang w:val="ru-RU"/>
      </w:rPr>
      <w:t>/23/8</w:t>
    </w:r>
  </w:p>
  <w:p w:rsidR="002C66AA" w:rsidRPr="002A76EC" w:rsidRDefault="002C66AA" w:rsidP="00332680">
    <w:pPr>
      <w:jc w:val="right"/>
      <w:rPr>
        <w:lang w:val="ru-RU"/>
      </w:rPr>
    </w:pPr>
    <w:r>
      <w:rPr>
        <w:lang w:val="ru-RU"/>
      </w:rPr>
      <w:t>Приложение</w:t>
    </w:r>
    <w:r w:rsidRPr="002A76EC">
      <w:rPr>
        <w:lang w:val="ru-RU"/>
      </w:rPr>
      <w:t xml:space="preserve"> </w:t>
    </w:r>
    <w:r w:rsidRPr="00DD02E1">
      <w:rPr>
        <w:lang w:val="fr-FR"/>
      </w:rPr>
      <w:t>II</w:t>
    </w:r>
    <w:r w:rsidRPr="002A76EC">
      <w:rPr>
        <w:lang w:val="ru-RU"/>
      </w:rPr>
      <w:t xml:space="preserve">, </w:t>
    </w:r>
    <w:r>
      <w:rPr>
        <w:lang w:val="ru-RU"/>
      </w:rPr>
      <w:t>стр.</w:t>
    </w:r>
    <w:r w:rsidRPr="002A76EC">
      <w:rPr>
        <w:lang w:val="ru-RU"/>
      </w:rPr>
      <w:t xml:space="preserve"> </w:t>
    </w:r>
    <w:r>
      <w:fldChar w:fldCharType="begin"/>
    </w:r>
    <w:r w:rsidRPr="002A76EC">
      <w:rPr>
        <w:lang w:val="ru-RU"/>
      </w:rPr>
      <w:instrText xml:space="preserve"> </w:instrText>
    </w:r>
    <w:r w:rsidRPr="00DD02E1">
      <w:rPr>
        <w:lang w:val="fr-FR"/>
      </w:rPr>
      <w:instrText>PAGE</w:instrText>
    </w:r>
    <w:r w:rsidRPr="002A76EC">
      <w:rPr>
        <w:lang w:val="ru-RU"/>
      </w:rPr>
      <w:instrText xml:space="preserve">  \* </w:instrText>
    </w:r>
    <w:r w:rsidRPr="00DD02E1">
      <w:rPr>
        <w:lang w:val="fr-FR"/>
      </w:rPr>
      <w:instrText>MERGEFORMAT</w:instrText>
    </w:r>
    <w:r w:rsidRPr="002A76EC">
      <w:rPr>
        <w:lang w:val="ru-RU"/>
      </w:rPr>
      <w:instrText xml:space="preserve"> </w:instrText>
    </w:r>
    <w:r>
      <w:fldChar w:fldCharType="separate"/>
    </w:r>
    <w:r w:rsidR="006A6CE5" w:rsidRPr="006A6CE5">
      <w:rPr>
        <w:noProof/>
        <w:lang w:val="ru-RU"/>
      </w:rPr>
      <w:t>3</w:t>
    </w:r>
    <w:r>
      <w:fldChar w:fldCharType="end"/>
    </w:r>
  </w:p>
  <w:p w:rsidR="002C66AA" w:rsidRPr="002A76EC" w:rsidRDefault="002C66AA" w:rsidP="00332680">
    <w:pPr>
      <w:jc w:val="right"/>
      <w:rPr>
        <w:lang w:val="ru-RU"/>
      </w:rPr>
    </w:pPr>
  </w:p>
  <w:p w:rsidR="002C66AA" w:rsidRPr="002A76EC" w:rsidRDefault="002C66AA" w:rsidP="00332680">
    <w:pPr>
      <w:jc w:val="right"/>
      <w:rPr>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AA" w:rsidRDefault="002C66AA" w:rsidP="00C948D8">
    <w:pPr>
      <w:jc w:val="right"/>
    </w:pPr>
    <w:r>
      <w:t>WO/PBC/23/8</w:t>
    </w:r>
  </w:p>
  <w:p w:rsidR="002C66AA" w:rsidRDefault="002C66AA" w:rsidP="00C948D8">
    <w:pPr>
      <w:pStyle w:val="Header"/>
      <w:jc w:val="right"/>
    </w:pPr>
    <w:r>
      <w:rPr>
        <w:lang w:val="ru-RU"/>
      </w:rPr>
      <w:t>ПРИЛОЖЕНИЕ</w:t>
    </w:r>
    <w:r>
      <w:t xml:space="preserve"> II</w:t>
    </w:r>
  </w:p>
  <w:p w:rsidR="002C66AA" w:rsidRDefault="002C66AA" w:rsidP="00C948D8">
    <w:pPr>
      <w:pStyle w:val="Header"/>
      <w:jc w:val="right"/>
    </w:pPr>
  </w:p>
  <w:p w:rsidR="002C66AA" w:rsidRDefault="002C66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5A8"/>
    <w:multiLevelType w:val="multilevel"/>
    <w:tmpl w:val="4290E3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4167E43"/>
    <w:multiLevelType w:val="hybridMultilevel"/>
    <w:tmpl w:val="28C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131D0A"/>
    <w:multiLevelType w:val="hybridMultilevel"/>
    <w:tmpl w:val="7DD25286"/>
    <w:lvl w:ilvl="0" w:tplc="2EF0338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263D1"/>
    <w:multiLevelType w:val="hybridMultilevel"/>
    <w:tmpl w:val="C3A6530A"/>
    <w:lvl w:ilvl="0" w:tplc="4B1826D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0BA564C"/>
    <w:multiLevelType w:val="hybridMultilevel"/>
    <w:tmpl w:val="C2084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927C0"/>
    <w:multiLevelType w:val="hybridMultilevel"/>
    <w:tmpl w:val="3432F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34ACD"/>
    <w:multiLevelType w:val="hybridMultilevel"/>
    <w:tmpl w:val="D6389A70"/>
    <w:lvl w:ilvl="0" w:tplc="D82C9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62E11"/>
    <w:multiLevelType w:val="hybridMultilevel"/>
    <w:tmpl w:val="F0F6D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C42773"/>
    <w:multiLevelType w:val="hybridMultilevel"/>
    <w:tmpl w:val="14C8835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88099C"/>
    <w:multiLevelType w:val="hybridMultilevel"/>
    <w:tmpl w:val="9F68C1B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1">
    <w:nsid w:val="22670310"/>
    <w:multiLevelType w:val="hybridMultilevel"/>
    <w:tmpl w:val="F08A8A2C"/>
    <w:lvl w:ilvl="0" w:tplc="6F9C24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2E4262"/>
    <w:multiLevelType w:val="hybridMultilevel"/>
    <w:tmpl w:val="C0A8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0297A"/>
    <w:multiLevelType w:val="hybridMultilevel"/>
    <w:tmpl w:val="4614F29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BC6BF7"/>
    <w:multiLevelType w:val="hybridMultilevel"/>
    <w:tmpl w:val="26200A14"/>
    <w:lvl w:ilvl="0" w:tplc="7514FB6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37F4755"/>
    <w:multiLevelType w:val="hybridMultilevel"/>
    <w:tmpl w:val="BA9212FE"/>
    <w:lvl w:ilvl="0" w:tplc="0409000F">
      <w:start w:val="10"/>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61D1A"/>
    <w:multiLevelType w:val="hybridMultilevel"/>
    <w:tmpl w:val="79D2F09E"/>
    <w:lvl w:ilvl="0" w:tplc="4FC0DC50">
      <w:start w:val="12"/>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7">
    <w:nsid w:val="37FB57F9"/>
    <w:multiLevelType w:val="hybridMultilevel"/>
    <w:tmpl w:val="28BE614A"/>
    <w:lvl w:ilvl="0" w:tplc="70B06C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1F467C"/>
    <w:multiLevelType w:val="hybridMultilevel"/>
    <w:tmpl w:val="7EC61026"/>
    <w:lvl w:ilvl="0" w:tplc="5518DE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2D22C5E"/>
    <w:multiLevelType w:val="hybridMultilevel"/>
    <w:tmpl w:val="B97AFB9A"/>
    <w:lvl w:ilvl="0" w:tplc="BB401EE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DAB6061"/>
    <w:multiLevelType w:val="hybridMultilevel"/>
    <w:tmpl w:val="D03C483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BC534F"/>
    <w:multiLevelType w:val="hybridMultilevel"/>
    <w:tmpl w:val="3BE8AB5E"/>
    <w:lvl w:ilvl="0" w:tplc="E0FEED2C">
      <w:start w:val="9"/>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nsid w:val="5C9C0F03"/>
    <w:multiLevelType w:val="hybridMultilevel"/>
    <w:tmpl w:val="B7D617AA"/>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927414"/>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1EF5018"/>
    <w:multiLevelType w:val="hybridMultilevel"/>
    <w:tmpl w:val="26200A14"/>
    <w:lvl w:ilvl="0" w:tplc="7514FB6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3551097"/>
    <w:multiLevelType w:val="hybridMultilevel"/>
    <w:tmpl w:val="25349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BE7C6D"/>
    <w:multiLevelType w:val="hybridMultilevel"/>
    <w:tmpl w:val="164EFE3C"/>
    <w:lvl w:ilvl="0" w:tplc="7C428C4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3612E0C"/>
    <w:multiLevelType w:val="hybridMultilevel"/>
    <w:tmpl w:val="65025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420EB9"/>
    <w:multiLevelType w:val="hybridMultilevel"/>
    <w:tmpl w:val="F08A8A2C"/>
    <w:lvl w:ilvl="0" w:tplc="6F9C24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3"/>
  </w:num>
  <w:num w:numId="3">
    <w:abstractNumId w:val="7"/>
  </w:num>
  <w:num w:numId="4">
    <w:abstractNumId w:val="12"/>
  </w:num>
  <w:num w:numId="5">
    <w:abstractNumId w:val="8"/>
  </w:num>
  <w:num w:numId="6">
    <w:abstractNumId w:val="20"/>
  </w:num>
  <w:num w:numId="7">
    <w:abstractNumId w:val="10"/>
  </w:num>
  <w:num w:numId="8">
    <w:abstractNumId w:val="21"/>
  </w:num>
  <w:num w:numId="9">
    <w:abstractNumId w:val="1"/>
  </w:num>
  <w:num w:numId="10">
    <w:abstractNumId w:val="27"/>
  </w:num>
  <w:num w:numId="11">
    <w:abstractNumId w:val="22"/>
  </w:num>
  <w:num w:numId="12">
    <w:abstractNumId w:val="15"/>
  </w:num>
  <w:num w:numId="13">
    <w:abstractNumId w:val="16"/>
  </w:num>
  <w:num w:numId="14">
    <w:abstractNumId w:val="5"/>
  </w:num>
  <w:num w:numId="15">
    <w:abstractNumId w:val="3"/>
  </w:num>
  <w:num w:numId="16">
    <w:abstractNumId w:val="17"/>
  </w:num>
  <w:num w:numId="17">
    <w:abstractNumId w:val="9"/>
  </w:num>
  <w:num w:numId="18">
    <w:abstractNumId w:val="25"/>
  </w:num>
  <w:num w:numId="19">
    <w:abstractNumId w:val="23"/>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8"/>
  </w:num>
  <w:num w:numId="24">
    <w:abstractNumId w:val="4"/>
  </w:num>
  <w:num w:numId="25">
    <w:abstractNumId w:val="18"/>
  </w:num>
  <w:num w:numId="26">
    <w:abstractNumId w:val="26"/>
  </w:num>
  <w:num w:numId="27">
    <w:abstractNumId w:val="14"/>
  </w:num>
  <w:num w:numId="28">
    <w:abstractNumId w:val="19"/>
  </w:num>
  <w:num w:numId="29">
    <w:abstractNumId w:val="2"/>
  </w:num>
  <w:num w:numId="30">
    <w:abstractNumId w:val="2"/>
  </w:num>
  <w:num w:numId="31">
    <w:abstractNumId w:val="2"/>
  </w:num>
  <w:num w:numId="32">
    <w:abstractNumId w:val="2"/>
  </w:num>
  <w:num w:numId="33">
    <w:abstractNumId w:val="2"/>
  </w:num>
  <w:num w:numId="34">
    <w:abstractNumId w:val="2"/>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IP in General\SpeechDG2014|WorkspaceRTS\EN-RU\Treaties\Lisbon"/>
    <w:docVar w:name="TextBaseURL" w:val="empty"/>
    <w:docVar w:name="UILng" w:val="en"/>
  </w:docVars>
  <w:rsids>
    <w:rsidRoot w:val="00F35DA8"/>
    <w:rsid w:val="00032C8E"/>
    <w:rsid w:val="000617F0"/>
    <w:rsid w:val="00075681"/>
    <w:rsid w:val="0008167F"/>
    <w:rsid w:val="00081CCC"/>
    <w:rsid w:val="000A14B5"/>
    <w:rsid w:val="000A50DF"/>
    <w:rsid w:val="000C06E7"/>
    <w:rsid w:val="000E4E10"/>
    <w:rsid w:val="001045E2"/>
    <w:rsid w:val="00106225"/>
    <w:rsid w:val="001064D2"/>
    <w:rsid w:val="001101E8"/>
    <w:rsid w:val="00114F86"/>
    <w:rsid w:val="00116F9F"/>
    <w:rsid w:val="00122A2E"/>
    <w:rsid w:val="00167405"/>
    <w:rsid w:val="001705BB"/>
    <w:rsid w:val="001707EB"/>
    <w:rsid w:val="001A3402"/>
    <w:rsid w:val="001B0465"/>
    <w:rsid w:val="001D6B5B"/>
    <w:rsid w:val="001E5E8F"/>
    <w:rsid w:val="001E7021"/>
    <w:rsid w:val="001F1C79"/>
    <w:rsid w:val="00256508"/>
    <w:rsid w:val="00262511"/>
    <w:rsid w:val="002A76EC"/>
    <w:rsid w:val="002C66AA"/>
    <w:rsid w:val="002E2D6D"/>
    <w:rsid w:val="0031468B"/>
    <w:rsid w:val="00332680"/>
    <w:rsid w:val="00342DF9"/>
    <w:rsid w:val="0036716D"/>
    <w:rsid w:val="00374A8E"/>
    <w:rsid w:val="003842A9"/>
    <w:rsid w:val="00396081"/>
    <w:rsid w:val="00396A4C"/>
    <w:rsid w:val="003A57EA"/>
    <w:rsid w:val="003A6182"/>
    <w:rsid w:val="003B10A1"/>
    <w:rsid w:val="003B4559"/>
    <w:rsid w:val="003E1CC5"/>
    <w:rsid w:val="0040388C"/>
    <w:rsid w:val="00415899"/>
    <w:rsid w:val="0042152F"/>
    <w:rsid w:val="00421ED4"/>
    <w:rsid w:val="0047580B"/>
    <w:rsid w:val="00483ECC"/>
    <w:rsid w:val="00484CF4"/>
    <w:rsid w:val="004905B1"/>
    <w:rsid w:val="00497A16"/>
    <w:rsid w:val="004D0064"/>
    <w:rsid w:val="004D5B56"/>
    <w:rsid w:val="00517A1C"/>
    <w:rsid w:val="005247AA"/>
    <w:rsid w:val="00524E98"/>
    <w:rsid w:val="0052599D"/>
    <w:rsid w:val="00536F1B"/>
    <w:rsid w:val="0053768F"/>
    <w:rsid w:val="005426B8"/>
    <w:rsid w:val="00543C94"/>
    <w:rsid w:val="00564E5D"/>
    <w:rsid w:val="00586AFC"/>
    <w:rsid w:val="005A4164"/>
    <w:rsid w:val="005A4946"/>
    <w:rsid w:val="005C1890"/>
    <w:rsid w:val="005D7AE0"/>
    <w:rsid w:val="005E2D65"/>
    <w:rsid w:val="005F1C80"/>
    <w:rsid w:val="00615B12"/>
    <w:rsid w:val="00636339"/>
    <w:rsid w:val="00644DE4"/>
    <w:rsid w:val="006623A1"/>
    <w:rsid w:val="00672788"/>
    <w:rsid w:val="006A1CB3"/>
    <w:rsid w:val="006A40CB"/>
    <w:rsid w:val="006A6CE5"/>
    <w:rsid w:val="006D0A69"/>
    <w:rsid w:val="006D3E8F"/>
    <w:rsid w:val="006D668D"/>
    <w:rsid w:val="0073714A"/>
    <w:rsid w:val="00746395"/>
    <w:rsid w:val="00754B38"/>
    <w:rsid w:val="00765E02"/>
    <w:rsid w:val="007703D8"/>
    <w:rsid w:val="00774652"/>
    <w:rsid w:val="00774BB6"/>
    <w:rsid w:val="0077582D"/>
    <w:rsid w:val="00782822"/>
    <w:rsid w:val="007935A3"/>
    <w:rsid w:val="007B3709"/>
    <w:rsid w:val="007B376A"/>
    <w:rsid w:val="007C6CC1"/>
    <w:rsid w:val="007D3203"/>
    <w:rsid w:val="007E3FFD"/>
    <w:rsid w:val="00802562"/>
    <w:rsid w:val="00880D61"/>
    <w:rsid w:val="008C4F9E"/>
    <w:rsid w:val="008F0FC3"/>
    <w:rsid w:val="008F7DDF"/>
    <w:rsid w:val="009009FA"/>
    <w:rsid w:val="00900E95"/>
    <w:rsid w:val="00924377"/>
    <w:rsid w:val="009A673B"/>
    <w:rsid w:val="009A7001"/>
    <w:rsid w:val="009F0FB8"/>
    <w:rsid w:val="00A27505"/>
    <w:rsid w:val="00A94682"/>
    <w:rsid w:val="00AB5F08"/>
    <w:rsid w:val="00AF1A14"/>
    <w:rsid w:val="00B02EDD"/>
    <w:rsid w:val="00B243B0"/>
    <w:rsid w:val="00B25B05"/>
    <w:rsid w:val="00B35997"/>
    <w:rsid w:val="00B53DAD"/>
    <w:rsid w:val="00B7066C"/>
    <w:rsid w:val="00B719FE"/>
    <w:rsid w:val="00B82951"/>
    <w:rsid w:val="00B90E40"/>
    <w:rsid w:val="00BF2C96"/>
    <w:rsid w:val="00BF7B83"/>
    <w:rsid w:val="00C0178F"/>
    <w:rsid w:val="00C158F6"/>
    <w:rsid w:val="00C1786A"/>
    <w:rsid w:val="00C3714C"/>
    <w:rsid w:val="00C40CF1"/>
    <w:rsid w:val="00C41136"/>
    <w:rsid w:val="00C4154F"/>
    <w:rsid w:val="00C573ED"/>
    <w:rsid w:val="00C620D8"/>
    <w:rsid w:val="00C65236"/>
    <w:rsid w:val="00C66330"/>
    <w:rsid w:val="00C751B0"/>
    <w:rsid w:val="00C948D8"/>
    <w:rsid w:val="00CA3F3F"/>
    <w:rsid w:val="00CB7656"/>
    <w:rsid w:val="00CC5C7C"/>
    <w:rsid w:val="00CC7627"/>
    <w:rsid w:val="00CD20B0"/>
    <w:rsid w:val="00CE1046"/>
    <w:rsid w:val="00CE2747"/>
    <w:rsid w:val="00CF2D38"/>
    <w:rsid w:val="00D17541"/>
    <w:rsid w:val="00D3650E"/>
    <w:rsid w:val="00D435C7"/>
    <w:rsid w:val="00D60490"/>
    <w:rsid w:val="00D62055"/>
    <w:rsid w:val="00D62A22"/>
    <w:rsid w:val="00D707CE"/>
    <w:rsid w:val="00DC100B"/>
    <w:rsid w:val="00DC1582"/>
    <w:rsid w:val="00DD02E1"/>
    <w:rsid w:val="00DD07EC"/>
    <w:rsid w:val="00DF05C3"/>
    <w:rsid w:val="00E01A62"/>
    <w:rsid w:val="00E104B7"/>
    <w:rsid w:val="00E23EB8"/>
    <w:rsid w:val="00E56D01"/>
    <w:rsid w:val="00E91772"/>
    <w:rsid w:val="00E917EE"/>
    <w:rsid w:val="00E94881"/>
    <w:rsid w:val="00E96C8A"/>
    <w:rsid w:val="00EB63DA"/>
    <w:rsid w:val="00EC639E"/>
    <w:rsid w:val="00ED6E29"/>
    <w:rsid w:val="00EE253E"/>
    <w:rsid w:val="00EE6A68"/>
    <w:rsid w:val="00F03EAF"/>
    <w:rsid w:val="00F1074E"/>
    <w:rsid w:val="00F1433F"/>
    <w:rsid w:val="00F35DA8"/>
    <w:rsid w:val="00F46B1F"/>
    <w:rsid w:val="00F849B0"/>
    <w:rsid w:val="00FA7214"/>
    <w:rsid w:val="00FC2793"/>
    <w:rsid w:val="00FC5470"/>
    <w:rsid w:val="00FC713D"/>
    <w:rsid w:val="00FD4867"/>
    <w:rsid w:val="00FD5ED8"/>
    <w:rsid w:val="00FE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A8"/>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35DA8"/>
    <w:pPr>
      <w:tabs>
        <w:tab w:val="center" w:pos="4320"/>
        <w:tab w:val="right" w:pos="8640"/>
      </w:tabs>
    </w:pPr>
  </w:style>
  <w:style w:type="character" w:customStyle="1" w:styleId="FooterChar">
    <w:name w:val="Footer Char"/>
    <w:basedOn w:val="DefaultParagraphFont"/>
    <w:link w:val="Footer"/>
    <w:rsid w:val="00F35DA8"/>
    <w:rPr>
      <w:rFonts w:ascii="Arial" w:eastAsia="SimSun" w:hAnsi="Arial" w:cs="Arial"/>
      <w:szCs w:val="20"/>
      <w:lang w:eastAsia="zh-CN"/>
    </w:rPr>
  </w:style>
  <w:style w:type="paragraph" w:customStyle="1" w:styleId="ONUME">
    <w:name w:val="ONUM E"/>
    <w:basedOn w:val="BodyText"/>
    <w:link w:val="ONUMEChar"/>
    <w:rsid w:val="00F35DA8"/>
    <w:pPr>
      <w:numPr>
        <w:numId w:val="1"/>
      </w:numPr>
      <w:spacing w:after="220"/>
    </w:pPr>
  </w:style>
  <w:style w:type="character" w:customStyle="1" w:styleId="ONUMEChar">
    <w:name w:val="ONUM E Char"/>
    <w:link w:val="ONUME"/>
    <w:rsid w:val="00F35DA8"/>
    <w:rPr>
      <w:rFonts w:ascii="Arial" w:eastAsia="SimSun" w:hAnsi="Arial" w:cs="Arial"/>
      <w:szCs w:val="20"/>
      <w:lang w:eastAsia="zh-CN"/>
    </w:rPr>
  </w:style>
  <w:style w:type="paragraph" w:styleId="ListParagraph">
    <w:name w:val="List Paragraph"/>
    <w:basedOn w:val="Normal"/>
    <w:uiPriority w:val="34"/>
    <w:qFormat/>
    <w:rsid w:val="00F35DA8"/>
    <w:pPr>
      <w:ind w:left="720"/>
      <w:contextualSpacing/>
    </w:pPr>
  </w:style>
  <w:style w:type="paragraph" w:customStyle="1" w:styleId="Endofdocument">
    <w:name w:val="End of document"/>
    <w:basedOn w:val="Normal"/>
    <w:rsid w:val="00F35DA8"/>
    <w:pPr>
      <w:spacing w:after="120" w:line="260" w:lineRule="atLeast"/>
      <w:ind w:left="5534"/>
    </w:pPr>
    <w:rPr>
      <w:rFonts w:eastAsia="Times New Roman" w:cs="Times New Roman"/>
      <w:sz w:val="20"/>
      <w:lang w:eastAsia="en-US"/>
    </w:rPr>
  </w:style>
  <w:style w:type="character" w:styleId="PageNumber">
    <w:name w:val="page number"/>
    <w:basedOn w:val="DefaultParagraphFont"/>
    <w:rsid w:val="00F35DA8"/>
  </w:style>
  <w:style w:type="paragraph" w:styleId="BodyText">
    <w:name w:val="Body Text"/>
    <w:basedOn w:val="Normal"/>
    <w:link w:val="BodyTextChar"/>
    <w:uiPriority w:val="99"/>
    <w:semiHidden/>
    <w:unhideWhenUsed/>
    <w:rsid w:val="00F35DA8"/>
    <w:pPr>
      <w:spacing w:after="120"/>
    </w:pPr>
  </w:style>
  <w:style w:type="character" w:customStyle="1" w:styleId="BodyTextChar">
    <w:name w:val="Body Text Char"/>
    <w:basedOn w:val="DefaultParagraphFont"/>
    <w:link w:val="BodyText"/>
    <w:uiPriority w:val="99"/>
    <w:semiHidden/>
    <w:rsid w:val="00F35DA8"/>
    <w:rPr>
      <w:rFonts w:ascii="Arial" w:eastAsia="SimSun" w:hAnsi="Arial" w:cs="Arial"/>
      <w:szCs w:val="20"/>
      <w:lang w:eastAsia="zh-CN"/>
    </w:rPr>
  </w:style>
  <w:style w:type="paragraph" w:styleId="BalloonText">
    <w:name w:val="Balloon Text"/>
    <w:basedOn w:val="Normal"/>
    <w:link w:val="BalloonTextChar"/>
    <w:uiPriority w:val="99"/>
    <w:semiHidden/>
    <w:unhideWhenUsed/>
    <w:rsid w:val="00F35DA8"/>
    <w:rPr>
      <w:rFonts w:ascii="Tahoma" w:hAnsi="Tahoma" w:cs="Tahoma"/>
      <w:sz w:val="16"/>
      <w:szCs w:val="16"/>
    </w:rPr>
  </w:style>
  <w:style w:type="character" w:customStyle="1" w:styleId="BalloonTextChar">
    <w:name w:val="Balloon Text Char"/>
    <w:basedOn w:val="DefaultParagraphFont"/>
    <w:link w:val="BalloonText"/>
    <w:uiPriority w:val="99"/>
    <w:semiHidden/>
    <w:rsid w:val="00F35DA8"/>
    <w:rPr>
      <w:rFonts w:ascii="Tahoma" w:eastAsia="SimSun" w:hAnsi="Tahoma" w:cs="Tahoma"/>
      <w:sz w:val="16"/>
      <w:szCs w:val="16"/>
      <w:lang w:eastAsia="zh-CN"/>
    </w:rPr>
  </w:style>
  <w:style w:type="paragraph" w:styleId="Header">
    <w:name w:val="header"/>
    <w:basedOn w:val="Normal"/>
    <w:link w:val="HeaderChar"/>
    <w:uiPriority w:val="99"/>
    <w:unhideWhenUsed/>
    <w:rsid w:val="004D5B56"/>
    <w:pPr>
      <w:tabs>
        <w:tab w:val="center" w:pos="4680"/>
        <w:tab w:val="right" w:pos="9360"/>
      </w:tabs>
    </w:pPr>
  </w:style>
  <w:style w:type="character" w:customStyle="1" w:styleId="HeaderChar">
    <w:name w:val="Header Char"/>
    <w:basedOn w:val="DefaultParagraphFont"/>
    <w:link w:val="Header"/>
    <w:uiPriority w:val="99"/>
    <w:rsid w:val="004D5B56"/>
    <w:rPr>
      <w:rFonts w:ascii="Arial" w:eastAsia="SimSun" w:hAnsi="Arial" w:cs="Arial"/>
      <w:szCs w:val="20"/>
      <w:lang w:eastAsia="zh-CN"/>
    </w:rPr>
  </w:style>
  <w:style w:type="paragraph" w:styleId="CommentText">
    <w:name w:val="annotation text"/>
    <w:basedOn w:val="Normal"/>
    <w:link w:val="CommentTextChar"/>
    <w:semiHidden/>
    <w:rsid w:val="00C3714C"/>
    <w:rPr>
      <w:sz w:val="18"/>
    </w:rPr>
  </w:style>
  <w:style w:type="character" w:customStyle="1" w:styleId="CommentTextChar">
    <w:name w:val="Comment Text Char"/>
    <w:basedOn w:val="DefaultParagraphFont"/>
    <w:link w:val="CommentText"/>
    <w:semiHidden/>
    <w:rsid w:val="00C3714C"/>
    <w:rPr>
      <w:rFonts w:ascii="Arial" w:eastAsia="SimSun" w:hAnsi="Arial" w:cs="Arial"/>
      <w:sz w:val="18"/>
      <w:szCs w:val="20"/>
      <w:lang w:eastAsia="zh-CN"/>
    </w:rPr>
  </w:style>
  <w:style w:type="paragraph" w:styleId="FootnoteText">
    <w:name w:val="footnote text"/>
    <w:basedOn w:val="Normal"/>
    <w:link w:val="FootnoteTextChar"/>
    <w:semiHidden/>
    <w:rsid w:val="00C3714C"/>
    <w:rPr>
      <w:sz w:val="18"/>
    </w:rPr>
  </w:style>
  <w:style w:type="character" w:customStyle="1" w:styleId="FootnoteTextChar">
    <w:name w:val="Footnote Text Char"/>
    <w:basedOn w:val="DefaultParagraphFont"/>
    <w:link w:val="FootnoteText"/>
    <w:semiHidden/>
    <w:rsid w:val="00C3714C"/>
    <w:rPr>
      <w:rFonts w:ascii="Arial" w:eastAsia="SimSun" w:hAnsi="Arial" w:cs="Arial"/>
      <w:sz w:val="18"/>
      <w:szCs w:val="20"/>
      <w:lang w:eastAsia="zh-CN"/>
    </w:rPr>
  </w:style>
  <w:style w:type="character" w:styleId="FootnoteReference">
    <w:name w:val="footnote reference"/>
    <w:basedOn w:val="DefaultParagraphFont"/>
    <w:rsid w:val="00C3714C"/>
    <w:rPr>
      <w:vertAlign w:val="superscript"/>
    </w:rPr>
  </w:style>
  <w:style w:type="character" w:styleId="Hyperlink">
    <w:name w:val="Hyperlink"/>
    <w:basedOn w:val="DefaultParagraphFont"/>
    <w:rsid w:val="00C3714C"/>
    <w:rPr>
      <w:color w:val="003399"/>
      <w:u w:val="single"/>
    </w:rPr>
  </w:style>
  <w:style w:type="character" w:styleId="CommentReference">
    <w:name w:val="annotation reference"/>
    <w:basedOn w:val="DefaultParagraphFont"/>
    <w:rsid w:val="00C3714C"/>
    <w:rPr>
      <w:sz w:val="16"/>
      <w:szCs w:val="16"/>
    </w:rPr>
  </w:style>
  <w:style w:type="paragraph" w:styleId="CommentSubject">
    <w:name w:val="annotation subject"/>
    <w:basedOn w:val="CommentText"/>
    <w:next w:val="CommentText"/>
    <w:link w:val="CommentSubjectChar"/>
    <w:uiPriority w:val="99"/>
    <w:semiHidden/>
    <w:unhideWhenUsed/>
    <w:rsid w:val="00484CF4"/>
    <w:rPr>
      <w:b/>
      <w:bCs/>
      <w:sz w:val="20"/>
    </w:rPr>
  </w:style>
  <w:style w:type="character" w:customStyle="1" w:styleId="CommentSubjectChar">
    <w:name w:val="Comment Subject Char"/>
    <w:basedOn w:val="CommentTextChar"/>
    <w:link w:val="CommentSubject"/>
    <w:uiPriority w:val="99"/>
    <w:semiHidden/>
    <w:rsid w:val="00484CF4"/>
    <w:rPr>
      <w:rFonts w:ascii="Arial" w:eastAsia="SimSun" w:hAnsi="Arial" w:cs="Arial"/>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A8"/>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35DA8"/>
    <w:pPr>
      <w:tabs>
        <w:tab w:val="center" w:pos="4320"/>
        <w:tab w:val="right" w:pos="8640"/>
      </w:tabs>
    </w:pPr>
  </w:style>
  <w:style w:type="character" w:customStyle="1" w:styleId="FooterChar">
    <w:name w:val="Footer Char"/>
    <w:basedOn w:val="DefaultParagraphFont"/>
    <w:link w:val="Footer"/>
    <w:rsid w:val="00F35DA8"/>
    <w:rPr>
      <w:rFonts w:ascii="Arial" w:eastAsia="SimSun" w:hAnsi="Arial" w:cs="Arial"/>
      <w:szCs w:val="20"/>
      <w:lang w:eastAsia="zh-CN"/>
    </w:rPr>
  </w:style>
  <w:style w:type="paragraph" w:customStyle="1" w:styleId="ONUME">
    <w:name w:val="ONUM E"/>
    <w:basedOn w:val="BodyText"/>
    <w:link w:val="ONUMEChar"/>
    <w:rsid w:val="00F35DA8"/>
    <w:pPr>
      <w:numPr>
        <w:numId w:val="1"/>
      </w:numPr>
      <w:spacing w:after="220"/>
    </w:pPr>
  </w:style>
  <w:style w:type="character" w:customStyle="1" w:styleId="ONUMEChar">
    <w:name w:val="ONUM E Char"/>
    <w:link w:val="ONUME"/>
    <w:rsid w:val="00F35DA8"/>
    <w:rPr>
      <w:rFonts w:ascii="Arial" w:eastAsia="SimSun" w:hAnsi="Arial" w:cs="Arial"/>
      <w:szCs w:val="20"/>
      <w:lang w:eastAsia="zh-CN"/>
    </w:rPr>
  </w:style>
  <w:style w:type="paragraph" w:styleId="ListParagraph">
    <w:name w:val="List Paragraph"/>
    <w:basedOn w:val="Normal"/>
    <w:uiPriority w:val="34"/>
    <w:qFormat/>
    <w:rsid w:val="00F35DA8"/>
    <w:pPr>
      <w:ind w:left="720"/>
      <w:contextualSpacing/>
    </w:pPr>
  </w:style>
  <w:style w:type="paragraph" w:customStyle="1" w:styleId="Endofdocument">
    <w:name w:val="End of document"/>
    <w:basedOn w:val="Normal"/>
    <w:rsid w:val="00F35DA8"/>
    <w:pPr>
      <w:spacing w:after="120" w:line="260" w:lineRule="atLeast"/>
      <w:ind w:left="5534"/>
    </w:pPr>
    <w:rPr>
      <w:rFonts w:eastAsia="Times New Roman" w:cs="Times New Roman"/>
      <w:sz w:val="20"/>
      <w:lang w:eastAsia="en-US"/>
    </w:rPr>
  </w:style>
  <w:style w:type="character" w:styleId="PageNumber">
    <w:name w:val="page number"/>
    <w:basedOn w:val="DefaultParagraphFont"/>
    <w:rsid w:val="00F35DA8"/>
  </w:style>
  <w:style w:type="paragraph" w:styleId="BodyText">
    <w:name w:val="Body Text"/>
    <w:basedOn w:val="Normal"/>
    <w:link w:val="BodyTextChar"/>
    <w:uiPriority w:val="99"/>
    <w:semiHidden/>
    <w:unhideWhenUsed/>
    <w:rsid w:val="00F35DA8"/>
    <w:pPr>
      <w:spacing w:after="120"/>
    </w:pPr>
  </w:style>
  <w:style w:type="character" w:customStyle="1" w:styleId="BodyTextChar">
    <w:name w:val="Body Text Char"/>
    <w:basedOn w:val="DefaultParagraphFont"/>
    <w:link w:val="BodyText"/>
    <w:uiPriority w:val="99"/>
    <w:semiHidden/>
    <w:rsid w:val="00F35DA8"/>
    <w:rPr>
      <w:rFonts w:ascii="Arial" w:eastAsia="SimSun" w:hAnsi="Arial" w:cs="Arial"/>
      <w:szCs w:val="20"/>
      <w:lang w:eastAsia="zh-CN"/>
    </w:rPr>
  </w:style>
  <w:style w:type="paragraph" w:styleId="BalloonText">
    <w:name w:val="Balloon Text"/>
    <w:basedOn w:val="Normal"/>
    <w:link w:val="BalloonTextChar"/>
    <w:uiPriority w:val="99"/>
    <w:semiHidden/>
    <w:unhideWhenUsed/>
    <w:rsid w:val="00F35DA8"/>
    <w:rPr>
      <w:rFonts w:ascii="Tahoma" w:hAnsi="Tahoma" w:cs="Tahoma"/>
      <w:sz w:val="16"/>
      <w:szCs w:val="16"/>
    </w:rPr>
  </w:style>
  <w:style w:type="character" w:customStyle="1" w:styleId="BalloonTextChar">
    <w:name w:val="Balloon Text Char"/>
    <w:basedOn w:val="DefaultParagraphFont"/>
    <w:link w:val="BalloonText"/>
    <w:uiPriority w:val="99"/>
    <w:semiHidden/>
    <w:rsid w:val="00F35DA8"/>
    <w:rPr>
      <w:rFonts w:ascii="Tahoma" w:eastAsia="SimSun" w:hAnsi="Tahoma" w:cs="Tahoma"/>
      <w:sz w:val="16"/>
      <w:szCs w:val="16"/>
      <w:lang w:eastAsia="zh-CN"/>
    </w:rPr>
  </w:style>
  <w:style w:type="paragraph" w:styleId="Header">
    <w:name w:val="header"/>
    <w:basedOn w:val="Normal"/>
    <w:link w:val="HeaderChar"/>
    <w:uiPriority w:val="99"/>
    <w:unhideWhenUsed/>
    <w:rsid w:val="004D5B56"/>
    <w:pPr>
      <w:tabs>
        <w:tab w:val="center" w:pos="4680"/>
        <w:tab w:val="right" w:pos="9360"/>
      </w:tabs>
    </w:pPr>
  </w:style>
  <w:style w:type="character" w:customStyle="1" w:styleId="HeaderChar">
    <w:name w:val="Header Char"/>
    <w:basedOn w:val="DefaultParagraphFont"/>
    <w:link w:val="Header"/>
    <w:uiPriority w:val="99"/>
    <w:rsid w:val="004D5B56"/>
    <w:rPr>
      <w:rFonts w:ascii="Arial" w:eastAsia="SimSun" w:hAnsi="Arial" w:cs="Arial"/>
      <w:szCs w:val="20"/>
      <w:lang w:eastAsia="zh-CN"/>
    </w:rPr>
  </w:style>
  <w:style w:type="paragraph" w:styleId="CommentText">
    <w:name w:val="annotation text"/>
    <w:basedOn w:val="Normal"/>
    <w:link w:val="CommentTextChar"/>
    <w:semiHidden/>
    <w:rsid w:val="00C3714C"/>
    <w:rPr>
      <w:sz w:val="18"/>
    </w:rPr>
  </w:style>
  <w:style w:type="character" w:customStyle="1" w:styleId="CommentTextChar">
    <w:name w:val="Comment Text Char"/>
    <w:basedOn w:val="DefaultParagraphFont"/>
    <w:link w:val="CommentText"/>
    <w:semiHidden/>
    <w:rsid w:val="00C3714C"/>
    <w:rPr>
      <w:rFonts w:ascii="Arial" w:eastAsia="SimSun" w:hAnsi="Arial" w:cs="Arial"/>
      <w:sz w:val="18"/>
      <w:szCs w:val="20"/>
      <w:lang w:eastAsia="zh-CN"/>
    </w:rPr>
  </w:style>
  <w:style w:type="paragraph" w:styleId="FootnoteText">
    <w:name w:val="footnote text"/>
    <w:basedOn w:val="Normal"/>
    <w:link w:val="FootnoteTextChar"/>
    <w:semiHidden/>
    <w:rsid w:val="00C3714C"/>
    <w:rPr>
      <w:sz w:val="18"/>
    </w:rPr>
  </w:style>
  <w:style w:type="character" w:customStyle="1" w:styleId="FootnoteTextChar">
    <w:name w:val="Footnote Text Char"/>
    <w:basedOn w:val="DefaultParagraphFont"/>
    <w:link w:val="FootnoteText"/>
    <w:semiHidden/>
    <w:rsid w:val="00C3714C"/>
    <w:rPr>
      <w:rFonts w:ascii="Arial" w:eastAsia="SimSun" w:hAnsi="Arial" w:cs="Arial"/>
      <w:sz w:val="18"/>
      <w:szCs w:val="20"/>
      <w:lang w:eastAsia="zh-CN"/>
    </w:rPr>
  </w:style>
  <w:style w:type="character" w:styleId="FootnoteReference">
    <w:name w:val="footnote reference"/>
    <w:basedOn w:val="DefaultParagraphFont"/>
    <w:rsid w:val="00C3714C"/>
    <w:rPr>
      <w:vertAlign w:val="superscript"/>
    </w:rPr>
  </w:style>
  <w:style w:type="character" w:styleId="Hyperlink">
    <w:name w:val="Hyperlink"/>
    <w:basedOn w:val="DefaultParagraphFont"/>
    <w:rsid w:val="00C3714C"/>
    <w:rPr>
      <w:color w:val="003399"/>
      <w:u w:val="single"/>
    </w:rPr>
  </w:style>
  <w:style w:type="character" w:styleId="CommentReference">
    <w:name w:val="annotation reference"/>
    <w:basedOn w:val="DefaultParagraphFont"/>
    <w:rsid w:val="00C3714C"/>
    <w:rPr>
      <w:sz w:val="16"/>
      <w:szCs w:val="16"/>
    </w:rPr>
  </w:style>
  <w:style w:type="paragraph" w:styleId="CommentSubject">
    <w:name w:val="annotation subject"/>
    <w:basedOn w:val="CommentText"/>
    <w:next w:val="CommentText"/>
    <w:link w:val="CommentSubjectChar"/>
    <w:uiPriority w:val="99"/>
    <w:semiHidden/>
    <w:unhideWhenUsed/>
    <w:rsid w:val="00484CF4"/>
    <w:rPr>
      <w:b/>
      <w:bCs/>
      <w:sz w:val="20"/>
    </w:rPr>
  </w:style>
  <w:style w:type="character" w:customStyle="1" w:styleId="CommentSubjectChar">
    <w:name w:val="Comment Subject Char"/>
    <w:basedOn w:val="CommentTextChar"/>
    <w:link w:val="CommentSubject"/>
    <w:uiPriority w:val="99"/>
    <w:semiHidden/>
    <w:rsid w:val="00484CF4"/>
    <w:rPr>
      <w:rFonts w:ascii="Arial" w:eastAsia="SimSun"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7368">
      <w:bodyDiv w:val="1"/>
      <w:marLeft w:val="0"/>
      <w:marRight w:val="0"/>
      <w:marTop w:val="0"/>
      <w:marBottom w:val="0"/>
      <w:divBdr>
        <w:top w:val="none" w:sz="0" w:space="0" w:color="auto"/>
        <w:left w:val="none" w:sz="0" w:space="0" w:color="auto"/>
        <w:bottom w:val="none" w:sz="0" w:space="0" w:color="auto"/>
        <w:right w:val="none" w:sz="0" w:space="0" w:color="auto"/>
      </w:divBdr>
    </w:div>
    <w:div w:id="885675626">
      <w:bodyDiv w:val="1"/>
      <w:marLeft w:val="0"/>
      <w:marRight w:val="0"/>
      <w:marTop w:val="0"/>
      <w:marBottom w:val="0"/>
      <w:divBdr>
        <w:top w:val="none" w:sz="0" w:space="0" w:color="auto"/>
        <w:left w:val="none" w:sz="0" w:space="0" w:color="auto"/>
        <w:bottom w:val="none" w:sz="0" w:space="0" w:color="auto"/>
        <w:right w:val="none" w:sz="0" w:space="0" w:color="auto"/>
      </w:divBdr>
    </w:div>
    <w:div w:id="18318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CD4B3-A338-4DDC-915F-4A8B9B55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5261</Words>
  <Characters>29994</Characters>
  <Application>Microsoft Office Word</Application>
  <DocSecurity>2</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NARAYANASWAMY Chitra</dc:creator>
  <cp:lastModifiedBy>NECHIPORENKO Anna</cp:lastModifiedBy>
  <cp:revision>3</cp:revision>
  <cp:lastPrinted>2015-06-15T16:24:00Z</cp:lastPrinted>
  <dcterms:created xsi:type="dcterms:W3CDTF">2015-06-30T09:01:00Z</dcterms:created>
  <dcterms:modified xsi:type="dcterms:W3CDTF">2015-06-30T09:05:00Z</dcterms:modified>
</cp:coreProperties>
</file>