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9108" w14:textId="77777777" w:rsidR="008B2CC1" w:rsidRPr="00087F6D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6F9DBEC9" wp14:editId="3DA84E99">
            <wp:extent cx="2603974" cy="13081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974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B0C66EF" wp14:editId="65D5B3C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D7D6EEE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25CE0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7EB1AEE1" w14:textId="0634B599" w:rsidR="008B2CC1" w:rsidRPr="00087F6D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WO/GA/60/</w:t>
      </w:r>
      <w:bookmarkStart w:id="0" w:name="Code"/>
      <w:bookmarkEnd w:id="0"/>
      <w:r>
        <w:rPr>
          <w:rFonts w:ascii="Arial Black" w:hAnsi="Arial Black"/>
          <w:caps/>
          <w:sz w:val="15"/>
        </w:rPr>
        <w:t>9</w:t>
      </w:r>
    </w:p>
    <w:p w14:paraId="018ED8D1" w14:textId="2F276FEC" w:rsidR="00CE65D4" w:rsidRPr="00087F6D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0206CC4" w14:textId="6A13A720" w:rsidR="008B2CC1" w:rsidRPr="00087F6D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22 июня 2026 года</w:t>
      </w:r>
    </w:p>
    <w:bookmarkEnd w:id="2"/>
    <w:p w14:paraId="56F986CD" w14:textId="77777777" w:rsidR="008B2CC1" w:rsidRPr="00087F6D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3DB5457B" w14:textId="25747AD4" w:rsidR="008B2CC1" w:rsidRPr="00087F6D" w:rsidRDefault="00BD5E20" w:rsidP="008B2CC1">
      <w:pPr>
        <w:rPr>
          <w:b/>
          <w:sz w:val="24"/>
          <w:szCs w:val="24"/>
        </w:rPr>
      </w:pPr>
      <w:r>
        <w:rPr>
          <w:b/>
          <w:sz w:val="24"/>
        </w:rPr>
        <w:t>Шестидесятая (33-я внеочередная) сессия</w:t>
      </w:r>
    </w:p>
    <w:p w14:paraId="6E3765CF" w14:textId="77777777" w:rsidR="008B2CC1" w:rsidRPr="00087F6D" w:rsidRDefault="00A9118D" w:rsidP="00CE65D4">
      <w:pPr>
        <w:spacing w:after="720"/>
      </w:pPr>
      <w:r>
        <w:rPr>
          <w:b/>
          <w:sz w:val="24"/>
        </w:rPr>
        <w:t>Женева, 7–15 июля 2026 года</w:t>
      </w:r>
    </w:p>
    <w:p w14:paraId="5E49A624" w14:textId="1CD9280B" w:rsidR="008B2CC1" w:rsidRPr="00087F6D" w:rsidRDefault="002A14AF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работе Консультативного комитета по защите прав (ККЗП)</w:t>
      </w:r>
    </w:p>
    <w:p w14:paraId="4A779B4E" w14:textId="1A7002C4" w:rsidR="008B2CC1" w:rsidRPr="008F3DF3" w:rsidRDefault="002A14AF" w:rsidP="00CE65D4">
      <w:pPr>
        <w:spacing w:after="960"/>
        <w:rPr>
          <w:i/>
          <w:iCs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696B8141" w14:textId="038F51CC" w:rsidR="002A14AF" w:rsidRPr="00087F6D" w:rsidRDefault="002A14AF" w:rsidP="003A0995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В отчетный период Консультативный комитет по защите прав (ККЗП) провел восемнадцатую сессию со 2 по 4 июня 2026 года в штаб-квартире Всемирной организации интеллектуальной собственности (ВОИС) в Женеве.  На сессии присутствовал 251 участник, представлявший 85 государств-членов, 27 наблюдателей и Европейский союз.  Заседание проходило под председательством г-на Тима Вернера (Швейцария). Функции заместителей Председателя выполняли г-жа Кристин Пангилинан-Канлапан (Филиппины) и г-н Диего Перес Берналь (Парагвай).  Комитет избрал г-на Фаусто Винриха Энрикеса (Перу) Председателем и г-жу Катерину Длаболову (Чешская Республика) и г</w:t>
      </w:r>
      <w:r w:rsidR="00A30669">
        <w:noBreakHyphen/>
      </w:r>
      <w:r>
        <w:t>на</w:t>
      </w:r>
      <w:r w:rsidR="00A30669">
        <w:t> </w:t>
      </w:r>
      <w:r>
        <w:t xml:space="preserve">Роби Мбугуа </w:t>
      </w:r>
      <w:r w:rsidR="00186F71" w:rsidRPr="00186F71">
        <w:t xml:space="preserve">Ньороге </w:t>
      </w:r>
      <w:r>
        <w:t>Кинга (Кения) заместителями Председателя девятнадцатой сессии</w:t>
      </w:r>
      <w:r w:rsidR="009C7902">
        <w:t> </w:t>
      </w:r>
      <w:r>
        <w:t xml:space="preserve">ККЗП. </w:t>
      </w:r>
    </w:p>
    <w:p w14:paraId="5C4A94F8" w14:textId="77777777" w:rsidR="002A14AF" w:rsidRPr="00087F6D" w:rsidRDefault="002A14AF" w:rsidP="003A0995">
      <w:pPr>
        <w:rPr>
          <w:szCs w:val="22"/>
        </w:rPr>
      </w:pPr>
    </w:p>
    <w:p w14:paraId="3441DFB0" w14:textId="4A0CE674" w:rsidR="002A14AF" w:rsidRPr="00087F6D" w:rsidRDefault="002A14AF" w:rsidP="003A0995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Программа работы восемнадцатой сессии ККЗП была построена вокруг следующих тем:</w:t>
      </w:r>
    </w:p>
    <w:p w14:paraId="5E2F2480" w14:textId="77777777" w:rsidR="002A14AF" w:rsidRPr="00087F6D" w:rsidRDefault="002A14AF" w:rsidP="003A0995">
      <w:pPr>
        <w:pStyle w:val="ListParagraph"/>
        <w:ind w:left="0"/>
        <w:rPr>
          <w:szCs w:val="22"/>
        </w:rPr>
      </w:pPr>
    </w:p>
    <w:p w14:paraId="519819DE" w14:textId="5C4C2F61" w:rsidR="002A14AF" w:rsidRPr="00087F6D" w:rsidRDefault="002A14AF" w:rsidP="003A0995">
      <w:pPr>
        <w:pStyle w:val="ListParagraph"/>
        <w:numPr>
          <w:ilvl w:val="0"/>
          <w:numId w:val="17"/>
        </w:numPr>
        <w:ind w:firstLine="0"/>
        <w:rPr>
          <w:szCs w:val="22"/>
        </w:rPr>
      </w:pPr>
      <w:r>
        <w:t>обмен информацией о национальном опыте осуществления информационно-просветительских кампаний и стратегий как способа обеспечения уважения интеллектуальной собственности (ИС) широкой общественностью, в особенности молодежью, в соответствии с приоритетами государств-членов в области образования и в других областях;</w:t>
      </w:r>
    </w:p>
    <w:p w14:paraId="53252B8B" w14:textId="77777777" w:rsidR="002A14AF" w:rsidRPr="00087F6D" w:rsidRDefault="002A14AF" w:rsidP="003A0995">
      <w:pPr>
        <w:rPr>
          <w:szCs w:val="22"/>
        </w:rPr>
      </w:pPr>
    </w:p>
    <w:p w14:paraId="540461CA" w14:textId="2D1D7637" w:rsidR="002A14AF" w:rsidRPr="00087F6D" w:rsidRDefault="002A14AF" w:rsidP="003A0995">
      <w:pPr>
        <w:pStyle w:val="ListParagraph"/>
        <w:numPr>
          <w:ilvl w:val="0"/>
          <w:numId w:val="17"/>
        </w:numPr>
        <w:ind w:firstLine="0"/>
        <w:rPr>
          <w:szCs w:val="22"/>
        </w:rPr>
      </w:pPr>
      <w:r>
        <w:t>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ИС; </w:t>
      </w:r>
    </w:p>
    <w:p w14:paraId="748EAF8C" w14:textId="2BFFA465" w:rsidR="002A14AF" w:rsidRPr="00087F6D" w:rsidRDefault="002A14AF" w:rsidP="003A0995">
      <w:pPr>
        <w:rPr>
          <w:szCs w:val="22"/>
        </w:rPr>
      </w:pPr>
    </w:p>
    <w:p w14:paraId="20F175A3" w14:textId="6D53A72B" w:rsidR="002A14AF" w:rsidRPr="00087F6D" w:rsidRDefault="002A14AF" w:rsidP="003A0995">
      <w:pPr>
        <w:pStyle w:val="ListParagraph"/>
        <w:numPr>
          <w:ilvl w:val="0"/>
          <w:numId w:val="17"/>
        </w:numPr>
        <w:ind w:firstLine="0"/>
        <w:rPr>
          <w:szCs w:val="22"/>
        </w:rPr>
      </w:pPr>
      <w:r>
        <w:lastRenderedPageBreak/>
        <w:t>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защиты, с учетом более широких интересов общества и приоритетов государств-членов; </w:t>
      </w:r>
    </w:p>
    <w:p w14:paraId="6A3AB7B8" w14:textId="77777777" w:rsidR="002A14AF" w:rsidRPr="00087F6D" w:rsidRDefault="002A14AF" w:rsidP="003A0995">
      <w:pPr>
        <w:rPr>
          <w:szCs w:val="22"/>
        </w:rPr>
      </w:pPr>
    </w:p>
    <w:p w14:paraId="69A6EEF3" w14:textId="15E16258" w:rsidR="002A14AF" w:rsidRPr="00087F6D" w:rsidRDefault="002A14AF" w:rsidP="003A0995">
      <w:pPr>
        <w:pStyle w:val="ListParagraph"/>
        <w:numPr>
          <w:ilvl w:val="0"/>
          <w:numId w:val="17"/>
        </w:numPr>
        <w:ind w:firstLine="0"/>
        <w:rPr>
          <w:szCs w:val="22"/>
        </w:rPr>
      </w:pPr>
      <w:r>
        <w:t>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ККЗП.</w:t>
      </w:r>
    </w:p>
    <w:p w14:paraId="4429C9B4" w14:textId="77777777" w:rsidR="002A14AF" w:rsidRPr="00087F6D" w:rsidRDefault="002A14AF" w:rsidP="003A0995">
      <w:pPr>
        <w:pStyle w:val="ListParagraph"/>
        <w:ind w:left="0"/>
        <w:rPr>
          <w:szCs w:val="22"/>
        </w:rPr>
      </w:pPr>
    </w:p>
    <w:p w14:paraId="452D6FD9" w14:textId="341E7368" w:rsidR="00A572AF" w:rsidRDefault="002A14AF" w:rsidP="008F3944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Программа работы включала презентацию 33 экспертных докладов, проведение одной групповой дискуссии и обсуждение пяти сообщений Секретариата (см. документы WIPO/ACE/18/4 – WIPO/ACE/18/41).</w:t>
      </w:r>
    </w:p>
    <w:p w14:paraId="5C9C02E6" w14:textId="77777777" w:rsidR="00A572AF" w:rsidRPr="00087F6D" w:rsidRDefault="00A572AF" w:rsidP="003A0995">
      <w:pPr>
        <w:pStyle w:val="ListParagraph"/>
        <w:ind w:left="0"/>
        <w:rPr>
          <w:szCs w:val="22"/>
        </w:rPr>
      </w:pPr>
    </w:p>
    <w:p w14:paraId="4120785D" w14:textId="2C203CE7" w:rsidR="002A14AF" w:rsidRPr="0092388E" w:rsidRDefault="002A14AF" w:rsidP="003A0995">
      <w:pPr>
        <w:pStyle w:val="ListParagraph"/>
        <w:numPr>
          <w:ilvl w:val="0"/>
          <w:numId w:val="7"/>
        </w:numPr>
        <w:ind w:left="0" w:firstLine="0"/>
      </w:pPr>
      <w:r>
        <w:t xml:space="preserve">По пункту A программы работы («Обмен информацией о национальном опыте осуществления информационно-просветительских кампаний и стратегий как способа обеспечения уважения ИС широкой общественностью, в особенности молодежью, </w:t>
      </w:r>
      <w:r w:rsidR="00754976">
        <w:br/>
      </w:r>
      <w:r>
        <w:t>в соответствии с приоритетами государств-членов в области образования и в других областях») 11 государств-членов поделились опытом по теме «Повышение осведомленности об ИС посредством инициатив ведомств ИС».  Состоялись следующие выступления: «Укрепление экосистемы ИС посредством повышения осведомленности общественности и специалистов, а также других инициатив» — г-жа Ани Арутюнян, главный специалист Департамента авторского права и смежных прав Офиса интеллектуальной собственности Республики Армения; «Информирование молодежи:</w:t>
      </w:r>
      <w:r>
        <w:rPr>
          <w:color w:val="000000" w:themeColor="text1"/>
        </w:rPr>
        <w:t xml:space="preserve"> </w:t>
      </w:r>
      <w:r>
        <w:t xml:space="preserve">Интернет-кампания по повышению осведомленности юных потребителей об опасности </w:t>
      </w:r>
      <w:r w:rsidR="00754976">
        <w:br/>
      </w:r>
      <w:r>
        <w:t xml:space="preserve">и последствиях использования контрафактной продукции» — </w:t>
      </w:r>
      <w:r>
        <w:rPr>
          <w:rStyle w:val="normaltextrun"/>
          <w:shd w:val="clear" w:color="auto" w:fill="FFFFFF"/>
        </w:rPr>
        <w:t>г-жа Стефани Легэ, координатор Национального комитета по борьбе с контрафактом, Национальный институт промышленной собственности Франции</w:t>
      </w:r>
      <w:r>
        <w:t xml:space="preserve">; «Повышение осведомленности о вопросах интеллектуальной собственности в Грузии посредством образовательных </w:t>
      </w:r>
      <w:r w:rsidR="00754976">
        <w:br/>
      </w:r>
      <w:r>
        <w:t xml:space="preserve">и информационных мероприятий» — г-жа Дареджани Мчедлидзе, начальник отдела товарных знаков, географических указаний и промышленных образцов Национального центра интеллектуальной собственности Грузии; «Потребление незаконного контента </w:t>
      </w:r>
      <w:r w:rsidR="00754976">
        <w:br/>
      </w:r>
      <w:r>
        <w:t xml:space="preserve">и осведомленность об авторском праве в Республике Корея: результаты тематического опроса» — г-жа Эмили Сонву Пак, специалист отдела политики в области авторского права, управление по вопросам политики в области авторского права при канцелярии </w:t>
      </w:r>
      <w:r w:rsidR="00754976">
        <w:br/>
      </w:r>
      <w:r>
        <w:t>по вопросам культуры и СМИ министерства культуры, спорта и туризма Республики Корея; «Работа с новым поколением: повышение осведомленности молодежи об ИС» — г-жа Илзе Грава, директор Департамента развития и международного сотрудничества Патентного ведомства Латвийской Республики; «Информационно-просветительская работа с целевой аудиторией с учетом ее увлечений:</w:t>
      </w:r>
      <w:r>
        <w:rPr>
          <w:color w:val="000000" w:themeColor="text1"/>
        </w:rPr>
        <w:t xml:space="preserve"> пример кампании </w:t>
      </w:r>
      <w:r w:rsidR="00046D22">
        <w:rPr>
          <w:color w:val="000000" w:themeColor="text1"/>
        </w:rPr>
        <w:t>"</w:t>
      </w:r>
      <w:r>
        <w:rPr>
          <w:color w:val="000000" w:themeColor="text1"/>
        </w:rPr>
        <w:t>Поддерживай футбол — борись с пиратством</w:t>
      </w:r>
      <w:r w:rsidR="00046D22">
        <w:rPr>
          <w:color w:val="000000" w:themeColor="text1"/>
        </w:rPr>
        <w:t>"</w:t>
      </w:r>
      <w:r>
        <w:rPr>
          <w:color w:val="000000" w:themeColor="text1"/>
        </w:rPr>
        <w:t xml:space="preserve">» — г-н Диего </w:t>
      </w:r>
      <w:r>
        <w:rPr>
          <w:rStyle w:val="normaltextrun"/>
          <w:color w:val="000000" w:themeColor="text1"/>
          <w:shd w:val="clear" w:color="auto" w:fill="FFFFFF"/>
        </w:rPr>
        <w:t xml:space="preserve">Перес Бернал, генеральный директор  </w:t>
      </w:r>
      <w:r w:rsidR="00754976">
        <w:rPr>
          <w:rStyle w:val="normaltextrun"/>
          <w:color w:val="000000" w:themeColor="text1"/>
          <w:shd w:val="clear" w:color="auto" w:fill="FFFFFF"/>
        </w:rPr>
        <w:br/>
      </w:r>
      <w:r>
        <w:rPr>
          <w:rStyle w:val="normaltextrun"/>
          <w:color w:val="000000" w:themeColor="text1"/>
          <w:shd w:val="clear" w:color="auto" w:fill="FFFFFF"/>
        </w:rPr>
        <w:t>по вопросам правоприменения Национального управления интеллектуальной собственности Парагвая;</w:t>
      </w:r>
      <w:r>
        <w:rPr>
          <w:color w:val="000000" w:themeColor="text1"/>
        </w:rPr>
        <w:t xml:space="preserve"> «Программа INDECOPI EDUCA: </w:t>
      </w:r>
      <w:r>
        <w:t xml:space="preserve">развитие основ общего начального образования в сфере охраны прав потребителей и интеллектуальной собственности в Перу» — г-н Фаусто Виенрих Энрикес, директор сектора авторского права Национального института защиты свободной конкуренции и охраны интеллектуальной собственности Перу; «Обзор каналов коммуникации </w:t>
      </w:r>
      <w:r w:rsidR="00754976">
        <w:br/>
      </w:r>
      <w:r>
        <w:t xml:space="preserve">и информационных кампаний Ведомства интеллектуальной собственности Соединенного Королевства, ориентированных на молодежную аудиторию» — г-н Майк Бастин, куратор информационных кампаний Ведомства интеллектуальной собственности Соединенного Королевства; «Рекламные кампании по повышению осведомленности о борьбе </w:t>
      </w:r>
      <w:r w:rsidR="00754976">
        <w:br/>
      </w:r>
      <w:r>
        <w:lastRenderedPageBreak/>
        <w:t>с контрафакцией в Испании» — г-жа Сара Бой Кармона, руководитель службы, Испанское ведомство по патентам и товарным знакам; «Работа с молодежью посредством организаций по повышению квалификации учителей» — г-н Роджер Хильдебрандт, руководитель отдела содействия использованию ИС, Ведомство по патентам и товарным знакам Германии; и «Наследие династий Цин и Хань как источник вдохновения, или охрана интеллектуальной собственности с опорой на верховенство закона в интересах всех и каждого: практический опыт и философия провинции Шэ</w:t>
      </w:r>
      <w:r w:rsidR="001379CC">
        <w:t>н</w:t>
      </w:r>
      <w:r>
        <w:t>ьси, Китай» — г</w:t>
      </w:r>
      <w:r w:rsidR="002F1234">
        <w:noBreakHyphen/>
      </w:r>
      <w:r>
        <w:t>жа</w:t>
      </w:r>
      <w:r w:rsidR="002F1234">
        <w:t> </w:t>
      </w:r>
      <w:r>
        <w:t xml:space="preserve">Липин Шэнь, </w:t>
      </w:r>
      <w:r w:rsidR="001379CC">
        <w:t>г</w:t>
      </w:r>
      <w:r>
        <w:t>енеральный директор Ведомства ИС провинции Шэньси (Китай).  Тексты данных выступлений содержатся в документах WIPO/ACE/18/4 – WIPO/ACE/18/11, WIPO/ACE/18/22, WIPO/ACE/18/24 и WIPO/ACE/18/28.  Кроме того, было представлено исследование, проведенное по заказу Секретариата компанией Ipsos (Соединенное Королевство) под названием «Пиратство раскрыто: понимание потребительского восприятия и потребления пиратского контента в Малайзии и Вьетнаме» (WIPO/ACE/18/41).</w:t>
      </w:r>
    </w:p>
    <w:p w14:paraId="15B64FF2" w14:textId="77777777" w:rsidR="002A14AF" w:rsidRPr="00087F6D" w:rsidRDefault="002A14AF" w:rsidP="003A0995">
      <w:pPr>
        <w:pStyle w:val="ListParagraph"/>
        <w:ind w:left="0"/>
        <w:rPr>
          <w:szCs w:val="22"/>
        </w:rPr>
      </w:pPr>
    </w:p>
    <w:p w14:paraId="0E25A752" w14:textId="52076195" w:rsidR="002A14AF" w:rsidRPr="00087F6D" w:rsidRDefault="002A14AF" w:rsidP="003A0995">
      <w:pPr>
        <w:pStyle w:val="ONUME"/>
        <w:numPr>
          <w:ilvl w:val="0"/>
          <w:numId w:val="7"/>
        </w:numPr>
        <w:tabs>
          <w:tab w:val="num" w:pos="720"/>
          <w:tab w:val="left" w:pos="1440"/>
        </w:tabs>
        <w:ind w:left="0" w:firstLine="0"/>
      </w:pPr>
      <w:r>
        <w:t>В рамках пункта B программы работы («Обмен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ИС») сообщения были сгруппированы по пяти темам:</w:t>
      </w:r>
    </w:p>
    <w:p w14:paraId="5590B54D" w14:textId="052FB417" w:rsidR="002A14AF" w:rsidRPr="00B65BAE" w:rsidRDefault="00A35EB1" w:rsidP="003A0995">
      <w:pPr>
        <w:pStyle w:val="ListParagraph"/>
        <w:numPr>
          <w:ilvl w:val="0"/>
          <w:numId w:val="9"/>
        </w:numPr>
        <w:tabs>
          <w:tab w:val="left" w:pos="270"/>
        </w:tabs>
        <w:ind w:left="540" w:firstLine="0"/>
        <w:rPr>
          <w:szCs w:val="22"/>
        </w:rPr>
      </w:pPr>
      <w:r>
        <w:t xml:space="preserve"> Институциональная база, административные и уголовно-правовые модели защиты прав.  Своим опытом поделились четыре государства-члена и один наблюдатель:  «Роль и функции Финансовой гвардии в борьбе с контрафакцией» — г-н Антонио Де Кристофаро, подполковник, начальник 1-го отдела Группы по борьбе с контрафакцией и обеспечению безопасности продукции Специального подразделения товаров и услуг, Италия; «Правоприменительная практика в Китае в рамках борьбы с нарушениями прав и с контрафактом» — г-н Ван Ки, директор пятого инспекционного отдела Бюро правоприменения и контроля Государственного управления по регулированию рынка, Китай; «Китайский механизм по продвижению использования легального программного обеспечения и соответствующие достижения» — г-н Чжан Хуи, Отдел защиты прав и надзора Департамента авторского права Национальной администрации по авторскому праву, Китай; «Усилия и проблемы в области защиты прав на промышленные образцы от нарушений» — г-жа Конно Чикако, директор Управления по поддержке зарубежного бизнеса Отдела международного сотрудничества Японского патентного ведомства; «Эффективность административной системы защиты патентных прав и прав на промышленные образцы: опыт Перу» — г-н Диего Ф. Ортега Санабрия, технический секретарь Управления по изобретениям и новым технологиям Национального института по защите конкуренции и охране интеллектуальной собственности, Перу; и «Руководства по проведению уголовных расследований в области прав промышленной собственности: конкретный пример применения в Италии» — г</w:t>
      </w:r>
      <w:r w:rsidR="005705C8">
        <w:noBreakHyphen/>
      </w:r>
      <w:r>
        <w:t>н</w:t>
      </w:r>
      <w:r w:rsidR="005705C8">
        <w:t> </w:t>
      </w:r>
      <w:r>
        <w:t xml:space="preserve">Марко Мусумечи, сотрудник по управлению программами Межрегионального научно-исследовательского института Организации Объединенных Наций по вопросам преступности и правосудия (ЮНИКРИ), Швейцария.  Более подробная информация по вышеуказанным темам содержится в документах WIPO/ACE/18/17, WIPO/ACE/18/14, WIPO/ACE/18/15, WIPO/ACE/18/19, WIPO/ACE/18/20 </w:t>
      </w:r>
      <w:r w:rsidR="0040475D">
        <w:br/>
      </w:r>
      <w:r>
        <w:t>и WIPO/ACE/18/31.</w:t>
      </w:r>
    </w:p>
    <w:p w14:paraId="2B8833E0" w14:textId="77777777" w:rsidR="002A14AF" w:rsidRPr="00087F6D" w:rsidRDefault="002A14AF" w:rsidP="003A0995">
      <w:pPr>
        <w:pStyle w:val="ListParagraph"/>
        <w:tabs>
          <w:tab w:val="left" w:pos="270"/>
        </w:tabs>
        <w:ind w:left="540"/>
        <w:rPr>
          <w:szCs w:val="22"/>
        </w:rPr>
      </w:pPr>
    </w:p>
    <w:p w14:paraId="233AD73E" w14:textId="258F80C1" w:rsidR="002A14AF" w:rsidRPr="00087F6D" w:rsidRDefault="00D30141" w:rsidP="003A0995">
      <w:pPr>
        <w:pStyle w:val="ListParagraph"/>
        <w:numPr>
          <w:ilvl w:val="0"/>
          <w:numId w:val="9"/>
        </w:numPr>
        <w:tabs>
          <w:tab w:val="left" w:pos="270"/>
        </w:tabs>
        <w:ind w:left="540" w:firstLine="0"/>
        <w:rPr>
          <w:szCs w:val="22"/>
        </w:rPr>
      </w:pPr>
      <w:r>
        <w:t xml:space="preserve"> Поведение потребителей, исследование рынка и защита прав на основе фактических данных.  Своим опытом поделились три государства-члена и один наблюдатель: </w:t>
      </w:r>
      <w:r>
        <w:rPr>
          <w:color w:val="000000" w:themeColor="text1"/>
        </w:rPr>
        <w:t xml:space="preserve">«Доклад о применении уголовного законодательства для защиты прав интеллектуальной собственности в Чили (2024 год)» — г-жа Эйлин Фродден Келли, руководитель Департамента государственной политики и законодательных вопросов Национального института промышленной собственности Чили; «Предписания </w:t>
      </w:r>
      <w:r w:rsidR="0040475D">
        <w:rPr>
          <w:color w:val="000000" w:themeColor="text1"/>
        </w:rPr>
        <w:br/>
      </w:r>
      <w:r>
        <w:rPr>
          <w:color w:val="000000" w:themeColor="text1"/>
        </w:rPr>
        <w:lastRenderedPageBreak/>
        <w:t xml:space="preserve">о динамической блокировке в Бельгии» — г-жа Эви Веркерс, юрист Службы </w:t>
      </w:r>
      <w:r w:rsidR="0040475D">
        <w:rPr>
          <w:color w:val="000000" w:themeColor="text1"/>
        </w:rPr>
        <w:br/>
      </w:r>
      <w:r>
        <w:rPr>
          <w:color w:val="000000" w:themeColor="text1"/>
        </w:rPr>
        <w:t xml:space="preserve">по борьбе с онлайн-пиратством и незаконными азартными играми в интернете Федеральной государственной службы по экономике Бельгии; «Увидеть невидимое: </w:t>
      </w:r>
      <w:r>
        <w:t xml:space="preserve">триангуляция корпоративных данных, данных о поведении потребителей </w:t>
      </w:r>
      <w:r w:rsidR="0040475D">
        <w:br/>
      </w:r>
      <w:r>
        <w:t>и восприятия контрафакта для иллюстрации специфики контрафактной деятельности в Кении» — д-р Роби М. Ньороге Кинга, исполнительный директор и руководитель Управления по борьбе с контрафактом Кении; и «Разнообразный мир представления доказательств в спорах о патентах» — г-н Томас Мога, член Международного общества по развитию интеллектуальной собственности, Швейцария.</w:t>
      </w:r>
      <w:r>
        <w:rPr>
          <w:color w:val="000000" w:themeColor="text1"/>
        </w:rPr>
        <w:t xml:space="preserve">  </w:t>
      </w:r>
      <w:r>
        <w:t>Более подробная информация по вышеуказанным темам содержится в документах WIPO/ACE/18/29, WIPO/ACE/18/23, WIPO/ACE/18/27 и WIPO/ACE/18/13.</w:t>
      </w:r>
    </w:p>
    <w:p w14:paraId="23602836" w14:textId="77777777" w:rsidR="002A14AF" w:rsidRPr="00087F6D" w:rsidRDefault="002A14AF" w:rsidP="003A0995">
      <w:pPr>
        <w:tabs>
          <w:tab w:val="left" w:pos="270"/>
        </w:tabs>
        <w:ind w:left="540"/>
        <w:rPr>
          <w:szCs w:val="22"/>
        </w:rPr>
      </w:pPr>
    </w:p>
    <w:p w14:paraId="3AF36C6B" w14:textId="4EB0A5E8" w:rsidR="002A14AF" w:rsidRPr="00087F6D" w:rsidRDefault="00D30141" w:rsidP="003A0995">
      <w:pPr>
        <w:pStyle w:val="ListParagraph"/>
        <w:numPr>
          <w:ilvl w:val="0"/>
          <w:numId w:val="9"/>
        </w:numPr>
        <w:tabs>
          <w:tab w:val="left" w:pos="270"/>
        </w:tabs>
        <w:ind w:left="540" w:firstLine="0"/>
        <w:rPr>
          <w:szCs w:val="22"/>
        </w:rPr>
      </w:pPr>
      <w:r>
        <w:t xml:space="preserve"> Цифровое пиратство, защита прав в интернете и ответственность информационных посредников.  Своим опытом поделились два государства-члена, три наблюдателя и Европейский союз:  </w:t>
      </w:r>
      <w:r>
        <w:rPr>
          <w:color w:val="000000" w:themeColor="text1"/>
        </w:rPr>
        <w:t xml:space="preserve">«Усилия Японии по борьбе с трансграничным нарушением авторских прав и необходимость международного сотрудничества» — </w:t>
      </w:r>
      <w:r>
        <w:rPr>
          <w:rStyle w:val="normaltextrun"/>
          <w:color w:val="000000" w:themeColor="text1"/>
          <w:shd w:val="clear" w:color="auto" w:fill="FFFFFF"/>
        </w:rPr>
        <w:t>г-жа</w:t>
      </w:r>
      <w:r>
        <w:rPr>
          <w:color w:val="000000" w:themeColor="text1"/>
          <w:shd w:val="clear" w:color="auto" w:fill="FFFFFF"/>
        </w:rPr>
        <w:t xml:space="preserve"> Юка Игараси, начальник отдела Японского ведомства по авторскому праву при Агентстве по культурным вопросам;</w:t>
      </w:r>
      <w:r>
        <w:rPr>
          <w:color w:val="000000" w:themeColor="text1"/>
        </w:rPr>
        <w:t xml:space="preserve"> «Борьба с цифровым пиратством: стратегическое правоприменение с помощью инструментов блокировки доменных имен/IP и расследования по открытым источникам» — г-н Андрюс Катинас, руководитель отдела надзора Комиссии по радио и телевидению Литвы; «Опасности цифровой цепочки снижения стоимости контрафактной </w:t>
      </w:r>
      <w:r w:rsidR="00DC6BE4">
        <w:rPr>
          <w:color w:val="000000" w:themeColor="text1"/>
        </w:rPr>
        <w:br/>
      </w:r>
      <w:r>
        <w:rPr>
          <w:color w:val="000000" w:themeColor="text1"/>
        </w:rPr>
        <w:t xml:space="preserve">продукции» — г-жа Дженнифер Хэнкс, старший директор по охране брендов Американской ассоциации производителей одежды и обуви, Соединенные Штаты Америки; «Участие посредников в блокировке сайтов: </w:t>
      </w:r>
      <w:r>
        <w:t>как законодатели, суды и учреждения определяют роль посредников в борьбе с пиратством в сфере авторского права в интернете» — г-н Окке Делфос Виссер, старший вице-президент и заместитель генерального юрисконсульта по международным вопросам Ассоциации кинокомпаний (Motion Picture Association), Бельгия</w:t>
      </w:r>
      <w:r>
        <w:rPr>
          <w:color w:val="000000" w:themeColor="text1"/>
          <w:shd w:val="clear" w:color="auto" w:fill="FFFFFF"/>
        </w:rPr>
        <w:t xml:space="preserve">; </w:t>
      </w:r>
      <w:r>
        <w:t>«Взаимосвязь между вредоносным ПО и пиратством: инструменты обеспечения соблюдения прав и возможности для принятия мер правительством» — г-жа Елена Блобель, директор отдела рассмотрения судебных споров Международной федерации производителей фонограмм, Соединенное Королевство; и «Закон о цифровых услугах (DSA): новые инструменты Европейского союза для борьбы с нарушениями прав интеллектуальной собственности в Интернете» — г-н Гарри Темминк, заместитель директора Европейского центра по наблюдению за нарушениями прав интеллектуальной собственности Ведомства интеллектуальной собственности Европейского союза, Испания.  Более подробная информация по вышеуказанным темам содержится в документах WIPO/ACE/18/18, WIPO/ACE/18/25, WIPO/ACE/18/12, WIPO/ACE/18/26, WIPO/ACE/18/34 и WIPO/ACE/18/36.</w:t>
      </w:r>
    </w:p>
    <w:p w14:paraId="279325AE" w14:textId="77777777" w:rsidR="002A14AF" w:rsidRPr="00087F6D" w:rsidRDefault="002A14AF" w:rsidP="003A0995">
      <w:pPr>
        <w:pStyle w:val="ListParagraph"/>
        <w:tabs>
          <w:tab w:val="left" w:pos="270"/>
        </w:tabs>
        <w:ind w:left="540"/>
        <w:rPr>
          <w:szCs w:val="22"/>
        </w:rPr>
      </w:pPr>
    </w:p>
    <w:p w14:paraId="531951C3" w14:textId="7839A34C" w:rsidR="002A14AF" w:rsidRPr="00087F6D" w:rsidRDefault="002A14AF" w:rsidP="003A0995">
      <w:pPr>
        <w:pStyle w:val="ListParagraph"/>
        <w:numPr>
          <w:ilvl w:val="0"/>
          <w:numId w:val="9"/>
        </w:numPr>
        <w:tabs>
          <w:tab w:val="left" w:pos="270"/>
        </w:tabs>
        <w:ind w:left="540" w:firstLine="0"/>
        <w:rPr>
          <w:szCs w:val="22"/>
        </w:rPr>
      </w:pPr>
      <w:r>
        <w:t xml:space="preserve">Технологии, ИИ и инструменты защиты прав.  Своим опытом поделились одно государство-член и один наблюдатель: </w:t>
      </w:r>
      <w:r>
        <w:rPr>
          <w:color w:val="000000" w:themeColor="text1"/>
        </w:rPr>
        <w:t>«Тенденции в области технологий борьбы с контрафактом в Республике Корея» — г-н Лим Джун Ён, заместитель директора Бюро по урегулированию споров в сфере интеллектуальной собственности Министерства интеллектуальной собственности Республики Корея; и «Совершенствование защиты прав ИС за счет использования новых технологий и ИИ» — г-жа Лизелотте Хониг, технический руководитель организации REACT, Королевство Нидерландов.  Более подробная информация по вышеуказанным темам содержится в документах WIPO/ACE/18/32 и WIPO/ACE/18/30.</w:t>
      </w:r>
    </w:p>
    <w:p w14:paraId="0D627F9B" w14:textId="77777777" w:rsidR="002A14AF" w:rsidRPr="00087F6D" w:rsidRDefault="002A14AF" w:rsidP="003A0995">
      <w:pPr>
        <w:pStyle w:val="ListParagraph"/>
        <w:tabs>
          <w:tab w:val="left" w:pos="270"/>
        </w:tabs>
        <w:ind w:left="540"/>
        <w:rPr>
          <w:szCs w:val="22"/>
        </w:rPr>
      </w:pPr>
    </w:p>
    <w:p w14:paraId="16C62804" w14:textId="2A1CE767" w:rsidR="002A14AF" w:rsidRPr="00087F6D" w:rsidRDefault="00D30141" w:rsidP="003A0995">
      <w:pPr>
        <w:pStyle w:val="ListParagraph"/>
        <w:numPr>
          <w:ilvl w:val="0"/>
          <w:numId w:val="9"/>
        </w:numPr>
        <w:tabs>
          <w:tab w:val="left" w:pos="270"/>
        </w:tabs>
        <w:ind w:left="540" w:firstLine="0"/>
        <w:rPr>
          <w:szCs w:val="22"/>
        </w:rPr>
      </w:pPr>
      <w:r>
        <w:t xml:space="preserve"> Альтернативные механизмы защиты прав и международное сотрудничество  Были представлены четыре доклада:  «Механизмы мягкого права как способ совершенствования политики в области защиты прав ИС: опыт Европейского </w:t>
      </w:r>
      <w:r>
        <w:lastRenderedPageBreak/>
        <w:t>союза» — г-жа Виржини Фосуль, руководитель группы, Европейская комиссия, Бельгия; «Деятельность в области прав интеллектуальной собственности в раках Программы УНП ООН по контролю за пассажирскими и грузовыми перевозками» — г-н Каетан Прадетто, сотрудник по управлению программами Программы контроля за пассажирскими и грузовыми перевозками Сектора по вопросам управления границами Отдела операций Управления Организации Объединенных Наций по наркотикам и преступности (УНП ООН), Турция; «Задачи и стратегические приоритеты в области обеспечения соблюдения прав ИС на 2026 год» — г-н Гитис Бразаускас, менеджер по работе с глобальными клиентами в сфере технологий и автомобилестроения, организация REACT, Королевство Нидерландов; и «Сертификация Организации экономического сотрудничества и развития для зон свободной торговли: добровольный инструмент, призванный способствовать уважению прав интеллектуальной собственности, привлечению инноваций и борьбе с нарушениями» — г-н Петр Стрышовски, старший экономист, Организация экономического сотрудничества и развития (ОЭСР), Франция.  Более подробная информация по вышеуказанным темам содержится в документах WIPO/ACE/18/16, WIPO/ACE/18/21, WIPO/ACE/18/33 и WIPO/ACE/18/37.</w:t>
      </w:r>
    </w:p>
    <w:p w14:paraId="6DF759CB" w14:textId="77777777" w:rsidR="002A14AF" w:rsidRPr="00087F6D" w:rsidRDefault="002A14AF" w:rsidP="003A0995">
      <w:pPr>
        <w:pStyle w:val="ListParagraph"/>
        <w:tabs>
          <w:tab w:val="left" w:pos="270"/>
        </w:tabs>
        <w:ind w:left="540"/>
        <w:rPr>
          <w:szCs w:val="22"/>
        </w:rPr>
      </w:pPr>
    </w:p>
    <w:p w14:paraId="453CB662" w14:textId="0B570AAE" w:rsidR="002A14AF" w:rsidRPr="00087F6D" w:rsidRDefault="002A14AF" w:rsidP="003A099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szCs w:val="22"/>
        </w:rPr>
      </w:pPr>
      <w:r>
        <w:rPr>
          <w:color w:val="000000" w:themeColor="text1"/>
        </w:rPr>
        <w:t xml:space="preserve">Кроме того, в формате предварительно записанного видео были представлены основные выводы исследования, проведенного по заказу Секретариата на тему «Инструменты искусственного интеллекта для борьбы с пиратством в области авторского права: </w:t>
      </w:r>
      <w:r>
        <w:t>технологические, правовые и политические аспекты», автором которого выступил г-н Скотт Мартин, представитель компании Aspen IP Consulting (бывший заместитель главного юрисконсульта и исполнительный вице-президент по интеллектуальной собственности Paramount Pictures), Соединенные Штаты Америки (WIPO/ACE/18/35).</w:t>
      </w:r>
    </w:p>
    <w:p w14:paraId="452DAE56" w14:textId="25416BE9" w:rsidR="002A14AF" w:rsidRPr="00087F6D" w:rsidRDefault="002A14AF" w:rsidP="003A099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szCs w:val="22"/>
        </w:rPr>
      </w:pPr>
      <w:r>
        <w:t>В дополнение к указанным докладам Секретариат выступил с презентацией на тему «Обновленная информация о WIPO ALERT PAY» (WIPO/ACE/18/40).</w:t>
      </w:r>
      <w:r>
        <w:rPr>
          <w:color w:val="000000" w:themeColor="text1"/>
        </w:rPr>
        <w:t xml:space="preserve"> </w:t>
      </w:r>
    </w:p>
    <w:p w14:paraId="40FA0CA2" w14:textId="3FC31894" w:rsidR="008F3944" w:rsidRDefault="002A14AF" w:rsidP="008F3944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В соответствии с предложением, содержащимся в документе WIPO/ACE/17/19 Rev. 2, состоялась групповая дискуссия, посвященная воздействию нарушений прав ИС на сектор биотехнологий; модератором выступила посол Пимчанок Вонкорпон Питфилд, Постоянный представитель Таиланда при Всемирной торговой организации и ВОИС в Женеве, а участниками стали представители Бразилии, Перу, Соединенных Штатов Америки и Международной федерации ассоциаций фармацевтических производителей.</w:t>
      </w:r>
    </w:p>
    <w:p w14:paraId="0E681A68" w14:textId="77777777" w:rsidR="008F3944" w:rsidRDefault="008F3944" w:rsidP="008F3944">
      <w:pPr>
        <w:pStyle w:val="ListParagraph"/>
        <w:ind w:left="0"/>
        <w:rPr>
          <w:szCs w:val="22"/>
        </w:rPr>
      </w:pPr>
    </w:p>
    <w:p w14:paraId="73A8DB9A" w14:textId="77777777" w:rsidR="008F3944" w:rsidRDefault="002A14AF" w:rsidP="008F3944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color w:val="000000" w:themeColor="text1"/>
        </w:rPr>
        <w:t>В рамках пункта C программы работы («Обмен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защиты, с учетом более широких интересов общества и приоритетов государств-членов») доклады или выступления отсутствовали.</w:t>
      </w:r>
    </w:p>
    <w:p w14:paraId="2FFD95D0" w14:textId="77777777" w:rsidR="008F3944" w:rsidRPr="008F3944" w:rsidRDefault="008F3944" w:rsidP="008F3944">
      <w:pPr>
        <w:pStyle w:val="ListParagraph"/>
        <w:rPr>
          <w:color w:val="000000" w:themeColor="text1"/>
          <w:szCs w:val="22"/>
        </w:rPr>
      </w:pPr>
    </w:p>
    <w:p w14:paraId="74250002" w14:textId="3F2FB84B" w:rsidR="002A14AF" w:rsidRPr="008F3944" w:rsidRDefault="002A14AF" w:rsidP="008F3944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 xml:space="preserve">По пункту D программы работы, озаглавленному «Обмен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ККЗП», Секретариатом были представлены доклады на следующие темы:  «Дистанционный учебный курс по вопросам </w:t>
      </w:r>
      <w:r w:rsidR="00597536">
        <w:t>защиты</w:t>
      </w:r>
      <w:r>
        <w:t xml:space="preserve"> прав ИС» (документ WIPO/ACE/18/38) и «Проект по наращиванию потенциала IMPACT: отчет о ходе реализации» (документ WIPO/ACE/18/39). </w:t>
      </w:r>
    </w:p>
    <w:p w14:paraId="4A7E407E" w14:textId="77777777" w:rsidR="002A14AF" w:rsidRPr="00087F6D" w:rsidRDefault="002A14AF" w:rsidP="003A0995">
      <w:pPr>
        <w:pStyle w:val="ListParagraph"/>
        <w:ind w:left="0"/>
        <w:rPr>
          <w:szCs w:val="22"/>
        </w:rPr>
      </w:pPr>
    </w:p>
    <w:p w14:paraId="687CEDAC" w14:textId="3AC1809C" w:rsidR="002A14AF" w:rsidRPr="00087F6D" w:rsidRDefault="002A14AF" w:rsidP="003A0995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 xml:space="preserve">В рамках пункта 6 повестки дня Секретариат представил отчет о своей деятельности в области обеспечения уважения ИС, обобщив информацию о проектах и </w:t>
      </w:r>
      <w:r>
        <w:lastRenderedPageBreak/>
        <w:t xml:space="preserve">инициативах, реализованных в период с января 2025 года по апрель 2026 года (см. документ WIPO/ACE/18/2/Rev.).  Данная деятельность осуществлялась в соответствии с Программой работы и бюджетом на 2024–2025 годы и 2026–2027 годы; рекомендациями 1, 3, 6, 10–14, 17, 40 и 45 Повестки дня в области развития; Стратегическим направлением 2 («Объединение людей и сотрудничество с заинтересованными сторонами для формирования будущего глобальной экосистемы интеллектуальной собственности») и Стратегическим направлением 4 («Оказание поддержки правительствам, предприятиям, общинам и отдельным лицам в использовании интеллектуальной собственности в качестве инструмента для роста и устойчивого развития») Среднесрочного стратегического плана ВОИС на 2022–2026 годы (СССП), а также в соответствии с ожидаемым результатом 2.3 СССП («Организация международного диалога и сотрудничества по вопросам обеспечения уважения ИС»), ожидаемым результатом 4.2 СССП («Формирование в государствах-членах сбалансированных и эффективных экосистем ИС, инноваций и творчества») и ожидаемым результатом 4.3 СССП («Углубление знаний и развитие навыков в области ИС во всех государствах-членах»).  </w:t>
      </w:r>
    </w:p>
    <w:p w14:paraId="1BB6DFC4" w14:textId="77777777" w:rsidR="002A14AF" w:rsidRPr="00087F6D" w:rsidRDefault="002A14AF" w:rsidP="003A0995">
      <w:pPr>
        <w:pStyle w:val="ListParagraph"/>
        <w:ind w:left="0"/>
        <w:rPr>
          <w:szCs w:val="22"/>
        </w:rPr>
      </w:pPr>
    </w:p>
    <w:p w14:paraId="51B3147B" w14:textId="55FCDDF6" w:rsidR="002A14AF" w:rsidRPr="00087F6D" w:rsidRDefault="002A14AF" w:rsidP="003A0995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Комитет принял к сведению сообщения Секретариата о недавней деятельности ВОИС в области обеспечения уважения ИС.</w:t>
      </w:r>
    </w:p>
    <w:p w14:paraId="5E2587F3" w14:textId="77777777" w:rsidR="002A14AF" w:rsidRPr="00087F6D" w:rsidRDefault="002A14AF" w:rsidP="003A0995">
      <w:pPr>
        <w:rPr>
          <w:szCs w:val="22"/>
        </w:rPr>
      </w:pPr>
    </w:p>
    <w:p w14:paraId="60DD6A3D" w14:textId="77777777" w:rsidR="002A14AF" w:rsidRDefault="002A14AF" w:rsidP="003A0995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t>В отношении дальнейшей работы Комитет постановил продолжить рассмотрение текущей программы работы (см. пункт 2) на девятнадцатой сессии.</w:t>
      </w:r>
    </w:p>
    <w:p w14:paraId="252DDD2B" w14:textId="77777777" w:rsidR="00B73678" w:rsidRPr="00B73678" w:rsidRDefault="00B73678" w:rsidP="003A0995">
      <w:pPr>
        <w:pStyle w:val="ListParagraph"/>
        <w:rPr>
          <w:szCs w:val="22"/>
        </w:rPr>
      </w:pPr>
    </w:p>
    <w:p w14:paraId="302C0E50" w14:textId="77777777" w:rsidR="00B73678" w:rsidRDefault="00B73678" w:rsidP="003A0995">
      <w:pPr>
        <w:pStyle w:val="ListParagraph"/>
        <w:ind w:left="0"/>
        <w:rPr>
          <w:szCs w:val="22"/>
        </w:rPr>
      </w:pPr>
    </w:p>
    <w:p w14:paraId="72AB4AD6" w14:textId="77777777" w:rsidR="00B73678" w:rsidRPr="00087F6D" w:rsidRDefault="00B73678" w:rsidP="00B73678">
      <w:pPr>
        <w:pStyle w:val="ListParagraph"/>
        <w:ind w:left="0"/>
        <w:rPr>
          <w:szCs w:val="22"/>
        </w:rPr>
      </w:pPr>
    </w:p>
    <w:p w14:paraId="53F48DD9" w14:textId="77777777" w:rsidR="002A14AF" w:rsidRPr="00087F6D" w:rsidRDefault="002A14AF" w:rsidP="002A14AF">
      <w:pPr>
        <w:pStyle w:val="ListParagraph"/>
        <w:ind w:left="0" w:hanging="360"/>
        <w:rPr>
          <w:szCs w:val="22"/>
        </w:rPr>
      </w:pPr>
    </w:p>
    <w:p w14:paraId="67F2A096" w14:textId="1F357AEB" w:rsidR="002A14AF" w:rsidRPr="00087F6D" w:rsidRDefault="002A14AF" w:rsidP="00C42802">
      <w:pPr>
        <w:pStyle w:val="ONUME"/>
        <w:keepNext/>
        <w:numPr>
          <w:ilvl w:val="0"/>
          <w:numId w:val="0"/>
        </w:numPr>
        <w:tabs>
          <w:tab w:val="left" w:pos="6030"/>
          <w:tab w:val="left" w:pos="6480"/>
        </w:tabs>
        <w:spacing w:after="0"/>
        <w:ind w:left="5890" w:hanging="360"/>
        <w:rPr>
          <w:szCs w:val="22"/>
        </w:rPr>
      </w:pPr>
      <w:r>
        <w:t xml:space="preserve">14. </w:t>
      </w:r>
      <w:r>
        <w:rPr>
          <w:i/>
        </w:rPr>
        <w:t>Генеральной Ассамблее ВОИС предлагается принять к сведению «Отчет о работе Консультативного комитета по защите прав (ККЗП)» (документ WO/GA/60/9).</w:t>
      </w:r>
      <w:r>
        <w:t xml:space="preserve">  </w:t>
      </w:r>
    </w:p>
    <w:p w14:paraId="620783C4" w14:textId="77777777" w:rsidR="002A14AF" w:rsidRPr="00C42802" w:rsidRDefault="002A14AF" w:rsidP="002A14AF">
      <w:pPr>
        <w:pStyle w:val="ONUME"/>
        <w:keepNext/>
        <w:numPr>
          <w:ilvl w:val="0"/>
          <w:numId w:val="0"/>
        </w:numPr>
        <w:tabs>
          <w:tab w:val="left" w:pos="6390"/>
          <w:tab w:val="left" w:pos="6480"/>
        </w:tabs>
        <w:spacing w:after="0"/>
        <w:ind w:hanging="360"/>
        <w:rPr>
          <w:szCs w:val="22"/>
        </w:rPr>
      </w:pPr>
    </w:p>
    <w:p w14:paraId="5556D7E9" w14:textId="77777777" w:rsidR="002A14AF" w:rsidRPr="00087F6D" w:rsidRDefault="002A14AF" w:rsidP="002A14AF">
      <w:pPr>
        <w:pStyle w:val="ONUME"/>
        <w:keepNext/>
        <w:numPr>
          <w:ilvl w:val="0"/>
          <w:numId w:val="0"/>
        </w:numPr>
        <w:tabs>
          <w:tab w:val="left" w:pos="6390"/>
          <w:tab w:val="left" w:pos="6480"/>
        </w:tabs>
        <w:spacing w:after="0"/>
        <w:ind w:hanging="360"/>
        <w:rPr>
          <w:szCs w:val="22"/>
        </w:rPr>
      </w:pPr>
    </w:p>
    <w:p w14:paraId="7FA5DA16" w14:textId="77777777" w:rsidR="002A14AF" w:rsidRPr="00087F6D" w:rsidRDefault="002A14AF" w:rsidP="002A14AF">
      <w:pPr>
        <w:pStyle w:val="ONUME"/>
        <w:keepNext/>
        <w:numPr>
          <w:ilvl w:val="0"/>
          <w:numId w:val="0"/>
        </w:numPr>
        <w:tabs>
          <w:tab w:val="left" w:pos="6390"/>
          <w:tab w:val="left" w:pos="6480"/>
        </w:tabs>
        <w:spacing w:after="0"/>
        <w:ind w:hanging="360"/>
        <w:rPr>
          <w:szCs w:val="22"/>
        </w:rPr>
      </w:pPr>
    </w:p>
    <w:p w14:paraId="18AC7308" w14:textId="130B31AA" w:rsidR="002A14AF" w:rsidRPr="00087F6D" w:rsidRDefault="002A14AF" w:rsidP="0064235A">
      <w:pPr>
        <w:pStyle w:val="ONUME"/>
        <w:keepNext/>
        <w:numPr>
          <w:ilvl w:val="0"/>
          <w:numId w:val="0"/>
        </w:numPr>
        <w:tabs>
          <w:tab w:val="left" w:pos="6390"/>
          <w:tab w:val="left" w:pos="6480"/>
        </w:tabs>
        <w:spacing w:after="0"/>
        <w:ind w:left="2880" w:firstLine="3060"/>
        <w:rPr>
          <w:szCs w:val="22"/>
        </w:rPr>
      </w:pPr>
      <w:r>
        <w:t>[Конец документа]</w:t>
      </w:r>
    </w:p>
    <w:p w14:paraId="2AC5C942" w14:textId="77777777" w:rsidR="002A14AF" w:rsidRPr="00087F6D" w:rsidRDefault="002A14AF" w:rsidP="002A14AF">
      <w:pPr>
        <w:pStyle w:val="ONUME"/>
        <w:keepNext/>
        <w:numPr>
          <w:ilvl w:val="0"/>
          <w:numId w:val="0"/>
        </w:numPr>
        <w:tabs>
          <w:tab w:val="left" w:pos="6390"/>
          <w:tab w:val="left" w:pos="6480"/>
        </w:tabs>
        <w:spacing w:after="0"/>
        <w:ind w:hanging="360"/>
        <w:rPr>
          <w:szCs w:val="22"/>
        </w:rPr>
      </w:pPr>
    </w:p>
    <w:p w14:paraId="698DCC36" w14:textId="77777777" w:rsidR="002928D3" w:rsidRPr="00087F6D" w:rsidRDefault="002928D3" w:rsidP="002A14AF">
      <w:pPr>
        <w:spacing w:after="220"/>
        <w:ind w:left="284"/>
      </w:pPr>
    </w:p>
    <w:sectPr w:rsidR="002928D3" w:rsidRPr="00087F6D" w:rsidSect="002A14AF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588C" w14:textId="77777777" w:rsidR="00F04B46" w:rsidRDefault="00F04B46">
      <w:r>
        <w:separator/>
      </w:r>
    </w:p>
  </w:endnote>
  <w:endnote w:type="continuationSeparator" w:id="0">
    <w:p w14:paraId="78E94137" w14:textId="77777777" w:rsidR="00F04B46" w:rsidRDefault="00F04B46" w:rsidP="003B38C1">
      <w:r>
        <w:separator/>
      </w:r>
    </w:p>
    <w:p w14:paraId="2777C501" w14:textId="77777777" w:rsidR="00F04B46" w:rsidRPr="0028173B" w:rsidRDefault="00F04B46" w:rsidP="003B38C1">
      <w:pPr>
        <w:spacing w:after="60"/>
        <w:rPr>
          <w:sz w:val="17"/>
          <w:lang w:val="en-GB"/>
        </w:rPr>
      </w:pPr>
      <w:r w:rsidRPr="0028173B">
        <w:rPr>
          <w:sz w:val="17"/>
          <w:lang w:val="en-GB"/>
        </w:rPr>
        <w:t>[Endnote continued from previous page]</w:t>
      </w:r>
    </w:p>
  </w:endnote>
  <w:endnote w:type="continuationNotice" w:id="1">
    <w:p w14:paraId="416AC803" w14:textId="77777777" w:rsidR="00F04B46" w:rsidRPr="0028173B" w:rsidRDefault="00F04B46" w:rsidP="003B38C1">
      <w:pPr>
        <w:spacing w:before="60"/>
        <w:jc w:val="right"/>
        <w:rPr>
          <w:sz w:val="17"/>
          <w:szCs w:val="17"/>
          <w:lang w:val="en-GB"/>
        </w:rPr>
      </w:pPr>
      <w:r w:rsidRPr="0028173B">
        <w:rPr>
          <w:sz w:val="17"/>
          <w:szCs w:val="17"/>
          <w:lang w:val="en-GB"/>
        </w:rPr>
        <w:t xml:space="preserve">[Endnote </w:t>
      </w:r>
      <w:proofErr w:type="gramStart"/>
      <w:r w:rsidRPr="0028173B">
        <w:rPr>
          <w:sz w:val="17"/>
          <w:szCs w:val="17"/>
          <w:lang w:val="en-GB"/>
        </w:rPr>
        <w:t>continued on</w:t>
      </w:r>
      <w:proofErr w:type="gramEnd"/>
      <w:r w:rsidRPr="0028173B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387A" w14:textId="77777777" w:rsidR="00F04B46" w:rsidRDefault="00F04B46">
      <w:r>
        <w:separator/>
      </w:r>
    </w:p>
  </w:footnote>
  <w:footnote w:type="continuationSeparator" w:id="0">
    <w:p w14:paraId="2965C62B" w14:textId="77777777" w:rsidR="00F04B46" w:rsidRDefault="00F04B46" w:rsidP="008B60B2">
      <w:r>
        <w:separator/>
      </w:r>
    </w:p>
    <w:p w14:paraId="407037BD" w14:textId="77777777" w:rsidR="00F04B46" w:rsidRPr="0028173B" w:rsidRDefault="00F04B46" w:rsidP="008B60B2">
      <w:pPr>
        <w:spacing w:after="60"/>
        <w:rPr>
          <w:sz w:val="17"/>
          <w:szCs w:val="17"/>
          <w:lang w:val="en-GB"/>
        </w:rPr>
      </w:pPr>
      <w:r w:rsidRPr="0028173B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0D14450A" w14:textId="77777777" w:rsidR="00F04B46" w:rsidRPr="0028173B" w:rsidRDefault="00F04B46" w:rsidP="008B60B2">
      <w:pPr>
        <w:spacing w:before="60"/>
        <w:jc w:val="right"/>
        <w:rPr>
          <w:sz w:val="17"/>
          <w:szCs w:val="17"/>
          <w:lang w:val="en-GB"/>
        </w:rPr>
      </w:pPr>
      <w:r w:rsidRPr="0028173B">
        <w:rPr>
          <w:sz w:val="17"/>
          <w:szCs w:val="17"/>
          <w:lang w:val="en-GB"/>
        </w:rPr>
        <w:t xml:space="preserve">[Footnote </w:t>
      </w:r>
      <w:proofErr w:type="gramStart"/>
      <w:r w:rsidRPr="0028173B">
        <w:rPr>
          <w:sz w:val="17"/>
          <w:szCs w:val="17"/>
          <w:lang w:val="en-GB"/>
        </w:rPr>
        <w:t>continued on</w:t>
      </w:r>
      <w:proofErr w:type="gramEnd"/>
      <w:r w:rsidRPr="0028173B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8920" w14:textId="422B9259" w:rsidR="00EC4E49" w:rsidRDefault="002A14AF" w:rsidP="00477D6B">
    <w:pPr>
      <w:jc w:val="right"/>
    </w:pPr>
    <w:bookmarkStart w:id="5" w:name="Code2"/>
    <w:bookmarkEnd w:id="5"/>
    <w:r>
      <w:t>WO/GA/60/9</w:t>
    </w:r>
  </w:p>
  <w:p w14:paraId="1A778EE2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7B12A1F" w14:textId="77777777" w:rsidR="00EC4E49" w:rsidRDefault="00EC4E49" w:rsidP="00477D6B">
    <w:pPr>
      <w:jc w:val="right"/>
    </w:pPr>
  </w:p>
  <w:p w14:paraId="62A9E60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3B5320"/>
    <w:multiLevelType w:val="hybridMultilevel"/>
    <w:tmpl w:val="50BCB9B4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5AC"/>
    <w:multiLevelType w:val="hybridMultilevel"/>
    <w:tmpl w:val="DA6E602E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E946D0"/>
    <w:multiLevelType w:val="hybridMultilevel"/>
    <w:tmpl w:val="62364E2C"/>
    <w:lvl w:ilvl="0" w:tplc="47305E2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326A"/>
    <w:multiLevelType w:val="hybridMultilevel"/>
    <w:tmpl w:val="AD484634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23A4"/>
    <w:multiLevelType w:val="hybridMultilevel"/>
    <w:tmpl w:val="202E03EE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8E7"/>
    <w:multiLevelType w:val="hybridMultilevel"/>
    <w:tmpl w:val="4CC2439C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410719"/>
    <w:multiLevelType w:val="hybridMultilevel"/>
    <w:tmpl w:val="86968CB8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F644A1"/>
    <w:multiLevelType w:val="hybridMultilevel"/>
    <w:tmpl w:val="BCD00F54"/>
    <w:lvl w:ilvl="0" w:tplc="3122760A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D128C2"/>
    <w:multiLevelType w:val="hybridMultilevel"/>
    <w:tmpl w:val="CA1C4596"/>
    <w:lvl w:ilvl="0" w:tplc="782CC532">
      <w:start w:val="1"/>
      <w:numFmt w:val="lowerRoman"/>
      <w:lvlText w:val="(%1)"/>
      <w:lvlJc w:val="left"/>
      <w:pPr>
        <w:ind w:left="314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5" w15:restartNumberingAfterBreak="0">
    <w:nsid w:val="5E193FDE"/>
    <w:multiLevelType w:val="hybridMultilevel"/>
    <w:tmpl w:val="E08C1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173DF4"/>
    <w:multiLevelType w:val="hybridMultilevel"/>
    <w:tmpl w:val="D0CCB1E4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9170">
    <w:abstractNumId w:val="4"/>
  </w:num>
  <w:num w:numId="2" w16cid:durableId="648050909">
    <w:abstractNumId w:val="11"/>
  </w:num>
  <w:num w:numId="3" w16cid:durableId="1931624398">
    <w:abstractNumId w:val="0"/>
  </w:num>
  <w:num w:numId="4" w16cid:durableId="614560832">
    <w:abstractNumId w:val="13"/>
  </w:num>
  <w:num w:numId="5" w16cid:durableId="1109159100">
    <w:abstractNumId w:val="1"/>
  </w:num>
  <w:num w:numId="6" w16cid:durableId="677997887">
    <w:abstractNumId w:val="9"/>
  </w:num>
  <w:num w:numId="7" w16cid:durableId="1455320990">
    <w:abstractNumId w:val="15"/>
  </w:num>
  <w:num w:numId="8" w16cid:durableId="1243101227">
    <w:abstractNumId w:val="6"/>
  </w:num>
  <w:num w:numId="9" w16cid:durableId="1301959483">
    <w:abstractNumId w:val="14"/>
  </w:num>
  <w:num w:numId="10" w16cid:durableId="1806242310">
    <w:abstractNumId w:val="5"/>
  </w:num>
  <w:num w:numId="11" w16cid:durableId="1091705063">
    <w:abstractNumId w:val="12"/>
  </w:num>
  <w:num w:numId="12" w16cid:durableId="385103508">
    <w:abstractNumId w:val="2"/>
  </w:num>
  <w:num w:numId="13" w16cid:durableId="1668245494">
    <w:abstractNumId w:val="8"/>
  </w:num>
  <w:num w:numId="14" w16cid:durableId="1528180077">
    <w:abstractNumId w:val="16"/>
  </w:num>
  <w:num w:numId="15" w16cid:durableId="1013799781">
    <w:abstractNumId w:val="3"/>
  </w:num>
  <w:num w:numId="16" w16cid:durableId="1977643463">
    <w:abstractNumId w:val="7"/>
  </w:num>
  <w:num w:numId="17" w16cid:durableId="24328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AF"/>
    <w:rsid w:val="0001647B"/>
    <w:rsid w:val="00020CF6"/>
    <w:rsid w:val="00021F70"/>
    <w:rsid w:val="000245C2"/>
    <w:rsid w:val="00027284"/>
    <w:rsid w:val="00043CAA"/>
    <w:rsid w:val="00046D22"/>
    <w:rsid w:val="00063ED0"/>
    <w:rsid w:val="00075432"/>
    <w:rsid w:val="00087F6D"/>
    <w:rsid w:val="00092245"/>
    <w:rsid w:val="000968ED"/>
    <w:rsid w:val="000B21E8"/>
    <w:rsid w:val="000F5E56"/>
    <w:rsid w:val="001024FE"/>
    <w:rsid w:val="0012018B"/>
    <w:rsid w:val="001362EE"/>
    <w:rsid w:val="001379CC"/>
    <w:rsid w:val="00142868"/>
    <w:rsid w:val="001832A6"/>
    <w:rsid w:val="00186F71"/>
    <w:rsid w:val="001B3171"/>
    <w:rsid w:val="001C6808"/>
    <w:rsid w:val="001E79FF"/>
    <w:rsid w:val="001F6342"/>
    <w:rsid w:val="001F7691"/>
    <w:rsid w:val="00202FE9"/>
    <w:rsid w:val="002121FA"/>
    <w:rsid w:val="00225A24"/>
    <w:rsid w:val="00237F82"/>
    <w:rsid w:val="0024737F"/>
    <w:rsid w:val="002634C4"/>
    <w:rsid w:val="00267057"/>
    <w:rsid w:val="00267AA0"/>
    <w:rsid w:val="00276388"/>
    <w:rsid w:val="0028173B"/>
    <w:rsid w:val="002928D3"/>
    <w:rsid w:val="002A14AF"/>
    <w:rsid w:val="002B2D79"/>
    <w:rsid w:val="002C698F"/>
    <w:rsid w:val="002F1234"/>
    <w:rsid w:val="002F1FE6"/>
    <w:rsid w:val="002F4E68"/>
    <w:rsid w:val="0030499F"/>
    <w:rsid w:val="00312F7F"/>
    <w:rsid w:val="003228B7"/>
    <w:rsid w:val="003508A3"/>
    <w:rsid w:val="003558E1"/>
    <w:rsid w:val="003673CF"/>
    <w:rsid w:val="003845C1"/>
    <w:rsid w:val="003A0995"/>
    <w:rsid w:val="003A6F89"/>
    <w:rsid w:val="003A7FCC"/>
    <w:rsid w:val="003B38C1"/>
    <w:rsid w:val="003B63A5"/>
    <w:rsid w:val="003D04D3"/>
    <w:rsid w:val="003D0DEC"/>
    <w:rsid w:val="003D4C63"/>
    <w:rsid w:val="003E3392"/>
    <w:rsid w:val="0040475D"/>
    <w:rsid w:val="0040647C"/>
    <w:rsid w:val="004076A9"/>
    <w:rsid w:val="00423E3E"/>
    <w:rsid w:val="00427AF4"/>
    <w:rsid w:val="004400E2"/>
    <w:rsid w:val="00461632"/>
    <w:rsid w:val="004647DA"/>
    <w:rsid w:val="00471A36"/>
    <w:rsid w:val="0047368E"/>
    <w:rsid w:val="00474062"/>
    <w:rsid w:val="00477D6B"/>
    <w:rsid w:val="00484DD5"/>
    <w:rsid w:val="004859F5"/>
    <w:rsid w:val="004A2BDB"/>
    <w:rsid w:val="004C0981"/>
    <w:rsid w:val="004D0C7E"/>
    <w:rsid w:val="004D1C57"/>
    <w:rsid w:val="004D39C4"/>
    <w:rsid w:val="00503D40"/>
    <w:rsid w:val="0050605E"/>
    <w:rsid w:val="005207B1"/>
    <w:rsid w:val="0053057A"/>
    <w:rsid w:val="00546033"/>
    <w:rsid w:val="00560A29"/>
    <w:rsid w:val="00565B8E"/>
    <w:rsid w:val="005705C8"/>
    <w:rsid w:val="00594D27"/>
    <w:rsid w:val="00597536"/>
    <w:rsid w:val="005A4459"/>
    <w:rsid w:val="005A6B8E"/>
    <w:rsid w:val="005D6934"/>
    <w:rsid w:val="005F6ED7"/>
    <w:rsid w:val="00601760"/>
    <w:rsid w:val="00605827"/>
    <w:rsid w:val="00606D2E"/>
    <w:rsid w:val="006074F7"/>
    <w:rsid w:val="00611920"/>
    <w:rsid w:val="0062702A"/>
    <w:rsid w:val="0064235A"/>
    <w:rsid w:val="00646050"/>
    <w:rsid w:val="0066163B"/>
    <w:rsid w:val="00670C46"/>
    <w:rsid w:val="006713CA"/>
    <w:rsid w:val="00676974"/>
    <w:rsid w:val="00676C5C"/>
    <w:rsid w:val="00695558"/>
    <w:rsid w:val="006C0B5B"/>
    <w:rsid w:val="006C2832"/>
    <w:rsid w:val="006D531A"/>
    <w:rsid w:val="006D5E0F"/>
    <w:rsid w:val="007058FB"/>
    <w:rsid w:val="00723227"/>
    <w:rsid w:val="00745623"/>
    <w:rsid w:val="00747AD9"/>
    <w:rsid w:val="00754976"/>
    <w:rsid w:val="007607E8"/>
    <w:rsid w:val="007631F5"/>
    <w:rsid w:val="007734F9"/>
    <w:rsid w:val="007827DE"/>
    <w:rsid w:val="007A4EE0"/>
    <w:rsid w:val="007A53EA"/>
    <w:rsid w:val="007B0E01"/>
    <w:rsid w:val="007B2437"/>
    <w:rsid w:val="007B6A58"/>
    <w:rsid w:val="007D1613"/>
    <w:rsid w:val="00801759"/>
    <w:rsid w:val="0080777F"/>
    <w:rsid w:val="00862870"/>
    <w:rsid w:val="00873EE5"/>
    <w:rsid w:val="00876AC5"/>
    <w:rsid w:val="00893FB0"/>
    <w:rsid w:val="00896850"/>
    <w:rsid w:val="008B2CC1"/>
    <w:rsid w:val="008B4B5E"/>
    <w:rsid w:val="008B60B2"/>
    <w:rsid w:val="008C0AF7"/>
    <w:rsid w:val="008D706B"/>
    <w:rsid w:val="008E2235"/>
    <w:rsid w:val="008F3944"/>
    <w:rsid w:val="008F3DF3"/>
    <w:rsid w:val="0090731E"/>
    <w:rsid w:val="00910657"/>
    <w:rsid w:val="00916EE2"/>
    <w:rsid w:val="009200CD"/>
    <w:rsid w:val="00922257"/>
    <w:rsid w:val="0092388E"/>
    <w:rsid w:val="00936C82"/>
    <w:rsid w:val="00966A22"/>
    <w:rsid w:val="0096722F"/>
    <w:rsid w:val="0097227C"/>
    <w:rsid w:val="00977A90"/>
    <w:rsid w:val="00980843"/>
    <w:rsid w:val="00981C4E"/>
    <w:rsid w:val="009A0A32"/>
    <w:rsid w:val="009C282A"/>
    <w:rsid w:val="009C7902"/>
    <w:rsid w:val="009D0DD1"/>
    <w:rsid w:val="009E02BF"/>
    <w:rsid w:val="009E2791"/>
    <w:rsid w:val="009E3F6F"/>
    <w:rsid w:val="009E79CF"/>
    <w:rsid w:val="009F26F1"/>
    <w:rsid w:val="009F3BF9"/>
    <w:rsid w:val="009F499F"/>
    <w:rsid w:val="009F7638"/>
    <w:rsid w:val="00A30669"/>
    <w:rsid w:val="00A33D61"/>
    <w:rsid w:val="00A35EB1"/>
    <w:rsid w:val="00A42DAF"/>
    <w:rsid w:val="00A44952"/>
    <w:rsid w:val="00A45BD8"/>
    <w:rsid w:val="00A572AF"/>
    <w:rsid w:val="00A77470"/>
    <w:rsid w:val="00A778BF"/>
    <w:rsid w:val="00A85B8E"/>
    <w:rsid w:val="00A86713"/>
    <w:rsid w:val="00A9118D"/>
    <w:rsid w:val="00A92BFE"/>
    <w:rsid w:val="00AC205C"/>
    <w:rsid w:val="00AF5C73"/>
    <w:rsid w:val="00B05A69"/>
    <w:rsid w:val="00B21155"/>
    <w:rsid w:val="00B311D9"/>
    <w:rsid w:val="00B40598"/>
    <w:rsid w:val="00B50B99"/>
    <w:rsid w:val="00B62CD9"/>
    <w:rsid w:val="00B65BAE"/>
    <w:rsid w:val="00B73678"/>
    <w:rsid w:val="00B800DC"/>
    <w:rsid w:val="00B8402A"/>
    <w:rsid w:val="00B9734B"/>
    <w:rsid w:val="00BC780D"/>
    <w:rsid w:val="00BD5E20"/>
    <w:rsid w:val="00BE5E11"/>
    <w:rsid w:val="00BF510E"/>
    <w:rsid w:val="00C03F48"/>
    <w:rsid w:val="00C11BFE"/>
    <w:rsid w:val="00C16EA5"/>
    <w:rsid w:val="00C267EE"/>
    <w:rsid w:val="00C31FA6"/>
    <w:rsid w:val="00C42802"/>
    <w:rsid w:val="00C62808"/>
    <w:rsid w:val="00C63997"/>
    <w:rsid w:val="00C726E1"/>
    <w:rsid w:val="00C808CD"/>
    <w:rsid w:val="00C94629"/>
    <w:rsid w:val="00CC5400"/>
    <w:rsid w:val="00CC7A4B"/>
    <w:rsid w:val="00CD366C"/>
    <w:rsid w:val="00CE65D4"/>
    <w:rsid w:val="00D30141"/>
    <w:rsid w:val="00D35382"/>
    <w:rsid w:val="00D36E1B"/>
    <w:rsid w:val="00D423C1"/>
    <w:rsid w:val="00D45252"/>
    <w:rsid w:val="00D514F8"/>
    <w:rsid w:val="00D62F60"/>
    <w:rsid w:val="00D71B4D"/>
    <w:rsid w:val="00D93C58"/>
    <w:rsid w:val="00D93D55"/>
    <w:rsid w:val="00D9597E"/>
    <w:rsid w:val="00DC6BE4"/>
    <w:rsid w:val="00DE1B96"/>
    <w:rsid w:val="00DE3014"/>
    <w:rsid w:val="00DF1362"/>
    <w:rsid w:val="00DF5340"/>
    <w:rsid w:val="00E00146"/>
    <w:rsid w:val="00E10C2A"/>
    <w:rsid w:val="00E161A2"/>
    <w:rsid w:val="00E1722E"/>
    <w:rsid w:val="00E335FE"/>
    <w:rsid w:val="00E466D4"/>
    <w:rsid w:val="00E5021F"/>
    <w:rsid w:val="00E671A6"/>
    <w:rsid w:val="00E95CA7"/>
    <w:rsid w:val="00E97EDE"/>
    <w:rsid w:val="00EA0168"/>
    <w:rsid w:val="00EA48F3"/>
    <w:rsid w:val="00EC26BB"/>
    <w:rsid w:val="00EC4E49"/>
    <w:rsid w:val="00EC77F9"/>
    <w:rsid w:val="00ED77FB"/>
    <w:rsid w:val="00EE67A9"/>
    <w:rsid w:val="00EE6F7C"/>
    <w:rsid w:val="00EF4097"/>
    <w:rsid w:val="00F0190B"/>
    <w:rsid w:val="00F021A6"/>
    <w:rsid w:val="00F04B46"/>
    <w:rsid w:val="00F11D94"/>
    <w:rsid w:val="00F14001"/>
    <w:rsid w:val="00F2154D"/>
    <w:rsid w:val="00F21D6A"/>
    <w:rsid w:val="00F23329"/>
    <w:rsid w:val="00F30152"/>
    <w:rsid w:val="00F42E4D"/>
    <w:rsid w:val="00F45B69"/>
    <w:rsid w:val="00F56EB1"/>
    <w:rsid w:val="00F66152"/>
    <w:rsid w:val="00F66167"/>
    <w:rsid w:val="00F75C5C"/>
    <w:rsid w:val="00FA5816"/>
    <w:rsid w:val="00FC15C3"/>
    <w:rsid w:val="00FC691F"/>
    <w:rsid w:val="00FC7029"/>
    <w:rsid w:val="00FD360B"/>
    <w:rsid w:val="00FD4EF6"/>
    <w:rsid w:val="00FF712F"/>
    <w:rsid w:val="00FF7D59"/>
    <w:rsid w:val="015DE9B9"/>
    <w:rsid w:val="589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19488"/>
  <w15:docId w15:val="{6F1FAB77-2B80-4E23-A243-C538F5B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link w:val="ListParagraphChar"/>
    <w:uiPriority w:val="34"/>
    <w:qFormat/>
    <w:rsid w:val="002A14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A14AF"/>
    <w:rPr>
      <w:rFonts w:ascii="Arial" w:eastAsia="SimSun" w:hAnsi="Arial" w:cs="Arial"/>
      <w:sz w:val="22"/>
      <w:lang w:val="ru-RU" w:eastAsia="zh-CN"/>
    </w:rPr>
  </w:style>
  <w:style w:type="character" w:customStyle="1" w:styleId="normaltextrun">
    <w:name w:val="normaltextrun"/>
    <w:basedOn w:val="DefaultParagraphFont"/>
    <w:rsid w:val="002A14AF"/>
  </w:style>
  <w:style w:type="paragraph" w:styleId="Revision">
    <w:name w:val="Revision"/>
    <w:hidden/>
    <w:uiPriority w:val="99"/>
    <w:semiHidden/>
    <w:rsid w:val="00BD5E2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222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225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25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2225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6A843A96D54E74B8E758CD75F8EEDD5" ma:contentTypeVersion="107" ma:contentTypeDescription="" ma:contentTypeScope="" ma:versionID="0f8d237bbe82b8f80b8708f9ff9285bb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ffaa6062-2aba-4ca6-91a9-50f50ca0253d" targetNamespace="http://schemas.microsoft.com/office/2006/metadata/properties" ma:root="true" ma:fieldsID="a90e485a1e2444090d192801f03c1aa9" ns2:_="" ns3:_="" ns4:_="">
    <xsd:import namespace="0d6abe56-55ad-41de-8124-44420a0ee71d"/>
    <xsd:import namespace="56500874-bba0-4b48-9090-b201492e8473"/>
    <xsd:import namespace="ffaa6062-2aba-4ca6-91a9-50f50ca0253d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b7f86033-58c5-448b-b075-56f4e487cde4}" ma:internalName="TaxCatchAllLabel" ma:readOnly="true" ma:showField="CatchAllDataLabel" ma:web="ffaa6062-2aba-4ca6-91a9-50f50ca02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b7f86033-58c5-448b-b075-56f4e487cde4}" ma:internalName="TaxCatchAll" ma:showField="CatchAllData" ma:web="ffaa6062-2aba-4ca6-91a9-50f50ca02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a6062-2aba-4ca6-91a9-50f50ca0253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180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18 Translation Working Files</TermName>
          <TermId xmlns="http://schemas.microsoft.com/office/infopath/2007/PartnerControls">5b3c2158-c7ed-4718-9150-5fba4e7992db</TermId>
        </TermInfo>
      </Terms>
    </oec7080f59824b85bfab9bab42c36e68>
    <IPSystem xmlns="56500874-bba0-4b48-9090-b201492e8473" xsi:nil="true"/>
    <_dlc_DocId xmlns="ffaa6062-2aba-4ca6-91a9-50f50ca0253d">LDBFP-2000531084-63929</_dlc_DocId>
    <_dlc_DocIdUrl xmlns="ffaa6062-2aba-4ca6-91a9-50f50ca0253d">
      <Url>https://wipoprod.sharepoint.com/sites/SPS-INT-BFP-LD-RussTran/_layouts/15/DocIdRedir.aspx?ID=LDBFP-2000531084-63929</Url>
      <Description>LDBFP-2000531084-63929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16C8C5-1E55-47DF-A230-718897D6CAA7}"/>
</file>

<file path=customXml/itemProps2.xml><?xml version="1.0" encoding="utf-8"?>
<ds:datastoreItem xmlns:ds="http://schemas.openxmlformats.org/officeDocument/2006/customXml" ds:itemID="{A0F7CE69-8AEA-4568-875F-7C97B779A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F9D62-BA52-4576-A242-16B410B65F39}">
  <ds:schemaRefs>
    <ds:schemaRef ds:uri="http://schemas.microsoft.com/office/2006/metadata/properties"/>
    <ds:schemaRef ds:uri="http://schemas.microsoft.com/office/infopath/2007/PartnerControls"/>
    <ds:schemaRef ds:uri="6067de5f-220c-4f37-9ef9-b80788fb894c"/>
    <ds:schemaRef ds:uri="77d175da-2ab4-4e4a-b04f-0f522290c000"/>
  </ds:schemaRefs>
</ds:datastoreItem>
</file>

<file path=customXml/itemProps4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B87EBB-6850-46BB-AAE1-988A7C254CDC}"/>
</file>

<file path=customXml/itemProps6.xml><?xml version="1.0" encoding="utf-8"?>
<ds:datastoreItem xmlns:ds="http://schemas.openxmlformats.org/officeDocument/2006/customXml" ds:itemID="{83EB4C13-58C9-4CED-B35F-611C10FF0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2122</Words>
  <Characters>15836</Characters>
  <Application>Microsoft Office Word</Application>
  <DocSecurity>0</DocSecurity>
  <Lines>287</Lines>
  <Paragraphs>36</Paragraphs>
  <ScaleCrop>false</ScaleCrop>
  <Company>WIPO</Company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WO/GA/60/9</dc:title>
  <dc:subject/>
  <dc:creator>WIPO</dc:creator>
  <cp:keywords>FOR OFFICIAL SE ONLY</cp:keywords>
  <cp:lastModifiedBy>KUNGUROVA Iuliana</cp:lastModifiedBy>
  <cp:revision>14</cp:revision>
  <cp:lastPrinted>2011-02-15T20:56:00Z</cp:lastPrinted>
  <dcterms:created xsi:type="dcterms:W3CDTF">2026-06-29T06:18:00Z</dcterms:created>
  <dcterms:modified xsi:type="dcterms:W3CDTF">2026-06-29T07:43:00Z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0x01010043A0F979BE30A3469F998CB749C11FBD0086A843A96D54E74B8E758CD75F8EEDD5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2025-02-18T10:25:53Z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a2808228-0a80-4ddc-a626-8b46f8c9c0de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  <property fmtid="{D5CDD505-2E9C-101B-9397-08002B2CF9AE}" pid="16" name="BusinessUnit">
    <vt:lpwstr>3;#Language Division|9d03c550-61a5-463a-85fe-6ed05e2d8eeb</vt:lpwstr>
  </property>
  <property fmtid="{D5CDD505-2E9C-101B-9397-08002B2CF9AE}" pid="17" name="RMClassification">
    <vt:lpwstr>180;#18 Translation Working Files|5b3c2158-c7ed-4718-9150-5fba4e7992db</vt:lpwstr>
  </property>
  <property fmtid="{D5CDD505-2E9C-101B-9397-08002B2CF9AE}" pid="18" name="Languages">
    <vt:lpwstr>1;#English|950e6fa2-2df0-4983-a604-54e57c7a6d93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_dlc_DocIdItemGuid">
    <vt:lpwstr>b78d20ac-1aad-4fcd-a727-1f32f5954ebe</vt:lpwstr>
  </property>
  <property fmtid="{D5CDD505-2E9C-101B-9397-08002B2CF9AE}" pid="22" name="oec7080f59824b85bfab9bab42c36e68">
    <vt:lpwstr>18 Translation Working Files|5b3c2158-c7ed-4718-9150-5fba4e7992db</vt:lpwstr>
  </property>
  <property fmtid="{D5CDD505-2E9C-101B-9397-08002B2CF9AE}" pid="23" name="gd7c24c3841c42febad33c823204a123">
    <vt:lpwstr>Language Division|9d03c550-61a5-463a-85fe-6ed05e2d8eeb</vt:lpwstr>
  </property>
  <property fmtid="{D5CDD505-2E9C-101B-9397-08002B2CF9AE}" pid="24" name="Order">
    <vt:r8>133500</vt:r8>
  </property>
  <property fmtid="{D5CDD505-2E9C-101B-9397-08002B2CF9AE}" pid="25" name="j72d38dd587d4c818476e9c94f452b47">
    <vt:lpwstr>English|950e6fa2-2df0-4983-a604-54e57c7a6d93</vt:lpwstr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Body1">
    <vt:lpwstr>2;#Advisory Committee on Enforcement|94e1ee49-e9d1-492e-836f-37c3b0a0dad7</vt:lpwstr>
  </property>
  <property fmtid="{D5CDD505-2E9C-101B-9397-08002B2CF9AE}" pid="33" name="j72d38dd587d4c818476e9c94f452b470">
    <vt:lpwstr>English|950e6fa2-2df0-4983-a604-54e57c7a6d93</vt:lpwstr>
  </property>
  <property fmtid="{D5CDD505-2E9C-101B-9397-08002B2CF9AE}" pid="34" name="gd7c24c3841c42febad33c823204a1230">
    <vt:lpwstr>Diplomatic Engagement and Assemblies Affairs Division|c4a5cf71-800f-4e10-aab9-36d8b83eadc2</vt:lpwstr>
  </property>
  <property fmtid="{D5CDD505-2E9C-101B-9397-08002B2CF9AE}" pid="35" name="gbd88f87496145e58da10973a57b07b80">
    <vt:lpwstr>Advisory Committee on Enforcement|94e1ee49-e9d1-492e-836f-37c3b0a0dad7</vt:lpwstr>
  </property>
</Properties>
</file>