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F985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</w:rPr>
        <w:drawing>
          <wp:inline distT="0" distB="0" distL="0" distR="0" wp14:anchorId="4FB91B72" wp14:editId="0B5EBA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C1A5C45" wp14:editId="2A5294D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80E86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BA74EEA" w14:textId="627DD0D0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WO/GA/58/</w:t>
      </w:r>
      <w:bookmarkStart w:id="0" w:name="Code"/>
      <w:bookmarkEnd w:id="0"/>
      <w:r>
        <w:rPr>
          <w:rFonts w:ascii="Arial Black" w:hAnsi="Arial Black"/>
          <w:caps/>
          <w:sz w:val="15"/>
        </w:rPr>
        <w:t>12</w:t>
      </w:r>
    </w:p>
    <w:p w14:paraId="7C8B3A8D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452215F" w14:textId="21E967FA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7 мая 2025 года</w:t>
      </w:r>
    </w:p>
    <w:bookmarkEnd w:id="2"/>
    <w:p w14:paraId="5DD6ED96" w14:textId="77777777" w:rsidR="008B2CC1" w:rsidRPr="003845C1" w:rsidRDefault="00A9118D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Генеральная Ассамблея ВОИС</w:t>
      </w:r>
    </w:p>
    <w:p w14:paraId="1965768D" w14:textId="22D5126B" w:rsidR="008B2CC1" w:rsidRPr="003845C1" w:rsidRDefault="00A9118D" w:rsidP="008B2CC1">
      <w:pPr>
        <w:rPr>
          <w:b/>
          <w:sz w:val="24"/>
          <w:szCs w:val="24"/>
        </w:rPr>
      </w:pPr>
      <w:r>
        <w:rPr>
          <w:b/>
          <w:sz w:val="24"/>
        </w:rPr>
        <w:t>Пятьдесят восьмая (27-я очередная) сессия</w:t>
      </w:r>
    </w:p>
    <w:p w14:paraId="6481B7A4" w14:textId="07DF3377" w:rsidR="008B2CC1" w:rsidRPr="009F3BF9" w:rsidRDefault="00A9118D" w:rsidP="00CE65D4">
      <w:pPr>
        <w:spacing w:after="720"/>
      </w:pPr>
      <w:r>
        <w:rPr>
          <w:b/>
          <w:sz w:val="24"/>
        </w:rPr>
        <w:t>Женева, 8–17 июля 2025 года</w:t>
      </w:r>
    </w:p>
    <w:p w14:paraId="5F6F0629" w14:textId="095BE94F" w:rsidR="008B2CC1" w:rsidRPr="009F3BF9" w:rsidRDefault="007917F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Техническая помощь и сотрудничество в связи с Договором о патентном праве (PLT)</w:t>
      </w:r>
    </w:p>
    <w:p w14:paraId="414C4F33" w14:textId="77777777" w:rsidR="0078115D" w:rsidRPr="003847EA" w:rsidRDefault="0078115D" w:rsidP="0078115D">
      <w:pPr>
        <w:tabs>
          <w:tab w:val="left" w:pos="567"/>
        </w:tabs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p w14:paraId="27873E7B" w14:textId="5AB7A075" w:rsidR="0078115D" w:rsidRPr="0078115D" w:rsidRDefault="004E33CF" w:rsidP="003151EA">
      <w:pPr>
        <w:numPr>
          <w:ilvl w:val="0"/>
          <w:numId w:val="5"/>
        </w:numPr>
        <w:spacing w:after="220"/>
      </w:pPr>
      <w:r>
        <w:t xml:space="preserve">Дипломатическая конференция по принятию Договора о патентном праве (PLT), состоявшаяся в Женеве 11 мая – 2 июня 2000 года, обратилась в своих согласованных заявлениях, касающихся Договора о патентном праве и Инструкции к нему, к Генеральной Ассамблее Всемирной организации интеллектуальной собственности (ВОИС) и Договаривающимся сторонам с просьбой оказать развивающимся и наименее развитым странам (НРС), а также странам с переходной экономикой дополнительную техническую помощь для выполнения ими своих обязательств по PLT с целью содействия применению </w:t>
      </w:r>
      <w:bookmarkStart w:id="5" w:name="_Hlk191054506"/>
      <w:r>
        <w:t>правила 8(1)(а) Инструкции к PLT</w:t>
      </w:r>
      <w:bookmarkEnd w:id="5"/>
      <w:r w:rsidR="0078115D" w:rsidRPr="0078115D">
        <w:rPr>
          <w:vertAlign w:val="superscript"/>
        </w:rPr>
        <w:footnoteReference w:id="2"/>
      </w:r>
      <w:r>
        <w:t>.  Кроме того, участники Дипломатической конференции обратились к Генеральной Ассамблее ВОИС с просьбой осуществлять контроль и оценку хода такого сотрудничества на каждой очередной сессии.</w:t>
      </w:r>
    </w:p>
    <w:p w14:paraId="2A63C4E4" w14:textId="749F7FD5" w:rsidR="002F123D" w:rsidRDefault="0078115D" w:rsidP="004C507E">
      <w:pPr>
        <w:numPr>
          <w:ilvl w:val="0"/>
          <w:numId w:val="5"/>
        </w:numPr>
        <w:spacing w:after="220"/>
      </w:pPr>
      <w:r>
        <w:t xml:space="preserve">В соответствии с согласованными заявлениями Секретариат регулярно представляет Генеральной Ассамблее ВОИС информацию о проведенных им мероприятиях в области технической помощи и сотрудничестве, </w:t>
      </w:r>
      <w:bookmarkStart w:id="6" w:name="_Hlk191054671"/>
      <w:r>
        <w:t>направленных на упрощение процесса подачи документов в электронном виде</w:t>
      </w:r>
      <w:bookmarkEnd w:id="6"/>
      <w:r>
        <w:t>. В приложениях I и II к настоящему документу представлены мероприятия, проведенные в период с марта 2023 года по февраль 2025 года, а также — в справочных целях — список Договаривающихся сторон PLT на момент публикации настоящего документа, соответственно.</w:t>
      </w:r>
    </w:p>
    <w:p w14:paraId="72D64EC6" w14:textId="77777777" w:rsidR="00A1464C" w:rsidRDefault="00A1464C" w:rsidP="00A1464C">
      <w:pPr>
        <w:spacing w:after="220"/>
      </w:pPr>
    </w:p>
    <w:p w14:paraId="61D1513C" w14:textId="77777777" w:rsidR="00A1464C" w:rsidRDefault="00A1464C" w:rsidP="00A1464C">
      <w:pPr>
        <w:spacing w:after="220"/>
      </w:pPr>
    </w:p>
    <w:p w14:paraId="3BB1188C" w14:textId="05E18AA8" w:rsidR="0078115D" w:rsidRPr="0078115D" w:rsidRDefault="0078115D" w:rsidP="00FB4176">
      <w:pPr>
        <w:numPr>
          <w:ilvl w:val="0"/>
          <w:numId w:val="5"/>
        </w:numPr>
        <w:spacing w:after="220"/>
      </w:pPr>
      <w:bookmarkStart w:id="7" w:name="_Hlk191049049"/>
      <w:r>
        <w:t>Кроме того, напоминаем, что «промышленно развитым странам с рыночной экономикой», упомянутым во втором абзаце пункта 4 согласованных заявлений, предлагается доложить Генеральной Ассамблее ВОИС о техническом и финансовом сотрудничестве, как предусмотрено этим пунктом, для целей осуществления контроля и оценки.</w:t>
      </w:r>
    </w:p>
    <w:bookmarkEnd w:id="7"/>
    <w:p w14:paraId="140775EC" w14:textId="653BC920" w:rsidR="0078115D" w:rsidRPr="0078115D" w:rsidRDefault="0078115D" w:rsidP="0078115D">
      <w:pPr>
        <w:numPr>
          <w:ilvl w:val="0"/>
          <w:numId w:val="5"/>
        </w:numPr>
        <w:tabs>
          <w:tab w:val="clear" w:pos="567"/>
          <w:tab w:val="num" w:pos="360"/>
          <w:tab w:val="left" w:pos="6096"/>
        </w:tabs>
        <w:spacing w:after="220"/>
        <w:ind w:left="5529"/>
        <w:rPr>
          <w:i/>
        </w:rPr>
      </w:pPr>
      <w:r>
        <w:rPr>
          <w:i/>
        </w:rPr>
        <w:t>Генеральной Ассамблее ВОИС предлагается принять к сведению информацию, содержащуюся в документе «Техническая помощь и сотрудничество в связи с Договором о патентном праве (PLT)» (документ WO/GA/58/12).</w:t>
      </w:r>
    </w:p>
    <w:p w14:paraId="7D43A803" w14:textId="77777777" w:rsidR="0078115D" w:rsidRPr="0078115D" w:rsidRDefault="0078115D" w:rsidP="0078115D">
      <w:pPr>
        <w:tabs>
          <w:tab w:val="left" w:pos="567"/>
        </w:tabs>
        <w:spacing w:before="720"/>
        <w:ind w:left="5533"/>
      </w:pPr>
      <w:r>
        <w:t>[Приложения следуют]</w:t>
      </w:r>
    </w:p>
    <w:p w14:paraId="27916DA8" w14:textId="77777777" w:rsidR="0078115D" w:rsidRPr="0078115D" w:rsidRDefault="0078115D" w:rsidP="0078115D">
      <w:pPr>
        <w:tabs>
          <w:tab w:val="left" w:pos="567"/>
        </w:tabs>
      </w:pPr>
    </w:p>
    <w:p w14:paraId="11289589" w14:textId="77777777" w:rsidR="0078115D" w:rsidRPr="0078115D" w:rsidRDefault="0078115D" w:rsidP="0078115D">
      <w:pPr>
        <w:tabs>
          <w:tab w:val="left" w:pos="567"/>
        </w:tabs>
        <w:sectPr w:rsidR="0078115D" w:rsidRPr="0078115D" w:rsidSect="00CB6E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CFD5187" w14:textId="034F94E4" w:rsidR="0078115D" w:rsidRPr="0078115D" w:rsidRDefault="0078115D" w:rsidP="0078115D">
      <w:pPr>
        <w:keepNext/>
        <w:spacing w:after="600"/>
        <w:outlineLvl w:val="0"/>
        <w:rPr>
          <w:bCs/>
          <w:kern w:val="32"/>
          <w:szCs w:val="22"/>
        </w:rPr>
      </w:pPr>
      <w:r>
        <w:lastRenderedPageBreak/>
        <w:t>ТЕХНИЧЕСКАЯ ПОМОЩЬ И СОТРУДНИЧЕСТВО В ИНТЕРЕСАХ РАЗВИВАЮЩИХСЯ И НАИМЕНЕЕ РАЗВИТЫХ СТРАН (НРС), А ТАКЖЕ СТРАН С ПЕРЕХОДНОЙ ЭКОНОМИКОЙ В РАМКАХ СОДЕЙСТВИЯ ПРИМЕНЕНИЮ ПРАВИЛА 8(1)(А) ИНСТРУКЦИИ К ДОГОВОРУ О ПАТЕНТНОМ ПРАВЕ (PLT) ЗА ПЕРИОД С МАРТА 2023 ГОДА ПО ФЕВРАЛЬ 2025 ГОДА</w:t>
      </w:r>
    </w:p>
    <w:p w14:paraId="7D2DA10C" w14:textId="635B85F6" w:rsidR="0078115D" w:rsidRPr="0078115D" w:rsidRDefault="0078115D" w:rsidP="0078115D">
      <w:pPr>
        <w:numPr>
          <w:ilvl w:val="0"/>
          <w:numId w:val="7"/>
        </w:numPr>
        <w:tabs>
          <w:tab w:val="left" w:pos="567"/>
        </w:tabs>
        <w:spacing w:after="220"/>
        <w:rPr>
          <w:shd w:val="clear" w:color="auto" w:fill="FFFFFF"/>
        </w:rPr>
      </w:pPr>
      <w:r>
        <w:rPr>
          <w:shd w:val="clear" w:color="auto" w:fill="FFFFFF"/>
        </w:rPr>
        <w:t>С марта 2023 года по февраль 2025 года Секретариат ВОИС оказывал техническую помощь развивающимся и наименее развитым странам (НРС), а также странам с переходной экономикой</w:t>
      </w:r>
      <w:r w:rsidRPr="0078115D">
        <w:rPr>
          <w:shd w:val="clear" w:color="auto" w:fill="FFFFFF"/>
          <w:vertAlign w:val="superscript"/>
        </w:rPr>
        <w:footnoteReference w:id="3"/>
      </w:r>
      <w:r>
        <w:rPr>
          <w:shd w:val="clear" w:color="auto" w:fill="FFFFFF"/>
        </w:rPr>
        <w:t xml:space="preserve"> и сотрудничал с ними в рамках содействия применению правила 8(1)(а) Инструкции к Договору о патентном праве (PLT), в частности упрощения процесса подачи документов в электронном виде в этих государствах, в следующих областях:  (а) техническая инфраструктура национальных и региональных ведомств интеллектуальной собственности (ИС); и (b) электронные средства связи в рамках Договора о патентной кооперации (РСТ).</w:t>
      </w:r>
    </w:p>
    <w:p w14:paraId="5A8856F9" w14:textId="0A73C519" w:rsidR="0078115D" w:rsidRPr="0078115D" w:rsidRDefault="0078115D" w:rsidP="003151EA">
      <w:pPr>
        <w:numPr>
          <w:ilvl w:val="0"/>
          <w:numId w:val="5"/>
        </w:numPr>
        <w:spacing w:after="220"/>
        <w:rPr>
          <w:shd w:val="clear" w:color="auto" w:fill="FFFFFF"/>
        </w:rPr>
      </w:pPr>
      <w:r>
        <w:rPr>
          <w:shd w:val="clear" w:color="auto" w:fill="FFFFFF"/>
        </w:rPr>
        <w:t>Эта деятельность осуществлялась в русле рекомендаций Повестки дня в области развития (ПДР) ВОИС и была направлена на укрепление институциональной и технической инфраструктуры ведомств и учреждений ИС</w:t>
      </w:r>
      <w:r w:rsidRPr="0078115D">
        <w:rPr>
          <w:shd w:val="clear" w:color="auto" w:fill="FFFFFF"/>
          <w:vertAlign w:val="superscript"/>
        </w:rPr>
        <w:footnoteReference w:id="4"/>
      </w:r>
      <w:r>
        <w:rPr>
          <w:shd w:val="clear" w:color="auto" w:fill="FFFFFF"/>
        </w:rPr>
        <w:t>.</w:t>
      </w:r>
    </w:p>
    <w:p w14:paraId="3B7D73FC" w14:textId="6E2C7AD4" w:rsidR="0078115D" w:rsidRPr="00CC224D" w:rsidRDefault="0078115D" w:rsidP="0078115D">
      <w:pPr>
        <w:keepNext/>
        <w:tabs>
          <w:tab w:val="left" w:pos="567"/>
        </w:tabs>
        <w:spacing w:before="360" w:after="220"/>
        <w:ind w:left="540" w:hanging="540"/>
        <w:outlineLvl w:val="1"/>
        <w:rPr>
          <w:bCs/>
          <w:iCs/>
          <w:caps/>
          <w:szCs w:val="28"/>
          <w:shd w:val="clear" w:color="auto" w:fill="FFFFFF"/>
        </w:rPr>
      </w:pPr>
      <w:r>
        <w:rPr>
          <w:caps/>
          <w:shd w:val="clear" w:color="auto" w:fill="FFFFFF"/>
        </w:rPr>
        <w:t>A.</w:t>
      </w:r>
      <w:r>
        <w:rPr>
          <w:caps/>
          <w:shd w:val="clear" w:color="auto" w:fill="FFFFFF"/>
        </w:rPr>
        <w:tab/>
        <w:t>Техническая инфраструктура национальных и региональных ведомств ИС</w:t>
      </w:r>
    </w:p>
    <w:p w14:paraId="4E3FAFD1" w14:textId="731978E5" w:rsidR="00CC224D" w:rsidRPr="00CC224D" w:rsidRDefault="00CC224D" w:rsidP="00CC224D">
      <w:pPr>
        <w:pStyle w:val="ONUME"/>
        <w:rPr>
          <w:color w:val="000000" w:themeColor="text1"/>
          <w:u w:val="single"/>
        </w:rPr>
      </w:pPr>
      <w:r>
        <w:t xml:space="preserve">В отчетный период Секретариат продолжал поддерживать работу по совершенствованию информационных систем национальных и региональных ведомств ИС в стремлении помочь им в разработке цифровых реестров для управления ИС и создании потенциала для предоставления партнерам услуг в полностью онлайновом режиме.  В программе работы на текущий двухлетний период основной акцент сделан на оказание поддержки цифровизации ведомств ИС путем модернизации пакета программ ВОИС Office Suite (WIPO File, WIPO Publish и IPAS) за счет внедрения современных и полностью функциональных технологий.  Дополнительная информация приводится на веб-странице, посвященной программе технической помощи ВОИС для ведомств ИС, по адресу </w:t>
      </w:r>
      <w:r w:rsidR="006067E2">
        <w:fldChar w:fldCharType="begin"/>
      </w:r>
      <w:r w:rsidR="006067E2">
        <w:instrText>HYPERLINK "</w:instrText>
      </w:r>
      <w:r w:rsidR="006067E2" w:rsidRPr="006067E2">
        <w:instrText>https://www.wipo.int/cooperation/ru/technical_assistance/index.html</w:instrText>
      </w:r>
      <w:r w:rsidR="006067E2">
        <w:instrText>"</w:instrText>
      </w:r>
      <w:r w:rsidR="006067E2">
        <w:fldChar w:fldCharType="separate"/>
      </w:r>
      <w:r w:rsidR="006067E2" w:rsidRPr="008A20E4">
        <w:rPr>
          <w:rStyle w:val="Hyperlink"/>
        </w:rPr>
        <w:t>https://www.wipo.int/cooperation/ru/technical_assistance/index.html</w:t>
      </w:r>
      <w:r w:rsidR="006067E2">
        <w:fldChar w:fldCharType="end"/>
      </w:r>
      <w:r w:rsidR="006067E2" w:rsidRPr="006067E2">
        <w:t xml:space="preserve"> </w:t>
      </w:r>
    </w:p>
    <w:p w14:paraId="7C48CFFF" w14:textId="4A062B2D" w:rsidR="00CC224D" w:rsidRPr="00CC224D" w:rsidRDefault="00CC224D" w:rsidP="00CC224D">
      <w:pPr>
        <w:pStyle w:val="ONUME"/>
      </w:pPr>
      <w:r>
        <w:t>Техническая помощь и сотрудничество осуществляются по следующим направлениям:  (i) консультации по техническим вопросам;  (ii) оценка коммерческих потребностей;  (iii) определение объема проектных работ и их планирование;  (iv) анализ рабочих процессов;  (v) постоянные разработка и внедрение адаптированных информационных решений в области управления правами ИС, а также обмена приоритетными документами и результатами поиска и экспертизы;  (vi) создание баз данных ИС, в том числе помощь в оцифровке учетных данных об ИС и подготовка данных для онлайновых публикаций и электронного обмена информацией;  (vii) обучение и передача знаний сотрудникам ведомств ИС;  и (viii) поддержка систем, предоставленных ВОИС.  В ходе оказания услуг при необходимости учитываются стандарты ВОИС по данным и информации об ИС.  Значительная часть деятельности Секретариата представляет собой профессиональную подготовку без отрыва от рабочего процесса, наставничество и региональные практические семинары, которые играют важнейшую роль для достижения желаемых результатов.</w:t>
      </w:r>
    </w:p>
    <w:p w14:paraId="10605922" w14:textId="138443D7" w:rsidR="00CC224D" w:rsidRPr="00CC224D" w:rsidRDefault="00CC224D" w:rsidP="005C3A10">
      <w:pPr>
        <w:pStyle w:val="ONUME"/>
        <w:spacing w:after="0"/>
      </w:pPr>
      <w:r>
        <w:lastRenderedPageBreak/>
        <w:t xml:space="preserve">На сегодняшний день 98 ведомств ИС из развивающихся стран, НРС и стран с переходной экономикой во всех регионах мира активно используют деловые решения ВОИС с интегрированными в них стандартами Организации для управления правами ИС.  </w:t>
      </w:r>
    </w:p>
    <w:p w14:paraId="00304650" w14:textId="42DD38E6" w:rsidR="0078115D" w:rsidRPr="001A2B93" w:rsidRDefault="0078115D" w:rsidP="0078115D">
      <w:pPr>
        <w:keepNext/>
        <w:tabs>
          <w:tab w:val="left" w:pos="567"/>
        </w:tabs>
        <w:spacing w:before="360" w:after="220"/>
        <w:ind w:left="540" w:hanging="540"/>
        <w:outlineLvl w:val="1"/>
        <w:rPr>
          <w:bCs/>
          <w:iCs/>
          <w:caps/>
          <w:szCs w:val="28"/>
          <w:shd w:val="clear" w:color="auto" w:fill="FFFFFF"/>
        </w:rPr>
      </w:pPr>
      <w:r>
        <w:rPr>
          <w:caps/>
          <w:shd w:val="clear" w:color="auto" w:fill="FFFFFF"/>
        </w:rPr>
        <w:t>B.</w:t>
      </w:r>
      <w:r>
        <w:rPr>
          <w:caps/>
          <w:shd w:val="clear" w:color="auto" w:fill="FFFFFF"/>
        </w:rPr>
        <w:tab/>
        <w:t>Электронные средства связи в рамках PCT</w:t>
      </w:r>
    </w:p>
    <w:p w14:paraId="3044C946" w14:textId="7195A3AD" w:rsidR="007A31BD" w:rsidRPr="007A31BD" w:rsidRDefault="007A31BD" w:rsidP="007A31BD">
      <w:pPr>
        <w:pStyle w:val="ONUME"/>
      </w:pPr>
      <w:r>
        <w:t xml:space="preserve">С учетом тесной связи PLT и РСТ необходимо отметить следующие изменения в рамках РСТ, имевшие место в отчетный период.  </w:t>
      </w:r>
    </w:p>
    <w:p w14:paraId="59EA3D9F" w14:textId="6765330B" w:rsidR="007A31BD" w:rsidRPr="007A31BD" w:rsidRDefault="007A31BD" w:rsidP="007A31BD">
      <w:pPr>
        <w:pStyle w:val="ONUME"/>
      </w:pPr>
      <w:r>
        <w:t>Секретариат продолжает развитие и внедрение системы ePCT.  За последний год в системе ePCT было зарегистрировано более 27 000 активных пользователей из более чем 170 стран.  Система также доступна национальным/региональным ведомствам ИС, которые отныне могут использовать ее в качестве Получающих ведомств (ПВ), Международных поисковых органов (МПО), Органов международной предварительной экспертизы (ОМПЭ) и Указанных ведомств (УВ).  На сегодняшний день таким дополнительным функционалом пользуются 107 ведомства ИС.</w:t>
      </w:r>
    </w:p>
    <w:p w14:paraId="0A4AE9A3" w14:textId="3000780F" w:rsidR="007A31BD" w:rsidRPr="007A31BD" w:rsidRDefault="007A31BD" w:rsidP="007A31BD">
      <w:pPr>
        <w:pStyle w:val="ONUME"/>
      </w:pPr>
      <w:r>
        <w:t>Кроме того, 90 ПВ (по состоянию на 1 февраля 2025 года) допускают использование сервиса электронной подачи заявок (еРСТ-Filing), позволяющего ведомствам предлагать своим пользователям возможность подать заявку в режиме онлайн.  Пользовательский интерфейс ePCT доступен на всех языках международной публикации в рамках PCT, а именно: арабский, китайский, английский, французский, немецкий, японский, корейский, португальский, русский и испанский.</w:t>
      </w:r>
    </w:p>
    <w:p w14:paraId="76F1C2C4" w14:textId="1D0AA24E" w:rsidR="007A31BD" w:rsidRPr="007A31BD" w:rsidRDefault="007A31BD" w:rsidP="007A31BD">
      <w:pPr>
        <w:pStyle w:val="ONUME"/>
      </w:pPr>
      <w:r>
        <w:t>Более того, Секретариат предлагает функционал ПВ на платформе ePCT, который совместим с веб-сервисом электронной подачи заявок.  Этот функционал доступен ведомствам всех государств-членов, которые не имеют возможности или предпочитают не развивать, не поддерживать и не эксплуатировать собственную инфраструктуру ИТ для деятельности в качестве ПВ, что позволяет им предлагать пользователям тот же уровень обслуживания, что и в полностью автоматизированных ведомствах.  Участвующим ведомствам нужно иметь лишь стандартный веб-браузер и подключение к интернету (а также сканер для обработки документов, подаваемых на бумаге).  С февраля 2023 года национальные ведомства ИС следующих стран начали использовать сервис электронной подачи ePCT Filing и сервисы ПВ: Греция, Ливия, Люксембург, Норвегия, Маврикий и Уругвай.  Кроме того, сервисы МПО и ОМПЭ в рамках ePCT были внедрены Саудовской Аравией.</w:t>
      </w:r>
    </w:p>
    <w:p w14:paraId="33C9CE04" w14:textId="27A2C76C" w:rsidR="007A31BD" w:rsidRPr="007A31BD" w:rsidRDefault="007A31BD" w:rsidP="007A31BD">
      <w:pPr>
        <w:pStyle w:val="ONUME"/>
        <w:numPr>
          <w:ilvl w:val="0"/>
          <w:numId w:val="0"/>
        </w:numPr>
      </w:pPr>
      <w:r>
        <w:t>10.</w:t>
      </w:r>
      <w:r>
        <w:tab/>
        <w:t xml:space="preserve">Помимо перечисленных выше услуг Секретариат оказывает ведомствам ИС помощь в подготовке к внедрению сервисов ePCT.  Такая помощь включает техническое содействие, например создание для ПВ сред тестирования для проверки всей процедуры подачи заявки, передачу в Международное бюро пакетов регистрационных экземпляров, а также оказание процедурной и правовой помощи. </w:t>
      </w:r>
    </w:p>
    <w:p w14:paraId="69068441" w14:textId="77777777" w:rsidR="0078115D" w:rsidRPr="0078115D" w:rsidRDefault="0078115D" w:rsidP="0078115D">
      <w:pPr>
        <w:tabs>
          <w:tab w:val="left" w:pos="567"/>
        </w:tabs>
        <w:spacing w:before="720"/>
        <w:ind w:left="5530"/>
      </w:pPr>
      <w:r>
        <w:t>[Приложение II следует.]</w:t>
      </w:r>
    </w:p>
    <w:p w14:paraId="3A0CA87D" w14:textId="77777777" w:rsidR="0078115D" w:rsidRPr="0078115D" w:rsidRDefault="0078115D" w:rsidP="0078115D">
      <w:pPr>
        <w:tabs>
          <w:tab w:val="left" w:pos="567"/>
        </w:tabs>
        <w:sectPr w:rsidR="0078115D" w:rsidRPr="0078115D" w:rsidSect="00B006A3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12A89E60" w14:textId="77777777" w:rsidR="0078115D" w:rsidRPr="0078115D" w:rsidRDefault="0078115D" w:rsidP="003151EA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color w:val="000000"/>
        </w:rPr>
        <w:lastRenderedPageBreak/>
        <w:t>Договор о патентном праве</w:t>
      </w:r>
      <w:r w:rsidRPr="0078115D">
        <w:rPr>
          <w:bCs/>
          <w:color w:val="000000"/>
          <w:szCs w:val="24"/>
          <w:vertAlign w:val="superscript"/>
        </w:rPr>
        <w:footnoteReference w:id="5"/>
      </w:r>
    </w:p>
    <w:p w14:paraId="69D08FFB" w14:textId="77777777" w:rsidR="0078115D" w:rsidRPr="0078115D" w:rsidRDefault="0078115D" w:rsidP="0078115D">
      <w:pPr>
        <w:tabs>
          <w:tab w:val="left" w:pos="567"/>
        </w:tabs>
        <w:autoSpaceDE w:val="0"/>
        <w:autoSpaceDN w:val="0"/>
        <w:adjustRightInd w:val="0"/>
        <w:jc w:val="center"/>
        <w:rPr>
          <w:color w:val="000000"/>
          <w:szCs w:val="24"/>
        </w:rPr>
      </w:pPr>
      <w:r>
        <w:rPr>
          <w:color w:val="000000"/>
        </w:rPr>
        <w:t xml:space="preserve">(Женева, 2000 год) </w:t>
      </w:r>
    </w:p>
    <w:p w14:paraId="0130787D" w14:textId="108039BA" w:rsidR="0078115D" w:rsidRPr="0078115D" w:rsidRDefault="0078115D" w:rsidP="0078115D">
      <w:pPr>
        <w:tabs>
          <w:tab w:val="left" w:pos="567"/>
        </w:tabs>
        <w:autoSpaceDE w:val="0"/>
        <w:autoSpaceDN w:val="0"/>
        <w:adjustRightInd w:val="0"/>
        <w:jc w:val="center"/>
        <w:rPr>
          <w:szCs w:val="24"/>
        </w:rPr>
      </w:pPr>
      <w:r>
        <w:t>по состоянию на 7 мая 2025 года</w:t>
      </w:r>
    </w:p>
    <w:p w14:paraId="3B8B00E4" w14:textId="77777777" w:rsidR="0078115D" w:rsidRPr="0078115D" w:rsidRDefault="0078115D" w:rsidP="0078115D">
      <w:pPr>
        <w:tabs>
          <w:tab w:val="left" w:pos="567"/>
        </w:tabs>
        <w:autoSpaceDE w:val="0"/>
        <w:autoSpaceDN w:val="0"/>
        <w:adjustRightInd w:val="0"/>
        <w:jc w:val="center"/>
        <w:rPr>
          <w:color w:val="000000"/>
          <w:szCs w:val="24"/>
        </w:rPr>
      </w:pPr>
    </w:p>
    <w:p w14:paraId="5EAE0E7B" w14:textId="77777777" w:rsidR="0078115D" w:rsidRPr="0078115D" w:rsidRDefault="0078115D" w:rsidP="0078115D">
      <w:pPr>
        <w:tabs>
          <w:tab w:val="left" w:pos="567"/>
        </w:tabs>
        <w:autoSpaceDE w:val="0"/>
        <w:autoSpaceDN w:val="0"/>
        <w:adjustRightInd w:val="0"/>
        <w:jc w:val="center"/>
        <w:rPr>
          <w:color w:val="000000"/>
          <w:szCs w:val="24"/>
        </w:rPr>
      </w:pPr>
    </w:p>
    <w:p w14:paraId="566E8050" w14:textId="77777777" w:rsidR="0078115D" w:rsidRPr="0078115D" w:rsidRDefault="0078115D" w:rsidP="0078115D">
      <w:pPr>
        <w:tabs>
          <w:tab w:val="left" w:pos="567"/>
        </w:tabs>
        <w:ind w:left="4536" w:hanging="4536"/>
        <w:rPr>
          <w:b/>
          <w:szCs w:val="22"/>
        </w:rPr>
      </w:pPr>
      <w:r>
        <w:rPr>
          <w:b/>
        </w:rPr>
        <w:t>Государство</w:t>
      </w:r>
      <w:r>
        <w:tab/>
      </w:r>
      <w:r>
        <w:rPr>
          <w:b/>
        </w:rPr>
        <w:t>Дата, на которую государство стало участником Договора о патентном праве</w:t>
      </w:r>
    </w:p>
    <w:p w14:paraId="683D7206" w14:textId="77777777" w:rsidR="0078115D" w:rsidRPr="0078115D" w:rsidRDefault="0078115D" w:rsidP="0078115D">
      <w:pPr>
        <w:tabs>
          <w:tab w:val="left" w:pos="567"/>
        </w:tabs>
        <w:ind w:left="4536" w:hanging="4536"/>
        <w:rPr>
          <w:b/>
          <w:szCs w:val="22"/>
        </w:rPr>
      </w:pPr>
    </w:p>
    <w:p w14:paraId="184C3EC7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Албания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17 мая 2010 г.</w:t>
      </w:r>
    </w:p>
    <w:p w14:paraId="40110FAA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Антигуа и Барбуда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25 июня 2019 г.</w:t>
      </w:r>
    </w:p>
    <w:p w14:paraId="6992CF83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Армения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17 сентября 2013 г.</w:t>
      </w:r>
    </w:p>
    <w:p w14:paraId="402FBDDD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Австралия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16 марта 2009 г.</w:t>
      </w:r>
    </w:p>
    <w:p w14:paraId="0293A8FF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Бахрейн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 декабря 2005 г.</w:t>
      </w:r>
    </w:p>
    <w:p w14:paraId="75C6ECB7" w14:textId="3C014F6C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Беларусь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21 октября 2016 г.</w:t>
      </w:r>
    </w:p>
    <w:p w14:paraId="6B741D85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Босния и Герцеговина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мая 2012 г.</w:t>
      </w:r>
    </w:p>
    <w:p w14:paraId="609D5D98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Канада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30 октября 2019 г.</w:t>
      </w:r>
    </w:p>
    <w:p w14:paraId="101C67D0" w14:textId="1950A7D8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Хорватия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2CC75701" w14:textId="4E31268D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 xml:space="preserve">Корейская Народно-Демократическая </w:t>
      </w:r>
      <w:r>
        <w:rPr>
          <w:sz w:val="20"/>
        </w:rPr>
        <w:br/>
        <w:t>Республика</w:t>
      </w:r>
      <w:r>
        <w:rPr>
          <w:sz w:val="20"/>
        </w:rPr>
        <w:tab/>
      </w:r>
      <w:r>
        <w:rPr>
          <w:sz w:val="20"/>
        </w:rPr>
        <w:tab/>
      </w:r>
      <w:r w:rsidR="00347D41" w:rsidRPr="00347D41">
        <w:rPr>
          <w:sz w:val="20"/>
        </w:rPr>
        <w:t xml:space="preserve">                                                   </w:t>
      </w:r>
      <w:r>
        <w:rPr>
          <w:sz w:val="20"/>
        </w:rPr>
        <w:t>22 августа 2018 г.</w:t>
      </w:r>
    </w:p>
    <w:p w14:paraId="76617CEE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Дания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15029FD0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Эстония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20B9B107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Финляндия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6 марта 2006 г.</w:t>
      </w:r>
    </w:p>
    <w:p w14:paraId="0EC91171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Франция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 января 2010 г.</w:t>
      </w:r>
    </w:p>
    <w:p w14:paraId="52AEE2DB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Венгрия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 марта 2008 г.</w:t>
      </w:r>
    </w:p>
    <w:p w14:paraId="1A41DE5A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Ирландия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27 мая 2012 г.</w:t>
      </w:r>
    </w:p>
    <w:p w14:paraId="6BFBE0A9" w14:textId="77777777" w:rsidR="0078115D" w:rsidRPr="00902C8A" w:rsidRDefault="0078115D" w:rsidP="0078115D">
      <w:pPr>
        <w:tabs>
          <w:tab w:val="left" w:pos="4536"/>
        </w:tabs>
        <w:rPr>
          <w:sz w:val="20"/>
        </w:rPr>
      </w:pPr>
      <w:r>
        <w:rPr>
          <w:sz w:val="20"/>
        </w:rPr>
        <w:t>Япония</w:t>
      </w:r>
      <w:r>
        <w:rPr>
          <w:sz w:val="20"/>
        </w:rPr>
        <w:tab/>
        <w:t>11 июня 2016 г.</w:t>
      </w:r>
    </w:p>
    <w:p w14:paraId="38E6958D" w14:textId="77777777" w:rsidR="0078115D" w:rsidRPr="00902C8A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Казахстан</w:t>
      </w:r>
      <w:r w:rsidRPr="0078115D">
        <w:rPr>
          <w:sz w:val="20"/>
          <w:vertAlign w:val="superscript"/>
        </w:rPr>
        <w:footnoteReference w:id="6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19 октября 2011 г.</w:t>
      </w:r>
    </w:p>
    <w:p w14:paraId="01041A44" w14:textId="77777777" w:rsidR="0078115D" w:rsidRPr="00902C8A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Кыргызстан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15706697" w14:textId="77777777" w:rsidR="0078115D" w:rsidRPr="0078115D" w:rsidRDefault="0078115D" w:rsidP="0078115D">
      <w:pPr>
        <w:tabs>
          <w:tab w:val="left" w:pos="4536"/>
        </w:tabs>
        <w:rPr>
          <w:sz w:val="20"/>
        </w:rPr>
      </w:pPr>
      <w:r>
        <w:rPr>
          <w:sz w:val="20"/>
        </w:rPr>
        <w:t>Латвия</w:t>
      </w:r>
      <w:r>
        <w:rPr>
          <w:sz w:val="20"/>
        </w:rPr>
        <w:tab/>
        <w:t>12 июня 2010 г.</w:t>
      </w:r>
    </w:p>
    <w:p w14:paraId="141C7811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Либерия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4 января 2017 г.</w:t>
      </w:r>
    </w:p>
    <w:p w14:paraId="2336CE8D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Лихтенштейн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18 декабря 2009 г.</w:t>
      </w:r>
    </w:p>
    <w:p w14:paraId="089EB30E" w14:textId="4643D97E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Литва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23D3A" w:rsidRPr="00347D41">
        <w:rPr>
          <w:sz w:val="20"/>
        </w:rPr>
        <w:tab/>
      </w:r>
      <w:r>
        <w:rPr>
          <w:sz w:val="20"/>
        </w:rPr>
        <w:t>3 февраля 2012 г.</w:t>
      </w:r>
    </w:p>
    <w:p w14:paraId="4B47E847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Черногория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9 марта 2012 г.</w:t>
      </w:r>
    </w:p>
    <w:p w14:paraId="20A6D93A" w14:textId="33FB9050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Нидерланды (Королевство)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23D3A" w:rsidRPr="00347D41">
        <w:rPr>
          <w:sz w:val="20"/>
        </w:rPr>
        <w:tab/>
      </w:r>
      <w:r>
        <w:rPr>
          <w:sz w:val="20"/>
        </w:rPr>
        <w:t>27 декабря 2010 г.</w:t>
      </w:r>
    </w:p>
    <w:p w14:paraId="3BE857BE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Нигерия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5B7AED69" w14:textId="54DC2939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Северная Македония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22 апреля 2010 г.</w:t>
      </w:r>
    </w:p>
    <w:p w14:paraId="15F2C9BC" w14:textId="77777777" w:rsidR="0078115D" w:rsidRPr="0078115D" w:rsidRDefault="0078115D" w:rsidP="0078115D">
      <w:pPr>
        <w:tabs>
          <w:tab w:val="left" w:pos="4536"/>
        </w:tabs>
        <w:rPr>
          <w:sz w:val="20"/>
        </w:rPr>
      </w:pPr>
      <w:r>
        <w:rPr>
          <w:sz w:val="20"/>
        </w:rPr>
        <w:t>Оман</w:t>
      </w:r>
      <w:r>
        <w:rPr>
          <w:sz w:val="20"/>
        </w:rPr>
        <w:tab/>
        <w:t>16 октября 2007 г.</w:t>
      </w:r>
    </w:p>
    <w:p w14:paraId="1E31FD0D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Республика Молдова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7EC5A7B2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Румыния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7FBF5EE8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Российская Федерация</w:t>
      </w:r>
      <w:r>
        <w:rPr>
          <w:sz w:val="20"/>
          <w:vertAlign w:val="super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12 августа 2009 г.</w:t>
      </w:r>
    </w:p>
    <w:p w14:paraId="6BA8E53C" w14:textId="1D265995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Саудовская Аравия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3 августа 2013 г.</w:t>
      </w:r>
    </w:p>
    <w:p w14:paraId="496F31D9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Сербия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20 августа 2010 г.</w:t>
      </w:r>
    </w:p>
    <w:p w14:paraId="49D81FD5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Словакия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034A0B98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Словения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4AAB7832" w14:textId="77777777" w:rsidR="0078115D" w:rsidRPr="0078115D" w:rsidRDefault="0078115D" w:rsidP="0078115D">
      <w:pPr>
        <w:tabs>
          <w:tab w:val="left" w:pos="4536"/>
        </w:tabs>
        <w:rPr>
          <w:sz w:val="20"/>
        </w:rPr>
      </w:pPr>
      <w:r>
        <w:rPr>
          <w:sz w:val="20"/>
        </w:rPr>
        <w:t>Испания</w:t>
      </w:r>
      <w:r>
        <w:rPr>
          <w:sz w:val="20"/>
        </w:rPr>
        <w:tab/>
        <w:t>6 ноября 2013 г.</w:t>
      </w:r>
    </w:p>
    <w:p w14:paraId="2F2EF5ED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Швеция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27 декабря 2007 г.</w:t>
      </w:r>
    </w:p>
    <w:p w14:paraId="379D54D2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Швейцария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 июля 2008 г.</w:t>
      </w:r>
    </w:p>
    <w:p w14:paraId="29CBE052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Туркменистан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19 июля 2021 г</w:t>
      </w:r>
    </w:p>
    <w:p w14:paraId="0D697013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Украина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28 апреля 2005 г.</w:t>
      </w:r>
    </w:p>
    <w:p w14:paraId="20FD4AEB" w14:textId="634775DB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Соединенное Королевство</w:t>
      </w:r>
      <w:r w:rsidRPr="0078115D">
        <w:rPr>
          <w:sz w:val="20"/>
          <w:vertAlign w:val="superscript"/>
        </w:rPr>
        <w:footnoteReference w:id="7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22 марта 2006 г.</w:t>
      </w:r>
    </w:p>
    <w:p w14:paraId="302FCDD2" w14:textId="47812C66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Соединенные Штаты Америки</w:t>
      </w:r>
      <w:r>
        <w:rPr>
          <w:sz w:val="20"/>
          <w:vertAlign w:val="super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18 декабря 2013 г.</w:t>
      </w:r>
    </w:p>
    <w:p w14:paraId="34F7D0D3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Узбекистан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19 июля 2006 г.</w:t>
      </w:r>
    </w:p>
    <w:p w14:paraId="2212F8D5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</w:p>
    <w:p w14:paraId="4CE0D679" w14:textId="419116BA" w:rsidR="0078115D" w:rsidRPr="0078115D" w:rsidRDefault="0078115D" w:rsidP="0078115D">
      <w:pPr>
        <w:tabs>
          <w:tab w:val="left" w:pos="567"/>
        </w:tabs>
        <w:rPr>
          <w:sz w:val="20"/>
        </w:rPr>
      </w:pPr>
      <w:r>
        <w:rPr>
          <w:sz w:val="20"/>
        </w:rPr>
        <w:t>(Всего: 43 государства)</w:t>
      </w:r>
    </w:p>
    <w:p w14:paraId="6890CAA7" w14:textId="77777777" w:rsidR="0078115D" w:rsidRPr="0078115D" w:rsidRDefault="0078115D" w:rsidP="0078115D">
      <w:pPr>
        <w:tabs>
          <w:tab w:val="left" w:pos="567"/>
        </w:tabs>
        <w:rPr>
          <w:sz w:val="20"/>
        </w:rPr>
      </w:pPr>
    </w:p>
    <w:p w14:paraId="15BB5BB0" w14:textId="77777777" w:rsidR="002928D3" w:rsidRDefault="0078115D" w:rsidP="009E39D5">
      <w:pPr>
        <w:tabs>
          <w:tab w:val="left" w:pos="567"/>
        </w:tabs>
        <w:ind w:left="4536"/>
        <w:jc w:val="center"/>
      </w:pPr>
      <w:r>
        <w:t>[Конец приложения II и документа]</w:t>
      </w:r>
      <w:bookmarkEnd w:id="4"/>
    </w:p>
    <w:sectPr w:rsidR="002928D3" w:rsidSect="0078115D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C8E1" w14:textId="77777777" w:rsidR="00156C18" w:rsidRDefault="00156C18">
      <w:r>
        <w:separator/>
      </w:r>
    </w:p>
  </w:endnote>
  <w:endnote w:type="continuationSeparator" w:id="0">
    <w:p w14:paraId="6ED85B59" w14:textId="77777777" w:rsidR="00156C18" w:rsidRDefault="00156C18" w:rsidP="003B38C1">
      <w:r>
        <w:separator/>
      </w:r>
    </w:p>
    <w:p w14:paraId="7D3544DD" w14:textId="77777777" w:rsidR="00156C18" w:rsidRPr="00723D3A" w:rsidRDefault="00156C18" w:rsidP="003B38C1">
      <w:pPr>
        <w:spacing w:after="60"/>
        <w:rPr>
          <w:sz w:val="17"/>
          <w:lang w:val="en-US"/>
        </w:rPr>
      </w:pPr>
      <w:r w:rsidRPr="00723D3A">
        <w:rPr>
          <w:sz w:val="17"/>
          <w:lang w:val="en-US"/>
        </w:rPr>
        <w:t>[Endnote continued from previous page]</w:t>
      </w:r>
    </w:p>
  </w:endnote>
  <w:endnote w:type="continuationNotice" w:id="1">
    <w:p w14:paraId="2F04F20F" w14:textId="77777777" w:rsidR="00156C18" w:rsidRPr="00723D3A" w:rsidRDefault="00156C18" w:rsidP="003B38C1">
      <w:pPr>
        <w:spacing w:before="60"/>
        <w:jc w:val="right"/>
        <w:rPr>
          <w:sz w:val="17"/>
          <w:szCs w:val="17"/>
          <w:lang w:val="en-US"/>
        </w:rPr>
      </w:pPr>
      <w:r w:rsidRPr="00723D3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8B46" w14:textId="77777777" w:rsidR="00F854BE" w:rsidRDefault="00F85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1891" w14:textId="77777777" w:rsidR="00F854BE" w:rsidRDefault="00F854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2044" w14:textId="77777777" w:rsidR="00F854BE" w:rsidRDefault="00F854B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282A" w14:textId="3B4FE6F7" w:rsidR="00554597" w:rsidRDefault="0055459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8596" w14:textId="2A453005" w:rsidR="00554597" w:rsidRDefault="0055459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CF1E" w14:textId="3BBF0590" w:rsidR="00554597" w:rsidRDefault="0055459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F0D1" w14:textId="3C9F063C" w:rsidR="00554597" w:rsidRDefault="0055459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97FA" w14:textId="6AAE527A" w:rsidR="00554597" w:rsidRDefault="0055459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E573" w14:textId="7A7B63BD" w:rsidR="00554597" w:rsidRPr="00F854BE" w:rsidRDefault="0055459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FE2C" w14:textId="77777777" w:rsidR="00156C18" w:rsidRDefault="00156C18">
      <w:r>
        <w:separator/>
      </w:r>
    </w:p>
  </w:footnote>
  <w:footnote w:type="continuationSeparator" w:id="0">
    <w:p w14:paraId="02953AFE" w14:textId="77777777" w:rsidR="00156C18" w:rsidRDefault="00156C18" w:rsidP="008B60B2">
      <w:r>
        <w:separator/>
      </w:r>
    </w:p>
    <w:p w14:paraId="3204DBE5" w14:textId="77777777" w:rsidR="00156C18" w:rsidRPr="00723D3A" w:rsidRDefault="00156C18" w:rsidP="008B60B2">
      <w:pPr>
        <w:spacing w:after="60"/>
        <w:rPr>
          <w:sz w:val="17"/>
          <w:szCs w:val="17"/>
          <w:lang w:val="en-US"/>
        </w:rPr>
      </w:pPr>
      <w:r w:rsidRPr="00723D3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A3D22A9" w14:textId="77777777" w:rsidR="00156C18" w:rsidRPr="00723D3A" w:rsidRDefault="00156C18" w:rsidP="008B60B2">
      <w:pPr>
        <w:spacing w:before="60"/>
        <w:jc w:val="right"/>
        <w:rPr>
          <w:sz w:val="17"/>
          <w:szCs w:val="17"/>
          <w:lang w:val="en-US"/>
        </w:rPr>
      </w:pPr>
      <w:r w:rsidRPr="00723D3A">
        <w:rPr>
          <w:sz w:val="17"/>
          <w:szCs w:val="17"/>
          <w:lang w:val="en-US"/>
        </w:rPr>
        <w:t>[Footnote continued on next page]</w:t>
      </w:r>
    </w:p>
  </w:footnote>
  <w:footnote w:id="2">
    <w:p w14:paraId="18A4F2C3" w14:textId="59778E6C" w:rsidR="0078115D" w:rsidRDefault="0078115D" w:rsidP="0078115D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Пункт 4 согласованных заявлений участников Дипломатической конференции, касающихся Договора о патентном праве и Инструкции к нему.</w:t>
      </w:r>
    </w:p>
  </w:footnote>
  <w:footnote w:id="3">
    <w:p w14:paraId="0B01E707" w14:textId="05853527" w:rsidR="0078115D" w:rsidRPr="000C689D" w:rsidRDefault="0078115D" w:rsidP="0078115D">
      <w:pPr>
        <w:pStyle w:val="FootnoteText"/>
        <w:ind w:left="540" w:hanging="540"/>
      </w:pPr>
      <w:r>
        <w:rPr>
          <w:rStyle w:val="FootnoteReference"/>
        </w:rPr>
        <w:footnoteRef/>
      </w:r>
      <w:r>
        <w:t xml:space="preserve"> </w:t>
      </w:r>
      <w:r>
        <w:tab/>
        <w:t>Техническая помощь и сотрудничество оказывались как Договаривающимся сторонам PLT, так и странам, которые еще не стали его сторонами, независимого от того, находились ли они в процессе присоединения или ратификации PLT.</w:t>
      </w:r>
    </w:p>
  </w:footnote>
  <w:footnote w:id="4">
    <w:p w14:paraId="6308B642" w14:textId="17357599" w:rsidR="0078115D" w:rsidRDefault="0078115D" w:rsidP="0078115D">
      <w:pPr>
        <w:pStyle w:val="FootnoteText"/>
        <w:ind w:left="540" w:hanging="540"/>
      </w:pPr>
      <w:r>
        <w:rPr>
          <w:rStyle w:val="FootnoteReference"/>
        </w:rPr>
        <w:footnoteRef/>
      </w:r>
      <w:r>
        <w:t xml:space="preserve"> </w:t>
      </w:r>
      <w:r>
        <w:tab/>
        <w:t>См., в частности, рекомендации 10 и 24 ПДР ВОИС.</w:t>
      </w:r>
    </w:p>
  </w:footnote>
  <w:footnote w:id="5">
    <w:p w14:paraId="6044DD16" w14:textId="77777777" w:rsidR="0078115D" w:rsidRPr="005B4AC5" w:rsidRDefault="0078115D" w:rsidP="0078115D">
      <w:pPr>
        <w:tabs>
          <w:tab w:val="left" w:pos="567"/>
        </w:tabs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Вступил в силу 28 апреля 2005 года.</w:t>
      </w:r>
    </w:p>
  </w:footnote>
  <w:footnote w:id="6">
    <w:p w14:paraId="4CE29066" w14:textId="77777777" w:rsidR="0078115D" w:rsidRPr="003937E8" w:rsidRDefault="0078115D" w:rsidP="0078115D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>С оговоркой в соответствии со статьей 23(1).</w:t>
      </w:r>
    </w:p>
  </w:footnote>
  <w:footnote w:id="7">
    <w:p w14:paraId="2ACA791D" w14:textId="00415D2B" w:rsidR="0078115D" w:rsidRPr="00FB6146" w:rsidRDefault="0078115D" w:rsidP="0078115D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  <w:t>Ратификация в отношении Соединенного Королевства Великобритании и Северной Ирландии и Острова Мэн.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32AF" w14:textId="77777777" w:rsidR="00F854BE" w:rsidRDefault="00F85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6406" w14:textId="3787DB1F" w:rsidR="0078115D" w:rsidRPr="00307ECA" w:rsidRDefault="0078115D" w:rsidP="00477D6B">
    <w:pPr>
      <w:jc w:val="right"/>
    </w:pPr>
    <w:r>
      <w:t>WO/GA/58/12</w:t>
    </w:r>
  </w:p>
  <w:p w14:paraId="21E9F1EE" w14:textId="77777777" w:rsidR="0078115D" w:rsidRPr="00307ECA" w:rsidRDefault="0078115D" w:rsidP="00477D6B">
    <w:pPr>
      <w:jc w:val="right"/>
    </w:pPr>
    <w:r>
      <w:t>стр. 2</w:t>
    </w:r>
  </w:p>
  <w:p w14:paraId="26F2F055" w14:textId="77777777" w:rsidR="0078115D" w:rsidRPr="00307ECA" w:rsidRDefault="0078115D" w:rsidP="00477D6B">
    <w:pPr>
      <w:jc w:val="right"/>
    </w:pPr>
  </w:p>
  <w:p w14:paraId="50FAC18C" w14:textId="77777777" w:rsidR="0078115D" w:rsidRPr="00307ECA" w:rsidRDefault="0078115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2B7D" w14:textId="77777777" w:rsidR="00F854BE" w:rsidRDefault="00F854B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36A0" w14:textId="58615557" w:rsidR="0078115D" w:rsidRPr="0055430C" w:rsidRDefault="0078115D" w:rsidP="00477D6B">
    <w:pPr>
      <w:jc w:val="right"/>
    </w:pPr>
    <w:r>
      <w:t>WO/GA/58/12</w:t>
    </w:r>
  </w:p>
  <w:p w14:paraId="74D25CD5" w14:textId="77777777" w:rsidR="0078115D" w:rsidRDefault="0078115D" w:rsidP="008032B6">
    <w:pPr>
      <w:jc w:val="right"/>
    </w:pPr>
    <w:r>
      <w:t>Приложение I, стр. 2</w:t>
    </w:r>
  </w:p>
  <w:p w14:paraId="4540553D" w14:textId="77777777" w:rsidR="0078115D" w:rsidRPr="00347D41" w:rsidRDefault="0078115D" w:rsidP="008032B6">
    <w:pPr>
      <w:jc w:val="right"/>
    </w:pPr>
  </w:p>
  <w:p w14:paraId="5012ECEF" w14:textId="77777777" w:rsidR="0078115D" w:rsidRPr="00347D41" w:rsidRDefault="0078115D" w:rsidP="008032B6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938A" w14:textId="36B7DE9B" w:rsidR="0078115D" w:rsidRDefault="0078115D" w:rsidP="0045753D">
    <w:pPr>
      <w:jc w:val="right"/>
    </w:pPr>
    <w:r>
      <w:t>WO/GA/58/12</w:t>
    </w:r>
  </w:p>
  <w:p w14:paraId="5735DC51" w14:textId="77777777" w:rsidR="0078115D" w:rsidRDefault="0078115D" w:rsidP="0045753D">
    <w:pPr>
      <w:jc w:val="right"/>
    </w:pPr>
    <w:r>
      <w:t>ПРИЛОЖЕНИЕ I</w:t>
    </w:r>
  </w:p>
  <w:p w14:paraId="4851E3D5" w14:textId="77777777" w:rsidR="0078115D" w:rsidRDefault="0078115D" w:rsidP="0045753D">
    <w:pPr>
      <w:jc w:val="right"/>
    </w:pPr>
  </w:p>
  <w:p w14:paraId="089E40CB" w14:textId="77777777" w:rsidR="0078115D" w:rsidRDefault="0078115D" w:rsidP="0045753D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682C" w14:textId="77777777" w:rsidR="00EC4E49" w:rsidRDefault="0078115D" w:rsidP="00477D6B">
    <w:pPr>
      <w:jc w:val="right"/>
    </w:pPr>
    <w:bookmarkStart w:id="8" w:name="Code2"/>
    <w:bookmarkEnd w:id="8"/>
    <w:r>
      <w:t>WO/GA/56/7</w:t>
    </w:r>
  </w:p>
  <w:p w14:paraId="2BA74510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91B1F">
      <w:t>5</w:t>
    </w:r>
    <w:r>
      <w:fldChar w:fldCharType="end"/>
    </w:r>
  </w:p>
  <w:p w14:paraId="4B1151ED" w14:textId="77777777" w:rsidR="00EC4E49" w:rsidRDefault="00EC4E49" w:rsidP="00477D6B">
    <w:pPr>
      <w:jc w:val="right"/>
    </w:pPr>
  </w:p>
  <w:p w14:paraId="7280C623" w14:textId="77777777" w:rsidR="00B50B99" w:rsidRDefault="00B50B99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A75" w14:textId="3D16E3FB" w:rsidR="009E39D5" w:rsidRDefault="009E39D5" w:rsidP="0045753D">
    <w:pPr>
      <w:jc w:val="right"/>
    </w:pPr>
    <w:r>
      <w:t>WO/GA/58/12</w:t>
    </w:r>
  </w:p>
  <w:p w14:paraId="61FE650D" w14:textId="77777777" w:rsidR="009E39D5" w:rsidRDefault="009E39D5" w:rsidP="0045753D">
    <w:pPr>
      <w:jc w:val="right"/>
    </w:pPr>
    <w:r>
      <w:t>ПРИЛОЖЕНИЕ II</w:t>
    </w:r>
  </w:p>
  <w:p w14:paraId="777788CC" w14:textId="77777777" w:rsidR="009E39D5" w:rsidRDefault="009E39D5" w:rsidP="0045753D">
    <w:pPr>
      <w:jc w:val="right"/>
    </w:pPr>
  </w:p>
  <w:p w14:paraId="3FC7FB96" w14:textId="77777777" w:rsidR="009E39D5" w:rsidRDefault="009E39D5" w:rsidP="0045753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300639">
    <w:abstractNumId w:val="2"/>
  </w:num>
  <w:num w:numId="2" w16cid:durableId="1086001890">
    <w:abstractNumId w:val="4"/>
  </w:num>
  <w:num w:numId="3" w16cid:durableId="1094086095">
    <w:abstractNumId w:val="0"/>
  </w:num>
  <w:num w:numId="4" w16cid:durableId="1916473775">
    <w:abstractNumId w:val="5"/>
  </w:num>
  <w:num w:numId="5" w16cid:durableId="1109348408">
    <w:abstractNumId w:val="1"/>
  </w:num>
  <w:num w:numId="6" w16cid:durableId="777599816">
    <w:abstractNumId w:val="3"/>
  </w:num>
  <w:num w:numId="7" w16cid:durableId="351225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5D"/>
    <w:rsid w:val="0001647B"/>
    <w:rsid w:val="00041A2B"/>
    <w:rsid w:val="000432E7"/>
    <w:rsid w:val="00043510"/>
    <w:rsid w:val="00043CAA"/>
    <w:rsid w:val="00075432"/>
    <w:rsid w:val="0008389B"/>
    <w:rsid w:val="00087DE4"/>
    <w:rsid w:val="00090D4E"/>
    <w:rsid w:val="000968ED"/>
    <w:rsid w:val="000B2D68"/>
    <w:rsid w:val="000D09D2"/>
    <w:rsid w:val="000F5E56"/>
    <w:rsid w:val="001024FE"/>
    <w:rsid w:val="00115FC6"/>
    <w:rsid w:val="00124AFD"/>
    <w:rsid w:val="001273D2"/>
    <w:rsid w:val="001356EF"/>
    <w:rsid w:val="001362EE"/>
    <w:rsid w:val="001379DE"/>
    <w:rsid w:val="00142868"/>
    <w:rsid w:val="00144BCD"/>
    <w:rsid w:val="001471F7"/>
    <w:rsid w:val="001478F2"/>
    <w:rsid w:val="00150C08"/>
    <w:rsid w:val="00156C18"/>
    <w:rsid w:val="0015788E"/>
    <w:rsid w:val="0016510B"/>
    <w:rsid w:val="00177C4E"/>
    <w:rsid w:val="001832A6"/>
    <w:rsid w:val="00191B1F"/>
    <w:rsid w:val="001A0023"/>
    <w:rsid w:val="001A2B93"/>
    <w:rsid w:val="001C3BA6"/>
    <w:rsid w:val="001C4F3F"/>
    <w:rsid w:val="001C6808"/>
    <w:rsid w:val="001D1C21"/>
    <w:rsid w:val="001E5099"/>
    <w:rsid w:val="00204BB1"/>
    <w:rsid w:val="002121FA"/>
    <w:rsid w:val="002468AC"/>
    <w:rsid w:val="002634C4"/>
    <w:rsid w:val="002928D3"/>
    <w:rsid w:val="002A61E0"/>
    <w:rsid w:val="002C5188"/>
    <w:rsid w:val="002F123D"/>
    <w:rsid w:val="002F1FE6"/>
    <w:rsid w:val="002F4E68"/>
    <w:rsid w:val="002F7AFF"/>
    <w:rsid w:val="0030499F"/>
    <w:rsid w:val="00307716"/>
    <w:rsid w:val="00312F7F"/>
    <w:rsid w:val="0031434D"/>
    <w:rsid w:val="003151EA"/>
    <w:rsid w:val="00316715"/>
    <w:rsid w:val="003228B7"/>
    <w:rsid w:val="003357AB"/>
    <w:rsid w:val="00341141"/>
    <w:rsid w:val="00347D41"/>
    <w:rsid w:val="003508A3"/>
    <w:rsid w:val="00354184"/>
    <w:rsid w:val="00354577"/>
    <w:rsid w:val="00357685"/>
    <w:rsid w:val="003645EA"/>
    <w:rsid w:val="003673CF"/>
    <w:rsid w:val="00372B4B"/>
    <w:rsid w:val="003845C1"/>
    <w:rsid w:val="00384D1F"/>
    <w:rsid w:val="003876B5"/>
    <w:rsid w:val="003A4C69"/>
    <w:rsid w:val="003A6F89"/>
    <w:rsid w:val="003B138E"/>
    <w:rsid w:val="003B38C1"/>
    <w:rsid w:val="003C7A05"/>
    <w:rsid w:val="003D2756"/>
    <w:rsid w:val="003E29E3"/>
    <w:rsid w:val="003E78EC"/>
    <w:rsid w:val="00406BED"/>
    <w:rsid w:val="00407A3A"/>
    <w:rsid w:val="00423E3E"/>
    <w:rsid w:val="00427AF4"/>
    <w:rsid w:val="0043120F"/>
    <w:rsid w:val="00435031"/>
    <w:rsid w:val="004400E2"/>
    <w:rsid w:val="00461632"/>
    <w:rsid w:val="004647DA"/>
    <w:rsid w:val="00467792"/>
    <w:rsid w:val="00474062"/>
    <w:rsid w:val="00477D6B"/>
    <w:rsid w:val="004937A2"/>
    <w:rsid w:val="00493E3C"/>
    <w:rsid w:val="004B6B8C"/>
    <w:rsid w:val="004D39C4"/>
    <w:rsid w:val="004D446C"/>
    <w:rsid w:val="004E33CF"/>
    <w:rsid w:val="004F0356"/>
    <w:rsid w:val="004F2469"/>
    <w:rsid w:val="004F3407"/>
    <w:rsid w:val="00504963"/>
    <w:rsid w:val="00524FDD"/>
    <w:rsid w:val="00526689"/>
    <w:rsid w:val="0053057A"/>
    <w:rsid w:val="00554597"/>
    <w:rsid w:val="00560A29"/>
    <w:rsid w:val="005929E9"/>
    <w:rsid w:val="00594D27"/>
    <w:rsid w:val="005A7E27"/>
    <w:rsid w:val="005C3A10"/>
    <w:rsid w:val="005E7635"/>
    <w:rsid w:val="005F23E7"/>
    <w:rsid w:val="00601760"/>
    <w:rsid w:val="00605827"/>
    <w:rsid w:val="006067E2"/>
    <w:rsid w:val="0062702A"/>
    <w:rsid w:val="00642621"/>
    <w:rsid w:val="00646050"/>
    <w:rsid w:val="006539EE"/>
    <w:rsid w:val="006713CA"/>
    <w:rsid w:val="00676C5C"/>
    <w:rsid w:val="00695558"/>
    <w:rsid w:val="00697D3A"/>
    <w:rsid w:val="006A0345"/>
    <w:rsid w:val="006D5E0F"/>
    <w:rsid w:val="00701D49"/>
    <w:rsid w:val="007058FB"/>
    <w:rsid w:val="00723D3A"/>
    <w:rsid w:val="00731167"/>
    <w:rsid w:val="007411E2"/>
    <w:rsid w:val="00744461"/>
    <w:rsid w:val="00760A8F"/>
    <w:rsid w:val="0078115D"/>
    <w:rsid w:val="00781FB7"/>
    <w:rsid w:val="007917F7"/>
    <w:rsid w:val="007A31BD"/>
    <w:rsid w:val="007A3A7C"/>
    <w:rsid w:val="007B560A"/>
    <w:rsid w:val="007B6A58"/>
    <w:rsid w:val="007C3A48"/>
    <w:rsid w:val="007D1613"/>
    <w:rsid w:val="007E7BF0"/>
    <w:rsid w:val="007F686E"/>
    <w:rsid w:val="00803608"/>
    <w:rsid w:val="00834B65"/>
    <w:rsid w:val="008438AA"/>
    <w:rsid w:val="008667C0"/>
    <w:rsid w:val="00873EE5"/>
    <w:rsid w:val="00874404"/>
    <w:rsid w:val="00876559"/>
    <w:rsid w:val="0088415D"/>
    <w:rsid w:val="00887A81"/>
    <w:rsid w:val="008B2CC1"/>
    <w:rsid w:val="008B4B5E"/>
    <w:rsid w:val="008B60B2"/>
    <w:rsid w:val="008C3016"/>
    <w:rsid w:val="008C3D86"/>
    <w:rsid w:val="008E2039"/>
    <w:rsid w:val="008F31AB"/>
    <w:rsid w:val="008F6E58"/>
    <w:rsid w:val="00902C8A"/>
    <w:rsid w:val="009043FA"/>
    <w:rsid w:val="0090731E"/>
    <w:rsid w:val="009131D0"/>
    <w:rsid w:val="00916EE2"/>
    <w:rsid w:val="009171E0"/>
    <w:rsid w:val="00934060"/>
    <w:rsid w:val="00943910"/>
    <w:rsid w:val="00946027"/>
    <w:rsid w:val="00966A22"/>
    <w:rsid w:val="0096722F"/>
    <w:rsid w:val="009745D0"/>
    <w:rsid w:val="00975835"/>
    <w:rsid w:val="00976BBA"/>
    <w:rsid w:val="00980843"/>
    <w:rsid w:val="009A61CC"/>
    <w:rsid w:val="009C4412"/>
    <w:rsid w:val="009D0DD1"/>
    <w:rsid w:val="009E02BF"/>
    <w:rsid w:val="009E1F03"/>
    <w:rsid w:val="009E2791"/>
    <w:rsid w:val="009E39D5"/>
    <w:rsid w:val="009E3F6F"/>
    <w:rsid w:val="009F3BF9"/>
    <w:rsid w:val="009F499F"/>
    <w:rsid w:val="00A01863"/>
    <w:rsid w:val="00A11D71"/>
    <w:rsid w:val="00A129A2"/>
    <w:rsid w:val="00A1464C"/>
    <w:rsid w:val="00A16773"/>
    <w:rsid w:val="00A308CF"/>
    <w:rsid w:val="00A31B58"/>
    <w:rsid w:val="00A42DAF"/>
    <w:rsid w:val="00A45BD8"/>
    <w:rsid w:val="00A778BF"/>
    <w:rsid w:val="00A85B8E"/>
    <w:rsid w:val="00A9118D"/>
    <w:rsid w:val="00AA5300"/>
    <w:rsid w:val="00AC205C"/>
    <w:rsid w:val="00AF5C73"/>
    <w:rsid w:val="00AF625D"/>
    <w:rsid w:val="00B05A69"/>
    <w:rsid w:val="00B06170"/>
    <w:rsid w:val="00B40598"/>
    <w:rsid w:val="00B43B31"/>
    <w:rsid w:val="00B44576"/>
    <w:rsid w:val="00B50B99"/>
    <w:rsid w:val="00B607D1"/>
    <w:rsid w:val="00B62CD9"/>
    <w:rsid w:val="00B77050"/>
    <w:rsid w:val="00B9734B"/>
    <w:rsid w:val="00BB0F31"/>
    <w:rsid w:val="00BB65F6"/>
    <w:rsid w:val="00BC5A04"/>
    <w:rsid w:val="00BD22D7"/>
    <w:rsid w:val="00BD3AEC"/>
    <w:rsid w:val="00BD4DC6"/>
    <w:rsid w:val="00BE272F"/>
    <w:rsid w:val="00BF27A0"/>
    <w:rsid w:val="00BF52E2"/>
    <w:rsid w:val="00C11BFE"/>
    <w:rsid w:val="00C1539A"/>
    <w:rsid w:val="00C5556E"/>
    <w:rsid w:val="00C660C6"/>
    <w:rsid w:val="00C70AA5"/>
    <w:rsid w:val="00C72166"/>
    <w:rsid w:val="00C82304"/>
    <w:rsid w:val="00C86274"/>
    <w:rsid w:val="00C91860"/>
    <w:rsid w:val="00C94629"/>
    <w:rsid w:val="00CB2F51"/>
    <w:rsid w:val="00CC03FF"/>
    <w:rsid w:val="00CC224D"/>
    <w:rsid w:val="00CE65D4"/>
    <w:rsid w:val="00D01210"/>
    <w:rsid w:val="00D11B04"/>
    <w:rsid w:val="00D446D4"/>
    <w:rsid w:val="00D45252"/>
    <w:rsid w:val="00D510E4"/>
    <w:rsid w:val="00D71B4D"/>
    <w:rsid w:val="00D82C7C"/>
    <w:rsid w:val="00D93D55"/>
    <w:rsid w:val="00DB4761"/>
    <w:rsid w:val="00DB5C74"/>
    <w:rsid w:val="00DE2E29"/>
    <w:rsid w:val="00DE74C5"/>
    <w:rsid w:val="00DF26FC"/>
    <w:rsid w:val="00DF3795"/>
    <w:rsid w:val="00DF757B"/>
    <w:rsid w:val="00E03EAD"/>
    <w:rsid w:val="00E161A2"/>
    <w:rsid w:val="00E2550D"/>
    <w:rsid w:val="00E308AF"/>
    <w:rsid w:val="00E31038"/>
    <w:rsid w:val="00E335FE"/>
    <w:rsid w:val="00E5021F"/>
    <w:rsid w:val="00E671A6"/>
    <w:rsid w:val="00E90E5C"/>
    <w:rsid w:val="00E92297"/>
    <w:rsid w:val="00E97E24"/>
    <w:rsid w:val="00E97F2D"/>
    <w:rsid w:val="00EC4E49"/>
    <w:rsid w:val="00ED77FB"/>
    <w:rsid w:val="00EF2BB0"/>
    <w:rsid w:val="00EF3C85"/>
    <w:rsid w:val="00F021A6"/>
    <w:rsid w:val="00F02DC0"/>
    <w:rsid w:val="00F11D94"/>
    <w:rsid w:val="00F14571"/>
    <w:rsid w:val="00F21F4E"/>
    <w:rsid w:val="00F23105"/>
    <w:rsid w:val="00F26FCF"/>
    <w:rsid w:val="00F437C1"/>
    <w:rsid w:val="00F45171"/>
    <w:rsid w:val="00F45B69"/>
    <w:rsid w:val="00F557E8"/>
    <w:rsid w:val="00F61A8A"/>
    <w:rsid w:val="00F66152"/>
    <w:rsid w:val="00F854BE"/>
    <w:rsid w:val="00FA0617"/>
    <w:rsid w:val="00FB1CA6"/>
    <w:rsid w:val="00FB53C8"/>
    <w:rsid w:val="00FC1898"/>
    <w:rsid w:val="00FC1937"/>
    <w:rsid w:val="00F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162E7"/>
  <w15:docId w15:val="{FF029C76-FD0D-47AB-8A15-46DBEB8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78115D"/>
    <w:rPr>
      <w:rFonts w:ascii="Arial" w:eastAsia="SimSun" w:hAnsi="Arial" w:cs="Arial"/>
      <w:sz w:val="22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8115D"/>
    <w:rPr>
      <w:rFonts w:ascii="Arial" w:eastAsia="SimSun" w:hAnsi="Arial" w:cs="Arial"/>
      <w:sz w:val="18"/>
      <w:lang w:val="ru-RU" w:eastAsia="zh-CN"/>
    </w:rPr>
  </w:style>
  <w:style w:type="character" w:customStyle="1" w:styleId="HeaderChar">
    <w:name w:val="Header Char"/>
    <w:basedOn w:val="DefaultParagraphFont"/>
    <w:link w:val="Header"/>
    <w:rsid w:val="0078115D"/>
    <w:rPr>
      <w:rFonts w:ascii="Arial" w:eastAsia="SimSun" w:hAnsi="Arial" w:cs="Arial"/>
      <w:sz w:val="22"/>
      <w:lang w:val="ru-RU" w:eastAsia="zh-CN"/>
    </w:rPr>
  </w:style>
  <w:style w:type="character" w:styleId="FootnoteReference">
    <w:name w:val="footnote reference"/>
    <w:basedOn w:val="DefaultParagraphFont"/>
    <w:unhideWhenUsed/>
    <w:rsid w:val="0078115D"/>
    <w:rPr>
      <w:vertAlign w:val="superscript"/>
    </w:rPr>
  </w:style>
  <w:style w:type="character" w:styleId="Hyperlink">
    <w:name w:val="Hyperlink"/>
    <w:basedOn w:val="DefaultParagraphFont"/>
    <w:unhideWhenUsed/>
    <w:rsid w:val="007811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7C3A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3A48"/>
    <w:rPr>
      <w:rFonts w:ascii="Segoe UI" w:eastAsia="SimSun" w:hAnsi="Segoe UI" w:cs="Segoe UI"/>
      <w:sz w:val="18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7311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116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1167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31167"/>
    <w:rPr>
      <w:rFonts w:ascii="Arial" w:eastAsia="SimSun" w:hAnsi="Arial" w:cs="Arial"/>
      <w:b/>
      <w:bCs/>
      <w:sz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B4457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11D71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66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92C3B-DA9C-4C91-9D3D-CCBAB2BC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1268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WO/GA/58/12</vt:lpstr>
    </vt:vector>
  </TitlesOfParts>
  <Company>WIPO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WO/GA/58/12</dc:title>
  <dc:creator>WIPO</dc:creator>
  <cp:keywords>PUBLIC</cp:keywords>
  <cp:lastModifiedBy>RUSSO Antonella</cp:lastModifiedBy>
  <cp:revision>5</cp:revision>
  <cp:lastPrinted>2025-05-05T20:15:00Z</cp:lastPrinted>
  <dcterms:created xsi:type="dcterms:W3CDTF">2025-05-05T20:02:00Z</dcterms:created>
  <dcterms:modified xsi:type="dcterms:W3CDTF">2025-05-05T20:16:00Z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0aa644bb-cb76-4074-8bd2-29583a92ae03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GrammarlyDocumentId">
    <vt:lpwstr>4e1fcf0245d4f01b4ab5e221ee62c9c307007b300a53bbb604f9f1d4ab90c86e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2025-02-21T14:10:49Z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29f01784-9f9d-480b-b8ee-e9dcaecbef45</vt:lpwstr>
  </property>
  <property fmtid="{D5CDD505-2E9C-101B-9397-08002B2CF9AE}" pid="15" name="MSIP_Label_20773ee6-353b-4fb9-a59d-0b94c8c67bea_ContentBits">
    <vt:lpwstr>0</vt:lpwstr>
  </property>
</Properties>
</file>