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73BE" w14:textId="1E80443C" w:rsidR="008B2CC1" w:rsidRPr="008B2CC1" w:rsidRDefault="004E0382" w:rsidP="00F11D94">
      <w:pPr>
        <w:spacing w:after="120"/>
        <w:jc w:val="right"/>
      </w:pPr>
      <w:r>
        <w:rPr>
          <w:noProof/>
        </w:rPr>
        <w:drawing>
          <wp:inline distT="0" distB="0" distL="0" distR="0" wp14:anchorId="55AFFD26" wp14:editId="1A31CE28">
            <wp:extent cx="3098800" cy="1558181"/>
            <wp:effectExtent l="0" t="0" r="6350" b="4445"/>
            <wp:docPr id="912981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500" cy="1561550"/>
                    </a:xfrm>
                    <a:prstGeom prst="rect">
                      <a:avLst/>
                    </a:prstGeom>
                    <a:noFill/>
                  </pic:spPr>
                </pic:pic>
              </a:graphicData>
            </a:graphic>
          </wp:inline>
        </w:drawing>
      </w:r>
      <w:r w:rsidR="00873EE5">
        <w:rPr>
          <w:rFonts w:ascii="Arial Black" w:hAnsi="Arial Black"/>
          <w:caps/>
          <w:noProof/>
          <w:sz w:val="15"/>
        </w:rPr>
        <mc:AlternateContent>
          <mc:Choice Requires="wps">
            <w:drawing>
              <wp:inline distT="0" distB="0" distL="0" distR="0" wp14:anchorId="2969E197" wp14:editId="39C66772">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7C4BA1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6511F871" w14:textId="46D69F5D" w:rsidR="008B2CC1" w:rsidRPr="001024FE" w:rsidRDefault="00A9118D" w:rsidP="001024FE">
      <w:pPr>
        <w:jc w:val="right"/>
        <w:rPr>
          <w:rFonts w:ascii="Arial Black" w:hAnsi="Arial Black"/>
          <w:caps/>
          <w:sz w:val="15"/>
          <w:szCs w:val="15"/>
        </w:rPr>
      </w:pPr>
      <w:r>
        <w:rPr>
          <w:rFonts w:ascii="Arial Black" w:hAnsi="Arial Black"/>
          <w:caps/>
          <w:sz w:val="15"/>
        </w:rPr>
        <w:t>WO/GA/58/</w:t>
      </w:r>
      <w:bookmarkStart w:id="0" w:name="Code"/>
      <w:bookmarkEnd w:id="0"/>
      <w:r>
        <w:rPr>
          <w:rFonts w:ascii="Arial Black" w:hAnsi="Arial Black"/>
          <w:caps/>
          <w:sz w:val="15"/>
        </w:rPr>
        <w:t>11</w:t>
      </w:r>
    </w:p>
    <w:p w14:paraId="7D74FEA2" w14:textId="526C6A90" w:rsidR="00CE65D4" w:rsidRPr="00CE65D4" w:rsidRDefault="00CE65D4" w:rsidP="00CE65D4">
      <w:pPr>
        <w:jc w:val="right"/>
        <w:rPr>
          <w:rFonts w:ascii="Arial Black" w:hAnsi="Arial Black"/>
          <w:caps/>
          <w:sz w:val="15"/>
          <w:szCs w:val="15"/>
        </w:rPr>
      </w:pPr>
      <w:r>
        <w:rPr>
          <w:rFonts w:ascii="Arial Black" w:hAnsi="Arial Black"/>
          <w:caps/>
          <w:sz w:val="15"/>
        </w:rPr>
        <w:t>ОРИГИНАЛ:</w:t>
      </w:r>
      <w:bookmarkStart w:id="1" w:name="Original"/>
      <w:r>
        <w:rPr>
          <w:rFonts w:ascii="Arial Black" w:hAnsi="Arial Black"/>
          <w:caps/>
          <w:sz w:val="15"/>
        </w:rPr>
        <w:t xml:space="preserve"> АНГЛИЙСКИЙ</w:t>
      </w:r>
    </w:p>
    <w:bookmarkEnd w:id="1"/>
    <w:p w14:paraId="0C598929" w14:textId="37C14344" w:rsidR="008B2CC1" w:rsidRPr="00CE65D4"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2" w:name="Date"/>
      <w:r>
        <w:rPr>
          <w:rFonts w:ascii="Arial Black" w:hAnsi="Arial Black"/>
          <w:caps/>
          <w:sz w:val="15"/>
        </w:rPr>
        <w:t>7 мая 2025 года</w:t>
      </w:r>
    </w:p>
    <w:bookmarkEnd w:id="2"/>
    <w:p w14:paraId="61EFAA8E" w14:textId="77777777" w:rsidR="008B2CC1" w:rsidRPr="003845C1" w:rsidRDefault="00A9118D" w:rsidP="00CE65D4">
      <w:pPr>
        <w:spacing w:after="600"/>
        <w:rPr>
          <w:b/>
          <w:sz w:val="28"/>
          <w:szCs w:val="28"/>
        </w:rPr>
      </w:pPr>
      <w:r>
        <w:rPr>
          <w:b/>
          <w:sz w:val="28"/>
        </w:rPr>
        <w:t>Генеральная Ассамблея ВОИС</w:t>
      </w:r>
    </w:p>
    <w:p w14:paraId="426F006C" w14:textId="77777777" w:rsidR="008B2CC1" w:rsidRPr="003845C1" w:rsidRDefault="00801759" w:rsidP="008B2CC1">
      <w:pPr>
        <w:rPr>
          <w:b/>
          <w:sz w:val="24"/>
          <w:szCs w:val="24"/>
        </w:rPr>
      </w:pPr>
      <w:r>
        <w:rPr>
          <w:b/>
          <w:sz w:val="24"/>
        </w:rPr>
        <w:t>Пятьдесят восьмая (27-я очередная) сессия</w:t>
      </w:r>
    </w:p>
    <w:p w14:paraId="37700C39" w14:textId="77777777" w:rsidR="008B2CC1" w:rsidRPr="009F3BF9" w:rsidRDefault="00A9118D" w:rsidP="00CE65D4">
      <w:pPr>
        <w:spacing w:after="720"/>
      </w:pPr>
      <w:r>
        <w:rPr>
          <w:b/>
          <w:sz w:val="24"/>
        </w:rPr>
        <w:t>Женева, 8–17 июля 2025 года</w:t>
      </w:r>
    </w:p>
    <w:p w14:paraId="6091AA24" w14:textId="1F2D3F00" w:rsidR="008B2CC1" w:rsidRPr="009F3BF9" w:rsidRDefault="00C54079" w:rsidP="00CE65D4">
      <w:pPr>
        <w:spacing w:after="360"/>
        <w:rPr>
          <w:caps/>
          <w:sz w:val="24"/>
        </w:rPr>
      </w:pPr>
      <w:bookmarkStart w:id="3" w:name="TitleOfDoc"/>
      <w:r>
        <w:rPr>
          <w:caps/>
          <w:sz w:val="24"/>
        </w:rPr>
        <w:t>ЦЕНТР ВОИС ПО АРБИТРАЖУ И ПОСРЕДНИЧЕСТВУ, ВКЛЮЧАЯ ДОМЕННЫЕ ИМЕНА</w:t>
      </w:r>
    </w:p>
    <w:p w14:paraId="17B7EB92" w14:textId="40C8CC80" w:rsidR="00C54079" w:rsidRPr="006F6660" w:rsidRDefault="00C54079" w:rsidP="00C54079">
      <w:pPr>
        <w:spacing w:after="960"/>
        <w:rPr>
          <w:i/>
        </w:rPr>
      </w:pPr>
      <w:bookmarkStart w:id="4" w:name="Prepared"/>
      <w:bookmarkEnd w:id="3"/>
      <w:r>
        <w:rPr>
          <w:i/>
        </w:rPr>
        <w:t>Документ подготовлен Секретариатом</w:t>
      </w:r>
      <w:bookmarkEnd w:id="4"/>
    </w:p>
    <w:p w14:paraId="4C15F604" w14:textId="42ECBE70" w:rsidR="000563BE" w:rsidRPr="00923875" w:rsidRDefault="00C54079" w:rsidP="000563BE">
      <w:pPr>
        <w:pStyle w:val="ListParagraph"/>
        <w:spacing w:after="240"/>
        <w:ind w:left="0"/>
        <w:rPr>
          <w:rFonts w:eastAsia="SimSun" w:cs="Arial"/>
        </w:rPr>
      </w:pPr>
      <w:r>
        <w:rPr>
          <w:snapToGrid w:val="0"/>
        </w:rPr>
        <w:t>1.</w:t>
      </w:r>
      <w:r>
        <w:rPr>
          <w:snapToGrid w:val="0"/>
        </w:rPr>
        <w:tab/>
        <w:t>Центр ВОИС по арбитражу и посредничеству («Центр») руководит работой Организации по созданию механизмов альтернативного урегулирования споров в области интеллектуальной собственности (ИС), возникающих в разных странах мира, в рамках поддержки, оказываемой ВОИС государствам-членам в целях укрепления и развития национальных экосистем ИС, инноваций и творчества.</w:t>
      </w:r>
    </w:p>
    <w:p w14:paraId="5635991F" w14:textId="7F8EDC7A" w:rsidR="004E0382" w:rsidRDefault="00C54079" w:rsidP="00C54079">
      <w:pPr>
        <w:spacing w:after="240"/>
        <w:rPr>
          <w:snapToGrid w:val="0"/>
        </w:rPr>
      </w:pPr>
      <w:r>
        <w:rPr>
          <w:snapToGrid w:val="0"/>
        </w:rPr>
        <w:t>2.</w:t>
      </w:r>
      <w:r>
        <w:rPr>
          <w:snapToGrid w:val="0"/>
        </w:rPr>
        <w:tab/>
        <w:t xml:space="preserve">В этой связи в настоящем документе содержится обновленная информация о деятельности Центра как международного ресурса, обеспечивающего функционирование оперативных и экономичных альтернативных механизмов внесудебного урегулирования споров, касающихся ИС и технологий, и выступающего не только в качестве инстанции </w:t>
      </w:r>
      <w:r w:rsidR="004E0382">
        <w:rPr>
          <w:snapToGrid w:val="0"/>
        </w:rPr>
        <w:t xml:space="preserve">по </w:t>
      </w:r>
      <w:r>
        <w:rPr>
          <w:snapToGrid w:val="0"/>
        </w:rPr>
        <w:t>рассмотрени</w:t>
      </w:r>
      <w:r w:rsidR="004E0382">
        <w:rPr>
          <w:snapToGrid w:val="0"/>
        </w:rPr>
        <w:t>ю</w:t>
      </w:r>
      <w:r>
        <w:rPr>
          <w:snapToGrid w:val="0"/>
        </w:rPr>
        <w:t xml:space="preserve"> споров, но и органа, предоставляющего экспертные консультации по правовым и </w:t>
      </w:r>
      <w:r w:rsidR="004E0382">
        <w:rPr>
          <w:snapToGrid w:val="0"/>
        </w:rPr>
        <w:t xml:space="preserve">технологическим </w:t>
      </w:r>
      <w:r>
        <w:rPr>
          <w:snapToGrid w:val="0"/>
        </w:rPr>
        <w:t>вопросам в области альтернативного урегулирования споров (АУС).</w:t>
      </w:r>
    </w:p>
    <w:p w14:paraId="2905E02B" w14:textId="77777777" w:rsidR="004E0382" w:rsidRDefault="004E0382">
      <w:pPr>
        <w:rPr>
          <w:snapToGrid w:val="0"/>
        </w:rPr>
      </w:pPr>
      <w:r>
        <w:rPr>
          <w:snapToGrid w:val="0"/>
        </w:rPr>
        <w:br w:type="page"/>
      </w:r>
    </w:p>
    <w:p w14:paraId="6140312C" w14:textId="53984DB9" w:rsidR="00C54079" w:rsidRPr="005D7022" w:rsidRDefault="00C54079" w:rsidP="00C54079">
      <w:pPr>
        <w:spacing w:after="240"/>
        <w:rPr>
          <w:b/>
          <w:bCs/>
          <w:caps/>
        </w:rPr>
      </w:pPr>
      <w:r>
        <w:rPr>
          <w:snapToGrid w:val="0"/>
        </w:rPr>
        <w:lastRenderedPageBreak/>
        <w:t>3.</w:t>
      </w:r>
      <w:r>
        <w:rPr>
          <w:snapToGrid w:val="0"/>
        </w:rPr>
        <w:tab/>
      </w:r>
      <w:r>
        <w:t>Кроме того, в документе приводится обновленная информация о деятельности ВОИС в области доменных имен, о которой ранее сообщалось в документе </w:t>
      </w:r>
      <w:hyperlink r:id="rId12" w:history="1">
        <w:r>
          <w:rPr>
            <w:rStyle w:val="Hyperlink"/>
            <w:snapToGrid w:val="0"/>
          </w:rPr>
          <w:t>WO/GA/57/10</w:t>
        </w:r>
      </w:hyperlink>
      <w:r>
        <w:t>.</w:t>
      </w:r>
      <w:r>
        <w:rPr>
          <w:snapToGrid w:val="0"/>
        </w:rPr>
        <w:t xml:space="preserve">  В упомянутом документе речь идет о рассмотрении Центром споров о доменных именах с использованием различных подходов, о различных специальных аспектах системы доменных имен в интернете (DNS) и ряде изменений в регламентирующих подходах, включая применение механизмов охраны прав (МОП) при введении новых родовых доменов верхнего уровня (рДВУ), предстоящий пересмотр Единой политики урегулирования споров в области доменных имен (ЕПУС) и других МОП </w:t>
      </w:r>
      <w:r w:rsidR="00F438CB">
        <w:rPr>
          <w:snapToGrid w:val="0"/>
        </w:rPr>
        <w:t xml:space="preserve">силами </w:t>
      </w:r>
      <w:r>
        <w:rPr>
          <w:snapToGrid w:val="0"/>
        </w:rPr>
        <w:t>Корпораци</w:t>
      </w:r>
      <w:r w:rsidR="00F438CB">
        <w:rPr>
          <w:snapToGrid w:val="0"/>
        </w:rPr>
        <w:t>и</w:t>
      </w:r>
      <w:r>
        <w:rPr>
          <w:snapToGrid w:val="0"/>
        </w:rPr>
        <w:t xml:space="preserve"> по управлению доменными именами и IP-адресами (ICANN) и статус рекомендаций, вынесенных государствами – членами ВОИС в рамках Второго процесса ВОИС по доменным именам в интернете.</w:t>
      </w:r>
    </w:p>
    <w:p w14:paraId="76AB48F0" w14:textId="77777777" w:rsidR="00C54079" w:rsidRPr="006F6660" w:rsidRDefault="00C54079" w:rsidP="00C54079">
      <w:pPr>
        <w:pStyle w:val="Heading2"/>
        <w:keepNext w:val="0"/>
        <w:widowControl w:val="0"/>
        <w:spacing w:after="220"/>
      </w:pPr>
      <w:r>
        <w:t>I.</w:t>
      </w:r>
      <w:r>
        <w:tab/>
        <w:t>ПОСРЕДНИЧЕСТВО И АРБИТРАЖ ПРИ УРЕГУЛИРОВАНИИ СПОРОВ, КАСАЮЩИХСЯ ИС</w:t>
      </w:r>
    </w:p>
    <w:p w14:paraId="241A04DE" w14:textId="77777777" w:rsidR="00C54079" w:rsidRPr="006F6660" w:rsidRDefault="00C54079" w:rsidP="00C54079">
      <w:pPr>
        <w:pStyle w:val="Heading2"/>
        <w:spacing w:after="220"/>
        <w:ind w:left="547"/>
      </w:pPr>
      <w:r>
        <w:t>A.</w:t>
      </w:r>
      <w:r>
        <w:tab/>
        <w:t>РАССМОТРЕНИЕ СПОРОВ</w:t>
      </w:r>
    </w:p>
    <w:p w14:paraId="15397EDC" w14:textId="2CCC829E" w:rsidR="00C54079" w:rsidRPr="005D7022" w:rsidRDefault="00C54079" w:rsidP="00C54079">
      <w:pPr>
        <w:spacing w:after="240"/>
      </w:pPr>
      <w:r>
        <w:rPr>
          <w:snapToGrid w:val="0"/>
        </w:rPr>
        <w:t>4.</w:t>
      </w:r>
      <w:r>
        <w:rPr>
          <w:snapToGrid w:val="0"/>
        </w:rPr>
        <w:tab/>
        <w:t xml:space="preserve">В 2024 году Центр участвовал в разрешении 858 споров в области ИС, инноваций и технологий.  </w:t>
      </w:r>
      <w:r>
        <w:t>Это на 25% больше, чем в</w:t>
      </w:r>
      <w:r w:rsidR="006A6957">
        <w:t xml:space="preserve"> </w:t>
      </w:r>
      <w:r>
        <w:t>2023 году, и на 370% больше, чем пять лет назад.</w:t>
      </w:r>
      <w:r>
        <w:rPr>
          <w:snapToGrid w:val="0"/>
        </w:rPr>
        <w:t xml:space="preserve">  </w:t>
      </w:r>
      <w:r>
        <w:t>Споры передавались на рассмотрение Центра в соответствии с правилами ВОИС о посредничестве, арбитраже, ускоренном арбитраже или экспертном заключении и добрых услугах (правила АУС ВОИС), а также программами совместного урегулирования споров с национальными ведомствами ИС и авторского права и национальными судами.</w:t>
      </w:r>
    </w:p>
    <w:p w14:paraId="59C478F7" w14:textId="77777777" w:rsidR="00C54079" w:rsidRPr="00A07643" w:rsidRDefault="00C54079" w:rsidP="00C54079">
      <w:pPr>
        <w:pStyle w:val="Heading3"/>
        <w:spacing w:after="220"/>
        <w:ind w:left="1166"/>
        <w:rPr>
          <w:rStyle w:val="FootnoteReference"/>
          <w:u w:val="none"/>
        </w:rPr>
      </w:pPr>
      <w:r>
        <w:t>(a)</w:t>
      </w:r>
      <w:r>
        <w:tab/>
      </w:r>
      <w:bookmarkStart w:id="5" w:name="_Hlk190866936"/>
      <w:r>
        <w:t>Посредничество, арбитраж, экспертные заключения и добрые услуги ВОИС</w:t>
      </w:r>
      <w:bookmarkEnd w:id="5"/>
    </w:p>
    <w:p w14:paraId="61617AAA" w14:textId="2C77D3E6" w:rsidR="00F12C7D" w:rsidRDefault="00C54079" w:rsidP="00C54079">
      <w:pPr>
        <w:pStyle w:val="ListParagraph"/>
        <w:widowControl w:val="0"/>
        <w:shd w:val="clear" w:color="auto" w:fill="FFFFFF" w:themeFill="background1"/>
        <w:spacing w:after="240"/>
        <w:ind w:left="0"/>
        <w:contextualSpacing w:val="0"/>
      </w:pPr>
      <w:r>
        <w:t>5.</w:t>
      </w:r>
      <w:r>
        <w:tab/>
        <w:t>Предлагаемые Центром процедуры посредничества, арбитража и вынесение экспертного заключения призваны удовлетворить потребности сторон в оперативном и экономичном урегулировании споров по вопросам ИС и технологий.  Рассмотрение и урегулирование споров на базе Центра с применением указанных процедур включает процедурные рекомендации</w:t>
      </w:r>
      <w:r w:rsidRPr="006F6660">
        <w:rPr>
          <w:rStyle w:val="FootnoteReference"/>
        </w:rPr>
        <w:footnoteReference w:id="2"/>
      </w:r>
      <w:r>
        <w:t>, подготовку кадров</w:t>
      </w:r>
      <w:r w:rsidRPr="006F6660">
        <w:rPr>
          <w:rStyle w:val="FootnoteReference"/>
          <w:rFonts w:eastAsia="SimSun"/>
        </w:rPr>
        <w:footnoteReference w:id="3"/>
      </w:r>
      <w:r>
        <w:t xml:space="preserve">, назначение квалифицированных посредников, арбитров и экспертов и поддержку их работы, а также необходимую модернизацию инфраструктуры для рассмотрения споров.  Споры направляются в Центр на основании арбитражной оговорки или все чаще соглашения о передаче спора в арбитраж после его предварительного рассмотрения (включая передачу на рассмотрение в суд), а также на основании одностороннего запроса в соответствии со </w:t>
      </w:r>
      <w:hyperlink r:id="rId13" w:history="1">
        <w:r>
          <w:rPr>
            <w:rStyle w:val="Hyperlink"/>
          </w:rPr>
          <w:t>статьей 4 правил ВОИС в области посредничества</w:t>
        </w:r>
      </w:hyperlink>
      <w:r w:rsidRPr="006F6660">
        <w:rPr>
          <w:rStyle w:val="FootnoteReference"/>
        </w:rPr>
        <w:footnoteReference w:id="4"/>
      </w:r>
      <w:r>
        <w:t>.</w:t>
      </w:r>
    </w:p>
    <w:p w14:paraId="461B5006" w14:textId="77777777" w:rsidR="00F12C7D" w:rsidRDefault="00F12C7D">
      <w:pPr>
        <w:rPr>
          <w:rFonts w:eastAsia="Times New Roman" w:cs="Times New Roman"/>
          <w:lang w:eastAsia="en-US"/>
        </w:rPr>
      </w:pPr>
      <w:r>
        <w:br w:type="page"/>
      </w:r>
    </w:p>
    <w:p w14:paraId="1BC8C713" w14:textId="00153C06" w:rsidR="00C54079" w:rsidRDefault="00C54079" w:rsidP="00F12C7D">
      <w:pPr>
        <w:pStyle w:val="ListParagraph"/>
        <w:numPr>
          <w:ilvl w:val="0"/>
          <w:numId w:val="7"/>
        </w:numPr>
        <w:spacing w:after="240"/>
        <w:ind w:left="0" w:firstLine="0"/>
        <w:contextualSpacing w:val="0"/>
      </w:pPr>
      <w:r>
        <w:lastRenderedPageBreak/>
        <w:t xml:space="preserve">В 2024 году в Центр было передано 287 споров для урегулирования на основе правил АУС ВОИС; они затрагивали широкий спектр вопросов ИС, включая авторское право и цифровой контент (48%), товарные знаки (29%) и патенты (10%).  </w:t>
      </w:r>
      <w:r w:rsidR="00F12C7D">
        <w:t>Пятьдесят процентов</w:t>
      </w:r>
      <w:r>
        <w:t xml:space="preserve"> сторон таких разбирательств были представлены малыми и средними предприятиями (МСП)</w:t>
      </w:r>
      <w:r w:rsidRPr="00BD25EB">
        <w:rPr>
          <w:vertAlign w:val="superscript"/>
        </w:rPr>
        <w:footnoteReference w:id="5"/>
      </w:r>
      <w:r w:rsidR="00F12C7D">
        <w:t>,</w:t>
      </w:r>
      <w:r>
        <w:rPr>
          <w:vertAlign w:val="superscript"/>
        </w:rPr>
        <w:t xml:space="preserve"> </w:t>
      </w:r>
      <w:r>
        <w:t>в том числе стартапами, коллективами авторов и новаторов.  За ними следовали крупные компании (37%) и другие организации, например организации коллективного управления (ОКУ), вузы, научно-исследовательские и опытно-конструкторские (НИОКР) центры.  В рассмотренных спорах участвовали стороны, представляющие 62 государства.</w:t>
      </w:r>
    </w:p>
    <w:p w14:paraId="5AB1DECE" w14:textId="4FE5E4BC" w:rsidR="00914D44" w:rsidRPr="00054537" w:rsidRDefault="00914D44" w:rsidP="00F12C7D">
      <w:pPr>
        <w:pStyle w:val="ListParagraph"/>
        <w:numPr>
          <w:ilvl w:val="0"/>
          <w:numId w:val="7"/>
        </w:numPr>
        <w:spacing w:after="240"/>
        <w:ind w:left="0" w:firstLine="0"/>
        <w:contextualSpacing w:val="0"/>
      </w:pPr>
      <w:r>
        <w:t xml:space="preserve">Рассмотренные на основе правил АУС ВОИС споры затрагивали главным образом творческие отрасли (коллективное управление правами, видеоигры и киберспорт, индустрия развлечений и программное обеспечение).  Также были представлены информационно-коммуникационные технологии (стандартообразующие патенты (СОП) / определение справедливых, разумных и недискриминационных условий (FRAND), телекоммуникации), науки о жизни (биотехнология и фармацевтика), мода (предметы роскоши), НИОКР и природосберегающие технологии.  В рамках споров рассматривались нарушения авторских прав, патентных прав и прав на товарные знаки; условия соглашений о НИОКР; </w:t>
      </w:r>
      <w:r>
        <w:rPr>
          <w:shd w:val="clear" w:color="auto" w:fill="FFFFFF" w:themeFill="background1"/>
        </w:rPr>
        <w:t>невыполнение условий контракта; определение размера и выплата роялти; соглашения об одновременном использовании схожих товарных знаков</w:t>
      </w:r>
      <w:r>
        <w:t>; соглашения о лицензировании патентных прав, включая определение условий лицензирования СОП и условий FRAND; соглашения о разработке продуктов в области наук о жизни и соглашения о продаже соответствующей продукции</w:t>
      </w:r>
      <w:r>
        <w:rPr>
          <w:shd w:val="clear" w:color="auto" w:fill="FFFFFF" w:themeFill="background1"/>
        </w:rPr>
        <w:t>; удаление контента с онлайн-платформ; требования о конкретном виде исполнения; возмещение ущерба; возражения против регистрации товарного знака, заявка на который находится на рассмотрении ведомства ИС</w:t>
      </w:r>
      <w:r>
        <w:t>; географических указаний, разработка и лицензирование программных продуктов и оценка стоимости ИС.</w:t>
      </w:r>
    </w:p>
    <w:p w14:paraId="7F8789AB" w14:textId="3CABB15F" w:rsidR="00C54079" w:rsidRPr="005C45C3" w:rsidRDefault="00C54079" w:rsidP="00F12C7D">
      <w:pPr>
        <w:pStyle w:val="ListParagraph"/>
        <w:numPr>
          <w:ilvl w:val="0"/>
          <w:numId w:val="7"/>
        </w:numPr>
        <w:spacing w:after="240"/>
        <w:ind w:left="0" w:firstLine="0"/>
        <w:contextualSpacing w:val="0"/>
        <w:rPr>
          <w:rFonts w:cs="Arial"/>
          <w:shd w:val="clear" w:color="auto" w:fill="FFFFFF" w:themeFill="background1"/>
        </w:rPr>
      </w:pPr>
      <w:r>
        <w:t xml:space="preserve">Центр реализовал ряд мер, направленных на дальнейшее упрощение процедур АУС ВОИС.  В целях повышения эффективности применяемых арбитражных процедур многие стороны использовали усовершенствованный электронный модуль Центра </w:t>
      </w:r>
      <w:hyperlink r:id="rId14" w:history="1">
        <w:r>
          <w:rPr>
            <w:rStyle w:val="Hyperlink"/>
          </w:rPr>
          <w:t>eADR ВОИС</w:t>
        </w:r>
      </w:hyperlink>
      <w:r>
        <w:t xml:space="preserve"> для рассмотрения споров</w:t>
      </w:r>
      <w:r w:rsidR="001B7D13">
        <w:rPr>
          <w:rStyle w:val="FootnoteReference"/>
        </w:rPr>
        <w:footnoteReference w:id="6"/>
      </w:r>
      <w:r>
        <w:t xml:space="preserve">.  Кроме того, большинство слушаний в рамках посредничества и арбитража продолжали проводиться в дистанционном или гибридном формате с использованием технических сервисов и поддержки ВОИС.  Чтобы помочь участникам споров и нейтральным экспертам подготовиться к таким удаленным совещаниям и слушаниям, Центр продолжил совершенствовать </w:t>
      </w:r>
      <w:hyperlink r:id="rId15" w:history="1">
        <w:r>
          <w:rPr>
            <w:rStyle w:val="Hyperlink"/>
          </w:rPr>
          <w:t>контрольный список ВОИС для посреднических услуг и арбитражных разбирательств в режиме онлайн</w:t>
        </w:r>
      </w:hyperlink>
      <w:r>
        <w:t>.</w:t>
      </w:r>
    </w:p>
    <w:p w14:paraId="1E737BD4" w14:textId="6AA51CE7" w:rsidR="00C54079" w:rsidRDefault="00C54079" w:rsidP="00DA761B">
      <w:pPr>
        <w:pStyle w:val="ListParagraph"/>
        <w:widowControl w:val="0"/>
        <w:numPr>
          <w:ilvl w:val="0"/>
          <w:numId w:val="7"/>
        </w:numPr>
        <w:spacing w:after="240"/>
        <w:ind w:left="0" w:firstLine="0"/>
        <w:contextualSpacing w:val="0"/>
      </w:pPr>
      <w:r>
        <w:t>Со времени проведения Ассамблей 2024 года Центр отметил увеличившееся число споров, передаваемых на посредничество ВОИС национальными судами.  Так, в соответствии с рамочным соглашением о сотрудничестве, заключенным Верховным народным судом Китая (Верховный суд) и ВОИС, Центр взаимодействуют с Верховным судом через Бюро ВОИС в Китае в сфере посредничества, помогая разрешать международные споры в области ИС и технологий в Китае</w:t>
      </w:r>
      <w:r w:rsidR="00FC2BAA">
        <w:rPr>
          <w:rStyle w:val="FootnoteReference"/>
        </w:rPr>
        <w:footnoteReference w:id="7"/>
      </w:r>
      <w:r>
        <w:t xml:space="preserve">.  Во Франции с 2023 года Центр сотрудничает с Судебным трибуналом Парижа, выступая организатором </w:t>
      </w:r>
      <w:r>
        <w:lastRenderedPageBreak/>
        <w:t>посредничества на площадке ВОИС в рамках переданных споров по вопросам ИС, находящихся на рассмотрении суда</w:t>
      </w:r>
      <w:r w:rsidR="00FC2BAA">
        <w:rPr>
          <w:rStyle w:val="FootnoteReference"/>
        </w:rPr>
        <w:footnoteReference w:id="8"/>
      </w:r>
      <w:r>
        <w:t xml:space="preserve">.  Центр также </w:t>
      </w:r>
      <w:hyperlink r:id="rId16">
        <w:r>
          <w:rPr>
            <w:rStyle w:val="Hyperlink"/>
          </w:rPr>
          <w:t xml:space="preserve">сотрудничает с </w:t>
        </w:r>
        <w:r w:rsidR="00F12C7D">
          <w:rPr>
            <w:rStyle w:val="Hyperlink"/>
          </w:rPr>
          <w:t>системой</w:t>
        </w:r>
        <w:r>
          <w:rPr>
            <w:rStyle w:val="Hyperlink"/>
          </w:rPr>
          <w:t xml:space="preserve"> судебных органов Объединенной Республики Танзания</w:t>
        </w:r>
      </w:hyperlink>
      <w:r w:rsidR="005304FA">
        <w:rPr>
          <w:rStyle w:val="FootnoteReference"/>
        </w:rPr>
        <w:footnoteReference w:id="9"/>
      </w:r>
      <w:r>
        <w:t>, предоставляя технические средства ВОИС для проведения совещаний в онлайновом формате и оказывая поддержку при использовании посреднических процедур в национальных судах.</w:t>
      </w:r>
    </w:p>
    <w:p w14:paraId="4501E399" w14:textId="4DE6765A" w:rsidR="00FC2BAA" w:rsidRDefault="00FC2BAA" w:rsidP="00FC2BAA">
      <w:pPr>
        <w:pStyle w:val="ListParagraph"/>
        <w:widowControl w:val="0"/>
        <w:numPr>
          <w:ilvl w:val="0"/>
          <w:numId w:val="7"/>
        </w:numPr>
        <w:spacing w:after="240"/>
        <w:ind w:left="0" w:firstLine="0"/>
        <w:contextualSpacing w:val="0"/>
      </w:pPr>
      <w:r>
        <w:t xml:space="preserve">Центр стремится содействовать эффективному и действенному </w:t>
      </w:r>
      <w:hyperlink r:id="rId17" w:history="1">
        <w:r>
          <w:rPr>
            <w:rStyle w:val="Hyperlink"/>
          </w:rPr>
          <w:t>урегулированию споров в цифровой среде</w:t>
        </w:r>
      </w:hyperlink>
      <w:r>
        <w:t>, что имеет решающее значение для деловой этики онлайновых сервисов распространения контента и охраны прав авторов контента и его пользователей.  В частности, Центр констатировал увеличившееся число исков, поданных пользователями и правообладателями против цифровых платформ и поисковых систем</w:t>
      </w:r>
      <w:r>
        <w:rPr>
          <w:rStyle w:val="FootnoteReference"/>
        </w:rPr>
        <w:footnoteReference w:id="10"/>
      </w:r>
      <w:r>
        <w:t>. В рассматриваемый период ряд споров был передан на урегулирование в рамках схемы содействия посредничеству ВОИС и министерства культуры,</w:t>
      </w:r>
      <w:r w:rsidR="00DA761B">
        <w:t xml:space="preserve"> </w:t>
      </w:r>
      <w:r>
        <w:t xml:space="preserve">спорта и туризма Республики Корея (Министерство), созданной по линии целевого фонда «Альтернативное урегулирование споров в области авторского права» (ЦФ Республики Корея для АУС), который был учрежден в рамках </w:t>
      </w:r>
      <w:hyperlink r:id="rId18" w:history="1">
        <w:r>
          <w:rPr>
            <w:rStyle w:val="Hyperlink"/>
          </w:rPr>
          <w:t>сотрудничества Министерства и Центра</w:t>
        </w:r>
      </w:hyperlink>
      <w:r>
        <w:t>.  В рамках этой схемы стороны соответствующих споров получают финансовую помощь для покрытия расходов на посредничество, что повышает доступность механизмов АУС.</w:t>
      </w:r>
    </w:p>
    <w:p w14:paraId="0446F64D" w14:textId="14CF9892" w:rsidR="00DA761B" w:rsidRDefault="00C54079" w:rsidP="00DA761B">
      <w:pPr>
        <w:pStyle w:val="ListParagraph"/>
        <w:widowControl w:val="0"/>
        <w:numPr>
          <w:ilvl w:val="0"/>
          <w:numId w:val="7"/>
        </w:numPr>
        <w:spacing w:after="240"/>
        <w:ind w:left="0" w:firstLine="0"/>
        <w:contextualSpacing w:val="0"/>
        <w:rPr>
          <w:color w:val="000000" w:themeColor="text1"/>
        </w:rPr>
      </w:pPr>
      <w:r>
        <w:t>В отчетный период Центр продолжал рассматривать дела, переданные сторонами на посредничество ВОИС в рамках программ сотрудничества с ведомствами ИС.  Например, в рамках сотрудничества с Ведомством интеллектуальной собственности Сингапура (IPOS) Центр рассматривал споры о товарных знаках, направленные в это ведомство и переданные на посредничество в ВОИС.</w:t>
      </w:r>
      <w:r>
        <w:rPr>
          <w:color w:val="000000" w:themeColor="text1"/>
        </w:rPr>
        <w:t xml:space="preserve">  В 2024 году ВОИС и IPOS также сотрудничали в рамках Программы посредничества ВОИС-Сингапур для региона АСЕАН</w:t>
      </w:r>
      <w:r w:rsidR="00DA761B">
        <w:rPr>
          <w:color w:val="000000" w:themeColor="text1"/>
        </w:rPr>
        <w:t> </w:t>
      </w:r>
      <w:r>
        <w:rPr>
          <w:color w:val="000000" w:themeColor="text1"/>
        </w:rPr>
        <w:t xml:space="preserve">(AMP); в 2025 году эта программа была продлена в расширенном формате </w:t>
      </w:r>
      <w:r>
        <w:t>(AMP+) с намерением стимулировать ее более широкое использование в регионе АСЕАН</w:t>
      </w:r>
      <w:r w:rsidRPr="00A8669E">
        <w:rPr>
          <w:vertAlign w:val="superscript"/>
        </w:rPr>
        <w:footnoteReference w:id="11"/>
      </w:r>
      <w:r>
        <w:t xml:space="preserve">.  </w:t>
      </w:r>
      <w:r>
        <w:rPr>
          <w:color w:val="000000" w:themeColor="text1"/>
        </w:rPr>
        <w:t>Центр также продолжает работать с Ведомством интеллектуальной собственности Филиппин</w:t>
      </w:r>
      <w:r w:rsidR="00DA761B">
        <w:rPr>
          <w:color w:val="000000" w:themeColor="text1"/>
        </w:rPr>
        <w:t> </w:t>
      </w:r>
      <w:r>
        <w:rPr>
          <w:color w:val="000000" w:themeColor="text1"/>
        </w:rPr>
        <w:t>(IPOPHL) в рамках организации посреднических процедур для разрешения споров, связанных с правами ИС, непосредственно в стране, в том числе по линии программы внесудебного посредничества IPOPHL, а также занимается рассмотрением дел, переданных на посредничество ВОИС в рамках данной программы.  В контексте сотрудничества с Марокканским ведомством промышленной и коммерческой собственности (OMPIC) была разработана и применяется процедура посредничества для споров в отношении ИС и технологий.</w:t>
      </w:r>
    </w:p>
    <w:p w14:paraId="7B1CCEE9" w14:textId="77777777" w:rsidR="00DA761B" w:rsidRDefault="00DA761B">
      <w:pPr>
        <w:rPr>
          <w:rFonts w:eastAsia="Times New Roman" w:cs="Times New Roman"/>
          <w:color w:val="000000" w:themeColor="text1"/>
          <w:lang w:eastAsia="en-US"/>
        </w:rPr>
      </w:pPr>
      <w:r>
        <w:rPr>
          <w:color w:val="000000" w:themeColor="text1"/>
        </w:rPr>
        <w:br w:type="page"/>
      </w:r>
    </w:p>
    <w:p w14:paraId="56942DD6" w14:textId="373C29C9" w:rsidR="00C54079" w:rsidRPr="00A8669E" w:rsidRDefault="00EC5DEB" w:rsidP="00A8669E">
      <w:pPr>
        <w:pStyle w:val="ListParagraph"/>
        <w:widowControl w:val="0"/>
        <w:numPr>
          <w:ilvl w:val="0"/>
          <w:numId w:val="7"/>
        </w:numPr>
        <w:spacing w:after="240"/>
        <w:ind w:left="0" w:firstLine="0"/>
        <w:contextualSpacing w:val="0"/>
        <w:rPr>
          <w:rFonts w:eastAsia="Arial" w:cs="Arial"/>
        </w:rPr>
      </w:pPr>
      <w:r>
        <w:lastRenderedPageBreak/>
        <w:t xml:space="preserve">Центр отмечает особенный интерес пользователей и ведомств ИС к предлагаемым им </w:t>
      </w:r>
      <w:hyperlink r:id="rId19" w:history="1">
        <w:r>
          <w:rPr>
            <w:rStyle w:val="Hyperlink"/>
          </w:rPr>
          <w:t>услугам по урегулированию споров, касающихся условий FRAND при лицензировании</w:t>
        </w:r>
      </w:hyperlink>
      <w:r>
        <w:t xml:space="preserve"> СОП.  Центр уже провел более 85 посреднических процедур в связи с СОП с участием МСП, патентных пулов и крупных компаний из более чем 20 юрисдикций.  В 2024 году посредничество ВОИС использовалось в порядке поддержки процесса лицензирования больших патентных портфелей в сфере телекоммуникаций с участием владельцев СОП и пользователей этих прав из Азии и Европы.  Опираясь на свой все более богатый опыт оказания услуг АУС, в том числе по делам, рассматриваемым несколькими судами, Центр дает консультации, призванные облегчить передачу таких вопросов на рассмотрение в рамках процедур посредничества, арбитража и вынесения экспертных заключений ВОИС</w:t>
      </w:r>
      <w:r w:rsidR="00C54079" w:rsidRPr="00A8669E">
        <w:rPr>
          <w:rStyle w:val="FootnoteReference"/>
          <w:rFonts w:eastAsia="Arial" w:cs="Arial"/>
        </w:rPr>
        <w:footnoteReference w:id="12"/>
      </w:r>
      <w:r>
        <w:t>.  В рассматриваемый период ВОИС и Ведомство США по патентам и товарным знакам (ВПТЗ США) продолжили сотрудничество в области информационно-разъяснительной работы с заинтересованными сторонами с целью дальнейшего повышения осведомленности об услугах АУС ВОИС в отношении СОП, в том числе среди МСП.  Более того, в 2024 году Центр и Ведомство интеллектуальной собственности Канады (CIPO) заключили соглашение о сотрудничестве, призванное поощрять применение АУС в случае СОП.</w:t>
      </w:r>
    </w:p>
    <w:p w14:paraId="0D08DAE7" w14:textId="0C81ED9E" w:rsidR="00C54079" w:rsidRDefault="00C54079" w:rsidP="00C54079">
      <w:pPr>
        <w:pStyle w:val="ListParagraph"/>
        <w:widowControl w:val="0"/>
        <w:numPr>
          <w:ilvl w:val="0"/>
          <w:numId w:val="7"/>
        </w:numPr>
        <w:spacing w:after="240"/>
        <w:ind w:left="0" w:firstLine="0"/>
        <w:contextualSpacing w:val="0"/>
        <w:rPr>
          <w:rFonts w:eastAsia="Arial" w:cs="Arial"/>
        </w:rPr>
      </w:pPr>
      <w:r>
        <w:t xml:space="preserve">Центр регулярно проводит </w:t>
      </w:r>
      <w:hyperlink r:id="rId20" w:history="1">
        <w:r>
          <w:rPr>
            <w:rStyle w:val="Hyperlink"/>
          </w:rPr>
          <w:t>посреднические и арбитражные разбирательства в области наук о жизни</w:t>
        </w:r>
      </w:hyperlink>
      <w:r>
        <w:t>, в которых участвуют различные стороны, включая фармацевтические, биотехнологические, диагностические компании и компании по производству медицинского оборудования, а также научно-исследовательские институты.  Растущее число таких дел, рассматриваемых Центром, касается споров вокруг крупных контрактов о патентовании, лицензировании и продажах фармацевтических препаратов.  В рассматриваемый период Центр продолжил популяризировать посреднические услуги ВОИС в рамках содействия заключению международных лицензионных и иных контрактов в сфере наук о жизни (Deal Mediation) совместно с заинтересованными сторонами из стран Африки, Азии, Европы и Северной Америки</w:t>
      </w:r>
      <w:r w:rsidRPr="76E5C3E6">
        <w:rPr>
          <w:rStyle w:val="FootnoteReference"/>
          <w:rFonts w:eastAsia="Arial" w:cs="Arial"/>
        </w:rPr>
        <w:footnoteReference w:id="13"/>
      </w:r>
      <w:r w:rsidR="00DA761B">
        <w:t>.</w:t>
      </w:r>
      <w:r>
        <w:t xml:space="preserve">  Центр подготовил публикацию «</w:t>
      </w:r>
      <w:hyperlink r:id="rId21" w:history="1">
        <w:r>
          <w:rPr>
            <w:rStyle w:val="Hyperlink"/>
          </w:rPr>
          <w:t>Применение механизмов АУС ВОИС для урегулирования споров в области наук о жизни</w:t>
        </w:r>
      </w:hyperlink>
      <w:r>
        <w:t>», в которой представлены формы АУС ВОИС, учитывающие специфику этого сегмента науки.</w:t>
      </w:r>
    </w:p>
    <w:p w14:paraId="6A7FBF26" w14:textId="3D08BBE8" w:rsidR="00C54079" w:rsidRDefault="00C54079" w:rsidP="00C54079">
      <w:pPr>
        <w:pStyle w:val="ListParagraph"/>
        <w:widowControl w:val="0"/>
        <w:numPr>
          <w:ilvl w:val="0"/>
          <w:numId w:val="7"/>
        </w:numPr>
        <w:spacing w:after="240"/>
        <w:ind w:left="0" w:firstLine="0"/>
        <w:contextualSpacing w:val="0"/>
      </w:pPr>
      <w:r>
        <w:t xml:space="preserve">Также отмечается рост числа запросов на </w:t>
      </w:r>
      <w:hyperlink r:id="rId22" w:history="1">
        <w:r>
          <w:rPr>
            <w:rStyle w:val="Hyperlink"/>
          </w:rPr>
          <w:t>услуги альтернативного урегулирования споров в сфере видеоигр и киберспорта</w:t>
        </w:r>
      </w:hyperlink>
      <w:r>
        <w:t xml:space="preserve">, что свидетельствует о динамичном характере развития этих областей.  Эти споры касаются вопросов авторских прав на сюжеты игр и игровой дизайн, нарушения прав ИС, лицензирования ИС и программного обеспечения, использования музыкальных произведений и товарных знаков.  Реагируя на растущий спрос, Центр взаимодействует с игроками отрасли и различными подразделениями ВОИС с целью разработки и внедрения специальных механизмов АУС, учитывающих специфические проблемы секторов видеоигр и киберспорта.  В 2024 году Центр наладил сотрудничество с Комиссией по этике в киберспорте (ESIC); в результате этой инициативы был создан и начал функционировать </w:t>
      </w:r>
      <w:hyperlink r:id="rId23" w:history="1">
        <w:r>
          <w:rPr>
            <w:rStyle w:val="Hyperlink"/>
          </w:rPr>
          <w:t xml:space="preserve">Международный трибунал по </w:t>
        </w:r>
        <w:r>
          <w:rPr>
            <w:rStyle w:val="Hyperlink"/>
          </w:rPr>
          <w:lastRenderedPageBreak/>
          <w:t>видеоиграм и киберспорту (IGET)</w:t>
        </w:r>
      </w:hyperlink>
      <w:r>
        <w:t>, некоммерческий орган по урегулированию споров, призванный решать специфические проблемы глобальной индустрии видеоигр и киберспорта.  IGET – результат новаторской работы, проводимой в стремлении предоставить заинтересованным сторонам в секторе видеоигр и киберспорта адресные, профессиональные и доступные услуги в области АУС.</w:t>
      </w:r>
    </w:p>
    <w:p w14:paraId="41D4FEE7" w14:textId="71C9B844" w:rsidR="00C54079" w:rsidRPr="00376CC3" w:rsidRDefault="00C54079" w:rsidP="00C54079">
      <w:pPr>
        <w:pStyle w:val="ListParagraph"/>
        <w:widowControl w:val="0"/>
        <w:numPr>
          <w:ilvl w:val="0"/>
          <w:numId w:val="7"/>
        </w:numPr>
        <w:spacing w:after="240"/>
        <w:ind w:left="0" w:firstLine="0"/>
        <w:contextualSpacing w:val="0"/>
        <w:rPr>
          <w:rFonts w:eastAsia="Arial" w:cs="Arial"/>
        </w:rPr>
      </w:pPr>
      <w:r>
        <w:t xml:space="preserve">По мере развития искусственного интеллекта (ИИ) все чаще возникают споры о праве собственности на создаваемый этой технологией контент, его лицензировании и нарушении прав.  Центр поддерживает работу по добровольному разрешению таких разногласий с использованием инструментов АУС, предлагая оперативные и эффективные </w:t>
      </w:r>
      <w:hyperlink r:id="rId24" w:history="1">
        <w:r>
          <w:rPr>
            <w:rStyle w:val="Hyperlink"/>
          </w:rPr>
          <w:t>решения, адаптированные для цифровой среды</w:t>
        </w:r>
      </w:hyperlink>
      <w:r>
        <w:t>, сохраняя при этом деловые взаимоотношения и защищая права авторов.  Так, Центр участвовал в урегулировании споров о нарушении прав ИС, в частности, авторских прав в процессе обучения моделей ИИ.</w:t>
      </w:r>
    </w:p>
    <w:p w14:paraId="2343C58D" w14:textId="6C1B8A4F" w:rsidR="00C54079" w:rsidRDefault="00B476A0" w:rsidP="00C54079">
      <w:pPr>
        <w:pStyle w:val="ListParagraph"/>
        <w:widowControl w:val="0"/>
        <w:numPr>
          <w:ilvl w:val="0"/>
          <w:numId w:val="7"/>
        </w:numPr>
        <w:spacing w:after="240"/>
        <w:ind w:left="0" w:firstLine="0"/>
      </w:pPr>
      <w:r>
        <w:t xml:space="preserve">Центр также констатирует тенденцию к увеличению числа дел, связанных с </w:t>
      </w:r>
      <w:hyperlink r:id="rId25" w:history="1">
        <w:r>
          <w:rPr>
            <w:rStyle w:val="Hyperlink"/>
          </w:rPr>
          <w:t>природосберегающими технологиями и устойчивым развитием</w:t>
        </w:r>
      </w:hyperlink>
      <w:r>
        <w:t xml:space="preserve"> (технологии в области возобновляемой энергетики, ирригации и других направлений сельского хозяйства), направляемых на посредничество и арбитраж.  Участниками таких споров, связанных с ИС и другими коммерческими вопросами, нередко являются представители разных юрисдикций.  Центр сотрудничает с WIPO Green и профильными отраслевыми игроками в стремлении содействовать эффективному разрешению разногласий с помощью АУС ВОИС.</w:t>
      </w:r>
    </w:p>
    <w:p w14:paraId="79FE7FB2" w14:textId="5803C161" w:rsidR="00C54079" w:rsidRPr="006F6660" w:rsidRDefault="00C54079" w:rsidP="00C54079">
      <w:pPr>
        <w:pStyle w:val="Heading3"/>
        <w:spacing w:after="220"/>
        <w:ind w:left="1166"/>
      </w:pPr>
      <w:r>
        <w:rPr>
          <w:u w:val="none"/>
        </w:rPr>
        <w:t>(b)</w:t>
      </w:r>
      <w:r>
        <w:rPr>
          <w:u w:val="none"/>
        </w:rPr>
        <w:tab/>
      </w:r>
      <w:r>
        <w:t>Программа совместного урегулирования споров с использованием альтернативных механизмов ВОИС, реализуемая при поддержке ведомств ИС и авторского права</w:t>
      </w:r>
    </w:p>
    <w:p w14:paraId="3375C8D3" w14:textId="4E8632BB" w:rsidR="00C54079" w:rsidRDefault="00C54079" w:rsidP="00C54079">
      <w:pPr>
        <w:pStyle w:val="ListParagraph"/>
        <w:widowControl w:val="0"/>
        <w:numPr>
          <w:ilvl w:val="0"/>
          <w:numId w:val="7"/>
        </w:numPr>
        <w:spacing w:after="240"/>
        <w:ind w:left="0" w:firstLine="0"/>
        <w:contextualSpacing w:val="0"/>
      </w:pPr>
      <w:r>
        <w:t xml:space="preserve">В рамках </w:t>
      </w:r>
      <w:hyperlink r:id="rId26" w:history="1">
        <w:r>
          <w:rPr>
            <w:rStyle w:val="Hyperlink"/>
          </w:rPr>
          <w:t>Программы совместного урегулирования споров с использованием альтернативных механизмов ВОИС, которая реализуется при поддержке ведомств ИС и авторского права</w:t>
        </w:r>
      </w:hyperlink>
      <w:r>
        <w:t>, в 2024 году Центр участвовал в разбирательстве 559 споров, что на 53% больше, чем в 2023 году.</w:t>
      </w:r>
    </w:p>
    <w:p w14:paraId="48A6158D" w14:textId="620539D9" w:rsidR="002E27BA" w:rsidRDefault="00C54079" w:rsidP="00C54079">
      <w:pPr>
        <w:pStyle w:val="ListParagraph"/>
        <w:widowControl w:val="0"/>
        <w:numPr>
          <w:ilvl w:val="0"/>
          <w:numId w:val="7"/>
        </w:numPr>
        <w:spacing w:after="240"/>
        <w:ind w:left="0" w:firstLine="0"/>
        <w:contextualSpacing w:val="0"/>
      </w:pPr>
      <w:r>
        <w:t>Когда Центр начал работать с ведомствами ИС с целью популяризации АУС как заслуживающей внимания альтернативы судебному разбирательству, основное внимание в рамках первых совместных инициатив уделялось укреплению потенциала и информированию о преимуществах таких инструментов для разрешения споров в области ИС.  На фоне растущего спроса на более эффективные и специализированные механизмы разрешения споров и развития технологий сотрудничество становилось все более разноплановым.  Центр при поддержке ЦФ Республики Корея для АУС (функционирует по линии министерства культуры, спорта и туризма Республики Корея) разработал и внедрил онлайн-инструменты, помогающие ведомствам ИС вести и отслеживать споры, переданные им на посредничество и арбитраж.  В частности, речь идет о системах электронной подачи, которые позволяют направить дело на рассмотрение и тем самым оптимизируют административные процедуры.  Онлайн-системы отслеживания дел повышают эффективность, позволяя сотрудникам ведомств ИС контролировать ход рассмотрения дела в режиме реального времени.  Платформы для видеоконференций ускоряют проведение слушаний, предоставляя возможность дистанционного участия.  Это заметно повысило эффективность предоставления услуг, в результате чего выиграли пользователи, ведь разрешение споров стало проводиться быстро и с меньшими затратами.  С 2021 года Центр вместе с ведомствами ИС участвовал в рассмотрении более 1300 споров и провел порядка около 2000 онлайн-слушаний.</w:t>
      </w:r>
    </w:p>
    <w:p w14:paraId="7D892713" w14:textId="77777777" w:rsidR="002E27BA" w:rsidRDefault="002E27BA">
      <w:pPr>
        <w:rPr>
          <w:rFonts w:eastAsia="Times New Roman" w:cs="Times New Roman"/>
          <w:lang w:eastAsia="en-US"/>
        </w:rPr>
      </w:pPr>
      <w:r>
        <w:br w:type="page"/>
      </w:r>
    </w:p>
    <w:p w14:paraId="2695A654" w14:textId="57233E61" w:rsidR="00C54079" w:rsidRDefault="00C54079" w:rsidP="00C54079">
      <w:pPr>
        <w:pStyle w:val="ListParagraph"/>
        <w:widowControl w:val="0"/>
        <w:numPr>
          <w:ilvl w:val="0"/>
          <w:numId w:val="7"/>
        </w:numPr>
        <w:spacing w:after="240"/>
        <w:ind w:left="0" w:firstLine="0"/>
        <w:contextualSpacing w:val="0"/>
      </w:pPr>
      <w:r>
        <w:lastRenderedPageBreak/>
        <w:t>Еще одно направление работы Центра – помощь ведомствам ИС в создании или совершенствовании услуг в области АУС на местах.  Сюда входит соответствующее обучение сотрудников ведомств для создания собственного потенциала и развитие у специалистов навыков для эффективного сопровождения разбирательства.  ВОИС и ведомства ИС с помощью совместных информационных мероприятий привлекают внимание к механизмам АУС как надежной альтернативе судебному разбирательству.</w:t>
      </w:r>
    </w:p>
    <w:p w14:paraId="561AB1C4" w14:textId="232FD34A" w:rsidR="00C54079" w:rsidRDefault="00C54079" w:rsidP="00C54079">
      <w:pPr>
        <w:pStyle w:val="ListParagraph"/>
        <w:widowControl w:val="0"/>
        <w:numPr>
          <w:ilvl w:val="0"/>
          <w:numId w:val="7"/>
        </w:numPr>
        <w:spacing w:after="240"/>
        <w:ind w:left="0" w:firstLine="0"/>
        <w:contextualSpacing w:val="0"/>
      </w:pPr>
      <w:r>
        <w:t>В ответ на растущий интерес со стороны государств-членов Центр расширил программу совместного урегулирования споров с ведомствами ИС и авторского права.  С учетом опыта успешного сотрудничества с Национальным институтом авторского права Мексики (INDAUTOR) и Национальным управлением по авторскому праву Колумбии</w:t>
      </w:r>
      <w:r w:rsidR="002E27BA">
        <w:rPr>
          <w:lang w:val="en-US"/>
        </w:rPr>
        <w:t> </w:t>
      </w:r>
      <w:r>
        <w:t>(DNDA) на протяжении последних лет в 2024 году Центр оказывал поддержку в развитии компетенции в сфере АУС и урегулировании споров с помощью этих процедур Национальному ведомству авторского права Доминиканской Республики (ONDA), Реестру интеллектуальной собственности Гватемалы (RPI), Совету авторского права Кении</w:t>
      </w:r>
      <w:r w:rsidR="002E27BA">
        <w:rPr>
          <w:lang w:val="en-US"/>
        </w:rPr>
        <w:t> </w:t>
      </w:r>
      <w:r>
        <w:t>(KECOBO), Управлению по делам бизнеса и интеллектуальной собственности Намибии (BIPA), Национальному управлению интеллектуальной собственности Парагвая</w:t>
      </w:r>
      <w:r w:rsidR="002E27BA">
        <w:rPr>
          <w:lang w:val="en-US"/>
        </w:rPr>
        <w:t> </w:t>
      </w:r>
      <w:r>
        <w:t>(DINAPI) и Национальному институту защиты конкуренции и интеллектуальной собственности Перу (INDECOPI).</w:t>
      </w:r>
    </w:p>
    <w:p w14:paraId="59229075" w14:textId="635651B3" w:rsidR="00C54079" w:rsidRDefault="00C54079" w:rsidP="00C54079">
      <w:pPr>
        <w:pStyle w:val="ListParagraph"/>
        <w:widowControl w:val="0"/>
        <w:numPr>
          <w:ilvl w:val="0"/>
          <w:numId w:val="7"/>
        </w:numPr>
        <w:spacing w:after="240"/>
        <w:ind w:left="0" w:firstLine="0"/>
        <w:contextualSpacing w:val="0"/>
      </w:pPr>
      <w:r>
        <w:t>В рамках этой программы Центр также сотрудничает с Национальным ведомством авторского права и смежных прав Алжира (ONDA), Ведомством интеллектуальной собственности Белиза (BELIPO), министерством культуры Бразилии, Национальной службой интеллектуальных прав Эквадора (SENADI), Национальным центром регистрации Сальвадора (CNR), Обществом по защите авторских прав Танзании (COSOTA), Ведомством интеллектуальной собственности Тринидада и Тобаго (TTIPO) и Бюро регистрационных услуг Уганды (URSB)</w:t>
      </w:r>
      <w:r>
        <w:rPr>
          <w:rStyle w:val="FootnoteReference"/>
        </w:rPr>
        <w:footnoteReference w:id="14"/>
      </w:r>
      <w:r>
        <w:t>.</w:t>
      </w:r>
    </w:p>
    <w:p w14:paraId="1E0CB3B2" w14:textId="5902D197" w:rsidR="00C54079" w:rsidRPr="006F6660" w:rsidRDefault="00C54079" w:rsidP="00C54079">
      <w:pPr>
        <w:pStyle w:val="ListParagraph"/>
        <w:widowControl w:val="0"/>
        <w:spacing w:after="240"/>
        <w:ind w:left="0" w:firstLine="567"/>
        <w:contextualSpacing w:val="0"/>
      </w:pPr>
      <w:r>
        <w:t>В.</w:t>
      </w:r>
      <w:r w:rsidR="002E27BA" w:rsidRPr="00923875">
        <w:tab/>
      </w:r>
      <w:r>
        <w:t>СОТРУДНИЧЕСТВО С ВЕДОМСТВАМИ ИНТЕЛЛЕКТУАЛЬНОЙ СОБСТВЕННОСТИ И СУДАМИ</w:t>
      </w:r>
    </w:p>
    <w:p w14:paraId="68566950" w14:textId="6480751B" w:rsidR="002E27BA" w:rsidRDefault="00C54079" w:rsidP="00C54079">
      <w:pPr>
        <w:pStyle w:val="ListParagraph"/>
        <w:widowControl w:val="0"/>
        <w:numPr>
          <w:ilvl w:val="0"/>
          <w:numId w:val="7"/>
        </w:numPr>
        <w:spacing w:after="240"/>
        <w:ind w:left="0" w:firstLine="0"/>
        <w:contextualSpacing w:val="0"/>
      </w:pPr>
      <w:r>
        <w:t>Еще одна ключевая сфера деятельности Центра – взаимодействие с ведомствами ИС и авторского права и судами разных стран мира.  Со времени проведения Ассамблей 2024 года Центр заключил 11 партнерских соглашений с ведомствами ИС и судами государств-членов, ориентированных на популяризацию и поддержку внедрения оперативных и более выгодных с точки зрения цены механизмов АУС для урегулирования споров в области ИС и технологий вне суда или каких-либо иных судебных органов</w:t>
      </w:r>
      <w:r w:rsidRPr="006F6660">
        <w:rPr>
          <w:rStyle w:val="FootnoteReference"/>
        </w:rPr>
        <w:footnoteReference w:id="15"/>
      </w:r>
      <w:r>
        <w:t>.</w:t>
      </w:r>
    </w:p>
    <w:p w14:paraId="2F1966A6" w14:textId="77777777" w:rsidR="002E27BA" w:rsidRDefault="002E27BA">
      <w:pPr>
        <w:rPr>
          <w:rFonts w:eastAsia="Times New Roman" w:cs="Times New Roman"/>
          <w:lang w:eastAsia="en-US"/>
        </w:rPr>
      </w:pPr>
      <w:r>
        <w:br w:type="page"/>
      </w:r>
    </w:p>
    <w:p w14:paraId="5612FE00" w14:textId="54919CD2" w:rsidR="00C54079" w:rsidRDefault="00C54079" w:rsidP="00C54079">
      <w:pPr>
        <w:pStyle w:val="ListParagraph"/>
        <w:widowControl w:val="0"/>
        <w:numPr>
          <w:ilvl w:val="0"/>
          <w:numId w:val="7"/>
        </w:numPr>
        <w:spacing w:after="240"/>
        <w:ind w:left="0" w:firstLine="0"/>
        <w:contextualSpacing w:val="0"/>
      </w:pPr>
      <w:r>
        <w:lastRenderedPageBreak/>
        <w:t>Среди таких новых партнеров Африканская региональная организация интеллектуальной собственности (АРОИС), Патентное ведомство Австрии, Ведомство интеллектуальной собственности Белиза (BELIPO), министерство культуры Бразилии, Ведомство интеллектуальной собственности Ирландии (IPOI), Департамент интеллектуальной собственности Лаосской Народно-Демократической Республики (DIP), Независимая служба интеллектуальной собственности Венесуэлы (SAPI) и Ведомство интеллектуальной собственности Канады (CIPO с акцентом на использование процедур АУС для СОП).  Центр также заключил соглашения о сотрудничестве со Специализированным судом по интеллектуальной собственности при Федеральном административном суде Мексики и с Международным судом и Центром по урегулированию споров Катара (QICDRC) в целях популяризации механизмов АУС как оптимальных для урегулирования споров в области ИС.  В целом в настоящее время Центр сотрудничает с 95 национальными учреждениями</w:t>
      </w:r>
      <w:r w:rsidR="007B26E5" w:rsidRPr="006F6660">
        <w:rPr>
          <w:vertAlign w:val="superscript"/>
        </w:rPr>
        <w:footnoteReference w:id="16"/>
      </w:r>
      <w:r>
        <w:t>.</w:t>
      </w:r>
    </w:p>
    <w:p w14:paraId="31A71AF8" w14:textId="0CE49FA6" w:rsidR="00C54079" w:rsidRPr="006F6660" w:rsidRDefault="00C54079" w:rsidP="00C54079">
      <w:pPr>
        <w:pStyle w:val="ListParagraph"/>
        <w:widowControl w:val="0"/>
        <w:numPr>
          <w:ilvl w:val="0"/>
          <w:numId w:val="7"/>
        </w:numPr>
        <w:spacing w:after="240"/>
        <w:ind w:left="0" w:firstLine="0"/>
        <w:contextualSpacing w:val="0"/>
      </w:pPr>
      <w:r>
        <w:t>В отчетный период программы сотрудничества включали обучение посредничеству в сфере ИС для судей, сотрудников ведомств ИС и профессиональных посредников, разработку адресных информационно-разъяснительных материалов по тематике АУС для заинтересованных сторон, помощь в разработке положений об АУС в рамках типовых соглашений о НИОКР, а также совместные информационно-разъяснительные мероприятия для заинтересованных сторон</w:t>
      </w:r>
      <w:r w:rsidRPr="006F6660">
        <w:rPr>
          <w:rStyle w:val="FootnoteReference"/>
        </w:rPr>
        <w:footnoteReference w:id="17"/>
      </w:r>
      <w:r w:rsidRPr="006F6660">
        <w:rPr>
          <w:rStyle w:val="FootnoteReference"/>
        </w:rPr>
        <w:t xml:space="preserve"> </w:t>
      </w:r>
      <w:r>
        <w:t>.</w:t>
      </w:r>
      <w:r>
        <w:rPr>
          <w:rStyle w:val="FootnoteReference"/>
        </w:rPr>
        <w:t xml:space="preserve"> </w:t>
      </w:r>
    </w:p>
    <w:p w14:paraId="72C2752E" w14:textId="471EB560" w:rsidR="00C54079" w:rsidRPr="006F6660" w:rsidRDefault="00C54079" w:rsidP="00C54079">
      <w:pPr>
        <w:pStyle w:val="ListParagraph"/>
        <w:widowControl w:val="0"/>
        <w:numPr>
          <w:ilvl w:val="0"/>
          <w:numId w:val="7"/>
        </w:numPr>
        <w:spacing w:after="240"/>
        <w:ind w:left="0" w:firstLine="0"/>
        <w:contextualSpacing w:val="0"/>
      </w:pPr>
      <w:r>
        <w:t>Ряд ведомств ИС разработали процедуры АУС или рекомендуют сторонам использовать эти механизмы для разрешения направляемых споров, особенно в случае возражений против регистрации товарного знака.  Совместно с ведомствами ИС Центр разработал схемы процедур посредничества и принимал участие в урегулировании споров, направленных сторонами в рамках таких совместных программ</w:t>
      </w:r>
      <w:r w:rsidRPr="006F6660">
        <w:rPr>
          <w:rStyle w:val="FootnoteReference"/>
        </w:rPr>
        <w:footnoteReference w:id="18"/>
      </w:r>
      <w:r>
        <w:t xml:space="preserve">.  В области </w:t>
      </w:r>
      <w:r>
        <w:lastRenderedPageBreak/>
        <w:t>авторского права ряд ведомств ИС начали обращаться к Центру с просьбами об урегулировании или совместном урегулировании споров с участием ОКУ или других правообладателей и пользователей</w:t>
      </w:r>
      <w:r w:rsidRPr="006F6660">
        <w:rPr>
          <w:rStyle w:val="FootnoteReference"/>
        </w:rPr>
        <w:footnoteReference w:id="19"/>
      </w:r>
      <w:r>
        <w:t>.</w:t>
      </w:r>
    </w:p>
    <w:p w14:paraId="291664CB" w14:textId="0A454317" w:rsidR="00C54079" w:rsidRPr="006F6660" w:rsidRDefault="00C54079" w:rsidP="00C54079">
      <w:pPr>
        <w:pStyle w:val="ListParagraph"/>
        <w:widowControl w:val="0"/>
        <w:numPr>
          <w:ilvl w:val="0"/>
          <w:numId w:val="7"/>
        </w:numPr>
        <w:spacing w:after="240"/>
        <w:ind w:left="0" w:firstLine="0"/>
        <w:contextualSpacing w:val="0"/>
      </w:pPr>
      <w:r>
        <w:t>Кроме того, Центр сотрудничал с ведомствами ИС в разработке типовых соглашений о НИОКР, которые включают варианты посредничества и арбитража ВОИС</w:t>
      </w:r>
      <w:r w:rsidRPr="006F6660">
        <w:rPr>
          <w:rStyle w:val="FootnoteReference"/>
        </w:rPr>
        <w:footnoteReference w:id="20"/>
      </w:r>
      <w:r>
        <w:t>.</w:t>
      </w:r>
    </w:p>
    <w:p w14:paraId="5B25759E" w14:textId="152DA288" w:rsidR="00C54079" w:rsidRPr="006F6660" w:rsidRDefault="00C54079" w:rsidP="00C54079">
      <w:pPr>
        <w:pStyle w:val="ListParagraph"/>
        <w:widowControl w:val="0"/>
        <w:numPr>
          <w:ilvl w:val="0"/>
          <w:numId w:val="7"/>
        </w:numPr>
        <w:spacing w:after="240"/>
        <w:ind w:left="0" w:firstLine="0"/>
        <w:contextualSpacing w:val="0"/>
      </w:pPr>
      <w:r>
        <w:t xml:space="preserve">С учетом расширения и развития характера совместной работы Центр подготовил и опубликовал </w:t>
      </w:r>
      <w:hyperlink r:id="rId27" w:history="1">
        <w:r>
          <w:rPr>
            <w:rStyle w:val="Hyperlink"/>
          </w:rPr>
          <w:t>Руководство ВОИС по альтернативному урегулированию споров для ведомств ИС и судов</w:t>
        </w:r>
      </w:hyperlink>
      <w:r>
        <w:t>.  В этом пособии приводится обзор различных вариантов включения процессов АУС (особенно посредничества) в текущую работу ведомств ИС и судов.</w:t>
      </w:r>
    </w:p>
    <w:p w14:paraId="471E1F3E" w14:textId="77777777" w:rsidR="00C54079" w:rsidRPr="006F6660" w:rsidRDefault="00C54079" w:rsidP="00C54079">
      <w:pPr>
        <w:pStyle w:val="Heading2"/>
        <w:spacing w:after="220"/>
        <w:ind w:left="540"/>
      </w:pPr>
      <w:r>
        <w:t>C.</w:t>
      </w:r>
      <w:r>
        <w:tab/>
        <w:t>ИНФОРМАЦИОННАЯ РАБОТА И ПРОСВЕТИТЕЛЬСКИЕ РЕСУРСЫ ПО АУС</w:t>
      </w:r>
    </w:p>
    <w:p w14:paraId="69A15620" w14:textId="1098CEC2" w:rsidR="00C54079" w:rsidRPr="006F6660" w:rsidRDefault="00C54079" w:rsidP="00C54079">
      <w:pPr>
        <w:pStyle w:val="ListParagraph"/>
        <w:widowControl w:val="0"/>
        <w:numPr>
          <w:ilvl w:val="0"/>
          <w:numId w:val="7"/>
        </w:numPr>
        <w:spacing w:after="240"/>
        <w:ind w:left="0" w:firstLine="0"/>
        <w:contextualSpacing w:val="0"/>
        <w:rPr>
          <w:szCs w:val="22"/>
        </w:rPr>
      </w:pPr>
      <w:r>
        <w:t>Со времени проведения Ассамблей 2024 года в целях удовлетворения растущего спроса на онлайновые ресурсы и обучение в области АУС Центр продолжал использовать доступные способы информирования, такие как рассылка информационного бюллетеня по АУС (ADR Highlights)</w:t>
      </w:r>
      <w:r w:rsidR="00472437">
        <w:rPr>
          <w:rStyle w:val="FootnoteReference"/>
        </w:rPr>
        <w:footnoteReference w:id="21"/>
      </w:r>
      <w:r>
        <w:t xml:space="preserve">, одновременно развивая существующие и создавая новые площадки в социальных сетях и другие онлайновые площадки для пользователей и потенциальных пользователей услуг АУС ВОИС.  Например, созданная Центром </w:t>
      </w:r>
      <w:hyperlink r:id="rId28" w:history="1">
        <w:r>
          <w:rPr>
            <w:rStyle w:val="Hyperlink"/>
          </w:rPr>
          <w:t>Молодежная группа ВОИС по АУС</w:t>
        </w:r>
      </w:hyperlink>
      <w:r>
        <w:t xml:space="preserve"> представляет собой сеть и учебный форум для молодых специалистов в области ИС и урегулирования споров, которая сегодня насчитывает более 1700 членов.</w:t>
      </w:r>
    </w:p>
    <w:p w14:paraId="6D720A33" w14:textId="001D9995" w:rsidR="002E27BA" w:rsidRDefault="00B5123D" w:rsidP="00C54079">
      <w:pPr>
        <w:pStyle w:val="ListParagraph"/>
        <w:widowControl w:val="0"/>
        <w:numPr>
          <w:ilvl w:val="0"/>
          <w:numId w:val="7"/>
        </w:numPr>
        <w:spacing w:after="240"/>
        <w:ind w:left="0" w:firstLine="0"/>
        <w:contextualSpacing w:val="0"/>
      </w:pPr>
      <w:hyperlink r:id="rId29" w:history="1">
        <w:r>
          <w:rPr>
            <w:rStyle w:val="Hyperlink"/>
          </w:rPr>
          <w:t>Страница Центра в LinkedIn</w:t>
        </w:r>
      </w:hyperlink>
      <w:r>
        <w:t xml:space="preserve"> с более чем 23 000 подписчиков является платформой, на которой профессиональное сообщество в области ИС, технологий и АУС может получить актуальную информацию об изменениях в сфере АУС ВОИС, тематических мероприятиях и публикациях.  Центр также продолжил реализацию </w:t>
      </w:r>
      <w:hyperlink r:id="rId30" w:history="1">
        <w:r>
          <w:rPr>
            <w:rStyle w:val="Hyperlink"/>
          </w:rPr>
          <w:t>программы «Подкасты по вопросам арбитража и посредничества» (WIPOD)</w:t>
        </w:r>
      </w:hyperlink>
      <w:r>
        <w:t>, в рамках которой было выпущено более 4800 подкастов с интервью со специалистами-практиками в области ИС и АУС.</w:t>
      </w:r>
    </w:p>
    <w:p w14:paraId="486D84FA" w14:textId="77777777" w:rsidR="002E27BA" w:rsidRDefault="002E27BA">
      <w:pPr>
        <w:rPr>
          <w:rFonts w:eastAsia="Times New Roman" w:cs="Times New Roman"/>
          <w:lang w:eastAsia="en-US"/>
        </w:rPr>
      </w:pPr>
      <w:r>
        <w:br w:type="page"/>
      </w:r>
    </w:p>
    <w:p w14:paraId="4AFE3B0A" w14:textId="4161C042" w:rsidR="00C54079" w:rsidRPr="00FE4767" w:rsidRDefault="00C54079" w:rsidP="00C54079">
      <w:pPr>
        <w:pStyle w:val="ListParagraph"/>
        <w:widowControl w:val="0"/>
        <w:numPr>
          <w:ilvl w:val="0"/>
          <w:numId w:val="7"/>
        </w:numPr>
        <w:spacing w:after="240"/>
        <w:ind w:left="0" w:firstLine="0"/>
        <w:contextualSpacing w:val="0"/>
      </w:pPr>
      <w:r>
        <w:lastRenderedPageBreak/>
        <w:t xml:space="preserve">Центр продолжал выступать организатором и участником мероприятий на разных языках, включая </w:t>
      </w:r>
      <w:hyperlink r:id="rId31" w:history="1">
        <w:r>
          <w:rPr>
            <w:rStyle w:val="Hyperlink"/>
          </w:rPr>
          <w:t>вебинары</w:t>
        </w:r>
      </w:hyperlink>
      <w:r>
        <w:t>, консультационные программы по АУС в области ИС и онлайн-семинары по посредничеству и арбитражу ВОИС, адресованных заинтересованным сторонам и ориентированных на их интересы</w:t>
      </w:r>
      <w:r w:rsidRPr="546F7EB4">
        <w:rPr>
          <w:shd w:val="clear" w:color="auto" w:fill="FFFFFF" w:themeFill="background1"/>
          <w:vertAlign w:val="superscript"/>
        </w:rPr>
        <w:footnoteReference w:id="22"/>
      </w:r>
      <w:r>
        <w:rPr>
          <w:shd w:val="clear" w:color="auto" w:fill="FFFFFF" w:themeFill="background1"/>
        </w:rPr>
        <w:t>.  Упомянутые мероприятия были посвящены вопросам цифрового авторского права</w:t>
      </w:r>
      <w:r>
        <w:t>,</w:t>
      </w:r>
      <w:r>
        <w:rPr>
          <w:shd w:val="clear" w:color="auto" w:fill="FFFFFF" w:themeFill="background1"/>
        </w:rPr>
        <w:t xml:space="preserve"> </w:t>
      </w:r>
      <w:r>
        <w:t>киберспорта, индустрии моды, природосберегающих технологий и устойчивого развития,</w:t>
      </w:r>
      <w:r>
        <w:rPr>
          <w:shd w:val="clear" w:color="auto" w:fill="FFFFFF" w:themeFill="background1"/>
        </w:rPr>
        <w:t xml:space="preserve"> стоимостной оценки ИС, наук о жизни, НИОКР, спорам об условиях </w:t>
      </w:r>
      <w:r>
        <w:t>FRAND для СОП и видеоигр.</w:t>
      </w:r>
      <w:r>
        <w:rPr>
          <w:shd w:val="clear" w:color="auto" w:fill="FFFFFF" w:themeFill="background1"/>
        </w:rPr>
        <w:t xml:space="preserve">  Более того, мероприятия Центра были ориентированы на конкретную целевую аудиторию, например малые и средние предприятия, предприниматели, молодежь и женщины. </w:t>
      </w:r>
      <w:bookmarkStart w:id="11" w:name="_Hlk158654583"/>
      <w:r>
        <w:rPr>
          <w:shd w:val="clear" w:color="auto" w:fill="FFFFFF" w:themeFill="background1"/>
        </w:rPr>
        <w:t xml:space="preserve"> В 2024 году Центр организовал / принял участие в более чем 100 мероприятиях как в заочном, так и очном форматах, для участия в которых зарегистрировались свыше 12 000 человек из 135 стран.</w:t>
      </w:r>
      <w:bookmarkEnd w:id="11"/>
    </w:p>
    <w:p w14:paraId="2B517DA0" w14:textId="145AE0D0" w:rsidR="00C54079" w:rsidRPr="00FE4767" w:rsidRDefault="00C54079" w:rsidP="00C54079">
      <w:pPr>
        <w:pStyle w:val="ListParagraph"/>
        <w:widowControl w:val="0"/>
        <w:numPr>
          <w:ilvl w:val="0"/>
          <w:numId w:val="7"/>
        </w:numPr>
        <w:spacing w:after="240"/>
        <w:ind w:left="0" w:firstLine="0"/>
        <w:contextualSpacing w:val="0"/>
        <w:rPr>
          <w:szCs w:val="22"/>
        </w:rPr>
      </w:pPr>
      <w:r>
        <w:t xml:space="preserve">В рамках системы </w:t>
      </w:r>
      <w:hyperlink r:id="rId32" w:history="1">
        <w:r>
          <w:rPr>
            <w:rStyle w:val="Hyperlink"/>
          </w:rPr>
          <w:t>Обязательства ВОИС о посредничестве в урегулировании споров в области ИC и технологий</w:t>
        </w:r>
      </w:hyperlink>
      <w:r>
        <w:t xml:space="preserve"> подписавшие и сотрудничающие стороны обязуются развивать посредничество в качестве альтернативы судебному разбирательству, с тем чтобы снизить влияние споров на инновационные и творческие процессы.  Документ подписали более 930 участников, включая 37 ведомств ИС государств-членов и отраслевых ассоциаций в области АУС.</w:t>
      </w:r>
    </w:p>
    <w:p w14:paraId="704D3F82" w14:textId="77777777" w:rsidR="00C54079" w:rsidRPr="005B4F4B" w:rsidRDefault="00C54079" w:rsidP="00C54079">
      <w:pPr>
        <w:pStyle w:val="Heading2"/>
        <w:keepNext w:val="0"/>
        <w:widowControl w:val="0"/>
        <w:spacing w:after="220"/>
      </w:pPr>
      <w:r>
        <w:t>II.</w:t>
      </w:r>
      <w:r>
        <w:tab/>
        <w:t>РАССМОТРЕНИЕ СПОРОВ, СВЯЗАННЫХ С ДОМЕННЫМИ ИМЕНАМИ</w:t>
      </w:r>
    </w:p>
    <w:p w14:paraId="5E8A5D01" w14:textId="77777777" w:rsidR="00C54079" w:rsidRPr="005B4F4B" w:rsidRDefault="00C54079" w:rsidP="00C54079">
      <w:pPr>
        <w:pStyle w:val="Heading2"/>
        <w:ind w:left="540"/>
      </w:pPr>
      <w:r>
        <w:t>A.</w:t>
      </w:r>
      <w:r>
        <w:tab/>
        <w:t>ЕПУС</w:t>
      </w:r>
    </w:p>
    <w:p w14:paraId="7D1ED616" w14:textId="7DA174B1" w:rsidR="00C54079" w:rsidRDefault="00C54079" w:rsidP="00C54079">
      <w:pPr>
        <w:pStyle w:val="ListParagraph"/>
        <w:numPr>
          <w:ilvl w:val="0"/>
          <w:numId w:val="7"/>
        </w:numPr>
        <w:spacing w:before="240" w:after="240"/>
        <w:ind w:left="0" w:firstLine="0"/>
        <w:contextualSpacing w:val="0"/>
        <w:rPr>
          <w:rFonts w:cs="Arial"/>
          <w:szCs w:val="24"/>
        </w:rPr>
      </w:pPr>
      <w:r>
        <w:t xml:space="preserve">Существование системы доменных имен (DNS) создает ряд проблем, связанных с охраной ИС, решение которых, в силу глобальной природы интернета, требует международного подхода.  ВОИС занимается разрешением этих проблем с 1998 года, разрабатывая варианты решений, из которых особого упоминания заслуживают </w:t>
      </w:r>
      <w:hyperlink r:id="rId33" w:history="1">
        <w:r>
          <w:rPr>
            <w:rStyle w:val="Hyperlink"/>
          </w:rPr>
          <w:t>Первый</w:t>
        </w:r>
      </w:hyperlink>
      <w:r>
        <w:t xml:space="preserve"> и </w:t>
      </w:r>
      <w:hyperlink r:id="rId34" w:history="1">
        <w:r>
          <w:rPr>
            <w:rStyle w:val="Hyperlink"/>
          </w:rPr>
          <w:t>Второй</w:t>
        </w:r>
      </w:hyperlink>
      <w:r>
        <w:t xml:space="preserve"> процессы ВОИС по доменным именам в интернете.  По линии Центра ВОИС предлагает владельцам товарных знаков эффективные международные механизмы противодействия недобросовестной регистрации и использованию доменных имен, конфликтующих с их правам</w:t>
      </w:r>
      <w:r w:rsidR="00204422">
        <w:t>и</w:t>
      </w:r>
      <w:r>
        <w:t xml:space="preserve"> на товарные знаки.  Главный из применяемых Центром механизмов – ЕПУС – был разработан ICANN на основе рекомендаций, сформулированных ВОИС в рамках Первого процесса ВОИС.</w:t>
      </w:r>
    </w:p>
    <w:p w14:paraId="23080B52" w14:textId="5EFE6CAE" w:rsidR="00C54079" w:rsidRPr="00670377" w:rsidRDefault="00C54079" w:rsidP="00C54079">
      <w:pPr>
        <w:pStyle w:val="ListParagraph"/>
        <w:numPr>
          <w:ilvl w:val="0"/>
          <w:numId w:val="7"/>
        </w:numPr>
        <w:spacing w:before="240" w:after="240"/>
        <w:ind w:left="0" w:firstLine="0"/>
        <w:contextualSpacing w:val="0"/>
        <w:rPr>
          <w:rFonts w:cs="Arial"/>
          <w:szCs w:val="24"/>
        </w:rPr>
      </w:pPr>
      <w:r>
        <w:t>Киберсквоттинг – неправомерное использование товарного знака в доменном имени</w:t>
      </w:r>
      <w:r w:rsidR="002E27BA">
        <w:rPr>
          <w:lang w:val="en-US"/>
        </w:rPr>
        <w:t> </w:t>
      </w:r>
      <w:r>
        <w:t>– является глобальной проблемой.  В течение 2024 года поименованными сторонами споров, рассматриваемых ВОИС, были представители 133 стран, а с момента принятия ЕПУС ‒ 188 стран.  Если исходить из языка соглашения о регистрации оспариваемых доменных имен, то процедуры ВОИС на основе ЕПУС проводились более чем на 30 языках</w:t>
      </w:r>
      <w:r w:rsidRPr="00670377">
        <w:rPr>
          <w:rStyle w:val="FootnoteReference"/>
          <w:rFonts w:eastAsia="SimSun" w:cs="Arial"/>
        </w:rPr>
        <w:footnoteReference w:id="23"/>
      </w:r>
      <w:r>
        <w:t>.</w:t>
      </w:r>
    </w:p>
    <w:p w14:paraId="06A7100D" w14:textId="0F2C7492" w:rsidR="00C54079" w:rsidRPr="00670377" w:rsidRDefault="00C54079" w:rsidP="00C54079">
      <w:pPr>
        <w:pStyle w:val="ListParagraph"/>
        <w:numPr>
          <w:ilvl w:val="0"/>
          <w:numId w:val="7"/>
        </w:numPr>
        <w:spacing w:after="240"/>
        <w:ind w:left="0" w:firstLine="0"/>
        <w:contextualSpacing w:val="0"/>
        <w:rPr>
          <w:rFonts w:cs="Arial"/>
          <w:szCs w:val="24"/>
        </w:rPr>
      </w:pPr>
      <w:r>
        <w:t>С каждым годом растет число людей, которые проводят все больше времени в интернете, что открывает больший простор для деятельности мошенников.  Владельцы брендов продолжают усиливать защиту своих прав в интернете, по мере последовательного перехода к онлайн-торговле товарами и услугами.  Процедура ЕПУС, применение которой ограничивается случаями явно недобросовестной конкуренции, по-</w:t>
      </w:r>
      <w:r>
        <w:lastRenderedPageBreak/>
        <w:t>прежнему пользуется большим спросом</w:t>
      </w:r>
      <w:r w:rsidRPr="00670377">
        <w:rPr>
          <w:rStyle w:val="FootnoteReference"/>
          <w:rFonts w:eastAsia="SimSun" w:cs="Arial"/>
        </w:rPr>
        <w:footnoteReference w:id="24"/>
      </w:r>
      <w:r>
        <w:t>.  С декабря 1999 года ВОИС рассмотрела по процедуре ЕПУС более 75 000 дел</w:t>
      </w:r>
      <w:r w:rsidRPr="00670377">
        <w:rPr>
          <w:rFonts w:cs="Arial"/>
          <w:vertAlign w:val="superscript"/>
        </w:rPr>
        <w:footnoteReference w:id="25"/>
      </w:r>
      <w:r>
        <w:t>.  Все чаще в заявлениях, поступивших от владельцев брендов, предметами споров были предполагаемые случаи мошенничества с использованием электронной почты и «фишинга», действия, совершаемые нарушителями под видом законного пользователя, и другие виды незаконного использования ориентированных на потребителя веб-сайтов (например, контрафакт), связанные с оспариваемыми доменными именами.  В 2024 году владельцы брендов подали в ВОИС 6168 жалоб по процедуре ЕПУС; этот год стал вторым по числу полученных Центром жалоб, что подчеркивает неизменную важность ЕПУС для упомянутой категории пользователей.  Общее число доменных имен, ставших предметом споров, урегулированных на основе ЕПУС ВОИС, превысило 133 000.  О масштабе рисков для потребителей также можно судить по отраслевому профилю предприятий, лидирующих по числу поданных жалоб; среди них розничная торговля, банковская и финансовая деятельность, биотехнология и фармацевтика, интернет и информационные технологии, тяжелая промышленность и машиностроение, а также мода.</w:t>
      </w:r>
    </w:p>
    <w:p w14:paraId="521F6C3B" w14:textId="4933EDB2" w:rsidR="00C54079" w:rsidRPr="005B4F4B" w:rsidRDefault="00C54079" w:rsidP="00C54079">
      <w:pPr>
        <w:pStyle w:val="ListParagraph"/>
        <w:numPr>
          <w:ilvl w:val="0"/>
          <w:numId w:val="7"/>
        </w:numPr>
        <w:spacing w:after="240"/>
        <w:ind w:left="0" w:firstLine="0"/>
        <w:contextualSpacing w:val="0"/>
        <w:rPr>
          <w:rFonts w:cs="Arial"/>
          <w:szCs w:val="24"/>
        </w:rPr>
      </w:pPr>
      <w:r>
        <w:t xml:space="preserve">Все решения экспертных комиссий ЕПУС ВОИС публикуются на веб-сайте Центра.  Бесплатное онлайновое издание Центра </w:t>
      </w:r>
      <w:hyperlink r:id="rId35" w:history="1">
        <w:r>
          <w:rPr>
            <w:rStyle w:val="Hyperlink"/>
          </w:rPr>
          <w:t>«Обзор мнений экспертных комиссий ВОИС по отдельным вопросам, рассмотренным на основе ЕПУС»</w:t>
        </w:r>
      </w:hyperlink>
      <w:r>
        <w:t xml:space="preserve"> остается актуальным и востребованный пользователями по</w:t>
      </w:r>
      <w:r w:rsidR="002E27BA" w:rsidRPr="002E27BA">
        <w:t xml:space="preserve"> </w:t>
      </w:r>
      <w:r>
        <w:t>всему миру обзор тенденций принятия решений по важным спорам, он охватывает более 100 тем, включая упоминание почти 1000 типовых решений, принятых более чем 265 экспертами ВОИС</w:t>
      </w:r>
      <w:r w:rsidRPr="0B1EA5E2">
        <w:rPr>
          <w:rStyle w:val="FootnoteReference"/>
          <w:rFonts w:cs="Arial"/>
        </w:rPr>
        <w:footnoteReference w:id="26"/>
      </w:r>
      <w:r>
        <w:t xml:space="preserve">.  Для облегчения доступа к этим решениям по тематическим рубрикам Центр также публикует </w:t>
      </w:r>
      <w:hyperlink r:id="rId36" w:history="1">
        <w:r>
          <w:rPr>
            <w:rStyle w:val="Hyperlink"/>
          </w:rPr>
          <w:t>«Юридический справочник решений ВОИС по процедуре ЕПУС»</w:t>
        </w:r>
      </w:hyperlink>
      <w:r>
        <w:t xml:space="preserve"> с возможностью онлайнового контекстного поиска.  Эти материалы ВОИС доступны для бесплатного пользования.</w:t>
      </w:r>
    </w:p>
    <w:p w14:paraId="1A880567" w14:textId="7AFDF3EF" w:rsidR="002E27BA" w:rsidRDefault="00C54079" w:rsidP="00C54079">
      <w:pPr>
        <w:pStyle w:val="ListParagraph"/>
        <w:numPr>
          <w:ilvl w:val="0"/>
          <w:numId w:val="7"/>
        </w:numPr>
        <w:spacing w:after="240"/>
        <w:ind w:left="0" w:firstLine="0"/>
        <w:contextualSpacing w:val="0"/>
      </w:pPr>
      <w:r>
        <w:t xml:space="preserve">С учетом основополагающей роли ВОИС в разработке ЕПУС Центр следит за развитием событий в DNS, стремясь адаптировать к нему свои ресурсы и методы работы.  Центр регулярно организует и принимает участие в мероприятиях по вопросам урегулирования споров в области доменных имен для информирования заинтересованных сторон и членов профильных комиссий ВОИС.  В 2025 году исполнится 25 лет успешного функционирования ЕПУС; в апреле в Женеве по инициативе Центра была проведена </w:t>
      </w:r>
      <w:hyperlink r:id="rId37" w:history="1">
        <w:r>
          <w:rPr>
            <w:rStyle w:val="Hyperlink"/>
          </w:rPr>
          <w:t>конференция</w:t>
        </w:r>
      </w:hyperlink>
      <w:r>
        <w:t>, призванная отметить этот важный рубеж.  На мероприятии были подведены итоги работы и рассмотрены перспективы с точки зрения правовой практики по применению ЕПУС, соответствующих изменений интернет-технологий и ряда других актуальных вопросов, таких как блокчейн-домены и потенциальное воздействие ИИ на отрасль DNS и механизмы защиты прав</w:t>
      </w:r>
      <w:r w:rsidRPr="00670377">
        <w:rPr>
          <w:rStyle w:val="FootnoteReference"/>
          <w:rFonts w:cs="Arial"/>
        </w:rPr>
        <w:footnoteReference w:id="27"/>
      </w:r>
      <w:r>
        <w:t>.</w:t>
      </w:r>
    </w:p>
    <w:p w14:paraId="0BF69DF7" w14:textId="77777777" w:rsidR="002E27BA" w:rsidRDefault="002E27BA">
      <w:pPr>
        <w:rPr>
          <w:rFonts w:eastAsia="Times New Roman" w:cs="Times New Roman"/>
          <w:lang w:eastAsia="en-US"/>
        </w:rPr>
      </w:pPr>
      <w:r>
        <w:br w:type="page"/>
      </w:r>
    </w:p>
    <w:p w14:paraId="6F43FE75" w14:textId="77777777" w:rsidR="00C54079" w:rsidRPr="005B4F4B" w:rsidRDefault="00C54079" w:rsidP="00C54079">
      <w:pPr>
        <w:pStyle w:val="Heading3"/>
        <w:spacing w:after="240"/>
        <w:ind w:firstLine="562"/>
        <w:rPr>
          <w:u w:val="none"/>
        </w:rPr>
      </w:pPr>
      <w:r>
        <w:rPr>
          <w:u w:val="none"/>
        </w:rPr>
        <w:lastRenderedPageBreak/>
        <w:t>В.</w:t>
      </w:r>
      <w:r>
        <w:rPr>
          <w:u w:val="none"/>
        </w:rPr>
        <w:tab/>
        <w:t>НАЦИОНАЛЬНЫЕ ДОМЕНЫ ВЕРХНЕГО УРОВНЯ (НДВУ)</w:t>
      </w:r>
    </w:p>
    <w:p w14:paraId="1E85B7A1" w14:textId="5D4BB39F" w:rsidR="00C54079" w:rsidRPr="00D3577B" w:rsidRDefault="00C54079" w:rsidP="00C54079">
      <w:pPr>
        <w:pStyle w:val="ListParagraph"/>
        <w:numPr>
          <w:ilvl w:val="0"/>
          <w:numId w:val="7"/>
        </w:numPr>
        <w:spacing w:after="240"/>
        <w:ind w:left="0" w:firstLine="0"/>
        <w:contextualSpacing w:val="0"/>
        <w:rPr>
          <w:rFonts w:cs="Arial"/>
        </w:rPr>
      </w:pPr>
      <w:r>
        <w:t>ЕПУС применяется в обязательном порядке к доменным именам,</w:t>
      </w:r>
      <w:r w:rsidR="002E27BA" w:rsidRPr="002E27BA">
        <w:t xml:space="preserve"> </w:t>
      </w:r>
      <w:r>
        <w:t>зарегистрированным в рДВУ (например, .com) и более поздних новых рДВУ.  Центр также оказывает помощь в разработке условий регистрации и процедур разрешения споров в духе передового регистрационного опыта и норм охраны прав ИС реестрам нДВУ.  Некоторые операторы реестров нДВУ приняли ЕПУС полностью, в то время как другие взяли на вооружение только те процедуры на основе ЕПУС, которые учитывают соответствующие национальные особенности.  Кроме того, в июле 2024 года на полях Генеральной Ассамблеи ВОИС Центр организовал параллельное мероприятие «Национальные домены верхнего уровня (нДВУ) – расширенный набор услуг для государств-членов», в ходе которого была представлена Программа Центра по нДВУ и возможности для сотрудничества с ведомствами ИС и реестрами нДВУ в целях расширения прав брендов и создания надежных экосистем электронной торговли.</w:t>
      </w:r>
    </w:p>
    <w:p w14:paraId="0AE26F56" w14:textId="2ACC2735" w:rsidR="00C54079" w:rsidRPr="00E85D2C" w:rsidRDefault="00C54079" w:rsidP="00C54079">
      <w:pPr>
        <w:pStyle w:val="ListParagraph"/>
        <w:numPr>
          <w:ilvl w:val="0"/>
          <w:numId w:val="7"/>
        </w:numPr>
        <w:spacing w:after="240"/>
        <w:ind w:left="0" w:firstLine="0"/>
        <w:contextualSpacing w:val="0"/>
      </w:pPr>
      <w:r>
        <w:t>Центр оказывает услуги по урегулированию споров 87 реестрам нДВУ: в 2024 году он начал принимать к рассмотрению дела в отношении нДВУ .AD (Андорра), .CV (Кабо-Верде), .LV (Латвия) и .RW (Руанда)</w:t>
      </w:r>
      <w:r w:rsidRPr="00E85D2C">
        <w:rPr>
          <w:vertAlign w:val="superscript"/>
        </w:rPr>
        <w:footnoteReference w:id="28"/>
      </w:r>
      <w:r>
        <w:t xml:space="preserve">. </w:t>
      </w:r>
      <w:bookmarkStart w:id="12" w:name="_Hlk156395694"/>
      <w:r>
        <w:t xml:space="preserve"> Кроме того, в сентябре 2024 года был подписан меморандум о взаимопонимании с Национальным управлением по регистрации доменов в интернете (NIC Аргентина), посвященный предоставлению помощи в области передовой практики и процедур по охране ИС в доменных именах .AR.  В 2024 году Центр также оказывал поддержку в разработке политики ряду реестров нДВУ.  Такая поддержка включала в себя сотрудничество с профильными органами в целях повышения эффективности механизмов урегулирования споров в отношении доменных имен и содействия гармонизации таких механизмов, в частности путем актуализации соответствующих условий регистрации, административных процессов, политики, правил и/или дополнительных правил ВОИС для нДВУ .DO (Доминиканская Республика), </w:t>
      </w:r>
      <w:bookmarkEnd w:id="12"/>
      <w:r>
        <w:t>.NL (Нидерланды) и .UA (Украина).</w:t>
      </w:r>
    </w:p>
    <w:p w14:paraId="2BD5F389" w14:textId="66C2E0AD" w:rsidR="00C54079" w:rsidRPr="00B206F4" w:rsidRDefault="00C54079" w:rsidP="00C54079">
      <w:pPr>
        <w:pStyle w:val="ListParagraph"/>
        <w:numPr>
          <w:ilvl w:val="0"/>
          <w:numId w:val="7"/>
        </w:numPr>
        <w:spacing w:after="240"/>
        <w:ind w:left="0" w:firstLine="0"/>
        <w:contextualSpacing w:val="0"/>
      </w:pPr>
      <w:r>
        <w:t>Для всех упомянутых нДВУ ВОИС предлагает целый ряд онлайновых ресурсов для участников споров, в том числе по критериям допуска к регистрации, поддерживаемым наборам символов и многоязычным типовым ходатайствам и заявлениям</w:t>
      </w:r>
      <w:r w:rsidRPr="000D3353">
        <w:rPr>
          <w:vertAlign w:val="superscript"/>
        </w:rPr>
        <w:footnoteReference w:id="29"/>
      </w:r>
      <w:r>
        <w:t xml:space="preserve">, а также </w:t>
      </w:r>
      <w:hyperlink r:id="rId38" w:history="1">
        <w:r>
          <w:rPr>
            <w:rStyle w:val="Hyperlink"/>
          </w:rPr>
          <w:t>справки о различиях</w:t>
        </w:r>
      </w:hyperlink>
      <w:r>
        <w:t xml:space="preserve"> между процедурами на основе ЕПУС, применяемыми в нДВУ, и процедурами самой ЕПУС.  Эта информация обобщена в </w:t>
      </w:r>
      <w:hyperlink r:id="rId39" w:history="1">
        <w:r>
          <w:rPr>
            <w:rStyle w:val="Hyperlink"/>
          </w:rPr>
          <w:t>Руководстве по услугам ВОИС для реестров национальных доменов верхнего уровня</w:t>
        </w:r>
      </w:hyperlink>
      <w:r>
        <w:t>.</w:t>
      </w:r>
    </w:p>
    <w:p w14:paraId="49EC9893" w14:textId="77777777" w:rsidR="00C54079" w:rsidRPr="00B206F4" w:rsidRDefault="00C54079" w:rsidP="002E27BA">
      <w:pPr>
        <w:pStyle w:val="Heading2"/>
        <w:spacing w:after="240"/>
        <w:ind w:firstLine="567"/>
      </w:pPr>
      <w:r>
        <w:t>C.</w:t>
      </w:r>
      <w:r>
        <w:tab/>
        <w:t>Информационные технологии и поддержка</w:t>
      </w:r>
    </w:p>
    <w:p w14:paraId="42A796C2" w14:textId="37035B5F" w:rsidR="00C54079" w:rsidRDefault="00C54079" w:rsidP="00C54079">
      <w:pPr>
        <w:pStyle w:val="ListParagraph"/>
        <w:numPr>
          <w:ilvl w:val="0"/>
          <w:numId w:val="7"/>
        </w:numPr>
        <w:spacing w:after="240"/>
        <w:ind w:left="0" w:firstLine="0"/>
        <w:contextualSpacing w:val="0"/>
      </w:pPr>
      <w:r>
        <w:t>ВОИС полна решимости обеспечить доступность услуг Центра всем заинтересованным сторонам.  Для достижения этой цели в 2024 году Центр создал новый экспериментальный механизм подачи исков и в настоящее время занимается разработкой новой системы организации рассмотрения дел с намерением усовершенствовать пользовательскую среду и обеспечить большую эффективность работы.  Кроме того, Центр обновил ряд страниц своего общедоступного веб-сайта, где размешены общие указания о подаче ходатайств для рассмотрения по процедуре ЕПУС относительно конкретных процедурных или технических вопросов, например статуса доменного имени и информации из базы данных WhoIs</w:t>
      </w:r>
      <w:r w:rsidRPr="00B206F4">
        <w:rPr>
          <w:vertAlign w:val="superscript"/>
        </w:rPr>
        <w:footnoteReference w:id="30"/>
      </w:r>
      <w:r>
        <w:t>.</w:t>
      </w:r>
    </w:p>
    <w:p w14:paraId="324F5B42" w14:textId="77777777" w:rsidR="00C54079" w:rsidRPr="00B206F4" w:rsidRDefault="00C54079" w:rsidP="002E27BA">
      <w:pPr>
        <w:pStyle w:val="Heading2"/>
        <w:spacing w:after="240"/>
        <w:ind w:firstLine="567"/>
      </w:pPr>
      <w:r>
        <w:lastRenderedPageBreak/>
        <w:t>D.</w:t>
      </w:r>
      <w:r>
        <w:tab/>
        <w:t>Web 3.0</w:t>
      </w:r>
    </w:p>
    <w:p w14:paraId="49D2AF73" w14:textId="26227864" w:rsidR="00C54079" w:rsidRPr="004B7021" w:rsidRDefault="00C54079" w:rsidP="00C54079">
      <w:pPr>
        <w:pStyle w:val="ListParagraph"/>
        <w:numPr>
          <w:ilvl w:val="0"/>
          <w:numId w:val="7"/>
        </w:numPr>
        <w:spacing w:after="240"/>
        <w:ind w:left="0" w:firstLine="0"/>
        <w:contextualSpacing w:val="0"/>
      </w:pPr>
      <w:r>
        <w:t>Центр на постоянной основе ведет переговоры с соответствующими реестрами и регистраторами на предмет применения МОП (например, ЕПУС) к доменам Web 3.0 и блокчейн-доменам.  До последнего времени Центр оказывал помощь оператору домена Web 3.0 Namebase и новому оператору рДВУ .ART в области применения ЕПУС к доменным именам второго уровня в соответствующих реестрах Web 3.0.</w:t>
      </w:r>
    </w:p>
    <w:p w14:paraId="32A19E6D" w14:textId="359555C2" w:rsidR="00C54079" w:rsidRPr="00923875" w:rsidRDefault="00C54079" w:rsidP="002E27BA">
      <w:pPr>
        <w:pStyle w:val="Heading2"/>
        <w:spacing w:after="240"/>
      </w:pPr>
      <w:r>
        <w:t>III.</w:t>
      </w:r>
      <w:r>
        <w:tab/>
        <w:t>ЭВОЛЮЦИЯ ПОЛИТИКИ В ОБЛАСТИ DNS</w:t>
      </w:r>
    </w:p>
    <w:p w14:paraId="3EB855CC" w14:textId="11CBF047" w:rsidR="00C54079" w:rsidRDefault="00C54079" w:rsidP="00C54079">
      <w:pPr>
        <w:pStyle w:val="ListParagraph"/>
        <w:numPr>
          <w:ilvl w:val="0"/>
          <w:numId w:val="7"/>
        </w:numPr>
        <w:spacing w:after="240"/>
        <w:ind w:left="0" w:firstLine="0"/>
        <w:contextualSpacing w:val="0"/>
      </w:pPr>
      <w:r>
        <w:t>Ряд изменений политики в отношении ICANN создают не только возможности, но и сложности для владельцев и пользователей прав ИС.  Одна из таких проблем связана с введением ICANN в 2012 году массы новых рДВУ.  Такие новые рДВУ могут быть «открытыми» по своему характеру (аналогично .com) или обладать более специфическими либо ограничительными свойствами, что будет проявляться, в частности, в форме .[бренд], .[город], .[сообщество], .[культура], .[отрасль] или .[язык].   На фоне развития DNS заслуживает внимания такое явление, как появление интернационализованных доменных имен (IDN) верхнего уровня, что расширяет языковые возможности DNS.  Кроме того, планируемое ICANN расширение DNS вызывает вопросы охраны прав с точки зрения Второго процесса ВОИС по доменным именам в интернете.</w:t>
      </w:r>
    </w:p>
    <w:p w14:paraId="40C05B2F" w14:textId="77777777" w:rsidR="00C54079" w:rsidRPr="005B4F4B" w:rsidRDefault="00C54079" w:rsidP="00C54079">
      <w:pPr>
        <w:pStyle w:val="Heading2"/>
        <w:ind w:left="1170" w:hanging="630"/>
      </w:pPr>
      <w:r>
        <w:t>B.</w:t>
      </w:r>
      <w:r>
        <w:tab/>
        <w:t>ПЛАНЫ ICANN ПО ПЕРЕСМОТРУ ЕПУС И ДРУГИХ МОП ВОИС</w:t>
      </w:r>
    </w:p>
    <w:p w14:paraId="2E76FF61" w14:textId="7E9E74F6" w:rsidR="00C54079" w:rsidRPr="00923875" w:rsidRDefault="00C54079" w:rsidP="00C54079">
      <w:pPr>
        <w:widowControl w:val="0"/>
        <w:spacing w:before="240" w:after="240"/>
      </w:pPr>
      <w:r>
        <w:t>43.</w:t>
      </w:r>
      <w:r>
        <w:tab/>
        <w:t>В условиях динамичного развития DNS ЕПУС обеспечивала владельцам товарных знаков, регистрантам доменных имен и регистрационным органам эффективную альтернативу судебному разбирательству.  Несмотря на ее успешное применение, в 2011</w:t>
      </w:r>
      <w:r w:rsidR="00CE03E1">
        <w:rPr>
          <w:lang w:val="en-US"/>
        </w:rPr>
        <w:t> </w:t>
      </w:r>
      <w:r>
        <w:t>году Организация поддержки доменов общего пользования (GNSO), входящая в ICANN, решила пересмотреть ЕПУС после введения новых рДВУ</w:t>
      </w:r>
      <w:r w:rsidRPr="000D3353">
        <w:rPr>
          <w:vertAlign w:val="superscript"/>
        </w:rPr>
        <w:footnoteReference w:id="31"/>
      </w:r>
      <w:r>
        <w:t>.</w:t>
      </w:r>
      <w:r>
        <w:rPr>
          <w:vertAlign w:val="superscript"/>
        </w:rPr>
        <w:t xml:space="preserve"> </w:t>
      </w:r>
      <w:r>
        <w:t xml:space="preserve">  В </w:t>
      </w:r>
      <w:hyperlink r:id="rId40" w:history="1">
        <w:r>
          <w:rPr>
            <w:rStyle w:val="Hyperlink"/>
          </w:rPr>
          <w:t>предварительном докладе по проблеме</w:t>
        </w:r>
      </w:hyperlink>
      <w:r>
        <w:t xml:space="preserve">, опубликованном ICANN в 2015 году, излагается целый ряд сложных содержательных и процедурных вопросов.  Центр высказал ряд замечаний по докладу, отметив длительную успешную практику применения ЕПУС и риски, которыми чреваты любые попытки ее пересмотра со стороны ICANN.  По истечении периода публичного обсуждения ICANN опубликовала в январе 2016 года свой Итоговый доклад по проблеме, в котором GNSO рекомендовала начать процедуру разработки политики (PDP) для анализа всех МОП, который должен был пройти в два этапа; на уже завершившемся начальном этапе был опубликован </w:t>
      </w:r>
      <w:hyperlink r:id="rId41" w:history="1">
        <w:r>
          <w:rPr>
            <w:rStyle w:val="Hyperlink"/>
          </w:rPr>
          <w:t>итоговый доклад</w:t>
        </w:r>
      </w:hyperlink>
      <w:r>
        <w:t>, в котором основное внимание было уделено МОП, разработанным для Программы введения новых РДВУ, в частности, ЦОИТЗ (включая МОП Sunrise and Claims) и URS, в результате чего был внесен ряд предложений об изменениях, касающихся функционирования и процедур этих систем</w:t>
      </w:r>
      <w:r w:rsidRPr="00413F4E">
        <w:rPr>
          <w:vertAlign w:val="superscript"/>
        </w:rPr>
        <w:footnoteReference w:id="32"/>
      </w:r>
      <w:r>
        <w:t>.  Итоговый доклад по этапу I содержал 35 рекомендаций, принятых на основе консенсуса</w:t>
      </w:r>
      <w:r w:rsidRPr="0070734E">
        <w:rPr>
          <w:vertAlign w:val="superscript"/>
        </w:rPr>
        <w:footnoteReference w:id="33"/>
      </w:r>
      <w:r>
        <w:t xml:space="preserve">, и был принят Советом GNSO и Советом ICANN к реализации в несколько </w:t>
      </w:r>
      <w:r>
        <w:lastRenderedPageBreak/>
        <w:t>этапов</w:t>
      </w:r>
      <w:r w:rsidRPr="00B206F4">
        <w:rPr>
          <w:vertAlign w:val="superscript"/>
        </w:rPr>
        <w:footnoteReference w:id="34"/>
      </w:r>
      <w:r>
        <w:t>.</w:t>
      </w:r>
    </w:p>
    <w:p w14:paraId="262FF5E5" w14:textId="02A726D8" w:rsidR="00C54079" w:rsidRPr="00923875" w:rsidRDefault="00C54079" w:rsidP="00C54079">
      <w:pPr>
        <w:widowControl w:val="0"/>
        <w:spacing w:before="240" w:after="240"/>
      </w:pPr>
      <w:r>
        <w:t>44.</w:t>
      </w:r>
      <w:r>
        <w:tab/>
        <w:t xml:space="preserve">В рамках второго этапа (в настоящее время ожидается, что подготовительная работа начнется в 2025 или 2026 году) основное внимание будет уделено ЕПУС </w:t>
      </w:r>
      <w:r w:rsidRPr="00B206F4">
        <w:rPr>
          <w:vertAlign w:val="superscript"/>
        </w:rPr>
        <w:footnoteReference w:id="35"/>
      </w:r>
      <w:r>
        <w:t>.  Это вызывает серьезную озабоченность, учитывая то, что ICANN аккредитовала других провайдеров услуг ЕПУС, а также неопределенность перспектив возможной эволюции ЕПУС в рамках данного процесса, начатого ICANN, и Центр продолжает внимательно следить за намерениями заинтересованных сторон ICANN в отношении ЕПУС и в целом механизмов охраны прав, касающихся товарных знаков.  В рамках этой работы Центр продолжает консультации, помимо ICANN, с такими заинтересованными сторонами, как Ассоциация европейских сообществ по товарным знакам (ECTA), Международная ассоциация по товарным знакам (INTA) и MARQUES.  Что касается конкретно ЕПУС, учредительные органы ICANN предлагали Секретариату ВОИС провести, под руководством экспертов и в рамках существующих положений ЕПУС, ее целенаправленный предварительный анализ консультативного характера, позволяющий оценить функционирование этой политики, тем самым наполнив конкретным содержанием процесс разработки соответствующей политики ICANN</w:t>
      </w:r>
      <w:r w:rsidRPr="000D3353">
        <w:rPr>
          <w:vertAlign w:val="superscript"/>
        </w:rPr>
        <w:footnoteReference w:id="36"/>
      </w:r>
      <w:r>
        <w:t>.</w:t>
      </w:r>
    </w:p>
    <w:p w14:paraId="18F91AE0" w14:textId="53F5DCFA" w:rsidR="00C54079" w:rsidRPr="00B206F4" w:rsidRDefault="00C54079" w:rsidP="00C54079">
      <w:pPr>
        <w:widowControl w:val="0"/>
        <w:spacing w:before="240" w:after="240"/>
      </w:pPr>
      <w:r>
        <w:t>45.</w:t>
      </w:r>
      <w:r>
        <w:tab/>
        <w:t xml:space="preserve">В преддверии рассмотрения ЕПУС в рамках ICANN Центр проводит </w:t>
      </w:r>
      <w:hyperlink r:id="rId42" w:history="1">
        <w:r>
          <w:rPr>
            <w:rStyle w:val="Hyperlink"/>
          </w:rPr>
          <w:t>адресные консультации</w:t>
        </w:r>
      </w:hyperlink>
      <w:r>
        <w:t xml:space="preserve"> для подготовки отчета о судебной практике и оперативном опыте работы с ЕПУС в стремлении выявить области, в которых существует консенсус относительно рекомендаций по дальнейшей политике или модернизации практики.  На настоящий момент данный проект заключается в проведении международных консультаций с отраслевыми лидерами и экспертами для определения передовой практики, консенсуса и потенциальных областей для совершенствования ЕПУС.  Сейчас идет подготовка проекта отчета, который, как ожидается, будет представлен широкой общественности для внесения ею своего вклада; заключительный отчет будет передан на рассмотрение ICANN, в случае если GNSO будет заниматься пересмотром ЕПУС.</w:t>
      </w:r>
    </w:p>
    <w:p w14:paraId="2788BE32" w14:textId="77777777" w:rsidR="00C54079" w:rsidRPr="00B206F4" w:rsidRDefault="00C54079" w:rsidP="00C54079">
      <w:pPr>
        <w:pStyle w:val="Heading2"/>
        <w:ind w:left="540"/>
      </w:pPr>
      <w:r>
        <w:t>B.</w:t>
      </w:r>
      <w:r>
        <w:tab/>
        <w:t>НОВЫЕ РДВУ</w:t>
      </w:r>
    </w:p>
    <w:p w14:paraId="43F54E31" w14:textId="6214D014" w:rsidR="00C54079" w:rsidRDefault="00C54079" w:rsidP="00C54079">
      <w:pPr>
        <w:widowControl w:val="0"/>
        <w:spacing w:before="240" w:after="240"/>
      </w:pPr>
      <w:r>
        <w:t>46.</w:t>
      </w:r>
      <w:r>
        <w:tab/>
        <w:t>Подробная информация, касающаяся реализации программы введения новых рДВУ, официально одобренной ICANN в июне 2011 года</w:t>
      </w:r>
      <w:r w:rsidRPr="00B206F4">
        <w:rPr>
          <w:rStyle w:val="FootnoteReference"/>
        </w:rPr>
        <w:footnoteReference w:id="37"/>
      </w:r>
      <w:r>
        <w:t xml:space="preserve">, опубликована в регулярно переиздаваемом ICANN </w:t>
      </w:r>
      <w:hyperlink r:id="rId43" w:history="1">
        <w:r>
          <w:rPr>
            <w:rStyle w:val="Hyperlink"/>
          </w:rPr>
          <w:t>Руководстве для заявителя</w:t>
        </w:r>
      </w:hyperlink>
      <w:r>
        <w:t>.  Первые новые рДВУ в корневой зоне интернета были делегированы в октябре 2013 года; к 2021 году были делегированы почти все уникальные рДВУ (свыше 1200</w:t>
      </w:r>
      <w:r w:rsidRPr="00B206F4">
        <w:rPr>
          <w:vertAlign w:val="superscript"/>
        </w:rPr>
        <w:footnoteReference w:id="38"/>
      </w:r>
      <w:r>
        <w:t>), и остается ввести в действие лишь несколько.  Как представляется, вместе с этими новыми рДВУ в настоящее время зарегистрировано почти 42 млн доменов второго уровня</w:t>
      </w:r>
      <w:r w:rsidRPr="00B206F4">
        <w:rPr>
          <w:rStyle w:val="FootnoteReference"/>
        </w:rPr>
        <w:footnoteReference w:id="39"/>
      </w:r>
      <w:r>
        <w:t xml:space="preserve">.  В 2020 году ICANN завершила </w:t>
      </w:r>
      <w:r>
        <w:lastRenderedPageBreak/>
        <w:t>свой проект «Процесс разработки политики по последующим процедурам, применимым к новым рДВУ» (PDP)</w:t>
      </w:r>
      <w:r w:rsidRPr="00B206F4">
        <w:rPr>
          <w:rStyle w:val="FootnoteReference"/>
        </w:rPr>
        <w:footnoteReference w:id="40"/>
      </w:r>
      <w:r>
        <w:t xml:space="preserve">.  Хотя некоторые темы, например «Сокращение масштабов злоупотреблений DNS», остаются на рассмотрении, дальнейшая работа ICANN, включая рассмотрение Советом GNSO и Советом ICANN, была переориентирована на «этап функциональной разработки» в целях подготовки к запуску очередных раундов подачи заявок на новые рДВУ.  В июле 2023 года </w:t>
      </w:r>
      <w:hyperlink r:id="rId44" w:anchor="section1.b/" w:history="1">
        <w:r>
          <w:rPr>
            <w:rStyle w:val="Hyperlink"/>
          </w:rPr>
          <w:t>ICANN одобрила следующие раунды подачи заявок на новые рДВУ</w:t>
        </w:r>
      </w:hyperlink>
      <w:r>
        <w:t>, которые, по прогнозам, завершатся подготовкой следующего издания Руководства для заявителя в июле 2025 года и подачей заявок на новые рДВУ в апреле 2026 года.</w:t>
      </w:r>
    </w:p>
    <w:p w14:paraId="34C59953" w14:textId="4BAF3645" w:rsidR="00C54079" w:rsidRPr="004B7021" w:rsidRDefault="00C54079" w:rsidP="00C54079">
      <w:pPr>
        <w:widowControl w:val="0"/>
        <w:spacing w:before="240" w:after="240"/>
      </w:pPr>
      <w:r>
        <w:t>47.</w:t>
      </w:r>
      <w:r>
        <w:tab/>
        <w:t>Центр по-прежнему стремится сотрудничать с заинтересованными сторонами, стараясь обеспечить соблюдение общих принципов охраны ИС в новых рДВУ.  В результате нескольких заседаний комитетов ICANN и процедур создания новых рДВУ был выработан ряд МОП</w:t>
      </w:r>
      <w:r w:rsidRPr="0B1EA5E2">
        <w:rPr>
          <w:rStyle w:val="FootnoteReference"/>
        </w:rPr>
        <w:footnoteReference w:id="41"/>
      </w:r>
      <w:r>
        <w:t xml:space="preserve">.  Как указано, в частности, в документе </w:t>
      </w:r>
      <w:hyperlink r:id="rId45" w:history="1">
        <w:r>
          <w:rPr>
            <w:rStyle w:val="Hyperlink"/>
          </w:rPr>
          <w:t>SCT/46/3</w:t>
        </w:r>
      </w:hyperlink>
      <w:r>
        <w:t>, МОП для рДВУ, разработанные ICANN, включают «процедуру урегулирования споров до делегирования», когда владельцы товарных знаков могут направлять «возражения на основании юридических прав» (LRO) в отношении заявок на регистрацию новых рДВУ, предположительно нарушающих их права</w:t>
      </w:r>
      <w:r w:rsidRPr="0B1EA5E2">
        <w:rPr>
          <w:rStyle w:val="FootnoteReference"/>
        </w:rPr>
        <w:footnoteReference w:id="42"/>
      </w:r>
      <w:r>
        <w:t>, и «процедуру урегулирования споров после делегирования» (PDDRP), которая позволяет подавать жалобы на оператора утвержденного реестра новых рДВУ, чьи действия по управлению реестром предположительно привели к нарушениям прав на товарные знаки или в значительной степени способствовали таким нарушениям</w:t>
      </w:r>
      <w:r w:rsidRPr="00B206F4">
        <w:rPr>
          <w:vertAlign w:val="superscript"/>
        </w:rPr>
        <w:footnoteReference w:id="43"/>
      </w:r>
      <w:r>
        <w:t xml:space="preserve">.  Недавно </w:t>
      </w:r>
      <w:hyperlink r:id="rId46" w:history="1">
        <w:r>
          <w:rPr>
            <w:rStyle w:val="Hyperlink"/>
          </w:rPr>
          <w:t>ICANN обратилась с просьбой предоставить информацию</w:t>
        </w:r>
      </w:hyperlink>
      <w:r>
        <w:t xml:space="preserve"> о процедурах урегулирования споров и подачи апелляций в связи с ожидаемым запуском следующего раунда новых рДВУ в апреле 2026 года.  С учетом экспертных знаний и опыта, полученного в ходе предыдущего раунда новых рДВУ, Центр подтвердил свое намерение и готовность предоставлять услуги по урегулированию споров в ходе следующего раунда LRO, а также по возражениям на основании смешения в доменной строке.  Центр продолжает отслеживать и поддерживать справедливое и предсказуемое делегирование новых рДВУ, а также возражения, связанные с товарными знаками, чтобы обеспечить надлежащий учет прав интеллектуальной собственности и споров в процессе делегирования ICANN.  Что касается МОП для доменов второго уровня, программа ICANN по введению новых рДВУ предусматривает создание Центра обмена информацией о товарных знаках (ЦОИТЗ), который будет выполнять роль централизованного хранилища проверенных данных о товарных знаках, которые могут использоваться в качестве основания для применения МОП к новым рДВУ.  Кроме того, хотя ЕПУС и остается доступным инструментом для урегулирования споров в отношении новых рДВУ, связанных с запросом на передачу спорного доменного имени владельцу товарного знака, ICANN ввела Единую систему ускоренного приостановления действия на</w:t>
      </w:r>
      <w:r w:rsidR="00CE03E1" w:rsidRPr="00CE03E1">
        <w:t xml:space="preserve"> </w:t>
      </w:r>
      <w:r>
        <w:t xml:space="preserve">временной основе, которая должна стать более удобным для пользователей МОП для </w:t>
      </w:r>
      <w:r>
        <w:lastRenderedPageBreak/>
        <w:t>доменов второго уровня в соответствующих случаях</w:t>
      </w:r>
      <w:r w:rsidRPr="00D03DD1">
        <w:rPr>
          <w:rStyle w:val="FootnoteReference"/>
        </w:rPr>
        <w:footnoteReference w:id="44"/>
      </w:r>
      <w:r>
        <w:t xml:space="preserve">. </w:t>
      </w:r>
    </w:p>
    <w:p w14:paraId="1B97D1BB" w14:textId="77777777" w:rsidR="00C54079" w:rsidRPr="00F17916" w:rsidRDefault="00C54079" w:rsidP="00C54079">
      <w:pPr>
        <w:pStyle w:val="Heading2"/>
        <w:ind w:left="540"/>
      </w:pPr>
      <w:r>
        <w:t>C.</w:t>
      </w:r>
      <w:r>
        <w:tab/>
        <w:t>РЕГЛАМЕНТ В ОТНОШЕНИИ КОНФИДЕНЦИАЛЬНОСТИ И БАЗА ДАННЫХ WHOIS / Протокол доступа к регистрационным данным (RDAP)</w:t>
      </w:r>
    </w:p>
    <w:p w14:paraId="2A55BED6" w14:textId="77113618" w:rsidR="00CE03E1" w:rsidRDefault="00C54079" w:rsidP="00C54079">
      <w:pPr>
        <w:widowControl w:val="0"/>
        <w:spacing w:before="240"/>
      </w:pPr>
      <w:r>
        <w:t>48.</w:t>
      </w:r>
      <w:r>
        <w:tab/>
        <w:t>В результате принятия Европейским союзом Общего регламента по защите данных</w:t>
      </w:r>
      <w:r w:rsidR="00CE03E1">
        <w:rPr>
          <w:lang w:val="en-US"/>
        </w:rPr>
        <w:t> </w:t>
      </w:r>
      <w:r>
        <w:t>(GDPR)</w:t>
      </w:r>
      <w:r w:rsidRPr="00F17916">
        <w:rPr>
          <w:rStyle w:val="FootnoteReference"/>
        </w:rPr>
        <w:footnoteReference w:id="45"/>
      </w:r>
      <w:r>
        <w:t>, вступившего в силу 25 мая 2018 года, из открытых данных, доступных через протокол WhoIs, как правило, сегодня исключаются полные персональные данные регистрантов доменных имен.  Теперь значительная часть публичных данных WhoIs скрыта, а доступные данные часто ограничиваются информацией об организации (для юридических лиц) и стране регистранта.  Кроме того, на практике в большинстве регистрационных данных в качестве владельца зарегистрированного имени (регистранта) в настоящее время указывается «конфиденциальность» или «прокси».  Однако для упрощения контакта с регистрантом доменного имени регистратор обязан указывать обезличенный адрес электронной почты или предоставлять форму для обратной связи.  Кроме того, в тех случаях, когда поданная по процедуре ЕПУС жалоба передается провайдеру ЕПУС, ICANN требует от регистраторов предоставить контактную информацию регистранта по запросу такого провайдера (в то же время, «запирая» регистрацию доменного имени и подробную информацию о регистраторе) в соответствии с надлежащими процедурами, предусмотренными правилами ЕПУС.  Во «временных условиях [контракта]», установленных ICANN применительно к регистрации данных для рДВУ, четко прописано, что регистратор должен предоставить полные «данные о регистрации» провайдеру ЕПУС</w:t>
      </w:r>
      <w:r w:rsidRPr="0B1EA5E2">
        <w:rPr>
          <w:rStyle w:val="FootnoteReference"/>
        </w:rPr>
        <w:footnoteReference w:id="46"/>
      </w:r>
      <w:r>
        <w:t>.  При этом, судя по всему, предполагается, что провайдеры ЕПУС  соответствуют критериям статьи 6(1)(f) («законные цели») и статьи</w:t>
      </w:r>
      <w:r w:rsidR="00CE03E1">
        <w:rPr>
          <w:lang w:val="en-US"/>
        </w:rPr>
        <w:t> </w:t>
      </w:r>
      <w:r>
        <w:t>6(1)(b) («исполнение контракта») Общего регламента</w:t>
      </w:r>
      <w:r w:rsidRPr="0B1EA5E2">
        <w:rPr>
          <w:rStyle w:val="FootnoteReference"/>
        </w:rPr>
        <w:footnoteReference w:id="47"/>
      </w:r>
      <w:r>
        <w:t xml:space="preserve">, вследствие чего регистраторы обязаны предоставлять провайдерам ЕПУС информацию из базы данных WhoIs.  В июле 2018 года GNSO инициировала ускоренный процесс формирования политики (EPDP) в целях проведения обзора «временных условий [контракта]» и обсуждения стандартизированной модели доступа к непубличным регистрационным данным.  В июле 2020 года Совету GNSO был представлен итоговый отчет, содержащий </w:t>
      </w:r>
      <w:hyperlink r:id="rId47" w:history="1">
        <w:r>
          <w:rPr>
            <w:rStyle w:val="Hyperlink"/>
          </w:rPr>
          <w:t>рекомендации группы по EPDP, касающиеся системы стандартизированного доступа/раскрытия данных (SSAD)</w:t>
        </w:r>
      </w:hyperlink>
      <w:r>
        <w:t>, в отношении которой правительствами и субъектами сферы ИС был высказан</w:t>
      </w:r>
      <w:r w:rsidR="00CE03E1" w:rsidRPr="00CE03E1">
        <w:t xml:space="preserve"> </w:t>
      </w:r>
      <w:r>
        <w:t>ряд вопросов и в отношении которой все еще продолжаются консультации.  Центр продолжает внимательно следить за ходом продолжающихся обсуждений в отношении политики SSAD</w:t>
      </w:r>
      <w:r w:rsidRPr="0B1EA5E2">
        <w:rPr>
          <w:rStyle w:val="FootnoteReference"/>
        </w:rPr>
        <w:footnoteReference w:id="48"/>
      </w:r>
      <w:r>
        <w:t>.</w:t>
      </w:r>
    </w:p>
    <w:p w14:paraId="4D7A4900" w14:textId="77777777" w:rsidR="00CE03E1" w:rsidRDefault="00CE03E1">
      <w:r>
        <w:br w:type="page"/>
      </w:r>
    </w:p>
    <w:p w14:paraId="3686F1A8" w14:textId="2AD8787C" w:rsidR="00C54079" w:rsidRPr="00F17916" w:rsidRDefault="00C54079" w:rsidP="00C54079">
      <w:pPr>
        <w:widowControl w:val="0"/>
        <w:spacing w:before="240"/>
        <w:rPr>
          <w:szCs w:val="22"/>
        </w:rPr>
      </w:pPr>
      <w:r>
        <w:lastRenderedPageBreak/>
        <w:t>49.</w:t>
      </w:r>
      <w:r>
        <w:tab/>
        <w:t xml:space="preserve">Совсем недавно ICANN запустила </w:t>
      </w:r>
      <w:hyperlink r:id="rId48" w:history="1">
        <w:r>
          <w:rPr>
            <w:rStyle w:val="Hyperlink"/>
          </w:rPr>
          <w:t>Службу оформления заявок на получение регистрационных данных (RDRS)</w:t>
        </w:r>
      </w:hyperlink>
      <w:r>
        <w:t xml:space="preserve">, которая представляет собой новую централизованную службу, предусматривающую последовательную и стандартизированную процедуру направления запросов участвующим регистраторам на доступ к непубличным регистрационным данным, связанным с рДВУ.  Прошла половина срока работы этой службы в пилотном режиме, и остаются серьезные вопросы относительно ее будущего.  Центр обновил </w:t>
      </w:r>
      <w:hyperlink r:id="rId49" w:history="1">
        <w:r>
          <w:rPr>
            <w:rStyle w:val="Hyperlink"/>
          </w:rPr>
          <w:t>веб-страницу с вопросами и ответами</w:t>
        </w:r>
      </w:hyperlink>
      <w:r>
        <w:t xml:space="preserve"> для</w:t>
      </w:r>
      <w:r w:rsidR="00CE03E1" w:rsidRPr="00CE03E1">
        <w:t xml:space="preserve"> </w:t>
      </w:r>
      <w:r>
        <w:t xml:space="preserve">информирования публики о службе RDRS ICANN и обсуждает потенциальные последствия для рассмотрения дел на основе ЕПУС.  Затронув некоторые аспекты вопросов, связанных с EPDP и WhoIs, Европейский союз принял </w:t>
      </w:r>
      <w:hyperlink r:id="rId50" w:history="1">
        <w:r>
          <w:rPr>
            <w:rStyle w:val="Hyperlink"/>
          </w:rPr>
          <w:t>пересмотренную Директиву о мерах кибербезопасности высокого уровня в ЕС</w:t>
        </w:r>
        <w:hyperlink r:id="rId51" w:history="1">
          <w:r w:rsidR="004E0382" w:rsidRPr="004E0382">
            <w:rPr>
              <w:rStyle w:val="Hyperlink"/>
            </w:rPr>
            <w:t>https://digital-strategy.ec.europa.eu/en/policies/nis2-directive</w:t>
          </w:r>
        </w:hyperlink>
      </w:hyperlink>
      <w:r>
        <w:t xml:space="preserve"> (Директива NIS2), которая должна быть перенесена в национальное законодательство государств</w:t>
      </w:r>
      <w:r w:rsidR="00CE03E1">
        <w:rPr>
          <w:lang w:val="en-US"/>
        </w:rPr>
        <w:t> </w:t>
      </w:r>
      <w:r>
        <w:t>– членов ЕС и которая, как ожидается, потенциально может повлиять на практику и запросы в рамках WhoIs.  В этой связи следует отметить, что Европейский совет по защите данных выпустил ряд руководств, рекомендаций и мер передовой практики в области конфиденциальности и защиты данных</w:t>
      </w:r>
      <w:r w:rsidRPr="00F17916">
        <w:rPr>
          <w:rStyle w:val="FootnoteReference"/>
        </w:rPr>
        <w:footnoteReference w:id="49"/>
      </w:r>
      <w:r>
        <w:t>.</w:t>
      </w:r>
    </w:p>
    <w:p w14:paraId="71F192AB" w14:textId="17857D4D" w:rsidR="00C54079" w:rsidRPr="00F17916" w:rsidRDefault="008264FB" w:rsidP="00C54079">
      <w:pPr>
        <w:widowControl w:val="0"/>
        <w:spacing w:before="240" w:after="240"/>
        <w:rPr>
          <w:szCs w:val="22"/>
        </w:rPr>
      </w:pPr>
      <w:r>
        <w:t>50.</w:t>
      </w:r>
      <w:r>
        <w:tab/>
        <w:t xml:space="preserve">Центр продолжает внимательно следить за тем, как регламенты по защите данных влияют на применение процедур ЕПУС.  Помимо выполнения Центром своих функций, связанных с ЕПУС, для решения более широких задач защиты прав ИС в связи с введением GDPR, как отмечается выше в отношении предлагаемой SSAD для направления запросов к базе данных WhoIs, продолжается ряд обсуждений по вопросу о </w:t>
      </w:r>
      <w:hyperlink r:id="rId52" w:history="1">
        <w:r>
          <w:rPr>
            <w:rStyle w:val="Hyperlink"/>
          </w:rPr>
          <w:t>возможной модели «аккредитации и доступа»</w:t>
        </w:r>
      </w:hyperlink>
      <w:r>
        <w:t xml:space="preserve"> применительно к Whols, включая вопрос о потенциальной роли ВОИС в сертификации владельцев ИС для получения такого доступа.</w:t>
      </w:r>
    </w:p>
    <w:p w14:paraId="5B94A5C0" w14:textId="75AB17C4" w:rsidR="00C54079" w:rsidRPr="004B7021" w:rsidRDefault="00C54079" w:rsidP="00C54079">
      <w:pPr>
        <w:widowControl w:val="0"/>
        <w:spacing w:before="240" w:after="240"/>
        <w:rPr>
          <w:szCs w:val="22"/>
        </w:rPr>
      </w:pPr>
      <w:r>
        <w:t>51.</w:t>
      </w:r>
      <w:r>
        <w:tab/>
        <w:t>После обсуждения терминологии, протоколов и безопасности WhoIs ICANN в 2015 и 2016 годах опубликовала проекты профилей протокола доступа к регистрационным данным (RDAP) для рДВУ</w:t>
      </w:r>
      <w:r w:rsidRPr="00F17916">
        <w:rPr>
          <w:rStyle w:val="FootnoteReference"/>
        </w:rPr>
        <w:footnoteReference w:id="50"/>
      </w:r>
      <w:r>
        <w:t>.  Группа заинтересованных реестров рДВУ при поддержке Группы заинтересованных регистрантов предложила скорректированный план RDAP, согласно которому первый этап пилотной программы должен начаться в 2017 году.  В 2019 году ICANN направила реестрам и регистрантам рДВУ уведомление с требованием внедрить сервис RDAP до 26 августа 2019 года.  Срок, определенный для внедрения RDAP в эксплуатацию, начался в августе 2023 года, а завершился в феврале 2024 года.  Для протокола WhoIs была установлена дата окончательного вывода из эксплуатации (28</w:t>
      </w:r>
      <w:r w:rsidR="00CE03E1">
        <w:rPr>
          <w:lang w:val="en-US"/>
        </w:rPr>
        <w:t> </w:t>
      </w:r>
      <w:r>
        <w:t>января 2025 года), день, после которого система протокола RDAP становится обязательно</w:t>
      </w:r>
      <w:r w:rsidR="00CE03E1">
        <w:t>й</w:t>
      </w:r>
      <w:r>
        <w:t>, а старая система протокола WhoIs – факультативной</w:t>
      </w:r>
      <w:r w:rsidRPr="00F17916">
        <w:rPr>
          <w:rStyle w:val="FootnoteReference"/>
        </w:rPr>
        <w:footnoteReference w:id="51"/>
      </w:r>
      <w:r>
        <w:t>.  Центр продолжает отслеживать доступ к регистрационным данным и влияние перехода с WhoIs на RDAP.</w:t>
      </w:r>
    </w:p>
    <w:p w14:paraId="70A7ABDC" w14:textId="77777777" w:rsidR="00C54079" w:rsidRPr="005B4F4B" w:rsidRDefault="00C54079" w:rsidP="00C54079">
      <w:pPr>
        <w:pStyle w:val="Heading2"/>
        <w:ind w:left="540"/>
      </w:pPr>
      <w:r>
        <w:t>D.</w:t>
      </w:r>
      <w:r>
        <w:tab/>
        <w:t>ДРУГИЕ ИДЕНТИФИКАТОРЫ</w:t>
      </w:r>
    </w:p>
    <w:p w14:paraId="6B791373" w14:textId="08AFC092" w:rsidR="00CE03E1" w:rsidRDefault="00C54079" w:rsidP="00C54079">
      <w:pPr>
        <w:spacing w:before="240" w:after="240"/>
      </w:pPr>
      <w:r>
        <w:t>52.</w:t>
      </w:r>
      <w:r>
        <w:tab/>
        <w:t>В контексте упомянутых выше инициатив в ICANN идут и другие процессы, касающиеся охраны идентификаторов, не связанных с товарными знаками.</w:t>
      </w:r>
    </w:p>
    <w:p w14:paraId="597B5F27" w14:textId="77777777" w:rsidR="00CE03E1" w:rsidRDefault="00CE03E1">
      <w:r>
        <w:br w:type="page"/>
      </w:r>
    </w:p>
    <w:p w14:paraId="1EEC1EC9" w14:textId="77777777" w:rsidR="00C54079" w:rsidRPr="005B4F4B" w:rsidRDefault="00C54079" w:rsidP="00C54079">
      <w:pPr>
        <w:pStyle w:val="Heading3"/>
        <w:keepNext w:val="0"/>
        <w:widowControl w:val="0"/>
        <w:spacing w:after="220"/>
        <w:ind w:left="562" w:firstLine="562"/>
      </w:pPr>
      <w:r>
        <w:rPr>
          <w:u w:val="none"/>
        </w:rPr>
        <w:lastRenderedPageBreak/>
        <w:t>(a)</w:t>
      </w:r>
      <w:r>
        <w:rPr>
          <w:u w:val="none"/>
        </w:rPr>
        <w:tab/>
      </w:r>
      <w:r>
        <w:t>Международные межправительственные организации (МПО)</w:t>
      </w:r>
    </w:p>
    <w:p w14:paraId="6365D02C" w14:textId="56C43C69" w:rsidR="00C54079" w:rsidRPr="004B7021" w:rsidRDefault="00C54079" w:rsidP="00C54079">
      <w:pPr>
        <w:rPr>
          <w:szCs w:val="22"/>
        </w:rPr>
      </w:pPr>
      <w:r>
        <w:t>53.</w:t>
      </w:r>
      <w:r>
        <w:tab/>
        <w:t xml:space="preserve">Как уже отмечалось, в частности, в </w:t>
      </w:r>
      <w:hyperlink r:id="rId53" w:history="1">
        <w:r>
          <w:rPr>
            <w:rStyle w:val="Hyperlink"/>
          </w:rPr>
          <w:t>документе SCT/46/3</w:t>
        </w:r>
      </w:hyperlink>
      <w:r>
        <w:t>, Рабочая группа ICANN выработала ряд рекомендаций по предоставлению МПО доступа к ЕПУС, и эти рекомендации были единогласно одобрены Советом GNSO 27 сентября 2018 года.  Двадцать седьмого января 2019 года эти рекомендации были приняты Советом ICANN, и Корпорации было поручено приступить к их реализации.  На данный момент работа ICANN по реализации этих рекомендаций еще не завершена.  Вместе с другими вовлеченными МПО Центр продолжает внимательно следить за развитием событий, связанных с реализацией этого многолетнего проекта ICANN, осуществление которого, как ожидается, начнется в течение 2025 года.</w:t>
      </w:r>
    </w:p>
    <w:p w14:paraId="53F008F1" w14:textId="77777777" w:rsidR="00C54079" w:rsidRPr="005B4F4B" w:rsidRDefault="00C54079" w:rsidP="00C54079">
      <w:pPr>
        <w:pStyle w:val="Heading3"/>
        <w:ind w:left="567" w:firstLine="567"/>
        <w:rPr>
          <w:u w:val="none"/>
        </w:rPr>
      </w:pPr>
      <w:r>
        <w:rPr>
          <w:u w:val="none"/>
        </w:rPr>
        <w:t>(b)</w:t>
      </w:r>
      <w:r>
        <w:rPr>
          <w:u w:val="none"/>
        </w:rPr>
        <w:tab/>
      </w:r>
      <w:r>
        <w:t>Географические термины</w:t>
      </w:r>
    </w:p>
    <w:p w14:paraId="3A93E10A" w14:textId="1CBD7F0C" w:rsidR="00C54079" w:rsidRDefault="00C54079" w:rsidP="00C54079">
      <w:pPr>
        <w:spacing w:before="240" w:after="240"/>
        <w:ind w:right="-143"/>
        <w:rPr>
          <w:szCs w:val="22"/>
        </w:rPr>
      </w:pPr>
      <w:r>
        <w:t>54.</w:t>
      </w:r>
      <w:r>
        <w:tab/>
        <w:t>В области охраны географических терминов ПКК, в частности, выразил обеспокоенность по поводу их использования и охраны в новых рДВУ</w:t>
      </w:r>
      <w:r w:rsidRPr="00F17916">
        <w:rPr>
          <w:vertAlign w:val="superscript"/>
        </w:rPr>
        <w:footnoteReference w:id="52"/>
      </w:r>
      <w:r>
        <w:t>.  Что касается верхнего уровня</w:t>
      </w:r>
      <w:r w:rsidRPr="00F17916">
        <w:rPr>
          <w:rStyle w:val="FootnoteReference"/>
        </w:rPr>
        <w:footnoteReference w:id="53"/>
      </w:r>
      <w:r>
        <w:t>, то Руководство для заявителя ICANN предусматривает, что «заявки на регистрацию доменных строк, представляющих собой названия стран или территорий, не будут утверждаться, поскольку в соответствии с программой ввода новых рДВУ они не предоставляются в ходе данного раунда приема заявок»</w:t>
      </w:r>
      <w:r w:rsidRPr="00F17916">
        <w:rPr>
          <w:rStyle w:val="FootnoteReference"/>
        </w:rPr>
        <w:footnoteReference w:id="54"/>
      </w:r>
      <w:r>
        <w:t>. К заявкам на регистрацию доменных строк, которые ICANN относит к группе «некоторых иных географических наименований», например названия столиц стран мира, должны прилагаться документы, подтверждающие, что правительства или государственные органы соответствующих стран поддерживают такие заявки или не имеют возражений против использования таких наименований.  Ожидается, что новая версия Руководства для заявителя ICANN для заявителя будет опубликована в мае 2025 года</w:t>
      </w:r>
      <w:r w:rsidRPr="00F17916">
        <w:rPr>
          <w:rStyle w:val="FootnoteReference"/>
        </w:rPr>
        <w:footnoteReference w:id="55"/>
      </w:r>
      <w:r>
        <w:t>.</w:t>
      </w:r>
    </w:p>
    <w:p w14:paraId="562D0E27" w14:textId="5F231A8E" w:rsidR="00C54079" w:rsidRPr="004B7021" w:rsidRDefault="00C54079" w:rsidP="00C54079">
      <w:pPr>
        <w:spacing w:before="240" w:after="240"/>
        <w:ind w:right="-143"/>
        <w:rPr>
          <w:szCs w:val="22"/>
        </w:rPr>
      </w:pPr>
      <w:r>
        <w:t>55.</w:t>
      </w:r>
      <w:r>
        <w:tab/>
        <w:t>Члены ПКК сформулировали также другие оговорки относительно числа заявок на создание новых рДВУ, ссылаясь на соответствие географическим или иным «чувствительным» терминам, и рекомендовали Совету ICANN не выходить за пределы их первоначальной оценки и запросили у Совета разъяснения насчет возможностей для заявителей вносить исправления в собственные заявки на создание новых рДВУ для учета конкретных вопросов, вызывающих озабоченность ПКК</w:t>
      </w:r>
      <w:r w:rsidRPr="0B1EA5E2">
        <w:rPr>
          <w:rStyle w:val="FootnoteReference"/>
        </w:rPr>
        <w:footnoteReference w:id="56"/>
      </w:r>
      <w:r>
        <w:t>.</w:t>
      </w:r>
    </w:p>
    <w:p w14:paraId="1984DFFD" w14:textId="78484440" w:rsidR="00C54079" w:rsidRPr="00365196" w:rsidRDefault="00C54079" w:rsidP="00C54079">
      <w:pPr>
        <w:rPr>
          <w:szCs w:val="22"/>
        </w:rPr>
      </w:pPr>
      <w:r>
        <w:lastRenderedPageBreak/>
        <w:t>56.</w:t>
      </w:r>
      <w:r>
        <w:tab/>
        <w:t xml:space="preserve">Что касается возможных будущих раундов делегирования новых рДВУ, то так называемая «сквозная» рабочая группа по направлению работы № 5 представила Рабочей группе по последующим процедурам, применимым к новым рДВУ (PDP), </w:t>
      </w:r>
      <w:hyperlink r:id="rId54" w:history="1">
        <w:r>
          <w:rPr>
            <w:rStyle w:val="Hyperlink"/>
          </w:rPr>
          <w:t xml:space="preserve">итоговый отчет </w:t>
        </w:r>
      </w:hyperlink>
      <w:r>
        <w:t xml:space="preserve"> на тему географических названий на верхнем уровне.  Хотя в целом, как представляется, следующий раунд приема заявок ICANN, вероятно, сохранит статус раунда 2014 года, более общая тема географических названий остается актуальным вопросом для целого</w:t>
      </w:r>
      <w:r w:rsidR="00725644">
        <w:t xml:space="preserve"> </w:t>
      </w:r>
      <w:r>
        <w:t>ряда партнеров ICANN, в том числе для правительств и потенциальных заявителей</w:t>
      </w:r>
      <w:r w:rsidRPr="0B1EA5E2">
        <w:rPr>
          <w:rStyle w:val="FootnoteReference"/>
        </w:rPr>
        <w:footnoteReference w:id="57"/>
      </w:r>
      <w:r>
        <w:t>.</w:t>
      </w:r>
      <w:bookmarkStart w:id="13" w:name="_Hlk156398678"/>
    </w:p>
    <w:bookmarkEnd w:id="13"/>
    <w:p w14:paraId="19919D04" w14:textId="5027DB7F" w:rsidR="00725644" w:rsidRDefault="00C54079" w:rsidP="00C54079">
      <w:pPr>
        <w:spacing w:before="240" w:after="240"/>
        <w:ind w:right="-143"/>
      </w:pPr>
      <w:r>
        <w:t>57.</w:t>
      </w:r>
      <w:r>
        <w:tab/>
        <w:t>В декабре 2016</w:t>
      </w:r>
      <w:r w:rsidR="00725644">
        <w:t xml:space="preserve"> </w:t>
      </w:r>
      <w:r>
        <w:t>года ICANN санкционировал выдачу всех ранее зарезервированных двухсимвольных доменных имен на втором уровне в новых рДВУ при условии, что операторы реестров установят 30-дневный срок для выкупа соответствующими правительствами таких доменных имен, потребуют от регистрантов взять обязательства не создавать в результате использования таких двухсимвольных доменных имен ошибочного впечатления, что они связны с государственными органами, и обеспечат процедуру рассмотрения жалоб после регистрации</w:t>
      </w:r>
      <w:r w:rsidRPr="0B1EA5E2">
        <w:rPr>
          <w:rStyle w:val="FootnoteReference"/>
        </w:rPr>
        <w:footnoteReference w:id="58"/>
      </w:r>
      <w:r>
        <w:t xml:space="preserve">.  В этой связи Центр </w:t>
      </w:r>
      <w:hyperlink r:id="rId55" w:history="1">
        <w:r>
          <w:rPr>
            <w:rStyle w:val="Hyperlink"/>
          </w:rPr>
          <w:t>представил комментарии ICANN</w:t>
        </w:r>
      </w:hyperlink>
      <w:r>
        <w:t>, отметив, что Второй процесс в рамках ВОИС по доменным именам в интернете рассмотрел возможность изучения мер для применения ЕПУС к регистрациям на третьем уровне с целью уменьшить вероятность злоупотреблений в отношении товарных знаков.  ICANN не отреагировала на эти комментарии Центра.  После упомянутой выше выдачи доменных имен ICANN, в том числе в ходе недавно состоявшихся обсуждений, некоторые члены ПКК обратились к ICANN с просьбой предоставить согласованную информацию о соответствующих запросах и делегированиях</w:t>
      </w:r>
      <w:r w:rsidRPr="00F17916">
        <w:rPr>
          <w:rStyle w:val="FootnoteReference"/>
        </w:rPr>
        <w:footnoteReference w:id="59"/>
      </w:r>
      <w:r>
        <w:t>.  Ожидается, что аналогичная процедура может быть использована применительно к названиям стран на втором уровне (в настоящее время остается заблокированной).</w:t>
      </w:r>
    </w:p>
    <w:p w14:paraId="157FD8BE" w14:textId="77777777" w:rsidR="00725644" w:rsidRDefault="00725644">
      <w:r>
        <w:br w:type="page"/>
      </w:r>
    </w:p>
    <w:p w14:paraId="02416D76" w14:textId="755E4BCC" w:rsidR="00C54079" w:rsidRPr="004B7021" w:rsidRDefault="00C54079" w:rsidP="00C54079">
      <w:pPr>
        <w:spacing w:before="240" w:after="240"/>
        <w:rPr>
          <w:szCs w:val="24"/>
        </w:rPr>
      </w:pPr>
      <w:r>
        <w:lastRenderedPageBreak/>
        <w:t>58.</w:t>
      </w:r>
      <w:r>
        <w:tab/>
        <w:t>Центр</w:t>
      </w:r>
      <w:r w:rsidR="00725644">
        <w:t xml:space="preserve"> прилагает все усилия к тому, чтобы</w:t>
      </w:r>
      <w:r>
        <w:t xml:space="preserve"> информировать соответствующие отделы Секретариата</w:t>
      </w:r>
      <w:r w:rsidR="00725644" w:rsidRPr="00725644">
        <w:t xml:space="preserve"> </w:t>
      </w:r>
      <w:r w:rsidR="00725644">
        <w:t>по этим и другим вопросам, относящимся к DNS,</w:t>
      </w:r>
      <w:r>
        <w:t xml:space="preserve"> в том числе в порядке поддержки работы Постоянного комитета по законодательству в области товарных знаков, промышленных образцов и географических указаний (ПКТЗ)</w:t>
      </w:r>
      <w:r w:rsidRPr="0B1EA5E2">
        <w:rPr>
          <w:rStyle w:val="FootnoteReference"/>
        </w:rPr>
        <w:footnoteReference w:id="60"/>
      </w:r>
      <w:r>
        <w:t>.  Секретариат будет продолжать следить за развитием ситуации в этой области и высказывать свои соображения по мере целесообразности.</w:t>
      </w:r>
    </w:p>
    <w:p w14:paraId="2310F487" w14:textId="42CC7159" w:rsidR="00C54079" w:rsidRPr="006F6660" w:rsidRDefault="00C54079" w:rsidP="00725644">
      <w:pPr>
        <w:pStyle w:val="DecisionInvitingPara"/>
        <w:spacing w:after="480"/>
        <w:contextualSpacing w:val="0"/>
        <w:rPr>
          <w:rFonts w:cs="Arial"/>
          <w:sz w:val="22"/>
        </w:rPr>
      </w:pPr>
      <w:r>
        <w:rPr>
          <w:sz w:val="22"/>
        </w:rPr>
        <w:t>59.</w:t>
      </w:r>
      <w:r>
        <w:tab/>
      </w:r>
      <w:r>
        <w:rPr>
          <w:sz w:val="22"/>
        </w:rPr>
        <w:t>Генеральной Ассамблее ВОИС предлагается принять к сведению содержание документа «Центр ВОИС по арбитражу и посредничеству, включая доменные имена» (документ WO/GA/58/11).</w:t>
      </w:r>
    </w:p>
    <w:p w14:paraId="4CA2A31B" w14:textId="7CABA457" w:rsidR="002928D3" w:rsidRDefault="00C54079" w:rsidP="0042648F">
      <w:pPr>
        <w:pStyle w:val="DecisionInvitingPara"/>
        <w:spacing w:before="120"/>
        <w:ind w:left="5530"/>
      </w:pPr>
      <w:r>
        <w:rPr>
          <w:i w:val="0"/>
          <w:sz w:val="22"/>
        </w:rPr>
        <w:t>[Конец документа]</w:t>
      </w:r>
    </w:p>
    <w:sectPr w:rsidR="002928D3" w:rsidSect="00C54079">
      <w:headerReference w:type="default" r:id="rId5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29B8" w14:textId="77777777" w:rsidR="00D078B4" w:rsidRDefault="00D078B4">
      <w:r>
        <w:separator/>
      </w:r>
    </w:p>
  </w:endnote>
  <w:endnote w:type="continuationSeparator" w:id="0">
    <w:p w14:paraId="3A21051F" w14:textId="77777777" w:rsidR="00D078B4" w:rsidRDefault="00D078B4" w:rsidP="003B38C1">
      <w:r>
        <w:separator/>
      </w:r>
    </w:p>
    <w:p w14:paraId="1FCE5A38" w14:textId="77777777" w:rsidR="00D078B4" w:rsidRPr="004E0382" w:rsidRDefault="00D078B4" w:rsidP="003B38C1">
      <w:pPr>
        <w:spacing w:after="60"/>
        <w:rPr>
          <w:sz w:val="17"/>
          <w:lang w:val="en-US"/>
        </w:rPr>
      </w:pPr>
      <w:r w:rsidRPr="004E0382">
        <w:rPr>
          <w:sz w:val="17"/>
          <w:lang w:val="en-US"/>
        </w:rPr>
        <w:t>[Endnote continued from previous page]</w:t>
      </w:r>
    </w:p>
  </w:endnote>
  <w:endnote w:type="continuationNotice" w:id="1">
    <w:p w14:paraId="0C7C7A88" w14:textId="77777777" w:rsidR="00D078B4" w:rsidRPr="004E0382" w:rsidRDefault="00D078B4" w:rsidP="003B38C1">
      <w:pPr>
        <w:spacing w:before="60"/>
        <w:jc w:val="right"/>
        <w:rPr>
          <w:sz w:val="17"/>
          <w:szCs w:val="17"/>
          <w:lang w:val="en-US"/>
        </w:rPr>
      </w:pPr>
      <w:r w:rsidRPr="004E0382">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4EA1" w14:textId="77777777" w:rsidR="00D078B4" w:rsidRDefault="00D078B4">
      <w:r>
        <w:separator/>
      </w:r>
    </w:p>
  </w:footnote>
  <w:footnote w:type="continuationSeparator" w:id="0">
    <w:p w14:paraId="5D19F06D" w14:textId="77777777" w:rsidR="00D078B4" w:rsidRDefault="00D078B4" w:rsidP="008B60B2">
      <w:r>
        <w:separator/>
      </w:r>
    </w:p>
    <w:p w14:paraId="47297444" w14:textId="77777777" w:rsidR="00D078B4" w:rsidRPr="004E0382" w:rsidRDefault="00D078B4" w:rsidP="008B60B2">
      <w:pPr>
        <w:spacing w:after="60"/>
        <w:rPr>
          <w:sz w:val="17"/>
          <w:szCs w:val="17"/>
          <w:lang w:val="en-US"/>
        </w:rPr>
      </w:pPr>
      <w:r w:rsidRPr="004E0382">
        <w:rPr>
          <w:sz w:val="17"/>
          <w:szCs w:val="17"/>
          <w:lang w:val="en-US"/>
        </w:rPr>
        <w:t>[Footnote continued from previous page]</w:t>
      </w:r>
    </w:p>
  </w:footnote>
  <w:footnote w:type="continuationNotice" w:id="1">
    <w:p w14:paraId="65CD296A" w14:textId="77777777" w:rsidR="00D078B4" w:rsidRPr="004E0382" w:rsidRDefault="00D078B4" w:rsidP="008B60B2">
      <w:pPr>
        <w:spacing w:before="60"/>
        <w:jc w:val="right"/>
        <w:rPr>
          <w:sz w:val="17"/>
          <w:szCs w:val="17"/>
          <w:lang w:val="en-US"/>
        </w:rPr>
      </w:pPr>
      <w:r w:rsidRPr="004E0382">
        <w:rPr>
          <w:sz w:val="17"/>
          <w:szCs w:val="17"/>
          <w:lang w:val="en-US"/>
        </w:rPr>
        <w:t>[Footnote continued on next page]</w:t>
      </w:r>
    </w:p>
  </w:footnote>
  <w:footnote w:id="2">
    <w:p w14:paraId="4995DA4E" w14:textId="26CCA6E4" w:rsidR="00C54079" w:rsidRPr="00C54079" w:rsidRDefault="00C54079" w:rsidP="00C54079">
      <w:pPr>
        <w:pStyle w:val="FootnoteText"/>
        <w:rPr>
          <w:szCs w:val="18"/>
        </w:rPr>
      </w:pPr>
      <w:r>
        <w:rPr>
          <w:rStyle w:val="FootnoteReference"/>
          <w:szCs w:val="18"/>
        </w:rPr>
        <w:footnoteRef/>
      </w:r>
      <w:r>
        <w:t xml:space="preserve"> </w:t>
      </w:r>
      <w:r>
        <w:tab/>
        <w:t xml:space="preserve">Центр оказывает процедурное содействие </w:t>
      </w:r>
      <w:r>
        <w:rPr>
          <w:color w:val="000000"/>
        </w:rPr>
        <w:t xml:space="preserve">(добрые услуги) сторонам споров в области ИС или технологий, способствуя прямому урегулированию спора или его передаче в </w:t>
      </w:r>
      <w:r>
        <w:t>посредничество, арбитраж или для вынесения экспертного заключения ВОИС в качестве альтернатив судебному разбирательству.  См.</w:t>
      </w:r>
      <w:r w:rsidR="00F12C7D">
        <w:t> </w:t>
      </w:r>
      <w:hyperlink r:id="rId1" w:history="1">
        <w:r w:rsidR="00F12C7D" w:rsidRPr="007B4494">
          <w:rPr>
            <w:rStyle w:val="Hyperlink"/>
          </w:rPr>
          <w:t>https://www.wipo.int/amc/en/goodoffices</w:t>
        </w:r>
      </w:hyperlink>
      <w:r>
        <w:t>.</w:t>
      </w:r>
    </w:p>
  </w:footnote>
  <w:footnote w:id="3">
    <w:p w14:paraId="14E4BD27" w14:textId="5AC7B60B" w:rsidR="00C54079" w:rsidRPr="00C54079" w:rsidRDefault="00C54079" w:rsidP="00C54079">
      <w:pPr>
        <w:pStyle w:val="FootnoteText"/>
        <w:rPr>
          <w:szCs w:val="18"/>
        </w:rPr>
      </w:pPr>
      <w:r>
        <w:rPr>
          <w:rStyle w:val="FootnoteReference"/>
          <w:szCs w:val="18"/>
        </w:rPr>
        <w:footnoteRef/>
      </w:r>
      <w:r>
        <w:t xml:space="preserve"> </w:t>
      </w:r>
      <w:r w:rsidR="00F12C7D">
        <w:tab/>
      </w:r>
      <w:r>
        <w:t xml:space="preserve">С перечнем всех проводимых Центром семинаров и других мероприятий можно ознакомиться по адресу </w:t>
      </w:r>
      <w:hyperlink r:id="rId2" w:history="1">
        <w:r>
          <w:rPr>
            <w:rStyle w:val="Hyperlink"/>
          </w:rPr>
          <w:t>https://www.wipo.int/amc/en/events</w:t>
        </w:r>
      </w:hyperlink>
      <w:r>
        <w:t>.</w:t>
      </w:r>
    </w:p>
  </w:footnote>
  <w:footnote w:id="4">
    <w:p w14:paraId="26393A57" w14:textId="0C50034F" w:rsidR="00C54079" w:rsidRPr="00C54079" w:rsidRDefault="00C54079" w:rsidP="00C54079">
      <w:pPr>
        <w:pStyle w:val="FootnoteText"/>
        <w:rPr>
          <w:szCs w:val="18"/>
        </w:rPr>
      </w:pPr>
      <w:r>
        <w:rPr>
          <w:rStyle w:val="FootnoteReference"/>
          <w:szCs w:val="18"/>
        </w:rPr>
        <w:footnoteRef/>
      </w:r>
      <w:r>
        <w:t xml:space="preserve"> </w:t>
      </w:r>
      <w:r w:rsidR="00F12C7D">
        <w:tab/>
      </w:r>
      <w:r>
        <w:t xml:space="preserve">Центр предлагает рекомендованные типовые положения и соглашения о передаче, а также онлайн-сервис «Генератор положений», который позволяет сторонам разработать основные статьи и положения соглашений о передаче споров на урегулирование.  См. </w:t>
      </w:r>
      <w:hyperlink r:id="rId3" w:history="1">
        <w:r>
          <w:rPr>
            <w:rStyle w:val="Hyperlink"/>
          </w:rPr>
          <w:t>https://www.wipo.int/amc/ru/clauses</w:t>
        </w:r>
      </w:hyperlink>
      <w:bookmarkStart w:id="6" w:name="_Hlk163636111"/>
      <w:r>
        <w:t xml:space="preserve"> и </w:t>
      </w:r>
      <w:bookmarkStart w:id="7" w:name="_Hlk163636257"/>
      <w:r w:rsidRPr="00C54079">
        <w:fldChar w:fldCharType="begin"/>
      </w:r>
      <w:r w:rsidRPr="00C54079">
        <w:instrText>HYPERLINK "https://amc.wipo.int/clause-generator/"</w:instrText>
      </w:r>
      <w:r w:rsidRPr="00C54079">
        <w:fldChar w:fldCharType="separate"/>
      </w:r>
      <w:r>
        <w:rPr>
          <w:rStyle w:val="Hyperlink"/>
        </w:rPr>
        <w:t>https://amc.wipo.int/clause-generator/</w:t>
      </w:r>
      <w:bookmarkEnd w:id="7"/>
      <w:r w:rsidRPr="00C54079">
        <w:fldChar w:fldCharType="end"/>
      </w:r>
      <w:r>
        <w:t>.</w:t>
      </w:r>
      <w:bookmarkEnd w:id="6"/>
    </w:p>
  </w:footnote>
  <w:footnote w:id="5">
    <w:p w14:paraId="7C7FE5C8" w14:textId="13157AEB" w:rsidR="00C54079" w:rsidRPr="00C54079" w:rsidRDefault="00C54079" w:rsidP="00C54079">
      <w:pPr>
        <w:pStyle w:val="FootnoteText"/>
        <w:rPr>
          <w:szCs w:val="18"/>
        </w:rPr>
      </w:pPr>
      <w:r>
        <w:rPr>
          <w:rStyle w:val="FootnoteReference"/>
          <w:szCs w:val="18"/>
        </w:rPr>
        <w:footnoteRef/>
      </w:r>
      <w:r>
        <w:t xml:space="preserve"> </w:t>
      </w:r>
      <w:r w:rsidR="00F12C7D">
        <w:tab/>
      </w:r>
      <w:r>
        <w:t xml:space="preserve">В случае споров с участием МСП Центр применяет сниженные административные и регистрационные пошлины.  См. </w:t>
      </w:r>
      <w:hyperlink r:id="rId4" w:history="1">
        <w:r>
          <w:rPr>
            <w:rStyle w:val="Hyperlink"/>
          </w:rPr>
          <w:t>https://www.wipo.int/amc/en/center/specific-sectors/smes/</w:t>
        </w:r>
      </w:hyperlink>
      <w:r>
        <w:t>.</w:t>
      </w:r>
    </w:p>
  </w:footnote>
  <w:footnote w:id="6">
    <w:p w14:paraId="4AF75A99" w14:textId="74FB259B" w:rsidR="001B7D13" w:rsidRDefault="001B7D13">
      <w:pPr>
        <w:pStyle w:val="FootnoteText"/>
      </w:pPr>
      <w:r>
        <w:rPr>
          <w:rStyle w:val="FootnoteReference"/>
        </w:rPr>
        <w:footnoteRef/>
      </w:r>
      <w:r w:rsidRPr="001B7D13">
        <w:t xml:space="preserve"> </w:t>
      </w:r>
      <w:r w:rsidRPr="001B7D13">
        <w:tab/>
        <w:t xml:space="preserve">Электронный модуль </w:t>
      </w:r>
      <w:r w:rsidRPr="001B7D13">
        <w:rPr>
          <w:lang w:val="en-US"/>
        </w:rPr>
        <w:t>eADR</w:t>
      </w:r>
      <w:r w:rsidRPr="001B7D13">
        <w:t xml:space="preserve"> ВОИС позволяет сторонам спора и нейтральным экспертам обмениваться всеми материалами по делу и получать доступ к ним через единый защищенный портал.  В отчетный период модуль </w:t>
      </w:r>
      <w:r w:rsidRPr="001B7D13">
        <w:rPr>
          <w:lang w:val="en-US"/>
        </w:rPr>
        <w:t>eADR</w:t>
      </w:r>
      <w:r w:rsidRPr="001B7D13">
        <w:t xml:space="preserve"> ВОИС также использовался арбитражной комиссией парусной регаты «Кубок Америки» в ходе 37-й регаты.  </w:t>
      </w:r>
      <w:r>
        <w:t>См.</w:t>
      </w:r>
      <w:r w:rsidRPr="001B7D13">
        <w:t xml:space="preserve"> </w:t>
      </w:r>
      <w:hyperlink r:id="rId5" w:history="1">
        <w:r w:rsidRPr="001B7D13">
          <w:rPr>
            <w:rStyle w:val="Hyperlink"/>
            <w:lang w:val="en-US"/>
          </w:rPr>
          <w:t>https</w:t>
        </w:r>
        <w:r w:rsidRPr="001B7D13">
          <w:rPr>
            <w:rStyle w:val="Hyperlink"/>
          </w:rPr>
          <w:t>://</w:t>
        </w:r>
        <w:r w:rsidRPr="001B7D13">
          <w:rPr>
            <w:rStyle w:val="Hyperlink"/>
            <w:lang w:val="en-US"/>
          </w:rPr>
          <w:t>www</w:t>
        </w:r>
        <w:r w:rsidRPr="001B7D13">
          <w:rPr>
            <w:rStyle w:val="Hyperlink"/>
          </w:rPr>
          <w:t>.</w:t>
        </w:r>
        <w:r w:rsidRPr="001B7D13">
          <w:rPr>
            <w:rStyle w:val="Hyperlink"/>
            <w:lang w:val="en-US"/>
          </w:rPr>
          <w:t>wipo</w:t>
        </w:r>
        <w:r w:rsidRPr="001B7D13">
          <w:rPr>
            <w:rStyle w:val="Hyperlink"/>
          </w:rPr>
          <w:t>.</w:t>
        </w:r>
        <w:r w:rsidRPr="001B7D13">
          <w:rPr>
            <w:rStyle w:val="Hyperlink"/>
            <w:lang w:val="en-US"/>
          </w:rPr>
          <w:t>int</w:t>
        </w:r>
        <w:r w:rsidRPr="001B7D13">
          <w:rPr>
            <w:rStyle w:val="Hyperlink"/>
          </w:rPr>
          <w:t>/</w:t>
        </w:r>
        <w:r w:rsidRPr="001B7D13">
          <w:rPr>
            <w:rStyle w:val="Hyperlink"/>
            <w:lang w:val="en-US"/>
          </w:rPr>
          <w:t>amc</w:t>
        </w:r>
        <w:r w:rsidRPr="001B7D13">
          <w:rPr>
            <w:rStyle w:val="Hyperlink"/>
          </w:rPr>
          <w:t>/</w:t>
        </w:r>
        <w:r w:rsidRPr="001B7D13">
          <w:rPr>
            <w:rStyle w:val="Hyperlink"/>
            <w:lang w:val="en-US"/>
          </w:rPr>
          <w:t>en</w:t>
        </w:r>
        <w:r w:rsidRPr="001B7D13">
          <w:rPr>
            <w:rStyle w:val="Hyperlink"/>
          </w:rPr>
          <w:t>/</w:t>
        </w:r>
        <w:r w:rsidRPr="001B7D13">
          <w:rPr>
            <w:rStyle w:val="Hyperlink"/>
            <w:lang w:val="en-US"/>
          </w:rPr>
          <w:t>center</w:t>
        </w:r>
        <w:r w:rsidRPr="001B7D13">
          <w:rPr>
            <w:rStyle w:val="Hyperlink"/>
          </w:rPr>
          <w:t>/</w:t>
        </w:r>
        <w:r w:rsidRPr="001B7D13">
          <w:rPr>
            <w:rStyle w:val="Hyperlink"/>
            <w:lang w:val="en-US"/>
          </w:rPr>
          <w:t>background</w:t>
        </w:r>
        <w:r w:rsidRPr="001B7D13">
          <w:rPr>
            <w:rStyle w:val="Hyperlink"/>
          </w:rPr>
          <w:t>.</w:t>
        </w:r>
        <w:r w:rsidRPr="001B7D13">
          <w:rPr>
            <w:rStyle w:val="Hyperlink"/>
            <w:lang w:val="en-US"/>
          </w:rPr>
          <w:t>html</w:t>
        </w:r>
      </w:hyperlink>
    </w:p>
  </w:footnote>
  <w:footnote w:id="7">
    <w:p w14:paraId="5CA3C7B0" w14:textId="53799171" w:rsidR="00FC2BAA" w:rsidRDefault="00FC2BAA">
      <w:pPr>
        <w:pStyle w:val="FootnoteText"/>
      </w:pPr>
      <w:r>
        <w:rPr>
          <w:rStyle w:val="FootnoteReference"/>
        </w:rPr>
        <w:footnoteRef/>
      </w:r>
      <w:r>
        <w:t xml:space="preserve"> </w:t>
      </w:r>
      <w:r w:rsidR="00F12C7D">
        <w:tab/>
      </w:r>
      <w:r>
        <w:t>В Службу ВОИС по арбитражу и посредничеству для Шанхая было передано более 150 международных дел, находившихся на рассмотрении судов Шанхая, Фуцзяни, Хайнаня, Гуандуна, Чунцина и Сычуани, включая споры, касающиеся товарных знаков, патентов, авторского права, ИКТ и других коммерческих вопросов, с участием сторон из 18 юрисдикций в Азии, Европе, Северной Америке и Океании.</w:t>
      </w:r>
    </w:p>
  </w:footnote>
  <w:footnote w:id="8">
    <w:p w14:paraId="4B9C0CC1" w14:textId="1B3AB17D" w:rsidR="00FC2BAA" w:rsidRDefault="00FC2BAA">
      <w:pPr>
        <w:pStyle w:val="FootnoteText"/>
      </w:pPr>
      <w:r>
        <w:rPr>
          <w:rStyle w:val="FootnoteReference"/>
        </w:rPr>
        <w:footnoteRef/>
      </w:r>
      <w:r>
        <w:t xml:space="preserve"> </w:t>
      </w:r>
      <w:r w:rsidR="00DA761B">
        <w:tab/>
      </w:r>
      <w:r>
        <w:t>Центр рассмотрел 18 дел, связанных с патентами, авторскими правами, товарными знаками, промышленными образцами и недобросовестной конкуренцией, переданных ему в рамках этой программы, с участием сторон из 11 юрисдикций в Азии, Европе и Северной Америке.</w:t>
      </w:r>
    </w:p>
  </w:footnote>
  <w:footnote w:id="9">
    <w:p w14:paraId="691DF120" w14:textId="7585BC4C" w:rsidR="005304FA" w:rsidRPr="005304FA" w:rsidRDefault="005304FA">
      <w:pPr>
        <w:pStyle w:val="FootnoteText"/>
      </w:pPr>
      <w:r>
        <w:rPr>
          <w:rStyle w:val="FootnoteReference"/>
        </w:rPr>
        <w:footnoteRef/>
      </w:r>
      <w:r w:rsidRPr="005304FA">
        <w:t xml:space="preserve"> </w:t>
      </w:r>
      <w:r w:rsidRPr="005304FA">
        <w:tab/>
        <w:t>Центр был задействован в 28 совместных посреднических разбирательствах с участием сторон из Объединенной Республики Танзания, а также ряда других стран Африки, Азии, Европы и Северной Америки.</w:t>
      </w:r>
    </w:p>
  </w:footnote>
  <w:footnote w:id="10">
    <w:p w14:paraId="74852E3C" w14:textId="33E86F0C" w:rsidR="00FC2BAA" w:rsidRDefault="00FC2BAA" w:rsidP="00FC2BAA">
      <w:pPr>
        <w:pStyle w:val="FootnoteText"/>
      </w:pPr>
      <w:r>
        <w:rPr>
          <w:rStyle w:val="FootnoteReference"/>
        </w:rPr>
        <w:footnoteRef/>
      </w:r>
      <w:r>
        <w:t xml:space="preserve"> </w:t>
      </w:r>
      <w:r w:rsidR="00DA761B">
        <w:tab/>
      </w:r>
      <w:r>
        <w:t xml:space="preserve">В свете последних изменений в законодательстве Европейского союза в отношении незаконного контента, размещаемого на цифровых платформах, в том числе с точки зрения ИС, Центр доработал правила ВОИС о вынесении экспертных заключений с учетом споров, связанных с нарушением прав ИС.  Правила ВОИС о вынесении экспертных заключений по вопросам нарушения авторских прав и прав на товарные знаки (Правила EDCI ВОИС) распространяются на споры между пользователями и обладателями авторских прав или прав на товарные знаки, с одной стороны, и онлайновыми платформами, с другой.  Эта </w:t>
      </w:r>
      <w:hyperlink r:id="rId6" w:history="1">
        <w:r>
          <w:rPr>
            <w:rStyle w:val="Hyperlink"/>
          </w:rPr>
          <w:t>процедура урегулирования споров</w:t>
        </w:r>
      </w:hyperlink>
      <w:r>
        <w:t xml:space="preserve"> ‒ часть многоуровневого процесса, который включает внутренние процедуры, предусмотренные самими онлайновыми платформами, и сохраняет возможность передачи споров в суд.</w:t>
      </w:r>
    </w:p>
  </w:footnote>
  <w:footnote w:id="11">
    <w:p w14:paraId="30197C52" w14:textId="1274A34B" w:rsidR="00C54079" w:rsidRPr="00C54079" w:rsidRDefault="00C54079" w:rsidP="00C54079">
      <w:pPr>
        <w:pStyle w:val="FootnoteText"/>
      </w:pPr>
      <w:r>
        <w:rPr>
          <w:rStyle w:val="FootnoteReference"/>
        </w:rPr>
        <w:footnoteRef/>
      </w:r>
      <w:r>
        <w:t xml:space="preserve"> </w:t>
      </w:r>
      <w:r w:rsidR="00204422">
        <w:tab/>
      </w:r>
      <w:r>
        <w:t xml:space="preserve">В рамках AMP стороны, отвечающие установленным требованиям, могут подавать заявки на покрытие расходов в связи с организацией посредничества для разрешения споров, связанных с интеллектуальной собственностью или технологиями, или в ходе переговоров о заключении контрактов.  Краткая информация об этих делах доступна по адресу </w:t>
      </w:r>
      <w:hyperlink r:id="rId7" w:history="1">
        <w:r w:rsidR="006F1A82">
          <w:rPr>
            <w:rStyle w:val="Hyperlink"/>
          </w:rPr>
          <w:t>https://isomer-user-content.by.gov.sg/61/51abcc4e-78e9-40d2-acea-894f1b81f528/Mediation Cases.pdf</w:t>
        </w:r>
      </w:hyperlink>
      <w:r>
        <w:t xml:space="preserve">; дополнительную информацию о программе AMP можно найти по адресу </w:t>
      </w:r>
      <w:hyperlink r:id="rId8">
        <w:r>
          <w:rPr>
            <w:rStyle w:val="Hyperlink"/>
          </w:rPr>
          <w:t>WIPO-ASEAN Mediation Programme (AMP+)</w:t>
        </w:r>
      </w:hyperlink>
      <w:r>
        <w:t>.</w:t>
      </w:r>
    </w:p>
  </w:footnote>
  <w:footnote w:id="12">
    <w:p w14:paraId="5CC3248A" w14:textId="3B6AC795" w:rsidR="00C54079" w:rsidRPr="00C54079" w:rsidRDefault="00C54079" w:rsidP="00C54079">
      <w:pPr>
        <w:pStyle w:val="FootnoteText"/>
      </w:pPr>
      <w:r>
        <w:rPr>
          <w:rStyle w:val="FootnoteReference"/>
        </w:rPr>
        <w:footnoteRef/>
      </w:r>
      <w:r>
        <w:t xml:space="preserve"> </w:t>
      </w:r>
      <w:r>
        <w:tab/>
        <w:t xml:space="preserve">См. </w:t>
      </w:r>
      <w:hyperlink r:id="rId9" w:history="1">
        <w:r>
          <w:rPr>
            <w:rStyle w:val="Hyperlink"/>
          </w:rPr>
          <w:t>https://www.wipo.int/export/sites/www/amc/en/docs/2022/wipo_adr_options_for_frand_disputes_management_resolution.pdf</w:t>
        </w:r>
      </w:hyperlink>
      <w:r>
        <w:t>.  Эта публикация призвана помочь сторонам споров и нейтральным экспертам лучше понять и использовать имеющиеся варианты урегулирования споров при ведении переговоров и заключении лицензионных соглашений на условиях FRAND.</w:t>
      </w:r>
      <w:r>
        <w:rPr>
          <w:color w:val="000000" w:themeColor="text1"/>
        </w:rPr>
        <w:t xml:space="preserve">  В ней изложены ключевые элементы, которые стороны могут использовать для определения контуров процедуры АУС, особенно когда речь идет о крупных портфелях СОП в сфере телекоммуникаций, интернета вещей и мобильного доступа через интернет, а также для оптимизации затрат времени и средств на рассмотрение споров.  Публикация также содержит типовые соглашения о передаче спора, учитывающие специфику различных отраслей.</w:t>
      </w:r>
      <w:r>
        <w:t xml:space="preserve">  </w:t>
      </w:r>
    </w:p>
  </w:footnote>
  <w:footnote w:id="13">
    <w:p w14:paraId="455D984D" w14:textId="21B6B2CE" w:rsidR="00C54079" w:rsidRPr="00C54079" w:rsidRDefault="00C54079" w:rsidP="00C54079">
      <w:pPr>
        <w:pStyle w:val="FootnoteText"/>
      </w:pPr>
      <w:r>
        <w:rPr>
          <w:rStyle w:val="FootnoteReference"/>
        </w:rPr>
        <w:footnoteRef/>
      </w:r>
      <w:r w:rsidR="00DA761B">
        <w:t xml:space="preserve"> </w:t>
      </w:r>
      <w:r>
        <w:tab/>
        <w:t xml:space="preserve">Центр отмечает все более широкое использование посреднических и арбитражных положений ВОИС заинтересованными сторонами в области наук о жизни.  Например, процедуры посредничества и арбитража ВОИС предусмотрены более чем в 75 лицензионных и сублицензионных соглашениях, заключенных Патентным фондом лекарственных средств (MPP) с лицензиатами примерно в 25 юрисдикциях (см. </w:t>
      </w:r>
      <w:hyperlink r:id="rId10" w:history="1">
        <w:r>
          <w:rPr>
            <w:rStyle w:val="Hyperlink"/>
          </w:rPr>
          <w:t>https://medicinespatentpool.org/progress-achievements/licences</w:t>
        </w:r>
      </w:hyperlink>
      <w:r>
        <w:t>).</w:t>
      </w:r>
    </w:p>
  </w:footnote>
  <w:footnote w:id="14">
    <w:p w14:paraId="6B7B7587" w14:textId="77777777" w:rsidR="00C54079" w:rsidRPr="00C54079" w:rsidRDefault="00C54079" w:rsidP="002E27BA">
      <w:pPr>
        <w:pStyle w:val="ListParagraph"/>
        <w:widowControl w:val="0"/>
        <w:spacing w:after="240"/>
        <w:ind w:left="0"/>
        <w:contextualSpacing w:val="0"/>
        <w:rPr>
          <w:rFonts w:eastAsia="SimSun" w:cs="Arial"/>
          <w:sz w:val="18"/>
          <w:szCs w:val="18"/>
        </w:rPr>
      </w:pPr>
      <w:r>
        <w:rPr>
          <w:rStyle w:val="FootnoteReference"/>
          <w:rFonts w:cs="Arial"/>
          <w:sz w:val="18"/>
          <w:szCs w:val="18"/>
        </w:rPr>
        <w:footnoteRef/>
      </w:r>
      <w:r>
        <w:t xml:space="preserve"> </w:t>
      </w:r>
      <w:r>
        <w:tab/>
      </w:r>
      <w:r>
        <w:rPr>
          <w:sz w:val="18"/>
        </w:rPr>
        <w:t>В 2024 году Управление по делам бизнеса и интеллектуальной собственности Намибии (BIPA) вынесло на рассмотрение Комитета по развитию и интеллектуальной собственности (КРИС) проектное предложение в рамках Повестки дня ВОИС в области развития, нацеленное на оказание поддержки четырем странам в деле реализации этой программы</w:t>
      </w:r>
      <w:r>
        <w:t>.</w:t>
      </w:r>
      <w:r>
        <w:rPr>
          <w:sz w:val="18"/>
        </w:rPr>
        <w:t xml:space="preserve">  Это предложение получило поддержку государств – членов ВОИС; его реализация уже началась.</w:t>
      </w:r>
    </w:p>
  </w:footnote>
  <w:footnote w:id="15">
    <w:p w14:paraId="343B6842" w14:textId="39D52362" w:rsidR="00C54079" w:rsidRPr="00C54079" w:rsidRDefault="00C54079" w:rsidP="00C54079">
      <w:pPr>
        <w:pStyle w:val="FootnoteText"/>
        <w:rPr>
          <w:szCs w:val="18"/>
        </w:rPr>
      </w:pPr>
      <w:r>
        <w:rPr>
          <w:rStyle w:val="FootnoteReference"/>
          <w:szCs w:val="18"/>
        </w:rPr>
        <w:footnoteRef/>
      </w:r>
      <w:r>
        <w:t xml:space="preserve"> </w:t>
      </w:r>
      <w:r>
        <w:tab/>
        <w:t xml:space="preserve">Африканская региональная организация интеллектуальной собственности (АРОИС), Ведомство интеллектуальной собственности Белиза (BELIPO), министерство культуры Бразилии, Ведомство интеллектуальной собственности Канады (CIPO), Высший народный суд Чунцина (Китай), Высший народный суд Сычуани (Китай), Ведомство интеллектуальной собственности Ирландии (IPOI), Федеральный административный суд Мексики, Международный суд и Центр по урегулированию споров Катара (QICDRC), Бюро регистрационных услуг Уганды (URSB) и Независимая служба интеллектуальной собственности Венесуэлы (SAPI). </w:t>
      </w:r>
    </w:p>
  </w:footnote>
  <w:footnote w:id="16">
    <w:p w14:paraId="1217ABBC" w14:textId="1DE127C8" w:rsidR="007B26E5" w:rsidRPr="00C54079" w:rsidRDefault="007B26E5" w:rsidP="007B26E5">
      <w:pPr>
        <w:pStyle w:val="FootnoteText"/>
        <w:rPr>
          <w:szCs w:val="18"/>
        </w:rPr>
      </w:pPr>
      <w:r>
        <w:rPr>
          <w:rStyle w:val="FootnoteReference"/>
          <w:szCs w:val="18"/>
        </w:rPr>
        <w:footnoteRef/>
      </w:r>
      <w:r>
        <w:t xml:space="preserve"> </w:t>
      </w:r>
      <w:r>
        <w:tab/>
        <w:t>Эти ведомства и суды по интеллектуальной собственности относятся к юрисдикции Африканской региональной организации интеллектуальной собственности (АРОИС), Албании, Алжира, Аргентины, Австралии, Австрии, Беларуси, Белиза, Ботсваны, Бразилии, Болгарии, Канады, Чили, Китая, Колумбии, Коста-Рики, Кубы, Чешской Республики, Доминиканской Республики, Эквадора, Египта, Сальвадора, Евразийской патентной организации (ЕАПО), Франции, Грузии, Греции, Гватемалы, Венгрии, Индии, Индонезии, Ирландии, Израиля, Италии, Казахстана, Кении, Республики Корея, Кыргызстана, Лаосской Народно-Демократической Республики, Литвы, Мексики, Марокко, Намибии, Новой Зеландии, Нигерии, Парагвая, Патентного ведомства Совета сотрудничества арабских государств Персидского залива (Патентное ведомство ГСС), Перу, Филиппин, Польши, Катара, Румынии, Российской Федерации, Саудовской Аравии, Сербии, Сингапура, Словакии, Испании, Швейцарии, Таиланда, Тринидада и Тобаго, Турции, Украины, Соединенного Королевства, Объединенной Республики Танзания, Соединенных Штатов Америки, Уругвая и Венесуэлы (Боливарианская Республика).</w:t>
      </w:r>
      <w:r>
        <w:rPr>
          <w:shd w:val="clear" w:color="auto" w:fill="FFFFFF" w:themeFill="background1"/>
        </w:rPr>
        <w:t xml:space="preserve">  См. </w:t>
      </w:r>
      <w:hyperlink r:id="rId11" w:history="1">
        <w:r>
          <w:rPr>
            <w:rStyle w:val="Hyperlink"/>
          </w:rPr>
          <w:t>https://www.wipo.int/amc/en/center/specific-sectors/ipoffices/</w:t>
        </w:r>
      </w:hyperlink>
      <w:r>
        <w:rPr>
          <w:shd w:val="clear" w:color="auto" w:fill="FFFFFF" w:themeFill="background1"/>
        </w:rPr>
        <w:t xml:space="preserve">. </w:t>
      </w:r>
    </w:p>
  </w:footnote>
  <w:footnote w:id="17">
    <w:p w14:paraId="661B8BCF" w14:textId="7AA5E371" w:rsidR="00C54079" w:rsidRPr="00C54079" w:rsidRDefault="00C54079" w:rsidP="00C54079">
      <w:pPr>
        <w:pStyle w:val="FootnoteText"/>
        <w:rPr>
          <w:szCs w:val="18"/>
        </w:rPr>
      </w:pPr>
      <w:r>
        <w:rPr>
          <w:rStyle w:val="FootnoteReference"/>
          <w:szCs w:val="18"/>
        </w:rPr>
        <w:footnoteRef/>
      </w:r>
      <w:r w:rsidR="00204422">
        <w:t xml:space="preserve"> </w:t>
      </w:r>
      <w:r>
        <w:tab/>
        <w:t>В отчетный период Центр организовал учебные и информационно-разъяснительные мероприятия по тематике АУС совместно с ведомствами ИС и судами Алжира, Африканской региональной организации интеллектуальной собственности (АРОИС), Австралии, Канады, Китая, Колумбии, Кубы, Доминиканской Республики, Египта, Франции, Гватемалы, Индии, Кении, Мексики, Намибии, Нигерии, Парагвая, Польши, Перу, Катара, Республики Корея, Саудовской Аравии, Сингапура, Испании, Тринидада и Тобаго, Турции, Украины, Соединенного Королевства, Объединенной Республикой Танзания и Соединенных Штатов Америки</w:t>
      </w:r>
      <w:bookmarkStart w:id="8" w:name="_Hlk159948627"/>
      <w:r>
        <w:t xml:space="preserve">. </w:t>
      </w:r>
      <w:bookmarkEnd w:id="8"/>
    </w:p>
  </w:footnote>
  <w:footnote w:id="18">
    <w:p w14:paraId="49CF6A40" w14:textId="1B7E590E" w:rsidR="00C54079" w:rsidRPr="00C54079" w:rsidRDefault="00C54079" w:rsidP="00C54079">
      <w:pPr>
        <w:pStyle w:val="FootnoteText"/>
        <w:rPr>
          <w:szCs w:val="18"/>
        </w:rPr>
      </w:pPr>
      <w:r>
        <w:rPr>
          <w:rStyle w:val="FootnoteReference"/>
          <w:szCs w:val="18"/>
        </w:rPr>
        <w:footnoteRef/>
      </w:r>
      <w:r>
        <w:t xml:space="preserve"> </w:t>
      </w:r>
      <w:r>
        <w:tab/>
      </w:r>
      <w:bookmarkStart w:id="9" w:name="_Hlk159937683"/>
      <w:r>
        <w:t xml:space="preserve">Как указано в пункте 11 выше, в рамках сотрудничества с IPOS Центр участвовал в разработке механизмов посредничества для споров о товарных знаках и других видов разбирательств, находящихся на рассмотрении этого ведомства, а также механизма вынесения экспертного заключения для урегулирования передаваемых IPOS патентных споров; Центр также занимается рассмотрением таких споров, в том числе с применением онлайн-инструментов.  Центр также продолжает работать с Ведомством интеллектуальной собственности Филиппин (IPOPHL) в рамках организации посреднических процедур для разрешения споров, связанных с правами ИС, непосредственно в стране, в том числе по линии программы внесудебного посредничества IPOPHL, а также занимается рассмотрением дел, переданных на посредничество в ВОИС в рамках данной программы.  </w:t>
      </w:r>
      <w:bookmarkEnd w:id="9"/>
      <w:r>
        <w:t>Кроме того, Совет по рассмотрению споров и апелляций в связи с товарными знаками (TTAB) и Совет по рассмотрению споров и апелляций в связи с патентами (PTAB) ВПТЗ США рекомендуют сторонам использовать АУС для урегулирования вопросов, возникающих в ходе таких разбирательств; Центр включен в список поставщиков услуг в области урегулирования споров.  В рамках сотрудничества с Патентным ведомством Польши (PPO) Центр участвовал в разработке посреднической процедуры ВОИС, которая может использоваться для споров, касающихся возражений в отношении регистрации товарных знаков.</w:t>
      </w:r>
      <w:bookmarkStart w:id="10" w:name="_Hlk159938345"/>
      <w:r>
        <w:t xml:space="preserve">  В контексте сотрудничества с Марокканским ведомством промышленной и коммерческой собственности (OMPIC) была разработана и применяется процедура посредничества для споров в отношении ИС и технологий.</w:t>
      </w:r>
      <w:bookmarkEnd w:id="10"/>
      <w:r>
        <w:t xml:space="preserve">  Ведомство ИС Тринидада и Тобаго (TTIPO) при поддержке Центра предлагает сторонам споров процедуру добровольного посредничества на основе </w:t>
      </w:r>
      <w:hyperlink r:id="rId12" w:history="1">
        <w:r>
          <w:t>правил ВОИС о посредничестве</w:t>
        </w:r>
      </w:hyperlink>
      <w:r>
        <w:t xml:space="preserve"> для разрешения споров, переданных в TTIPO и касающихся возражений против регистрации товарного знака.</w:t>
      </w:r>
    </w:p>
  </w:footnote>
  <w:footnote w:id="19">
    <w:p w14:paraId="352C023A" w14:textId="7BB4B994" w:rsidR="00C54079" w:rsidRPr="00C54079" w:rsidRDefault="00C54079" w:rsidP="00C54079">
      <w:pPr>
        <w:pStyle w:val="FootnoteText"/>
        <w:rPr>
          <w:szCs w:val="18"/>
        </w:rPr>
      </w:pPr>
      <w:r>
        <w:rPr>
          <w:rStyle w:val="FootnoteReference"/>
          <w:szCs w:val="18"/>
        </w:rPr>
        <w:footnoteRef/>
      </w:r>
      <w:r>
        <w:t xml:space="preserve"> </w:t>
      </w:r>
      <w:r>
        <w:tab/>
        <w:t>Информация по этой теме изложена в пунктах 17–21 выше.</w:t>
      </w:r>
      <w:r>
        <w:rPr>
          <w:shd w:val="clear" w:color="auto" w:fill="FFFFFF" w:themeFill="background1"/>
        </w:rPr>
        <w:t xml:space="preserve"> </w:t>
      </w:r>
    </w:p>
  </w:footnote>
  <w:footnote w:id="20">
    <w:p w14:paraId="745E30E7" w14:textId="2C9358E4" w:rsidR="00C54079" w:rsidRPr="00C54079" w:rsidRDefault="00C54079" w:rsidP="00C54079">
      <w:pPr>
        <w:pStyle w:val="FootnoteText"/>
        <w:rPr>
          <w:szCs w:val="18"/>
        </w:rPr>
      </w:pPr>
      <w:r>
        <w:rPr>
          <w:rStyle w:val="FootnoteReference"/>
          <w:szCs w:val="18"/>
        </w:rPr>
        <w:footnoteRef/>
      </w:r>
      <w:r w:rsidR="002E27BA" w:rsidRPr="002E27BA">
        <w:t xml:space="preserve"> </w:t>
      </w:r>
      <w:r>
        <w:tab/>
      </w:r>
      <w:r>
        <w:rPr>
          <w:shd w:val="clear" w:color="auto" w:fill="FFFFFF" w:themeFill="background1"/>
        </w:rPr>
        <w:t xml:space="preserve">Примерами могут служить Типовое соглашение Европейского союза DESCA 2020 года о создании консорциумов в области научных исследований, Руководство по подготовке соглашений в области ИС (IPAG) Австрии, типовые соглашения о сотрудничестве в области исследований и разработок, подготовленные в Германии, и типовые соглашения о НИОКР, разработанные совместно с Испанским ведомством по патентам и товарным знакам (OEPM).  </w:t>
      </w:r>
      <w:r>
        <w:t>В качестве самого свежего примера можно привести Соглашение о сотрудничестве Балтийской сети бюро по передаче технологий, заключенное в 2022 году в сотрудничестве с ВОИС, в котором рекомендуется посредничество ВОИС и в случае отсутствия мирового соглашения судебное разбирательство.  Типовые рамочные соглашения о лицензировании ИС и научных исследованиях, разработанные в рамках Австралийской программы коммерциализации научных исследований на базе вузов (HERC), рекомендуют посредничество, а при невозможности урегулирования спора ‒ судебное разбирательство или арбитражную процедуру ВОИС.</w:t>
      </w:r>
      <w:r>
        <w:rPr>
          <w:shd w:val="clear" w:color="auto" w:fill="FFFFFF" w:themeFill="background1"/>
        </w:rPr>
        <w:t xml:space="preserve">  </w:t>
      </w:r>
      <w:r>
        <w:t>Дополнительную информацию см. на https://www.wipo.int/amc/en/center/specific-sectors/rd/.</w:t>
      </w:r>
    </w:p>
  </w:footnote>
  <w:footnote w:id="21">
    <w:p w14:paraId="369D7393" w14:textId="695F8434" w:rsidR="00472437" w:rsidRPr="00472437" w:rsidRDefault="00472437">
      <w:pPr>
        <w:pStyle w:val="FootnoteText"/>
      </w:pPr>
      <w:r>
        <w:rPr>
          <w:rStyle w:val="FootnoteReference"/>
        </w:rPr>
        <w:footnoteRef/>
      </w:r>
      <w:r w:rsidRPr="00472437">
        <w:t xml:space="preserve"> </w:t>
      </w:r>
      <w:r w:rsidRPr="00472437">
        <w:tab/>
        <w:t xml:space="preserve">Число подписчиков информационного бюллетеня </w:t>
      </w:r>
      <w:r w:rsidRPr="00472437">
        <w:rPr>
          <w:lang w:val="en-US"/>
        </w:rPr>
        <w:t>ADR</w:t>
      </w:r>
      <w:r w:rsidRPr="00472437">
        <w:t xml:space="preserve"> </w:t>
      </w:r>
      <w:r w:rsidRPr="00472437">
        <w:rPr>
          <w:lang w:val="en-US"/>
        </w:rPr>
        <w:t>Highlights</w:t>
      </w:r>
      <w:r w:rsidRPr="00472437">
        <w:t xml:space="preserve"> превысило 8500; все выпуски размещены на </w:t>
      </w:r>
      <w:hyperlink r:id="rId13" w:history="1">
        <w:r w:rsidRPr="00472437">
          <w:rPr>
            <w:rStyle w:val="Hyperlink"/>
            <w:lang w:val="en-US"/>
          </w:rPr>
          <w:t>https</w:t>
        </w:r>
        <w:r w:rsidRPr="00472437">
          <w:rPr>
            <w:rStyle w:val="Hyperlink"/>
          </w:rPr>
          <w:t>://</w:t>
        </w:r>
        <w:r w:rsidRPr="00472437">
          <w:rPr>
            <w:rStyle w:val="Hyperlink"/>
            <w:lang w:val="en-US"/>
          </w:rPr>
          <w:t>www</w:t>
        </w:r>
        <w:r w:rsidRPr="00472437">
          <w:rPr>
            <w:rStyle w:val="Hyperlink"/>
          </w:rPr>
          <w:t>.</w:t>
        </w:r>
        <w:r w:rsidRPr="00472437">
          <w:rPr>
            <w:rStyle w:val="Hyperlink"/>
            <w:lang w:val="en-US"/>
          </w:rPr>
          <w:t>wipo</w:t>
        </w:r>
        <w:r w:rsidRPr="00472437">
          <w:rPr>
            <w:rStyle w:val="Hyperlink"/>
          </w:rPr>
          <w:t>.</w:t>
        </w:r>
        <w:r w:rsidRPr="00472437">
          <w:rPr>
            <w:rStyle w:val="Hyperlink"/>
            <w:lang w:val="en-US"/>
          </w:rPr>
          <w:t>int</w:t>
        </w:r>
        <w:r w:rsidRPr="00472437">
          <w:rPr>
            <w:rStyle w:val="Hyperlink"/>
          </w:rPr>
          <w:t>/</w:t>
        </w:r>
        <w:r w:rsidRPr="00472437">
          <w:rPr>
            <w:rStyle w:val="Hyperlink"/>
            <w:lang w:val="en-US"/>
          </w:rPr>
          <w:t>newsletters</w:t>
        </w:r>
        <w:r w:rsidRPr="00472437">
          <w:rPr>
            <w:rStyle w:val="Hyperlink"/>
          </w:rPr>
          <w:t>-</w:t>
        </w:r>
        <w:r w:rsidRPr="00472437">
          <w:rPr>
            <w:rStyle w:val="Hyperlink"/>
            <w:lang w:val="en-US"/>
          </w:rPr>
          <w:t>archive</w:t>
        </w:r>
        <w:r w:rsidRPr="00472437">
          <w:rPr>
            <w:rStyle w:val="Hyperlink"/>
          </w:rPr>
          <w:t>/</w:t>
        </w:r>
        <w:r w:rsidRPr="00472437">
          <w:rPr>
            <w:rStyle w:val="Hyperlink"/>
            <w:lang w:val="en-US"/>
          </w:rPr>
          <w:t>en</w:t>
        </w:r>
        <w:r w:rsidRPr="00472437">
          <w:rPr>
            <w:rStyle w:val="Hyperlink"/>
          </w:rPr>
          <w:t>/</w:t>
        </w:r>
        <w:r w:rsidRPr="00472437">
          <w:rPr>
            <w:rStyle w:val="Hyperlink"/>
            <w:lang w:val="en-US"/>
          </w:rPr>
          <w:t>adr</w:t>
        </w:r>
        <w:r w:rsidRPr="00472437">
          <w:rPr>
            <w:rStyle w:val="Hyperlink"/>
          </w:rPr>
          <w:t>_</w:t>
        </w:r>
        <w:r w:rsidRPr="00472437">
          <w:rPr>
            <w:rStyle w:val="Hyperlink"/>
            <w:lang w:val="en-US"/>
          </w:rPr>
          <w:t>highlights</w:t>
        </w:r>
        <w:r w:rsidRPr="00472437">
          <w:rPr>
            <w:rStyle w:val="Hyperlink"/>
          </w:rPr>
          <w:t>.</w:t>
        </w:r>
        <w:r w:rsidRPr="00472437">
          <w:rPr>
            <w:rStyle w:val="Hyperlink"/>
            <w:lang w:val="en-US"/>
          </w:rPr>
          <w:t>html</w:t>
        </w:r>
      </w:hyperlink>
      <w:r w:rsidRPr="00472437">
        <w:t>.</w:t>
      </w:r>
    </w:p>
  </w:footnote>
  <w:footnote w:id="22">
    <w:p w14:paraId="401F3C15" w14:textId="7764BA94" w:rsidR="00C54079" w:rsidRPr="00C54079" w:rsidRDefault="00C54079" w:rsidP="00C54079">
      <w:pPr>
        <w:pStyle w:val="FootnoteText"/>
        <w:rPr>
          <w:szCs w:val="18"/>
        </w:rPr>
      </w:pPr>
      <w:r>
        <w:rPr>
          <w:rStyle w:val="FootnoteReference"/>
          <w:szCs w:val="18"/>
        </w:rPr>
        <w:footnoteRef/>
      </w:r>
      <w:r w:rsidR="002E27BA" w:rsidRPr="002E27BA">
        <w:t xml:space="preserve"> </w:t>
      </w:r>
      <w:r>
        <w:tab/>
        <w:t xml:space="preserve">Были проведены вебинары на английском, испанском, итальянском, китайском, корейском, немецком, нидерландском, русском, шведском, французском и японском языках.  </w:t>
      </w:r>
    </w:p>
  </w:footnote>
  <w:footnote w:id="23">
    <w:p w14:paraId="0950D5E3" w14:textId="77777777" w:rsidR="00C54079" w:rsidRPr="00C54079" w:rsidRDefault="00C54079" w:rsidP="00C54079">
      <w:pPr>
        <w:pStyle w:val="FootnoteText"/>
        <w:rPr>
          <w:szCs w:val="18"/>
        </w:rPr>
      </w:pPr>
      <w:r>
        <w:rPr>
          <w:rStyle w:val="FootnoteReference"/>
          <w:szCs w:val="18"/>
        </w:rPr>
        <w:footnoteRef/>
      </w:r>
      <w:r>
        <w:t xml:space="preserve"> </w:t>
      </w:r>
      <w:r>
        <w:tab/>
        <w:t>Арабский, болгарский, китайский, хорватский, чешский, датский, нидерландский, английский, эстонский, финский, французский, немецкий, греческий, иврит, венгерский, индонезийский, итальянский, японский, корейский, малайский, норвежский, польский, португальский, румынский, русский, словацкий, испанский, шведский, тайский, турецкий, украинский и вьетнамский (в английском алфавитном порядке).</w:t>
      </w:r>
    </w:p>
  </w:footnote>
  <w:footnote w:id="24">
    <w:p w14:paraId="7D2A1A49" w14:textId="40DFF3AC" w:rsidR="00C54079" w:rsidRPr="00C54079" w:rsidRDefault="00C54079" w:rsidP="00C54079">
      <w:pPr>
        <w:pStyle w:val="FootnoteText"/>
        <w:rPr>
          <w:szCs w:val="18"/>
        </w:rPr>
      </w:pPr>
      <w:r>
        <w:rPr>
          <w:rStyle w:val="FootnoteReference"/>
          <w:szCs w:val="18"/>
        </w:rPr>
        <w:footnoteRef/>
      </w:r>
      <w:r w:rsidR="002E27BA" w:rsidRPr="002E27BA">
        <w:t xml:space="preserve"> </w:t>
      </w:r>
      <w:r>
        <w:tab/>
        <w:t xml:space="preserve">ЕПУС не лишает ни одну из сторон права передать спор в компетентный суд, однако лишь очень немногие споры, по которым было принято решение на основе ЕПУС, были в дальнейшем переданы в национальные суды.  См. подборку судебных дел, урегулированных на основе ЕПУС: </w:t>
      </w:r>
      <w:hyperlink r:id="rId14" w:history="1">
        <w:r>
          <w:rPr>
            <w:rStyle w:val="Hyperlink"/>
          </w:rPr>
          <w:t>https://www.wipo.int/amc/en/domains/challenged</w:t>
        </w:r>
      </w:hyperlink>
      <w:r>
        <w:t>.</w:t>
      </w:r>
    </w:p>
  </w:footnote>
  <w:footnote w:id="25">
    <w:p w14:paraId="533F64E5" w14:textId="45E1FB0D" w:rsidR="00C54079" w:rsidRPr="00C54079" w:rsidRDefault="00C54079" w:rsidP="00C54079">
      <w:pPr>
        <w:pStyle w:val="FootnoteText"/>
        <w:rPr>
          <w:color w:val="000000"/>
          <w:szCs w:val="18"/>
        </w:rPr>
      </w:pPr>
      <w:r>
        <w:rPr>
          <w:rStyle w:val="FootnoteReference"/>
          <w:szCs w:val="18"/>
        </w:rPr>
        <w:footnoteRef/>
      </w:r>
      <w:r w:rsidR="002E27BA" w:rsidRPr="002E27BA">
        <w:t xml:space="preserve"> </w:t>
      </w:r>
      <w:r>
        <w:tab/>
        <w:t xml:space="preserve">Центр публикует в интернете статистические данные в режиме реального времени, которыми могут пользоваться стороны споров, рассматриваемых органами ВОИС на базе ЕПУС, нейтральные эксперты, поверенные по товарным знакам, регистранты доменных имен, директивные органы в области доменных имен, средства массовой информации и ученые.  См. </w:t>
      </w:r>
      <w:hyperlink r:id="rId15" w:history="1">
        <w:r>
          <w:rPr>
            <w:rStyle w:val="Hyperlink"/>
          </w:rPr>
          <w:t>https://www.wipo.int/amc/en/domains/statistics</w:t>
        </w:r>
      </w:hyperlink>
      <w:r>
        <w:t xml:space="preserve">. </w:t>
      </w:r>
    </w:p>
  </w:footnote>
  <w:footnote w:id="26">
    <w:p w14:paraId="420E8121" w14:textId="7873D3EE" w:rsidR="00C54079" w:rsidRPr="00C54079" w:rsidRDefault="00C54079" w:rsidP="00C54079">
      <w:pPr>
        <w:pStyle w:val="FootnoteText"/>
        <w:rPr>
          <w:szCs w:val="18"/>
        </w:rPr>
      </w:pPr>
      <w:r>
        <w:rPr>
          <w:rStyle w:val="FootnoteReference"/>
          <w:szCs w:val="18"/>
        </w:rPr>
        <w:footnoteRef/>
      </w:r>
      <w:r w:rsidR="002E27BA" w:rsidRPr="002E27BA">
        <w:t xml:space="preserve"> </w:t>
      </w:r>
      <w:r>
        <w:tab/>
        <w:t xml:space="preserve">Расширение охвата WIPO Overview 3.0 свидетельствует об изменениях в области DNS и увеличении почти в два раза числа дел, рассмотренных Центром за последнее время.  Этот обзор играет важную роль в обеспечении и поддержке согласованных решений, принимаемых на основе ЕПУС ВОИС.  </w:t>
      </w:r>
    </w:p>
  </w:footnote>
  <w:footnote w:id="27">
    <w:p w14:paraId="417CA3F5" w14:textId="1A6821EB" w:rsidR="00C54079" w:rsidRPr="00C54079" w:rsidRDefault="00C54079" w:rsidP="00C54079">
      <w:pPr>
        <w:pStyle w:val="FootnoteText"/>
      </w:pPr>
      <w:r>
        <w:rPr>
          <w:rStyle w:val="FootnoteReference"/>
        </w:rPr>
        <w:footnoteRef/>
      </w:r>
      <w:r w:rsidR="002E27BA" w:rsidRPr="00923875">
        <w:t xml:space="preserve"> </w:t>
      </w:r>
      <w:r>
        <w:tab/>
        <w:t xml:space="preserve">См. </w:t>
      </w:r>
      <w:hyperlink r:id="rId16" w:history="1">
        <w:r>
          <w:rPr>
            <w:rStyle w:val="Hyperlink"/>
          </w:rPr>
          <w:t>https://www.wipo.int/amc/en/events/workshops/2025/domainname</w:t>
        </w:r>
      </w:hyperlink>
      <w:r>
        <w:t>.</w:t>
      </w:r>
    </w:p>
  </w:footnote>
  <w:footnote w:id="28">
    <w:p w14:paraId="65AAC717" w14:textId="57A35123" w:rsidR="00C54079" w:rsidRPr="00C54079" w:rsidRDefault="00C54079" w:rsidP="00C54079">
      <w:pPr>
        <w:pStyle w:val="FootnoteText"/>
        <w:rPr>
          <w:szCs w:val="18"/>
        </w:rPr>
      </w:pPr>
      <w:r>
        <w:rPr>
          <w:rStyle w:val="FootnoteReference"/>
          <w:szCs w:val="18"/>
        </w:rPr>
        <w:footnoteRef/>
      </w:r>
      <w:r w:rsidR="002E27BA" w:rsidRPr="002E27BA">
        <w:t xml:space="preserve"> </w:t>
      </w:r>
      <w:r>
        <w:tab/>
        <w:t xml:space="preserve">С полным списком нДВУ, для которых Центр был выбран в качестве провайдера услуг по урегулированию споров в отношении доменных имен, можно ознакомиться по адресу </w:t>
      </w:r>
      <w:hyperlink r:id="rId17" w:history="1">
        <w:r>
          <w:rPr>
            <w:rStyle w:val="Hyperlink"/>
          </w:rPr>
          <w:t>https://www.wipo.int/amc/en/domains/cctld</w:t>
        </w:r>
      </w:hyperlink>
      <w:r>
        <w:t xml:space="preserve">. </w:t>
      </w:r>
    </w:p>
  </w:footnote>
  <w:footnote w:id="29">
    <w:p w14:paraId="63A4BC6F" w14:textId="77777777" w:rsidR="00C54079" w:rsidRPr="00C54079" w:rsidRDefault="00C54079" w:rsidP="00C54079">
      <w:pPr>
        <w:pStyle w:val="FootnoteText"/>
        <w:rPr>
          <w:szCs w:val="18"/>
        </w:rPr>
      </w:pPr>
      <w:r>
        <w:rPr>
          <w:rStyle w:val="FootnoteReference"/>
          <w:szCs w:val="18"/>
        </w:rPr>
        <w:footnoteRef/>
      </w:r>
      <w:r>
        <w:t xml:space="preserve"> </w:t>
      </w:r>
      <w:r>
        <w:tab/>
        <w:t>Например, веб-страница Центра, посвященная нДВУ .CH (Швейцария), доступна не только на английском, французском и испанском языках, но и на немецком и итальянском.</w:t>
      </w:r>
    </w:p>
  </w:footnote>
  <w:footnote w:id="30">
    <w:p w14:paraId="74B0C0CA" w14:textId="13593457" w:rsidR="00C54079" w:rsidRPr="00C54079" w:rsidRDefault="00C54079" w:rsidP="00C54079">
      <w:pPr>
        <w:pStyle w:val="FootnoteText"/>
      </w:pPr>
      <w:r>
        <w:rPr>
          <w:rStyle w:val="FootnoteReference"/>
        </w:rPr>
        <w:footnoteRef/>
      </w:r>
      <w:r w:rsidR="002E27BA" w:rsidRPr="002E27BA">
        <w:t xml:space="preserve"> </w:t>
      </w:r>
      <w:r>
        <w:tab/>
        <w:t xml:space="preserve">См., например, </w:t>
      </w:r>
      <w:hyperlink r:id="rId18" w:history="1">
        <w:r>
          <w:rPr>
            <w:rStyle w:val="Hyperlink"/>
          </w:rPr>
          <w:t>https://www.wipo.int/amc/en/domains/gdpr/</w:t>
        </w:r>
      </w:hyperlink>
      <w:r>
        <w:t xml:space="preserve">, </w:t>
      </w:r>
      <w:hyperlink r:id="rId19" w:history="1">
        <w:r>
          <w:rPr>
            <w:rStyle w:val="Hyperlink"/>
          </w:rPr>
          <w:t>https://www.wipo.int/amc/en/domains/expiry.html</w:t>
        </w:r>
      </w:hyperlink>
      <w:r>
        <w:t xml:space="preserve"> и </w:t>
      </w:r>
      <w:hyperlink r:id="rId20" w:history="1">
        <w:r>
          <w:rPr>
            <w:rStyle w:val="Hyperlink"/>
          </w:rPr>
          <w:t>https://www.wipo.int/amc/en/domains/lop/</w:t>
        </w:r>
      </w:hyperlink>
      <w:r>
        <w:t>.</w:t>
      </w:r>
    </w:p>
  </w:footnote>
  <w:footnote w:id="31">
    <w:p w14:paraId="3BE0F45A" w14:textId="53A9ED87" w:rsidR="00C54079" w:rsidRPr="00C54079" w:rsidRDefault="00C54079" w:rsidP="00C54079">
      <w:pPr>
        <w:pStyle w:val="FootnoteText"/>
        <w:rPr>
          <w:szCs w:val="18"/>
        </w:rPr>
      </w:pPr>
      <w:r>
        <w:rPr>
          <w:rStyle w:val="FootnoteReference"/>
          <w:szCs w:val="18"/>
        </w:rPr>
        <w:footnoteRef/>
      </w:r>
      <w:r w:rsidR="00CE03E1" w:rsidRPr="00CE03E1">
        <w:t xml:space="preserve"> </w:t>
      </w:r>
      <w:r>
        <w:tab/>
        <w:t xml:space="preserve">Несмотря на обсуждения, проведенные в 2011 году, в ходе которых явное большинство участников высказали мнение о том, что любой пересмотр ЕПУС со стороны ICANN как органа, основной функцией которого является обеспечение регистраций, может принести больше вреда, чем пользы.  См. </w:t>
      </w:r>
      <w:hyperlink r:id="rId21" w:history="1">
        <w:r>
          <w:rPr>
            <w:rStyle w:val="Hyperlink"/>
          </w:rPr>
          <w:t>https://community.icann.org/display/gnsoudrpdt/Webinar+on+the+Current+State+of+the+UDRP</w:t>
        </w:r>
      </w:hyperlink>
      <w:r>
        <w:t xml:space="preserve">; более общий контекст см. в документе </w:t>
      </w:r>
      <w:hyperlink r:id="rId22" w:history="1">
        <w:r>
          <w:rPr>
            <w:rStyle w:val="Hyperlink"/>
          </w:rPr>
          <w:t>WO/GA/39/10</w:t>
        </w:r>
      </w:hyperlink>
      <w:r>
        <w:t>, пункт 31.</w:t>
      </w:r>
    </w:p>
  </w:footnote>
  <w:footnote w:id="32">
    <w:p w14:paraId="400AFAFC" w14:textId="55BD3237" w:rsidR="00C54079" w:rsidRPr="00C54079" w:rsidRDefault="00C54079" w:rsidP="00C54079">
      <w:pPr>
        <w:pStyle w:val="FootnoteText"/>
        <w:rPr>
          <w:szCs w:val="18"/>
        </w:rPr>
      </w:pPr>
      <w:r>
        <w:rPr>
          <w:rStyle w:val="FootnoteReference"/>
          <w:szCs w:val="18"/>
        </w:rPr>
        <w:footnoteRef/>
      </w:r>
      <w:r>
        <w:t xml:space="preserve"> </w:t>
      </w:r>
      <w:r>
        <w:tab/>
        <w:t xml:space="preserve">См. заключительный доклад по адресу: </w:t>
      </w:r>
      <w:hyperlink r:id="rId23" w:history="1">
        <w:r>
          <w:rPr>
            <w:rStyle w:val="Hyperlink"/>
          </w:rPr>
          <w:t>https://gnso.icann.org/sites/default/files/file/field-file-attach/council-recommendations-rpm-pdp-phase-1-report-10feb21-en.pdf</w:t>
        </w:r>
      </w:hyperlink>
      <w:r>
        <w:t xml:space="preserve">. </w:t>
      </w:r>
    </w:p>
    <w:p w14:paraId="004B6AAB" w14:textId="5FBBD236" w:rsidR="00C54079" w:rsidRPr="00C54079" w:rsidRDefault="00C54079" w:rsidP="00C54079">
      <w:pPr>
        <w:pStyle w:val="FootnoteText"/>
        <w:rPr>
          <w:szCs w:val="18"/>
        </w:rPr>
      </w:pPr>
      <w:r>
        <w:t xml:space="preserve">См. также презентацию Совета GNSO по адресу: </w:t>
      </w:r>
      <w:hyperlink r:id="rId24" w:history="1">
        <w:r>
          <w:rPr>
            <w:rStyle w:val="Hyperlink"/>
          </w:rPr>
          <w:t>https://gnso.icann.org/sites/default/files/policy/2021/presentation/presentation-gnso-rpm-final-report-11Jan21-en.pdf</w:t>
        </w:r>
      </w:hyperlink>
      <w:r>
        <w:t>.</w:t>
      </w:r>
    </w:p>
  </w:footnote>
  <w:footnote w:id="33">
    <w:p w14:paraId="6847E2C8" w14:textId="77777777" w:rsidR="00C54079" w:rsidRPr="00C54079" w:rsidRDefault="00C54079" w:rsidP="00C54079">
      <w:pPr>
        <w:pStyle w:val="FootnoteText"/>
        <w:rPr>
          <w:szCs w:val="18"/>
        </w:rPr>
      </w:pPr>
      <w:r>
        <w:rPr>
          <w:rStyle w:val="FootnoteReference"/>
          <w:szCs w:val="18"/>
        </w:rPr>
        <w:footnoteRef/>
      </w:r>
      <w:r>
        <w:t xml:space="preserve"> </w:t>
      </w:r>
      <w:r>
        <w:tab/>
        <w:t>Рекомендации можно разделить на четыре категории: сохранить статус-кво (9), внести изменения в практику работы (10), разработать новые меры политики и процедуры (15) и организовать сбор комплексных данных (1).</w:t>
      </w:r>
    </w:p>
  </w:footnote>
  <w:footnote w:id="34">
    <w:p w14:paraId="28D4097F" w14:textId="11ED5310" w:rsidR="00C54079" w:rsidRPr="00C54079" w:rsidRDefault="00C54079" w:rsidP="00C54079">
      <w:pPr>
        <w:pStyle w:val="FootnoteText"/>
        <w:rPr>
          <w:szCs w:val="18"/>
        </w:rPr>
      </w:pPr>
      <w:r>
        <w:rPr>
          <w:rStyle w:val="FootnoteReference"/>
          <w:szCs w:val="18"/>
        </w:rPr>
        <w:footnoteRef/>
      </w:r>
      <w:r>
        <w:t xml:space="preserve"> </w:t>
      </w:r>
      <w:r>
        <w:tab/>
        <w:t xml:space="preserve">См. </w:t>
      </w:r>
      <w:hyperlink r:id="rId25" w:anchor="2.a." w:history="1">
        <w:r>
          <w:rPr>
            <w:rStyle w:val="Hyperlink"/>
          </w:rPr>
          <w:t>https://www.icann.org/resources/board-material/resolutions-2022-01-16-en#2.a</w:t>
        </w:r>
      </w:hyperlink>
      <w:r>
        <w:t>.</w:t>
      </w:r>
    </w:p>
  </w:footnote>
  <w:footnote w:id="35">
    <w:p w14:paraId="697D1225" w14:textId="67765F8E" w:rsidR="00C54079" w:rsidRPr="00C54079" w:rsidRDefault="00C54079" w:rsidP="00C54079">
      <w:pPr>
        <w:pStyle w:val="FootnoteText"/>
        <w:rPr>
          <w:szCs w:val="18"/>
        </w:rPr>
      </w:pPr>
      <w:r>
        <w:rPr>
          <w:rStyle w:val="FootnoteReference"/>
          <w:szCs w:val="18"/>
        </w:rPr>
        <w:footnoteRef/>
      </w:r>
      <w:r>
        <w:t xml:space="preserve"> </w:t>
      </w:r>
      <w:r w:rsidR="00CE03E1" w:rsidRPr="00923875">
        <w:tab/>
      </w:r>
      <w:r>
        <w:t xml:space="preserve">См. </w:t>
      </w:r>
      <w:hyperlink r:id="rId26" w:history="1">
        <w:r>
          <w:rPr>
            <w:rStyle w:val="Hyperlink"/>
          </w:rPr>
          <w:t>https://gnso.icann.org/en/issues/new-gtlds/rpm-final-issue-11jan16-en.pdf</w:t>
        </w:r>
      </w:hyperlink>
      <w:r>
        <w:t>.  См. также пресс-релиз ICANN GAC 74, в котором говорится следующее: «По окончании периода представления публичных комментариев по отчету о состоянии политики в отношении ЕПУС GAC получил от некоторых членов GAC информацию о целесообразности расширения сферы действия ЕПУС на географические указания.  GAC намерен рассмотреть этот вопрос в рамках подготовки к обсуждению на последующих заседаниях».</w:t>
      </w:r>
    </w:p>
  </w:footnote>
  <w:footnote w:id="36">
    <w:p w14:paraId="7E2DFA71" w14:textId="77777777" w:rsidR="00C54079" w:rsidRPr="00C54079" w:rsidRDefault="00C54079" w:rsidP="00C54079">
      <w:pPr>
        <w:pStyle w:val="FootnoteText"/>
        <w:rPr>
          <w:szCs w:val="18"/>
        </w:rPr>
      </w:pPr>
      <w:r>
        <w:rPr>
          <w:rStyle w:val="FootnoteReference"/>
          <w:szCs w:val="18"/>
        </w:rPr>
        <w:footnoteRef/>
      </w:r>
      <w:r>
        <w:t xml:space="preserve"> </w:t>
      </w:r>
      <w:r>
        <w:tab/>
        <w:t>См., среди прочего, пресс-релиз ICANN GAC 74, в котором говорится следующее: «GAC получил обновленную информацию о статусе запланированного пересмотра ЕПУС, и, в частности, отметил ссылку на раздел 13.1 Устава ICANN, в соответствии с которым Правлению и учредительным органам рекомендовано и даже желательно обращаться за консультациями к соответствующим государственным органам с соответствующим опытом вне ICANN (в частности, к Всемирной организации интеллектуальной собственности – ВОИС, как к автору и</w:t>
      </w:r>
    </w:p>
    <w:p w14:paraId="44EDBB8F" w14:textId="77777777" w:rsidR="00C54079" w:rsidRPr="00C54079" w:rsidRDefault="00C54079" w:rsidP="00C54079">
      <w:pPr>
        <w:pStyle w:val="FootnoteText"/>
        <w:rPr>
          <w:szCs w:val="18"/>
        </w:rPr>
      </w:pPr>
      <w:r>
        <w:t>куратору по вопросам ЕПУС), для информационной подготовки процесса разработки политики, и надеется на дальнейшее изучение этого положения до любого пересмотра ЕПУС».</w:t>
      </w:r>
    </w:p>
  </w:footnote>
  <w:footnote w:id="37">
    <w:p w14:paraId="33C8B617" w14:textId="5472AADA" w:rsidR="00C54079" w:rsidRPr="00C54079" w:rsidRDefault="00C54079" w:rsidP="00C54079">
      <w:pPr>
        <w:pStyle w:val="FootnoteText"/>
      </w:pPr>
      <w:r>
        <w:rPr>
          <w:rStyle w:val="FootnoteReference"/>
        </w:rPr>
        <w:footnoteRef/>
      </w:r>
      <w:r>
        <w:t xml:space="preserve"> </w:t>
      </w:r>
      <w:r>
        <w:tab/>
        <w:t xml:space="preserve">См. </w:t>
      </w:r>
      <w:hyperlink r:id="rId27" w:history="1">
        <w:r>
          <w:rPr>
            <w:rStyle w:val="Hyperlink"/>
          </w:rPr>
          <w:t>ww.icann.org/en/minutes/resolutions-20jun11-en.htm</w:t>
        </w:r>
      </w:hyperlink>
      <w:r>
        <w:t xml:space="preserve">.  Дополнительная справочная информация, включая ссылки, содержится в документе </w:t>
      </w:r>
      <w:hyperlink r:id="rId28" w:history="1">
        <w:r>
          <w:rPr>
            <w:rStyle w:val="Hyperlink"/>
          </w:rPr>
          <w:t>WO/GA/39/10</w:t>
        </w:r>
      </w:hyperlink>
      <w:r>
        <w:t>, в частности в пункте 14.</w:t>
      </w:r>
    </w:p>
  </w:footnote>
  <w:footnote w:id="38">
    <w:p w14:paraId="7B625BA9" w14:textId="0BAD6A1A" w:rsidR="00C54079" w:rsidRPr="00C54079" w:rsidRDefault="00C54079" w:rsidP="00C54079">
      <w:pPr>
        <w:pStyle w:val="FootnoteText"/>
        <w:rPr>
          <w:szCs w:val="18"/>
        </w:rPr>
      </w:pPr>
      <w:r>
        <w:rPr>
          <w:rStyle w:val="FootnoteReference"/>
          <w:szCs w:val="18"/>
        </w:rPr>
        <w:footnoteRef/>
      </w:r>
      <w:r>
        <w:t xml:space="preserve"> </w:t>
      </w:r>
      <w:r>
        <w:tab/>
        <w:t xml:space="preserve">Делегированные новые рДВУ перечислены по адресу </w:t>
      </w:r>
      <w:hyperlink r:id="rId29" w:history="1">
        <w:r>
          <w:rPr>
            <w:rStyle w:val="Hyperlink"/>
          </w:rPr>
          <w:t>https://newgtlds.icann.org/en/program-status/delegated-strings</w:t>
        </w:r>
      </w:hyperlink>
      <w:r>
        <w:t xml:space="preserve">.  </w:t>
      </w:r>
    </w:p>
  </w:footnote>
  <w:footnote w:id="39">
    <w:p w14:paraId="07636872" w14:textId="77777777" w:rsidR="00C54079" w:rsidRPr="00C54079" w:rsidRDefault="00C54079" w:rsidP="00C54079">
      <w:pPr>
        <w:pStyle w:val="FootnoteText"/>
      </w:pPr>
      <w:r>
        <w:rPr>
          <w:rStyle w:val="FootnoteReference"/>
        </w:rPr>
        <w:footnoteRef/>
      </w:r>
      <w:r>
        <w:t xml:space="preserve"> </w:t>
      </w:r>
      <w:r>
        <w:tab/>
        <w:t>См. ntldstats.com.</w:t>
      </w:r>
    </w:p>
  </w:footnote>
  <w:footnote w:id="40">
    <w:p w14:paraId="0BAA8F3F" w14:textId="440DED9F" w:rsidR="00C54079" w:rsidRPr="00C54079" w:rsidRDefault="00C54079" w:rsidP="00C54079">
      <w:pPr>
        <w:pStyle w:val="FootnoteText"/>
      </w:pPr>
      <w:r>
        <w:rPr>
          <w:rStyle w:val="FootnoteReference"/>
        </w:rPr>
        <w:footnoteRef/>
      </w:r>
      <w:r>
        <w:t xml:space="preserve"> </w:t>
      </w:r>
      <w:r>
        <w:tab/>
        <w:t xml:space="preserve">См. информационное письмо от января 2021 года относительно политики по последующим процедурам, применимым к новым рДВУ, по адресу:  </w:t>
      </w:r>
      <w:hyperlink r:id="rId30" w:history="1">
        <w:r>
          <w:rPr>
            <w:rStyle w:val="Hyperlink"/>
          </w:rPr>
          <w:t>https://myemail.constantcontact.com/Read-the-SubPro-PDP-Newsletter---January-2021-Edition.html?soid=1122025845763&amp;aid=qJxZ65sQtok</w:t>
        </w:r>
      </w:hyperlink>
      <w:r>
        <w:t xml:space="preserve">.  С заключительным докладом Рабочей группы, представленным 18 января 2021 года, можно ознакомиться по адресу: </w:t>
      </w:r>
      <w:hyperlink r:id="rId31" w:history="1">
        <w:r>
          <w:rPr>
            <w:rStyle w:val="Hyperlink"/>
          </w:rPr>
          <w:t>https://gnso.icann.org/sites/default/files/file/field-file-attach/final-report-newgtld-subsequent-procedures-pdp-02feb21-en.pdf</w:t>
        </w:r>
      </w:hyperlink>
      <w:r>
        <w:t>.</w:t>
      </w:r>
    </w:p>
  </w:footnote>
  <w:footnote w:id="41">
    <w:p w14:paraId="7FC78A4B" w14:textId="7188C513" w:rsidR="00C54079" w:rsidRPr="00C54079" w:rsidRDefault="00C54079" w:rsidP="00C54079">
      <w:pPr>
        <w:pStyle w:val="FootnoteText"/>
        <w:rPr>
          <w:szCs w:val="18"/>
        </w:rPr>
      </w:pPr>
      <w:r>
        <w:rPr>
          <w:rStyle w:val="FootnoteReference"/>
          <w:szCs w:val="18"/>
        </w:rPr>
        <w:footnoteRef/>
      </w:r>
      <w:r w:rsidR="00CE03E1" w:rsidRPr="00CE03E1">
        <w:t xml:space="preserve"> </w:t>
      </w:r>
      <w:r>
        <w:tab/>
        <w:t xml:space="preserve">Дополнительная справочная информация, включая ссылки, содержится в документе </w:t>
      </w:r>
      <w:hyperlink r:id="rId32" w:history="1">
        <w:r>
          <w:rPr>
            <w:rStyle w:val="Hyperlink"/>
          </w:rPr>
          <w:t>WO/GA/39/10</w:t>
        </w:r>
      </w:hyperlink>
      <w:r>
        <w:t>, в частности в пунктах 23–30.  В нем отмечается, что ICANN отклонила предложение о подготовке «Перечня знаков, пользующихся международной охраной».</w:t>
      </w:r>
    </w:p>
  </w:footnote>
  <w:footnote w:id="42">
    <w:p w14:paraId="25114B98" w14:textId="549686D5" w:rsidR="00C54079" w:rsidRPr="00C54079" w:rsidRDefault="00C54079" w:rsidP="00C54079">
      <w:pPr>
        <w:pStyle w:val="FootnoteText"/>
        <w:rPr>
          <w:szCs w:val="18"/>
        </w:rPr>
      </w:pPr>
      <w:r>
        <w:rPr>
          <w:rStyle w:val="FootnoteReference"/>
          <w:szCs w:val="18"/>
        </w:rPr>
        <w:footnoteRef/>
      </w:r>
      <w:r w:rsidR="00CE03E1" w:rsidRPr="00CE03E1">
        <w:t xml:space="preserve"> </w:t>
      </w:r>
      <w:r>
        <w:tab/>
        <w:t>Другими основаниями для подачи возражений, признаваемыми ICANN, являются: «возражения на основании смешения в доменной строке», «возражения на основании требований сообщества» и «возражения на основании ущемления интересов общества».  «Руководство для заявителя» предусматривает также ряд других процедур, которыми правительства могут пользоваться после того, как ICANN объявит о приеме заявок на регистрацию новых рДВУ.  В частности, раздел 1.1.2.4 предусматривает «Механизм раннего оповещения ПКК», а раздел 1.1.2.7 – «Рекомендации ПКК в отношении новых рДВУ», направляемые на рассмотрение Совета ICANN.</w:t>
      </w:r>
    </w:p>
  </w:footnote>
  <w:footnote w:id="43">
    <w:p w14:paraId="238DD2DF" w14:textId="5FEE2162" w:rsidR="00C54079" w:rsidRPr="00C54079" w:rsidRDefault="00C54079" w:rsidP="00C54079">
      <w:pPr>
        <w:pStyle w:val="FootnoteText"/>
        <w:rPr>
          <w:szCs w:val="18"/>
        </w:rPr>
      </w:pPr>
      <w:r>
        <w:rPr>
          <w:rStyle w:val="FootnoteReference"/>
          <w:szCs w:val="18"/>
        </w:rPr>
        <w:footnoteRef/>
      </w:r>
      <w:r>
        <w:t xml:space="preserve"> </w:t>
      </w:r>
      <w:r w:rsidR="00CE03E1" w:rsidRPr="00923875">
        <w:tab/>
      </w:r>
      <w:r>
        <w:t xml:space="preserve">См. </w:t>
      </w:r>
      <w:hyperlink r:id="rId33" w:history="1">
        <w:r>
          <w:rPr>
            <w:rStyle w:val="Hyperlink"/>
          </w:rPr>
          <w:t>https://www.wipo.int/amc/en/docs/icann130309.pdf</w:t>
        </w:r>
      </w:hyperlink>
      <w:r>
        <w:t>.</w:t>
      </w:r>
    </w:p>
  </w:footnote>
  <w:footnote w:id="44">
    <w:p w14:paraId="7AE43034" w14:textId="10266A01" w:rsidR="00C54079" w:rsidRPr="00C54079" w:rsidRDefault="00C54079" w:rsidP="00C54079">
      <w:pPr>
        <w:pStyle w:val="FootnoteText"/>
        <w:rPr>
          <w:szCs w:val="18"/>
        </w:rPr>
      </w:pPr>
      <w:r>
        <w:rPr>
          <w:rStyle w:val="FootnoteReference"/>
          <w:szCs w:val="18"/>
        </w:rPr>
        <w:footnoteRef/>
      </w:r>
      <w:r>
        <w:t xml:space="preserve"> </w:t>
      </w:r>
      <w:r>
        <w:tab/>
        <w:t xml:space="preserve">Центр, со своей стороны, направил в ICANN для обсуждения в апреле 2009 года проект документа «Ускоренный механизм приостановления действия регистрации (доменных имен)» (см. </w:t>
      </w:r>
      <w:hyperlink r:id="rId34" w:history="1">
        <w:r>
          <w:rPr>
            <w:rStyle w:val="Hyperlink"/>
          </w:rPr>
          <w:t>https://www.wipo.int/amc/en/docs/icann030409.pdf</w:t>
        </w:r>
      </w:hyperlink>
      <w:r>
        <w:t xml:space="preserve">) и затем внес на заседаниях ICANN предложения об оптимизации механизма, основанного на этой модели (см. </w:t>
      </w:r>
      <w:hyperlink r:id="rId35" w:history="1">
        <w:r w:rsidRPr="004E0382">
          <w:rPr>
            <w:rStyle w:val="Hyperlink"/>
            <w:lang w:val="en-US"/>
          </w:rPr>
          <w:t>https://prague44.icann.org/node/31773</w:t>
        </w:r>
      </w:hyperlink>
      <w:r w:rsidRPr="004E0382">
        <w:rPr>
          <w:lang w:val="en-US"/>
        </w:rPr>
        <w:t xml:space="preserve"> and </w:t>
      </w:r>
      <w:hyperlink r:id="rId36" w:history="1">
        <w:r w:rsidRPr="004E0382">
          <w:rPr>
            <w:rStyle w:val="Hyperlink"/>
            <w:lang w:val="en-US"/>
          </w:rPr>
          <w:t>https://archive.icann.org/en/meetings/toronto2012/node/34325.html</w:t>
        </w:r>
      </w:hyperlink>
      <w:r w:rsidRPr="004E0382">
        <w:rPr>
          <w:lang w:val="en-US"/>
        </w:rPr>
        <w:t xml:space="preserve">).  </w:t>
      </w:r>
      <w:r>
        <w:t xml:space="preserve">В этих предложениях учитывалась необходимость обеспечения разумного баланса между охраной признаваемых законом прав на товарный знак, практической заинтересованностью добросовестных регистрационных органов в минимизации их рабочей нагрузки и правомерными ожиданиями добросовестных регистрантов доменных имен.  </w:t>
      </w:r>
    </w:p>
  </w:footnote>
  <w:footnote w:id="45">
    <w:p w14:paraId="1F1A3301" w14:textId="77777777" w:rsidR="00C54079" w:rsidRPr="00C54079" w:rsidRDefault="00C54079" w:rsidP="00C54079">
      <w:pPr>
        <w:pStyle w:val="FootnoteText"/>
        <w:rPr>
          <w:szCs w:val="18"/>
        </w:rPr>
      </w:pPr>
      <w:r>
        <w:rPr>
          <w:rStyle w:val="FootnoteReference"/>
          <w:szCs w:val="18"/>
        </w:rPr>
        <w:footnoteRef/>
      </w:r>
      <w:r>
        <w:t xml:space="preserve"> </w:t>
      </w:r>
      <w:r>
        <w:tab/>
        <w:t>Регламент (ЕС) 2016/679 Европейского парламента и Совета от 27 апреля 2016 года о защите физических лиц в отношении обработки личных данных и о свободном движении таких данных, а также об отмене Директивы 95/46/EC (Общий регламент по защите данных).</w:t>
      </w:r>
    </w:p>
  </w:footnote>
  <w:footnote w:id="46">
    <w:p w14:paraId="4B23676F" w14:textId="43A1049C" w:rsidR="00C54079" w:rsidRPr="00C54079" w:rsidRDefault="00C54079" w:rsidP="00C54079">
      <w:pPr>
        <w:pStyle w:val="FootnoteText"/>
        <w:rPr>
          <w:szCs w:val="18"/>
        </w:rPr>
      </w:pPr>
      <w:r>
        <w:rPr>
          <w:rStyle w:val="FootnoteReference"/>
          <w:szCs w:val="18"/>
        </w:rPr>
        <w:footnoteRef/>
      </w:r>
      <w:r>
        <w:t xml:space="preserve"> </w:t>
      </w:r>
      <w:r>
        <w:tab/>
        <w:t>См. https://</w:t>
      </w:r>
      <w:hyperlink r:id="rId37" w:history="1">
        <w:r>
          <w:rPr>
            <w:rStyle w:val="Hyperlink"/>
          </w:rPr>
          <w:t>www.icann.org/resources/pages/gtld-registration-data-specs-en</w:t>
        </w:r>
      </w:hyperlink>
      <w:r>
        <w:t xml:space="preserve">, приложение F. См. также </w:t>
      </w:r>
      <w:hyperlink r:id="rId38" w:history="1">
        <w:r>
          <w:rPr>
            <w:rStyle w:val="Hyperlink"/>
          </w:rPr>
          <w:t>https://www.icann.org/en/announcements/details/icann-board-reaffirms-temporary-specification-for-gtld-registration-data-29-1-2019-en</w:t>
        </w:r>
      </w:hyperlink>
      <w:r>
        <w:t>.</w:t>
      </w:r>
    </w:p>
  </w:footnote>
  <w:footnote w:id="47">
    <w:p w14:paraId="2843DE66" w14:textId="4B6B5E9A" w:rsidR="00C54079" w:rsidRPr="00C54079" w:rsidRDefault="00C54079" w:rsidP="00C54079">
      <w:pPr>
        <w:pStyle w:val="FootnoteText"/>
        <w:rPr>
          <w:szCs w:val="18"/>
        </w:rPr>
      </w:pPr>
      <w:r>
        <w:rPr>
          <w:rStyle w:val="FootnoteReference"/>
          <w:szCs w:val="18"/>
        </w:rPr>
        <w:footnoteRef/>
      </w:r>
      <w:r>
        <w:t xml:space="preserve"> </w:t>
      </w:r>
      <w:r>
        <w:tab/>
        <w:t xml:space="preserve">В 2018 году Центр опубликовал неофициальное руководство ВОИС для сторон споров о практическом влиянии GDPR на процедуру с использованием ЕПУС.  См. </w:t>
      </w:r>
      <w:hyperlink r:id="rId39" w:history="1">
        <w:r>
          <w:rPr>
            <w:rStyle w:val="Hyperlink"/>
          </w:rPr>
          <w:t>https://www.wipo.int/amc/en/domains/gdpr</w:t>
        </w:r>
      </w:hyperlink>
      <w:r>
        <w:t xml:space="preserve">.  </w:t>
      </w:r>
    </w:p>
  </w:footnote>
  <w:footnote w:id="48">
    <w:p w14:paraId="29D6E7B3" w14:textId="78FB7896" w:rsidR="00C54079" w:rsidRPr="00C54079" w:rsidRDefault="00C54079" w:rsidP="00C54079">
      <w:pPr>
        <w:pStyle w:val="FootnoteText"/>
        <w:rPr>
          <w:szCs w:val="18"/>
        </w:rPr>
      </w:pPr>
      <w:r>
        <w:rPr>
          <w:rStyle w:val="FootnoteReference"/>
          <w:szCs w:val="18"/>
        </w:rPr>
        <w:footnoteRef/>
      </w:r>
      <w:r>
        <w:t xml:space="preserve"> </w:t>
      </w:r>
      <w:r>
        <w:tab/>
        <w:t xml:space="preserve">См. </w:t>
      </w:r>
      <w:hyperlink r:id="rId40" w:history="1">
        <w:r>
          <w:rPr>
            <w:rStyle w:val="Hyperlink"/>
          </w:rPr>
          <w:t>https://gnso.icann.org/sites/default/files/file/field-file-attach/policy-briefing-icann70-03mar21-en.pdf</w:t>
        </w:r>
      </w:hyperlink>
      <w:r>
        <w:t>.  См. также заявление меньшинства Правительственного консультативного комитета (GAC) относительно заключительного доклада, подготовленного по итогам второго этапа EPDP по регистрационным данным для рДВУ, по адресу:</w:t>
      </w:r>
      <w:hyperlink r:id="rId41" w:history="1">
        <w:r>
          <w:rPr>
            <w:rStyle w:val="Hyperlink"/>
          </w:rPr>
          <w:t>https://gac.icann.org/statement/public/gac-minority-statement-epdp-phase2-24aug20.pdf</w:t>
        </w:r>
      </w:hyperlink>
      <w:r>
        <w:t>.</w:t>
      </w:r>
    </w:p>
  </w:footnote>
  <w:footnote w:id="49">
    <w:p w14:paraId="34837FE4" w14:textId="10463500" w:rsidR="00C54079" w:rsidRPr="00C54079" w:rsidRDefault="00C54079" w:rsidP="00C54079">
      <w:pPr>
        <w:pStyle w:val="FootnoteText"/>
      </w:pPr>
      <w:r>
        <w:rPr>
          <w:rStyle w:val="FootnoteReference"/>
        </w:rPr>
        <w:footnoteRef/>
      </w:r>
      <w:r>
        <w:t xml:space="preserve"> </w:t>
      </w:r>
      <w:r>
        <w:tab/>
        <w:t xml:space="preserve">См. </w:t>
      </w:r>
      <w:hyperlink r:id="rId42" w:history="1">
        <w:r>
          <w:rPr>
            <w:rStyle w:val="Hyperlink"/>
          </w:rPr>
          <w:t>https://www.edpb.europa.eu/our-work-tools/general-guidance/guidelines-recommendations-best-practices_en</w:t>
        </w:r>
      </w:hyperlink>
      <w:r>
        <w:t xml:space="preserve"> и </w:t>
      </w:r>
      <w:hyperlink r:id="rId43" w:history="1">
        <w:r>
          <w:rPr>
            <w:rStyle w:val="Hyperlink"/>
          </w:rPr>
          <w:t>https://ec.europa.eu/newsroom/dae/redirection/document/108437</w:t>
        </w:r>
      </w:hyperlink>
      <w:r>
        <w:t>.</w:t>
      </w:r>
    </w:p>
  </w:footnote>
  <w:footnote w:id="50">
    <w:p w14:paraId="1FFA620E" w14:textId="76F97039" w:rsidR="00C54079" w:rsidRPr="00C54079" w:rsidRDefault="00C54079" w:rsidP="00C54079">
      <w:pPr>
        <w:pStyle w:val="FootnoteText"/>
      </w:pPr>
      <w:r>
        <w:rPr>
          <w:rStyle w:val="FootnoteReference"/>
        </w:rPr>
        <w:footnoteRef/>
      </w:r>
      <w:r>
        <w:t xml:space="preserve"> </w:t>
      </w:r>
      <w:r>
        <w:tab/>
        <w:t xml:space="preserve">См. </w:t>
      </w:r>
      <w:hyperlink r:id="rId44" w:history="1">
        <w:r>
          <w:rPr>
            <w:rStyle w:val="Hyperlink"/>
          </w:rPr>
          <w:t>https://www.icann.org/resources/pages/rdap-background-2018-08-31-en</w:t>
        </w:r>
      </w:hyperlink>
      <w:r>
        <w:t>.</w:t>
      </w:r>
    </w:p>
  </w:footnote>
  <w:footnote w:id="51">
    <w:p w14:paraId="639066DC" w14:textId="46D10557" w:rsidR="00C54079" w:rsidRPr="00C54079" w:rsidRDefault="00C54079" w:rsidP="00C54079">
      <w:pPr>
        <w:pStyle w:val="FootnoteText"/>
      </w:pPr>
      <w:r>
        <w:rPr>
          <w:rStyle w:val="FootnoteReference"/>
        </w:rPr>
        <w:footnoteRef/>
      </w:r>
      <w:r>
        <w:t xml:space="preserve"> </w:t>
      </w:r>
      <w:r w:rsidR="00CE03E1">
        <w:tab/>
      </w:r>
      <w:r>
        <w:t xml:space="preserve">См. </w:t>
      </w:r>
      <w:hyperlink r:id="rId45" w:history="1">
        <w:r>
          <w:rPr>
            <w:rStyle w:val="Hyperlink"/>
          </w:rPr>
          <w:t>https://www.icann.org/resources/pages/global-amendment-2023-en</w:t>
        </w:r>
      </w:hyperlink>
      <w:r>
        <w:t>.</w:t>
      </w:r>
    </w:p>
  </w:footnote>
  <w:footnote w:id="52">
    <w:p w14:paraId="35C6F378" w14:textId="6F02C23C" w:rsidR="00C54079" w:rsidRPr="00C54079" w:rsidRDefault="00C54079" w:rsidP="00C54079">
      <w:pPr>
        <w:pStyle w:val="FootnoteText"/>
        <w:rPr>
          <w:szCs w:val="18"/>
        </w:rPr>
      </w:pPr>
      <w:r>
        <w:rPr>
          <w:rStyle w:val="FootnoteReference"/>
          <w:szCs w:val="18"/>
        </w:rPr>
        <w:footnoteRef/>
      </w:r>
      <w:r w:rsidR="00CE03E1">
        <w:t xml:space="preserve"> </w:t>
      </w:r>
      <w:r>
        <w:tab/>
        <w:t>В 2007 году были опубликованы «Принципы ПКК, касающиеся новых рДВУ» которые, среди прочего, предусматривают, что ICANN следует избегать делегирования новых рДВУ, касающихся названий стран, территорий или местностей, а также наименований региональных языков или народностей, кроме случаев, когда имеются соответствующие соглашения с правительствами или государственными органами.  Далее в «Принципах ПКК» говорится, что при новых регистрациях следует ввести процедуры блокирования/оспаривания по требованию правительств названий, имеющих национальное или географическое значение, на втором уровне DNS.  См</w:t>
      </w:r>
      <w:r w:rsidRPr="004E0382">
        <w:rPr>
          <w:lang w:val="en-US"/>
        </w:rPr>
        <w:t xml:space="preserve">. archive.icann.org/en/topics/new-gtlds/gac-principles-regarding-new-gtlds-28mar07-en.pdf.  </w:t>
      </w:r>
      <w:r>
        <w:t xml:space="preserve">См. также  </w:t>
      </w:r>
      <w:hyperlink r:id="rId46" w:history="1">
        <w:r w:rsidR="002F432B">
          <w:rPr>
            <w:rStyle w:val="Hyperlink"/>
          </w:rPr>
          <w:t>https://gac.icann.org/contentMigrated/icann63-barcelona-communique</w:t>
        </w:r>
      </w:hyperlink>
      <w:r>
        <w:t>.</w:t>
      </w:r>
    </w:p>
  </w:footnote>
  <w:footnote w:id="53">
    <w:p w14:paraId="2C770B80" w14:textId="21A1BDAF" w:rsidR="00C54079" w:rsidRPr="00C54079" w:rsidRDefault="00C54079" w:rsidP="00C54079">
      <w:pPr>
        <w:pStyle w:val="FootnoteText"/>
      </w:pPr>
      <w:r>
        <w:rPr>
          <w:rStyle w:val="FootnoteReference"/>
        </w:rPr>
        <w:footnoteRef/>
      </w:r>
      <w:r>
        <w:t xml:space="preserve"> </w:t>
      </w:r>
      <w:r>
        <w:tab/>
        <w:t xml:space="preserve">Что касается регистрации доменов второго уровня, базовое регистрационное соглашение ICANN включает «Список зарезервированных наименований второго уровня в реестрах рДВУ», где учтены определенные названия стран и территорий.  См. </w:t>
      </w:r>
      <w:hyperlink r:id="rId47" w:history="1">
        <w:r w:rsidR="002F432B">
          <w:rPr>
            <w:rStyle w:val="Hyperlink"/>
          </w:rPr>
          <w:t>https://newgtlds.icann.org/sites/default/files/base-agreement-specs-04jun12-en.pdf</w:t>
        </w:r>
      </w:hyperlink>
      <w:r>
        <w:t>, раздел 5.</w:t>
      </w:r>
    </w:p>
  </w:footnote>
  <w:footnote w:id="54">
    <w:p w14:paraId="6E00FD39" w14:textId="155CC613" w:rsidR="00C54079" w:rsidRPr="00C54079" w:rsidRDefault="00C54079" w:rsidP="00C54079">
      <w:pPr>
        <w:pStyle w:val="FootnoteText"/>
      </w:pPr>
      <w:r>
        <w:rPr>
          <w:rStyle w:val="FootnoteReference"/>
        </w:rPr>
        <w:footnoteRef/>
      </w:r>
      <w:r>
        <w:t xml:space="preserve"> </w:t>
      </w:r>
      <w:r>
        <w:tab/>
        <w:t>См.</w:t>
      </w:r>
      <w:hyperlink r:id="rId48" w:history="1">
        <w:r w:rsidR="002F432B" w:rsidRPr="002F432B">
          <w:rPr>
            <w:rStyle w:val="Hyperlink"/>
          </w:rPr>
          <w:t>https://newgtlds.icann.org/sites/default/files/evaluation-procedures-04jun12-en.pdf</w:t>
        </w:r>
      </w:hyperlink>
      <w:r>
        <w:t>, раздел 2.2.1.4.1 «Порядок</w:t>
      </w:r>
      <w:r w:rsidR="00CE03E1">
        <w:t xml:space="preserve"> </w:t>
      </w:r>
      <w:r>
        <w:t>работы с названиями стран и территорий».</w:t>
      </w:r>
    </w:p>
  </w:footnote>
  <w:footnote w:id="55">
    <w:p w14:paraId="36FF57BD" w14:textId="3F37EE43" w:rsidR="00C54079" w:rsidRPr="00C54079" w:rsidRDefault="00C54079" w:rsidP="00C54079">
      <w:pPr>
        <w:pStyle w:val="FootnoteText"/>
      </w:pPr>
      <w:r>
        <w:rPr>
          <w:rStyle w:val="FootnoteReference"/>
        </w:rPr>
        <w:footnoteRef/>
      </w:r>
      <w:r>
        <w:t xml:space="preserve"> </w:t>
      </w:r>
      <w:r>
        <w:tab/>
        <w:t xml:space="preserve">См. </w:t>
      </w:r>
      <w:hyperlink r:id="rId49" w:history="1">
        <w:r w:rsidR="002F432B">
          <w:rPr>
            <w:rStyle w:val="Hyperlink"/>
          </w:rPr>
          <w:t>https://newgtlds.icann.org/sites/default/files/evaluation-procedures-04jun12-en.pdf</w:t>
        </w:r>
      </w:hyperlink>
      <w:r>
        <w:t>, начиная с раздела 2.2.1.4.2</w:t>
      </w:r>
      <w:r w:rsidR="00CE03E1">
        <w:t xml:space="preserve"> </w:t>
      </w:r>
      <w:r>
        <w:t>«Географические наименования, в отношении которых требуется поддержка со стороны правительства», и newgtldprogram.icann.org/en.</w:t>
      </w:r>
    </w:p>
  </w:footnote>
  <w:footnote w:id="56">
    <w:p w14:paraId="7CD5B404" w14:textId="28CEEFB0" w:rsidR="00C54079" w:rsidRPr="00C54079" w:rsidRDefault="00C54079" w:rsidP="00C54079">
      <w:pPr>
        <w:pStyle w:val="FootnoteText"/>
        <w:shd w:val="clear" w:color="auto" w:fill="FFFFFF" w:themeFill="background1"/>
        <w:rPr>
          <w:color w:val="000000" w:themeColor="text1"/>
          <w:szCs w:val="18"/>
        </w:rPr>
      </w:pPr>
      <w:r>
        <w:rPr>
          <w:rStyle w:val="FootnoteReference"/>
          <w:szCs w:val="18"/>
        </w:rPr>
        <w:footnoteRef/>
      </w:r>
      <w:r>
        <w:t xml:space="preserve"> </w:t>
      </w:r>
      <w:r w:rsidR="00CE03E1">
        <w:tab/>
      </w:r>
      <w:r>
        <w:t xml:space="preserve">См. </w:t>
      </w:r>
      <w:hyperlink r:id="rId50" w:history="1">
        <w:r>
          <w:rPr>
            <w:rStyle w:val="Hyperlink"/>
          </w:rPr>
          <w:t>https://www.icann.org/en/system/files/correspondence/gac-to-board-27mar14-en.pdf</w:t>
        </w:r>
      </w:hyperlink>
      <w:r>
        <w:t xml:space="preserve">, пункт 4.  «Конкретные строки».  Хотя Совет принял рекомендацию ПКК о том, чтобы не утверждать некоторые заявки, он запросил у ПКК дополнительную информацию, а также предложил общественности представить свои комментарии по вопросу о ряде дополнительных механизмов охраны, предлагаемых ПКК в отношении ряда заявок общих категорий на делегирование новых рДВУ – например, новых рДВУ, имена которых соответствуют названиям контролируемых видов деятельности или словарным терминам.  См. </w:t>
      </w:r>
      <w:hyperlink r:id="rId51" w:history="1">
        <w:r>
          <w:rPr>
            <w:rStyle w:val="Hyperlink"/>
          </w:rPr>
          <w:t>https://www.icann.org/en/system/files/correspondence/gac-to-board-11apr13-en.pdf</w:t>
        </w:r>
      </w:hyperlink>
      <w:r>
        <w:t>.  Что касается приложения “.amazon”, в декабре 2019 года ICANN заключила Соглашение о регистрации, в соответствии с которым Amazon EU S.à r.l. получила разрешение на использование нового рДВУ “.amazon”.  См. </w:t>
      </w:r>
      <w:hyperlink r:id="rId52" w:history="1">
        <w:r>
          <w:rPr>
            <w:rStyle w:val="Hyperlink"/>
          </w:rPr>
          <w:t>www.icann.org/resources/agreement/amazon-2019-12-19-en</w:t>
        </w:r>
      </w:hyperlink>
      <w:r>
        <w:t xml:space="preserve">.  Подгруппа ПКК по географическим наименованиям (подгруппа Рабочей группы ПКК по будущим новым рДВУ) разработала проект документа, касающегося будущих раундов приема заявок на новые рДВУ, в котором изложены некоторые аспекты публичной политики в отношении географических наименований, которая в настоящее время продолжает обсуждаться в ICANN.  См. </w:t>
      </w:r>
      <w:hyperlink r:id="rId53" w:history="1">
        <w:r>
          <w:rPr>
            <w:rStyle w:val="Hyperlink"/>
          </w:rPr>
          <w:t>https://gac.icann.org/download/attachments/35455403/Geo%20names%20in%20new%20gTLDs%20Updated%20%20V3%20%2029%20august%202014%5B4%5D.pdf?version=1&amp;modificationDate=1411549504000&amp;api=v2</w:t>
        </w:r>
      </w:hyperlink>
      <w:r>
        <w:rPr>
          <w:color w:val="000000" w:themeColor="text1"/>
        </w:rPr>
        <w:t xml:space="preserve">.  </w:t>
      </w:r>
      <w:r>
        <w:t xml:space="preserve">См. также </w:t>
      </w:r>
      <w:hyperlink r:id="rId54" w:anchor="1.c." w:history="1">
        <w:r>
          <w:rPr>
            <w:rStyle w:val="Hyperlink"/>
          </w:rPr>
          <w:t>https://www.icann.org/resources/board-material/resolutions-2019-05-15-en#1.c.</w:t>
        </w:r>
      </w:hyperlink>
    </w:p>
  </w:footnote>
  <w:footnote w:id="57">
    <w:p w14:paraId="2D67ECCC" w14:textId="34EA44E6" w:rsidR="00C54079" w:rsidRPr="00C54079" w:rsidRDefault="00C54079" w:rsidP="00C54079">
      <w:pPr>
        <w:pStyle w:val="FootnoteText"/>
      </w:pPr>
      <w:r>
        <w:rPr>
          <w:rStyle w:val="FootnoteReference"/>
        </w:rPr>
        <w:footnoteRef/>
      </w:r>
      <w:r w:rsidR="00725644">
        <w:t xml:space="preserve"> </w:t>
      </w:r>
      <w:r>
        <w:tab/>
        <w:t xml:space="preserve">В 2023 году Европейский парламент и Совет утвердили регламент «Охрана географических указаний (ГУ), используемых для обозначения изделий ремесел и промышленности, в том числе в DNS» (см. </w:t>
      </w:r>
      <w:hyperlink r:id="rId55" w:history="1">
        <w:r>
          <w:rPr>
            <w:rStyle w:val="Hyperlink"/>
          </w:rPr>
          <w:t>https://eur-lex.europa.eu/legal-content/EN/TXT/?uri=CELEX%3A32023R2411</w:t>
        </w:r>
      </w:hyperlink>
      <w:r>
        <w:t xml:space="preserve">). Европейский парламент (см. </w:t>
      </w:r>
      <w:hyperlink r:id="rId56" w:history="1">
        <w:r>
          <w:rPr>
            <w:rStyle w:val="Hyperlink"/>
          </w:rPr>
          <w:t>https://www.europarl.europa.eu/doceo/document/TA-9-2024-0101_EN.html</w:t>
        </w:r>
      </w:hyperlink>
      <w:r>
        <w:t>) и Совет ЕС утвердили аналогичный предложенный регламент в отношении вин, крепких спиртных напитков и сельскохозяйственной продукции, содержащий некоторые положения в отношении доменных имен. Хотя ряд европейских нДВУ уже учитывают ГУ в своих системах АУС, утвержденный Регламент в действующей редакции сказывается на подходах к АУС ряда европейских нДВУ настолько, что потребуется их модернизация.</w:t>
      </w:r>
    </w:p>
  </w:footnote>
  <w:footnote w:id="58">
    <w:p w14:paraId="06F424F4" w14:textId="693E4B92" w:rsidR="00C54079" w:rsidRPr="00C54079" w:rsidRDefault="00C54079" w:rsidP="00C54079">
      <w:pPr>
        <w:pStyle w:val="FootnoteText"/>
        <w:rPr>
          <w:szCs w:val="18"/>
        </w:rPr>
      </w:pPr>
      <w:r>
        <w:rPr>
          <w:rStyle w:val="FootnoteReference"/>
          <w:szCs w:val="18"/>
        </w:rPr>
        <w:footnoteRef/>
      </w:r>
      <w:r>
        <w:t xml:space="preserve"> </w:t>
      </w:r>
      <w:r>
        <w:tab/>
        <w:t xml:space="preserve">В совокупности эти меры являются частью планов ICANN по уменьшению риска возможного смешения.  См., например, </w:t>
      </w:r>
      <w:hyperlink r:id="rId57" w:history="1">
        <w:r>
          <w:rPr>
            <w:rStyle w:val="Hyperlink"/>
          </w:rPr>
          <w:t>www.icann.org/en/system/files/files/two-character-ltr-ltr-authorization-release-13dec16-en.pdf</w:t>
        </w:r>
      </w:hyperlink>
      <w:r>
        <w:t xml:space="preserve"> и </w:t>
      </w:r>
      <w:hyperlink r:id="rId58" w:history="1">
        <w:r>
          <w:rPr>
            <w:rStyle w:val="Hyperlink"/>
          </w:rPr>
          <w:t>https://www.icann.org/en/system/files/files/implementation-memo-two-character-ascii-labels-22jan19-en.pdf</w:t>
        </w:r>
      </w:hyperlink>
      <w:r>
        <w:t>.</w:t>
      </w:r>
    </w:p>
  </w:footnote>
  <w:footnote w:id="59">
    <w:p w14:paraId="5F3A6C1F" w14:textId="3339F834" w:rsidR="00C54079" w:rsidRPr="00C54079" w:rsidRDefault="00C54079" w:rsidP="00C54079">
      <w:pPr>
        <w:pStyle w:val="FootnoteText"/>
      </w:pPr>
      <w:r>
        <w:rPr>
          <w:rStyle w:val="FootnoteReference"/>
        </w:rPr>
        <w:footnoteRef/>
      </w:r>
      <w:r w:rsidR="00725644">
        <w:t xml:space="preserve"> </w:t>
      </w:r>
      <w:r>
        <w:tab/>
        <w:t xml:space="preserve">См. также «Обзор текущего положения с географическими указаниями, названиями стран и другими географическими терминами в системе доменных имен», подготовленный Центром совместно с Секретариатом ПКТЗ 12 марта 2018 года и представленный в виде документа </w:t>
      </w:r>
      <w:hyperlink r:id="rId59" w:history="1">
        <w:r>
          <w:rPr>
            <w:rStyle w:val="Hyperlink"/>
          </w:rPr>
          <w:t>SCT/39/7</w:t>
        </w:r>
      </w:hyperlink>
      <w:r>
        <w:t>.</w:t>
      </w:r>
    </w:p>
  </w:footnote>
  <w:footnote w:id="60">
    <w:p w14:paraId="5F52C60A" w14:textId="197954BC" w:rsidR="00C54079" w:rsidRPr="00C54079" w:rsidRDefault="00C54079" w:rsidP="00C54079">
      <w:pPr>
        <w:pStyle w:val="FootnoteText"/>
        <w:rPr>
          <w:b/>
          <w:szCs w:val="18"/>
        </w:rPr>
      </w:pPr>
      <w:r>
        <w:rPr>
          <w:rStyle w:val="FootnoteReference"/>
          <w:szCs w:val="18"/>
        </w:rPr>
        <w:footnoteRef/>
      </w:r>
      <w:r w:rsidR="00923875">
        <w:t xml:space="preserve"> </w:t>
      </w:r>
      <w:r>
        <w:tab/>
        <w:t xml:space="preserve">См., например, документы </w:t>
      </w:r>
      <w:hyperlink r:id="rId60" w:history="1">
        <w:r>
          <w:rPr>
            <w:rStyle w:val="Hyperlink"/>
          </w:rPr>
          <w:t>SCT/37/4</w:t>
        </w:r>
      </w:hyperlink>
      <w:r>
        <w:t xml:space="preserve">, </w:t>
      </w:r>
      <w:hyperlink r:id="rId61" w:history="1">
        <w:r>
          <w:rPr>
            <w:rStyle w:val="Hyperlink"/>
          </w:rPr>
          <w:t>SCT/37/5</w:t>
        </w:r>
      </w:hyperlink>
      <w:r>
        <w:t xml:space="preserve">, </w:t>
      </w:r>
      <w:hyperlink r:id="rId62" w:history="1">
        <w:r>
          <w:rPr>
            <w:rStyle w:val="Hyperlink"/>
          </w:rPr>
          <w:t>SCT/38/3</w:t>
        </w:r>
      </w:hyperlink>
      <w:r>
        <w:t xml:space="preserve">, </w:t>
      </w:r>
      <w:hyperlink r:id="rId63" w:history="1">
        <w:r>
          <w:rPr>
            <w:rStyle w:val="Hyperlink"/>
          </w:rPr>
          <w:t>SCT/39/5</w:t>
        </w:r>
      </w:hyperlink>
      <w:r>
        <w:t xml:space="preserve">, </w:t>
      </w:r>
      <w:hyperlink r:id="rId64" w:history="1">
        <w:r>
          <w:rPr>
            <w:rStyle w:val="Hyperlink"/>
          </w:rPr>
          <w:t>SCT/40/4</w:t>
        </w:r>
      </w:hyperlink>
      <w:r>
        <w:t xml:space="preserve">, </w:t>
      </w:r>
      <w:hyperlink r:id="rId65" w:history="1">
        <w:r>
          <w:rPr>
            <w:rStyle w:val="Hyperlink"/>
          </w:rPr>
          <w:t>SCT/41/5</w:t>
        </w:r>
      </w:hyperlink>
      <w:r>
        <w:t xml:space="preserve">, </w:t>
      </w:r>
      <w:hyperlink r:id="rId66" w:history="1">
        <w:r>
          <w:rPr>
            <w:rStyle w:val="Hyperlink"/>
          </w:rPr>
          <w:t>SCT/42/3</w:t>
        </w:r>
      </w:hyperlink>
      <w:r>
        <w:t xml:space="preserve">, </w:t>
      </w:r>
      <w:hyperlink r:id="rId67" w:history="1">
        <w:r>
          <w:rPr>
            <w:rStyle w:val="Hyperlink"/>
          </w:rPr>
          <w:t>SCT/43/4</w:t>
        </w:r>
      </w:hyperlink>
      <w:r>
        <w:t xml:space="preserve">, </w:t>
      </w:r>
      <w:hyperlink r:id="rId68" w:history="1">
        <w:r>
          <w:rPr>
            <w:rStyle w:val="Hyperlink"/>
          </w:rPr>
          <w:t>SCT/44/2</w:t>
        </w:r>
      </w:hyperlink>
      <w:r>
        <w:t xml:space="preserve">, </w:t>
      </w:r>
      <w:hyperlink r:id="rId69" w:history="1">
        <w:r>
          <w:rPr>
            <w:rStyle w:val="Hyperlink"/>
          </w:rPr>
          <w:t>SCT/45/3</w:t>
        </w:r>
      </w:hyperlink>
      <w:r>
        <w:t xml:space="preserve">, </w:t>
      </w:r>
      <w:hyperlink r:id="rId70" w:history="1">
        <w:r>
          <w:rPr>
            <w:rStyle w:val="Hyperlink"/>
          </w:rPr>
          <w:t>SCT/46/3</w:t>
        </w:r>
      </w:hyperlink>
      <w:r>
        <w:t xml:space="preserve">, </w:t>
      </w:r>
      <w:hyperlink r:id="rId71" w:history="1">
        <w:r>
          <w:rPr>
            <w:rStyle w:val="Hyperlink"/>
          </w:rPr>
          <w:t>SCT/47/2</w:t>
        </w:r>
      </w:hyperlink>
      <w:r>
        <w:t xml:space="preserve"> и </w:t>
      </w:r>
      <w:hyperlink r:id="rId72" w:history="1">
        <w:r>
          <w:rPr>
            <w:rStyle w:val="Hyperlink"/>
          </w:rPr>
          <w:t>SCT/48/2</w:t>
        </w:r>
      </w:hyperlink>
      <w:r>
        <w:t xml:space="preserve">.  См. также информацию о мероприятии </w:t>
      </w:r>
      <w:hyperlink r:id="rId73" w:history="1">
        <w:r>
          <w:rPr>
            <w:rStyle w:val="Hyperlink"/>
          </w:rPr>
          <w:t>SCT/IS/GEO/GE/17</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895C" w14:textId="3E1F6B20" w:rsidR="00EC4E49" w:rsidRDefault="00C54079" w:rsidP="00477D6B">
    <w:pPr>
      <w:jc w:val="right"/>
    </w:pPr>
    <w:bookmarkStart w:id="14" w:name="Code2"/>
    <w:bookmarkEnd w:id="14"/>
    <w:r>
      <w:t>WO/GA/58/11</w:t>
    </w:r>
  </w:p>
  <w:p w14:paraId="2CAC7CCB" w14:textId="77777777" w:rsidR="00EC4E49" w:rsidRDefault="00EC4E49" w:rsidP="00477D6B">
    <w:pPr>
      <w:jc w:val="right"/>
    </w:pPr>
    <w:r>
      <w:t xml:space="preserve">cтр. </w:t>
    </w:r>
    <w:r>
      <w:fldChar w:fldCharType="begin"/>
    </w:r>
    <w:r>
      <w:instrText xml:space="preserve"> PAGE  \* MERGEFORMAT </w:instrText>
    </w:r>
    <w:r>
      <w:fldChar w:fldCharType="separate"/>
    </w:r>
    <w:r w:rsidR="00E671A6">
      <w:t>2</w:t>
    </w:r>
    <w:r>
      <w:fldChar w:fldCharType="end"/>
    </w:r>
  </w:p>
  <w:p w14:paraId="703C4093" w14:textId="77777777" w:rsidR="00EC4E49" w:rsidRDefault="00EC4E49" w:rsidP="00477D6B">
    <w:pPr>
      <w:jc w:val="right"/>
    </w:pPr>
  </w:p>
  <w:p w14:paraId="52863685" w14:textId="77777777" w:rsidR="00B50B99" w:rsidRDefault="00B50B9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A27031"/>
    <w:multiLevelType w:val="hybridMultilevel"/>
    <w:tmpl w:val="FFFFFFFF"/>
    <w:lvl w:ilvl="0" w:tplc="83302EC4">
      <w:start w:val="5"/>
      <w:numFmt w:val="decimal"/>
      <w:lvlText w:val="%1."/>
      <w:lvlJc w:val="left"/>
      <w:pPr>
        <w:ind w:left="360" w:hanging="360"/>
      </w:pPr>
    </w:lvl>
    <w:lvl w:ilvl="1" w:tplc="73168474">
      <w:start w:val="1"/>
      <w:numFmt w:val="lowerLetter"/>
      <w:lvlText w:val="%2."/>
      <w:lvlJc w:val="left"/>
      <w:pPr>
        <w:ind w:left="1440" w:hanging="360"/>
      </w:pPr>
    </w:lvl>
    <w:lvl w:ilvl="2" w:tplc="ECD8D328">
      <w:start w:val="1"/>
      <w:numFmt w:val="lowerRoman"/>
      <w:lvlText w:val="%3."/>
      <w:lvlJc w:val="right"/>
      <w:pPr>
        <w:ind w:left="2160" w:hanging="180"/>
      </w:pPr>
    </w:lvl>
    <w:lvl w:ilvl="3" w:tplc="3B00D1B2">
      <w:start w:val="1"/>
      <w:numFmt w:val="decimal"/>
      <w:lvlText w:val="%4."/>
      <w:lvlJc w:val="left"/>
      <w:pPr>
        <w:ind w:left="2880" w:hanging="360"/>
      </w:pPr>
    </w:lvl>
    <w:lvl w:ilvl="4" w:tplc="3A008A98">
      <w:start w:val="1"/>
      <w:numFmt w:val="lowerLetter"/>
      <w:lvlText w:val="%5."/>
      <w:lvlJc w:val="left"/>
      <w:pPr>
        <w:ind w:left="3600" w:hanging="360"/>
      </w:pPr>
    </w:lvl>
    <w:lvl w:ilvl="5" w:tplc="5B5E9040">
      <w:start w:val="1"/>
      <w:numFmt w:val="lowerRoman"/>
      <w:lvlText w:val="%6."/>
      <w:lvlJc w:val="right"/>
      <w:pPr>
        <w:ind w:left="4320" w:hanging="180"/>
      </w:pPr>
    </w:lvl>
    <w:lvl w:ilvl="6" w:tplc="63F8A3AE">
      <w:start w:val="1"/>
      <w:numFmt w:val="decimal"/>
      <w:lvlText w:val="%7."/>
      <w:lvlJc w:val="left"/>
      <w:pPr>
        <w:ind w:left="5040" w:hanging="360"/>
      </w:pPr>
    </w:lvl>
    <w:lvl w:ilvl="7" w:tplc="C318183C">
      <w:start w:val="1"/>
      <w:numFmt w:val="lowerLetter"/>
      <w:lvlText w:val="%8."/>
      <w:lvlJc w:val="left"/>
      <w:pPr>
        <w:ind w:left="5760" w:hanging="360"/>
      </w:pPr>
    </w:lvl>
    <w:lvl w:ilvl="8" w:tplc="FD9E4A24">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AB5786D"/>
    <w:multiLevelType w:val="hybridMultilevel"/>
    <w:tmpl w:val="158629E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81862"/>
    <w:multiLevelType w:val="hybridMultilevel"/>
    <w:tmpl w:val="61D6E5F6"/>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47F9"/>
    <w:multiLevelType w:val="hybridMultilevel"/>
    <w:tmpl w:val="353487DA"/>
    <w:lvl w:ilvl="0" w:tplc="0409000F">
      <w:start w:val="3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3390467"/>
    <w:multiLevelType w:val="hybridMultilevel"/>
    <w:tmpl w:val="723615C6"/>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B12FE"/>
    <w:multiLevelType w:val="hybridMultilevel"/>
    <w:tmpl w:val="680CF70A"/>
    <w:lvl w:ilvl="0" w:tplc="0DCA3D0C">
      <w:start w:val="6"/>
      <w:numFmt w:val="decimal"/>
      <w:lvlText w:val="%1."/>
      <w:lvlJc w:val="left"/>
      <w:pPr>
        <w:ind w:left="927" w:hanging="360"/>
      </w:pPr>
      <w:rPr>
        <w:rFonts w:hint="default"/>
        <w:b w:val="0"/>
        <w:i w:val="0"/>
      </w:rPr>
    </w:lvl>
    <w:lvl w:ilvl="1" w:tplc="547A3AD2">
      <w:start w:val="1"/>
      <w:numFmt w:val="lowerLetter"/>
      <w:lvlText w:val="(%2)"/>
      <w:lvlJc w:val="left"/>
      <w:pPr>
        <w:ind w:left="2043" w:hanging="576"/>
      </w:pPr>
      <w:rPr>
        <w:rFonts w:hint="default"/>
        <w:u w:val="none"/>
      </w:rPr>
    </w:lvl>
    <w:lvl w:ilvl="2" w:tplc="0409001B">
      <w:start w:val="1"/>
      <w:numFmt w:val="lowerRoman"/>
      <w:lvlText w:val="%3."/>
      <w:lvlJc w:val="right"/>
      <w:pPr>
        <w:ind w:left="2547" w:hanging="180"/>
      </w:pPr>
    </w:lvl>
    <w:lvl w:ilvl="3" w:tplc="0409000F">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10" w15:restartNumberingAfterBreak="0">
    <w:nsid w:val="24810EEB"/>
    <w:multiLevelType w:val="hybridMultilevel"/>
    <w:tmpl w:val="194CFCD0"/>
    <w:lvl w:ilvl="0" w:tplc="0409000F">
      <w:start w:val="3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B46547"/>
    <w:multiLevelType w:val="hybridMultilevel"/>
    <w:tmpl w:val="C3B6C01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13FEE"/>
    <w:multiLevelType w:val="hybridMultilevel"/>
    <w:tmpl w:val="9F2CD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46BDC"/>
    <w:multiLevelType w:val="hybridMultilevel"/>
    <w:tmpl w:val="FFFFFFFF"/>
    <w:lvl w:ilvl="0" w:tplc="14267670">
      <w:start w:val="5"/>
      <w:numFmt w:val="decimal"/>
      <w:lvlText w:val="%1."/>
      <w:lvlJc w:val="left"/>
      <w:pPr>
        <w:ind w:left="360" w:hanging="360"/>
      </w:pPr>
    </w:lvl>
    <w:lvl w:ilvl="1" w:tplc="110C77B8">
      <w:start w:val="1"/>
      <w:numFmt w:val="lowerLetter"/>
      <w:lvlText w:val="%2."/>
      <w:lvlJc w:val="left"/>
      <w:pPr>
        <w:ind w:left="1440" w:hanging="360"/>
      </w:pPr>
    </w:lvl>
    <w:lvl w:ilvl="2" w:tplc="4B44CE4A">
      <w:start w:val="1"/>
      <w:numFmt w:val="lowerRoman"/>
      <w:lvlText w:val="%3."/>
      <w:lvlJc w:val="right"/>
      <w:pPr>
        <w:ind w:left="2160" w:hanging="180"/>
      </w:pPr>
    </w:lvl>
    <w:lvl w:ilvl="3" w:tplc="6D140EAE">
      <w:start w:val="1"/>
      <w:numFmt w:val="decimal"/>
      <w:lvlText w:val="%4."/>
      <w:lvlJc w:val="left"/>
      <w:pPr>
        <w:ind w:left="2880" w:hanging="360"/>
      </w:pPr>
    </w:lvl>
    <w:lvl w:ilvl="4" w:tplc="81F2B252">
      <w:start w:val="1"/>
      <w:numFmt w:val="lowerLetter"/>
      <w:lvlText w:val="%5."/>
      <w:lvlJc w:val="left"/>
      <w:pPr>
        <w:ind w:left="3600" w:hanging="360"/>
      </w:pPr>
    </w:lvl>
    <w:lvl w:ilvl="5" w:tplc="A4605EDC">
      <w:start w:val="1"/>
      <w:numFmt w:val="lowerRoman"/>
      <w:lvlText w:val="%6."/>
      <w:lvlJc w:val="right"/>
      <w:pPr>
        <w:ind w:left="4320" w:hanging="180"/>
      </w:pPr>
    </w:lvl>
    <w:lvl w:ilvl="6" w:tplc="7766E72E">
      <w:start w:val="1"/>
      <w:numFmt w:val="decimal"/>
      <w:lvlText w:val="%7."/>
      <w:lvlJc w:val="left"/>
      <w:pPr>
        <w:ind w:left="5040" w:hanging="360"/>
      </w:pPr>
    </w:lvl>
    <w:lvl w:ilvl="7" w:tplc="5F6E69AC">
      <w:start w:val="1"/>
      <w:numFmt w:val="lowerLetter"/>
      <w:lvlText w:val="%8."/>
      <w:lvlJc w:val="left"/>
      <w:pPr>
        <w:ind w:left="5760" w:hanging="360"/>
      </w:pPr>
    </w:lvl>
    <w:lvl w:ilvl="8" w:tplc="7AC6943C">
      <w:start w:val="1"/>
      <w:numFmt w:val="lowerRoman"/>
      <w:lvlText w:val="%9."/>
      <w:lvlJc w:val="right"/>
      <w:pPr>
        <w:ind w:left="6480" w:hanging="180"/>
      </w:pPr>
    </w:lvl>
  </w:abstractNum>
  <w:abstractNum w:abstractNumId="14" w15:restartNumberingAfterBreak="0">
    <w:nsid w:val="36F05D7F"/>
    <w:multiLevelType w:val="hybridMultilevel"/>
    <w:tmpl w:val="371CAEB8"/>
    <w:lvl w:ilvl="0" w:tplc="D6A636DA">
      <w:start w:val="11"/>
      <w:numFmt w:val="decimal"/>
      <w:lvlText w:val="%1."/>
      <w:lvlJc w:val="left"/>
      <w:pPr>
        <w:ind w:left="-207" w:hanging="360"/>
      </w:pPr>
      <w:rPr>
        <w:rFonts w:hint="default"/>
      </w:r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5" w15:restartNumberingAfterBreak="0">
    <w:nsid w:val="3B4B684D"/>
    <w:multiLevelType w:val="hybridMultilevel"/>
    <w:tmpl w:val="F37679AC"/>
    <w:lvl w:ilvl="0" w:tplc="0409000F">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38D0C3"/>
    <w:multiLevelType w:val="hybridMultilevel"/>
    <w:tmpl w:val="FFFFFFFF"/>
    <w:lvl w:ilvl="0" w:tplc="FDD6B768">
      <w:start w:val="5"/>
      <w:numFmt w:val="decimal"/>
      <w:lvlText w:val="%1."/>
      <w:lvlJc w:val="left"/>
      <w:pPr>
        <w:ind w:left="360" w:hanging="360"/>
      </w:pPr>
    </w:lvl>
    <w:lvl w:ilvl="1" w:tplc="8C7A9DD8">
      <w:start w:val="1"/>
      <w:numFmt w:val="lowerLetter"/>
      <w:lvlText w:val="%2."/>
      <w:lvlJc w:val="left"/>
      <w:pPr>
        <w:ind w:left="1440" w:hanging="360"/>
      </w:pPr>
    </w:lvl>
    <w:lvl w:ilvl="2" w:tplc="0B42607A">
      <w:start w:val="1"/>
      <w:numFmt w:val="lowerRoman"/>
      <w:lvlText w:val="%3."/>
      <w:lvlJc w:val="right"/>
      <w:pPr>
        <w:ind w:left="2160" w:hanging="180"/>
      </w:pPr>
    </w:lvl>
    <w:lvl w:ilvl="3" w:tplc="C0CCF3E2">
      <w:start w:val="1"/>
      <w:numFmt w:val="decimal"/>
      <w:lvlText w:val="%4."/>
      <w:lvlJc w:val="left"/>
      <w:pPr>
        <w:ind w:left="2880" w:hanging="360"/>
      </w:pPr>
    </w:lvl>
    <w:lvl w:ilvl="4" w:tplc="CB062C36">
      <w:start w:val="1"/>
      <w:numFmt w:val="lowerLetter"/>
      <w:lvlText w:val="%5."/>
      <w:lvlJc w:val="left"/>
      <w:pPr>
        <w:ind w:left="3600" w:hanging="360"/>
      </w:pPr>
    </w:lvl>
    <w:lvl w:ilvl="5" w:tplc="663A25F8">
      <w:start w:val="1"/>
      <w:numFmt w:val="lowerRoman"/>
      <w:lvlText w:val="%6."/>
      <w:lvlJc w:val="right"/>
      <w:pPr>
        <w:ind w:left="4320" w:hanging="180"/>
      </w:pPr>
    </w:lvl>
    <w:lvl w:ilvl="6" w:tplc="E3142A78">
      <w:start w:val="1"/>
      <w:numFmt w:val="decimal"/>
      <w:lvlText w:val="%7."/>
      <w:lvlJc w:val="left"/>
      <w:pPr>
        <w:ind w:left="5040" w:hanging="360"/>
      </w:pPr>
    </w:lvl>
    <w:lvl w:ilvl="7" w:tplc="A18E4A8E">
      <w:start w:val="1"/>
      <w:numFmt w:val="lowerLetter"/>
      <w:lvlText w:val="%8."/>
      <w:lvlJc w:val="left"/>
      <w:pPr>
        <w:ind w:left="5760" w:hanging="360"/>
      </w:pPr>
    </w:lvl>
    <w:lvl w:ilvl="8" w:tplc="84064F36">
      <w:start w:val="1"/>
      <w:numFmt w:val="lowerRoman"/>
      <w:lvlText w:val="%9."/>
      <w:lvlJc w:val="right"/>
      <w:pPr>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703099"/>
    <w:multiLevelType w:val="hybridMultilevel"/>
    <w:tmpl w:val="411A0E4E"/>
    <w:lvl w:ilvl="0" w:tplc="5874F376">
      <w:start w:val="1"/>
      <w:numFmt w:val="decimal"/>
      <w:lvlText w:val="%1."/>
      <w:lvlJc w:val="left"/>
      <w:pPr>
        <w:ind w:left="360" w:hanging="360"/>
      </w:pPr>
      <w:rPr>
        <w:rFonts w:hint="default"/>
        <w:b w:val="0"/>
        <w:i w:val="0"/>
      </w:rPr>
    </w:lvl>
    <w:lvl w:ilvl="1" w:tplc="547A3AD2">
      <w:start w:val="1"/>
      <w:numFmt w:val="lowerLetter"/>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A65F6"/>
    <w:multiLevelType w:val="hybridMultilevel"/>
    <w:tmpl w:val="2CF2BFE4"/>
    <w:lvl w:ilvl="0" w:tplc="0409001B">
      <w:start w:val="1"/>
      <w:numFmt w:val="lowerRoman"/>
      <w:lvlText w:val="%1."/>
      <w:lvlJc w:val="righ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5C586E"/>
    <w:multiLevelType w:val="hybridMultilevel"/>
    <w:tmpl w:val="D3A29912"/>
    <w:lvl w:ilvl="0" w:tplc="5F3CF8B4">
      <w:start w:val="3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FD7D71"/>
    <w:multiLevelType w:val="hybridMultilevel"/>
    <w:tmpl w:val="21482CFA"/>
    <w:lvl w:ilvl="0" w:tplc="1474E7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B21B8A"/>
    <w:multiLevelType w:val="hybridMultilevel"/>
    <w:tmpl w:val="9070AE54"/>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31249170">
    <w:abstractNumId w:val="6"/>
  </w:num>
  <w:num w:numId="2" w16cid:durableId="648050909">
    <w:abstractNumId w:val="17"/>
  </w:num>
  <w:num w:numId="3" w16cid:durableId="1931624398">
    <w:abstractNumId w:val="0"/>
  </w:num>
  <w:num w:numId="4" w16cid:durableId="614560832">
    <w:abstractNumId w:val="20"/>
  </w:num>
  <w:num w:numId="5" w16cid:durableId="1109159100">
    <w:abstractNumId w:val="2"/>
  </w:num>
  <w:num w:numId="6" w16cid:durableId="677997887">
    <w:abstractNumId w:val="7"/>
  </w:num>
  <w:num w:numId="7" w16cid:durableId="1687291637">
    <w:abstractNumId w:val="9"/>
  </w:num>
  <w:num w:numId="8" w16cid:durableId="1905292140">
    <w:abstractNumId w:val="18"/>
  </w:num>
  <w:num w:numId="9" w16cid:durableId="356741539">
    <w:abstractNumId w:val="19"/>
  </w:num>
  <w:num w:numId="10" w16cid:durableId="1341195835">
    <w:abstractNumId w:val="12"/>
  </w:num>
  <w:num w:numId="11" w16cid:durableId="528026259">
    <w:abstractNumId w:val="14"/>
  </w:num>
  <w:num w:numId="12" w16cid:durableId="1270239941">
    <w:abstractNumId w:val="5"/>
  </w:num>
  <w:num w:numId="13" w16cid:durableId="2007246944">
    <w:abstractNumId w:val="4"/>
  </w:num>
  <w:num w:numId="14" w16cid:durableId="1857956961">
    <w:abstractNumId w:val="21"/>
  </w:num>
  <w:num w:numId="15" w16cid:durableId="1780754507">
    <w:abstractNumId w:val="10"/>
  </w:num>
  <w:num w:numId="16" w16cid:durableId="747381410">
    <w:abstractNumId w:val="11"/>
  </w:num>
  <w:num w:numId="17" w16cid:durableId="1867596128">
    <w:abstractNumId w:val="8"/>
  </w:num>
  <w:num w:numId="18" w16cid:durableId="1832137073">
    <w:abstractNumId w:val="15"/>
  </w:num>
  <w:num w:numId="19" w16cid:durableId="279150387">
    <w:abstractNumId w:val="3"/>
  </w:num>
  <w:num w:numId="20" w16cid:durableId="1850830244">
    <w:abstractNumId w:val="22"/>
  </w:num>
  <w:num w:numId="21" w16cid:durableId="1441029404">
    <w:abstractNumId w:val="23"/>
  </w:num>
  <w:num w:numId="22" w16cid:durableId="1095980204">
    <w:abstractNumId w:val="16"/>
  </w:num>
  <w:num w:numId="23" w16cid:durableId="667682732">
    <w:abstractNumId w:val="1"/>
  </w:num>
  <w:num w:numId="24" w16cid:durableId="19663477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079"/>
    <w:rsid w:val="00013D13"/>
    <w:rsid w:val="0001647B"/>
    <w:rsid w:val="00024E7D"/>
    <w:rsid w:val="00036411"/>
    <w:rsid w:val="000421C4"/>
    <w:rsid w:val="00043CAA"/>
    <w:rsid w:val="000563BE"/>
    <w:rsid w:val="00056615"/>
    <w:rsid w:val="00075432"/>
    <w:rsid w:val="00082C49"/>
    <w:rsid w:val="000860ED"/>
    <w:rsid w:val="0009014E"/>
    <w:rsid w:val="00091C40"/>
    <w:rsid w:val="000968ED"/>
    <w:rsid w:val="000B20D3"/>
    <w:rsid w:val="000B614B"/>
    <w:rsid w:val="000E0D2D"/>
    <w:rsid w:val="000F26F8"/>
    <w:rsid w:val="000F5E56"/>
    <w:rsid w:val="001024FE"/>
    <w:rsid w:val="00115F25"/>
    <w:rsid w:val="0011725F"/>
    <w:rsid w:val="0013496E"/>
    <w:rsid w:val="001362EE"/>
    <w:rsid w:val="00142756"/>
    <w:rsid w:val="00142868"/>
    <w:rsid w:val="0014584B"/>
    <w:rsid w:val="0016153F"/>
    <w:rsid w:val="00166853"/>
    <w:rsid w:val="001751CC"/>
    <w:rsid w:val="001832A6"/>
    <w:rsid w:val="001912E1"/>
    <w:rsid w:val="00194177"/>
    <w:rsid w:val="001B7D13"/>
    <w:rsid w:val="001C6808"/>
    <w:rsid w:val="001E2A3C"/>
    <w:rsid w:val="001F6342"/>
    <w:rsid w:val="0020306B"/>
    <w:rsid w:val="0020401D"/>
    <w:rsid w:val="00204422"/>
    <w:rsid w:val="002121FA"/>
    <w:rsid w:val="00217275"/>
    <w:rsid w:val="00224807"/>
    <w:rsid w:val="00246751"/>
    <w:rsid w:val="002634C4"/>
    <w:rsid w:val="00264B65"/>
    <w:rsid w:val="0027402A"/>
    <w:rsid w:val="00286AA0"/>
    <w:rsid w:val="002928D3"/>
    <w:rsid w:val="0029553B"/>
    <w:rsid w:val="002E27BA"/>
    <w:rsid w:val="002F1FE6"/>
    <w:rsid w:val="002F3FD8"/>
    <w:rsid w:val="002F432B"/>
    <w:rsid w:val="002F4E68"/>
    <w:rsid w:val="002F5833"/>
    <w:rsid w:val="0030499F"/>
    <w:rsid w:val="00312F7F"/>
    <w:rsid w:val="003166EB"/>
    <w:rsid w:val="003228B7"/>
    <w:rsid w:val="00323ABB"/>
    <w:rsid w:val="00331CA9"/>
    <w:rsid w:val="003508A3"/>
    <w:rsid w:val="003673CF"/>
    <w:rsid w:val="003755D0"/>
    <w:rsid w:val="00383687"/>
    <w:rsid w:val="003845C1"/>
    <w:rsid w:val="00395FF7"/>
    <w:rsid w:val="003A3D19"/>
    <w:rsid w:val="003A6F89"/>
    <w:rsid w:val="003B38C1"/>
    <w:rsid w:val="003D2EBB"/>
    <w:rsid w:val="003E3392"/>
    <w:rsid w:val="00423E3E"/>
    <w:rsid w:val="00426438"/>
    <w:rsid w:val="0042648F"/>
    <w:rsid w:val="00427AF4"/>
    <w:rsid w:val="004400E2"/>
    <w:rsid w:val="004512B4"/>
    <w:rsid w:val="00461632"/>
    <w:rsid w:val="004647DA"/>
    <w:rsid w:val="00472437"/>
    <w:rsid w:val="0047368E"/>
    <w:rsid w:val="00474062"/>
    <w:rsid w:val="0047550F"/>
    <w:rsid w:val="00476C53"/>
    <w:rsid w:val="00477D6B"/>
    <w:rsid w:val="00480F65"/>
    <w:rsid w:val="004A315B"/>
    <w:rsid w:val="004B324F"/>
    <w:rsid w:val="004B48A8"/>
    <w:rsid w:val="004C06B6"/>
    <w:rsid w:val="004D10C1"/>
    <w:rsid w:val="004D39C4"/>
    <w:rsid w:val="004E0382"/>
    <w:rsid w:val="004E60B1"/>
    <w:rsid w:val="004F0C1B"/>
    <w:rsid w:val="004F2557"/>
    <w:rsid w:val="0051128F"/>
    <w:rsid w:val="005207B1"/>
    <w:rsid w:val="005304FA"/>
    <w:rsid w:val="0053057A"/>
    <w:rsid w:val="00533FA1"/>
    <w:rsid w:val="00547583"/>
    <w:rsid w:val="00547D0C"/>
    <w:rsid w:val="00560A29"/>
    <w:rsid w:val="00575A8E"/>
    <w:rsid w:val="0057703B"/>
    <w:rsid w:val="00586009"/>
    <w:rsid w:val="00594D27"/>
    <w:rsid w:val="00597747"/>
    <w:rsid w:val="005A6EFD"/>
    <w:rsid w:val="005C45C3"/>
    <w:rsid w:val="005C7723"/>
    <w:rsid w:val="005F5BEE"/>
    <w:rsid w:val="00600F60"/>
    <w:rsid w:val="00601760"/>
    <w:rsid w:val="00605827"/>
    <w:rsid w:val="00606D2E"/>
    <w:rsid w:val="00626E6B"/>
    <w:rsid w:val="0062702A"/>
    <w:rsid w:val="00630C66"/>
    <w:rsid w:val="00630FFC"/>
    <w:rsid w:val="0063585F"/>
    <w:rsid w:val="00644BB3"/>
    <w:rsid w:val="00646050"/>
    <w:rsid w:val="00652D42"/>
    <w:rsid w:val="006713CA"/>
    <w:rsid w:val="006734C6"/>
    <w:rsid w:val="00676C5C"/>
    <w:rsid w:val="006773BC"/>
    <w:rsid w:val="00695558"/>
    <w:rsid w:val="006A6957"/>
    <w:rsid w:val="006B1C30"/>
    <w:rsid w:val="006B33EF"/>
    <w:rsid w:val="006C0B5B"/>
    <w:rsid w:val="006C7C0A"/>
    <w:rsid w:val="006D074A"/>
    <w:rsid w:val="006D108F"/>
    <w:rsid w:val="006D37B7"/>
    <w:rsid w:val="006D5E0F"/>
    <w:rsid w:val="006E1D7A"/>
    <w:rsid w:val="006F1A82"/>
    <w:rsid w:val="006F339A"/>
    <w:rsid w:val="007058FB"/>
    <w:rsid w:val="00722CB8"/>
    <w:rsid w:val="00723FE1"/>
    <w:rsid w:val="00725644"/>
    <w:rsid w:val="007321E2"/>
    <w:rsid w:val="00745BA0"/>
    <w:rsid w:val="00747C43"/>
    <w:rsid w:val="007607E8"/>
    <w:rsid w:val="007625E1"/>
    <w:rsid w:val="00762B77"/>
    <w:rsid w:val="007734F9"/>
    <w:rsid w:val="00773C8C"/>
    <w:rsid w:val="0077464B"/>
    <w:rsid w:val="007A2D7A"/>
    <w:rsid w:val="007A435A"/>
    <w:rsid w:val="007A7021"/>
    <w:rsid w:val="007B26E5"/>
    <w:rsid w:val="007B3675"/>
    <w:rsid w:val="007B6A58"/>
    <w:rsid w:val="007D1613"/>
    <w:rsid w:val="007D31C9"/>
    <w:rsid w:val="007D7666"/>
    <w:rsid w:val="007F3AEF"/>
    <w:rsid w:val="00801759"/>
    <w:rsid w:val="008020E8"/>
    <w:rsid w:val="0082385C"/>
    <w:rsid w:val="008264FB"/>
    <w:rsid w:val="00842EF7"/>
    <w:rsid w:val="008573E5"/>
    <w:rsid w:val="008629F9"/>
    <w:rsid w:val="00873EE5"/>
    <w:rsid w:val="00880BF5"/>
    <w:rsid w:val="008A7192"/>
    <w:rsid w:val="008B21AE"/>
    <w:rsid w:val="008B2CC1"/>
    <w:rsid w:val="008B4B5E"/>
    <w:rsid w:val="008B60B2"/>
    <w:rsid w:val="008D5447"/>
    <w:rsid w:val="008E5D52"/>
    <w:rsid w:val="009013CE"/>
    <w:rsid w:val="00905A5A"/>
    <w:rsid w:val="00906584"/>
    <w:rsid w:val="0090731E"/>
    <w:rsid w:val="00914D44"/>
    <w:rsid w:val="00916EE2"/>
    <w:rsid w:val="00923875"/>
    <w:rsid w:val="00931D2F"/>
    <w:rsid w:val="009365DF"/>
    <w:rsid w:val="009418BD"/>
    <w:rsid w:val="009453B4"/>
    <w:rsid w:val="00957B86"/>
    <w:rsid w:val="0096409D"/>
    <w:rsid w:val="00966A22"/>
    <w:rsid w:val="0096722F"/>
    <w:rsid w:val="00980843"/>
    <w:rsid w:val="00983038"/>
    <w:rsid w:val="00994244"/>
    <w:rsid w:val="00995748"/>
    <w:rsid w:val="009A6314"/>
    <w:rsid w:val="009C3F4A"/>
    <w:rsid w:val="009D06FE"/>
    <w:rsid w:val="009D0DD1"/>
    <w:rsid w:val="009E02BF"/>
    <w:rsid w:val="009E1257"/>
    <w:rsid w:val="009E2791"/>
    <w:rsid w:val="009E3F6F"/>
    <w:rsid w:val="009F3BF9"/>
    <w:rsid w:val="009F499F"/>
    <w:rsid w:val="00A22118"/>
    <w:rsid w:val="00A22D55"/>
    <w:rsid w:val="00A32EEE"/>
    <w:rsid w:val="00A42DAF"/>
    <w:rsid w:val="00A45BD8"/>
    <w:rsid w:val="00A75415"/>
    <w:rsid w:val="00A77470"/>
    <w:rsid w:val="00A778BF"/>
    <w:rsid w:val="00A85B8E"/>
    <w:rsid w:val="00A8669E"/>
    <w:rsid w:val="00A9118D"/>
    <w:rsid w:val="00A9693C"/>
    <w:rsid w:val="00AC05C0"/>
    <w:rsid w:val="00AC1F74"/>
    <w:rsid w:val="00AC205C"/>
    <w:rsid w:val="00AC373A"/>
    <w:rsid w:val="00AE03E7"/>
    <w:rsid w:val="00AE1741"/>
    <w:rsid w:val="00AE48AB"/>
    <w:rsid w:val="00AE6ECF"/>
    <w:rsid w:val="00AF1B65"/>
    <w:rsid w:val="00AF5C73"/>
    <w:rsid w:val="00B05A69"/>
    <w:rsid w:val="00B11D56"/>
    <w:rsid w:val="00B153A6"/>
    <w:rsid w:val="00B15F31"/>
    <w:rsid w:val="00B2533F"/>
    <w:rsid w:val="00B308AA"/>
    <w:rsid w:val="00B40598"/>
    <w:rsid w:val="00B476A0"/>
    <w:rsid w:val="00B50B99"/>
    <w:rsid w:val="00B5123D"/>
    <w:rsid w:val="00B53906"/>
    <w:rsid w:val="00B5395A"/>
    <w:rsid w:val="00B62CD9"/>
    <w:rsid w:val="00B657CB"/>
    <w:rsid w:val="00B714C0"/>
    <w:rsid w:val="00B930EB"/>
    <w:rsid w:val="00B946DD"/>
    <w:rsid w:val="00B9734B"/>
    <w:rsid w:val="00B97502"/>
    <w:rsid w:val="00BA01DA"/>
    <w:rsid w:val="00BC780D"/>
    <w:rsid w:val="00BD25EB"/>
    <w:rsid w:val="00BF230C"/>
    <w:rsid w:val="00BF6003"/>
    <w:rsid w:val="00C04AC2"/>
    <w:rsid w:val="00C108EA"/>
    <w:rsid w:val="00C10B6F"/>
    <w:rsid w:val="00C1116A"/>
    <w:rsid w:val="00C11BFE"/>
    <w:rsid w:val="00C54079"/>
    <w:rsid w:val="00C90F4B"/>
    <w:rsid w:val="00C94629"/>
    <w:rsid w:val="00CA6E90"/>
    <w:rsid w:val="00CA7059"/>
    <w:rsid w:val="00CB4A9B"/>
    <w:rsid w:val="00CB7B5A"/>
    <w:rsid w:val="00CC1AD1"/>
    <w:rsid w:val="00CC371E"/>
    <w:rsid w:val="00CC509F"/>
    <w:rsid w:val="00CC5400"/>
    <w:rsid w:val="00CC54E6"/>
    <w:rsid w:val="00CE03E1"/>
    <w:rsid w:val="00CE65D4"/>
    <w:rsid w:val="00CF3732"/>
    <w:rsid w:val="00D078B4"/>
    <w:rsid w:val="00D10476"/>
    <w:rsid w:val="00D33737"/>
    <w:rsid w:val="00D3577B"/>
    <w:rsid w:val="00D45252"/>
    <w:rsid w:val="00D50488"/>
    <w:rsid w:val="00D60549"/>
    <w:rsid w:val="00D609DE"/>
    <w:rsid w:val="00D610CA"/>
    <w:rsid w:val="00D71B4D"/>
    <w:rsid w:val="00D73E3A"/>
    <w:rsid w:val="00D908FE"/>
    <w:rsid w:val="00D93D55"/>
    <w:rsid w:val="00D94C2B"/>
    <w:rsid w:val="00DA761B"/>
    <w:rsid w:val="00DB22D9"/>
    <w:rsid w:val="00DB2CE4"/>
    <w:rsid w:val="00DB36D8"/>
    <w:rsid w:val="00DF5340"/>
    <w:rsid w:val="00E13928"/>
    <w:rsid w:val="00E15227"/>
    <w:rsid w:val="00E161A2"/>
    <w:rsid w:val="00E335FE"/>
    <w:rsid w:val="00E5021F"/>
    <w:rsid w:val="00E671A6"/>
    <w:rsid w:val="00E852DD"/>
    <w:rsid w:val="00E934D2"/>
    <w:rsid w:val="00EB1ED8"/>
    <w:rsid w:val="00EC11A5"/>
    <w:rsid w:val="00EC213C"/>
    <w:rsid w:val="00EC4E49"/>
    <w:rsid w:val="00EC5DEB"/>
    <w:rsid w:val="00ED4900"/>
    <w:rsid w:val="00ED77FB"/>
    <w:rsid w:val="00EE2D98"/>
    <w:rsid w:val="00F01E1D"/>
    <w:rsid w:val="00F021A6"/>
    <w:rsid w:val="00F11D94"/>
    <w:rsid w:val="00F12C7D"/>
    <w:rsid w:val="00F14CD2"/>
    <w:rsid w:val="00F159A8"/>
    <w:rsid w:val="00F17916"/>
    <w:rsid w:val="00F23E45"/>
    <w:rsid w:val="00F2514B"/>
    <w:rsid w:val="00F30518"/>
    <w:rsid w:val="00F34E3E"/>
    <w:rsid w:val="00F433F5"/>
    <w:rsid w:val="00F438CB"/>
    <w:rsid w:val="00F45B69"/>
    <w:rsid w:val="00F5268F"/>
    <w:rsid w:val="00F637DB"/>
    <w:rsid w:val="00F66152"/>
    <w:rsid w:val="00F66167"/>
    <w:rsid w:val="00F8096A"/>
    <w:rsid w:val="00FC2BAA"/>
    <w:rsid w:val="00FC56EE"/>
    <w:rsid w:val="00FD1305"/>
    <w:rsid w:val="00FD461E"/>
    <w:rsid w:val="00FD6CBA"/>
    <w:rsid w:val="00FF23F8"/>
    <w:rsid w:val="00FF430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8275C"/>
  <w15:docId w15:val="{53870FE8-B028-4944-AC6E-CA88CD09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noteTextChar">
    <w:name w:val="Footnote Text Char"/>
    <w:basedOn w:val="DefaultParagraphFont"/>
    <w:link w:val="FootnoteText"/>
    <w:uiPriority w:val="99"/>
    <w:rsid w:val="00C54079"/>
    <w:rPr>
      <w:rFonts w:ascii="Arial" w:eastAsia="SimSun" w:hAnsi="Arial" w:cs="Arial"/>
      <w:sz w:val="18"/>
      <w:lang w:val="ru-RU" w:eastAsia="zh-CN"/>
    </w:rPr>
  </w:style>
  <w:style w:type="paragraph" w:customStyle="1" w:styleId="DecisionInvitingPara">
    <w:name w:val="Decision Inviting Para."/>
    <w:basedOn w:val="Normal"/>
    <w:rsid w:val="00C54079"/>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C54079"/>
    <w:rPr>
      <w:vertAlign w:val="superscript"/>
    </w:rPr>
  </w:style>
  <w:style w:type="character" w:customStyle="1" w:styleId="ONUMEChar">
    <w:name w:val="ONUM E Char"/>
    <w:link w:val="ONUME"/>
    <w:rsid w:val="00C54079"/>
    <w:rPr>
      <w:rFonts w:ascii="Arial" w:eastAsia="SimSun" w:hAnsi="Arial" w:cs="Arial"/>
      <w:sz w:val="22"/>
      <w:lang w:val="ru-RU" w:eastAsia="zh-CN"/>
    </w:rPr>
  </w:style>
  <w:style w:type="paragraph" w:styleId="ListParagraph">
    <w:name w:val="List Paragraph"/>
    <w:basedOn w:val="Normal"/>
    <w:uiPriority w:val="34"/>
    <w:qFormat/>
    <w:rsid w:val="00C54079"/>
    <w:pPr>
      <w:ind w:left="720"/>
      <w:contextualSpacing/>
    </w:pPr>
    <w:rPr>
      <w:rFonts w:eastAsia="Times New Roman" w:cs="Times New Roman"/>
      <w:lang w:eastAsia="en-US"/>
    </w:rPr>
  </w:style>
  <w:style w:type="character" w:styleId="Hyperlink">
    <w:name w:val="Hyperlink"/>
    <w:basedOn w:val="DefaultParagraphFont"/>
    <w:unhideWhenUsed/>
    <w:rsid w:val="00C54079"/>
    <w:rPr>
      <w:color w:val="0000FF" w:themeColor="hyperlink"/>
      <w:u w:val="single"/>
    </w:rPr>
  </w:style>
  <w:style w:type="paragraph" w:customStyle="1" w:styleId="paragraph">
    <w:name w:val="paragraph"/>
    <w:basedOn w:val="Normal"/>
    <w:rsid w:val="00C54079"/>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C54079"/>
  </w:style>
  <w:style w:type="paragraph" w:styleId="BalloonText">
    <w:name w:val="Balloon Text"/>
    <w:basedOn w:val="Normal"/>
    <w:link w:val="BalloonTextChar"/>
    <w:semiHidden/>
    <w:unhideWhenUsed/>
    <w:rsid w:val="00C54079"/>
    <w:rPr>
      <w:rFonts w:ascii="Segoe UI" w:hAnsi="Segoe UI" w:cs="Segoe UI"/>
      <w:sz w:val="18"/>
      <w:szCs w:val="18"/>
    </w:rPr>
  </w:style>
  <w:style w:type="character" w:customStyle="1" w:styleId="BalloonTextChar">
    <w:name w:val="Balloon Text Char"/>
    <w:basedOn w:val="DefaultParagraphFont"/>
    <w:link w:val="BalloonText"/>
    <w:semiHidden/>
    <w:rsid w:val="00C54079"/>
    <w:rPr>
      <w:rFonts w:ascii="Segoe UI" w:eastAsia="SimSun" w:hAnsi="Segoe UI" w:cs="Segoe UI"/>
      <w:sz w:val="18"/>
      <w:szCs w:val="18"/>
      <w:lang w:val="ru-RU" w:eastAsia="zh-CN"/>
    </w:rPr>
  </w:style>
  <w:style w:type="character" w:styleId="FollowedHyperlink">
    <w:name w:val="FollowedHyperlink"/>
    <w:basedOn w:val="DefaultParagraphFont"/>
    <w:semiHidden/>
    <w:unhideWhenUsed/>
    <w:rsid w:val="00C54079"/>
    <w:rPr>
      <w:color w:val="800080" w:themeColor="followedHyperlink"/>
      <w:u w:val="single"/>
    </w:rPr>
  </w:style>
  <w:style w:type="character" w:styleId="CommentReference">
    <w:name w:val="annotation reference"/>
    <w:basedOn w:val="DefaultParagraphFont"/>
    <w:semiHidden/>
    <w:unhideWhenUsed/>
    <w:rsid w:val="00C54079"/>
    <w:rPr>
      <w:sz w:val="16"/>
      <w:szCs w:val="16"/>
    </w:rPr>
  </w:style>
  <w:style w:type="paragraph" w:styleId="CommentSubject">
    <w:name w:val="annotation subject"/>
    <w:basedOn w:val="CommentText"/>
    <w:next w:val="CommentText"/>
    <w:link w:val="CommentSubjectChar"/>
    <w:semiHidden/>
    <w:unhideWhenUsed/>
    <w:rsid w:val="00C54079"/>
    <w:rPr>
      <w:b/>
      <w:bCs/>
      <w:sz w:val="20"/>
    </w:rPr>
  </w:style>
  <w:style w:type="character" w:customStyle="1" w:styleId="CommentTextChar">
    <w:name w:val="Comment Text Char"/>
    <w:basedOn w:val="DefaultParagraphFont"/>
    <w:link w:val="CommentText"/>
    <w:semiHidden/>
    <w:rsid w:val="00C54079"/>
    <w:rPr>
      <w:rFonts w:ascii="Arial" w:eastAsia="SimSun" w:hAnsi="Arial" w:cs="Arial"/>
      <w:sz w:val="18"/>
      <w:lang w:val="ru-RU" w:eastAsia="zh-CN"/>
    </w:rPr>
  </w:style>
  <w:style w:type="character" w:customStyle="1" w:styleId="CommentSubjectChar">
    <w:name w:val="Comment Subject Char"/>
    <w:basedOn w:val="CommentTextChar"/>
    <w:link w:val="CommentSubject"/>
    <w:semiHidden/>
    <w:rsid w:val="00C54079"/>
    <w:rPr>
      <w:rFonts w:ascii="Arial" w:eastAsia="SimSun" w:hAnsi="Arial" w:cs="Arial"/>
      <w:b/>
      <w:bCs/>
      <w:sz w:val="18"/>
      <w:lang w:val="ru-RU" w:eastAsia="zh-CN"/>
    </w:rPr>
  </w:style>
  <w:style w:type="paragraph" w:styleId="Revision">
    <w:name w:val="Revision"/>
    <w:hidden/>
    <w:uiPriority w:val="99"/>
    <w:semiHidden/>
    <w:rsid w:val="00C54079"/>
    <w:rPr>
      <w:rFonts w:ascii="Arial" w:eastAsia="SimSun" w:hAnsi="Arial" w:cs="Arial"/>
      <w:sz w:val="22"/>
      <w:lang w:eastAsia="zh-CN"/>
    </w:rPr>
  </w:style>
  <w:style w:type="character" w:styleId="UnresolvedMention">
    <w:name w:val="Unresolved Mention"/>
    <w:basedOn w:val="DefaultParagraphFont"/>
    <w:uiPriority w:val="99"/>
    <w:semiHidden/>
    <w:unhideWhenUsed/>
    <w:rsid w:val="00C54079"/>
    <w:rPr>
      <w:color w:val="605E5C"/>
      <w:shd w:val="clear" w:color="auto" w:fill="E1DFDD"/>
    </w:rPr>
  </w:style>
  <w:style w:type="paragraph" w:styleId="NormalWeb">
    <w:name w:val="Normal (Web)"/>
    <w:basedOn w:val="Normal"/>
    <w:semiHidden/>
    <w:unhideWhenUsed/>
    <w:rsid w:val="00C54079"/>
    <w:rPr>
      <w:rFonts w:ascii="Times New Roman" w:hAnsi="Times New Roman" w:cs="Times New Roman"/>
      <w:sz w:val="24"/>
      <w:szCs w:val="24"/>
    </w:rPr>
  </w:style>
  <w:style w:type="character" w:customStyle="1" w:styleId="Heading3Char">
    <w:name w:val="Heading 3 Char"/>
    <w:basedOn w:val="DefaultParagraphFont"/>
    <w:link w:val="Heading3"/>
    <w:rsid w:val="00C54079"/>
    <w:rPr>
      <w:rFonts w:ascii="Arial" w:eastAsia="SimSun" w:hAnsi="Arial" w:cs="Arial"/>
      <w:bCs/>
      <w:sz w:val="22"/>
      <w:szCs w:val="26"/>
      <w:u w:val="single"/>
      <w:lang w:val="ru-RU" w:eastAsia="zh-CN"/>
    </w:rPr>
  </w:style>
  <w:style w:type="character" w:customStyle="1" w:styleId="Heading2Char">
    <w:name w:val="Heading 2 Char"/>
    <w:basedOn w:val="DefaultParagraphFont"/>
    <w:link w:val="Heading2"/>
    <w:rsid w:val="00C54079"/>
    <w:rPr>
      <w:rFonts w:ascii="Arial" w:eastAsia="SimSun" w:hAnsi="Arial" w:cs="Arial"/>
      <w:bCs/>
      <w:iCs/>
      <w:caps/>
      <w:sz w:val="22"/>
      <w:szCs w:val="28"/>
      <w:lang w:val="ru-RU" w:eastAsia="zh-CN"/>
    </w:rPr>
  </w:style>
  <w:style w:type="character" w:styleId="EndnoteReference">
    <w:name w:val="endnote reference"/>
    <w:basedOn w:val="DefaultParagraphFont"/>
    <w:semiHidden/>
    <w:unhideWhenUsed/>
    <w:rsid w:val="004724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92489">
      <w:bodyDiv w:val="1"/>
      <w:marLeft w:val="0"/>
      <w:marRight w:val="0"/>
      <w:marTop w:val="0"/>
      <w:marBottom w:val="0"/>
      <w:divBdr>
        <w:top w:val="none" w:sz="0" w:space="0" w:color="auto"/>
        <w:left w:val="none" w:sz="0" w:space="0" w:color="auto"/>
        <w:bottom w:val="none" w:sz="0" w:space="0" w:color="auto"/>
        <w:right w:val="none" w:sz="0" w:space="0" w:color="auto"/>
      </w:divBdr>
      <w:divsChild>
        <w:div w:id="1597202933">
          <w:marLeft w:val="0"/>
          <w:marRight w:val="0"/>
          <w:marTop w:val="0"/>
          <w:marBottom w:val="0"/>
          <w:divBdr>
            <w:top w:val="none" w:sz="0" w:space="0" w:color="auto"/>
            <w:left w:val="none" w:sz="0" w:space="0" w:color="auto"/>
            <w:bottom w:val="none" w:sz="0" w:space="0" w:color="auto"/>
            <w:right w:val="none" w:sz="0" w:space="0" w:color="auto"/>
          </w:divBdr>
        </w:div>
      </w:divsChild>
    </w:div>
    <w:div w:id="1146239950">
      <w:bodyDiv w:val="1"/>
      <w:marLeft w:val="0"/>
      <w:marRight w:val="0"/>
      <w:marTop w:val="0"/>
      <w:marBottom w:val="0"/>
      <w:divBdr>
        <w:top w:val="none" w:sz="0" w:space="0" w:color="auto"/>
        <w:left w:val="none" w:sz="0" w:space="0" w:color="auto"/>
        <w:bottom w:val="none" w:sz="0" w:space="0" w:color="auto"/>
        <w:right w:val="none" w:sz="0" w:space="0" w:color="auto"/>
      </w:divBdr>
      <w:divsChild>
        <w:div w:id="1990286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ipo.int/amc/ru/mediation/rules" TargetMode="External"/><Relationship Id="rId18" Type="http://schemas.openxmlformats.org/officeDocument/2006/relationships/hyperlink" Target="https://www.wipo.int/amc/en/center/specific-sectors/ipoffices/korea/mcst/" TargetMode="External"/><Relationship Id="rId26" Type="http://schemas.openxmlformats.org/officeDocument/2006/relationships/hyperlink" Target="https://www.wipo.int/amc/en/center/specific-sectors/ipoffices/co-administration_program.html" TargetMode="External"/><Relationship Id="rId39" Type="http://schemas.openxmlformats.org/officeDocument/2006/relationships/hyperlink" Target="https://www.wipo.int/edocs/pubdocs/en/wipo_pub_1069.pdf" TargetMode="External"/><Relationship Id="rId21" Type="http://schemas.openxmlformats.org/officeDocument/2006/relationships/hyperlink" Target="https://www.wipo.int/edocs/pubdocs/ru/wipo-pub-rn2022-14-ru-wipo-adr-options-for-life-sciences-dispute-management-and-resolution.pdf" TargetMode="External"/><Relationship Id="rId34" Type="http://schemas.openxmlformats.org/officeDocument/2006/relationships/hyperlink" Target="https://www.wipo.int/amc/en/processes/process2/report" TargetMode="External"/><Relationship Id="rId42" Type="http://schemas.openxmlformats.org/officeDocument/2006/relationships/hyperlink" Target="https://www.wipo.int/amc/en/domains/resources/wipo-icaudrpreview.html" TargetMode="External"/><Relationship Id="rId47" Type="http://schemas.openxmlformats.org/officeDocument/2006/relationships/hyperlink" Target="https://gnso.icann.org/en/group-activities/active/gtld-registration-data-epdp-phase-2" TargetMode="External"/><Relationship Id="rId50" Type="http://schemas.openxmlformats.org/officeDocument/2006/relationships/hyperlink" Target="https://digital-strategy.ec.europa.eu/en/policies/nis2-directive" TargetMode="External"/><Relationship Id="rId55" Type="http://schemas.openxmlformats.org/officeDocument/2006/relationships/hyperlink" Target="https://forum.icann.org/lists/comments-proposed-measures-two-char-08jul16/pdfECmcS9knuk.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wipo.int/amc/en/center/specific-sectors/ipoffices/national-courts/tanzania/index.html" TargetMode="External"/><Relationship Id="rId29" Type="http://schemas.openxmlformats.org/officeDocument/2006/relationships/hyperlink" Target="https://www.linkedin.com/showcase/wipo-arbitration-and-mediation-center/?viewAsMember=true" TargetMode="External"/><Relationship Id="rId11" Type="http://schemas.openxmlformats.org/officeDocument/2006/relationships/image" Target="media/image1.png"/><Relationship Id="rId24" Type="http://schemas.openxmlformats.org/officeDocument/2006/relationships/hyperlink" Target="https://www.wipo.int/amc/en/center/specific-sectors/artificial-intelligence/" TargetMode="External"/><Relationship Id="rId32" Type="http://schemas.openxmlformats.org/officeDocument/2006/relationships/hyperlink" Target="https://www.wipo.int/amc/ru/mediation/pledge.html" TargetMode="External"/><Relationship Id="rId37" Type="http://schemas.openxmlformats.org/officeDocument/2006/relationships/hyperlink" Target="https://www.wipo.int/amc/en/events/workshops/2025/domainname" TargetMode="External"/><Relationship Id="rId40" Type="http://schemas.openxmlformats.org/officeDocument/2006/relationships/hyperlink" Target="https://gnso.icann.org/en/issues/new-gtlds/rpm-prelim-issue-09oct15-en.pdf" TargetMode="External"/><Relationship Id="rId45" Type="http://schemas.openxmlformats.org/officeDocument/2006/relationships/hyperlink" Target="https://www.wipo.int/meetings/ru/doc_details.jsp?doc_id=588011" TargetMode="External"/><Relationship Id="rId53" Type="http://schemas.openxmlformats.org/officeDocument/2006/relationships/hyperlink" Target="https://www.wipo.int/meetings/ru/doc_details.jsp?doc_id=588011"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wipo.int/amc/en/center/specific-sectors/ict/fran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amc/en/eadr/" TargetMode="External"/><Relationship Id="rId22" Type="http://schemas.openxmlformats.org/officeDocument/2006/relationships/hyperlink" Target="https://www.wipo.int/amc/en/center/specific-sectors/videogames" TargetMode="External"/><Relationship Id="rId27" Type="http://schemas.openxmlformats.org/officeDocument/2006/relationships/hyperlink" Target="https://www.wipo.int/publications/ru/details.jsp?id=4613&amp;plang=EN" TargetMode="External"/><Relationship Id="rId30" Type="http://schemas.openxmlformats.org/officeDocument/2006/relationships/hyperlink" Target="https://www.wipo.int/podcasts/en/amc" TargetMode="External"/><Relationship Id="rId35" Type="http://schemas.openxmlformats.org/officeDocument/2006/relationships/hyperlink" Target="https://www.wipo.int/amc/en/domains/search/overview3.0/" TargetMode="External"/><Relationship Id="rId43" Type="http://schemas.openxmlformats.org/officeDocument/2006/relationships/hyperlink" Target="https://newgtlds.icann.org/en/applicants/agb" TargetMode="External"/><Relationship Id="rId48" Type="http://schemas.openxmlformats.org/officeDocument/2006/relationships/hyperlink" Target="https://www.icann.org/resources/press-material/release-2023-11-28-en"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digital-strategy.ec.europa.eu/en/policies/nis2-directive" TargetMode="External"/><Relationship Id="rId3" Type="http://schemas.openxmlformats.org/officeDocument/2006/relationships/customXml" Target="../customXml/item3.xml"/><Relationship Id="rId12" Type="http://schemas.openxmlformats.org/officeDocument/2006/relationships/hyperlink" Target="https://www.wipo.int/about-wipo/ru/assemblies/2024/a-65/doc_details.jsp?doc_id=630388" TargetMode="External"/><Relationship Id="rId17" Type="http://schemas.openxmlformats.org/officeDocument/2006/relationships/hyperlink" Target="https://www.wipo.int/amc/en/center/copyright/digitalcopyright" TargetMode="External"/><Relationship Id="rId25" Type="http://schemas.openxmlformats.org/officeDocument/2006/relationships/hyperlink" Target="https://www.wipo.int/amc/en/center/specific-sectors/greentechnology-sustainability/" TargetMode="External"/><Relationship Id="rId33" Type="http://schemas.openxmlformats.org/officeDocument/2006/relationships/hyperlink" Target="https://www.wipo.int/amc/en/processes/process1/report" TargetMode="External"/><Relationship Id="rId38" Type="http://schemas.openxmlformats.org/officeDocument/2006/relationships/hyperlink" Target="https://www.wipo.int/amc/en/domains/cctld/" TargetMode="External"/><Relationship Id="rId46" Type="http://schemas.openxmlformats.org/officeDocument/2006/relationships/hyperlink" Target="https://www.icann.org/en/announcements/details/icann-request-for-information-dispute-resolution-service-providers-for-the-next-round-04-11-2024-en" TargetMode="External"/><Relationship Id="rId20" Type="http://schemas.openxmlformats.org/officeDocument/2006/relationships/hyperlink" Target="https://www.wipo.int/amc/en/center/specific-sectors/lifesciences/" TargetMode="External"/><Relationship Id="rId41" Type="http://schemas.openxmlformats.org/officeDocument/2006/relationships/hyperlink" Target="https://gnso.icann.org/sites/default/files/file/field-file-attach/rpm-phase-1-proposed-24nov20-en.pdf" TargetMode="External"/><Relationship Id="rId54" Type="http://schemas.openxmlformats.org/officeDocument/2006/relationships/hyperlink" Target="https://icann-community.atlassian.net/wiki/pages/viewpageattachments.action?pageId=109086961&amp;preview=/109086961/109127580/Work%20Track%205%20Final%20Report%20to%20the%20New%20gTLD%20SubPro%20PDP%20WG%20-%2022%20October%202019.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wipo.int/amc/en/eadr/checklist/index.html" TargetMode="External"/><Relationship Id="rId23" Type="http://schemas.openxmlformats.org/officeDocument/2006/relationships/hyperlink" Target="https://www.wipo.int/amc/en/center/specific-sectors/videogames/iget.html" TargetMode="External"/><Relationship Id="rId28" Type="http://schemas.openxmlformats.org/officeDocument/2006/relationships/hyperlink" Target="https://www.wipo.int/amc/en/center/wipoadryoung" TargetMode="External"/><Relationship Id="rId36" Type="http://schemas.openxmlformats.org/officeDocument/2006/relationships/hyperlink" Target="https://www.wipo.int/amc/en/domains/search/legalindex/" TargetMode="External"/><Relationship Id="rId49" Type="http://schemas.openxmlformats.org/officeDocument/2006/relationships/hyperlink" Target="https://www.wipo.int/amc/en/domains/gdpr"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wipo.int/amc/en/events/webinar.html" TargetMode="External"/><Relationship Id="rId44" Type="http://schemas.openxmlformats.org/officeDocument/2006/relationships/hyperlink" Target="https://www.icann.org/en/board-activities-and-meetings/materials/approved-resolutions-special-meeting-of-the-icann-board-27-07-2023-en" TargetMode="External"/><Relationship Id="rId52" Type="http://schemas.openxmlformats.org/officeDocument/2006/relationships/hyperlink" Target="https://www.icann.org/en/system/files/files/framework-elements-unified-access-model-for-discussion-18jun18-en.pdf"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gnso.icann.org/sites/default/files/filefield_48411/rpm-final-issue-11jan16-en.pdf" TargetMode="External"/><Relationship Id="rId21" Type="http://schemas.openxmlformats.org/officeDocument/2006/relationships/hyperlink" Target="https://community.icann.org/display/gnsoudrpdt/Webinar+on+the+Current+State+of+the+UDRP" TargetMode="External"/><Relationship Id="rId42" Type="http://schemas.openxmlformats.org/officeDocument/2006/relationships/hyperlink" Target="https://www.edpb.europa.eu/our-work-tools/general-guidance/guidelines-recommendations-best-practices_en" TargetMode="External"/><Relationship Id="rId47" Type="http://schemas.openxmlformats.org/officeDocument/2006/relationships/hyperlink" Target="https://newgtlds.icann.org/sites/default/files/base-agreement-specs-04jun12-en.pdf" TargetMode="External"/><Relationship Id="rId63" Type="http://schemas.openxmlformats.org/officeDocument/2006/relationships/hyperlink" Target="https://www.wipo.int/meetings/ru/doc_details.jsp?doc_id=400158" TargetMode="External"/><Relationship Id="rId68" Type="http://schemas.openxmlformats.org/officeDocument/2006/relationships/hyperlink" Target="https://www.wipo.int/meetings/ru/doc_details.jsp?doc_id=533771" TargetMode="External"/><Relationship Id="rId2" Type="http://schemas.openxmlformats.org/officeDocument/2006/relationships/hyperlink" Target="http://www.wipo.int/amc/en/events" TargetMode="External"/><Relationship Id="rId16" Type="http://schemas.openxmlformats.org/officeDocument/2006/relationships/hyperlink" Target="https://www.wipo.int/amc/en/events/workshops/2025/domainname" TargetMode="External"/><Relationship Id="rId29" Type="http://schemas.openxmlformats.org/officeDocument/2006/relationships/hyperlink" Target="https://newgtlds.icann.org/en/program-status/delegated-strings" TargetMode="External"/><Relationship Id="rId11" Type="http://schemas.openxmlformats.org/officeDocument/2006/relationships/hyperlink" Target="https://www.wipo.int/amc/en/center/specific-sectors/ipoffices/" TargetMode="External"/><Relationship Id="rId24" Type="http://schemas.openxmlformats.org/officeDocument/2006/relationships/hyperlink" Target="https://gnso.icann.org/sites/default/files/policy/2021/presentation/presentation-gnso-rpm-final-report-11Jan21-en.pdf" TargetMode="External"/><Relationship Id="rId32" Type="http://schemas.openxmlformats.org/officeDocument/2006/relationships/hyperlink" Target="https://www.wipo.int/about-wipo/ru/assemblies/2024/a-65/doc_details.jsp?doc_id=136276" TargetMode="External"/><Relationship Id="rId37" Type="http://schemas.openxmlformats.org/officeDocument/2006/relationships/hyperlink" Target="https://www.icann.org/resources/pages/gtld-registration-data-specs-en" TargetMode="External"/><Relationship Id="rId40" Type="http://schemas.openxmlformats.org/officeDocument/2006/relationships/hyperlink" Target="https://gnso.icann.org/sites/default/files/file/field-file-attach/policy-briefing-icann70-03mar21-en.pdf" TargetMode="External"/><Relationship Id="rId45" Type="http://schemas.openxmlformats.org/officeDocument/2006/relationships/hyperlink" Target="https://www.icann.org/resources/pages/global-amendment-2023-en" TargetMode="External"/><Relationship Id="rId53" Type="http://schemas.openxmlformats.org/officeDocument/2006/relationships/hyperlink" Target="https://gac.icann.org/reports/public/report-geo-names-2014-08-29.pdf?version=1&amp;modificationDate=1411549504000&amp;api=v2" TargetMode="External"/><Relationship Id="rId58" Type="http://schemas.openxmlformats.org/officeDocument/2006/relationships/hyperlink" Target="https://www.icann.org/en/system/files/files/implementation-memo-two-character-ascii-labels-22jan19-en.pdf" TargetMode="External"/><Relationship Id="rId66" Type="http://schemas.openxmlformats.org/officeDocument/2006/relationships/hyperlink" Target="https://www.wipo.int/meetings/ru/doc_details.jsp?doc_id=452235" TargetMode="External"/><Relationship Id="rId5" Type="http://schemas.openxmlformats.org/officeDocument/2006/relationships/hyperlink" Target="https://www.wipo.int/amc/en/center/background.html" TargetMode="External"/><Relationship Id="rId61" Type="http://schemas.openxmlformats.org/officeDocument/2006/relationships/hyperlink" Target="https://www.wipo.int/meetings/ru/doc_details.jsp?doc_id=364802" TargetMode="External"/><Relationship Id="rId19" Type="http://schemas.openxmlformats.org/officeDocument/2006/relationships/hyperlink" Target="https://www.wipo.int/amc/en/domains/expiry.html" TargetMode="External"/><Relationship Id="rId14" Type="http://schemas.openxmlformats.org/officeDocument/2006/relationships/hyperlink" Target="https://www.wipo.int/amc/en/domains/challenged" TargetMode="External"/><Relationship Id="rId22" Type="http://schemas.openxmlformats.org/officeDocument/2006/relationships/hyperlink" Target="https://www.wipo.int/about-wipo/ru/assemblies/2024/a-65/doc_details.jsp?doc_id=136276" TargetMode="External"/><Relationship Id="rId27" Type="http://schemas.openxmlformats.org/officeDocument/2006/relationships/hyperlink" Target="https://www.icann.org/en/minutes/resolutions-20jun11-en.htm" TargetMode="External"/><Relationship Id="rId30" Type="http://schemas.openxmlformats.org/officeDocument/2006/relationships/hyperlink" Target="https://myemail.constantcontact.com/Read-the-SubPro-PDP-Newsletter---January-2021-Edition.html?soid=1122025845763&amp;aid=qJxZ65sQtok" TargetMode="External"/><Relationship Id="rId35" Type="http://schemas.openxmlformats.org/officeDocument/2006/relationships/hyperlink" Target="https://prague44.icann.org/node/31773" TargetMode="External"/><Relationship Id="rId43" Type="http://schemas.openxmlformats.org/officeDocument/2006/relationships/hyperlink" Target="https://ec.europa.eu/newsroom/dae/redirection/document/108437" TargetMode="External"/><Relationship Id="rId48" Type="http://schemas.openxmlformats.org/officeDocument/2006/relationships/hyperlink" Target="https://newgtlds.icann.org/sites/default/files/evaluation-procedures-04jun12-en.pdf" TargetMode="External"/><Relationship Id="rId56" Type="http://schemas.openxmlformats.org/officeDocument/2006/relationships/hyperlink" Target="https://www.europarl.europa.eu/doceo/document/TA-9-2024-0101_EN.html" TargetMode="External"/><Relationship Id="rId64" Type="http://schemas.openxmlformats.org/officeDocument/2006/relationships/hyperlink" Target="https://www.wipo.int/meetings/ru/doc_details.jsp?doc_id=416569" TargetMode="External"/><Relationship Id="rId69" Type="http://schemas.openxmlformats.org/officeDocument/2006/relationships/hyperlink" Target="https://www.wipo.int/meetings/ru/doc_details.jsp?doc_id=567651" TargetMode="External"/><Relationship Id="rId8" Type="http://schemas.openxmlformats.org/officeDocument/2006/relationships/hyperlink" Target="https://www.wipo.int/en/web/office-singapore/w/news/2025/wipo-asean-mediation-programme-amp-" TargetMode="External"/><Relationship Id="rId51" Type="http://schemas.openxmlformats.org/officeDocument/2006/relationships/hyperlink" Target="https://www.icann.org/en/system/files/correspondence/gac-to-board-11apr13-en.pdf" TargetMode="External"/><Relationship Id="rId72" Type="http://schemas.openxmlformats.org/officeDocument/2006/relationships/hyperlink" Target="https://www.wipo.int/edocs/mdocs/sct/ru/sct_48/sct_48_2.pdf" TargetMode="External"/><Relationship Id="rId3" Type="http://schemas.openxmlformats.org/officeDocument/2006/relationships/hyperlink" Target="https://www.wipo.int/amc/ru/clauses" TargetMode="External"/><Relationship Id="rId12" Type="http://schemas.openxmlformats.org/officeDocument/2006/relationships/hyperlink" Target="https://www.wipo.int/amc/ru/mediation/rules/index.html" TargetMode="External"/><Relationship Id="rId17" Type="http://schemas.openxmlformats.org/officeDocument/2006/relationships/hyperlink" Target="https://www.wipo.int/amc/en/domains/cctld" TargetMode="External"/><Relationship Id="rId25" Type="http://schemas.openxmlformats.org/officeDocument/2006/relationships/hyperlink" Target="https://www.icann.org/resources/board-material/resolutions-2022-01-16-en" TargetMode="External"/><Relationship Id="rId33" Type="http://schemas.openxmlformats.org/officeDocument/2006/relationships/hyperlink" Target="https://www.wipo.int/amc/en/docs/icann130309.pdf" TargetMode="External"/><Relationship Id="rId38" Type="http://schemas.openxmlformats.org/officeDocument/2006/relationships/hyperlink" Target="https://www.icann.org/en/announcements/details/icann-board-reaffirms-temporary-specification-for-gtld-registration-data-29-1-2019-en" TargetMode="External"/><Relationship Id="rId46" Type="http://schemas.openxmlformats.org/officeDocument/2006/relationships/hyperlink" Target="https://gac.icann.org/contentMigrated/icann63-barcelona-communique" TargetMode="External"/><Relationship Id="rId59" Type="http://schemas.openxmlformats.org/officeDocument/2006/relationships/hyperlink" Target="https://www.wipo.int/edocs/mdocs/sct/ru/sct_39/sct_39_7.pdf" TargetMode="External"/><Relationship Id="rId67" Type="http://schemas.openxmlformats.org/officeDocument/2006/relationships/hyperlink" Target="https://www.wipo.int/meetings/ru/doc_details.jsp?doc_id=467381" TargetMode="External"/><Relationship Id="rId20" Type="http://schemas.openxmlformats.org/officeDocument/2006/relationships/hyperlink" Target="https://www.wipo.int/amc/en/domains/lop/" TargetMode="External"/><Relationship Id="rId41" Type="http://schemas.openxmlformats.org/officeDocument/2006/relationships/hyperlink" Target="https://gac.icann.org/statement/public/gac-minority-statement-epdp-phase2-24aug20.pdf" TargetMode="External"/><Relationship Id="rId54" Type="http://schemas.openxmlformats.org/officeDocument/2006/relationships/hyperlink" Target="https://www.icann.org/resources/board-material/resolutions-2019-05-15-en" TargetMode="External"/><Relationship Id="rId62" Type="http://schemas.openxmlformats.org/officeDocument/2006/relationships/hyperlink" Target="https://www.wipo.int/meetings/ru/doc_details.jsp?doc_id=383222" TargetMode="External"/><Relationship Id="rId70" Type="http://schemas.openxmlformats.org/officeDocument/2006/relationships/hyperlink" Target="https://www.wipo.int/meetings/ru/doc_details.jsp?doc_id=588011" TargetMode="External"/><Relationship Id="rId1" Type="http://schemas.openxmlformats.org/officeDocument/2006/relationships/hyperlink" Target="https://www.wipo.int/amc/en/goodoffices" TargetMode="External"/><Relationship Id="rId6" Type="http://schemas.openxmlformats.org/officeDocument/2006/relationships/hyperlink" Target="https://www.wipo.int/amc/en/center/copyright/digitalcopyright/index.html" TargetMode="External"/><Relationship Id="rId15" Type="http://schemas.openxmlformats.org/officeDocument/2006/relationships/hyperlink" Target="https://www.wipo.int/amc/en/domains/statistics" TargetMode="External"/><Relationship Id="rId23" Type="http://schemas.openxmlformats.org/officeDocument/2006/relationships/hyperlink" Target="https://gnso.icann.org/sites/default/files/file/field-file-attach/council-recommendations-rpm-pdp-phase-1-report-10feb21-en.pdf" TargetMode="External"/><Relationship Id="rId28" Type="http://schemas.openxmlformats.org/officeDocument/2006/relationships/hyperlink" Target="https://www.wipo.int/about-wipo/ru/assemblies/2020/a_61/doc_details.jsp?doc_id=136276" TargetMode="External"/><Relationship Id="rId36" Type="http://schemas.openxmlformats.org/officeDocument/2006/relationships/hyperlink" Target="https://archive.icann.org/en/meetings/toronto2012/node/34325.html" TargetMode="External"/><Relationship Id="rId49" Type="http://schemas.openxmlformats.org/officeDocument/2006/relationships/hyperlink" Target="https://newgtlds.icann.org/sites/default/files/evaluation-procedures-04jun12-en.pdf" TargetMode="External"/><Relationship Id="rId57" Type="http://schemas.openxmlformats.org/officeDocument/2006/relationships/hyperlink" Target="https://www.icann.org/en/system/files/files/two-character-ltr-ltr-authorization-release-13dec16-en.pdf" TargetMode="External"/><Relationship Id="rId10" Type="http://schemas.openxmlformats.org/officeDocument/2006/relationships/hyperlink" Target="https://www.wipo.int/amc/en/domains/lop/" TargetMode="External"/><Relationship Id="rId31" Type="http://schemas.openxmlformats.org/officeDocument/2006/relationships/hyperlink" Target="https://gnso.icann.org/sites/default/files/file/field-file-attach/final-report-newgtld-subsequent-procedures-pdp-02feb21-en.pdf" TargetMode="External"/><Relationship Id="rId44" Type="http://schemas.openxmlformats.org/officeDocument/2006/relationships/hyperlink" Target="https://www.icann.org/resources/pages/rdap-background-2018-08-31-en" TargetMode="External"/><Relationship Id="rId52" Type="http://schemas.openxmlformats.org/officeDocument/2006/relationships/hyperlink" Target="http://www.icann.org/resources/agreement/amazon-2019-12-19-en" TargetMode="External"/><Relationship Id="rId60" Type="http://schemas.openxmlformats.org/officeDocument/2006/relationships/hyperlink" Target="https://www.wipo.int/meetings/ru/doc_details.jsp?doc_id=364576" TargetMode="External"/><Relationship Id="rId65" Type="http://schemas.openxmlformats.org/officeDocument/2006/relationships/hyperlink" Target="https://www.wipo.int/meetings/ru/doc_details.jsp?doc_id=428471" TargetMode="External"/><Relationship Id="rId73" Type="http://schemas.openxmlformats.org/officeDocument/2006/relationships/hyperlink" Target="https://www.wipo.int/meetings/ru/details.jsp?meeting_id=42547&amp;la=ES" TargetMode="External"/><Relationship Id="rId4" Type="http://schemas.openxmlformats.org/officeDocument/2006/relationships/hyperlink" Target="http://www.wipo.int/amc/en/center/specific-sectors/smes/" TargetMode="External"/><Relationship Id="rId9" Type="http://schemas.openxmlformats.org/officeDocument/2006/relationships/hyperlink" Target="https://www.wipo.int/export/sites/www/amc/en/docs/2022/wipo_adr_options_for_frand_disputes_management_resolution.pdf" TargetMode="External"/><Relationship Id="rId13" Type="http://schemas.openxmlformats.org/officeDocument/2006/relationships/hyperlink" Target="https://www.wipo.int/newsletters-archive/en/adr_highlights.html" TargetMode="External"/><Relationship Id="rId18" Type="http://schemas.openxmlformats.org/officeDocument/2006/relationships/hyperlink" Target="https://www.wipo.int/amc/en/domains/gdpr/" TargetMode="External"/><Relationship Id="rId39" Type="http://schemas.openxmlformats.org/officeDocument/2006/relationships/hyperlink" Target="https://www.wipo.int/amc/en/domains/gdpr" TargetMode="External"/><Relationship Id="rId34" Type="http://schemas.openxmlformats.org/officeDocument/2006/relationships/hyperlink" Target="https://www.wipo.int/amc/en/docs/icann030409.pdf" TargetMode="External"/><Relationship Id="rId50" Type="http://schemas.openxmlformats.org/officeDocument/2006/relationships/hyperlink" Target="https://www.icann.org/en/system/files/correspondence/gac-to-board-27mar14-en.pdf" TargetMode="External"/><Relationship Id="rId55" Type="http://schemas.openxmlformats.org/officeDocument/2006/relationships/hyperlink" Target="https://eur-lex.europa.eu/legal-content/EN/TXT/?uri=CELEX%3A32023R2411" TargetMode="External"/><Relationship Id="rId7" Type="http://schemas.openxmlformats.org/officeDocument/2006/relationships/hyperlink" Target="https://isomer-user-content.by.gov.sg/61/51abcc4e-78e9-40d2-acea-894f1b81f528/Mediation%20Cases.pdf" TargetMode="External"/><Relationship Id="rId71" Type="http://schemas.openxmlformats.org/officeDocument/2006/relationships/hyperlink" Target="https://www.wipo.int/edocs/mdocs/sct/ru/sct_47/sct_47_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7CE69-8AEA-4568-875F-7C97B779ACE7}">
  <ds:schemaRefs>
    <ds:schemaRef ds:uri="http://schemas.microsoft.com/sharepoint/v3/contenttype/forms"/>
  </ds:schemaRefs>
</ds:datastoreItem>
</file>

<file path=customXml/itemProps2.xml><?xml version="1.0" encoding="utf-8"?>
<ds:datastoreItem xmlns:ds="http://schemas.openxmlformats.org/officeDocument/2006/customXml" ds:itemID="{735F9D62-BA52-4576-A242-16B410B65F39}">
  <ds:schemaRefs>
    <ds:schemaRef ds:uri="http://schemas.microsoft.com/office/2006/documentManagement/types"/>
    <ds:schemaRef ds:uri="781c9f64-295c-457e-9e5f-c4eb841d6909"/>
    <ds:schemaRef ds:uri="http://purl.org/dc/dcmitype/"/>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b1a73aef-ce8f-442d-a5fc-a13bc475f3fd"/>
    <ds:schemaRef ds:uri="http://schemas.microsoft.com/office/2006/metadata/properties"/>
  </ds:schemaRefs>
</ds:datastoreItem>
</file>

<file path=customXml/itemProps3.xml><?xml version="1.0" encoding="utf-8"?>
<ds:datastoreItem xmlns:ds="http://schemas.openxmlformats.org/officeDocument/2006/customXml" ds:itemID="{C0359AF9-7C8F-4A32-9E74-34FE5A575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837B83-3B4A-4EC1-AAE4-E845CFF0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WO_GA_58 (E).dotm</Template>
  <TotalTime>6</TotalTime>
  <Pages>20</Pages>
  <Words>6266</Words>
  <Characters>45785</Characters>
  <Application>Microsoft Office Word</Application>
  <DocSecurity>0</DocSecurity>
  <Lines>381</Lines>
  <Paragraphs>103</Paragraphs>
  <ScaleCrop>false</ScaleCrop>
  <HeadingPairs>
    <vt:vector size="2" baseType="variant">
      <vt:variant>
        <vt:lpstr>Title</vt:lpstr>
      </vt:variant>
      <vt:variant>
        <vt:i4>1</vt:i4>
      </vt:variant>
    </vt:vector>
  </HeadingPairs>
  <TitlesOfParts>
    <vt:vector size="1" baseType="lpstr">
      <vt:lpstr>WO/GA/58/17</vt:lpstr>
    </vt:vector>
  </TitlesOfParts>
  <Company>WIPO</Company>
  <LinksUpToDate>false</LinksUpToDate>
  <CharactersWithSpaces>51948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WO/GA/58/11</dc:title>
  <dc:creator>WIPO</dc:creator>
  <cp:keywords/>
  <cp:lastModifiedBy>RUSSO Antonella</cp:lastModifiedBy>
  <cp:revision>6</cp:revision>
  <cp:lastPrinted>2025-05-12T14:09:00Z</cp:lastPrinted>
  <dcterms:created xsi:type="dcterms:W3CDTF">2025-05-09T10:31:00Z</dcterms:created>
  <dcterms:modified xsi:type="dcterms:W3CDTF">2025-05-12T14:09:00Z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SIP_Label_20773ee6-353b-4fb9-a59d-0b94c8c67bea_Enabled">
    <vt:lpwstr>true</vt:lpwstr>
  </property>
  <property fmtid="{D5CDD505-2E9C-101B-9397-08002B2CF9AE}" pid="9" name="MSIP_Label_20773ee6-353b-4fb9-a59d-0b94c8c67bea_SetDate">
    <vt:lpwstr>2025-02-18T10:25:53Z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a2808228-0a80-4ddc-a626-8b46f8c9c0de</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