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6721" w14:textId="77777777" w:rsidR="008B2CC1" w:rsidRPr="006F6660" w:rsidRDefault="000F6570" w:rsidP="006E79F5">
      <w:pPr>
        <w:spacing w:after="120"/>
        <w:jc w:val="right"/>
      </w:pPr>
      <w:r w:rsidRPr="005A2371">
        <w:rPr>
          <w:noProof/>
          <w:lang w:eastAsia="ru-RU"/>
        </w:rPr>
        <w:drawing>
          <wp:inline distT="0" distB="0" distL="0" distR="0" wp14:anchorId="0C77F828" wp14:editId="7177DD7C">
            <wp:extent cx="3240912" cy="1637412"/>
            <wp:effectExtent l="0" t="0" r="0" b="0"/>
            <wp:docPr id="2" name="Picture 5"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405" cy="1637030"/>
                    </a:xfrm>
                    <a:prstGeom prst="rect">
                      <a:avLst/>
                    </a:prstGeom>
                    <a:noFill/>
                    <a:ln>
                      <a:noFill/>
                    </a:ln>
                  </pic:spPr>
                </pic:pic>
              </a:graphicData>
            </a:graphic>
          </wp:inline>
        </w:drawing>
      </w:r>
      <w:r>
        <w:rPr>
          <w:noProof/>
          <w:lang w:eastAsia="ru-RU"/>
        </w:rPr>
        <mc:AlternateContent>
          <mc:Choice Requires="wps">
            <w:drawing>
              <wp:inline distT="0" distB="0" distL="0" distR="0" wp14:anchorId="1E78DEC7" wp14:editId="1E072E2B">
                <wp:extent cx="5935980" cy="635"/>
                <wp:effectExtent l="0" t="0" r="7620" b="18415"/>
                <wp:docPr id="4"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08B60EB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X4BwIAAPMDAAAOAAAAZHJzL2Uyb0RvYy54bWysU01v2zAMvQ/YfxB0X5ykS9EYcXpI0PXQ&#10;bQXS7s7Ksi1MFgVRi5P9+lFykrXbbZgPAsWPZ/LxaXV76K3Y60AGXSVnk6kU2imsjWsr+fx09+FG&#10;CorgarDodCWPmuTt+v271eBLPccOba2DYBBH5eAr2cXoy6Ig1ekeaIJeOw42GHqIfA1tUQcYGL23&#10;xXw6vS4GDLUPqDQRe7djUK4zftNoFb82DekobCW5t5jPkM+XdBbrFZRtAN8ZdWoD/qGLHozjn16g&#10;thBB/AjmL6jeqICETZwo7AtsGqN0noGnmU3/mGbXgdd5FiaH/IUm+n+w6sv+MQhTV/KjFA56XtEu&#10;BjBtF8UGnWMCMYi5FLUmxbzdYzA/0UWwwhqnE3+Dp5JhNu4xJAbUwe38A6rvxLHiTTBdyI9phyb0&#10;orHG37NsZLa+JStBMC3ikHd0vOxIH6JQ7FwsrxbLG16l4tj11SJ1UECZ4FKpDxQ/aexFMiqZe0x+&#10;2D9QHFPPKcnt8M5Yy34orRNDJZeL+YKxgaXYWIhs9p7JIddKAbZljasYcpOE1tSpOhXTkTY2iD2w&#10;zFidNQ5P3LAUFihygKfI31jYQa3H1OWC3aMGCeJnrEf3bHr282QjdB7yzS/TGFugbizJoRMX1qWW&#10;dFb/aerfzCfrBevjYzivh5WV0U+vIEn39Z3t1291/QsAAP//AwBQSwMEFAAGAAgAAAAhAHfiIfHW&#10;AAAAAgEAAA8AAABkcnMvZG93bnJldi54bWxMj8FuwjAQRO+V+AdrkXorDm1VQoiDKiQ+AFohjiZe&#10;4gh7ncaGpH/fpZf2stJqRjNvyvXonbhhH9tACuazDARSHUxLjYLPj+1TDiImTUa7QKjgGyOsq8lD&#10;qQsTBtrhbZ8awSEUC63AptQVUsbaotdxFjok1s6h9zrx2zfS9HrgcO/kc5a9Sa9b4garO9xYrC/7&#10;q1fg8iz/OmwWw3FnuGV7cJYWc6Uep+P7CkTCMf2Z4Y7P6FAx0ylcyUThFPCQ9HtZW7688ozT3SSr&#10;Uv5Hr34AAAD//wMAUEsBAi0AFAAGAAgAAAAhALaDOJL+AAAA4QEAABMAAAAAAAAAAAAAAAAAAAAA&#10;AFtDb250ZW50X1R5cGVzXS54bWxQSwECLQAUAAYACAAAACEAOP0h/9YAAACUAQAACwAAAAAAAAAA&#10;AAAAAAAvAQAAX3JlbHMvLnJlbHNQSwECLQAUAAYACAAAACEAVph1+AcCAADzAwAADgAAAAAAAAAA&#10;AAAAAAAuAgAAZHJzL2Uyb0RvYy54bWxQSwECLQAUAAYACAAAACEAd+Ih8dYAAAACAQAADwAAAAAA&#10;AAAAAAAAAABhBAAAZHJzL2Rvd25yZXYueG1sUEsFBgAAAAAEAAQA8wAAAGQFAAAAAA==&#10;">
                <o:lock v:ext="edit" shapetype="f"/>
                <w10:anchorlock/>
              </v:line>
            </w:pict>
          </mc:Fallback>
        </mc:AlternateContent>
      </w:r>
    </w:p>
    <w:p w14:paraId="0C5513B0" w14:textId="77777777" w:rsidR="008B2CC1" w:rsidRPr="006F6660" w:rsidRDefault="00A9118D" w:rsidP="00986E43">
      <w:pPr>
        <w:jc w:val="right"/>
        <w:rPr>
          <w:rFonts w:ascii="Arial Black" w:hAnsi="Arial Black"/>
          <w:caps/>
          <w:sz w:val="15"/>
          <w:szCs w:val="15"/>
        </w:rPr>
      </w:pPr>
      <w:r>
        <w:rPr>
          <w:rFonts w:ascii="Arial Black" w:hAnsi="Arial Black"/>
          <w:caps/>
          <w:sz w:val="15"/>
        </w:rPr>
        <w:t>WO/GA/57/</w:t>
      </w:r>
      <w:bookmarkStart w:id="0" w:name="Code"/>
      <w:bookmarkEnd w:id="0"/>
      <w:r>
        <w:rPr>
          <w:rFonts w:ascii="Arial Black" w:hAnsi="Arial Black"/>
          <w:caps/>
          <w:sz w:val="15"/>
        </w:rPr>
        <w:t>10</w:t>
      </w:r>
    </w:p>
    <w:p w14:paraId="36E11158" w14:textId="77777777" w:rsidR="00CE65D4" w:rsidRPr="00926BFD" w:rsidRDefault="00CE65D4" w:rsidP="00986E43">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3631E9A" w14:textId="353460ED" w:rsidR="008B2CC1" w:rsidRPr="006F6660" w:rsidRDefault="00CE65D4" w:rsidP="00986E43">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8 мая 2024 г</w:t>
      </w:r>
      <w:r w:rsidR="00B9456B">
        <w:rPr>
          <w:rFonts w:ascii="Arial Black" w:hAnsi="Arial Black"/>
          <w:caps/>
          <w:sz w:val="15"/>
        </w:rPr>
        <w:t>ода</w:t>
      </w:r>
    </w:p>
    <w:bookmarkEnd w:id="2"/>
    <w:p w14:paraId="3C99FEA5" w14:textId="77777777" w:rsidR="008B2CC1" w:rsidRPr="006F6660" w:rsidRDefault="00A9118D" w:rsidP="006E79F5">
      <w:pPr>
        <w:spacing w:after="600"/>
        <w:rPr>
          <w:b/>
          <w:sz w:val="28"/>
          <w:szCs w:val="28"/>
        </w:rPr>
      </w:pPr>
      <w:r>
        <w:rPr>
          <w:b/>
          <w:sz w:val="28"/>
        </w:rPr>
        <w:t>Генеральная Ассамблея ВОИС</w:t>
      </w:r>
    </w:p>
    <w:p w14:paraId="7ACACDCA" w14:textId="7A570D79" w:rsidR="008B2CC1" w:rsidRPr="006F6660" w:rsidRDefault="00A9118D" w:rsidP="006E79F5">
      <w:pPr>
        <w:rPr>
          <w:b/>
          <w:sz w:val="24"/>
          <w:szCs w:val="24"/>
        </w:rPr>
      </w:pPr>
      <w:r>
        <w:rPr>
          <w:b/>
          <w:sz w:val="24"/>
        </w:rPr>
        <w:t xml:space="preserve">Пятьдесят седьмая (31-я </w:t>
      </w:r>
      <w:r w:rsidR="00DA3A2D" w:rsidRPr="00DA3A2D">
        <w:rPr>
          <w:b/>
          <w:sz w:val="24"/>
        </w:rPr>
        <w:t>внеочередная</w:t>
      </w:r>
      <w:r>
        <w:rPr>
          <w:b/>
          <w:sz w:val="24"/>
        </w:rPr>
        <w:t>) сессия</w:t>
      </w:r>
    </w:p>
    <w:p w14:paraId="5145B405" w14:textId="5AA4C139" w:rsidR="008B2CC1" w:rsidRPr="006F6660" w:rsidRDefault="00A9118D" w:rsidP="006E79F5">
      <w:pPr>
        <w:spacing w:after="720"/>
      </w:pPr>
      <w:r>
        <w:rPr>
          <w:b/>
          <w:sz w:val="24"/>
        </w:rPr>
        <w:t>Женева, 9–17 июля 2024</w:t>
      </w:r>
      <w:r w:rsidR="00C525B4">
        <w:rPr>
          <w:b/>
          <w:sz w:val="24"/>
        </w:rPr>
        <w:t xml:space="preserve"> </w:t>
      </w:r>
      <w:r>
        <w:rPr>
          <w:b/>
          <w:sz w:val="24"/>
        </w:rPr>
        <w:t>года</w:t>
      </w:r>
    </w:p>
    <w:p w14:paraId="7A18048C" w14:textId="77777777" w:rsidR="008B2CC1" w:rsidRPr="006F6660" w:rsidRDefault="00823777" w:rsidP="006E79F5">
      <w:pPr>
        <w:spacing w:after="360"/>
        <w:rPr>
          <w:caps/>
          <w:sz w:val="24"/>
        </w:rPr>
      </w:pPr>
      <w:bookmarkStart w:id="3" w:name="TitleOfDoc"/>
      <w:r>
        <w:rPr>
          <w:caps/>
          <w:sz w:val="24"/>
        </w:rPr>
        <w:t>ЦЕНТР ВОИС ПО АРБИТРАЖУ И ПОСРЕДНИЧЕСТВУ, ВКЛЮЧАЯ ДОМЕННЫЕ ИМЕНА</w:t>
      </w:r>
    </w:p>
    <w:p w14:paraId="06735BCF" w14:textId="40A12BE4" w:rsidR="008B2CC1" w:rsidRPr="006F6660" w:rsidRDefault="008518EB" w:rsidP="006E79F5">
      <w:pPr>
        <w:spacing w:after="960"/>
        <w:rPr>
          <w:i/>
        </w:rPr>
      </w:pPr>
      <w:bookmarkStart w:id="4" w:name="Prepared"/>
      <w:bookmarkEnd w:id="3"/>
      <w:r>
        <w:rPr>
          <w:i/>
        </w:rPr>
        <w:t>Д</w:t>
      </w:r>
      <w:r w:rsidR="00823777">
        <w:rPr>
          <w:i/>
        </w:rPr>
        <w:t>окумент подготовлен Секретариатом</w:t>
      </w:r>
    </w:p>
    <w:p w14:paraId="1295CBE0" w14:textId="078F86EA" w:rsidR="008D6F26" w:rsidRPr="006F6660" w:rsidRDefault="005D7022" w:rsidP="005D7022">
      <w:pPr>
        <w:pStyle w:val="ListParagraph"/>
        <w:spacing w:after="240"/>
        <w:ind w:left="0"/>
        <w:contextualSpacing w:val="0"/>
        <w:rPr>
          <w:rFonts w:eastAsia="SimSun" w:cs="Arial"/>
        </w:rPr>
      </w:pPr>
      <w:r>
        <w:rPr>
          <w:snapToGrid w:val="0"/>
        </w:rPr>
        <w:t>1.</w:t>
      </w:r>
      <w:r>
        <w:rPr>
          <w:snapToGrid w:val="0"/>
        </w:rPr>
        <w:tab/>
        <w:t xml:space="preserve">Центр ВОИС по арбитражу и посредничеству («Центр») является частью Сектора экосистем ИС и инноваций (СЭИСИ). Он ведет свою работу в координации с другими секторами ВОИС и отвечает за оказание государствам-членам содействия в развитии их экосистем интеллектуальной собственности (ИС) и инноваций для стимулирования предпринимательства и экономического роста. </w:t>
      </w:r>
    </w:p>
    <w:p w14:paraId="17BB0248" w14:textId="63F3AA52" w:rsidR="00FB1B58" w:rsidRDefault="005D7022" w:rsidP="005D7022">
      <w:pPr>
        <w:spacing w:after="240"/>
        <w:rPr>
          <w:snapToGrid w:val="0"/>
        </w:rPr>
      </w:pPr>
      <w:r>
        <w:rPr>
          <w:snapToGrid w:val="0"/>
        </w:rPr>
        <w:t>2.</w:t>
      </w:r>
      <w:r>
        <w:rPr>
          <w:snapToGrid w:val="0"/>
        </w:rPr>
        <w:tab/>
        <w:t xml:space="preserve">В этой связи в настоящем документе содержится обновленная информация о деятельности Центра как международного ресурса, обеспечивающего </w:t>
      </w:r>
      <w:r w:rsidR="00C61EE0" w:rsidRPr="00C61EE0">
        <w:rPr>
          <w:snapToGrid w:val="0"/>
        </w:rPr>
        <w:t>применени</w:t>
      </w:r>
      <w:r w:rsidR="00C61EE0">
        <w:rPr>
          <w:snapToGrid w:val="0"/>
        </w:rPr>
        <w:t>е</w:t>
      </w:r>
      <w:r>
        <w:rPr>
          <w:snapToGrid w:val="0"/>
        </w:rPr>
        <w:t xml:space="preserve"> оперативных и экономичных альтернатив </w:t>
      </w:r>
      <w:r w:rsidR="00C61EE0">
        <w:rPr>
          <w:snapToGrid w:val="0"/>
        </w:rPr>
        <w:t>судебному урегулированию</w:t>
      </w:r>
      <w:r>
        <w:rPr>
          <w:snapToGrid w:val="0"/>
        </w:rPr>
        <w:t xml:space="preserve"> споров, касающихся ИС и технологий, выступающего в качестве инстанции рассмотрения споров, </w:t>
      </w:r>
      <w:r w:rsidR="00511AF2" w:rsidRPr="00511AF2">
        <w:rPr>
          <w:snapToGrid w:val="0"/>
        </w:rPr>
        <w:t>а также</w:t>
      </w:r>
      <w:r w:rsidR="00511AF2">
        <w:rPr>
          <w:snapToGrid w:val="0"/>
        </w:rPr>
        <w:t xml:space="preserve"> </w:t>
      </w:r>
      <w:r w:rsidR="00511AF2" w:rsidRPr="00511AF2">
        <w:rPr>
          <w:snapToGrid w:val="0"/>
        </w:rPr>
        <w:t>источник</w:t>
      </w:r>
      <w:r w:rsidR="00511AF2">
        <w:rPr>
          <w:snapToGrid w:val="0"/>
        </w:rPr>
        <w:t xml:space="preserve">а экспертных знаний </w:t>
      </w:r>
      <w:r>
        <w:rPr>
          <w:snapToGrid w:val="0"/>
        </w:rPr>
        <w:t xml:space="preserve">по правовым и </w:t>
      </w:r>
      <w:r w:rsidR="00511AF2">
        <w:rPr>
          <w:snapToGrid w:val="0"/>
        </w:rPr>
        <w:t>технологическим</w:t>
      </w:r>
      <w:r>
        <w:rPr>
          <w:snapToGrid w:val="0"/>
        </w:rPr>
        <w:t xml:space="preserve"> вопросам</w:t>
      </w:r>
      <w:r w:rsidR="00511AF2">
        <w:rPr>
          <w:snapToGrid w:val="0"/>
        </w:rPr>
        <w:t xml:space="preserve">, </w:t>
      </w:r>
      <w:r w:rsidR="00C61EE0">
        <w:rPr>
          <w:snapToGrid w:val="0"/>
        </w:rPr>
        <w:t xml:space="preserve">возникающим в </w:t>
      </w:r>
      <w:r w:rsidR="00C61EE0" w:rsidRPr="00C61EE0">
        <w:rPr>
          <w:snapToGrid w:val="0"/>
        </w:rPr>
        <w:t>процесс</w:t>
      </w:r>
      <w:r w:rsidR="00C61EE0">
        <w:rPr>
          <w:snapToGrid w:val="0"/>
        </w:rPr>
        <w:t xml:space="preserve">е </w:t>
      </w:r>
      <w:r>
        <w:rPr>
          <w:snapToGrid w:val="0"/>
        </w:rPr>
        <w:t>альтернативного урегулирования споров (АУС).</w:t>
      </w:r>
    </w:p>
    <w:p w14:paraId="15D9EB40" w14:textId="77777777" w:rsidR="00FB1B58" w:rsidRDefault="00FB1B58">
      <w:pPr>
        <w:rPr>
          <w:snapToGrid w:val="0"/>
        </w:rPr>
      </w:pPr>
      <w:r>
        <w:rPr>
          <w:snapToGrid w:val="0"/>
        </w:rPr>
        <w:br w:type="page"/>
      </w:r>
    </w:p>
    <w:p w14:paraId="7C533694" w14:textId="1C439EE3" w:rsidR="009E2883" w:rsidRPr="00F73CFD" w:rsidRDefault="005D7022" w:rsidP="005D7022">
      <w:pPr>
        <w:spacing w:after="240"/>
        <w:rPr>
          <w:snapToGrid w:val="0"/>
        </w:rPr>
      </w:pPr>
      <w:r>
        <w:rPr>
          <w:snapToGrid w:val="0"/>
        </w:rPr>
        <w:lastRenderedPageBreak/>
        <w:t>3.</w:t>
      </w:r>
      <w:r>
        <w:rPr>
          <w:snapToGrid w:val="0"/>
        </w:rPr>
        <w:tab/>
      </w:r>
      <w:r>
        <w:t>Кроме того, в документе приводится обновленная информация о деятельности ВОИС в области доменных имен, о которой ранее сообщалось в документе</w:t>
      </w:r>
      <w:r w:rsidR="00FB1B58">
        <w:t> </w:t>
      </w:r>
      <w:hyperlink r:id="rId8" w:history="1">
        <w:r>
          <w:rPr>
            <w:rStyle w:val="Hyperlink"/>
            <w:snapToGrid w:val="0"/>
          </w:rPr>
          <w:t>WO/GA/56/13</w:t>
        </w:r>
      </w:hyperlink>
      <w:r>
        <w:t>.</w:t>
      </w:r>
      <w:r>
        <w:rPr>
          <w:snapToGrid w:val="0"/>
        </w:rPr>
        <w:t xml:space="preserve"> Он касается рассмотрения Центром споров </w:t>
      </w:r>
      <w:r w:rsidR="00C61EE0">
        <w:rPr>
          <w:snapToGrid w:val="0"/>
        </w:rPr>
        <w:t xml:space="preserve">о </w:t>
      </w:r>
      <w:r>
        <w:rPr>
          <w:snapToGrid w:val="0"/>
        </w:rPr>
        <w:t>доменных имен</w:t>
      </w:r>
      <w:r w:rsidR="00C61EE0">
        <w:rPr>
          <w:snapToGrid w:val="0"/>
        </w:rPr>
        <w:t>ах</w:t>
      </w:r>
      <w:r>
        <w:rPr>
          <w:snapToGrid w:val="0"/>
        </w:rPr>
        <w:t xml:space="preserve"> на основании различных </w:t>
      </w:r>
      <w:r w:rsidR="00C61EE0" w:rsidRPr="00C61EE0">
        <w:rPr>
          <w:snapToGrid w:val="0"/>
        </w:rPr>
        <w:t>положени</w:t>
      </w:r>
      <w:r w:rsidR="00C61EE0">
        <w:rPr>
          <w:snapToGrid w:val="0"/>
        </w:rPr>
        <w:t xml:space="preserve">й, </w:t>
      </w:r>
      <w:r w:rsidR="00C61EE0" w:rsidRPr="00C61EE0">
        <w:rPr>
          <w:snapToGrid w:val="0"/>
        </w:rPr>
        <w:t>а также</w:t>
      </w:r>
      <w:r w:rsidR="00C61EE0">
        <w:rPr>
          <w:snapToGrid w:val="0"/>
        </w:rPr>
        <w:t xml:space="preserve"> различных</w:t>
      </w:r>
      <w:r>
        <w:rPr>
          <w:snapToGrid w:val="0"/>
        </w:rPr>
        <w:t xml:space="preserve"> </w:t>
      </w:r>
      <w:r w:rsidR="00C61EE0">
        <w:rPr>
          <w:snapToGrid w:val="0"/>
        </w:rPr>
        <w:t xml:space="preserve">связанных с этим </w:t>
      </w:r>
      <w:r>
        <w:rPr>
          <w:snapToGrid w:val="0"/>
        </w:rPr>
        <w:t>аспектов системы доменных имен в Интернете (DNS)</w:t>
      </w:r>
      <w:r w:rsidR="00C61EE0">
        <w:rPr>
          <w:snapToGrid w:val="0"/>
        </w:rPr>
        <w:t xml:space="preserve"> и </w:t>
      </w:r>
      <w:r>
        <w:rPr>
          <w:snapToGrid w:val="0"/>
        </w:rPr>
        <w:t>некоторых изменений в подходах — в частности, применения механизмов охраны прав (МОП) при введении новых родовых доменов верхнего уровня (рДВУ), предстоящего пересмотра Корпорацией по распределению имен и номеров в Интернете (ICANN) Единой политики урегулирования споров в области доменных имен (ЕПУС) и других МОП, а также хода выполнения рекомендаций государств-членов ВОИС, сформулированных в рамках Второго процесса ВОИС по доменным именам в Интернете.</w:t>
      </w:r>
      <w:r w:rsidR="009E2883" w:rsidRPr="009E2883">
        <w:rPr>
          <w:snapToGrid w:val="0"/>
        </w:rPr>
        <w:t xml:space="preserve"> </w:t>
      </w:r>
    </w:p>
    <w:p w14:paraId="1F61D556" w14:textId="77777777" w:rsidR="008D6F26" w:rsidRPr="006F6660" w:rsidRDefault="008D6F26" w:rsidP="001042AE">
      <w:pPr>
        <w:pStyle w:val="Heading2"/>
        <w:keepNext w:val="0"/>
        <w:widowControl w:val="0"/>
        <w:spacing w:after="220"/>
        <w:ind w:left="540" w:hanging="540"/>
      </w:pPr>
      <w:r>
        <w:t>I.</w:t>
      </w:r>
      <w:r>
        <w:tab/>
        <w:t>ПОСРЕДНИЧЕСТВО И АРБИТРАЖ ПРИ УРЕГУЛИРОВАНИИ СПОРОВ, КАСАЮЩИХСЯ ИС</w:t>
      </w:r>
    </w:p>
    <w:p w14:paraId="07420A9B" w14:textId="77777777" w:rsidR="008D6F26" w:rsidRPr="00423040" w:rsidRDefault="008D6F26" w:rsidP="009C3FB9">
      <w:pPr>
        <w:pStyle w:val="ListParagraph"/>
        <w:widowControl w:val="0"/>
        <w:spacing w:after="240"/>
        <w:ind w:left="0" w:firstLine="562"/>
        <w:contextualSpacing w:val="0"/>
      </w:pPr>
      <w:r w:rsidRPr="009E2883">
        <w:rPr>
          <w:lang w:val="en-US"/>
        </w:rPr>
        <w:t>A</w:t>
      </w:r>
      <w:r w:rsidRPr="00423040">
        <w:t>.</w:t>
      </w:r>
      <w:r w:rsidRPr="00423040">
        <w:tab/>
      </w:r>
      <w:r>
        <w:t>РАССМОТРЕНИЕ</w:t>
      </w:r>
      <w:r w:rsidRPr="00423040">
        <w:t xml:space="preserve"> </w:t>
      </w:r>
      <w:r>
        <w:t>СПОРОВ</w:t>
      </w:r>
    </w:p>
    <w:p w14:paraId="0B9D7EEE" w14:textId="77777777" w:rsidR="00C742B2" w:rsidRPr="007B66EF" w:rsidRDefault="005D7022" w:rsidP="005D7022">
      <w:pPr>
        <w:spacing w:after="240"/>
        <w:rPr>
          <w:snapToGrid w:val="0"/>
          <w:szCs w:val="22"/>
        </w:rPr>
      </w:pPr>
      <w:r w:rsidRPr="00CD2DBA">
        <w:rPr>
          <w:snapToGrid w:val="0"/>
        </w:rPr>
        <w:t>4.</w:t>
      </w:r>
      <w:r w:rsidRPr="00CD2DBA">
        <w:rPr>
          <w:snapToGrid w:val="0"/>
        </w:rPr>
        <w:tab/>
      </w:r>
      <w:r w:rsidR="00CD2DBA" w:rsidRPr="00423040">
        <w:rPr>
          <w:snapToGrid w:val="0"/>
        </w:rPr>
        <w:t xml:space="preserve">В 2023 году Центр участвовал в разрешении 680 споров в области интеллектуальной собственности, инноваций и технологий. </w:t>
      </w:r>
      <w:r w:rsidR="00CD2DBA" w:rsidRPr="007B66EF">
        <w:rPr>
          <w:snapToGrid w:val="0"/>
        </w:rPr>
        <w:t>Это</w:t>
      </w:r>
      <w:r w:rsidR="00C61EE0">
        <w:rPr>
          <w:snapToGrid w:val="0"/>
        </w:rPr>
        <w:t xml:space="preserve"> </w:t>
      </w:r>
      <w:r w:rsidR="00CD2DBA" w:rsidRPr="007B66EF">
        <w:rPr>
          <w:snapToGrid w:val="0"/>
        </w:rPr>
        <w:t>на 24% больше, чем в</w:t>
      </w:r>
      <w:r w:rsidR="007B66EF">
        <w:rPr>
          <w:snapToGrid w:val="0"/>
        </w:rPr>
        <w:t> </w:t>
      </w:r>
      <w:r w:rsidR="00CD2DBA" w:rsidRPr="007B66EF">
        <w:rPr>
          <w:snapToGrid w:val="0"/>
        </w:rPr>
        <w:t xml:space="preserve">2022 году, и </w:t>
      </w:r>
      <w:r w:rsidR="00C61EE0" w:rsidRPr="00C61EE0">
        <w:rPr>
          <w:snapToGrid w:val="0"/>
        </w:rPr>
        <w:t>соответств</w:t>
      </w:r>
      <w:r w:rsidR="00C61EE0">
        <w:rPr>
          <w:snapToGrid w:val="0"/>
        </w:rPr>
        <w:t xml:space="preserve">ует росту </w:t>
      </w:r>
      <w:r w:rsidR="00CD2DBA" w:rsidRPr="007B66EF">
        <w:rPr>
          <w:snapToGrid w:val="0"/>
        </w:rPr>
        <w:t xml:space="preserve">на 280% за последние пять лет. </w:t>
      </w:r>
      <w:r w:rsidR="00C61EE0" w:rsidRPr="007B66EF">
        <w:rPr>
          <w:snapToGrid w:val="0"/>
        </w:rPr>
        <w:t>С</w:t>
      </w:r>
      <w:r w:rsidR="00CD2DBA" w:rsidRPr="007B66EF">
        <w:rPr>
          <w:snapToGrid w:val="0"/>
        </w:rPr>
        <w:t xml:space="preserve">поры </w:t>
      </w:r>
      <w:r w:rsidR="00C61EE0">
        <w:rPr>
          <w:snapToGrid w:val="0"/>
        </w:rPr>
        <w:t>передавались</w:t>
      </w:r>
      <w:r w:rsidR="00CD2DBA" w:rsidRPr="007B66EF">
        <w:rPr>
          <w:snapToGrid w:val="0"/>
        </w:rPr>
        <w:t xml:space="preserve"> </w:t>
      </w:r>
      <w:r w:rsidR="00C61EE0">
        <w:rPr>
          <w:snapToGrid w:val="0"/>
        </w:rPr>
        <w:t xml:space="preserve">на </w:t>
      </w:r>
      <w:r w:rsidR="00C61EE0" w:rsidRPr="00C61EE0">
        <w:rPr>
          <w:snapToGrid w:val="0"/>
          <w:szCs w:val="22"/>
        </w:rPr>
        <w:t>рассмотрени</w:t>
      </w:r>
      <w:r w:rsidR="00C61EE0">
        <w:rPr>
          <w:snapToGrid w:val="0"/>
        </w:rPr>
        <w:t xml:space="preserve">е </w:t>
      </w:r>
      <w:r w:rsidR="00CD2DBA" w:rsidRPr="007B66EF">
        <w:rPr>
          <w:snapToGrid w:val="0"/>
        </w:rPr>
        <w:t>Центр</w:t>
      </w:r>
      <w:r w:rsidR="00C61EE0">
        <w:rPr>
          <w:snapToGrid w:val="0"/>
        </w:rPr>
        <w:t>а</w:t>
      </w:r>
      <w:r w:rsidR="00CD2DBA" w:rsidRPr="007B66EF">
        <w:rPr>
          <w:snapToGrid w:val="0"/>
        </w:rPr>
        <w:t xml:space="preserve"> в соответствии с Правилами ВОИС о посредничестве, арбитраже, ускоренном арбитраже или экспертном заключении и добрых услугах, а также его </w:t>
      </w:r>
      <w:r w:rsidR="00C61EE0" w:rsidRPr="00C61EE0">
        <w:rPr>
          <w:snapToGrid w:val="0"/>
        </w:rPr>
        <w:t>программ</w:t>
      </w:r>
      <w:r w:rsidR="00C61EE0">
        <w:rPr>
          <w:snapToGrid w:val="0"/>
        </w:rPr>
        <w:t xml:space="preserve">ами </w:t>
      </w:r>
      <w:r w:rsidR="00CD2DBA" w:rsidRPr="007B66EF">
        <w:rPr>
          <w:snapToGrid w:val="0"/>
        </w:rPr>
        <w:t xml:space="preserve">совместного </w:t>
      </w:r>
      <w:r w:rsidR="00C61EE0" w:rsidRPr="00C61EE0">
        <w:rPr>
          <w:snapToGrid w:val="0"/>
        </w:rPr>
        <w:t>урегулировани</w:t>
      </w:r>
      <w:r w:rsidR="00C61EE0">
        <w:rPr>
          <w:snapToGrid w:val="0"/>
        </w:rPr>
        <w:t xml:space="preserve">я споров </w:t>
      </w:r>
      <w:r w:rsidR="00CD2DBA" w:rsidRPr="007B66EF">
        <w:rPr>
          <w:snapToGrid w:val="0"/>
        </w:rPr>
        <w:t xml:space="preserve">с национальными ведомствами </w:t>
      </w:r>
      <w:r w:rsidR="00C61EE0">
        <w:rPr>
          <w:snapToGrid w:val="0"/>
        </w:rPr>
        <w:t>ИС и авторского права</w:t>
      </w:r>
      <w:r w:rsidR="00CD2DBA" w:rsidRPr="007B66EF">
        <w:rPr>
          <w:snapToGrid w:val="0"/>
        </w:rPr>
        <w:t xml:space="preserve"> и </w:t>
      </w:r>
      <w:r w:rsidR="00C61EE0" w:rsidRPr="007B66EF">
        <w:rPr>
          <w:snapToGrid w:val="0"/>
        </w:rPr>
        <w:t xml:space="preserve">национальными </w:t>
      </w:r>
      <w:r w:rsidR="00CD2DBA" w:rsidRPr="007B66EF">
        <w:rPr>
          <w:snapToGrid w:val="0"/>
        </w:rPr>
        <w:t xml:space="preserve">судами. </w:t>
      </w:r>
    </w:p>
    <w:p w14:paraId="341B20CA" w14:textId="77777777" w:rsidR="00A07643" w:rsidRPr="00CD2DBA" w:rsidRDefault="00A00DE1" w:rsidP="00FB1B58">
      <w:pPr>
        <w:pStyle w:val="ListParagraph"/>
        <w:widowControl w:val="0"/>
        <w:shd w:val="clear" w:color="auto" w:fill="FFFFFF"/>
        <w:spacing w:after="240"/>
        <w:ind w:left="1530" w:hanging="450"/>
        <w:contextualSpacing w:val="0"/>
        <w:rPr>
          <w:szCs w:val="22"/>
        </w:rPr>
      </w:pPr>
      <w:r w:rsidRPr="00CD2DBA">
        <w:t>(</w:t>
      </w:r>
      <w:r w:rsidRPr="009E2883">
        <w:rPr>
          <w:lang w:val="en-US"/>
        </w:rPr>
        <w:t>a</w:t>
      </w:r>
      <w:r w:rsidRPr="00CD2DBA">
        <w:t>)</w:t>
      </w:r>
      <w:r w:rsidRPr="00CD2DBA">
        <w:tab/>
      </w:r>
      <w:r w:rsidR="00CD2DBA" w:rsidRPr="00CD2DBA">
        <w:rPr>
          <w:u w:val="single"/>
        </w:rPr>
        <w:t>Посредничество, арбитраж, экспертные заключения и добрые услуги ВОИС</w:t>
      </w:r>
      <w:r w:rsidR="00C63031" w:rsidRPr="006F6660">
        <w:rPr>
          <w:rStyle w:val="FootnoteReference"/>
        </w:rPr>
        <w:footnoteReference w:id="2"/>
      </w:r>
    </w:p>
    <w:p w14:paraId="0FC5C54B" w14:textId="3B352DEE" w:rsidR="00FB1B58" w:rsidRDefault="00C61EE0" w:rsidP="006D7D6A">
      <w:pPr>
        <w:pStyle w:val="ListParagraph"/>
        <w:widowControl w:val="0"/>
        <w:numPr>
          <w:ilvl w:val="0"/>
          <w:numId w:val="7"/>
        </w:numPr>
        <w:shd w:val="clear" w:color="auto" w:fill="FFFFFF"/>
        <w:spacing w:after="240"/>
        <w:ind w:left="0" w:firstLine="0"/>
        <w:contextualSpacing w:val="0"/>
      </w:pPr>
      <w:r>
        <w:t xml:space="preserve">Осуществляемые </w:t>
      </w:r>
      <w:r w:rsidR="008D6F26">
        <w:t>Центром процедуры посре</w:t>
      </w:r>
      <w:r>
        <w:t>дничества, арбитража и вынесения экспертных заключений</w:t>
      </w:r>
      <w:r w:rsidR="008D6F26">
        <w:t xml:space="preserve"> имеют целью удовлетворение потребностей сторон в оперативном и экономичном урегулировании споров по вопросам ИС и технологий. Центр занимается рассмотрением и урегулированием споров с применением указанных процедур, включающих процедурн</w:t>
      </w:r>
      <w:r w:rsidR="00423040">
        <w:t>ое содействие</w:t>
      </w:r>
      <w:r w:rsidR="00950383" w:rsidRPr="006F6660">
        <w:rPr>
          <w:rStyle w:val="FootnoteReference"/>
        </w:rPr>
        <w:footnoteReference w:id="3"/>
      </w:r>
      <w:r w:rsidR="008D6F26">
        <w:t>, подготовку кадров</w:t>
      </w:r>
      <w:r w:rsidR="008D6F26" w:rsidRPr="006F6660">
        <w:rPr>
          <w:rStyle w:val="FootnoteReference"/>
          <w:rFonts w:eastAsia="SimSun"/>
        </w:rPr>
        <w:footnoteReference w:id="4"/>
      </w:r>
      <w:r w:rsidR="008D6F26">
        <w:t>, назначение квалифицированных арбитров, посредников и экспертов и обеспечение их работы, а также постоянное обновление инфраструктуры рассмотрения споров. Споры направляются на рассмотрение Центр</w:t>
      </w:r>
      <w:r w:rsidR="00423040">
        <w:t>а</w:t>
      </w:r>
      <w:r w:rsidR="008D6F26">
        <w:t xml:space="preserve"> на основании </w:t>
      </w:r>
      <w:r w:rsidR="00423040">
        <w:t xml:space="preserve">положений ранее </w:t>
      </w:r>
      <w:r w:rsidR="008D6F26">
        <w:t xml:space="preserve">заключенного контракта или, </w:t>
      </w:r>
      <w:r w:rsidR="00423040">
        <w:t xml:space="preserve">как это бывает </w:t>
      </w:r>
      <w:r w:rsidR="008D6F26">
        <w:t xml:space="preserve">все чаще, соглашения о передаче спора </w:t>
      </w:r>
      <w:r w:rsidR="008C2309">
        <w:t xml:space="preserve">на </w:t>
      </w:r>
      <w:r w:rsidR="008C2309">
        <w:rPr>
          <w:snapToGrid w:val="0"/>
        </w:rPr>
        <w:t>альтернатив</w:t>
      </w:r>
      <w:r w:rsidR="008C2309">
        <w:t>ное урегулирование, заключаемого уже после возникновения спора</w:t>
      </w:r>
      <w:r w:rsidR="008D6F26">
        <w:t xml:space="preserve"> (</w:t>
      </w:r>
      <w:r w:rsidR="008C2309">
        <w:t xml:space="preserve">в том числе по решению </w:t>
      </w:r>
      <w:r w:rsidR="008D6F26">
        <w:t>суд</w:t>
      </w:r>
      <w:r w:rsidR="008C2309">
        <w:t>а</w:t>
      </w:r>
      <w:r w:rsidR="008D6F26">
        <w:t xml:space="preserve">), а также </w:t>
      </w:r>
      <w:r w:rsidR="008C2309">
        <w:t xml:space="preserve">по одностороннему запросу, направляемому </w:t>
      </w:r>
      <w:r w:rsidR="008D6F26">
        <w:t>в соответствии со статьей 4 Правил ВОИС в области посредничества</w:t>
      </w:r>
      <w:r w:rsidR="008D6F26" w:rsidRPr="006F6660">
        <w:rPr>
          <w:rStyle w:val="FootnoteReference"/>
        </w:rPr>
        <w:footnoteReference w:id="5"/>
      </w:r>
      <w:r w:rsidR="008D6F26">
        <w:t>.</w:t>
      </w:r>
    </w:p>
    <w:p w14:paraId="022FD00B" w14:textId="77777777" w:rsidR="00FB1B58" w:rsidRDefault="00FB1B58">
      <w:pPr>
        <w:rPr>
          <w:rFonts w:eastAsia="Times New Roman" w:cs="Times New Roman"/>
          <w:lang w:eastAsia="en-US"/>
        </w:rPr>
      </w:pPr>
      <w:r>
        <w:br w:type="page"/>
      </w:r>
    </w:p>
    <w:p w14:paraId="312E94E8" w14:textId="77777777" w:rsidR="002C0202" w:rsidRPr="00CD2DBA" w:rsidRDefault="00CD2DBA" w:rsidP="006D7D6A">
      <w:pPr>
        <w:pStyle w:val="ListParagraph"/>
        <w:widowControl w:val="0"/>
        <w:numPr>
          <w:ilvl w:val="0"/>
          <w:numId w:val="7"/>
        </w:numPr>
        <w:shd w:val="clear" w:color="auto" w:fill="FFFFFF"/>
        <w:spacing w:after="240"/>
        <w:ind w:left="0" w:firstLine="0"/>
        <w:contextualSpacing w:val="0"/>
        <w:rPr>
          <w:shd w:val="clear" w:color="auto" w:fill="FFFFFF"/>
        </w:rPr>
      </w:pPr>
      <w:r w:rsidRPr="002C45F4">
        <w:lastRenderedPageBreak/>
        <w:t>В</w:t>
      </w:r>
      <w:r w:rsidRPr="00CD2DBA">
        <w:t xml:space="preserve"> 2023 </w:t>
      </w:r>
      <w:r w:rsidRPr="002C45F4">
        <w:t>году</w:t>
      </w:r>
      <w:r w:rsidRPr="00CD2DBA">
        <w:t xml:space="preserve"> </w:t>
      </w:r>
      <w:r w:rsidRPr="002C45F4">
        <w:t xml:space="preserve">услугами Центра </w:t>
      </w:r>
      <w:r>
        <w:t>в области</w:t>
      </w:r>
      <w:r w:rsidRPr="002C45F4">
        <w:t xml:space="preserve"> посредниче</w:t>
      </w:r>
      <w:r>
        <w:t>ства</w:t>
      </w:r>
      <w:r w:rsidRPr="002C45F4">
        <w:t>, арбитраж</w:t>
      </w:r>
      <w:r>
        <w:t>а, экспертизы</w:t>
      </w:r>
      <w:r w:rsidRPr="002C45F4">
        <w:t xml:space="preserve"> и </w:t>
      </w:r>
      <w:r w:rsidRPr="00A535DF">
        <w:t>процедур</w:t>
      </w:r>
      <w:r>
        <w:t>ного содействия (</w:t>
      </w:r>
      <w:r w:rsidRPr="002C45F4">
        <w:t>добрых услуг</w:t>
      </w:r>
      <w:r>
        <w:t>)</w:t>
      </w:r>
      <w:r w:rsidRPr="002C45F4">
        <w:t xml:space="preserve"> воспользовались крупные</w:t>
      </w:r>
      <w:r w:rsidRPr="00CD2DBA">
        <w:t xml:space="preserve"> </w:t>
      </w:r>
      <w:r w:rsidRPr="002C45F4">
        <w:t>компании</w:t>
      </w:r>
      <w:r w:rsidRPr="00CD2DBA">
        <w:t xml:space="preserve">, </w:t>
      </w:r>
      <w:r w:rsidRPr="002C45F4">
        <w:t>малые</w:t>
      </w:r>
      <w:r w:rsidRPr="00CD2DBA">
        <w:t xml:space="preserve"> </w:t>
      </w:r>
      <w:r w:rsidRPr="002C45F4">
        <w:t>и</w:t>
      </w:r>
      <w:r w:rsidRPr="00CD2DBA">
        <w:t xml:space="preserve"> </w:t>
      </w:r>
      <w:r w:rsidRPr="002C45F4">
        <w:t>средние</w:t>
      </w:r>
      <w:r w:rsidRPr="00CD2DBA">
        <w:t xml:space="preserve"> </w:t>
      </w:r>
      <w:r w:rsidRPr="002C45F4">
        <w:t>предприятия</w:t>
      </w:r>
      <w:r w:rsidRPr="00CD2DBA">
        <w:t xml:space="preserve"> (</w:t>
      </w:r>
      <w:r w:rsidRPr="002C45F4">
        <w:t>МСП</w:t>
      </w:r>
      <w:r w:rsidRPr="00CD2DBA">
        <w:t>)</w:t>
      </w:r>
      <w:r w:rsidRPr="002C0202">
        <w:rPr>
          <w:vertAlign w:val="superscript"/>
        </w:rPr>
        <w:footnoteReference w:id="6"/>
      </w:r>
      <w:r w:rsidR="00077A70" w:rsidRPr="00CD2DBA">
        <w:t xml:space="preserve">, </w:t>
      </w:r>
      <w:r w:rsidRPr="002C45F4">
        <w:t xml:space="preserve">университеты и </w:t>
      </w:r>
      <w:r>
        <w:t>научно-</w:t>
      </w:r>
      <w:r w:rsidRPr="002C45F4">
        <w:t xml:space="preserve">исследовательские организации, организации коллективного управления (ОКУ), а также </w:t>
      </w:r>
      <w:r>
        <w:t xml:space="preserve">изобретатели </w:t>
      </w:r>
      <w:r w:rsidRPr="002C45F4">
        <w:t>из 64 стран</w:t>
      </w:r>
      <w:r>
        <w:t>,</w:t>
      </w:r>
      <w:r w:rsidRPr="002C45F4">
        <w:t xml:space="preserve"> что в</w:t>
      </w:r>
      <w:r>
        <w:t> </w:t>
      </w:r>
      <w:r w:rsidRPr="002C45F4">
        <w:t xml:space="preserve">общей сложности соответствовало 297 запросам. Новые </w:t>
      </w:r>
      <w:r>
        <w:t xml:space="preserve">дела, </w:t>
      </w:r>
      <w:r w:rsidRPr="004D0E14">
        <w:t>рассматр</w:t>
      </w:r>
      <w:r>
        <w:t>ивавшиеся по Правилам</w:t>
      </w:r>
      <w:r w:rsidRPr="002C45F4">
        <w:t xml:space="preserve"> ВОИС</w:t>
      </w:r>
      <w:r>
        <w:t>,</w:t>
      </w:r>
      <w:r w:rsidRPr="002C45F4">
        <w:t xml:space="preserve"> касались соглашений об исследованиях и разработках (</w:t>
      </w:r>
      <w:r>
        <w:t>НИОКР</w:t>
      </w:r>
      <w:r w:rsidRPr="002C45F4">
        <w:t>), включая соглашения</w:t>
      </w:r>
      <w:r>
        <w:t xml:space="preserve"> о консорциумах, соглашений</w:t>
      </w:r>
      <w:r w:rsidRPr="002C45F4">
        <w:t xml:space="preserve"> о лицензировании патентов, включая </w:t>
      </w:r>
      <w:r>
        <w:t xml:space="preserve">решения </w:t>
      </w:r>
      <w:r w:rsidRPr="00CD2DBA">
        <w:t xml:space="preserve">споров </w:t>
      </w:r>
      <w:r>
        <w:t>в отношении стандартообразующих</w:t>
      </w:r>
      <w:r w:rsidRPr="00CD2DBA">
        <w:t xml:space="preserve"> </w:t>
      </w:r>
      <w:r>
        <w:t>патентов</w:t>
      </w:r>
      <w:r w:rsidRPr="00CD2DBA">
        <w:t xml:space="preserve"> </w:t>
      </w:r>
      <w:r w:rsidRPr="002C45F4">
        <w:t>(</w:t>
      </w:r>
      <w:r>
        <w:t>SEP</w:t>
      </w:r>
      <w:r w:rsidRPr="002C45F4">
        <w:t>)/</w:t>
      </w:r>
      <w:r w:rsidRPr="00CD2DBA">
        <w:t xml:space="preserve">справедливых, обоснованных и недискриминационных (FRAND) </w:t>
      </w:r>
      <w:r>
        <w:t>условий, соглашений о разработках</w:t>
      </w:r>
      <w:r w:rsidRPr="002C45F4">
        <w:t xml:space="preserve"> и распространении биологических </w:t>
      </w:r>
      <w:r>
        <w:t>материалов, лицензирования</w:t>
      </w:r>
      <w:r w:rsidRPr="002C45F4">
        <w:t xml:space="preserve"> товарных знаков и авторских прав, географических указаний, коллективного управлени</w:t>
      </w:r>
      <w:r>
        <w:t>я авторскими правами, разработки</w:t>
      </w:r>
      <w:r w:rsidRPr="002C45F4">
        <w:t xml:space="preserve"> </w:t>
      </w:r>
      <w:r>
        <w:t>и лицензирования программного обеспечения, оценки</w:t>
      </w:r>
      <w:r w:rsidRPr="002C45F4">
        <w:t xml:space="preserve"> </w:t>
      </w:r>
      <w:r>
        <w:t>ИС и нарушений интеллектуальных прав</w:t>
      </w:r>
      <w:r w:rsidRPr="002C45F4">
        <w:t xml:space="preserve">, а также </w:t>
      </w:r>
      <w:r>
        <w:t xml:space="preserve">споров </w:t>
      </w:r>
      <w:r w:rsidRPr="002C45F4">
        <w:t>о недобросовестной конкуренции</w:t>
      </w:r>
      <w:r w:rsidR="003B40F4" w:rsidRPr="002C0202">
        <w:rPr>
          <w:vertAlign w:val="superscript"/>
        </w:rPr>
        <w:footnoteReference w:id="7"/>
      </w:r>
      <w:r w:rsidRPr="00CD2DBA">
        <w:t>.</w:t>
      </w:r>
      <w:r w:rsidR="00077A70" w:rsidRPr="00CD2DBA">
        <w:t xml:space="preserve"> </w:t>
      </w:r>
      <w:r w:rsidRPr="002C45F4">
        <w:t>Основными секторами бизнеса</w:t>
      </w:r>
      <w:r>
        <w:t>, которые представляли</w:t>
      </w:r>
      <w:r w:rsidR="00B543D4">
        <w:t xml:space="preserve"> стороны споров</w:t>
      </w:r>
      <w:r>
        <w:t>,</w:t>
      </w:r>
      <w:r w:rsidRPr="002C45F4">
        <w:t xml:space="preserve"> были креативные индустрии, </w:t>
      </w:r>
      <w:r w:rsidR="00B543D4">
        <w:t>сектор информационных и телекоммуникационных технологий</w:t>
      </w:r>
      <w:r w:rsidRPr="002C45F4">
        <w:t xml:space="preserve"> (ИКТ), науки о жизни, </w:t>
      </w:r>
      <w:r>
        <w:t xml:space="preserve">разработка и </w:t>
      </w:r>
      <w:r w:rsidRPr="00945328">
        <w:rPr>
          <w:rFonts w:eastAsia="Courier New"/>
          <w:color w:val="000000"/>
          <w:szCs w:val="32"/>
        </w:rPr>
        <w:t>производ</w:t>
      </w:r>
      <w:r>
        <w:rPr>
          <w:rFonts w:eastAsia="Courier New"/>
          <w:color w:val="000000"/>
          <w:szCs w:val="32"/>
        </w:rPr>
        <w:t>ств</w:t>
      </w:r>
      <w:r>
        <w:t xml:space="preserve">о механических </w:t>
      </w:r>
      <w:r w:rsidRPr="00CD2DBA">
        <w:t>систем</w:t>
      </w:r>
      <w:r>
        <w:t xml:space="preserve"> и оборудования, а также </w:t>
      </w:r>
      <w:r w:rsidRPr="00945328">
        <w:rPr>
          <w:rFonts w:eastAsia="Courier New"/>
          <w:color w:val="000000"/>
          <w:szCs w:val="32"/>
        </w:rPr>
        <w:t>производ</w:t>
      </w:r>
      <w:r>
        <w:rPr>
          <w:rFonts w:eastAsia="Courier New"/>
          <w:color w:val="000000"/>
          <w:szCs w:val="32"/>
        </w:rPr>
        <w:t>ств</w:t>
      </w:r>
      <w:r>
        <w:t>о предметов</w:t>
      </w:r>
      <w:r w:rsidRPr="002C45F4">
        <w:t xml:space="preserve"> роскоши.</w:t>
      </w:r>
    </w:p>
    <w:p w14:paraId="631346C5" w14:textId="77777777" w:rsidR="00747F67" w:rsidRPr="00CD2DBA" w:rsidRDefault="00CD2DBA" w:rsidP="006D7D6A">
      <w:pPr>
        <w:pStyle w:val="ListParagraph"/>
        <w:widowControl w:val="0"/>
        <w:numPr>
          <w:ilvl w:val="0"/>
          <w:numId w:val="7"/>
        </w:numPr>
        <w:shd w:val="clear" w:color="auto" w:fill="FFFFFF"/>
        <w:spacing w:after="240"/>
        <w:ind w:left="0" w:firstLine="0"/>
        <w:contextualSpacing w:val="0"/>
      </w:pPr>
      <w:r>
        <w:t xml:space="preserve">За период, прошедший после </w:t>
      </w:r>
      <w:r w:rsidRPr="00F05C7D">
        <w:t>проведения последних Ассамблей</w:t>
      </w:r>
      <w:r>
        <w:t>,</w:t>
      </w:r>
      <w:r w:rsidRPr="00F05C7D">
        <w:t xml:space="preserve"> Центр отметил особ</w:t>
      </w:r>
      <w:r>
        <w:t xml:space="preserve">енно </w:t>
      </w:r>
      <w:r w:rsidRPr="003A4619">
        <w:t>значительн</w:t>
      </w:r>
      <w:r>
        <w:t xml:space="preserve">ый рост числа дел, передаваемых </w:t>
      </w:r>
      <w:r w:rsidRPr="00F05C7D">
        <w:t xml:space="preserve">на </w:t>
      </w:r>
      <w:r>
        <w:t>посредничество</w:t>
      </w:r>
      <w:r w:rsidRPr="00F05C7D">
        <w:t xml:space="preserve"> ВОИС</w:t>
      </w:r>
      <w:r>
        <w:t xml:space="preserve"> национальными судами</w:t>
      </w:r>
      <w:r w:rsidRPr="00F05C7D">
        <w:t>.</w:t>
      </w:r>
      <w:r>
        <w:t xml:space="preserve"> Так</w:t>
      </w:r>
      <w:r w:rsidR="006A6F76">
        <w:t>, в соответствии с рамочным соглашением о сотрудничестве между Верховным народным судом Китая (SPC) и ВОИС, SPC и Центр сотрудничают в области посредничества, координируя свою деятельность с Бюро ВОИС в Китае, помогая разрешать международные споры в области интеллектуальной собств</w:t>
      </w:r>
      <w:r>
        <w:t xml:space="preserve">енности и технологий в Китае. </w:t>
      </w:r>
      <w:r w:rsidRPr="00CD2DBA">
        <w:t xml:space="preserve">На сегодняшний день </w:t>
      </w:r>
      <w:r w:rsidRPr="00F05C7D">
        <w:t xml:space="preserve">в Службу ВОИС </w:t>
      </w:r>
      <w:r>
        <w:t>по арбитражу и посредничеству</w:t>
      </w:r>
      <w:r w:rsidRPr="00F05C7D">
        <w:t xml:space="preserve"> </w:t>
      </w:r>
      <w:r w:rsidRPr="00CD2DBA">
        <w:t xml:space="preserve">для Шанхая </w:t>
      </w:r>
      <w:r w:rsidR="00B543D4">
        <w:t xml:space="preserve">было </w:t>
      </w:r>
      <w:r w:rsidRPr="00F05C7D">
        <w:t>передано более 100 международных дел, наход</w:t>
      </w:r>
      <w:r w:rsidR="00B543D4">
        <w:t xml:space="preserve">ившихся </w:t>
      </w:r>
      <w:r w:rsidRPr="00F05C7D">
        <w:t xml:space="preserve">на рассмотрении судов </w:t>
      </w:r>
      <w:r w:rsidR="00B543D4">
        <w:t>Шанхая</w:t>
      </w:r>
      <w:r w:rsidRPr="00F05C7D">
        <w:t xml:space="preserve"> </w:t>
      </w:r>
      <w:r w:rsidR="00B543D4">
        <w:t>и провинций</w:t>
      </w:r>
      <w:r>
        <w:t xml:space="preserve"> Фуцзянь, Хайнань и Гуандун</w:t>
      </w:r>
      <w:r w:rsidRPr="00F05C7D">
        <w:t xml:space="preserve">, включая </w:t>
      </w:r>
      <w:r w:rsidR="00B543D4">
        <w:t xml:space="preserve">споры, </w:t>
      </w:r>
      <w:r w:rsidR="00B543D4" w:rsidRPr="00C862FF">
        <w:t>касающи</w:t>
      </w:r>
      <w:r w:rsidR="00B543D4">
        <w:t>еся товарных знаков, патентов, авторского права, ИКТ и других коммерческих вопросов</w:t>
      </w:r>
      <w:r w:rsidRPr="00F05C7D">
        <w:t xml:space="preserve">, с участием сторон из 14 юрисдикций Азии, Европы и Северной Америки. Во Франции Центр сотрудничает с 2023 года с Судебным трибуналом Парижа в целях содействия передаче на посредничество ВОИС </w:t>
      </w:r>
      <w:r>
        <w:t xml:space="preserve">подходящих </w:t>
      </w:r>
      <w:r w:rsidRPr="00F05C7D">
        <w:t xml:space="preserve">дел </w:t>
      </w:r>
      <w:r>
        <w:t xml:space="preserve">по вопросам </w:t>
      </w:r>
      <w:r w:rsidRPr="00F05C7D">
        <w:t xml:space="preserve">интеллектуальной собственности, находящихся на рассмотрении </w:t>
      </w:r>
      <w:r>
        <w:t>трибунала</w:t>
      </w:r>
      <w:r w:rsidRPr="00F05C7D">
        <w:t xml:space="preserve">. На сегодняшний день Центр рассмотрел 15 дел о патентах, авторских правах, товарных знаках, промышленных образцах и недобросовестной конкуренции, переданных </w:t>
      </w:r>
      <w:r>
        <w:t xml:space="preserve">ему </w:t>
      </w:r>
      <w:r w:rsidRPr="00F05C7D">
        <w:t xml:space="preserve">в рамках этой программы, с участием сторон из </w:t>
      </w:r>
      <w:r>
        <w:t xml:space="preserve">11 </w:t>
      </w:r>
      <w:r w:rsidRPr="00F05C7D">
        <w:t>юрисдикций Азии, Европы и Северной Америки.</w:t>
      </w:r>
    </w:p>
    <w:p w14:paraId="758EE022" w14:textId="07B34AE5" w:rsidR="003B40F4" w:rsidRPr="006F6660" w:rsidRDefault="009D674B" w:rsidP="006D7D6A">
      <w:pPr>
        <w:pStyle w:val="ListParagraph"/>
        <w:widowControl w:val="0"/>
        <w:numPr>
          <w:ilvl w:val="0"/>
          <w:numId w:val="7"/>
        </w:numPr>
        <w:shd w:val="clear" w:color="auto" w:fill="FFFFFF"/>
        <w:spacing w:after="240"/>
        <w:ind w:left="0" w:firstLine="0"/>
        <w:contextualSpacing w:val="0"/>
      </w:pPr>
      <w:r w:rsidRPr="009D674B">
        <w:t>В течение этого периода Центр продолжал рассматривать дела, переда</w:t>
      </w:r>
      <w:r w:rsidR="00427ACC">
        <w:t xml:space="preserve">вавшиеся </w:t>
      </w:r>
      <w:r w:rsidRPr="009D674B">
        <w:t xml:space="preserve">сторонами на посредничество ВОИС в рамках программ сотрудничества с ведомствами </w:t>
      </w:r>
      <w:r w:rsidR="00A4048F">
        <w:t>ИС</w:t>
      </w:r>
      <w:r w:rsidRPr="009D674B">
        <w:t>. Например, в рамках сотрудничества с Ведомством интеллектуальной собственности Сингапура (IPOS) Центр рассматривал споры о товарных знаках, на</w:t>
      </w:r>
      <w:r w:rsidR="00CA71C1">
        <w:t xml:space="preserve">правлявшиеся в </w:t>
      </w:r>
      <w:r w:rsidRPr="009D674B">
        <w:rPr>
          <w:lang w:val="en-US"/>
        </w:rPr>
        <w:t>IPOS</w:t>
      </w:r>
      <w:r w:rsidR="00CA71C1">
        <w:t xml:space="preserve"> и передававшиеся</w:t>
      </w:r>
      <w:r w:rsidRPr="009D674B">
        <w:t xml:space="preserve"> на посредничество ВОИС. В</w:t>
      </w:r>
      <w:r w:rsidR="00CA71C1">
        <w:t> </w:t>
      </w:r>
      <w:r w:rsidRPr="009D674B">
        <w:t xml:space="preserve">2023 году ВОИС и IPOS запустили Программу посредничества ВОИС-Сингапур </w:t>
      </w:r>
      <w:r>
        <w:t xml:space="preserve">для региона </w:t>
      </w:r>
      <w:r w:rsidRPr="009D674B">
        <w:t>АСЕАН (AMP)</w:t>
      </w:r>
      <w:r>
        <w:t>, призванную стимулировать использование</w:t>
      </w:r>
      <w:r w:rsidRPr="009D674B">
        <w:t xml:space="preserve"> посредничества при разрешении споров об интеллектуальной собственности и технологиях в регионе АСЕАН, и Центр </w:t>
      </w:r>
      <w:r w:rsidR="00CA71C1">
        <w:t xml:space="preserve">уже </w:t>
      </w:r>
      <w:r w:rsidRPr="009D674B">
        <w:lastRenderedPageBreak/>
        <w:t>рассмотрел первые дела в рамках этой программы</w:t>
      </w:r>
      <w:r w:rsidR="00662607" w:rsidRPr="009D674B">
        <w:rPr>
          <w:vertAlign w:val="superscript"/>
        </w:rPr>
        <w:footnoteReference w:id="8"/>
      </w:r>
      <w:r w:rsidRPr="009D674B">
        <w:t>.</w:t>
      </w:r>
      <w:r w:rsidR="00D619D9" w:rsidRPr="009D674B">
        <w:t xml:space="preserve"> </w:t>
      </w:r>
      <w:r w:rsidR="00D619D9">
        <w:t xml:space="preserve">Центр также сотрудничает с Ведомством интеллектуальной собственности Филиппин (IPOPHL) по вопросам </w:t>
      </w:r>
      <w:r w:rsidR="00CA71C1" w:rsidRPr="00EA4BEE">
        <w:rPr>
          <w:snapToGrid w:val="0"/>
        </w:rPr>
        <w:t>применени</w:t>
      </w:r>
      <w:r w:rsidR="00CA71C1">
        <w:t>я</w:t>
      </w:r>
      <w:r w:rsidR="00D619D9">
        <w:t xml:space="preserve"> на Филиппинах посреднических процедур</w:t>
      </w:r>
      <w:r w:rsidR="00CA71C1">
        <w:t xml:space="preserve"> в рамках споров о правах</w:t>
      </w:r>
      <w:r w:rsidR="00D619D9">
        <w:t xml:space="preserve"> ИС, в том числе в последнее время в рамках </w:t>
      </w:r>
      <w:r w:rsidR="00CA71C1">
        <w:t>П</w:t>
      </w:r>
      <w:r w:rsidR="00D619D9">
        <w:t xml:space="preserve">рограммы внесудебного посредничества IPOPHL, </w:t>
      </w:r>
      <w:r w:rsidR="00CA71C1">
        <w:t xml:space="preserve">и уже </w:t>
      </w:r>
      <w:r w:rsidR="00D619D9">
        <w:t>рассм</w:t>
      </w:r>
      <w:r w:rsidR="00CA71C1">
        <w:t>атривал споры</w:t>
      </w:r>
      <w:r w:rsidR="00D619D9">
        <w:t>, переда</w:t>
      </w:r>
      <w:r w:rsidR="00CA71C1">
        <w:t>вавшиеся на посредничество</w:t>
      </w:r>
      <w:r w:rsidR="00D619D9">
        <w:t xml:space="preserve"> ВОИС в рамках этой программы. В рамках сотрудничества между Центром и Марокканским ведомством промышленной и коммерческой собственности (OMPIC) Центр и OMPIC разработали процедуру посредничества для споров в отношении ИС и технологий и совместно рассмотрели первый спор в 2023 году.</w:t>
      </w:r>
    </w:p>
    <w:p w14:paraId="05398020" w14:textId="409CF046" w:rsidR="00E86517" w:rsidRDefault="0044706D" w:rsidP="006E79F5">
      <w:pPr>
        <w:pStyle w:val="ListParagraph"/>
        <w:widowControl w:val="0"/>
        <w:numPr>
          <w:ilvl w:val="0"/>
          <w:numId w:val="7"/>
        </w:numPr>
        <w:spacing w:after="240"/>
        <w:ind w:left="0" w:firstLine="0"/>
        <w:contextualSpacing w:val="0"/>
      </w:pPr>
      <w:r>
        <w:t xml:space="preserve">Понимая </w:t>
      </w:r>
      <w:r w:rsidR="00CA71C1">
        <w:t>заинтересованн</w:t>
      </w:r>
      <w:r>
        <w:t>ость</w:t>
      </w:r>
      <w:r w:rsidR="00CA71C1">
        <w:t xml:space="preserve"> </w:t>
      </w:r>
      <w:r w:rsidR="003B40F4">
        <w:t xml:space="preserve">сторон в оперативном и экономичном </w:t>
      </w:r>
      <w:r>
        <w:t xml:space="preserve">решении вопросов, </w:t>
      </w:r>
      <w:r w:rsidR="003B40F4">
        <w:t xml:space="preserve">Центр реализовал ряд инициатив по дальнейшей оптимизации процедур АУС ВОИС. В целях повышения эффективности арбитражных процедур многие стороны использовали предлагаемый Центром </w:t>
      </w:r>
      <w:r w:rsidR="00E3095A" w:rsidRPr="00E3095A">
        <w:t>усовершенствованный</w:t>
      </w:r>
      <w:r w:rsidR="00E3095A">
        <w:t xml:space="preserve"> </w:t>
      </w:r>
      <w:r w:rsidR="003B40F4">
        <w:t xml:space="preserve">Электронный модуль </w:t>
      </w:r>
      <w:r w:rsidR="00F668B1">
        <w:fldChar w:fldCharType="begin"/>
      </w:r>
      <w:r w:rsidR="00F668B1">
        <w:instrText>HYPERLINK "https://www.wipo.int/amc/en/eadr/"</w:instrText>
      </w:r>
      <w:r w:rsidR="00F668B1">
        <w:fldChar w:fldCharType="separate"/>
      </w:r>
      <w:r w:rsidR="003B40F4">
        <w:rPr>
          <w:rStyle w:val="Hyperlink"/>
        </w:rPr>
        <w:t>eADR ВОИС</w:t>
      </w:r>
      <w:r w:rsidR="00F668B1">
        <w:rPr>
          <w:rStyle w:val="Hyperlink"/>
        </w:rPr>
        <w:fldChar w:fldCharType="end"/>
      </w:r>
      <w:r w:rsidR="003B40F4">
        <w:t xml:space="preserve"> для рассмотрения споров</w:t>
      </w:r>
      <w:r w:rsidR="00E3095A" w:rsidRPr="006F6660">
        <w:rPr>
          <w:vertAlign w:val="superscript"/>
        </w:rPr>
        <w:footnoteReference w:id="9"/>
      </w:r>
      <w:r w:rsidR="003B40F4">
        <w:t xml:space="preserve">. Кроме того, большинство </w:t>
      </w:r>
      <w:r>
        <w:t xml:space="preserve">арбитражных слушаний и заседаний в рамках посреднических </w:t>
      </w:r>
      <w:r w:rsidRPr="00A535DF">
        <w:t>процедур</w:t>
      </w:r>
      <w:r w:rsidR="003B40F4">
        <w:t xml:space="preserve"> по-прежнему проводились удаленно или в гибридном формате с использованием технических сервисов ВОИС</w:t>
      </w:r>
      <w:r>
        <w:t xml:space="preserve"> и при ее поддержке</w:t>
      </w:r>
      <w:r w:rsidR="003B40F4">
        <w:t xml:space="preserve">. Чтобы </w:t>
      </w:r>
      <w:r w:rsidR="00A44A4C">
        <w:t>участники споров и нейтральные стороны могли лучше под</w:t>
      </w:r>
      <w:r w:rsidR="003B40F4">
        <w:t xml:space="preserve">готовиться к таким </w:t>
      </w:r>
      <w:r w:rsidR="00A44A4C" w:rsidRPr="00847EC1">
        <w:t>онлайнов</w:t>
      </w:r>
      <w:r w:rsidR="00A44A4C">
        <w:t>ым заседаниям</w:t>
      </w:r>
      <w:r w:rsidR="003B40F4">
        <w:t xml:space="preserve"> и слушаниям, Центр продолжал обновлять </w:t>
      </w:r>
      <w:r w:rsidR="00F668B1">
        <w:fldChar w:fldCharType="begin"/>
      </w:r>
      <w:r w:rsidR="00F668B1">
        <w:instrText>HYPERLINK "https://www.wipo.int/amc/en/eadr/checklist/index.html"</w:instrText>
      </w:r>
      <w:r w:rsidR="00F668B1">
        <w:fldChar w:fldCharType="separate"/>
      </w:r>
      <w:r>
        <w:rPr>
          <w:rStyle w:val="Hyperlink"/>
        </w:rPr>
        <w:t>Контрольный список ВОИС по вопросам онлайнового проведения посреднических и арбитражных процедур</w:t>
      </w:r>
      <w:r w:rsidR="00F668B1">
        <w:rPr>
          <w:rStyle w:val="Hyperlink"/>
        </w:rPr>
        <w:fldChar w:fldCharType="end"/>
      </w:r>
      <w:r w:rsidR="003B40F4">
        <w:t>.</w:t>
      </w:r>
    </w:p>
    <w:p w14:paraId="09F50433" w14:textId="6B175F9D" w:rsidR="0078746E" w:rsidRPr="006F6660" w:rsidRDefault="0078746E" w:rsidP="006E79F5">
      <w:pPr>
        <w:pStyle w:val="ListParagraph"/>
        <w:widowControl w:val="0"/>
        <w:numPr>
          <w:ilvl w:val="0"/>
          <w:numId w:val="7"/>
        </w:numPr>
        <w:spacing w:after="240"/>
        <w:ind w:left="0" w:firstLine="0"/>
        <w:contextualSpacing w:val="0"/>
      </w:pPr>
      <w:r>
        <w:t xml:space="preserve">Центр также предоставляет </w:t>
      </w:r>
      <w:r w:rsidR="00A44A4C" w:rsidRPr="00A44A4C">
        <w:t xml:space="preserve">специализированные </w:t>
      </w:r>
      <w:hyperlink r:id="rId9" w:history="1">
        <w:r w:rsidR="00A44A4C">
          <w:rPr>
            <w:rStyle w:val="Hyperlink"/>
          </w:rPr>
          <w:t>услуги АУС для конкретных секторов</w:t>
        </w:r>
      </w:hyperlink>
      <w:r>
        <w:t xml:space="preserve">. </w:t>
      </w:r>
      <w:r w:rsidR="009D674B" w:rsidRPr="009D674B">
        <w:t xml:space="preserve">В этой связи </w:t>
      </w:r>
      <w:r w:rsidR="009D674B">
        <w:t>Центр</w:t>
      </w:r>
      <w:r w:rsidR="009D674B" w:rsidRPr="009D674B">
        <w:t xml:space="preserve"> </w:t>
      </w:r>
      <w:r w:rsidR="009D674B">
        <w:t>отметил</w:t>
      </w:r>
      <w:r w:rsidR="009D674B" w:rsidRPr="009D674B">
        <w:t xml:space="preserve"> </w:t>
      </w:r>
      <w:r w:rsidR="009D674B">
        <w:t>особенный</w:t>
      </w:r>
      <w:r w:rsidR="009D674B" w:rsidRPr="009D674B">
        <w:t xml:space="preserve"> </w:t>
      </w:r>
      <w:r w:rsidR="009D674B">
        <w:t>интерес</w:t>
      </w:r>
      <w:r w:rsidR="009D674B" w:rsidRPr="009D674B">
        <w:t xml:space="preserve"> </w:t>
      </w:r>
      <w:r w:rsidR="009D674B">
        <w:t>пользователей</w:t>
      </w:r>
      <w:r w:rsidR="009D674B" w:rsidRPr="009D674B">
        <w:t xml:space="preserve"> </w:t>
      </w:r>
      <w:r w:rsidR="009D674B">
        <w:t>и</w:t>
      </w:r>
      <w:r w:rsidR="009D674B" w:rsidRPr="009D674B">
        <w:t xml:space="preserve"> </w:t>
      </w:r>
      <w:r w:rsidR="009D674B">
        <w:t>органов</w:t>
      </w:r>
      <w:r w:rsidR="009D674B" w:rsidRPr="009D674B">
        <w:t xml:space="preserve">, </w:t>
      </w:r>
      <w:r w:rsidR="00A44A4C">
        <w:t>ведающих вопросами</w:t>
      </w:r>
      <w:r w:rsidR="009D674B">
        <w:t xml:space="preserve"> ИС,</w:t>
      </w:r>
      <w:r w:rsidRPr="009D674B">
        <w:t xml:space="preserve"> </w:t>
      </w:r>
      <w:r w:rsidR="009D674B">
        <w:t xml:space="preserve">к его </w:t>
      </w:r>
      <w:r w:rsidR="00F668B1">
        <w:fldChar w:fldCharType="begin"/>
      </w:r>
      <w:r w:rsidR="00F668B1">
        <w:instrText>HYPERLINK "https://www.wipo.int/amc/en/center/specific-sectors/ict/frand/"</w:instrText>
      </w:r>
      <w:r w:rsidR="00F668B1">
        <w:fldChar w:fldCharType="separate"/>
      </w:r>
      <w:r w:rsidR="009D674B" w:rsidRPr="009D674B">
        <w:rPr>
          <w:rStyle w:val="Hyperlink"/>
        </w:rPr>
        <w:t xml:space="preserve">услугам по урегулированию споров, касающихся лицензионных условий </w:t>
      </w:r>
      <w:r w:rsidR="009D674B">
        <w:rPr>
          <w:rStyle w:val="Hyperlink"/>
          <w:lang w:val="en-US"/>
        </w:rPr>
        <w:t>FRAND</w:t>
      </w:r>
      <w:r w:rsidR="00F668B1">
        <w:rPr>
          <w:rStyle w:val="Hyperlink"/>
          <w:lang w:val="en-US"/>
        </w:rPr>
        <w:fldChar w:fldCharType="end"/>
      </w:r>
      <w:r w:rsidRPr="009D674B">
        <w:t xml:space="preserve"> </w:t>
      </w:r>
      <w:r w:rsidR="009D674B">
        <w:t>в отношении стандартообразующих</w:t>
      </w:r>
      <w:r w:rsidR="009D674B" w:rsidRPr="00CD2DBA">
        <w:t xml:space="preserve"> </w:t>
      </w:r>
      <w:r w:rsidR="009D674B">
        <w:t>патентов (</w:t>
      </w:r>
      <w:r w:rsidR="009D674B">
        <w:rPr>
          <w:lang w:val="en-US"/>
        </w:rPr>
        <w:t>SEP</w:t>
      </w:r>
      <w:r w:rsidR="009D674B" w:rsidRPr="009D674B">
        <w:t>)</w:t>
      </w:r>
      <w:r w:rsidRPr="009D674B">
        <w:t xml:space="preserve">. </w:t>
      </w:r>
      <w:r>
        <w:t>К</w:t>
      </w:r>
      <w:r w:rsidR="009D674B">
        <w:t> </w:t>
      </w:r>
      <w:r>
        <w:t xml:space="preserve">настоящему </w:t>
      </w:r>
      <w:r w:rsidR="009D674B">
        <w:t xml:space="preserve">времени </w:t>
      </w:r>
      <w:r>
        <w:t xml:space="preserve">Центр провел более 80 посреднических процедур, </w:t>
      </w:r>
      <w:r w:rsidR="009D674B" w:rsidRPr="00C862FF">
        <w:t>касающи</w:t>
      </w:r>
      <w:r w:rsidR="009D674B">
        <w:t>хся</w:t>
      </w:r>
      <w:r>
        <w:t xml:space="preserve"> SEP, </w:t>
      </w:r>
      <w:r w:rsidR="009D674B">
        <w:t xml:space="preserve">с </w:t>
      </w:r>
      <w:r>
        <w:t>участие</w:t>
      </w:r>
      <w:r w:rsidR="009D674B">
        <w:t>м МСП, пат</w:t>
      </w:r>
      <w:r w:rsidR="009D674B" w:rsidRPr="009D674B">
        <w:t>ентных пулов и крупных</w:t>
      </w:r>
      <w:r w:rsidRPr="009D674B">
        <w:t xml:space="preserve"> </w:t>
      </w:r>
      <w:r w:rsidR="009D674B" w:rsidRPr="009D674B">
        <w:t>компаний</w:t>
      </w:r>
      <w:r w:rsidRPr="009D674B">
        <w:t xml:space="preserve"> из более чем 20 юрисдикций. </w:t>
      </w:r>
      <w:r w:rsidR="009D674B" w:rsidRPr="009D674B">
        <w:t xml:space="preserve">Стороны многих из этих споров </w:t>
      </w:r>
      <w:r w:rsidR="00482E30">
        <w:t>пользовались услугами</w:t>
      </w:r>
      <w:r w:rsidR="009D674B" w:rsidRPr="009D674B">
        <w:t xml:space="preserve"> посредничества в согласовании </w:t>
      </w:r>
      <w:r w:rsidR="00A44A4C">
        <w:t xml:space="preserve">лицензионных </w:t>
      </w:r>
      <w:r w:rsidR="009D674B" w:rsidRPr="009D674B">
        <w:t>условий FRAND (</w:t>
      </w:r>
      <w:r w:rsidR="00482E30">
        <w:rPr>
          <w:lang w:val="en-US"/>
        </w:rPr>
        <w:t>Deal</w:t>
      </w:r>
      <w:r w:rsidR="00482E30" w:rsidRPr="00482E30">
        <w:t xml:space="preserve"> </w:t>
      </w:r>
      <w:r w:rsidR="00482E30">
        <w:rPr>
          <w:lang w:val="en-US"/>
        </w:rPr>
        <w:t>Mediation</w:t>
      </w:r>
      <w:r w:rsidR="009D674B" w:rsidRPr="009D674B">
        <w:t xml:space="preserve">). Опираясь на свой растущий опыт оказания услуг АУС, в том числе по делам, рассматриваемым несколькими судами, Центр дает </w:t>
      </w:r>
      <w:r w:rsidR="00A44A4C" w:rsidRPr="00893A9D">
        <w:t>консульта</w:t>
      </w:r>
      <w:r w:rsidR="00A44A4C">
        <w:t>ции</w:t>
      </w:r>
      <w:r w:rsidR="009D674B" w:rsidRPr="009D674B">
        <w:t>, облегчающие передачу таких вопросов на рассмотрение в рамках процедур посредничества, арбитража и вынесения экспертных заключений</w:t>
      </w:r>
      <w:r w:rsidR="00A44A4C">
        <w:t xml:space="preserve"> ВОИС</w:t>
      </w:r>
      <w:r w:rsidRPr="009D674B">
        <w:rPr>
          <w:rStyle w:val="FootnoteReference"/>
        </w:rPr>
        <w:footnoteReference w:id="10"/>
      </w:r>
      <w:r w:rsidR="009D674B" w:rsidRPr="009D674B">
        <w:t>.</w:t>
      </w:r>
      <w:r w:rsidRPr="009D674B">
        <w:t xml:space="preserve"> </w:t>
      </w:r>
      <w:r>
        <w:t>В</w:t>
      </w:r>
      <w:r w:rsidR="00A44A4C">
        <w:t> </w:t>
      </w:r>
      <w:r>
        <w:t>течение этого периода ВОИС и Ведомство США по патентам и товарным знакам (ВПТЗ США) продолжили сотрудничество в области информационно-разъяснительной работы с заинтересованными сторонами</w:t>
      </w:r>
      <w:r w:rsidR="00033FCF">
        <w:t>,</w:t>
      </w:r>
      <w:r>
        <w:t xml:space="preserve"> </w:t>
      </w:r>
      <w:r w:rsidR="00033FCF">
        <w:t xml:space="preserve">в том числе МСП, </w:t>
      </w:r>
      <w:r>
        <w:t xml:space="preserve">с целью </w:t>
      </w:r>
      <w:r w:rsidR="00AC6320">
        <w:t xml:space="preserve">их </w:t>
      </w:r>
      <w:r>
        <w:t xml:space="preserve">дальнейшего </w:t>
      </w:r>
      <w:r w:rsidR="00AC6320">
        <w:lastRenderedPageBreak/>
        <w:t xml:space="preserve">информирования </w:t>
      </w:r>
      <w:r>
        <w:t xml:space="preserve">об услугах </w:t>
      </w:r>
      <w:r w:rsidR="00A44A4C">
        <w:t xml:space="preserve">АУС </w:t>
      </w:r>
      <w:r>
        <w:t xml:space="preserve">ВОИС </w:t>
      </w:r>
      <w:r w:rsidR="00033FCF">
        <w:t>в отношении SEP</w:t>
      </w:r>
      <w:r>
        <w:t>.</w:t>
      </w:r>
    </w:p>
    <w:p w14:paraId="17AED153" w14:textId="2708A973" w:rsidR="0078746E" w:rsidRPr="00286CE7" w:rsidRDefault="0078746E" w:rsidP="00111810">
      <w:pPr>
        <w:pStyle w:val="ListParagraph"/>
        <w:widowControl w:val="0"/>
        <w:numPr>
          <w:ilvl w:val="0"/>
          <w:numId w:val="7"/>
        </w:numPr>
        <w:spacing w:after="240"/>
        <w:ind w:left="0" w:firstLine="0"/>
        <w:contextualSpacing w:val="0"/>
      </w:pPr>
      <w:r>
        <w:t xml:space="preserve">Центр регулярно проводит </w:t>
      </w:r>
      <w:r w:rsidR="00F668B1">
        <w:fldChar w:fldCharType="begin"/>
      </w:r>
      <w:r w:rsidR="00F668B1">
        <w:instrText>HYPERLINK "https://www.wipo.int/amc/en/center/specific-sectors/lifesciences/"</w:instrText>
      </w:r>
      <w:r w:rsidR="00F668B1">
        <w:fldChar w:fldCharType="separate"/>
      </w:r>
      <w:r w:rsidR="00033FCF">
        <w:rPr>
          <w:rStyle w:val="Hyperlink"/>
        </w:rPr>
        <w:t>посреднические и арбитражные процедуры в области наук о жизни</w:t>
      </w:r>
      <w:r w:rsidR="00F668B1">
        <w:rPr>
          <w:rStyle w:val="Hyperlink"/>
        </w:rPr>
        <w:fldChar w:fldCharType="end"/>
      </w:r>
      <w:r>
        <w:t xml:space="preserve"> </w:t>
      </w:r>
      <w:r w:rsidR="00033FCF">
        <w:t>с участием</w:t>
      </w:r>
      <w:r>
        <w:t xml:space="preserve"> </w:t>
      </w:r>
      <w:r w:rsidR="00033FCF">
        <w:t>самых различных</w:t>
      </w:r>
      <w:r>
        <w:t xml:space="preserve"> </w:t>
      </w:r>
      <w:r w:rsidR="00033FCF">
        <w:t>представителей этой отрасли</w:t>
      </w:r>
      <w:r>
        <w:t>, включая фармацевтические, биотехнологические, диагностические компании и компании по производству медицинского оборудования, а также научно-</w:t>
      </w:r>
      <w:r w:rsidRPr="00482E30">
        <w:t xml:space="preserve">исследовательские институты. </w:t>
      </w:r>
      <w:r w:rsidR="00482E30" w:rsidRPr="00482E30">
        <w:t>Растущее число таких дел, рассматриваемых Центром, касается споров</w:t>
      </w:r>
      <w:r w:rsidR="00033FCF">
        <w:t xml:space="preserve"> вокруг крупных контрактов о </w:t>
      </w:r>
      <w:r w:rsidR="00482E30" w:rsidRPr="00482E30">
        <w:t>патентовании, лицензировании</w:t>
      </w:r>
      <w:r w:rsidR="007B66EF" w:rsidRPr="00482E30">
        <w:t xml:space="preserve"> и </w:t>
      </w:r>
      <w:r w:rsidR="00482E30" w:rsidRPr="00482E30">
        <w:t>продажах</w:t>
      </w:r>
      <w:r w:rsidR="007B66EF" w:rsidRPr="00482E30">
        <w:t xml:space="preserve"> фармацевтических препаратов, </w:t>
      </w:r>
      <w:r w:rsidR="00482E30" w:rsidRPr="00482E30">
        <w:t xml:space="preserve">которые </w:t>
      </w:r>
      <w:r w:rsidR="007B66EF" w:rsidRPr="00482E30">
        <w:t xml:space="preserve">в последнее время также </w:t>
      </w:r>
      <w:r w:rsidR="00482E30" w:rsidRPr="00482E30">
        <w:t>касаются вакцин</w:t>
      </w:r>
      <w:r w:rsidR="007B66EF" w:rsidRPr="00482E30">
        <w:t xml:space="preserve"> против COVID-19. </w:t>
      </w:r>
      <w:r w:rsidRPr="006D7D6A">
        <w:t xml:space="preserve">В этот период Центр опубликовал </w:t>
      </w:r>
      <w:r w:rsidR="00151FAC">
        <w:t xml:space="preserve">обезличенное резюме </w:t>
      </w:r>
      <w:r w:rsidR="00AC6320">
        <w:t>пример</w:t>
      </w:r>
      <w:r w:rsidR="00151FAC">
        <w:t xml:space="preserve">ов посреднических и арбитражных </w:t>
      </w:r>
      <w:r w:rsidR="00151FAC" w:rsidRPr="00A535DF">
        <w:t>процедур</w:t>
      </w:r>
      <w:r w:rsidRPr="006D7D6A">
        <w:t xml:space="preserve"> ВОИС в области н</w:t>
      </w:r>
      <w:r w:rsidRPr="00482E30">
        <w:t xml:space="preserve">аук о жизни. </w:t>
      </w:r>
      <w:r w:rsidR="007B66EF" w:rsidRPr="00482E30">
        <w:t xml:space="preserve">Кроме того, в рамках </w:t>
      </w:r>
      <w:r w:rsidR="00482E30" w:rsidRPr="00482E30">
        <w:t>П</w:t>
      </w:r>
      <w:r w:rsidR="007B66EF" w:rsidRPr="00482E30">
        <w:t xml:space="preserve">акета мер ВОИС по борьбе с COVID-19 Центр продолжал </w:t>
      </w:r>
      <w:r w:rsidR="00482E30" w:rsidRPr="00482E30">
        <w:t>популяризировать посреднические услуги</w:t>
      </w:r>
      <w:r w:rsidR="007B66EF" w:rsidRPr="00482E30">
        <w:t xml:space="preserve"> ВОИС </w:t>
      </w:r>
      <w:r w:rsidR="00482E30" w:rsidRPr="00482E30">
        <w:t xml:space="preserve">в рамках </w:t>
      </w:r>
      <w:r w:rsidR="00151FAC">
        <w:t>содействия заключению</w:t>
      </w:r>
      <w:r w:rsidR="00482E30" w:rsidRPr="00482E30">
        <w:t xml:space="preserve"> международных </w:t>
      </w:r>
      <w:r w:rsidR="00151FAC">
        <w:t>лицензионных и иных</w:t>
      </w:r>
      <w:r w:rsidR="00151FAC" w:rsidRPr="00482E30">
        <w:t xml:space="preserve"> </w:t>
      </w:r>
      <w:r w:rsidR="00482E30" w:rsidRPr="00482E30">
        <w:t xml:space="preserve">контрактов в сфере </w:t>
      </w:r>
      <w:r w:rsidR="007B66EF" w:rsidRPr="00482E30">
        <w:t xml:space="preserve">наук о жизни </w:t>
      </w:r>
      <w:r w:rsidR="00482E30" w:rsidRPr="00482E30">
        <w:t>(</w:t>
      </w:r>
      <w:r w:rsidR="00482E30" w:rsidRPr="00482E30">
        <w:rPr>
          <w:lang w:val="en-US"/>
        </w:rPr>
        <w:t>Deal</w:t>
      </w:r>
      <w:r w:rsidR="00482E30" w:rsidRPr="00482E30">
        <w:t xml:space="preserve"> </w:t>
      </w:r>
      <w:r w:rsidR="00482E30" w:rsidRPr="00482E30">
        <w:rPr>
          <w:lang w:val="en-US"/>
        </w:rPr>
        <w:t>Mediation</w:t>
      </w:r>
      <w:r w:rsidR="00482E30" w:rsidRPr="00482E30">
        <w:t>)</w:t>
      </w:r>
      <w:r w:rsidR="007B66EF" w:rsidRPr="00482E30">
        <w:t xml:space="preserve"> </w:t>
      </w:r>
      <w:r w:rsidR="00482E30" w:rsidRPr="00482E30">
        <w:t xml:space="preserve">совместно </w:t>
      </w:r>
      <w:r w:rsidR="007B66EF" w:rsidRPr="00482E30">
        <w:t xml:space="preserve">с заинтересованными сторонами </w:t>
      </w:r>
      <w:r w:rsidR="00482E30" w:rsidRPr="00482E30">
        <w:t>из стран Африки, Азии, Европы и Северной Америки</w:t>
      </w:r>
      <w:r w:rsidR="00111810" w:rsidRPr="00482E30">
        <w:rPr>
          <w:rStyle w:val="FootnoteReference"/>
        </w:rPr>
        <w:footnoteReference w:id="11"/>
      </w:r>
      <w:r w:rsidR="00482E30" w:rsidRPr="00482E30">
        <w:t>.</w:t>
      </w:r>
      <w:r w:rsidRPr="00482E30">
        <w:t xml:space="preserve"> </w:t>
      </w:r>
      <w:r w:rsidR="007B66EF" w:rsidRPr="00D31E41">
        <w:t>Центр</w:t>
      </w:r>
      <w:r w:rsidR="007B66EF" w:rsidRPr="007B66EF">
        <w:t xml:space="preserve"> </w:t>
      </w:r>
      <w:r w:rsidR="007B66EF" w:rsidRPr="00536073">
        <w:t>распростран</w:t>
      </w:r>
      <w:r w:rsidR="007B66EF">
        <w:t>яет</w:t>
      </w:r>
      <w:r w:rsidR="007B66EF" w:rsidRPr="007B66EF">
        <w:t xml:space="preserve"> </w:t>
      </w:r>
      <w:r w:rsidR="007B66EF" w:rsidRPr="00D31E41">
        <w:t>публикаци</w:t>
      </w:r>
      <w:r w:rsidR="007B66EF">
        <w:t>ю</w:t>
      </w:r>
      <w:r w:rsidRPr="007B66EF">
        <w:t xml:space="preserve"> </w:t>
      </w:r>
      <w:hyperlink r:id="rId10" w:history="1">
        <w:r w:rsidR="00151FAC">
          <w:rPr>
            <w:rStyle w:val="Hyperlink"/>
          </w:rPr>
          <w:t>Применение механизмов АУС ВОИС для урегулирования споров в области наук о жизни</w:t>
        </w:r>
      </w:hyperlink>
      <w:r w:rsidRPr="006F6660">
        <w:rPr>
          <w:rStyle w:val="FootnoteReference"/>
        </w:rPr>
        <w:footnoteReference w:id="12"/>
      </w:r>
      <w:r w:rsidR="007B66EF" w:rsidRPr="007B66EF">
        <w:t>,</w:t>
      </w:r>
      <w:r w:rsidRPr="007B66EF">
        <w:rPr>
          <w:rStyle w:val="FootnoteReference"/>
        </w:rPr>
        <w:t xml:space="preserve"> </w:t>
      </w:r>
      <w:r w:rsidR="00286CE7">
        <w:t>в которой</w:t>
      </w:r>
      <w:r w:rsidR="007B66EF" w:rsidRPr="007B66EF">
        <w:t xml:space="preserve"> </w:t>
      </w:r>
      <w:r w:rsidR="007B66EF">
        <w:t>п</w:t>
      </w:r>
      <w:r w:rsidR="00286CE7">
        <w:t>редставлены</w:t>
      </w:r>
      <w:r w:rsidR="007B66EF" w:rsidRPr="007B66EF">
        <w:t xml:space="preserve"> </w:t>
      </w:r>
      <w:r w:rsidR="007B66EF">
        <w:t>формы АУС</w:t>
      </w:r>
      <w:r w:rsidR="007B66EF" w:rsidRPr="007B66EF">
        <w:t xml:space="preserve"> </w:t>
      </w:r>
      <w:r w:rsidR="007B66EF" w:rsidRPr="00D31E41">
        <w:t>ВОИС</w:t>
      </w:r>
      <w:r w:rsidR="007B66EF" w:rsidRPr="007B66EF">
        <w:t xml:space="preserve">, </w:t>
      </w:r>
      <w:r w:rsidR="00151FAC">
        <w:t>учитывающие специфику</w:t>
      </w:r>
      <w:r w:rsidR="00286CE7">
        <w:t xml:space="preserve"> </w:t>
      </w:r>
      <w:r w:rsidR="007B66EF">
        <w:t>наук</w:t>
      </w:r>
      <w:r w:rsidR="007B66EF" w:rsidRPr="007B66EF">
        <w:t xml:space="preserve"> </w:t>
      </w:r>
      <w:r w:rsidR="007B66EF" w:rsidRPr="00D31E41">
        <w:t>о</w:t>
      </w:r>
      <w:r w:rsidR="007B66EF" w:rsidRPr="007B66EF">
        <w:t xml:space="preserve"> </w:t>
      </w:r>
      <w:r w:rsidR="007B66EF" w:rsidRPr="00D31E41">
        <w:t>жизни</w:t>
      </w:r>
      <w:r w:rsidRPr="00286CE7">
        <w:t>.</w:t>
      </w:r>
    </w:p>
    <w:p w14:paraId="28A12ADB" w14:textId="77777777" w:rsidR="0038014D" w:rsidRPr="009E2883" w:rsidRDefault="00286CE7" w:rsidP="006E79F5">
      <w:pPr>
        <w:pStyle w:val="ListParagraph"/>
        <w:widowControl w:val="0"/>
        <w:numPr>
          <w:ilvl w:val="0"/>
          <w:numId w:val="7"/>
        </w:numPr>
        <w:spacing w:after="240"/>
        <w:ind w:left="0" w:firstLine="0"/>
        <w:contextualSpacing w:val="0"/>
        <w:rPr>
          <w:lang w:val="en-US"/>
        </w:rPr>
      </w:pPr>
      <w:r w:rsidRPr="00286CE7">
        <w:t>Учитывая настоятельную необходимость</w:t>
      </w:r>
      <w:r w:rsidR="00337372" w:rsidRPr="00286CE7">
        <w:t xml:space="preserve"> принятия мер в области изменения климата и </w:t>
      </w:r>
      <w:r w:rsidRPr="00286CE7">
        <w:t xml:space="preserve">соответствующие </w:t>
      </w:r>
      <w:r w:rsidR="00337372" w:rsidRPr="00286CE7">
        <w:t>риск</w:t>
      </w:r>
      <w:r w:rsidRPr="00286CE7">
        <w:t>и</w:t>
      </w:r>
      <w:r w:rsidR="00337372" w:rsidRPr="00286CE7">
        <w:t xml:space="preserve"> возникновения</w:t>
      </w:r>
      <w:r w:rsidR="003B5F42" w:rsidRPr="00286CE7">
        <w:t xml:space="preserve"> </w:t>
      </w:r>
      <w:hyperlink r:id="rId11" w:history="1">
        <w:r w:rsidR="00337372" w:rsidRPr="00286CE7">
          <w:rPr>
            <w:rStyle w:val="Hyperlink"/>
          </w:rPr>
          <w:t>споров, касающихся зеленых и экологически устойчивых технологий</w:t>
        </w:r>
      </w:hyperlink>
      <w:r w:rsidR="003B5F42" w:rsidRPr="00286CE7">
        <w:t xml:space="preserve">, </w:t>
      </w:r>
      <w:r w:rsidR="00337372" w:rsidRPr="00286CE7">
        <w:t xml:space="preserve">Центр отмечает </w:t>
      </w:r>
      <w:r w:rsidR="003D1904">
        <w:t xml:space="preserve">рост числа дел с </w:t>
      </w:r>
      <w:r w:rsidR="003D1904" w:rsidRPr="00EA4BEE">
        <w:rPr>
          <w:snapToGrid w:val="0"/>
        </w:rPr>
        <w:t>применени</w:t>
      </w:r>
      <w:r w:rsidR="003D1904">
        <w:rPr>
          <w:snapToGrid w:val="0"/>
        </w:rPr>
        <w:t>ем</w:t>
      </w:r>
      <w:r w:rsidR="003D1904">
        <w:t xml:space="preserve"> посреднических </w:t>
      </w:r>
      <w:r w:rsidR="00337372" w:rsidRPr="00286CE7">
        <w:t>и арб</w:t>
      </w:r>
      <w:r w:rsidRPr="00286CE7">
        <w:t>ит</w:t>
      </w:r>
      <w:r w:rsidR="00151FAC">
        <w:t>раж</w:t>
      </w:r>
      <w:r w:rsidR="003D1904">
        <w:t xml:space="preserve">ных </w:t>
      </w:r>
      <w:r w:rsidR="003D1904" w:rsidRPr="00A535DF">
        <w:t>процедур</w:t>
      </w:r>
      <w:r w:rsidR="003D1904">
        <w:t xml:space="preserve"> </w:t>
      </w:r>
      <w:r w:rsidRPr="00286CE7">
        <w:t>в этой области</w:t>
      </w:r>
      <w:r w:rsidR="003D1904">
        <w:t xml:space="preserve">; </w:t>
      </w:r>
      <w:r w:rsidR="003D1904" w:rsidRPr="003D1904">
        <w:t>соответствующ</w:t>
      </w:r>
      <w:r w:rsidR="003D1904">
        <w:t xml:space="preserve">ие споры касаются </w:t>
      </w:r>
      <w:r w:rsidR="00550534">
        <w:t>возобновляемой энергии, технологий</w:t>
      </w:r>
      <w:r w:rsidRPr="00286CE7">
        <w:t xml:space="preserve"> для ирригации</w:t>
      </w:r>
      <w:r w:rsidR="00550534">
        <w:t xml:space="preserve"> и сельского хозяйства и других технологий, направленных</w:t>
      </w:r>
      <w:r w:rsidR="00337372" w:rsidRPr="00286CE7">
        <w:t xml:space="preserve"> на </w:t>
      </w:r>
      <w:r w:rsidR="00550534">
        <w:t>повышение экологической устойчивости</w:t>
      </w:r>
      <w:r w:rsidR="00337372" w:rsidRPr="00286CE7">
        <w:t xml:space="preserve">. </w:t>
      </w:r>
      <w:r w:rsidR="00550534" w:rsidRPr="00286CE7">
        <w:t>С</w:t>
      </w:r>
      <w:r w:rsidR="00337372" w:rsidRPr="00286CE7">
        <w:t xml:space="preserve">тороны </w:t>
      </w:r>
      <w:r w:rsidR="00550534">
        <w:t xml:space="preserve">таких споров </w:t>
      </w:r>
      <w:r w:rsidR="00550534" w:rsidRPr="00286CE7">
        <w:t xml:space="preserve">часто </w:t>
      </w:r>
      <w:r w:rsidR="00550534">
        <w:t>представляют разные юрисдикции</w:t>
      </w:r>
      <w:r w:rsidRPr="00286CE7">
        <w:t>,</w:t>
      </w:r>
      <w:r w:rsidR="00337372" w:rsidRPr="00286CE7">
        <w:t xml:space="preserve"> и они </w:t>
      </w:r>
      <w:r w:rsidRPr="00286CE7">
        <w:t>касаются ИС и других коммерческих аспектов сделок, таких</w:t>
      </w:r>
      <w:r w:rsidR="00337372" w:rsidRPr="00286CE7">
        <w:t xml:space="preserve"> как лицензирование, соглашения о НИОКР, </w:t>
      </w:r>
      <w:r w:rsidR="00550534">
        <w:t>патенты на технологии</w:t>
      </w:r>
      <w:r w:rsidR="00337372" w:rsidRPr="00286CE7">
        <w:t xml:space="preserve">, ноу-хау, программное обеспечение или товарные знаки. Центр сотрудничает с </w:t>
      </w:r>
      <w:r w:rsidR="00337372" w:rsidRPr="00286CE7">
        <w:rPr>
          <w:lang w:val="en-US"/>
        </w:rPr>
        <w:t>WIPO</w:t>
      </w:r>
      <w:r w:rsidR="00337372" w:rsidRPr="00286CE7">
        <w:t xml:space="preserve"> </w:t>
      </w:r>
      <w:r w:rsidR="00337372" w:rsidRPr="00286CE7">
        <w:rPr>
          <w:lang w:val="en-US"/>
        </w:rPr>
        <w:t>Green</w:t>
      </w:r>
      <w:r w:rsidR="00337372" w:rsidRPr="00286CE7">
        <w:t xml:space="preserve"> и соответствующими </w:t>
      </w:r>
      <w:r w:rsidRPr="00286CE7">
        <w:t xml:space="preserve">участниками </w:t>
      </w:r>
      <w:r w:rsidR="00337372" w:rsidRPr="00286CE7">
        <w:t>отрасл</w:t>
      </w:r>
      <w:r w:rsidRPr="00286CE7">
        <w:t>и, стремясь содействовать эффективному разрешению</w:t>
      </w:r>
      <w:r w:rsidR="00337372" w:rsidRPr="00286CE7">
        <w:t xml:space="preserve"> таких споров с помощью </w:t>
      </w:r>
      <w:r w:rsidRPr="00286CE7">
        <w:t>АУС ВОИС</w:t>
      </w:r>
      <w:r w:rsidR="00337372" w:rsidRPr="00286CE7">
        <w:rPr>
          <w:lang w:val="en-US"/>
        </w:rPr>
        <w:t>.</w:t>
      </w:r>
      <w:r w:rsidRPr="00286CE7">
        <w:rPr>
          <w:lang w:val="en-US"/>
        </w:rPr>
        <w:t xml:space="preserve"> </w:t>
      </w:r>
    </w:p>
    <w:p w14:paraId="49F5D4E5" w14:textId="37A8E94F" w:rsidR="003C4279" w:rsidRPr="00286CE7" w:rsidRDefault="00E51936" w:rsidP="00E21E5D">
      <w:pPr>
        <w:pStyle w:val="ListParagraph"/>
        <w:widowControl w:val="0"/>
        <w:numPr>
          <w:ilvl w:val="0"/>
          <w:numId w:val="7"/>
        </w:numPr>
        <w:spacing w:after="240"/>
        <w:ind w:left="0" w:firstLine="0"/>
        <w:contextualSpacing w:val="0"/>
      </w:pPr>
      <w:r>
        <w:t xml:space="preserve">Подход Центра направлен на </w:t>
      </w:r>
      <w:r w:rsidR="002E0B12">
        <w:t xml:space="preserve">создание условий для </w:t>
      </w:r>
      <w:r w:rsidR="00550534">
        <w:t>оперативного и эффективного</w:t>
      </w:r>
      <w:r>
        <w:t xml:space="preserve"> </w:t>
      </w:r>
      <w:hyperlink r:id="rId12" w:history="1">
        <w:r w:rsidR="00550534">
          <w:rPr>
            <w:rStyle w:val="Hyperlink"/>
          </w:rPr>
          <w:t>урегулирования споров в цифровой среде</w:t>
        </w:r>
      </w:hyperlink>
      <w:r>
        <w:t xml:space="preserve">, что имеет решающее значение </w:t>
      </w:r>
      <w:r w:rsidR="002E0B12">
        <w:t xml:space="preserve">с точки зрения обеспечения корректного использования </w:t>
      </w:r>
      <w:r>
        <w:t xml:space="preserve">онлайновых сервисов </w:t>
      </w:r>
      <w:r w:rsidR="002E0B12">
        <w:t>по обмену контентом и охраны прав как создателей</w:t>
      </w:r>
      <w:r w:rsidR="00337372" w:rsidRPr="00286CE7">
        <w:t>, так и пользователей</w:t>
      </w:r>
      <w:r w:rsidR="002E0B12">
        <w:t xml:space="preserve"> </w:t>
      </w:r>
      <w:r w:rsidR="002E0B12" w:rsidRPr="00286CE7">
        <w:t>контента</w:t>
      </w:r>
      <w:r w:rsidRPr="00286CE7">
        <w:t xml:space="preserve">. </w:t>
      </w:r>
      <w:r w:rsidR="00337372" w:rsidRPr="00286CE7">
        <w:t>В свете последних изменений в законодательстве Европейского союза, касающихся незаконного к</w:t>
      </w:r>
      <w:r w:rsidR="00286CE7">
        <w:t xml:space="preserve">онтента, размещаемого на онлайновых </w:t>
      </w:r>
      <w:r w:rsidR="00337372" w:rsidRPr="00286CE7">
        <w:t>платформах, включая вопросы</w:t>
      </w:r>
      <w:r w:rsidR="002E0B12">
        <w:t xml:space="preserve"> </w:t>
      </w:r>
      <w:r w:rsidR="00286CE7" w:rsidRPr="00286CE7">
        <w:t>ИС</w:t>
      </w:r>
      <w:r w:rsidR="00337372" w:rsidRPr="00286CE7">
        <w:t xml:space="preserve">, Центр </w:t>
      </w:r>
      <w:r w:rsidR="00286CE7" w:rsidRPr="00286CE7">
        <w:t xml:space="preserve">доработал </w:t>
      </w:r>
      <w:r w:rsidR="00337372" w:rsidRPr="00286CE7">
        <w:t xml:space="preserve">Правила </w:t>
      </w:r>
      <w:r w:rsidR="00286CE7" w:rsidRPr="00286CE7">
        <w:t>ВОИС о вынесении экспертных заключений</w:t>
      </w:r>
      <w:r w:rsidR="002E0B12">
        <w:t>, чтобы учесть споры</w:t>
      </w:r>
      <w:r w:rsidR="00337372" w:rsidRPr="00286CE7">
        <w:t xml:space="preserve">, </w:t>
      </w:r>
      <w:r w:rsidR="002E0B12">
        <w:t>связанные с нарушением прав в этой области</w:t>
      </w:r>
      <w:r w:rsidR="00337372" w:rsidRPr="00286CE7">
        <w:t xml:space="preserve">. </w:t>
      </w:r>
      <w:r w:rsidR="00286CE7" w:rsidRPr="00286CE7">
        <w:t xml:space="preserve">Правила ВОИС о вынесении экспертных заключений по вопросам </w:t>
      </w:r>
      <w:r w:rsidR="00337372" w:rsidRPr="00286CE7">
        <w:t xml:space="preserve">нарушения авторских прав и </w:t>
      </w:r>
      <w:r w:rsidR="00286CE7" w:rsidRPr="00286CE7">
        <w:t>прав на товарные знаки</w:t>
      </w:r>
      <w:r w:rsidR="00337372" w:rsidRPr="00286CE7">
        <w:t xml:space="preserve"> (Правила EDCI</w:t>
      </w:r>
      <w:r w:rsidR="00286CE7" w:rsidRPr="00286CE7">
        <w:t xml:space="preserve"> ВОИС</w:t>
      </w:r>
      <w:r w:rsidR="00337372" w:rsidRPr="00286CE7">
        <w:t xml:space="preserve">) </w:t>
      </w:r>
      <w:r w:rsidR="00286CE7" w:rsidRPr="00286CE7">
        <w:t xml:space="preserve">распространяются на </w:t>
      </w:r>
      <w:r w:rsidR="00337372" w:rsidRPr="00286CE7">
        <w:t xml:space="preserve">споры между пользователями и </w:t>
      </w:r>
      <w:r w:rsidR="00286CE7" w:rsidRPr="00286CE7">
        <w:t xml:space="preserve">обладателями </w:t>
      </w:r>
      <w:r w:rsidR="00337372" w:rsidRPr="00286CE7">
        <w:t xml:space="preserve">авторских прав или </w:t>
      </w:r>
      <w:r w:rsidR="00286CE7" w:rsidRPr="00286CE7">
        <w:t>прав на товарные знаки</w:t>
      </w:r>
      <w:r w:rsidR="002E0B12">
        <w:t>, с одной стороны,</w:t>
      </w:r>
      <w:r w:rsidR="00286CE7" w:rsidRPr="00286CE7">
        <w:t xml:space="preserve"> и онлайновыми платформами</w:t>
      </w:r>
      <w:r w:rsidR="002E0B12">
        <w:t>, с другой</w:t>
      </w:r>
      <w:r w:rsidRPr="00286CE7">
        <w:t xml:space="preserve">. </w:t>
      </w:r>
      <w:r w:rsidR="00337372" w:rsidRPr="00286CE7">
        <w:t xml:space="preserve">Эта </w:t>
      </w:r>
      <w:r w:rsidR="00F668B1">
        <w:fldChar w:fldCharType="begin"/>
      </w:r>
      <w:r w:rsidR="00F668B1">
        <w:instrText>HYPERLINK "https://www.wipo.int/amc/en/center/copyright/digitalcopyright/index.html"</w:instrText>
      </w:r>
      <w:r w:rsidR="00F668B1">
        <w:fldChar w:fldCharType="separate"/>
      </w:r>
      <w:r w:rsidR="00337372" w:rsidRPr="00286CE7">
        <w:rPr>
          <w:rStyle w:val="Hyperlink"/>
        </w:rPr>
        <w:t>процедура урегулирования споров</w:t>
      </w:r>
      <w:r w:rsidR="00F668B1">
        <w:rPr>
          <w:rStyle w:val="Hyperlink"/>
        </w:rPr>
        <w:fldChar w:fldCharType="end"/>
      </w:r>
      <w:r w:rsidR="00337372" w:rsidRPr="00286CE7">
        <w:rPr>
          <w:rStyle w:val="Hyperlink"/>
        </w:rPr>
        <w:t xml:space="preserve"> </w:t>
      </w:r>
      <w:r w:rsidR="00337372" w:rsidRPr="00286CE7">
        <w:t xml:space="preserve">‒ часть многоуровневого процесса, который включает внутренние процедуры, </w:t>
      </w:r>
      <w:r w:rsidR="002E0B12" w:rsidRPr="007B33B0">
        <w:t>предусмотренн</w:t>
      </w:r>
      <w:r w:rsidR="002E0B12">
        <w:t xml:space="preserve">ые самими </w:t>
      </w:r>
      <w:r w:rsidR="00337372" w:rsidRPr="00286CE7">
        <w:t>онлайн</w:t>
      </w:r>
      <w:r w:rsidR="002E0B12">
        <w:t>овыми</w:t>
      </w:r>
      <w:r w:rsidR="00286CE7" w:rsidRPr="00286CE7">
        <w:t xml:space="preserve"> </w:t>
      </w:r>
      <w:r w:rsidR="002E0B12">
        <w:t>платформами</w:t>
      </w:r>
      <w:r w:rsidR="00337372" w:rsidRPr="00286CE7">
        <w:t xml:space="preserve">, и </w:t>
      </w:r>
      <w:r w:rsidR="00E52E6F">
        <w:lastRenderedPageBreak/>
        <w:t xml:space="preserve">сохраняет </w:t>
      </w:r>
      <w:r w:rsidR="00337372" w:rsidRPr="00286CE7">
        <w:t xml:space="preserve">возможность передачи споров в </w:t>
      </w:r>
      <w:r w:rsidR="00286CE7" w:rsidRPr="00286CE7">
        <w:t>суд</w:t>
      </w:r>
      <w:r w:rsidR="00337372" w:rsidRPr="00286CE7">
        <w:t xml:space="preserve">. </w:t>
      </w:r>
    </w:p>
    <w:p w14:paraId="76F53E03" w14:textId="77777777" w:rsidR="009D1C2F" w:rsidRPr="00286CE7" w:rsidRDefault="00286CE7" w:rsidP="009D1C2F">
      <w:pPr>
        <w:pStyle w:val="ListParagraph"/>
        <w:widowControl w:val="0"/>
        <w:numPr>
          <w:ilvl w:val="0"/>
          <w:numId w:val="7"/>
        </w:numPr>
        <w:spacing w:after="240"/>
        <w:ind w:left="0" w:firstLine="0"/>
        <w:contextualSpacing w:val="0"/>
      </w:pPr>
      <w:r>
        <w:t xml:space="preserve">Дальнейшее </w:t>
      </w:r>
      <w:r w:rsidR="00337372" w:rsidRPr="005F0D70">
        <w:t>стремительно</w:t>
      </w:r>
      <w:r>
        <w:t>е</w:t>
      </w:r>
      <w:r w:rsidR="00337372" w:rsidRPr="005F0D70">
        <w:t xml:space="preserve"> разви</w:t>
      </w:r>
      <w:r>
        <w:t xml:space="preserve">тие </w:t>
      </w:r>
      <w:r w:rsidR="00337372" w:rsidRPr="005F0D70">
        <w:t>ин</w:t>
      </w:r>
      <w:r>
        <w:t>дустрии</w:t>
      </w:r>
      <w:r w:rsidR="00337372">
        <w:t xml:space="preserve"> видеоигр и киберспорта</w:t>
      </w:r>
      <w:r>
        <w:t xml:space="preserve"> вызывает рост </w:t>
      </w:r>
      <w:r w:rsidR="00337372" w:rsidRPr="005F0D70">
        <w:t>спрос</w:t>
      </w:r>
      <w:r>
        <w:t>а</w:t>
      </w:r>
      <w:r w:rsidR="00337372" w:rsidRPr="005F0D70">
        <w:t xml:space="preserve"> на </w:t>
      </w:r>
      <w:r w:rsidRPr="00286CE7">
        <w:t xml:space="preserve">соответствующие </w:t>
      </w:r>
      <w:r w:rsidR="00337372" w:rsidRPr="00286CE7">
        <w:t xml:space="preserve">услуги </w:t>
      </w:r>
      <w:r w:rsidRPr="00286CE7">
        <w:t>АУС</w:t>
      </w:r>
      <w:r w:rsidR="00337372" w:rsidRPr="00286CE7">
        <w:t xml:space="preserve">. Центр отмечает рост </w:t>
      </w:r>
      <w:r w:rsidRPr="00286CE7">
        <w:t xml:space="preserve">числа </w:t>
      </w:r>
      <w:r w:rsidR="00337372" w:rsidRPr="00286CE7">
        <w:t>запросов на</w:t>
      </w:r>
      <w:r w:rsidR="009D1C2F" w:rsidRPr="00286CE7">
        <w:t xml:space="preserve"> </w:t>
      </w:r>
      <w:hyperlink r:id="rId13" w:history="1">
        <w:r w:rsidR="00337372" w:rsidRPr="00286CE7">
          <w:rPr>
            <w:rStyle w:val="Hyperlink"/>
          </w:rPr>
          <w:t>услуги альтернативного урегулирования споров в данной отрасли</w:t>
        </w:r>
      </w:hyperlink>
      <w:r w:rsidR="009D1C2F" w:rsidRPr="00286CE7">
        <w:t xml:space="preserve">, </w:t>
      </w:r>
      <w:r w:rsidRPr="00286CE7">
        <w:t>который отражает</w:t>
      </w:r>
      <w:r w:rsidR="00337372" w:rsidRPr="00286CE7">
        <w:t xml:space="preserve"> </w:t>
      </w:r>
      <w:r w:rsidR="00A527DE">
        <w:t xml:space="preserve">ее </w:t>
      </w:r>
      <w:r w:rsidR="00337372" w:rsidRPr="00286CE7">
        <w:t>динам</w:t>
      </w:r>
      <w:r w:rsidRPr="00286CE7">
        <w:t>изм</w:t>
      </w:r>
      <w:r w:rsidR="00337372" w:rsidRPr="00286CE7">
        <w:t xml:space="preserve">. </w:t>
      </w:r>
      <w:r w:rsidRPr="00286CE7">
        <w:t xml:space="preserve">Такие споры </w:t>
      </w:r>
      <w:r w:rsidR="00A527DE">
        <w:t>касаются вопросов</w:t>
      </w:r>
      <w:r w:rsidRPr="00286CE7">
        <w:t xml:space="preserve"> авторских прав на сюжеты</w:t>
      </w:r>
      <w:r w:rsidR="00337372" w:rsidRPr="00286CE7">
        <w:t xml:space="preserve"> игр</w:t>
      </w:r>
      <w:r w:rsidRPr="00286CE7">
        <w:t xml:space="preserve"> и игровой дизайн, нарушений</w:t>
      </w:r>
      <w:r w:rsidR="00337372" w:rsidRPr="00286CE7">
        <w:t xml:space="preserve"> </w:t>
      </w:r>
      <w:r w:rsidRPr="00286CE7">
        <w:t>прав ИС</w:t>
      </w:r>
      <w:r w:rsidR="00337372" w:rsidRPr="00286CE7">
        <w:t xml:space="preserve">, </w:t>
      </w:r>
      <w:r w:rsidR="00A527DE">
        <w:t>лицензирования</w:t>
      </w:r>
      <w:r w:rsidR="00337372" w:rsidRPr="00286CE7">
        <w:t xml:space="preserve"> </w:t>
      </w:r>
      <w:r w:rsidRPr="00286CE7">
        <w:t xml:space="preserve">ИС </w:t>
      </w:r>
      <w:r w:rsidR="00337372" w:rsidRPr="00286CE7">
        <w:t xml:space="preserve">и программного обеспечения, </w:t>
      </w:r>
      <w:r w:rsidRPr="00286CE7">
        <w:t>использования музыкальных произведений</w:t>
      </w:r>
      <w:r w:rsidR="00337372" w:rsidRPr="00286CE7">
        <w:t xml:space="preserve"> и </w:t>
      </w:r>
      <w:r w:rsidRPr="00286CE7">
        <w:t>товарных знаков</w:t>
      </w:r>
      <w:r w:rsidR="00337372" w:rsidRPr="00286CE7">
        <w:t xml:space="preserve">. </w:t>
      </w:r>
      <w:r w:rsidRPr="00286CE7">
        <w:t xml:space="preserve">Реагируя </w:t>
      </w:r>
      <w:r w:rsidR="00337372" w:rsidRPr="00286CE7">
        <w:t xml:space="preserve">на </w:t>
      </w:r>
      <w:r w:rsidRPr="00286CE7">
        <w:t>растущие запросы,</w:t>
      </w:r>
      <w:r w:rsidR="00337372" w:rsidRPr="00286CE7">
        <w:t xml:space="preserve"> Центр сотрудничает с </w:t>
      </w:r>
      <w:r w:rsidRPr="00286CE7">
        <w:t xml:space="preserve">участниками </w:t>
      </w:r>
      <w:r w:rsidR="00337372" w:rsidRPr="00286CE7">
        <w:t xml:space="preserve">отрасли и другими подразделениями ВОИС в разработке и внедрении специализированных вариантов </w:t>
      </w:r>
      <w:r w:rsidRPr="00286CE7">
        <w:t>АУС</w:t>
      </w:r>
      <w:r w:rsidR="00337372" w:rsidRPr="00286CE7">
        <w:t xml:space="preserve">, </w:t>
      </w:r>
      <w:r w:rsidRPr="00286CE7">
        <w:t xml:space="preserve">учитывающих специфические особенности </w:t>
      </w:r>
      <w:r w:rsidR="00337372" w:rsidRPr="00286CE7">
        <w:t>секторов видеоигр и киберспорта.</w:t>
      </w:r>
      <w:r w:rsidRPr="00286CE7">
        <w:t xml:space="preserve"> </w:t>
      </w:r>
    </w:p>
    <w:p w14:paraId="3958FDB7" w14:textId="5922E03B" w:rsidR="0023415B" w:rsidRPr="00423040" w:rsidRDefault="00A527DE" w:rsidP="00AF4027">
      <w:pPr>
        <w:pStyle w:val="ListParagraph"/>
        <w:widowControl w:val="0"/>
        <w:numPr>
          <w:ilvl w:val="0"/>
          <w:numId w:val="7"/>
        </w:numPr>
        <w:spacing w:after="240"/>
        <w:ind w:left="0" w:firstLine="0"/>
        <w:contextualSpacing w:val="0"/>
      </w:pPr>
      <w:r>
        <w:t xml:space="preserve">По мере </w:t>
      </w:r>
      <w:r w:rsidR="00286CE7">
        <w:t>развития</w:t>
      </w:r>
      <w:r w:rsidR="00286CE7" w:rsidRPr="00286CE7">
        <w:t xml:space="preserve"> </w:t>
      </w:r>
      <w:r>
        <w:t xml:space="preserve">сферы </w:t>
      </w:r>
      <w:r w:rsidR="00286CE7">
        <w:t>искусственного</w:t>
      </w:r>
      <w:r w:rsidR="00286CE7" w:rsidRPr="00286CE7">
        <w:t xml:space="preserve"> </w:t>
      </w:r>
      <w:r w:rsidR="00286CE7">
        <w:t>интеллекта</w:t>
      </w:r>
      <w:r w:rsidR="00286CE7" w:rsidRPr="00286CE7">
        <w:t xml:space="preserve"> </w:t>
      </w:r>
      <w:r w:rsidR="006C40AB" w:rsidRPr="00286CE7">
        <w:t>(</w:t>
      </w:r>
      <w:r w:rsidR="00286CE7">
        <w:t>ИИ</w:t>
      </w:r>
      <w:r w:rsidR="006C40AB" w:rsidRPr="00286CE7">
        <w:t>)</w:t>
      </w:r>
      <w:r w:rsidR="00286CE7" w:rsidRPr="00286CE7">
        <w:t xml:space="preserve"> </w:t>
      </w:r>
      <w:r w:rsidR="00286CE7">
        <w:t>растет</w:t>
      </w:r>
      <w:r w:rsidR="00286CE7" w:rsidRPr="00286CE7">
        <w:t xml:space="preserve"> </w:t>
      </w:r>
      <w:r w:rsidR="00286CE7" w:rsidRPr="003435EA">
        <w:t>количеств</w:t>
      </w:r>
      <w:r w:rsidR="00286CE7">
        <w:t>о</w:t>
      </w:r>
      <w:r w:rsidR="00286CE7" w:rsidRPr="00286CE7">
        <w:t xml:space="preserve"> </w:t>
      </w:r>
      <w:hyperlink r:id="rId14" w:history="1">
        <w:r w:rsidR="00286CE7">
          <w:rPr>
            <w:rStyle w:val="Hyperlink"/>
          </w:rPr>
          <w:t>споров, касающихся прав собственности на контент, создаваемый ИИ, их лицензирования и нарушения таких прав</w:t>
        </w:r>
      </w:hyperlink>
      <w:r w:rsidR="006C40AB" w:rsidRPr="00286CE7">
        <w:t xml:space="preserve">. </w:t>
      </w:r>
      <w:r w:rsidR="00E3095A">
        <w:t>Возникновение споров, связанных с несанкционированным использованием</w:t>
      </w:r>
      <w:r w:rsidR="00E3095A" w:rsidRPr="00F05C7D">
        <w:t xml:space="preserve"> наборов данных и </w:t>
      </w:r>
      <w:r w:rsidR="00E3095A" w:rsidRPr="00063743">
        <w:t>утверждени</w:t>
      </w:r>
      <w:r w:rsidR="00E3095A">
        <w:t xml:space="preserve">ями об </w:t>
      </w:r>
      <w:r w:rsidR="00E3095A" w:rsidRPr="00F05C7D">
        <w:t>ори</w:t>
      </w:r>
      <w:r w:rsidR="00E3095A">
        <w:t>гинальности</w:t>
      </w:r>
      <w:r w:rsidR="00E3095A" w:rsidRPr="00F05C7D">
        <w:t xml:space="preserve"> контента, созданного с помощью </w:t>
      </w:r>
      <w:r w:rsidR="00E3095A">
        <w:t>ИИ</w:t>
      </w:r>
      <w:r w:rsidR="00E3095A" w:rsidRPr="00F05C7D">
        <w:t xml:space="preserve">, </w:t>
      </w:r>
      <w:r w:rsidR="00E3095A">
        <w:t>ставит под вопрос традиционные правовые принципы</w:t>
      </w:r>
      <w:r w:rsidR="00E3095A" w:rsidRPr="00F05C7D">
        <w:t xml:space="preserve">. Центр содействует добровольному разрешению таких споров с помощью </w:t>
      </w:r>
      <w:r w:rsidR="00E3095A" w:rsidRPr="00A535DF">
        <w:t>процедур</w:t>
      </w:r>
      <w:r w:rsidR="00E3095A">
        <w:t xml:space="preserve"> АУС</w:t>
      </w:r>
      <w:r w:rsidR="00E3095A" w:rsidRPr="00F05C7D">
        <w:t xml:space="preserve">, предлагая быстрые и эффективные решения, адаптированные для цифровой среды, </w:t>
      </w:r>
      <w:r w:rsidR="00E3095A">
        <w:t xml:space="preserve">но не затрагивающие </w:t>
      </w:r>
      <w:r w:rsidR="00E3095A" w:rsidRPr="00F05C7D">
        <w:t xml:space="preserve">отношения </w:t>
      </w:r>
      <w:r w:rsidR="00E3095A">
        <w:t xml:space="preserve">сторон </w:t>
      </w:r>
      <w:r w:rsidR="00E3095A" w:rsidRPr="00F05C7D">
        <w:t xml:space="preserve">и права авторов, </w:t>
      </w:r>
      <w:r>
        <w:t xml:space="preserve">и </w:t>
      </w:r>
      <w:r w:rsidR="00E3095A">
        <w:t>служащие альтернативой традиционному судебному разбирательству</w:t>
      </w:r>
      <w:r w:rsidR="00E3095A" w:rsidRPr="00F05C7D">
        <w:t>.</w:t>
      </w:r>
    </w:p>
    <w:p w14:paraId="260A1C71" w14:textId="77777777" w:rsidR="00DC67D4" w:rsidRPr="00E3095A" w:rsidRDefault="00DC67D4" w:rsidP="00DC67D4">
      <w:pPr>
        <w:widowControl w:val="0"/>
        <w:spacing w:after="240"/>
        <w:ind w:firstLine="567"/>
        <w:rPr>
          <w:lang w:val="en-US"/>
        </w:rPr>
      </w:pPr>
      <w:r w:rsidRPr="00E3095A">
        <w:rPr>
          <w:lang w:val="en-US"/>
        </w:rPr>
        <w:t>(b)</w:t>
      </w:r>
      <w:r w:rsidRPr="00E3095A">
        <w:rPr>
          <w:lang w:val="en-US"/>
        </w:rPr>
        <w:tab/>
      </w:r>
      <w:r w:rsidR="00E3095A" w:rsidRPr="00E3095A">
        <w:rPr>
          <w:u w:val="single"/>
        </w:rPr>
        <w:t>Совместн</w:t>
      </w:r>
      <w:r w:rsidR="00E3095A">
        <w:rPr>
          <w:u w:val="single"/>
        </w:rPr>
        <w:t>ое</w:t>
      </w:r>
      <w:r w:rsidR="00E3095A" w:rsidRPr="00E3095A">
        <w:rPr>
          <w:u w:val="single"/>
          <w:lang w:val="en-US"/>
        </w:rPr>
        <w:t xml:space="preserve"> </w:t>
      </w:r>
      <w:r w:rsidR="00E3095A" w:rsidRPr="00E3095A">
        <w:rPr>
          <w:u w:val="single"/>
        </w:rPr>
        <w:t>урегулировани</w:t>
      </w:r>
      <w:r w:rsidR="00E3095A">
        <w:rPr>
          <w:u w:val="single"/>
        </w:rPr>
        <w:t>е</w:t>
      </w:r>
      <w:r w:rsidR="00E3095A" w:rsidRPr="00E3095A">
        <w:rPr>
          <w:u w:val="single"/>
          <w:lang w:val="en-US"/>
        </w:rPr>
        <w:t xml:space="preserve"> </w:t>
      </w:r>
      <w:r w:rsidR="00E3095A">
        <w:rPr>
          <w:u w:val="single"/>
        </w:rPr>
        <w:t>споров</w:t>
      </w:r>
      <w:r w:rsidRPr="006F6660">
        <w:rPr>
          <w:rStyle w:val="FootnoteReference"/>
        </w:rPr>
        <w:footnoteReference w:id="13"/>
      </w:r>
      <w:r w:rsidRPr="00E3095A">
        <w:rPr>
          <w:lang w:val="en-US"/>
        </w:rPr>
        <w:t xml:space="preserve"> </w:t>
      </w:r>
    </w:p>
    <w:p w14:paraId="6CF1CF0C" w14:textId="421D5039" w:rsidR="00C97625" w:rsidRPr="00423040" w:rsidRDefault="00E3095A" w:rsidP="00C97625">
      <w:pPr>
        <w:pStyle w:val="ListParagraph"/>
        <w:widowControl w:val="0"/>
        <w:numPr>
          <w:ilvl w:val="0"/>
          <w:numId w:val="7"/>
        </w:numPr>
        <w:spacing w:after="240"/>
        <w:ind w:left="0" w:firstLine="0"/>
        <w:contextualSpacing w:val="0"/>
      </w:pPr>
      <w:r w:rsidRPr="00F05C7D">
        <w:t>При поддержке Министерства культуры, спорта и туризма Республики Корея</w:t>
      </w:r>
      <w:r w:rsidR="00CA3241">
        <w:t> </w:t>
      </w:r>
      <w:r w:rsidRPr="00F05C7D">
        <w:t>(</w:t>
      </w:r>
      <w:r>
        <w:t>MCST</w:t>
      </w:r>
      <w:r w:rsidRPr="00F05C7D">
        <w:t xml:space="preserve">), выделяющего целевые фонды </w:t>
      </w:r>
      <w:r>
        <w:t xml:space="preserve">на </w:t>
      </w:r>
      <w:r w:rsidRPr="00063743">
        <w:t>развити</w:t>
      </w:r>
      <w:r>
        <w:t xml:space="preserve">е АУС </w:t>
      </w:r>
      <w:r w:rsidRPr="00F05C7D">
        <w:t>(</w:t>
      </w:r>
      <w:r>
        <w:t>FIT</w:t>
      </w:r>
      <w:r w:rsidRPr="00F05C7D">
        <w:t>-</w:t>
      </w:r>
      <w:r>
        <w:t>ROK</w:t>
      </w:r>
      <w:r w:rsidRPr="00F05C7D">
        <w:t>/</w:t>
      </w:r>
      <w:r>
        <w:t>ADR</w:t>
      </w:r>
      <w:r w:rsidRPr="00F05C7D">
        <w:t xml:space="preserve">), и в сотрудничестве с </w:t>
      </w:r>
      <w:r>
        <w:t xml:space="preserve">Секцией </w:t>
      </w:r>
      <w:r w:rsidRPr="00063743">
        <w:rPr>
          <w:color w:val="000000"/>
        </w:rPr>
        <w:t xml:space="preserve">разработки и внедрения технических решений </w:t>
      </w:r>
      <w:r w:rsidRPr="00F05C7D">
        <w:t xml:space="preserve">ВОИС </w:t>
      </w:r>
      <w:r w:rsidR="00CA3241">
        <w:br/>
      </w:r>
      <w:r w:rsidRPr="00F05C7D">
        <w:t>(</w:t>
      </w:r>
      <w:r>
        <w:t>SDDS</w:t>
      </w:r>
      <w:r w:rsidRPr="00F05C7D">
        <w:t>-</w:t>
      </w:r>
      <w:r>
        <w:t>ICTD</w:t>
      </w:r>
      <w:r w:rsidRPr="00F05C7D">
        <w:t>) Центр разработал и внедрил онлайн</w:t>
      </w:r>
      <w:r>
        <w:t xml:space="preserve">овые </w:t>
      </w:r>
      <w:r w:rsidRPr="00F05C7D">
        <w:t>инструменты</w:t>
      </w:r>
      <w:r w:rsidR="00A527DE">
        <w:t xml:space="preserve">, помогающие </w:t>
      </w:r>
      <w:r w:rsidRPr="00F05C7D">
        <w:t xml:space="preserve">ведомствам </w:t>
      </w:r>
      <w:r>
        <w:t>ИС и авторского права</w:t>
      </w:r>
      <w:r w:rsidRPr="00F05C7D">
        <w:t xml:space="preserve"> и судам </w:t>
      </w:r>
      <w:r w:rsidR="00A527DE">
        <w:t>администрировать и отслеживать споры</w:t>
      </w:r>
      <w:r>
        <w:t xml:space="preserve">, </w:t>
      </w:r>
      <w:r w:rsidR="00A527DE">
        <w:t>разрешаемые при помощи посреднических и согласительных</w:t>
      </w:r>
      <w:r>
        <w:t xml:space="preserve"> </w:t>
      </w:r>
      <w:r w:rsidRPr="00063743">
        <w:t>процедур</w:t>
      </w:r>
      <w:r w:rsidR="00A527DE">
        <w:t>, применяемых совместно ведомствами и Центром</w:t>
      </w:r>
      <w:r w:rsidRPr="00F05C7D">
        <w:t>. Это</w:t>
      </w:r>
      <w:r w:rsidRPr="00423040">
        <w:t xml:space="preserve"> </w:t>
      </w:r>
      <w:r>
        <w:t>позволило</w:t>
      </w:r>
      <w:r w:rsidRPr="00423040">
        <w:t xml:space="preserve"> </w:t>
      </w:r>
      <w:r>
        <w:t>значительно</w:t>
      </w:r>
      <w:r w:rsidRPr="00423040">
        <w:t xml:space="preserve"> </w:t>
      </w:r>
      <w:r>
        <w:t>повысить</w:t>
      </w:r>
      <w:r w:rsidRPr="00423040">
        <w:t xml:space="preserve"> </w:t>
      </w:r>
      <w:r w:rsidRPr="00F05C7D">
        <w:t>эффективность</w:t>
      </w:r>
      <w:r w:rsidRPr="00423040">
        <w:t xml:space="preserve"> </w:t>
      </w:r>
      <w:r>
        <w:t>оказания</w:t>
      </w:r>
      <w:r w:rsidRPr="00423040">
        <w:t xml:space="preserve"> </w:t>
      </w:r>
      <w:r w:rsidR="00A527DE">
        <w:t xml:space="preserve">этих </w:t>
      </w:r>
      <w:r w:rsidRPr="00F05C7D">
        <w:t>услуг</w:t>
      </w:r>
      <w:r w:rsidRPr="00423040">
        <w:t xml:space="preserve"> </w:t>
      </w:r>
      <w:r w:rsidRPr="00063743">
        <w:t>в</w:t>
      </w:r>
      <w:r w:rsidRPr="00423040">
        <w:t xml:space="preserve"> </w:t>
      </w:r>
      <w:r w:rsidRPr="00063743">
        <w:t>интересах</w:t>
      </w:r>
      <w:r w:rsidRPr="00423040">
        <w:t xml:space="preserve"> </w:t>
      </w:r>
      <w:r>
        <w:t>пользователей</w:t>
      </w:r>
      <w:r w:rsidRPr="00423040">
        <w:t xml:space="preserve"> </w:t>
      </w:r>
      <w:r w:rsidRPr="00F05C7D">
        <w:t>системы</w:t>
      </w:r>
      <w:r w:rsidR="00A527DE">
        <w:t xml:space="preserve">, </w:t>
      </w:r>
      <w:r w:rsidRPr="00F05C7D">
        <w:t>споры</w:t>
      </w:r>
      <w:r w:rsidRPr="00423040">
        <w:t xml:space="preserve"> </w:t>
      </w:r>
      <w:r w:rsidR="00A527DE">
        <w:t>которых разрешаются более оперативно</w:t>
      </w:r>
      <w:r w:rsidRPr="00423040">
        <w:t xml:space="preserve"> </w:t>
      </w:r>
      <w:r>
        <w:t>и</w:t>
      </w:r>
      <w:r w:rsidRPr="00423040">
        <w:t xml:space="preserve"> </w:t>
      </w:r>
      <w:r w:rsidR="00A527DE">
        <w:t>экономично</w:t>
      </w:r>
      <w:r w:rsidRPr="00423040">
        <w:t>.</w:t>
      </w:r>
    </w:p>
    <w:p w14:paraId="13A101D0" w14:textId="77777777" w:rsidR="005B4633" w:rsidRDefault="00E3095A" w:rsidP="005B4633">
      <w:pPr>
        <w:pStyle w:val="ListParagraph"/>
        <w:widowControl w:val="0"/>
        <w:numPr>
          <w:ilvl w:val="0"/>
          <w:numId w:val="7"/>
        </w:numPr>
        <w:spacing w:after="240"/>
        <w:ind w:left="0" w:firstLine="0"/>
        <w:contextualSpacing w:val="0"/>
      </w:pPr>
      <w:r w:rsidRPr="00F05C7D">
        <w:t>В</w:t>
      </w:r>
      <w:r w:rsidRPr="00E3095A">
        <w:t xml:space="preserve"> 2023 </w:t>
      </w:r>
      <w:r w:rsidRPr="00F05C7D">
        <w:t>году</w:t>
      </w:r>
      <w:r w:rsidRPr="00E3095A">
        <w:t xml:space="preserve"> </w:t>
      </w:r>
      <w:r w:rsidRPr="00F05C7D">
        <w:t>Центр</w:t>
      </w:r>
      <w:r w:rsidR="00A527DE">
        <w:t xml:space="preserve"> </w:t>
      </w:r>
      <w:r w:rsidR="00A527DE" w:rsidRPr="00F05C7D">
        <w:t>рассмотрел</w:t>
      </w:r>
      <w:r w:rsidR="00A527DE" w:rsidRPr="00E3095A">
        <w:t xml:space="preserve"> </w:t>
      </w:r>
      <w:r w:rsidR="00A527DE" w:rsidRPr="00F05C7D">
        <w:t>совместно</w:t>
      </w:r>
      <w:r w:rsidR="00A527DE" w:rsidRPr="00E3095A">
        <w:t xml:space="preserve"> </w:t>
      </w:r>
      <w:r w:rsidR="00A527DE" w:rsidRPr="00F05C7D">
        <w:t>с</w:t>
      </w:r>
      <w:r w:rsidR="00A527DE" w:rsidRPr="00E3095A">
        <w:t xml:space="preserve"> </w:t>
      </w:r>
      <w:r w:rsidR="00A527DE" w:rsidRPr="00F05C7D">
        <w:t>ведомствами</w:t>
      </w:r>
      <w:r w:rsidR="00A527DE" w:rsidRPr="00E3095A">
        <w:t xml:space="preserve"> </w:t>
      </w:r>
      <w:r w:rsidR="00A527DE">
        <w:t>ИС</w:t>
      </w:r>
      <w:r w:rsidR="00A527DE" w:rsidRPr="00E3095A">
        <w:t xml:space="preserve"> </w:t>
      </w:r>
      <w:r w:rsidR="00A527DE" w:rsidRPr="00F05C7D">
        <w:t>и</w:t>
      </w:r>
      <w:r w:rsidR="00A527DE" w:rsidRPr="00E3095A">
        <w:t xml:space="preserve"> </w:t>
      </w:r>
      <w:r w:rsidR="00A527DE">
        <w:t>авторских</w:t>
      </w:r>
      <w:r w:rsidR="00A527DE" w:rsidRPr="00E3095A">
        <w:t xml:space="preserve"> </w:t>
      </w:r>
      <w:r w:rsidR="00A527DE">
        <w:t>прав</w:t>
      </w:r>
      <w:r w:rsidR="00A527DE" w:rsidRPr="00E3095A">
        <w:t xml:space="preserve"> </w:t>
      </w:r>
      <w:r w:rsidR="00A527DE" w:rsidRPr="00F05C7D">
        <w:t>и</w:t>
      </w:r>
      <w:r w:rsidR="00A527DE" w:rsidRPr="00E3095A">
        <w:t xml:space="preserve"> </w:t>
      </w:r>
      <w:r w:rsidR="00A527DE" w:rsidRPr="00F05C7D">
        <w:t>судами</w:t>
      </w:r>
      <w:r w:rsidR="00A527DE" w:rsidRPr="00E3095A">
        <w:t xml:space="preserve"> </w:t>
      </w:r>
      <w:r w:rsidRPr="00E3095A">
        <w:t xml:space="preserve">383 </w:t>
      </w:r>
      <w:r w:rsidRPr="00F05C7D">
        <w:t>дела</w:t>
      </w:r>
      <w:r w:rsidR="0023344D" w:rsidRPr="00E3095A">
        <w:t xml:space="preserve">.  </w:t>
      </w:r>
      <w:r w:rsidR="0023344D">
        <w:t xml:space="preserve">За последний год Центр отмечает значительное увеличение числа обращений </w:t>
      </w:r>
      <w:r w:rsidR="00A527DE">
        <w:t xml:space="preserve">в связи со </w:t>
      </w:r>
      <w:r w:rsidR="0023344D">
        <w:t>спорам</w:t>
      </w:r>
      <w:r w:rsidR="00A527DE">
        <w:t xml:space="preserve">и об авторских правах. </w:t>
      </w:r>
    </w:p>
    <w:p w14:paraId="22CF452E" w14:textId="32445444" w:rsidR="00C440B9" w:rsidRPr="00E3095A" w:rsidRDefault="00CA0EF6" w:rsidP="005B4633">
      <w:pPr>
        <w:pStyle w:val="ListParagraph"/>
        <w:widowControl w:val="0"/>
        <w:numPr>
          <w:ilvl w:val="0"/>
          <w:numId w:val="7"/>
        </w:numPr>
        <w:spacing w:after="240"/>
        <w:ind w:left="0" w:firstLine="0"/>
        <w:contextualSpacing w:val="0"/>
      </w:pPr>
      <w:r>
        <w:t xml:space="preserve">Эта тенденция связана, в частности, с </w:t>
      </w:r>
      <w:r w:rsidR="00E3095A">
        <w:t>участием Центра</w:t>
      </w:r>
      <w:r>
        <w:t xml:space="preserve"> в ра</w:t>
      </w:r>
      <w:r w:rsidR="00E3095A">
        <w:t>зрешении</w:t>
      </w:r>
      <w:r>
        <w:t xml:space="preserve"> споров, </w:t>
      </w:r>
      <w:r w:rsidR="00A527DE">
        <w:t xml:space="preserve">направляемых на </w:t>
      </w:r>
      <w:r w:rsidR="00E3095A">
        <w:rPr>
          <w:szCs w:val="22"/>
        </w:rPr>
        <w:t>рассмотрени</w:t>
      </w:r>
      <w:r w:rsidR="00E3095A">
        <w:t xml:space="preserve">е </w:t>
      </w:r>
      <w:hyperlink r:id="rId15" w:history="1">
        <w:r w:rsidR="00E3095A">
          <w:rPr>
            <w:rStyle w:val="Hyperlink"/>
          </w:rPr>
          <w:t>Национального управления авторского права Колумбии</w:t>
        </w:r>
        <w:r w:rsidR="00CA3241">
          <w:rPr>
            <w:rStyle w:val="Hyperlink"/>
          </w:rPr>
          <w:t> </w:t>
        </w:r>
        <w:r w:rsidR="00E3095A">
          <w:rPr>
            <w:rStyle w:val="Hyperlink"/>
          </w:rPr>
          <w:t>(DNDA)</w:t>
        </w:r>
      </w:hyperlink>
      <w:r>
        <w:t xml:space="preserve"> и </w:t>
      </w:r>
      <w:r w:rsidR="00F668B1">
        <w:fldChar w:fldCharType="begin"/>
      </w:r>
      <w:r w:rsidR="00F668B1">
        <w:instrText>HYPERLINK "https://www.wipo.int/amc/en/center/specific-sectors/ipoffices/mexico/indautor/index.html"</w:instrText>
      </w:r>
      <w:r w:rsidR="00F668B1">
        <w:fldChar w:fldCharType="separate"/>
      </w:r>
      <w:r w:rsidR="00E3095A">
        <w:rPr>
          <w:rStyle w:val="Hyperlink"/>
        </w:rPr>
        <w:t>Национального института авторского права Мексики</w:t>
      </w:r>
      <w:r w:rsidR="00CA3241">
        <w:rPr>
          <w:rStyle w:val="Hyperlink"/>
        </w:rPr>
        <w:t> </w:t>
      </w:r>
      <w:r w:rsidR="00E3095A">
        <w:rPr>
          <w:rStyle w:val="Hyperlink"/>
        </w:rPr>
        <w:t>(INDAUTOR)</w:t>
      </w:r>
      <w:r w:rsidR="00F668B1">
        <w:rPr>
          <w:rStyle w:val="Hyperlink"/>
        </w:rPr>
        <w:fldChar w:fldCharType="end"/>
      </w:r>
      <w:r>
        <w:t xml:space="preserve">. </w:t>
      </w:r>
      <w:r w:rsidR="00E3095A" w:rsidRPr="00F05C7D">
        <w:t>Онлайн</w:t>
      </w:r>
      <w:r w:rsidR="00E3095A">
        <w:t>овое</w:t>
      </w:r>
      <w:r w:rsidR="00E3095A" w:rsidRPr="00F05C7D">
        <w:t xml:space="preserve"> проведение </w:t>
      </w:r>
      <w:r w:rsidR="00E3095A">
        <w:t xml:space="preserve">согласительных </w:t>
      </w:r>
      <w:r w:rsidR="00E3095A" w:rsidRPr="00063743">
        <w:t>процедур</w:t>
      </w:r>
      <w:r w:rsidR="00E3095A">
        <w:t xml:space="preserve"> </w:t>
      </w:r>
      <w:r w:rsidR="00E3095A" w:rsidRPr="00F05C7D">
        <w:t xml:space="preserve">оказало положительное влияние на </w:t>
      </w:r>
      <w:r w:rsidR="00E3095A">
        <w:t>степень участия</w:t>
      </w:r>
      <w:r w:rsidR="00E3095A" w:rsidRPr="00F05C7D">
        <w:t xml:space="preserve"> сторон в </w:t>
      </w:r>
      <w:r w:rsidR="00E3095A">
        <w:t xml:space="preserve">этих </w:t>
      </w:r>
      <w:r w:rsidR="00E3095A" w:rsidRPr="00063743">
        <w:t>процедур</w:t>
      </w:r>
      <w:r w:rsidR="00E3095A">
        <w:t>ах</w:t>
      </w:r>
      <w:r w:rsidR="00E3095A" w:rsidRPr="00F05C7D">
        <w:t>.</w:t>
      </w:r>
      <w:r w:rsidR="00A527DE">
        <w:t xml:space="preserve"> Его </w:t>
      </w:r>
      <w:r w:rsidR="00A527DE" w:rsidRPr="00EA4BEE">
        <w:rPr>
          <w:snapToGrid w:val="0"/>
        </w:rPr>
        <w:t>применени</w:t>
      </w:r>
      <w:r w:rsidR="00A527DE">
        <w:t xml:space="preserve">е </w:t>
      </w:r>
      <w:r w:rsidR="00E3095A" w:rsidRPr="00F05C7D">
        <w:t xml:space="preserve">также способствует более тесному </w:t>
      </w:r>
      <w:r w:rsidR="00E3095A" w:rsidRPr="00063743">
        <w:t>контакт</w:t>
      </w:r>
      <w:r w:rsidR="00E3095A">
        <w:t>у</w:t>
      </w:r>
      <w:r w:rsidR="00E3095A" w:rsidRPr="00F05C7D">
        <w:t xml:space="preserve"> между </w:t>
      </w:r>
      <w:r w:rsidR="00E3095A">
        <w:t xml:space="preserve">участвующими </w:t>
      </w:r>
      <w:r w:rsidR="00E3095A" w:rsidRPr="00F05C7D">
        <w:t xml:space="preserve">сторонами и </w:t>
      </w:r>
      <w:r w:rsidR="00A527DE">
        <w:t xml:space="preserve">уже обеспечило рост </w:t>
      </w:r>
      <w:r w:rsidR="00E3095A">
        <w:t xml:space="preserve">числа </w:t>
      </w:r>
      <w:r w:rsidR="00A527DE">
        <w:t xml:space="preserve">успешно </w:t>
      </w:r>
      <w:r w:rsidR="00E3095A">
        <w:t xml:space="preserve">разрешаемых </w:t>
      </w:r>
      <w:r w:rsidR="00E3095A" w:rsidRPr="00F05C7D">
        <w:t xml:space="preserve">споров. Недавно к этой программе совместного </w:t>
      </w:r>
      <w:r w:rsidR="00E3095A" w:rsidRPr="00063743">
        <w:t>урегулировани</w:t>
      </w:r>
      <w:r w:rsidR="00E3095A">
        <w:t xml:space="preserve">я споров </w:t>
      </w:r>
      <w:r w:rsidR="00E3095A" w:rsidRPr="00F05C7D">
        <w:t>присоединились Реестр интеллектуальной собственности Гватемалы (RPI), Национальное управление интеллектуальной собственности Парагвая (DINAPI) и Ведомство интеллектуальной собственности Тринидада и Тобаго (TTIPO). С</w:t>
      </w:r>
      <w:r w:rsidR="00E3095A" w:rsidRPr="00E3095A">
        <w:t xml:space="preserve"> </w:t>
      </w:r>
      <w:r w:rsidR="00E3095A" w:rsidRPr="00F05C7D">
        <w:t>августа</w:t>
      </w:r>
      <w:r w:rsidR="00E3095A" w:rsidRPr="00E3095A">
        <w:t xml:space="preserve"> 2023</w:t>
      </w:r>
      <w:r w:rsidR="0002004A">
        <w:t> </w:t>
      </w:r>
      <w:r w:rsidR="00E3095A" w:rsidRPr="00F05C7D">
        <w:t>года</w:t>
      </w:r>
      <w:r w:rsidR="00E3095A" w:rsidRPr="00E3095A">
        <w:t xml:space="preserve"> </w:t>
      </w:r>
      <w:r w:rsidR="00E3095A" w:rsidRPr="00F05C7D">
        <w:t>Центр</w:t>
      </w:r>
      <w:r w:rsidR="00E3095A" w:rsidRPr="00E3095A">
        <w:t xml:space="preserve"> </w:t>
      </w:r>
      <w:r w:rsidR="00E3095A" w:rsidRPr="00F05C7D">
        <w:t>также</w:t>
      </w:r>
      <w:r w:rsidR="00E3095A" w:rsidRPr="00E3095A">
        <w:t xml:space="preserve"> </w:t>
      </w:r>
      <w:hyperlink r:id="rId16" w:history="1">
        <w:r w:rsidR="00DB6A6B">
          <w:rPr>
            <w:rStyle w:val="Hyperlink"/>
          </w:rPr>
          <w:t xml:space="preserve">сотрудничает с судьями </w:t>
        </w:r>
        <w:r w:rsidR="0002004A">
          <w:rPr>
            <w:rStyle w:val="Hyperlink"/>
          </w:rPr>
          <w:t xml:space="preserve">Объединенной Республики </w:t>
        </w:r>
        <w:r w:rsidR="00DB6A6B">
          <w:rPr>
            <w:rStyle w:val="Hyperlink"/>
          </w:rPr>
          <w:t>Танзани</w:t>
        </w:r>
      </w:hyperlink>
      <w:r w:rsidR="0002004A">
        <w:rPr>
          <w:rStyle w:val="Hyperlink"/>
        </w:rPr>
        <w:t>я</w:t>
      </w:r>
      <w:r w:rsidRPr="00E3095A">
        <w:t xml:space="preserve">, </w:t>
      </w:r>
      <w:r w:rsidR="00E3095A">
        <w:t>предоставляя</w:t>
      </w:r>
      <w:r w:rsidR="00E3095A" w:rsidRPr="00E3095A">
        <w:t xml:space="preserve"> </w:t>
      </w:r>
      <w:r w:rsidR="0002004A">
        <w:t>им</w:t>
      </w:r>
      <w:r w:rsidR="00E3095A">
        <w:t xml:space="preserve"> технические </w:t>
      </w:r>
      <w:r w:rsidR="00E3095A" w:rsidRPr="00E3095A">
        <w:t>средств</w:t>
      </w:r>
      <w:r w:rsidR="00E3095A">
        <w:t>а ВОИС для проведения</w:t>
      </w:r>
      <w:r w:rsidR="00DB6A6B">
        <w:t xml:space="preserve"> </w:t>
      </w:r>
      <w:r w:rsidR="00E3095A" w:rsidRPr="00F05C7D">
        <w:t xml:space="preserve">совещаний </w:t>
      </w:r>
      <w:r w:rsidR="00E3095A">
        <w:t>в онлайново</w:t>
      </w:r>
      <w:r w:rsidR="00E3095A" w:rsidRPr="00E3095A">
        <w:t xml:space="preserve">м формате и поддержку </w:t>
      </w:r>
      <w:r w:rsidR="00DB6A6B">
        <w:t xml:space="preserve">при использовании посреднических </w:t>
      </w:r>
      <w:r w:rsidR="00DB6A6B" w:rsidRPr="00A535DF">
        <w:t>процедур</w:t>
      </w:r>
      <w:r w:rsidR="00E3095A" w:rsidRPr="00E3095A">
        <w:t xml:space="preserve">. На сегодняшний день Центр участвовал в совместном проведении около 25 посреднических процедур с </w:t>
      </w:r>
      <w:r w:rsidR="00E3095A" w:rsidRPr="00E3095A">
        <w:lastRenderedPageBreak/>
        <w:t>участием сторон из</w:t>
      </w:r>
      <w:r w:rsidR="001F6914">
        <w:t xml:space="preserve"> Объединенной Республики</w:t>
      </w:r>
      <w:r w:rsidR="00E3095A" w:rsidRPr="00E3095A">
        <w:t xml:space="preserve"> Танзани</w:t>
      </w:r>
      <w:r w:rsidR="001F6914">
        <w:t>я</w:t>
      </w:r>
      <w:r w:rsidR="00E3095A" w:rsidRPr="00E3095A">
        <w:t xml:space="preserve">, а также ряда других стран Африки, Азии, Европы и Северной Америки. Помимо упрощения </w:t>
      </w:r>
      <w:r w:rsidR="00DB6A6B">
        <w:t>ведения дел судебными органами</w:t>
      </w:r>
      <w:r w:rsidR="00E3095A" w:rsidRPr="00E3095A">
        <w:t xml:space="preserve">, программа совместного урегулирования споров облегчила участие сторон в процедурах, расширяя тем самым </w:t>
      </w:r>
      <w:r w:rsidR="00E3095A">
        <w:t xml:space="preserve">их </w:t>
      </w:r>
      <w:r w:rsidR="00E3095A" w:rsidRPr="00E3095A">
        <w:t xml:space="preserve">доступ к возможностям правосудия. </w:t>
      </w:r>
    </w:p>
    <w:p w14:paraId="049DCD88" w14:textId="77777777" w:rsidR="00157FE5" w:rsidRDefault="00E3095A" w:rsidP="00DC67D4">
      <w:pPr>
        <w:pStyle w:val="ListParagraph"/>
        <w:widowControl w:val="0"/>
        <w:numPr>
          <w:ilvl w:val="0"/>
          <w:numId w:val="7"/>
        </w:numPr>
        <w:spacing w:after="240"/>
        <w:ind w:left="0" w:firstLine="0"/>
        <w:contextualSpacing w:val="0"/>
      </w:pPr>
      <w:r w:rsidRPr="005F0D70">
        <w:t>В</w:t>
      </w:r>
      <w:r w:rsidRPr="00E3095A">
        <w:t xml:space="preserve"> </w:t>
      </w:r>
      <w:r w:rsidRPr="005F0D70">
        <w:t>рамках</w:t>
      </w:r>
      <w:r w:rsidRPr="00E3095A">
        <w:t xml:space="preserve"> </w:t>
      </w:r>
      <w:r w:rsidRPr="005F0D70">
        <w:t>другой</w:t>
      </w:r>
      <w:r w:rsidRPr="00E3095A">
        <w:t xml:space="preserve"> </w:t>
      </w:r>
      <w:r w:rsidRPr="005F0D70">
        <w:t>программы</w:t>
      </w:r>
      <w:r w:rsidRPr="00E3095A">
        <w:t xml:space="preserve"> </w:t>
      </w:r>
      <w:r w:rsidRPr="005F0D70">
        <w:t>совместного</w:t>
      </w:r>
      <w:r w:rsidRPr="00E3095A">
        <w:t xml:space="preserve"> урегулирования споров </w:t>
      </w:r>
      <w:r w:rsidRPr="005F0D70">
        <w:t>Центр</w:t>
      </w:r>
      <w:r w:rsidRPr="00E3095A">
        <w:t xml:space="preserve"> </w:t>
      </w:r>
      <w:r w:rsidRPr="005F0D70">
        <w:t>предоставляет</w:t>
      </w:r>
      <w:r w:rsidRPr="00E3095A">
        <w:t xml:space="preserve"> </w:t>
      </w:r>
      <w:r w:rsidRPr="005F0D70">
        <w:t>свою</w:t>
      </w:r>
      <w:r w:rsidRPr="00E3095A">
        <w:t xml:space="preserve"> </w:t>
      </w:r>
      <w:r>
        <w:t>электронную</w:t>
      </w:r>
      <w:r w:rsidRPr="00E3095A">
        <w:t xml:space="preserve"> </w:t>
      </w:r>
      <w:r w:rsidRPr="005F0D70">
        <w:t>платформу</w:t>
      </w:r>
      <w:r w:rsidRPr="00E3095A">
        <w:t xml:space="preserve"> </w:t>
      </w:r>
      <w:proofErr w:type="spellStart"/>
      <w:r w:rsidRPr="009E2883">
        <w:rPr>
          <w:lang w:val="en-US"/>
        </w:rPr>
        <w:t>eADR</w:t>
      </w:r>
      <w:proofErr w:type="spellEnd"/>
      <w:r w:rsidRPr="00E3095A">
        <w:t xml:space="preserve"> </w:t>
      </w:r>
      <w:r>
        <w:t xml:space="preserve">ВОИС для </w:t>
      </w:r>
      <w:r w:rsidRPr="00950CF2">
        <w:t>разреш</w:t>
      </w:r>
      <w:r>
        <w:t xml:space="preserve">ения </w:t>
      </w:r>
      <w:hyperlink r:id="rId17" w:history="1">
        <w:r w:rsidR="00DA59A7">
          <w:rPr>
            <w:rStyle w:val="Hyperlink"/>
          </w:rPr>
          <w:t>споров о применении Процедурного кодекса соревнований 37-го Кубка Америки</w:t>
        </w:r>
      </w:hyperlink>
      <w:r w:rsidR="00553E90" w:rsidRPr="00E3095A">
        <w:t xml:space="preserve"> </w:t>
      </w:r>
      <w:r>
        <w:t>‒ международных соревнований по парусному спорту.</w:t>
      </w:r>
    </w:p>
    <w:p w14:paraId="71BD7088" w14:textId="572F85D3" w:rsidR="008D6F26" w:rsidRPr="006F6660" w:rsidRDefault="008D6F26" w:rsidP="001042AE">
      <w:pPr>
        <w:pStyle w:val="ListParagraph"/>
        <w:widowControl w:val="0"/>
        <w:spacing w:after="240"/>
        <w:ind w:left="1260" w:hanging="693"/>
        <w:contextualSpacing w:val="0"/>
      </w:pPr>
      <w:r>
        <w:t>В.</w:t>
      </w:r>
      <w:r w:rsidR="00991916">
        <w:tab/>
      </w:r>
      <w:r>
        <w:t>СОТРУДНИЧЕСТВО С ВЕДОМСТВАМИ ИНТЕЛЛЕКТУАЛЬНОЙ СОБСТВЕННОСТИ И СУДАМИ</w:t>
      </w:r>
    </w:p>
    <w:p w14:paraId="0B92FBE2" w14:textId="28BB72DA" w:rsidR="008D6F26" w:rsidRPr="006F6660" w:rsidRDefault="006A4B77" w:rsidP="006E79F5">
      <w:pPr>
        <w:pStyle w:val="ListParagraph"/>
        <w:widowControl w:val="0"/>
        <w:numPr>
          <w:ilvl w:val="0"/>
          <w:numId w:val="7"/>
        </w:numPr>
        <w:spacing w:after="240"/>
        <w:ind w:left="0" w:firstLine="0"/>
        <w:contextualSpacing w:val="0"/>
      </w:pPr>
      <w:r>
        <w:t>Еще одна ключевая сфера деятельности Центра — это взаимодействие с ведомствами ИС и авторского права (ВИС) и судами по всему миру</w:t>
      </w:r>
      <w:r w:rsidR="008D6F26" w:rsidRPr="006F6660">
        <w:rPr>
          <w:vertAlign w:val="superscript"/>
        </w:rPr>
        <w:footnoteReference w:id="14"/>
      </w:r>
      <w:r>
        <w:t xml:space="preserve">. За время, прошедшее после Ассамблей </w:t>
      </w:r>
      <w:r w:rsidR="00DA59A7">
        <w:t xml:space="preserve">ВОИС </w:t>
      </w:r>
      <w:r>
        <w:t>2023 года</w:t>
      </w:r>
      <w:r w:rsidR="00DB6A6B">
        <w:t>,</w:t>
      </w:r>
      <w:r>
        <w:t xml:space="preserve"> Центр начал 12 новых инициатив с ведомствами ИС и судами в государствах-членах</w:t>
      </w:r>
      <w:r w:rsidR="00DA59A7">
        <w:t xml:space="preserve"> ВОИС</w:t>
      </w:r>
      <w:r>
        <w:t xml:space="preserve">, </w:t>
      </w:r>
      <w:r w:rsidR="00DA59A7">
        <w:t>направленных на рас</w:t>
      </w:r>
      <w:r>
        <w:t>шир</w:t>
      </w:r>
      <w:r w:rsidR="00DA59A7">
        <w:t>ение использования</w:t>
      </w:r>
      <w:r>
        <w:t xml:space="preserve"> механизмов АУС</w:t>
      </w:r>
      <w:r w:rsidR="00DA59A7">
        <w:t>,</w:t>
      </w:r>
      <w:r>
        <w:t xml:space="preserve"> </w:t>
      </w:r>
      <w:r w:rsidR="00DA59A7">
        <w:t xml:space="preserve">позволяющих снижать затраты времени и средств, </w:t>
      </w:r>
      <w:r>
        <w:t>для урегулирования споров</w:t>
      </w:r>
      <w:r w:rsidR="00DA59A7">
        <w:t xml:space="preserve"> в сфере технологий</w:t>
      </w:r>
      <w:r>
        <w:t xml:space="preserve"> и ИС во внесудебном порядке или при участии других </w:t>
      </w:r>
      <w:r w:rsidR="00DA59A7">
        <w:t xml:space="preserve">судебных </w:t>
      </w:r>
      <w:r>
        <w:t>учреждений</w:t>
      </w:r>
      <w:r w:rsidR="00F8152B" w:rsidRPr="006F6660">
        <w:rPr>
          <w:rStyle w:val="FootnoteReference"/>
        </w:rPr>
        <w:footnoteReference w:id="15"/>
      </w:r>
      <w:r>
        <w:t xml:space="preserve">. В этот период программы сотрудничества включали в себя разработку ориентированных на конкретные страны информационно-разъяснительных материалов для заинтересованных сторон о вариантах АУС, помощь в составлении положений об АУС в связи с типовыми соглашениями о НИОКР, а также проведение </w:t>
      </w:r>
      <w:r w:rsidR="00D829E7">
        <w:t xml:space="preserve">учебных и иных </w:t>
      </w:r>
      <w:r>
        <w:t>совместных мероприятий для заинтересованных сторон</w:t>
      </w:r>
      <w:r w:rsidR="008D6F26" w:rsidRPr="006F6660">
        <w:rPr>
          <w:rStyle w:val="FootnoteReference"/>
        </w:rPr>
        <w:footnoteReference w:id="16"/>
      </w:r>
      <w:r>
        <w:t>.</w:t>
      </w:r>
      <w:r>
        <w:rPr>
          <w:rStyle w:val="FootnoteReference"/>
        </w:rPr>
        <w:t xml:space="preserve"> </w:t>
      </w:r>
    </w:p>
    <w:p w14:paraId="20D5C4ED" w14:textId="0684B5C4" w:rsidR="00157FE5" w:rsidRPr="008500E1" w:rsidRDefault="008D6F26" w:rsidP="00A55B1A">
      <w:pPr>
        <w:pStyle w:val="ListParagraph"/>
        <w:widowControl w:val="0"/>
        <w:numPr>
          <w:ilvl w:val="0"/>
          <w:numId w:val="7"/>
        </w:numPr>
        <w:spacing w:after="240"/>
        <w:ind w:left="0" w:firstLine="0"/>
        <w:contextualSpacing w:val="0"/>
      </w:pPr>
      <w:r>
        <w:t xml:space="preserve">Некоторые ведомства </w:t>
      </w:r>
      <w:r w:rsidR="0084656A">
        <w:t>ИС</w:t>
      </w:r>
      <w:r>
        <w:t xml:space="preserve"> разработали процедуры АУС или рекомендуют сторонам использовать подобные процедуры для </w:t>
      </w:r>
      <w:r w:rsidR="00D269CB" w:rsidRPr="00950CF2">
        <w:t>разреш</w:t>
      </w:r>
      <w:r w:rsidR="00D269CB">
        <w:t xml:space="preserve">ения споров, которые подаются на их </w:t>
      </w:r>
      <w:r w:rsidR="00D269CB">
        <w:rPr>
          <w:szCs w:val="22"/>
        </w:rPr>
        <w:t>рассмотрени</w:t>
      </w:r>
      <w:r w:rsidR="00D269CB">
        <w:t>е</w:t>
      </w:r>
      <w:r>
        <w:t xml:space="preserve">, </w:t>
      </w:r>
      <w:r w:rsidR="00D269CB">
        <w:t xml:space="preserve">в том числе </w:t>
      </w:r>
      <w:r w:rsidR="00D269CB" w:rsidRPr="00C862FF">
        <w:t>касающи</w:t>
      </w:r>
      <w:r w:rsidR="00D269CB">
        <w:t>хся возражений</w:t>
      </w:r>
      <w:r>
        <w:t xml:space="preserve"> в отношен</w:t>
      </w:r>
      <w:r w:rsidR="00F2670D">
        <w:t>ии патентов и товарных знаков. Центр</w:t>
      </w:r>
      <w:r w:rsidR="00F2670D" w:rsidRPr="00F2670D">
        <w:t xml:space="preserve"> </w:t>
      </w:r>
      <w:r w:rsidR="00F2670D">
        <w:t>разрабатывал</w:t>
      </w:r>
      <w:r w:rsidR="00F2670D" w:rsidRPr="00F2670D">
        <w:t xml:space="preserve"> </w:t>
      </w:r>
      <w:r w:rsidR="00D269CB">
        <w:t xml:space="preserve">схемы </w:t>
      </w:r>
      <w:r w:rsidR="00F2670D">
        <w:t>посредничества</w:t>
      </w:r>
      <w:r w:rsidR="00F2670D" w:rsidRPr="00F2670D">
        <w:t xml:space="preserve"> </w:t>
      </w:r>
      <w:r w:rsidR="00F2670D">
        <w:t>для</w:t>
      </w:r>
      <w:r w:rsidR="00F2670D" w:rsidRPr="00F2670D">
        <w:t xml:space="preserve"> </w:t>
      </w:r>
      <w:r w:rsidR="00F2670D">
        <w:t>таких</w:t>
      </w:r>
      <w:r w:rsidR="00F2670D" w:rsidRPr="00F2670D">
        <w:t xml:space="preserve"> </w:t>
      </w:r>
      <w:r w:rsidR="00D269CB">
        <w:t>споров</w:t>
      </w:r>
      <w:r w:rsidR="00F2670D" w:rsidRPr="00F2670D">
        <w:t xml:space="preserve"> </w:t>
      </w:r>
      <w:r w:rsidR="00D269CB">
        <w:t>совместно</w:t>
      </w:r>
      <w:r w:rsidR="00D269CB" w:rsidRPr="00F2670D">
        <w:t xml:space="preserve"> </w:t>
      </w:r>
      <w:r w:rsidR="00D269CB">
        <w:t>с</w:t>
      </w:r>
      <w:r w:rsidR="00D269CB" w:rsidRPr="00F2670D">
        <w:t xml:space="preserve"> </w:t>
      </w:r>
      <w:r w:rsidR="00D269CB" w:rsidRPr="00B05182">
        <w:t>ведомств</w:t>
      </w:r>
      <w:r w:rsidR="00D269CB">
        <w:t>ами</w:t>
      </w:r>
      <w:r w:rsidR="00D269CB" w:rsidRPr="00F2670D">
        <w:t xml:space="preserve"> </w:t>
      </w:r>
      <w:r w:rsidR="00D269CB">
        <w:t xml:space="preserve">ИС </w:t>
      </w:r>
      <w:r w:rsidR="00F2670D">
        <w:t xml:space="preserve">и </w:t>
      </w:r>
      <w:r w:rsidR="00F2670D" w:rsidRPr="0036372D">
        <w:t>сотрудн</w:t>
      </w:r>
      <w:r w:rsidR="00F2670D">
        <w:t xml:space="preserve">ичал с ними в </w:t>
      </w:r>
      <w:r w:rsidR="00D269CB">
        <w:t>урегулировании</w:t>
      </w:r>
      <w:r w:rsidR="00F2670D">
        <w:t xml:space="preserve"> споров, направляемых </w:t>
      </w:r>
      <w:r w:rsidR="00F2670D">
        <w:lastRenderedPageBreak/>
        <w:t xml:space="preserve">сторонами на </w:t>
      </w:r>
      <w:r w:rsidR="00F2670D">
        <w:rPr>
          <w:szCs w:val="22"/>
        </w:rPr>
        <w:t>рассмотрени</w:t>
      </w:r>
      <w:r w:rsidR="00F2670D">
        <w:t>е в рамках таких программ</w:t>
      </w:r>
      <w:r w:rsidRPr="006F6660">
        <w:rPr>
          <w:rStyle w:val="FootnoteReference"/>
        </w:rPr>
        <w:footnoteReference w:id="17"/>
      </w:r>
      <w:r w:rsidR="00F2670D" w:rsidRPr="00F2670D">
        <w:t>.</w:t>
      </w:r>
      <w:r w:rsidRPr="00F2670D">
        <w:t xml:space="preserve"> </w:t>
      </w:r>
      <w:r w:rsidR="00077839">
        <w:t>В</w:t>
      </w:r>
      <w:r w:rsidR="00077839" w:rsidRPr="00077839">
        <w:t xml:space="preserve"> </w:t>
      </w:r>
      <w:r w:rsidR="00077839">
        <w:t>области</w:t>
      </w:r>
      <w:r w:rsidR="00077839" w:rsidRPr="00077839">
        <w:t xml:space="preserve"> </w:t>
      </w:r>
      <w:r w:rsidR="00077839" w:rsidRPr="00F563DA">
        <w:t>авторского</w:t>
      </w:r>
      <w:r w:rsidR="00077839" w:rsidRPr="00077839">
        <w:t xml:space="preserve"> </w:t>
      </w:r>
      <w:r w:rsidR="00077839" w:rsidRPr="00F563DA">
        <w:t>права</w:t>
      </w:r>
      <w:r w:rsidR="00077839" w:rsidRPr="00077839">
        <w:t xml:space="preserve"> </w:t>
      </w:r>
      <w:r w:rsidR="00077839">
        <w:t>некоторые</w:t>
      </w:r>
      <w:r w:rsidR="00077839" w:rsidRPr="00077839">
        <w:t xml:space="preserve"> </w:t>
      </w:r>
      <w:r w:rsidR="00077839" w:rsidRPr="00B05182">
        <w:t>ведомств</w:t>
      </w:r>
      <w:r w:rsidR="00077839">
        <w:t>а</w:t>
      </w:r>
      <w:r w:rsidR="00077839" w:rsidRPr="00077839">
        <w:t xml:space="preserve"> </w:t>
      </w:r>
      <w:r w:rsidR="0084656A">
        <w:t>ИС</w:t>
      </w:r>
      <w:r w:rsidR="00077839" w:rsidRPr="00077839">
        <w:t xml:space="preserve"> </w:t>
      </w:r>
      <w:r w:rsidR="00077839">
        <w:t>в</w:t>
      </w:r>
      <w:r w:rsidR="00077839" w:rsidRPr="00077839">
        <w:t xml:space="preserve"> </w:t>
      </w:r>
      <w:r w:rsidR="00077839">
        <w:t>настоящее</w:t>
      </w:r>
      <w:r w:rsidR="00077839" w:rsidRPr="00077839">
        <w:t xml:space="preserve"> </w:t>
      </w:r>
      <w:r w:rsidR="00077839">
        <w:t>время</w:t>
      </w:r>
      <w:r w:rsidR="00077839" w:rsidRPr="00077839">
        <w:t xml:space="preserve"> </w:t>
      </w:r>
      <w:r w:rsidR="00077839">
        <w:t xml:space="preserve">обращаются к Центру с просьбами об урегулировании или совместном урегулировании споров, </w:t>
      </w:r>
      <w:r w:rsidR="00077839" w:rsidRPr="004D0E14">
        <w:t>рассматр</w:t>
      </w:r>
      <w:r w:rsidR="00077839">
        <w:t>иваемых судами</w:t>
      </w:r>
      <w:r w:rsidRPr="00077839">
        <w:t xml:space="preserve">, </w:t>
      </w:r>
      <w:r w:rsidR="00077839">
        <w:t xml:space="preserve">сторонами которых часто </w:t>
      </w:r>
      <w:r w:rsidR="00077839" w:rsidRPr="000F1688">
        <w:rPr>
          <w:rStyle w:val="BodyTextChar"/>
        </w:rPr>
        <w:t>явля</w:t>
      </w:r>
      <w:r w:rsidR="00077839">
        <w:rPr>
          <w:rStyle w:val="BodyTextChar"/>
        </w:rPr>
        <w:t>ю</w:t>
      </w:r>
      <w:r w:rsidR="00077839" w:rsidRPr="000F1688">
        <w:rPr>
          <w:rStyle w:val="BodyTextChar"/>
        </w:rPr>
        <w:t>тся</w:t>
      </w:r>
      <w:r w:rsidR="00077839">
        <w:t xml:space="preserve"> ОКУ или иные </w:t>
      </w:r>
      <w:r w:rsidR="00077839" w:rsidRPr="00077839">
        <w:t>правообладател</w:t>
      </w:r>
      <w:r w:rsidR="00077839">
        <w:t>и</w:t>
      </w:r>
      <w:r w:rsidRPr="00077839">
        <w:t xml:space="preserve">, </w:t>
      </w:r>
      <w:r w:rsidR="00077839">
        <w:t xml:space="preserve">а также пользователи охраняемых </w:t>
      </w:r>
      <w:r w:rsidR="00077839" w:rsidRPr="00CF2CD0">
        <w:t>произведени</w:t>
      </w:r>
      <w:r w:rsidR="00077839">
        <w:t>й</w:t>
      </w:r>
      <w:r w:rsidRPr="006F6660">
        <w:rPr>
          <w:rStyle w:val="FootnoteReference"/>
        </w:rPr>
        <w:footnoteReference w:id="18"/>
      </w:r>
      <w:r w:rsidR="00077839" w:rsidRPr="00077839">
        <w:t>.</w:t>
      </w:r>
    </w:p>
    <w:p w14:paraId="43F077F0" w14:textId="75C98DF9" w:rsidR="007F350F" w:rsidRPr="008500E1" w:rsidRDefault="008500E1" w:rsidP="006E79F5">
      <w:pPr>
        <w:pStyle w:val="ListParagraph"/>
        <w:widowControl w:val="0"/>
        <w:numPr>
          <w:ilvl w:val="0"/>
          <w:numId w:val="7"/>
        </w:numPr>
        <w:spacing w:after="240"/>
        <w:ind w:left="0" w:firstLine="0"/>
        <w:contextualSpacing w:val="0"/>
      </w:pPr>
      <w:r w:rsidRPr="008500E1">
        <w:t xml:space="preserve">Кроме того, Центр сотрудничал с ведомствами </w:t>
      </w:r>
      <w:r w:rsidR="00610857">
        <w:t>ИС</w:t>
      </w:r>
      <w:r w:rsidRPr="008500E1">
        <w:t xml:space="preserve"> в разработке типовых соглашений о НИОКР, которые включают варианты посредничества и арбитража ВОИС</w:t>
      </w:r>
      <w:r w:rsidR="007F350F" w:rsidRPr="008500E1">
        <w:rPr>
          <w:rStyle w:val="FootnoteReference"/>
        </w:rPr>
        <w:footnoteReference w:id="19"/>
      </w:r>
      <w:r w:rsidRPr="008500E1">
        <w:t>.</w:t>
      </w:r>
    </w:p>
    <w:p w14:paraId="7B3602BB" w14:textId="2A6421FC" w:rsidR="00F44DF8" w:rsidRDefault="00256503" w:rsidP="006E79F5">
      <w:pPr>
        <w:pStyle w:val="ListParagraph"/>
        <w:widowControl w:val="0"/>
        <w:numPr>
          <w:ilvl w:val="0"/>
          <w:numId w:val="7"/>
        </w:numPr>
        <w:spacing w:after="240"/>
        <w:ind w:left="0" w:firstLine="0"/>
        <w:contextualSpacing w:val="0"/>
      </w:pPr>
      <w:r w:rsidRPr="00F05C7D">
        <w:t>Отраж</w:t>
      </w:r>
      <w:r>
        <w:t>ением растущего</w:t>
      </w:r>
      <w:r w:rsidRPr="00F05C7D">
        <w:t xml:space="preserve"> масштаб</w:t>
      </w:r>
      <w:r>
        <w:t>а</w:t>
      </w:r>
      <w:r w:rsidRPr="00F05C7D">
        <w:t xml:space="preserve"> и</w:t>
      </w:r>
      <w:r>
        <w:t xml:space="preserve"> разнообразия </w:t>
      </w:r>
      <w:r w:rsidR="00D269CB">
        <w:t xml:space="preserve">такого </w:t>
      </w:r>
      <w:r w:rsidR="00D269CB" w:rsidRPr="0036372D">
        <w:t>сотрудн</w:t>
      </w:r>
      <w:r w:rsidR="00D269CB">
        <w:t xml:space="preserve">ичества </w:t>
      </w:r>
      <w:r w:rsidRPr="00C81879">
        <w:t>является</w:t>
      </w:r>
      <w:r>
        <w:t xml:space="preserve"> также распространяемое </w:t>
      </w:r>
      <w:r w:rsidRPr="00F05C7D">
        <w:t>Центр</w:t>
      </w:r>
      <w:r>
        <w:t>ом</w:t>
      </w:r>
      <w:r w:rsidR="00F44DF8" w:rsidRPr="00256503">
        <w:t xml:space="preserve"> </w:t>
      </w:r>
      <w:hyperlink r:id="rId18" w:history="1">
        <w:r w:rsidRPr="00256503">
          <w:rPr>
            <w:rStyle w:val="Hyperlink"/>
          </w:rPr>
          <w:t>Руководство ВОИС по вариантам альтернативного урегулирования споров для ведомств ИС и судов</w:t>
        </w:r>
      </w:hyperlink>
      <w:r w:rsidR="00F44DF8" w:rsidRPr="00256503">
        <w:t xml:space="preserve">. </w:t>
      </w:r>
      <w:r w:rsidR="00F44DF8">
        <w:t xml:space="preserve">В публикации рассматриваются специализированные </w:t>
      </w:r>
      <w:r w:rsidR="00D269CB">
        <w:t xml:space="preserve">общедоступные </w:t>
      </w:r>
      <w:r w:rsidR="00F44DF8">
        <w:t xml:space="preserve">программы АУС, </w:t>
      </w:r>
      <w:r>
        <w:t xml:space="preserve">разработанные совместно с Центром, </w:t>
      </w:r>
      <w:r w:rsidR="00F44DF8">
        <w:t xml:space="preserve">включающие такие </w:t>
      </w:r>
      <w:r w:rsidR="00D269CB">
        <w:t xml:space="preserve">новые </w:t>
      </w:r>
      <w:r w:rsidR="00F44DF8">
        <w:t xml:space="preserve">элементы, как схемы </w:t>
      </w:r>
      <w:r w:rsidR="00D269CB">
        <w:t xml:space="preserve">ведения </w:t>
      </w:r>
      <w:r w:rsidR="00F44DF8">
        <w:t xml:space="preserve">и совместного </w:t>
      </w:r>
      <w:r w:rsidR="00D269CB">
        <w:t>ведения дел</w:t>
      </w:r>
      <w:r w:rsidR="00F44DF8">
        <w:t xml:space="preserve">, онлайновые инструменты </w:t>
      </w:r>
      <w:r w:rsidR="00D269CB">
        <w:t xml:space="preserve">ведения </w:t>
      </w:r>
      <w:r w:rsidR="00F44DF8">
        <w:t xml:space="preserve">дел, </w:t>
      </w:r>
      <w:r w:rsidR="00D269CB">
        <w:t>модули обучения и информирования</w:t>
      </w:r>
      <w:r w:rsidR="00F44DF8">
        <w:t xml:space="preserve">, а также типовые соглашения о НИОКР, </w:t>
      </w:r>
      <w:r w:rsidR="00D269CB">
        <w:t xml:space="preserve">содержащие </w:t>
      </w:r>
      <w:r w:rsidR="00F44DF8">
        <w:t xml:space="preserve">пункты об АУС. </w:t>
      </w:r>
      <w:r>
        <w:t>Руководство</w:t>
      </w:r>
      <w:r w:rsidRPr="00256503">
        <w:t xml:space="preserve"> </w:t>
      </w:r>
      <w:r>
        <w:t>также</w:t>
      </w:r>
      <w:r w:rsidRPr="00256503">
        <w:t xml:space="preserve"> </w:t>
      </w:r>
      <w:r>
        <w:t>описывает различные варианты интеграции механизмов АУС</w:t>
      </w:r>
      <w:r w:rsidR="00F44DF8" w:rsidRPr="00256503">
        <w:t xml:space="preserve">, </w:t>
      </w:r>
      <w:r>
        <w:t>особенно посредничества</w:t>
      </w:r>
      <w:r w:rsidR="00F44DF8" w:rsidRPr="00256503">
        <w:t xml:space="preserve">, </w:t>
      </w:r>
      <w:r>
        <w:t xml:space="preserve">в операционные </w:t>
      </w:r>
      <w:r w:rsidRPr="00A535DF">
        <w:t>процедур</w:t>
      </w:r>
      <w:r>
        <w:t>ы заинтересованных</w:t>
      </w:r>
      <w:r w:rsidRPr="00256503">
        <w:t xml:space="preserve"> </w:t>
      </w:r>
      <w:r w:rsidRPr="00B05182">
        <w:t>ведомств</w:t>
      </w:r>
      <w:r w:rsidRPr="00256503">
        <w:t xml:space="preserve"> </w:t>
      </w:r>
      <w:r>
        <w:t>ИС</w:t>
      </w:r>
      <w:r w:rsidRPr="00256503">
        <w:t xml:space="preserve"> </w:t>
      </w:r>
      <w:r>
        <w:t>и</w:t>
      </w:r>
      <w:r w:rsidRPr="00256503">
        <w:t xml:space="preserve"> </w:t>
      </w:r>
      <w:r>
        <w:t>судов</w:t>
      </w:r>
      <w:r w:rsidR="00F44DF8" w:rsidRPr="00256503">
        <w:t>.</w:t>
      </w:r>
    </w:p>
    <w:p w14:paraId="080C737F" w14:textId="77777777" w:rsidR="008D6F26" w:rsidRPr="006F6660" w:rsidRDefault="008D6F26" w:rsidP="006E79F5">
      <w:pPr>
        <w:pStyle w:val="ListParagraph"/>
        <w:widowControl w:val="0"/>
        <w:spacing w:after="240"/>
        <w:ind w:left="567"/>
        <w:contextualSpacing w:val="0"/>
      </w:pPr>
      <w:r>
        <w:lastRenderedPageBreak/>
        <w:t>С.</w:t>
      </w:r>
      <w:r>
        <w:tab/>
        <w:t>ИНФОРМАЦИОННЫЕ РЕСУРСЫ ПО АУС</w:t>
      </w:r>
    </w:p>
    <w:p w14:paraId="60B78083" w14:textId="6CD12223" w:rsidR="00CA0EF6" w:rsidRPr="006F6660" w:rsidRDefault="009A66C4" w:rsidP="00BD5AF2">
      <w:pPr>
        <w:pStyle w:val="ListParagraph"/>
        <w:widowControl w:val="0"/>
        <w:numPr>
          <w:ilvl w:val="0"/>
          <w:numId w:val="7"/>
        </w:numPr>
        <w:spacing w:after="240"/>
        <w:ind w:left="0" w:firstLine="0"/>
        <w:contextualSpacing w:val="0"/>
        <w:rPr>
          <w:szCs w:val="22"/>
        </w:rPr>
      </w:pPr>
      <w:r>
        <w:t xml:space="preserve">В течение рассматриваемого периода в целях удовлетворения возросшего спроса на онлайновые ресурсы и обучение в области АУС Центр продолжал использовать имеющиеся информационные каналы, такие как рассылка </w:t>
      </w:r>
      <w:r w:rsidR="002118B6" w:rsidRPr="006F6660">
        <w:rPr>
          <w:szCs w:val="22"/>
        </w:rPr>
        <w:t xml:space="preserve">ADR Highlights </w:t>
      </w:r>
      <w:r>
        <w:t xml:space="preserve">и страница Центра в </w:t>
      </w:r>
      <w:hyperlink r:id="rId19" w:history="1">
        <w:r w:rsidR="007D1F79" w:rsidRPr="007D1F79">
          <w:rPr>
            <w:rFonts w:eastAsia="SimSun" w:cs="Arial"/>
            <w:color w:val="0000FF"/>
            <w:szCs w:val="22"/>
            <w:u w:val="single"/>
            <w:lang w:val="en-US" w:eastAsia="zh-CN"/>
          </w:rPr>
          <w:t>LinkedIn</w:t>
        </w:r>
      </w:hyperlink>
      <w:r w:rsidR="00567235" w:rsidRPr="006F6660">
        <w:rPr>
          <w:vertAlign w:val="superscript"/>
        </w:rPr>
        <w:footnoteReference w:id="20"/>
      </w:r>
      <w:r>
        <w:t xml:space="preserve">, </w:t>
      </w:r>
      <w:r w:rsidR="00567235">
        <w:rPr>
          <w:snapToGrid w:val="0"/>
        </w:rPr>
        <w:t>одновременн</w:t>
      </w:r>
      <w:r w:rsidR="00567235">
        <w:t>о</w:t>
      </w:r>
      <w:r>
        <w:t xml:space="preserve"> развивая существующие и создавая </w:t>
      </w:r>
      <w:r w:rsidR="002118B6">
        <w:t xml:space="preserve">новые </w:t>
      </w:r>
      <w:r w:rsidR="00567235">
        <w:t xml:space="preserve">площадки в </w:t>
      </w:r>
      <w:r>
        <w:t>со</w:t>
      </w:r>
      <w:r w:rsidR="00567235">
        <w:t>циальных сетях</w:t>
      </w:r>
      <w:r>
        <w:t xml:space="preserve"> и иные онлайновые площадки для пользователей и потенциальн</w:t>
      </w:r>
      <w:r w:rsidR="00256503">
        <w:t>ых пользователей услуг АУС ВОИС</w:t>
      </w:r>
      <w:r w:rsidR="00567235" w:rsidRPr="006F6660">
        <w:rPr>
          <w:rStyle w:val="FootnoteReference"/>
          <w:szCs w:val="22"/>
        </w:rPr>
        <w:footnoteReference w:id="21"/>
      </w:r>
      <w:r>
        <w:t xml:space="preserve">. Например, организованная Центром в 2021 году </w:t>
      </w:r>
      <w:hyperlink r:id="rId20" w:history="1">
        <w:r>
          <w:rPr>
            <w:rStyle w:val="Hyperlink"/>
          </w:rPr>
          <w:t>Молодежная группа ВОИС по АУС</w:t>
        </w:r>
      </w:hyperlink>
      <w:r>
        <w:t xml:space="preserve"> представляет собой сетевой и учебный форум для молодых специалистов, </w:t>
      </w:r>
      <w:r w:rsidR="002118B6">
        <w:t xml:space="preserve">работающих в сферах </w:t>
      </w:r>
      <w:r>
        <w:t xml:space="preserve">ИС и урегулирования споров; на данный момент в нем участвуют более 1 400 членов примерно из 110 стран. Центр также занимался организацией мероприятий и участвовал в событиях, приуроченных к Международному дню ИС. </w:t>
      </w:r>
    </w:p>
    <w:p w14:paraId="7ACA1653" w14:textId="40A6751D" w:rsidR="00CA0EF6" w:rsidRPr="00256503" w:rsidRDefault="002118B6" w:rsidP="006E79F5">
      <w:pPr>
        <w:pStyle w:val="ListParagraph"/>
        <w:widowControl w:val="0"/>
        <w:numPr>
          <w:ilvl w:val="0"/>
          <w:numId w:val="7"/>
        </w:numPr>
        <w:spacing w:after="240"/>
        <w:ind w:left="0" w:firstLine="0"/>
        <w:contextualSpacing w:val="0"/>
        <w:rPr>
          <w:szCs w:val="22"/>
        </w:rPr>
      </w:pPr>
      <w:r>
        <w:t xml:space="preserve">Насчитывая сегодня уже </w:t>
      </w:r>
      <w:r w:rsidR="00D1328F">
        <w:t>более 20</w:t>
      </w:r>
      <w:r>
        <w:t xml:space="preserve"> тыс. </w:t>
      </w:r>
      <w:r w:rsidR="00D1328F">
        <w:t>подписчиков</w:t>
      </w:r>
      <w:r>
        <w:t xml:space="preserve">, </w:t>
      </w:r>
      <w:r w:rsidRPr="00FD319C">
        <w:t>страница Центра в LinkedIn</w:t>
      </w:r>
      <w:r>
        <w:t xml:space="preserve"> </w:t>
      </w:r>
      <w:r w:rsidR="00D1328F">
        <w:t xml:space="preserve">является платформой, на которой сообщество пользователей, </w:t>
      </w:r>
      <w:r>
        <w:t>интересующихся вопросами ИС, технологий</w:t>
      </w:r>
      <w:r w:rsidR="00D1328F">
        <w:t xml:space="preserve"> и АУС, может получать актуальную информацию об АУС ВОИС, соответствующих мероприятиях и публикациях</w:t>
      </w:r>
      <w:r w:rsidR="00256503">
        <w:t>. Центр</w:t>
      </w:r>
      <w:r w:rsidR="00256503" w:rsidRPr="00256503">
        <w:t xml:space="preserve"> </w:t>
      </w:r>
      <w:r w:rsidR="00256503">
        <w:t>также</w:t>
      </w:r>
      <w:r w:rsidR="00256503" w:rsidRPr="00256503">
        <w:t xml:space="preserve"> </w:t>
      </w:r>
      <w:r w:rsidR="00256503">
        <w:t>продолжал</w:t>
      </w:r>
      <w:r w:rsidR="00256503" w:rsidRPr="00256503">
        <w:t xml:space="preserve"> выпускать </w:t>
      </w:r>
      <w:r w:rsidR="00256503">
        <w:t xml:space="preserve">свою </w:t>
      </w:r>
      <w:hyperlink r:id="rId21" w:history="1">
        <w:r w:rsidR="00256503">
          <w:rPr>
            <w:rStyle w:val="Hyperlink"/>
          </w:rPr>
          <w:t>программу «Вопросы арбитража и посредничества» (WIPOD)</w:t>
        </w:r>
      </w:hyperlink>
      <w:r w:rsidR="00D1328F" w:rsidRPr="00256503">
        <w:t xml:space="preserve">, </w:t>
      </w:r>
      <w:r w:rsidR="00567235">
        <w:t>в рамках которой</w:t>
      </w:r>
      <w:r w:rsidR="00256503">
        <w:t xml:space="preserve"> было </w:t>
      </w:r>
      <w:r w:rsidR="00567235">
        <w:t xml:space="preserve">выпущено </w:t>
      </w:r>
      <w:r w:rsidR="00256503">
        <w:t xml:space="preserve">более 7 тыс. </w:t>
      </w:r>
      <w:r w:rsidR="00567235">
        <w:t xml:space="preserve">подкастов, содержавших </w:t>
      </w:r>
      <w:r w:rsidR="00256503" w:rsidRPr="00256503">
        <w:t>интервью со специалистами-практиками в области ИС и АУС</w:t>
      </w:r>
      <w:r w:rsidR="00D1328F" w:rsidRPr="00256503">
        <w:t xml:space="preserve">. </w:t>
      </w:r>
    </w:p>
    <w:p w14:paraId="35C76E35" w14:textId="77777777" w:rsidR="00CA0EF6" w:rsidRPr="00423040" w:rsidRDefault="00567235" w:rsidP="00707875">
      <w:pPr>
        <w:pStyle w:val="ListParagraph"/>
        <w:widowControl w:val="0"/>
        <w:numPr>
          <w:ilvl w:val="0"/>
          <w:numId w:val="7"/>
        </w:numPr>
        <w:spacing w:after="240"/>
        <w:ind w:left="0" w:firstLine="0"/>
        <w:contextualSpacing w:val="0"/>
        <w:rPr>
          <w:szCs w:val="22"/>
        </w:rPr>
      </w:pPr>
      <w:r w:rsidRPr="005F0D70">
        <w:t>Центр</w:t>
      </w:r>
      <w:r w:rsidRPr="00567235">
        <w:t xml:space="preserve"> </w:t>
      </w:r>
      <w:r w:rsidRPr="005F0D70">
        <w:t>продолжал</w:t>
      </w:r>
      <w:r w:rsidRPr="00567235">
        <w:t xml:space="preserve"> </w:t>
      </w:r>
      <w:r w:rsidRPr="005F0D70">
        <w:t>организовывать</w:t>
      </w:r>
      <w:r w:rsidRPr="00567235">
        <w:t xml:space="preserve"> </w:t>
      </w:r>
      <w:r w:rsidRPr="000B089C">
        <w:t>различн</w:t>
      </w:r>
      <w:r>
        <w:t>ые</w:t>
      </w:r>
      <w:r w:rsidRPr="00567235">
        <w:t xml:space="preserve"> </w:t>
      </w:r>
      <w:r w:rsidRPr="005F0D70">
        <w:t>мероприятия</w:t>
      </w:r>
      <w:r w:rsidRPr="00567235">
        <w:t xml:space="preserve"> </w:t>
      </w:r>
      <w:r w:rsidRPr="005F0D70">
        <w:t>и</w:t>
      </w:r>
      <w:r w:rsidRPr="00567235">
        <w:t xml:space="preserve"> </w:t>
      </w:r>
      <w:r w:rsidRPr="005F0D70">
        <w:t>участвовать</w:t>
      </w:r>
      <w:r w:rsidRPr="00567235">
        <w:t xml:space="preserve"> </w:t>
      </w:r>
      <w:r w:rsidRPr="005F0D70">
        <w:t>в</w:t>
      </w:r>
      <w:r w:rsidRPr="00567235">
        <w:t xml:space="preserve"> </w:t>
      </w:r>
      <w:r w:rsidRPr="005F0D70">
        <w:t>мероприятия</w:t>
      </w:r>
      <w:r>
        <w:t>х</w:t>
      </w:r>
      <w:r w:rsidRPr="00567235">
        <w:t xml:space="preserve">, включая </w:t>
      </w:r>
      <w:hyperlink r:id="rId22" w:history="1">
        <w:r w:rsidRPr="00567235">
          <w:rPr>
            <w:rStyle w:val="Hyperlink"/>
          </w:rPr>
          <w:t>вебинары</w:t>
        </w:r>
      </w:hyperlink>
      <w:r w:rsidR="00D1328F" w:rsidRPr="00567235">
        <w:t xml:space="preserve">, </w:t>
      </w:r>
      <w:r>
        <w:t>клиники</w:t>
      </w:r>
      <w:r w:rsidRPr="00567235">
        <w:t xml:space="preserve"> </w:t>
      </w:r>
      <w:r>
        <w:t>по</w:t>
      </w:r>
      <w:r w:rsidRPr="00567235">
        <w:t xml:space="preserve"> </w:t>
      </w:r>
      <w:r>
        <w:t>АУС</w:t>
      </w:r>
      <w:r w:rsidRPr="00567235">
        <w:t xml:space="preserve"> </w:t>
      </w:r>
      <w:r>
        <w:t>в области ИС</w:t>
      </w:r>
      <w:r w:rsidR="00D1328F" w:rsidRPr="00567235">
        <w:t xml:space="preserve"> </w:t>
      </w:r>
      <w:r>
        <w:t xml:space="preserve">и онлайновые </w:t>
      </w:r>
      <w:r w:rsidRPr="005F0D70">
        <w:t>семинары ВОИС по посредничеству и арбитражу</w:t>
      </w:r>
      <w:r w:rsidR="00C529C2">
        <w:t>, содержание которых учитывает</w:t>
      </w:r>
      <w:r>
        <w:t xml:space="preserve"> интересы заинтересованных сторон</w:t>
      </w:r>
      <w:r w:rsidR="00C529C2">
        <w:t xml:space="preserve"> и которые проводятся</w:t>
      </w:r>
      <w:r>
        <w:t xml:space="preserve"> </w:t>
      </w:r>
      <w:r w:rsidRPr="005F0D70">
        <w:t xml:space="preserve">на </w:t>
      </w:r>
      <w:r>
        <w:t>целом ряде языков</w:t>
      </w:r>
      <w:r w:rsidR="00CA0EF6" w:rsidRPr="006D7D6A">
        <w:rPr>
          <w:bCs/>
          <w:shd w:val="clear" w:color="auto" w:fill="FFFFFF"/>
          <w:vertAlign w:val="superscript"/>
        </w:rPr>
        <w:footnoteReference w:id="22"/>
      </w:r>
      <w:r w:rsidRPr="00567235">
        <w:rPr>
          <w:shd w:val="clear" w:color="auto" w:fill="FFFFFF"/>
        </w:rPr>
        <w:t>.</w:t>
      </w:r>
      <w:r w:rsidR="00D1328F" w:rsidRPr="00567235">
        <w:rPr>
          <w:shd w:val="clear" w:color="auto" w:fill="FFFFFF"/>
        </w:rPr>
        <w:t xml:space="preserve"> </w:t>
      </w:r>
      <w:r>
        <w:rPr>
          <w:shd w:val="clear" w:color="auto" w:fill="FFFFFF"/>
        </w:rPr>
        <w:t xml:space="preserve">Их </w:t>
      </w:r>
      <w:r w:rsidRPr="005F0D70">
        <w:rPr>
          <w:shd w:val="clear" w:color="auto" w:fill="FFFFFF"/>
        </w:rPr>
        <w:t xml:space="preserve">темы </w:t>
      </w:r>
      <w:r w:rsidR="00C529C2">
        <w:rPr>
          <w:shd w:val="clear" w:color="auto" w:fill="FFFFFF"/>
        </w:rPr>
        <w:t xml:space="preserve">касались, </w:t>
      </w:r>
      <w:r w:rsidR="00C529C2" w:rsidRPr="00C529C2">
        <w:rPr>
          <w:shd w:val="clear" w:color="auto" w:fill="FFFFFF"/>
        </w:rPr>
        <w:t xml:space="preserve">в частности, </w:t>
      </w:r>
      <w:r w:rsidR="00C529C2">
        <w:rPr>
          <w:shd w:val="clear" w:color="auto" w:fill="FFFFFF"/>
        </w:rPr>
        <w:t>авторского права</w:t>
      </w:r>
      <w:r w:rsidRPr="005F0D70">
        <w:rPr>
          <w:shd w:val="clear" w:color="auto" w:fill="FFFFFF"/>
        </w:rPr>
        <w:t xml:space="preserve"> </w:t>
      </w:r>
      <w:r>
        <w:rPr>
          <w:shd w:val="clear" w:color="auto" w:fill="FFFFFF"/>
        </w:rPr>
        <w:t>в цифровой среде</w:t>
      </w:r>
      <w:r w:rsidRPr="005F0D70">
        <w:rPr>
          <w:shd w:val="clear" w:color="auto" w:fill="FFFFFF"/>
        </w:rPr>
        <w:t xml:space="preserve"> (включая киберспорт и видео</w:t>
      </w:r>
      <w:r w:rsidRPr="00567235">
        <w:rPr>
          <w:shd w:val="clear" w:color="auto" w:fill="FFFFFF"/>
        </w:rPr>
        <w:t xml:space="preserve">игры, а также </w:t>
      </w:r>
      <w:r w:rsidR="00C529C2" w:rsidRPr="00C529C2">
        <w:rPr>
          <w:shd w:val="clear" w:color="auto" w:fill="FFFFFF"/>
        </w:rPr>
        <w:t>н</w:t>
      </w:r>
      <w:r w:rsidR="00C529C2">
        <w:rPr>
          <w:shd w:val="clear" w:color="auto" w:fill="FFFFFF"/>
        </w:rPr>
        <w:t>евзаимозаменяемые</w:t>
      </w:r>
      <w:r w:rsidR="00C529C2" w:rsidRPr="00C529C2">
        <w:rPr>
          <w:shd w:val="clear" w:color="auto" w:fill="FFFFFF"/>
        </w:rPr>
        <w:t xml:space="preserve"> токен</w:t>
      </w:r>
      <w:r w:rsidR="00C529C2">
        <w:rPr>
          <w:shd w:val="clear" w:color="auto" w:fill="FFFFFF"/>
        </w:rPr>
        <w:t>ы (</w:t>
      </w:r>
      <w:r w:rsidRPr="00567235">
        <w:rPr>
          <w:shd w:val="clear" w:color="auto" w:fill="FFFFFF"/>
        </w:rPr>
        <w:t>NFT</w:t>
      </w:r>
      <w:r w:rsidR="00C529C2">
        <w:rPr>
          <w:shd w:val="clear" w:color="auto" w:fill="FFFFFF"/>
        </w:rPr>
        <w:t>)</w:t>
      </w:r>
      <w:r w:rsidRPr="00567235">
        <w:rPr>
          <w:shd w:val="clear" w:color="auto" w:fill="FFFFFF"/>
        </w:rPr>
        <w:t xml:space="preserve"> и </w:t>
      </w:r>
      <w:r w:rsidR="00C529C2" w:rsidRPr="00567235">
        <w:rPr>
          <w:shd w:val="clear" w:color="auto" w:fill="FFFFFF"/>
        </w:rPr>
        <w:t>м</w:t>
      </w:r>
      <w:r w:rsidRPr="00567235">
        <w:rPr>
          <w:shd w:val="clear" w:color="auto" w:fill="FFFFFF"/>
        </w:rPr>
        <w:t>етавселенную</w:t>
      </w:r>
      <w:r w:rsidR="009B05CB" w:rsidRPr="00567235">
        <w:rPr>
          <w:rStyle w:val="FootnoteReference"/>
          <w:szCs w:val="22"/>
        </w:rPr>
        <w:footnoteReference w:id="23"/>
      </w:r>
      <w:r w:rsidR="00D1328F" w:rsidRPr="00567235">
        <w:t xml:space="preserve">), </w:t>
      </w:r>
      <w:r w:rsidR="00D1328F" w:rsidRPr="00567235">
        <w:rPr>
          <w:lang w:val="en-US"/>
        </w:rPr>
        <w:t>SEP</w:t>
      </w:r>
      <w:r w:rsidR="00D1328F" w:rsidRPr="00567235">
        <w:t>/</w:t>
      </w:r>
      <w:r w:rsidR="00D1328F" w:rsidRPr="00567235">
        <w:rPr>
          <w:lang w:val="en-US"/>
        </w:rPr>
        <w:t>FRAND</w:t>
      </w:r>
      <w:r w:rsidR="00D1328F" w:rsidRPr="00567235">
        <w:rPr>
          <w:shd w:val="clear" w:color="auto" w:fill="FFFFFF"/>
        </w:rPr>
        <w:t xml:space="preserve">, </w:t>
      </w:r>
      <w:r w:rsidRPr="00567235">
        <w:t xml:space="preserve">наук о жизни, научных исследований, оценки </w:t>
      </w:r>
      <w:r w:rsidR="00C529C2">
        <w:t>ИС</w:t>
      </w:r>
      <w:r w:rsidRPr="00567235">
        <w:t>, зеленых технологий и экологически устойчивого развития, моды, искусства и культурного наследия. Мероприятия центра также были ориентированы на конкретные аудитории, такие как малые и средние предприятия, предприниматели, молодежь и женщины. За период, прошедший после Ассамблей ВОИС 2023 года, Центр организовал или принял участие более чем в 40 мероприятиях, имевших около 3,5 тыс. зарегистрирова</w:t>
      </w:r>
      <w:r w:rsidR="00C529C2">
        <w:t xml:space="preserve">нных </w:t>
      </w:r>
      <w:r w:rsidRPr="00567235">
        <w:t xml:space="preserve">участников из более чем 140 стран. </w:t>
      </w:r>
    </w:p>
    <w:p w14:paraId="3EDBAB10" w14:textId="1D757604" w:rsidR="00F67D83" w:rsidRDefault="00CA0EF6" w:rsidP="006E79F5">
      <w:pPr>
        <w:pStyle w:val="ListParagraph"/>
        <w:widowControl w:val="0"/>
        <w:numPr>
          <w:ilvl w:val="0"/>
          <w:numId w:val="7"/>
        </w:numPr>
        <w:spacing w:after="240"/>
        <w:ind w:left="0" w:firstLine="0"/>
        <w:contextualSpacing w:val="0"/>
      </w:pPr>
      <w:r>
        <w:t xml:space="preserve">В рамках </w:t>
      </w:r>
      <w:hyperlink r:id="rId23" w:history="1">
        <w:r w:rsidR="00C529C2">
          <w:rPr>
            <w:rStyle w:val="Hyperlink"/>
          </w:rPr>
          <w:t>Обязательств ВОИС о посредничестве в урегулировании споров в области ИС и технологий</w:t>
        </w:r>
      </w:hyperlink>
      <w:r>
        <w:t xml:space="preserve"> подписавшие </w:t>
      </w:r>
      <w:r w:rsidR="00567235">
        <w:t xml:space="preserve">их </w:t>
      </w:r>
      <w:r w:rsidR="00C529C2">
        <w:t>стороны и участники этой инициативы</w:t>
      </w:r>
      <w:r w:rsidR="00567235">
        <w:t xml:space="preserve"> </w:t>
      </w:r>
      <w:r>
        <w:t>обязуются развивать посредничество в качестве альтернативы судебному разбирательству</w:t>
      </w:r>
      <w:r w:rsidR="00567235">
        <w:t xml:space="preserve"> </w:t>
      </w:r>
      <w:r w:rsidR="00C529C2">
        <w:t xml:space="preserve">для </w:t>
      </w:r>
      <w:r w:rsidR="00567235">
        <w:t xml:space="preserve">ограничения </w:t>
      </w:r>
      <w:r w:rsidR="00C529C2">
        <w:t>негативного</w:t>
      </w:r>
      <w:r w:rsidR="00567235">
        <w:t xml:space="preserve"> влияния</w:t>
      </w:r>
      <w:r>
        <w:t xml:space="preserve"> споров </w:t>
      </w:r>
      <w:r w:rsidR="00C529C2">
        <w:t xml:space="preserve">на </w:t>
      </w:r>
      <w:r>
        <w:t>процессы</w:t>
      </w:r>
      <w:r w:rsidR="00567235">
        <w:t xml:space="preserve"> инноваций и творчества</w:t>
      </w:r>
      <w:r w:rsidR="00C529C2">
        <w:t xml:space="preserve">. Документ </w:t>
      </w:r>
      <w:r w:rsidR="00567235" w:rsidRPr="00567235">
        <w:t xml:space="preserve">подписали </w:t>
      </w:r>
      <w:r w:rsidR="00567235">
        <w:t>более</w:t>
      </w:r>
      <w:r w:rsidR="00567235" w:rsidRPr="00567235">
        <w:t xml:space="preserve"> </w:t>
      </w:r>
      <w:r w:rsidRPr="00567235">
        <w:t xml:space="preserve">930 </w:t>
      </w:r>
      <w:r w:rsidR="00567235">
        <w:t>участников</w:t>
      </w:r>
      <w:r w:rsidRPr="00567235">
        <w:t xml:space="preserve">, </w:t>
      </w:r>
      <w:r w:rsidR="00567235">
        <w:t>включая</w:t>
      </w:r>
      <w:r w:rsidR="00567235" w:rsidRPr="00567235">
        <w:t xml:space="preserve"> </w:t>
      </w:r>
      <w:r w:rsidRPr="00567235">
        <w:t xml:space="preserve">37 </w:t>
      </w:r>
      <w:r w:rsidR="00567235" w:rsidRPr="00B05182">
        <w:t>ведомств</w:t>
      </w:r>
      <w:r w:rsidR="00567235" w:rsidRPr="00567235">
        <w:t xml:space="preserve"> </w:t>
      </w:r>
      <w:r w:rsidR="00567235">
        <w:t>ИС</w:t>
      </w:r>
      <w:r w:rsidR="00567235" w:rsidRPr="00567235">
        <w:t xml:space="preserve"> </w:t>
      </w:r>
      <w:r w:rsidR="00567235">
        <w:t xml:space="preserve">и ассоциаций организаций АУС из </w:t>
      </w:r>
      <w:r w:rsidR="00567235" w:rsidRPr="00567235">
        <w:t>государств-членов</w:t>
      </w:r>
      <w:r w:rsidR="00567235">
        <w:t xml:space="preserve"> ВОИС</w:t>
      </w:r>
      <w:r w:rsidRPr="00567235">
        <w:t>.</w:t>
      </w:r>
    </w:p>
    <w:p w14:paraId="1CA6687F" w14:textId="77777777" w:rsidR="00F67D83" w:rsidRDefault="00F67D83">
      <w:pPr>
        <w:rPr>
          <w:rFonts w:eastAsia="Times New Roman" w:cs="Times New Roman"/>
          <w:lang w:eastAsia="en-US"/>
        </w:rPr>
      </w:pPr>
      <w:r>
        <w:br w:type="page"/>
      </w:r>
    </w:p>
    <w:p w14:paraId="3C76A575" w14:textId="77777777" w:rsidR="009A1BB6" w:rsidRPr="005B4F4B" w:rsidRDefault="009A1BB6" w:rsidP="009A1BB6">
      <w:pPr>
        <w:pStyle w:val="Heading2"/>
        <w:keepNext w:val="0"/>
        <w:widowControl w:val="0"/>
        <w:spacing w:after="220"/>
      </w:pPr>
      <w:r>
        <w:lastRenderedPageBreak/>
        <w:t>II.</w:t>
      </w:r>
      <w:r>
        <w:tab/>
        <w:t>РАССМОТРЕНИЕ СПОРОВ, СВЯЗАННЫХ С ДОМЕННЫМИ ИМЕНАМИ</w:t>
      </w:r>
    </w:p>
    <w:p w14:paraId="2EB644CF" w14:textId="77777777" w:rsidR="009A1BB6" w:rsidRPr="005B4F4B" w:rsidRDefault="009A1BB6" w:rsidP="009A1BB6">
      <w:pPr>
        <w:pStyle w:val="Heading3"/>
        <w:keepNext w:val="0"/>
        <w:widowControl w:val="0"/>
        <w:spacing w:after="220"/>
        <w:ind w:firstLine="567"/>
        <w:rPr>
          <w:u w:val="none"/>
        </w:rPr>
      </w:pPr>
      <w:r>
        <w:rPr>
          <w:u w:val="none"/>
        </w:rPr>
        <w:t>A.</w:t>
      </w:r>
      <w:r>
        <w:rPr>
          <w:u w:val="none"/>
        </w:rPr>
        <w:tab/>
        <w:t>ЕПУС</w:t>
      </w:r>
    </w:p>
    <w:p w14:paraId="217A81BB" w14:textId="61B6F764" w:rsidR="009A1BB6" w:rsidRDefault="009A1BB6" w:rsidP="009A1BB6">
      <w:pPr>
        <w:pStyle w:val="ListParagraph"/>
        <w:numPr>
          <w:ilvl w:val="0"/>
          <w:numId w:val="7"/>
        </w:numPr>
        <w:spacing w:before="240" w:after="240"/>
        <w:ind w:left="0" w:firstLine="0"/>
        <w:contextualSpacing w:val="0"/>
        <w:rPr>
          <w:rFonts w:cs="Arial"/>
          <w:szCs w:val="24"/>
        </w:rPr>
      </w:pPr>
      <w:r>
        <w:t xml:space="preserve">Существование системы доменных имен (DNS) </w:t>
      </w:r>
      <w:r w:rsidR="00567235">
        <w:t xml:space="preserve">порождает </w:t>
      </w:r>
      <w:r>
        <w:t>ряд проблем</w:t>
      </w:r>
      <w:r w:rsidR="00567235">
        <w:t xml:space="preserve"> в области охраны</w:t>
      </w:r>
      <w:r>
        <w:t xml:space="preserve"> ИС, решение которых, в силу глобальной природы интернета, требует международного подхода. ВОИС занимается </w:t>
      </w:r>
      <w:r w:rsidR="00C529C2">
        <w:t>этими</w:t>
      </w:r>
      <w:r>
        <w:t xml:space="preserve"> проблем</w:t>
      </w:r>
      <w:r w:rsidR="00C529C2">
        <w:t>ами</w:t>
      </w:r>
      <w:r>
        <w:t xml:space="preserve"> с 1998 года, разрабатывая конкретные варианты решений, из которых особого упоминания заслуживают </w:t>
      </w:r>
      <w:hyperlink r:id="rId24" w:history="1">
        <w:r>
          <w:rPr>
            <w:rStyle w:val="Hyperlink"/>
          </w:rPr>
          <w:t>Первый</w:t>
        </w:r>
      </w:hyperlink>
      <w:r>
        <w:t xml:space="preserve"> и </w:t>
      </w:r>
      <w:hyperlink r:id="rId25" w:history="1">
        <w:r>
          <w:rPr>
            <w:rStyle w:val="Hyperlink"/>
          </w:rPr>
          <w:t>Второй</w:t>
        </w:r>
      </w:hyperlink>
      <w:r>
        <w:t xml:space="preserve"> процессы ВОИС по доменным именам в интернете. Действуя через Центр, ВОИС предлагает владельцам товарных знаков эффективные международные механизмы </w:t>
      </w:r>
      <w:r w:rsidR="00C529C2">
        <w:t xml:space="preserve">борьбы с </w:t>
      </w:r>
      <w:r>
        <w:t>недобросовестной регистрац</w:t>
      </w:r>
      <w:r w:rsidR="00C529C2">
        <w:t>ией и использованием</w:t>
      </w:r>
      <w:r>
        <w:t xml:space="preserve"> доменных имен, </w:t>
      </w:r>
      <w:r w:rsidR="00C529C2" w:rsidRPr="00C529C2">
        <w:t>соответствующ</w:t>
      </w:r>
      <w:r w:rsidR="00C529C2">
        <w:t xml:space="preserve">их </w:t>
      </w:r>
      <w:r>
        <w:t xml:space="preserve">их </w:t>
      </w:r>
      <w:r w:rsidR="00C529C2">
        <w:t xml:space="preserve">товарным знакам. </w:t>
      </w:r>
      <w:r>
        <w:t xml:space="preserve">Главный из </w:t>
      </w:r>
      <w:r w:rsidR="00C529C2">
        <w:t xml:space="preserve">этих </w:t>
      </w:r>
      <w:r>
        <w:t>механизмов</w:t>
      </w:r>
      <w:r w:rsidR="00C529C2">
        <w:t>, находящихся в ведении ВОИС,</w:t>
      </w:r>
      <w:r w:rsidR="00567235">
        <w:t xml:space="preserve"> </w:t>
      </w:r>
      <w:r w:rsidR="00567235" w:rsidRPr="00567235">
        <w:t>Единая политика урегулирования споров в области доменных имен (ЕПУС)</w:t>
      </w:r>
      <w:r>
        <w:t>,</w:t>
      </w:r>
      <w:r w:rsidR="00C529C2">
        <w:t xml:space="preserve"> был принят</w:t>
      </w:r>
      <w:r>
        <w:t xml:space="preserve"> ICANN на основе рекомендаций, </w:t>
      </w:r>
      <w:r w:rsidR="00C529C2">
        <w:t>выработанных</w:t>
      </w:r>
      <w:r>
        <w:t xml:space="preserve"> ВОИС в рамках </w:t>
      </w:r>
      <w:r w:rsidR="00C529C2">
        <w:t xml:space="preserve">ее </w:t>
      </w:r>
      <w:r>
        <w:t>Первого процесса.</w:t>
      </w:r>
    </w:p>
    <w:p w14:paraId="73CFB62D" w14:textId="433DB4FC" w:rsidR="00A3146E" w:rsidRPr="005B4F4B" w:rsidRDefault="00A3146E" w:rsidP="009A1BB6">
      <w:pPr>
        <w:pStyle w:val="ListParagraph"/>
        <w:numPr>
          <w:ilvl w:val="0"/>
          <w:numId w:val="7"/>
        </w:numPr>
        <w:spacing w:before="240" w:after="240"/>
        <w:ind w:left="0" w:firstLine="0"/>
        <w:contextualSpacing w:val="0"/>
        <w:rPr>
          <w:rFonts w:cs="Arial"/>
          <w:szCs w:val="24"/>
        </w:rPr>
      </w:pPr>
      <w:r>
        <w:t>Киберсквоттинг — неправомерное использование товарн</w:t>
      </w:r>
      <w:r w:rsidR="00567235">
        <w:t>ых знаков в доменных именах</w:t>
      </w:r>
      <w:r>
        <w:t xml:space="preserve"> — </w:t>
      </w:r>
      <w:r w:rsidR="00567235">
        <w:t xml:space="preserve">это </w:t>
      </w:r>
      <w:r w:rsidR="00C529C2">
        <w:t>обще</w:t>
      </w:r>
      <w:r w:rsidR="00567235">
        <w:t xml:space="preserve">мировая проблема. </w:t>
      </w:r>
      <w:r w:rsidR="00567235" w:rsidRPr="00567235">
        <w:t xml:space="preserve">В течение 2023 года поименованными сторонами споров, рассматриваемых ВОИС, были представители 138 стран, а с момента принятия ЕПУС </w:t>
      </w:r>
      <w:r w:rsidR="00567235">
        <w:t>‒</w:t>
      </w:r>
      <w:r w:rsidR="00567235" w:rsidRPr="00567235">
        <w:t xml:space="preserve"> 185 стран</w:t>
      </w:r>
      <w:r w:rsidRPr="00567235">
        <w:t xml:space="preserve">. </w:t>
      </w:r>
      <w:r w:rsidR="00C529C2">
        <w:t>Если говорить о языках</w:t>
      </w:r>
      <w:r>
        <w:t xml:space="preserve"> соглашений о регистрации </w:t>
      </w:r>
      <w:r w:rsidR="00C529C2" w:rsidRPr="00C529C2">
        <w:t>соответствующ</w:t>
      </w:r>
      <w:r w:rsidR="00C529C2">
        <w:t xml:space="preserve">их </w:t>
      </w:r>
      <w:r>
        <w:t>доменных имен</w:t>
      </w:r>
      <w:r w:rsidR="00C529C2">
        <w:t>,</w:t>
      </w:r>
      <w:r w:rsidR="00567235">
        <w:t xml:space="preserve"> </w:t>
      </w:r>
      <w:r>
        <w:t xml:space="preserve">процедуры ВОИС на основе ЕПУС </w:t>
      </w:r>
      <w:r w:rsidR="00C529C2">
        <w:t xml:space="preserve">к настоящему времени </w:t>
      </w:r>
      <w:r>
        <w:t>проводились на 29 языках</w:t>
      </w:r>
      <w:r w:rsidRPr="008F3BF2">
        <w:rPr>
          <w:rStyle w:val="FootnoteReference"/>
          <w:rFonts w:eastAsia="SimSun" w:cs="Arial"/>
          <w:szCs w:val="24"/>
        </w:rPr>
        <w:footnoteReference w:id="24"/>
      </w:r>
      <w:r>
        <w:t>.</w:t>
      </w:r>
    </w:p>
    <w:p w14:paraId="028CD4FC" w14:textId="09A9F32C" w:rsidR="00284BD5" w:rsidRDefault="009A1BB6" w:rsidP="00BD5AF2">
      <w:pPr>
        <w:pStyle w:val="ListParagraph"/>
        <w:numPr>
          <w:ilvl w:val="0"/>
          <w:numId w:val="7"/>
        </w:numPr>
        <w:spacing w:after="240"/>
        <w:ind w:left="0" w:firstLine="0"/>
        <w:contextualSpacing w:val="0"/>
      </w:pPr>
      <w:r>
        <w:t xml:space="preserve">Поскольку во время пандемии COVID-19 и после нее больше людей </w:t>
      </w:r>
      <w:r w:rsidR="00C529C2">
        <w:t xml:space="preserve">проводили и </w:t>
      </w:r>
      <w:r>
        <w:t xml:space="preserve">проводят больше времени в сети, нарушители </w:t>
      </w:r>
      <w:r w:rsidR="00C529C2">
        <w:t xml:space="preserve">находили и находят все больше мишеней </w:t>
      </w:r>
      <w:r>
        <w:t xml:space="preserve">для </w:t>
      </w:r>
      <w:r w:rsidR="00C529C2">
        <w:t xml:space="preserve">своей </w:t>
      </w:r>
      <w:r>
        <w:t xml:space="preserve">незаконной деятельности. </w:t>
      </w:r>
      <w:r w:rsidR="00567235" w:rsidRPr="00F05C7D">
        <w:t xml:space="preserve">По мере того, как владельцы товарных знаков все </w:t>
      </w:r>
      <w:r w:rsidR="00567235">
        <w:t>чаще продают свои товары</w:t>
      </w:r>
      <w:r w:rsidR="00567235" w:rsidRPr="00F05C7D">
        <w:t xml:space="preserve"> и услуг</w:t>
      </w:r>
      <w:r w:rsidR="00567235">
        <w:t>и</w:t>
      </w:r>
      <w:r w:rsidR="00567235" w:rsidRPr="00F05C7D">
        <w:t xml:space="preserve"> онлайн</w:t>
      </w:r>
      <w:r w:rsidR="00567235">
        <w:t xml:space="preserve">, они </w:t>
      </w:r>
      <w:r w:rsidR="00567235" w:rsidRPr="00F05C7D">
        <w:t>продолжают у</w:t>
      </w:r>
      <w:r w:rsidR="00567235">
        <w:t>креплять охрану своих брендов в Интернете</w:t>
      </w:r>
      <w:r w:rsidR="00567235" w:rsidRPr="00F05C7D">
        <w:t>.</w:t>
      </w:r>
      <w:r w:rsidR="00567235">
        <w:t xml:space="preserve"> </w:t>
      </w:r>
      <w:r w:rsidR="00567235" w:rsidRPr="00A535DF">
        <w:t>Процедур</w:t>
      </w:r>
      <w:r w:rsidR="00567235">
        <w:t xml:space="preserve">а </w:t>
      </w:r>
      <w:r w:rsidR="00567235" w:rsidRPr="00F05C7D">
        <w:t xml:space="preserve">ЕПУС, </w:t>
      </w:r>
      <w:r w:rsidR="00567235">
        <w:t>применение которой ограничено</w:t>
      </w:r>
      <w:r w:rsidR="00567235" w:rsidRPr="00F05C7D">
        <w:t xml:space="preserve"> </w:t>
      </w:r>
      <w:r w:rsidR="00567235">
        <w:t>случаями явной</w:t>
      </w:r>
      <w:r w:rsidR="00567235" w:rsidRPr="00F05C7D">
        <w:t xml:space="preserve"> недобросовестности, по-прежнему пользуется большим спросом</w:t>
      </w:r>
      <w:r w:rsidRPr="00D432CB">
        <w:rPr>
          <w:rStyle w:val="FootnoteReference"/>
          <w:rFonts w:eastAsia="SimSun" w:cs="Arial"/>
          <w:szCs w:val="24"/>
        </w:rPr>
        <w:footnoteReference w:id="25"/>
      </w:r>
      <w:r w:rsidR="00567235" w:rsidRPr="00567235">
        <w:t>.</w:t>
      </w:r>
      <w:r w:rsidRPr="00567235">
        <w:t xml:space="preserve"> </w:t>
      </w:r>
      <w:r w:rsidR="00567235" w:rsidRPr="00F05C7D">
        <w:t>С</w:t>
      </w:r>
      <w:r w:rsidR="00567235" w:rsidRPr="00567235">
        <w:t xml:space="preserve"> </w:t>
      </w:r>
      <w:r w:rsidR="00567235" w:rsidRPr="00F05C7D">
        <w:t>декабря</w:t>
      </w:r>
      <w:r w:rsidR="00567235" w:rsidRPr="00567235">
        <w:t xml:space="preserve"> 1999</w:t>
      </w:r>
      <w:r w:rsidR="00ED1345">
        <w:t> </w:t>
      </w:r>
      <w:r w:rsidR="00567235" w:rsidRPr="00F05C7D">
        <w:t>года</w:t>
      </w:r>
      <w:r w:rsidR="00567235" w:rsidRPr="00567235">
        <w:t xml:space="preserve"> </w:t>
      </w:r>
      <w:r w:rsidR="00567235" w:rsidRPr="00F05C7D">
        <w:t>В</w:t>
      </w:r>
      <w:r w:rsidR="00567235" w:rsidRPr="00567235">
        <w:t>ОИС рассмотрела по процедуре ЕПУС более 68 тыс. дел</w:t>
      </w:r>
      <w:r w:rsidRPr="00567235">
        <w:rPr>
          <w:rFonts w:cs="Arial"/>
          <w:vertAlign w:val="superscript"/>
        </w:rPr>
        <w:footnoteReference w:id="26"/>
      </w:r>
      <w:r w:rsidR="00567235" w:rsidRPr="00567235">
        <w:t>.</w:t>
      </w:r>
      <w:r w:rsidRPr="00567235">
        <w:t xml:space="preserve"> </w:t>
      </w:r>
      <w:r w:rsidR="00567235" w:rsidRPr="00567235">
        <w:t>Предприятия активно реагировали на распространение веб-сайтов, используемых для продажи контрафактной продукции, мошенничества, фишинга и других форм злоупотребления товарными знаками в Интернете: в 2023 году число жалоб, поданных правообладателями в ВОИС по процедуре ЕПУС, достигло рекорда (6192), превысив число жалоб, поданных в 2022</w:t>
      </w:r>
      <w:r w:rsidR="00ED1345">
        <w:t> </w:t>
      </w:r>
      <w:r w:rsidR="00567235" w:rsidRPr="00567235">
        <w:t xml:space="preserve">году, почти на 8%; при этом общий рост числа подаваемых жалоб отмечается 11 лет подряд. </w:t>
      </w:r>
      <w:r w:rsidRPr="00567235">
        <w:t xml:space="preserve">Общее число доменных имен, </w:t>
      </w:r>
      <w:r w:rsidR="00C529C2" w:rsidRPr="00C529C2">
        <w:t>фигурир</w:t>
      </w:r>
      <w:r w:rsidR="00C529C2">
        <w:t>овавших в спорах</w:t>
      </w:r>
      <w:r w:rsidRPr="00567235">
        <w:t xml:space="preserve">, </w:t>
      </w:r>
      <w:r w:rsidR="00C529C2" w:rsidRPr="004D0E14">
        <w:t>рассматр</w:t>
      </w:r>
      <w:r w:rsidR="00C529C2">
        <w:t xml:space="preserve">ивавшихся </w:t>
      </w:r>
      <w:r w:rsidRPr="00567235">
        <w:t xml:space="preserve">на основе ЕПУС ВОИС, превысило 124 000. </w:t>
      </w:r>
      <w:r w:rsidR="00567235" w:rsidRPr="00567235">
        <w:t xml:space="preserve">О </w:t>
      </w:r>
      <w:r w:rsidR="00C529C2">
        <w:t>масштабах</w:t>
      </w:r>
      <w:r w:rsidR="00567235" w:rsidRPr="00567235">
        <w:t xml:space="preserve"> рисков для потребителей можно судить </w:t>
      </w:r>
      <w:r w:rsidR="00C529C2">
        <w:t xml:space="preserve">и </w:t>
      </w:r>
      <w:r w:rsidR="00567235" w:rsidRPr="00567235">
        <w:t>по основным секторам коммерческой деятельности, к которым относятся предприятия-заявители: это банковское дело и финансы, биотехнология и фармацевтика, мода, розничная торговля, Интернет и информационные технологии.</w:t>
      </w:r>
      <w:r w:rsidRPr="00567235">
        <w:t xml:space="preserve"> </w:t>
      </w:r>
    </w:p>
    <w:p w14:paraId="57E28E0A" w14:textId="77777777" w:rsidR="00284BD5" w:rsidRDefault="00284BD5">
      <w:pPr>
        <w:rPr>
          <w:rFonts w:eastAsia="Times New Roman" w:cs="Times New Roman"/>
          <w:lang w:eastAsia="en-US"/>
        </w:rPr>
      </w:pPr>
      <w:r>
        <w:br w:type="page"/>
      </w:r>
    </w:p>
    <w:p w14:paraId="6FD38C1B" w14:textId="6E32422E" w:rsidR="009A1BB6" w:rsidRPr="005B4F4B" w:rsidRDefault="009A1BB6" w:rsidP="009A1BB6">
      <w:pPr>
        <w:pStyle w:val="ListParagraph"/>
        <w:numPr>
          <w:ilvl w:val="0"/>
          <w:numId w:val="7"/>
        </w:numPr>
        <w:spacing w:after="240"/>
        <w:ind w:left="0" w:firstLine="0"/>
        <w:contextualSpacing w:val="0"/>
        <w:rPr>
          <w:rFonts w:cs="Arial"/>
          <w:szCs w:val="24"/>
        </w:rPr>
      </w:pPr>
      <w:r>
        <w:lastRenderedPageBreak/>
        <w:t xml:space="preserve">Все решения экспертных комиссий ЕПУС ВОИС публикуются на веб-сайте Центра.  </w:t>
      </w:r>
      <w:r w:rsidR="00C529C2">
        <w:t>Бесплатное о</w:t>
      </w:r>
      <w:r>
        <w:t xml:space="preserve">нлайновое издание Центра </w:t>
      </w:r>
      <w:hyperlink r:id="rId26" w:history="1">
        <w:r w:rsidR="00C529C2" w:rsidRPr="00F668B1">
          <w:rPr>
            <w:rStyle w:val="Hyperlink"/>
          </w:rPr>
          <w:t>«Обзор мнений экспертных комиссий ВОИС по отдельным вопросам споров, рассмотренных на основе ЕПУС»</w:t>
        </w:r>
      </w:hyperlink>
      <w:r>
        <w:t xml:space="preserve"> </w:t>
      </w:r>
      <w:r w:rsidR="00C529C2">
        <w:t>остается необычайно ценным материалом для специалистов из самых разных стран: в нем дается правовой анализ</w:t>
      </w:r>
      <w:r>
        <w:t xml:space="preserve"> общих тенденций</w:t>
      </w:r>
      <w:r w:rsidR="00C529C2">
        <w:t>, наблюдающихся при принятии решений по важным спорным вопросам</w:t>
      </w:r>
      <w:r>
        <w:t xml:space="preserve">, </w:t>
      </w:r>
      <w:r w:rsidR="00C529C2">
        <w:t>охвачено более 100 тем и содержатся</w:t>
      </w:r>
      <w:r>
        <w:t xml:space="preserve"> ссылки на почти 1 000 </w:t>
      </w:r>
      <w:r w:rsidR="00C529C2">
        <w:t xml:space="preserve">репрезентативных </w:t>
      </w:r>
      <w:r>
        <w:t>решений, принятых более чем 265 экспертами ВОИС</w:t>
      </w:r>
      <w:r w:rsidRPr="005B4F4B">
        <w:rPr>
          <w:rStyle w:val="FootnoteReference"/>
          <w:rFonts w:cs="Arial"/>
          <w:szCs w:val="24"/>
        </w:rPr>
        <w:footnoteReference w:id="27"/>
      </w:r>
      <w:r>
        <w:t xml:space="preserve">. </w:t>
      </w:r>
      <w:r w:rsidR="00C529C2">
        <w:t xml:space="preserve">Чтобы облегчить </w:t>
      </w:r>
      <w:r w:rsidR="001E0FAF">
        <w:t>поиск решений</w:t>
      </w:r>
      <w:r>
        <w:t xml:space="preserve"> по </w:t>
      </w:r>
      <w:r w:rsidR="00C529C2">
        <w:t xml:space="preserve">конкретным </w:t>
      </w:r>
      <w:r w:rsidR="001E0FAF">
        <w:t>темам</w:t>
      </w:r>
      <w:r w:rsidR="00C529C2">
        <w:t xml:space="preserve">, </w:t>
      </w:r>
      <w:r>
        <w:t xml:space="preserve">Центр также публикует </w:t>
      </w:r>
      <w:hyperlink r:id="rId27" w:history="1">
        <w:r w:rsidR="00C529C2">
          <w:rPr>
            <w:rStyle w:val="Hyperlink"/>
          </w:rPr>
          <w:t>«Юридический указатель решений по процедуре ЕПУС ВОИС»</w:t>
        </w:r>
      </w:hyperlink>
      <w:r>
        <w:t xml:space="preserve"> с возможностью онлайнового контекстного поиска. </w:t>
      </w:r>
    </w:p>
    <w:p w14:paraId="21B2C95F" w14:textId="77777777" w:rsidR="009A1BB6" w:rsidRPr="00567235" w:rsidRDefault="00567235" w:rsidP="009A1BB6">
      <w:pPr>
        <w:pStyle w:val="ListParagraph"/>
        <w:numPr>
          <w:ilvl w:val="0"/>
          <w:numId w:val="7"/>
        </w:numPr>
        <w:spacing w:after="240"/>
        <w:ind w:left="0" w:firstLine="0"/>
        <w:contextualSpacing w:val="0"/>
        <w:rPr>
          <w:rFonts w:cs="Arial"/>
          <w:szCs w:val="24"/>
        </w:rPr>
      </w:pPr>
      <w:r w:rsidRPr="005F0D70">
        <w:t>Учитывая</w:t>
      </w:r>
      <w:r w:rsidRPr="00567235">
        <w:t xml:space="preserve"> </w:t>
      </w:r>
      <w:r w:rsidRPr="005F0D70">
        <w:t>роль</w:t>
      </w:r>
      <w:r w:rsidRPr="00567235">
        <w:t xml:space="preserve"> </w:t>
      </w:r>
      <w:r w:rsidRPr="005F0D70">
        <w:t>ВОИС</w:t>
      </w:r>
      <w:r w:rsidRPr="00567235">
        <w:t xml:space="preserve"> </w:t>
      </w:r>
      <w:r w:rsidR="001E0FAF">
        <w:t xml:space="preserve">как одного из создателей </w:t>
      </w:r>
      <w:r w:rsidRPr="005F0D70">
        <w:t>ЕПУС</w:t>
      </w:r>
      <w:r w:rsidRPr="00567235">
        <w:t xml:space="preserve">, </w:t>
      </w:r>
      <w:r w:rsidRPr="005F0D70">
        <w:t>Центр</w:t>
      </w:r>
      <w:r w:rsidRPr="00567235">
        <w:t xml:space="preserve"> </w:t>
      </w:r>
      <w:r>
        <w:t>пристально</w:t>
      </w:r>
      <w:r w:rsidRPr="00567235">
        <w:t xml:space="preserve"> </w:t>
      </w:r>
      <w:r>
        <w:t>следит</w:t>
      </w:r>
      <w:r w:rsidRPr="00567235">
        <w:t xml:space="preserve"> </w:t>
      </w:r>
      <w:r>
        <w:t>за</w:t>
      </w:r>
      <w:r w:rsidRPr="00567235">
        <w:t xml:space="preserve"> </w:t>
      </w:r>
      <w:r>
        <w:t>новыми</w:t>
      </w:r>
      <w:r w:rsidRPr="00567235">
        <w:t xml:space="preserve"> </w:t>
      </w:r>
      <w:r>
        <w:t>явлениями</w:t>
      </w:r>
      <w:r w:rsidRPr="00567235">
        <w:t xml:space="preserve"> </w:t>
      </w:r>
      <w:r w:rsidRPr="005F0D70">
        <w:t>в</w:t>
      </w:r>
      <w:r w:rsidRPr="00567235">
        <w:t xml:space="preserve"> </w:t>
      </w:r>
      <w:r w:rsidRPr="00567235">
        <w:rPr>
          <w:lang w:val="en-US"/>
        </w:rPr>
        <w:t>DNS</w:t>
      </w:r>
      <w:r w:rsidRPr="00567235">
        <w:t xml:space="preserve"> </w:t>
      </w:r>
      <w:r>
        <w:t>для</w:t>
      </w:r>
      <w:r w:rsidRPr="00567235">
        <w:t xml:space="preserve"> </w:t>
      </w:r>
      <w:r w:rsidR="001E0FAF">
        <w:t xml:space="preserve">пополнения </w:t>
      </w:r>
      <w:r w:rsidRPr="005F0D70">
        <w:t>своих</w:t>
      </w:r>
      <w:r w:rsidRPr="00567235">
        <w:t xml:space="preserve"> </w:t>
      </w:r>
      <w:r w:rsidRPr="005F0D70">
        <w:t>ресурсов</w:t>
      </w:r>
      <w:r w:rsidRPr="00567235">
        <w:t xml:space="preserve"> </w:t>
      </w:r>
      <w:r w:rsidRPr="005F0D70">
        <w:t>и</w:t>
      </w:r>
      <w:r w:rsidRPr="00567235">
        <w:t xml:space="preserve"> </w:t>
      </w:r>
      <w:r w:rsidR="001E0FAF">
        <w:t xml:space="preserve">совершенствования </w:t>
      </w:r>
      <w:r>
        <w:t>своей работы</w:t>
      </w:r>
      <w:r w:rsidR="009A1BB6" w:rsidRPr="005B4F4B">
        <w:rPr>
          <w:rStyle w:val="FootnoteReference"/>
          <w:rFonts w:eastAsia="SimSun" w:cs="Arial"/>
          <w:szCs w:val="24"/>
        </w:rPr>
        <w:footnoteReference w:id="28"/>
      </w:r>
      <w:r w:rsidR="009A1BB6" w:rsidRPr="00567235">
        <w:t xml:space="preserve"> </w:t>
      </w:r>
      <w:r>
        <w:t xml:space="preserve">и проводит </w:t>
      </w:r>
      <w:hyperlink r:id="rId28" w:history="1">
        <w:r w:rsidRPr="00A3463A">
          <w:rPr>
            <w:rStyle w:val="Hyperlink"/>
          </w:rPr>
          <w:t>семинары-практикумы по вопросам урегулирования споров в области доменных имен</w:t>
        </w:r>
      </w:hyperlink>
      <w:r w:rsidR="009A1BB6" w:rsidRPr="00567235">
        <w:t xml:space="preserve"> </w:t>
      </w:r>
      <w:r w:rsidRPr="00567235">
        <w:t>для заинтересованных сторон</w:t>
      </w:r>
      <w:r w:rsidR="009A1BB6" w:rsidRPr="00567235">
        <w:t xml:space="preserve">, </w:t>
      </w:r>
      <w:r>
        <w:t xml:space="preserve">а также </w:t>
      </w:r>
      <w:r w:rsidR="001E0FAF">
        <w:t xml:space="preserve">важные </w:t>
      </w:r>
      <w:r>
        <w:t>встречи</w:t>
      </w:r>
      <w:r w:rsidRPr="00F05C7D">
        <w:t xml:space="preserve"> своих экспертов по доменным именам</w:t>
      </w:r>
      <w:r w:rsidR="009A1BB6" w:rsidRPr="00567235">
        <w:t>.</w:t>
      </w:r>
    </w:p>
    <w:p w14:paraId="62E3F8BB" w14:textId="77777777" w:rsidR="009A1BB6" w:rsidRPr="005B4F4B" w:rsidRDefault="009A1BB6" w:rsidP="009A1BB6">
      <w:pPr>
        <w:pStyle w:val="Heading3"/>
        <w:spacing w:after="240"/>
        <w:ind w:firstLine="562"/>
        <w:rPr>
          <w:u w:val="none"/>
        </w:rPr>
      </w:pPr>
      <w:r>
        <w:rPr>
          <w:u w:val="none"/>
        </w:rPr>
        <w:t>В.</w:t>
      </w:r>
      <w:r>
        <w:rPr>
          <w:u w:val="none"/>
        </w:rPr>
        <w:tab/>
        <w:t>НАЦИОНАЛЬНЫЕ ДОМЕНЫ ВЕРХНЕГО УРОВНЯ (НДВУ)</w:t>
      </w:r>
    </w:p>
    <w:p w14:paraId="5ECA191D" w14:textId="1ACE29FC" w:rsidR="00C10C49" w:rsidRDefault="004B7021" w:rsidP="009A1BB6">
      <w:r>
        <w:t>33.</w:t>
      </w:r>
      <w:r>
        <w:tab/>
        <w:t xml:space="preserve">Хотя обязательное применение ЕПУС ограничивается доменными именами, зарегистрированными в рДВУ (таких, как .com), ВОИС также </w:t>
      </w:r>
      <w:hyperlink r:id="rId29" w:history="1">
        <w:r w:rsidR="0095142D">
          <w:rPr>
            <w:rStyle w:val="Hyperlink"/>
          </w:rPr>
          <w:t>оказывает помощь национальным реестрам нДВУ</w:t>
        </w:r>
      </w:hyperlink>
      <w:r>
        <w:t xml:space="preserve"> в разработке условий регистрации и процедур разрешения споров, соответствующих передовому опыту </w:t>
      </w:r>
      <w:r w:rsidR="0031518D">
        <w:t xml:space="preserve">ведения реестров </w:t>
      </w:r>
      <w:r>
        <w:t xml:space="preserve">и охраны ИС. </w:t>
      </w:r>
      <w:r w:rsidR="0095142D">
        <w:t xml:space="preserve">Одни </w:t>
      </w:r>
      <w:r>
        <w:t>ре</w:t>
      </w:r>
      <w:r w:rsidR="0095142D">
        <w:t>естры нДВУ принимают</w:t>
      </w:r>
      <w:r>
        <w:t xml:space="preserve"> ЕПУС полностью, другие </w:t>
      </w:r>
      <w:r w:rsidR="0095142D">
        <w:t xml:space="preserve">разработали собственные </w:t>
      </w:r>
      <w:r>
        <w:t>процедуры</w:t>
      </w:r>
      <w:r w:rsidR="0095142D">
        <w:t xml:space="preserve"> на базе на ЕПУС</w:t>
      </w:r>
      <w:r>
        <w:t xml:space="preserve">, учитывающие конкретные обстоятельства и </w:t>
      </w:r>
      <w:r w:rsidR="0095142D">
        <w:t>особенности</w:t>
      </w:r>
      <w:r>
        <w:t xml:space="preserve"> </w:t>
      </w:r>
      <w:r w:rsidR="0095142D">
        <w:t xml:space="preserve">конкретных </w:t>
      </w:r>
      <w:r>
        <w:t>нДВУ.  ВОИС оказывает услуги по рассмотрению споров примерно 83 реестрам нДВУ: в 2023 году он начал принимать к рассмотрению дела в отношении нДВУ .GA (Габон) и .MG (Мадагаскар) и восстановил процедуру рассмотрения исков в рамках политики в отношении домена .UA (Украина), в том числе применительно к дополнительным доменам третьего уровня</w:t>
      </w:r>
      <w:r w:rsidR="009A1BB6" w:rsidRPr="008F3BF2">
        <w:rPr>
          <w:vertAlign w:val="superscript"/>
        </w:rPr>
        <w:footnoteReference w:id="29"/>
      </w:r>
      <w:r>
        <w:t>.</w:t>
      </w:r>
    </w:p>
    <w:p w14:paraId="0A325F0E" w14:textId="77777777" w:rsidR="00C10C49" w:rsidRDefault="00C10C49" w:rsidP="009A1BB6"/>
    <w:p w14:paraId="497556AE" w14:textId="3C3BDA20" w:rsidR="009A1BB6" w:rsidRDefault="00FD01FE" w:rsidP="005D7022">
      <w:r w:rsidRPr="00567235">
        <w:t>34.</w:t>
      </w:r>
      <w:r w:rsidRPr="00567235">
        <w:tab/>
      </w:r>
      <w:r w:rsidR="00567235">
        <w:t>В</w:t>
      </w:r>
      <w:r w:rsidR="00567235" w:rsidRPr="00567235">
        <w:t xml:space="preserve"> </w:t>
      </w:r>
      <w:r w:rsidRPr="00567235">
        <w:t>2023</w:t>
      </w:r>
      <w:r w:rsidR="00567235" w:rsidRPr="00567235">
        <w:t xml:space="preserve"> </w:t>
      </w:r>
      <w:r w:rsidR="00567235">
        <w:t>году</w:t>
      </w:r>
      <w:r w:rsidR="00567235" w:rsidRPr="00567235">
        <w:t xml:space="preserve"> </w:t>
      </w:r>
      <w:r w:rsidR="00567235">
        <w:t>Центр</w:t>
      </w:r>
      <w:r w:rsidR="00567235" w:rsidRPr="00567235">
        <w:t xml:space="preserve"> </w:t>
      </w:r>
      <w:r w:rsidR="00567235">
        <w:t>оказ</w:t>
      </w:r>
      <w:r w:rsidR="0031518D">
        <w:t>ыв</w:t>
      </w:r>
      <w:r w:rsidR="00567235">
        <w:t>ал</w:t>
      </w:r>
      <w:r w:rsidR="00567235" w:rsidRPr="00567235">
        <w:t xml:space="preserve"> </w:t>
      </w:r>
      <w:r w:rsidR="00567235">
        <w:t>поддержку</w:t>
      </w:r>
      <w:r w:rsidR="00567235" w:rsidRPr="00567235">
        <w:t xml:space="preserve"> </w:t>
      </w:r>
      <w:r w:rsidR="00567235">
        <w:t>в разработке политики</w:t>
      </w:r>
      <w:r w:rsidR="0031518D">
        <w:t xml:space="preserve"> ряду</w:t>
      </w:r>
      <w:r w:rsidR="0031518D" w:rsidRPr="00567235">
        <w:t xml:space="preserve"> реестр</w:t>
      </w:r>
      <w:r w:rsidR="0031518D">
        <w:t>ов нДВУ</w:t>
      </w:r>
      <w:r w:rsidRPr="00567235">
        <w:t xml:space="preserve">. </w:t>
      </w:r>
      <w:r w:rsidR="0031518D">
        <w:t xml:space="preserve">Она </w:t>
      </w:r>
      <w:r>
        <w:t>включала сотрудничество с профильными органами</w:t>
      </w:r>
      <w:r w:rsidR="00567235">
        <w:t>, направленное на повышение</w:t>
      </w:r>
      <w:r>
        <w:t xml:space="preserve"> эффективности механизмов урегулирования споров в отношении доменных имен и </w:t>
      </w:r>
      <w:r w:rsidR="0031518D">
        <w:t>гармонизацию</w:t>
      </w:r>
      <w:r>
        <w:t xml:space="preserve"> таких механизмов, например путем </w:t>
      </w:r>
      <w:r w:rsidR="00567235">
        <w:t xml:space="preserve">обновления </w:t>
      </w:r>
      <w:r>
        <w:t xml:space="preserve">условий регистрации, административных </w:t>
      </w:r>
      <w:r w:rsidR="00567235" w:rsidRPr="00A535DF">
        <w:t>процедур</w:t>
      </w:r>
      <w:r>
        <w:t xml:space="preserve">, </w:t>
      </w:r>
      <w:r w:rsidR="00567235">
        <w:t>п</w:t>
      </w:r>
      <w:r>
        <w:t>олитик</w:t>
      </w:r>
      <w:r w:rsidR="00567235">
        <w:t>и</w:t>
      </w:r>
      <w:r>
        <w:t xml:space="preserve">, </w:t>
      </w:r>
      <w:r w:rsidR="00567235">
        <w:t>п</w:t>
      </w:r>
      <w:r>
        <w:t xml:space="preserve">равил и/или </w:t>
      </w:r>
      <w:r w:rsidR="00567235">
        <w:t>д</w:t>
      </w:r>
      <w:r>
        <w:t xml:space="preserve">ополнительных правил ВОИС для </w:t>
      </w:r>
      <w:r w:rsidR="00567235">
        <w:t xml:space="preserve">следующих </w:t>
      </w:r>
      <w:r>
        <w:t>нДВУ</w:t>
      </w:r>
      <w:r w:rsidR="00567235">
        <w:t>:</w:t>
      </w:r>
      <w:r>
        <w:t xml:space="preserve"> .AD (Андорра), .AI (Ангилья), .AU (Австралия), .BF (Буркина-Фасо), .BI (Бурунди), .EC (Эквадор), .EU (Европейский союз), .FR (Франция), .HT (Гаити), .LV (Латвия), .MA</w:t>
      </w:r>
      <w:r w:rsidR="003A5E43">
        <w:t> </w:t>
      </w:r>
      <w:r>
        <w:t>(Марокко), .MX</w:t>
      </w:r>
      <w:r w:rsidR="003A5E43">
        <w:t> </w:t>
      </w:r>
      <w:r>
        <w:t xml:space="preserve">(Мексика), </w:t>
      </w:r>
      <w:r w:rsidR="003A5E43">
        <w:br/>
      </w:r>
      <w:r>
        <w:t>.NL</w:t>
      </w:r>
      <w:r w:rsidR="003A5E43">
        <w:t> </w:t>
      </w:r>
      <w:r>
        <w:t>(</w:t>
      </w:r>
      <w:r w:rsidR="003A3A88">
        <w:t xml:space="preserve">Королевство </w:t>
      </w:r>
      <w:r>
        <w:t>Нидерланд</w:t>
      </w:r>
      <w:r w:rsidR="003A3A88">
        <w:t>ов</w:t>
      </w:r>
      <w:r>
        <w:t>), .PE (Перу), .RO (Румыния), .SA (Саудовская Аравия), .SE</w:t>
      </w:r>
      <w:r w:rsidR="003D4C34">
        <w:t> </w:t>
      </w:r>
      <w:r>
        <w:t>(Швеция), и</w:t>
      </w:r>
      <w:r w:rsidR="00567235">
        <w:t xml:space="preserve"> </w:t>
      </w:r>
      <w:r>
        <w:t>.TR (Турция).</w:t>
      </w:r>
    </w:p>
    <w:p w14:paraId="358B2CB3" w14:textId="722D6DB4" w:rsidR="009A255A" w:rsidRDefault="009A255A">
      <w:r>
        <w:br w:type="page"/>
      </w:r>
    </w:p>
    <w:p w14:paraId="373EA08D" w14:textId="54A76BD4" w:rsidR="009A1BB6" w:rsidRPr="004B7021" w:rsidRDefault="004B7021" w:rsidP="004B7021">
      <w:r>
        <w:lastRenderedPageBreak/>
        <w:t>35.</w:t>
      </w:r>
      <w:r>
        <w:tab/>
        <w:t xml:space="preserve">ВОИС </w:t>
      </w:r>
      <w:r w:rsidR="00EF2965">
        <w:t xml:space="preserve">разработала для всех нДВУ множество онлайновых ресурсов для </w:t>
      </w:r>
      <w:r w:rsidR="0031518D">
        <w:t xml:space="preserve">участников </w:t>
      </w:r>
      <w:r w:rsidR="00EF2965">
        <w:t>споров</w:t>
      </w:r>
      <w:r>
        <w:t xml:space="preserve">, в том числе критерии </w:t>
      </w:r>
      <w:r w:rsidR="00EF2965">
        <w:t xml:space="preserve">допуска к </w:t>
      </w:r>
      <w:r>
        <w:t>регистрации, поддерживаемые наборы символов</w:t>
      </w:r>
      <w:r w:rsidR="00EF2965">
        <w:t xml:space="preserve"> и многоязычные </w:t>
      </w:r>
      <w:r>
        <w:t>типовые состязательные документы и заявления</w:t>
      </w:r>
      <w:r w:rsidR="009A1BB6" w:rsidRPr="000D3353">
        <w:rPr>
          <w:vertAlign w:val="superscript"/>
        </w:rPr>
        <w:footnoteReference w:id="30"/>
      </w:r>
      <w:r>
        <w:t xml:space="preserve">, </w:t>
      </w:r>
      <w:r w:rsidR="00EF2965">
        <w:t xml:space="preserve">а также </w:t>
      </w:r>
      <w:r w:rsidR="0031518D">
        <w:t xml:space="preserve">краткую информацию </w:t>
      </w:r>
      <w:r>
        <w:t xml:space="preserve">о </w:t>
      </w:r>
      <w:r w:rsidR="00EF2965" w:rsidRPr="00EF2965">
        <w:t>соответствующ</w:t>
      </w:r>
      <w:r w:rsidR="00EF2965">
        <w:t>их</w:t>
      </w:r>
      <w:r>
        <w:t xml:space="preserve"> различиях между процедурами</w:t>
      </w:r>
      <w:r w:rsidR="00EF2965">
        <w:t xml:space="preserve"> на базе ЕПУС</w:t>
      </w:r>
      <w:r>
        <w:t xml:space="preserve">, применяемыми </w:t>
      </w:r>
      <w:r w:rsidR="0031518D">
        <w:t xml:space="preserve">в </w:t>
      </w:r>
      <w:r>
        <w:t xml:space="preserve">нДВУ, и </w:t>
      </w:r>
      <w:r w:rsidR="0031518D" w:rsidRPr="00A535DF">
        <w:t>процедур</w:t>
      </w:r>
      <w:r w:rsidR="0031518D">
        <w:t xml:space="preserve">ами </w:t>
      </w:r>
      <w:r w:rsidR="00EF2965">
        <w:t xml:space="preserve">самой </w:t>
      </w:r>
      <w:r>
        <w:t>ЕПУС</w:t>
      </w:r>
      <w:r w:rsidR="009A1BB6" w:rsidRPr="000D3353">
        <w:rPr>
          <w:vertAlign w:val="superscript"/>
        </w:rPr>
        <w:footnoteReference w:id="31"/>
      </w:r>
      <w:r>
        <w:t xml:space="preserve">. Эта информация обобщена в </w:t>
      </w:r>
      <w:hyperlink r:id="rId30" w:history="1">
        <w:r w:rsidR="0031518D">
          <w:rPr>
            <w:rStyle w:val="Hyperlink"/>
          </w:rPr>
          <w:t>Руководстве по услугам ВОИС для реестров национальных доменов верхнего уровня</w:t>
        </w:r>
      </w:hyperlink>
      <w:r>
        <w:t>.</w:t>
      </w:r>
    </w:p>
    <w:p w14:paraId="78A20CAC" w14:textId="77777777" w:rsidR="009A1BB6" w:rsidRPr="005B4F4B" w:rsidRDefault="009A1BB6" w:rsidP="009A1BB6">
      <w:pPr>
        <w:pStyle w:val="Heading2"/>
      </w:pPr>
      <w:r>
        <w:t>III.</w:t>
      </w:r>
      <w:r>
        <w:tab/>
      </w:r>
      <w:r w:rsidR="0031518D">
        <w:t>новые явления в ПОЛИТИКе регулирования</w:t>
      </w:r>
      <w:r>
        <w:t xml:space="preserve"> </w:t>
      </w:r>
      <w:r w:rsidR="0031518D">
        <w:t>DNS</w:t>
      </w:r>
    </w:p>
    <w:p w14:paraId="7BCD1F50" w14:textId="5BAE89BA" w:rsidR="009A1BB6" w:rsidRPr="004B7021" w:rsidRDefault="004B7021" w:rsidP="004B7021">
      <w:pPr>
        <w:widowControl w:val="0"/>
        <w:spacing w:before="240" w:after="240"/>
      </w:pPr>
      <w:r>
        <w:t>36.</w:t>
      </w:r>
      <w:r>
        <w:tab/>
        <w:t xml:space="preserve">Ряд изменений в политике ICANN создает не только возможности, но и проблемы для обладателей и пользователей прав ИС. Одна из таких проблем связана с введением ICANN значительного числа новых рДВУ. Такие новые рДВУ могут быть как «открытыми» (аналогично .com), так и приобретать более специализированный или ограничительный характер, </w:t>
      </w:r>
      <w:r w:rsidR="0031518D">
        <w:t xml:space="preserve">когда речь идет об рДВУ типа </w:t>
      </w:r>
      <w:r>
        <w:t xml:space="preserve">.[бренд], .[город], .[сообщество], .[культура], .[отрасль] или .[язык]. Еще одним </w:t>
      </w:r>
      <w:r w:rsidR="0031518D">
        <w:t xml:space="preserve">примечательным </w:t>
      </w:r>
      <w:r>
        <w:t xml:space="preserve">элементом </w:t>
      </w:r>
      <w:r w:rsidR="0031518D">
        <w:t xml:space="preserve">этого </w:t>
      </w:r>
      <w:r>
        <w:t xml:space="preserve">роста системы DNS стали интернационализированные доменные имена (ИДИ) верхнего уровня, </w:t>
      </w:r>
      <w:r w:rsidR="0031518D">
        <w:t>расширившие языковые возможности</w:t>
      </w:r>
      <w:r>
        <w:t xml:space="preserve"> </w:t>
      </w:r>
      <w:r w:rsidR="0031518D">
        <w:t xml:space="preserve">в </w:t>
      </w:r>
      <w:r>
        <w:t xml:space="preserve">DNS. Кроме того, </w:t>
      </w:r>
      <w:r w:rsidR="0031518D">
        <w:t xml:space="preserve">проводимое </w:t>
      </w:r>
      <w:r>
        <w:t xml:space="preserve">ICANN расширение DNS вызывает вопросы охраны прав с точки зрения </w:t>
      </w:r>
      <w:r w:rsidR="0031518D">
        <w:t xml:space="preserve">выводов </w:t>
      </w:r>
      <w:r>
        <w:t>Второго процесса ВОИС по доменным именам в интернете.</w:t>
      </w:r>
    </w:p>
    <w:p w14:paraId="07373195" w14:textId="77777777" w:rsidR="009A1BB6" w:rsidRPr="00423040" w:rsidRDefault="009A1BB6" w:rsidP="009A1BB6">
      <w:pPr>
        <w:pStyle w:val="Heading3"/>
        <w:ind w:firstLine="567"/>
        <w:rPr>
          <w:u w:val="none"/>
        </w:rPr>
      </w:pPr>
      <w:r w:rsidRPr="009E2883">
        <w:rPr>
          <w:u w:val="none"/>
          <w:lang w:val="en-US"/>
        </w:rPr>
        <w:t>A</w:t>
      </w:r>
      <w:r w:rsidRPr="00423040">
        <w:rPr>
          <w:u w:val="none"/>
        </w:rPr>
        <w:t>.</w:t>
      </w:r>
      <w:r w:rsidRPr="00423040">
        <w:rPr>
          <w:u w:val="none"/>
        </w:rPr>
        <w:tab/>
      </w:r>
      <w:r>
        <w:rPr>
          <w:u w:val="none"/>
        </w:rPr>
        <w:t>НОВЫЕ</w:t>
      </w:r>
      <w:r w:rsidRPr="00423040">
        <w:rPr>
          <w:u w:val="none"/>
        </w:rPr>
        <w:t xml:space="preserve"> </w:t>
      </w:r>
      <w:r>
        <w:rPr>
          <w:u w:val="none"/>
        </w:rPr>
        <w:t>РДВУ</w:t>
      </w:r>
    </w:p>
    <w:p w14:paraId="6B75DBCC" w14:textId="51E68C45" w:rsidR="004B7021" w:rsidRDefault="004B7021" w:rsidP="004B7021">
      <w:pPr>
        <w:widowControl w:val="0"/>
        <w:spacing w:before="240" w:after="240"/>
      </w:pPr>
      <w:r w:rsidRPr="00496063">
        <w:t>37.</w:t>
      </w:r>
      <w:r w:rsidRPr="00496063">
        <w:tab/>
      </w:r>
      <w:r w:rsidR="00496063" w:rsidRPr="00496063">
        <w:t>Первые новые рДВУ в корневой зоне Интернета были делегированы в октябре 2013</w:t>
      </w:r>
      <w:r w:rsidR="00496063" w:rsidRPr="00496063">
        <w:rPr>
          <w:lang w:val="en-US"/>
        </w:rPr>
        <w:t> </w:t>
      </w:r>
      <w:r w:rsidR="00496063" w:rsidRPr="00496063">
        <w:t xml:space="preserve">года; к </w:t>
      </w:r>
      <w:r w:rsidR="00496063">
        <w:t>июню</w:t>
      </w:r>
      <w:r w:rsidR="00496063" w:rsidRPr="00496063">
        <w:t xml:space="preserve"> 2019</w:t>
      </w:r>
      <w:r w:rsidR="00496063" w:rsidRPr="00496063">
        <w:rPr>
          <w:lang w:val="en-US"/>
        </w:rPr>
        <w:t> </w:t>
      </w:r>
      <w:r w:rsidR="00496063" w:rsidRPr="00496063">
        <w:t>год</w:t>
      </w:r>
      <w:r w:rsidR="00496063">
        <w:t>а</w:t>
      </w:r>
      <w:r w:rsidR="00496063" w:rsidRPr="00496063">
        <w:t xml:space="preserve"> был</w:t>
      </w:r>
      <w:r w:rsidR="00496063">
        <w:t>и</w:t>
      </w:r>
      <w:r w:rsidR="00496063" w:rsidRPr="00496063">
        <w:t xml:space="preserve"> делегирован</w:t>
      </w:r>
      <w:r w:rsidR="00496063">
        <w:t>ы</w:t>
      </w:r>
      <w:r w:rsidR="00496063" w:rsidRPr="00496063">
        <w:t xml:space="preserve"> </w:t>
      </w:r>
      <w:r w:rsidR="00496063">
        <w:t>почти</w:t>
      </w:r>
      <w:r w:rsidR="00496063" w:rsidRPr="00496063">
        <w:t xml:space="preserve"> </w:t>
      </w:r>
      <w:r w:rsidR="00496063">
        <w:t>все</w:t>
      </w:r>
      <w:r w:rsidR="00496063" w:rsidRPr="00496063">
        <w:t xml:space="preserve"> </w:t>
      </w:r>
      <w:r w:rsidR="00496063">
        <w:t>уникальные</w:t>
      </w:r>
      <w:r w:rsidR="00496063" w:rsidRPr="00496063">
        <w:t xml:space="preserve"> рДВУ, </w:t>
      </w:r>
      <w:r w:rsidR="00F10EA4">
        <w:t xml:space="preserve">число </w:t>
      </w:r>
      <w:r w:rsidR="00496063">
        <w:t xml:space="preserve">которых </w:t>
      </w:r>
      <w:r w:rsidR="00F10EA4">
        <w:t xml:space="preserve">превысило </w:t>
      </w:r>
      <w:r w:rsidR="00496063">
        <w:t>1200</w:t>
      </w:r>
      <w:r w:rsidR="009A1BB6" w:rsidRPr="000D3353">
        <w:rPr>
          <w:vertAlign w:val="superscript"/>
        </w:rPr>
        <w:footnoteReference w:id="32"/>
      </w:r>
      <w:r w:rsidR="00496063" w:rsidRPr="00496063">
        <w:t>,</w:t>
      </w:r>
      <w:r w:rsidRPr="00496063">
        <w:t xml:space="preserve"> </w:t>
      </w:r>
      <w:r w:rsidR="00496063">
        <w:t xml:space="preserve">всё еще не делегированы лишь немногие домены </w:t>
      </w:r>
      <w:r w:rsidRPr="00496063">
        <w:t>(</w:t>
      </w:r>
      <w:r w:rsidR="00496063" w:rsidRPr="00712221">
        <w:t xml:space="preserve">например, </w:t>
      </w:r>
      <w:r w:rsidRPr="00496063">
        <w:t>.</w:t>
      </w:r>
      <w:r w:rsidRPr="009E2883">
        <w:rPr>
          <w:lang w:val="en-US"/>
        </w:rPr>
        <w:t>music</w:t>
      </w:r>
      <w:r w:rsidRPr="00496063">
        <w:t>)</w:t>
      </w:r>
      <w:r w:rsidR="00496063">
        <w:t>. Всего эти новые</w:t>
      </w:r>
      <w:r>
        <w:t xml:space="preserve"> рДВУ </w:t>
      </w:r>
      <w:r w:rsidR="00496063">
        <w:t>пока привлекли, судя по всему,</w:t>
      </w:r>
      <w:r>
        <w:t xml:space="preserve"> порядка 29 млн </w:t>
      </w:r>
      <w:r w:rsidR="00F10EA4" w:rsidRPr="006D7B47">
        <w:t>регистр</w:t>
      </w:r>
      <w:r w:rsidR="00F10EA4">
        <w:t xml:space="preserve">аций </w:t>
      </w:r>
      <w:r>
        <w:t>доменов второго уровня (</w:t>
      </w:r>
      <w:r w:rsidR="00F10EA4">
        <w:t>по ряду</w:t>
      </w:r>
      <w:r w:rsidR="00496063">
        <w:t xml:space="preserve"> причин, например, </w:t>
      </w:r>
      <w:r w:rsidR="00F10EA4">
        <w:t xml:space="preserve">в связи с </w:t>
      </w:r>
      <w:r w:rsidR="00496063">
        <w:t>непродлением контрактов, их число</w:t>
      </w:r>
      <w:r>
        <w:t xml:space="preserve"> </w:t>
      </w:r>
      <w:r w:rsidR="00496063">
        <w:t xml:space="preserve">несколько </w:t>
      </w:r>
      <w:r w:rsidR="00F10EA4">
        <w:t xml:space="preserve">сократилось относительно ранее достигнутого уровня в </w:t>
      </w:r>
      <w:r>
        <w:t xml:space="preserve">32 млн). В июле 2023 года ICANN одобрила следующие раунды подачи заявок на новые рДВУ, которые, </w:t>
      </w:r>
      <w:r w:rsidR="00496063">
        <w:t>как ожидается</w:t>
      </w:r>
      <w:r>
        <w:t xml:space="preserve">, завершатся, </w:t>
      </w:r>
      <w:r w:rsidR="00496063">
        <w:t xml:space="preserve">выпуском в мае 2025 года </w:t>
      </w:r>
      <w:r>
        <w:t>следующего издания Руководства для заявителя и подачей заявок на новые рДВУ в апреле 2026 года.</w:t>
      </w:r>
    </w:p>
    <w:p w14:paraId="237E0391" w14:textId="2BE21246" w:rsidR="009A1BB6" w:rsidRPr="004B7021" w:rsidRDefault="004B7021" w:rsidP="004B7021">
      <w:pPr>
        <w:widowControl w:val="0"/>
        <w:spacing w:before="240" w:after="240"/>
      </w:pPr>
      <w:r>
        <w:t>38.</w:t>
      </w:r>
      <w:r>
        <w:tab/>
        <w:t xml:space="preserve">Центр по-прежнему стремится сотрудничать с заинтересованными сторонами, стараясь обеспечить соблюдение общих принципов охраны ИС в новых рДВУ. </w:t>
      </w:r>
      <w:r w:rsidR="002056AF">
        <w:t>Ряд механизмов охраны прав (МОП)</w:t>
      </w:r>
      <w:r>
        <w:t xml:space="preserve"> </w:t>
      </w:r>
      <w:r w:rsidR="002056AF">
        <w:t xml:space="preserve">был выработан в </w:t>
      </w:r>
      <w:r>
        <w:t xml:space="preserve">результате </w:t>
      </w:r>
      <w:r w:rsidR="002056AF">
        <w:t xml:space="preserve">нескольких </w:t>
      </w:r>
      <w:r>
        <w:t>заседаний комитетов ICANN и п</w:t>
      </w:r>
      <w:r w:rsidR="002056AF">
        <w:t>роцедур создания новых рДВУ</w:t>
      </w:r>
      <w:r w:rsidR="009A1BB6" w:rsidRPr="005B4F4B">
        <w:rPr>
          <w:rStyle w:val="FootnoteReference"/>
          <w:szCs w:val="22"/>
        </w:rPr>
        <w:footnoteReference w:id="33"/>
      </w:r>
      <w:r>
        <w:t xml:space="preserve">. Как </w:t>
      </w:r>
      <w:r w:rsidR="002056AF">
        <w:t>указано</w:t>
      </w:r>
      <w:r>
        <w:t xml:space="preserve">, в частности, в </w:t>
      </w:r>
      <w:hyperlink r:id="rId31" w:history="1">
        <w:r w:rsidRPr="00F668B1">
          <w:rPr>
            <w:rStyle w:val="Hyperlink"/>
          </w:rPr>
          <w:t>документе</w:t>
        </w:r>
        <w:r w:rsidR="003D4C34" w:rsidRPr="00F668B1">
          <w:rPr>
            <w:rStyle w:val="Hyperlink"/>
          </w:rPr>
          <w:t> </w:t>
        </w:r>
        <w:r w:rsidRPr="00F668B1">
          <w:rPr>
            <w:rStyle w:val="Hyperlink"/>
          </w:rPr>
          <w:t>SCT/46/3,</w:t>
        </w:r>
      </w:hyperlink>
      <w:r>
        <w:t xml:space="preserve"> МОП для рДВУ</w:t>
      </w:r>
      <w:r w:rsidR="002056AF">
        <w:t>,</w:t>
      </w:r>
      <w:r>
        <w:t xml:space="preserve"> </w:t>
      </w:r>
      <w:r w:rsidR="002056AF">
        <w:t>разработанные ICANN, включают «процедуру</w:t>
      </w:r>
      <w:r>
        <w:t xml:space="preserve"> урегу</w:t>
      </w:r>
      <w:r w:rsidR="002056AF">
        <w:t>лирования споров до делегирования»</w:t>
      </w:r>
      <w:r>
        <w:t xml:space="preserve">, </w:t>
      </w:r>
      <w:r w:rsidR="00496063">
        <w:t xml:space="preserve">когда </w:t>
      </w:r>
      <w:r>
        <w:t>владельцы товарных знаков могут направлять «возражения на основании юридических прав» (LRO) в</w:t>
      </w:r>
      <w:r w:rsidR="00496063">
        <w:t> </w:t>
      </w:r>
      <w:r>
        <w:t xml:space="preserve">отношении заявок на </w:t>
      </w:r>
      <w:r w:rsidR="002056AF" w:rsidRPr="006D7B47">
        <w:t>регистр</w:t>
      </w:r>
      <w:r w:rsidR="002056AF">
        <w:t>ацию новых</w:t>
      </w:r>
      <w:r>
        <w:t xml:space="preserve"> р</w:t>
      </w:r>
      <w:r w:rsidR="00496063">
        <w:t>ДВУ, предположительно нарушающих</w:t>
      </w:r>
      <w:r>
        <w:t xml:space="preserve"> их права</w:t>
      </w:r>
      <w:r w:rsidR="00065C5D" w:rsidRPr="00B73ED3">
        <w:rPr>
          <w:rStyle w:val="FootnoteReference"/>
          <w:szCs w:val="22"/>
        </w:rPr>
        <w:footnoteReference w:id="34"/>
      </w:r>
      <w:r>
        <w:t xml:space="preserve">, </w:t>
      </w:r>
      <w:r w:rsidR="002056AF">
        <w:t>и «процедуру</w:t>
      </w:r>
      <w:r>
        <w:t xml:space="preserve"> урегулирования споров после </w:t>
      </w:r>
      <w:r w:rsidR="002056AF">
        <w:t>делегирования»</w:t>
      </w:r>
      <w:r>
        <w:t xml:space="preserve"> </w:t>
      </w:r>
      <w:r w:rsidR="002056AF" w:rsidRPr="00B73ED3">
        <w:rPr>
          <w:szCs w:val="22"/>
        </w:rPr>
        <w:t>(PDDRP)</w:t>
      </w:r>
      <w:r w:rsidR="002056AF" w:rsidRPr="00D03DD1">
        <w:rPr>
          <w:szCs w:val="22"/>
        </w:rPr>
        <w:t xml:space="preserve">, </w:t>
      </w:r>
      <w:r>
        <w:t>которая позволяет подавать жалобы на операт</w:t>
      </w:r>
      <w:r w:rsidR="00496063">
        <w:t>ора реестра вновь делегированного</w:t>
      </w:r>
      <w:r>
        <w:t xml:space="preserve"> рДВУ, чьи действия по управлению </w:t>
      </w:r>
      <w:r>
        <w:lastRenderedPageBreak/>
        <w:t xml:space="preserve">реестром предположительно привели к </w:t>
      </w:r>
      <w:r w:rsidR="00496063">
        <w:t>нарушениям прав на товарные знаки</w:t>
      </w:r>
      <w:r>
        <w:t xml:space="preserve"> или в значительно</w:t>
      </w:r>
      <w:r w:rsidR="002056AF">
        <w:t>й</w:t>
      </w:r>
      <w:r>
        <w:t xml:space="preserve"> степени способствовали таким </w:t>
      </w:r>
      <w:r w:rsidR="00496063">
        <w:t>нарушениям</w:t>
      </w:r>
      <w:r w:rsidR="009A1BB6" w:rsidRPr="00D03DD1">
        <w:rPr>
          <w:vertAlign w:val="superscript"/>
        </w:rPr>
        <w:footnoteReference w:id="35"/>
      </w:r>
      <w:r>
        <w:t xml:space="preserve">. Что касается МОП для доменов второго уровня, программа ICANN по введению новых рДВУ предусматривает создание Центра обмена информацией о товарных знаках (ЦОИТЗ), который будет выполнять роль централизованного хранилища проверенных данных о товарных знаках, </w:t>
      </w:r>
      <w:r w:rsidR="002056AF">
        <w:t>которые</w:t>
      </w:r>
      <w:r>
        <w:t xml:space="preserve"> мо</w:t>
      </w:r>
      <w:r w:rsidR="002056AF">
        <w:t>гут использоваться в качестве основания</w:t>
      </w:r>
      <w:r>
        <w:t xml:space="preserve"> для </w:t>
      </w:r>
      <w:r w:rsidR="00496063" w:rsidRPr="00EA4BEE">
        <w:rPr>
          <w:snapToGrid w:val="0"/>
        </w:rPr>
        <w:t>применени</w:t>
      </w:r>
      <w:r w:rsidR="00496063">
        <w:t>я</w:t>
      </w:r>
      <w:r>
        <w:t xml:space="preserve"> МОП </w:t>
      </w:r>
      <w:r w:rsidR="002056AF">
        <w:t>к новым</w:t>
      </w:r>
      <w:r>
        <w:t xml:space="preserve"> рДВУ</w:t>
      </w:r>
      <w:r w:rsidR="009A1BB6" w:rsidRPr="00B73ED3">
        <w:rPr>
          <w:rStyle w:val="FootnoteReference"/>
        </w:rPr>
        <w:footnoteReference w:id="36"/>
      </w:r>
      <w:r>
        <w:t xml:space="preserve">. Кроме того, хотя ЕПУС остается </w:t>
      </w:r>
      <w:r w:rsidR="002056AF">
        <w:t xml:space="preserve">в </w:t>
      </w:r>
      <w:r w:rsidR="002056AF">
        <w:rPr>
          <w:lang w:eastAsia="en-US"/>
        </w:rPr>
        <w:t>распоряжени</w:t>
      </w:r>
      <w:r w:rsidR="002056AF">
        <w:t>и сторон как инструмент</w:t>
      </w:r>
      <w:r>
        <w:t xml:space="preserve"> урегулирования споров в отношении новых рДВУ, </w:t>
      </w:r>
      <w:r w:rsidR="002056AF">
        <w:t>связанных с требованиями</w:t>
      </w:r>
      <w:r w:rsidR="00496063">
        <w:t xml:space="preserve"> о передаче</w:t>
      </w:r>
      <w:r w:rsidR="002056AF">
        <w:t xml:space="preserve"> спорных доменных имен владельцам товарных знаков</w:t>
      </w:r>
      <w:r>
        <w:t>, ICANN ввела Единую систему ускоренного приостановления действия</w:t>
      </w:r>
      <w:r w:rsidR="00484D14">
        <w:t xml:space="preserve"> (</w:t>
      </w:r>
      <w:r w:rsidR="00484D14">
        <w:rPr>
          <w:lang w:val="en-US"/>
        </w:rPr>
        <w:t>URS</w:t>
      </w:r>
      <w:r w:rsidR="00484D14">
        <w:t>)</w:t>
      </w:r>
      <w:r w:rsidR="00496063">
        <w:t>, основанную</w:t>
      </w:r>
      <w:r>
        <w:t xml:space="preserve"> на </w:t>
      </w:r>
      <w:r w:rsidR="00496063">
        <w:t>принципе временного приостановления действия</w:t>
      </w:r>
      <w:r>
        <w:t xml:space="preserve"> </w:t>
      </w:r>
      <w:r w:rsidR="002056AF">
        <w:t xml:space="preserve">доменов и задуманную как упрощенный механизм охраны прав </w:t>
      </w:r>
      <w:r w:rsidR="00496063">
        <w:t>для доменов</w:t>
      </w:r>
      <w:r>
        <w:t xml:space="preserve"> второго уровня </w:t>
      </w:r>
      <w:r w:rsidR="00496063">
        <w:t xml:space="preserve">для </w:t>
      </w:r>
      <w:r>
        <w:t>соответствующих случа</w:t>
      </w:r>
      <w:r w:rsidR="00496063">
        <w:t>ев</w:t>
      </w:r>
      <w:r w:rsidR="009A1BB6" w:rsidRPr="00D03DD1">
        <w:rPr>
          <w:rStyle w:val="FootnoteReference"/>
        </w:rPr>
        <w:footnoteReference w:id="37"/>
      </w:r>
      <w:r>
        <w:t xml:space="preserve">. </w:t>
      </w:r>
    </w:p>
    <w:p w14:paraId="345B9F3A" w14:textId="77777777" w:rsidR="009A1BB6" w:rsidRPr="002056AF" w:rsidRDefault="002056AF" w:rsidP="009A1BB6">
      <w:pPr>
        <w:pStyle w:val="Heading3"/>
        <w:ind w:left="1134" w:hanging="567"/>
        <w:rPr>
          <w:u w:val="none"/>
        </w:rPr>
      </w:pPr>
      <w:r w:rsidRPr="002056AF">
        <w:rPr>
          <w:u w:val="none"/>
          <w:lang w:val="en-US"/>
        </w:rPr>
        <w:t>B</w:t>
      </w:r>
      <w:r w:rsidRPr="002056AF">
        <w:rPr>
          <w:u w:val="none"/>
        </w:rPr>
        <w:t>.</w:t>
      </w:r>
      <w:r w:rsidRPr="002056AF">
        <w:rPr>
          <w:u w:val="none"/>
        </w:rPr>
        <w:tab/>
        <w:t xml:space="preserve">ПЛАНЫ </w:t>
      </w:r>
      <w:r w:rsidRPr="002056AF">
        <w:rPr>
          <w:u w:val="none"/>
          <w:lang w:val="en-US"/>
        </w:rPr>
        <w:t>ICANN</w:t>
      </w:r>
      <w:r w:rsidRPr="002056AF">
        <w:rPr>
          <w:u w:val="none"/>
        </w:rPr>
        <w:t xml:space="preserve"> ПО ПЕРЕСМОТРУ ЕПУС, ИНИЦИИРОВАННОЙ ВОИС, И ДРУГИХ МОП</w:t>
      </w:r>
    </w:p>
    <w:p w14:paraId="39F84DD6" w14:textId="240633C9" w:rsidR="001B1499" w:rsidRDefault="004B7021" w:rsidP="00EF55E5">
      <w:pPr>
        <w:widowControl w:val="0"/>
        <w:spacing w:before="240" w:after="240"/>
        <w:rPr>
          <w:vertAlign w:val="superscript"/>
        </w:rPr>
      </w:pPr>
      <w:r>
        <w:t>39.</w:t>
      </w:r>
      <w:r>
        <w:tab/>
        <w:t>В условиях динамичног</w:t>
      </w:r>
      <w:r w:rsidR="0064695D">
        <w:t>о развития DNS ЕПУС обеспечивала</w:t>
      </w:r>
      <w:r>
        <w:t xml:space="preserve"> владельцам товарных знаков, регистрантам доменных имен и регистрационным органам эффективную альтернативу судебному разбирательству. </w:t>
      </w:r>
      <w:r w:rsidR="00496063" w:rsidRPr="00F30CCB">
        <w:t xml:space="preserve">Несмотря на </w:t>
      </w:r>
      <w:r w:rsidR="00496063">
        <w:t xml:space="preserve">ее </w:t>
      </w:r>
      <w:r w:rsidR="0064695D">
        <w:t xml:space="preserve">успешное </w:t>
      </w:r>
      <w:r w:rsidR="0064695D" w:rsidRPr="00EA4BEE">
        <w:rPr>
          <w:snapToGrid w:val="0"/>
        </w:rPr>
        <w:t>применени</w:t>
      </w:r>
      <w:r w:rsidR="0064695D">
        <w:t>е</w:t>
      </w:r>
      <w:r w:rsidR="00496063" w:rsidRPr="00F30CCB">
        <w:t xml:space="preserve">, в 2011 году Организация </w:t>
      </w:r>
      <w:r w:rsidR="00496063">
        <w:t>поддержки</w:t>
      </w:r>
      <w:r w:rsidR="00496063" w:rsidRPr="00F30CCB">
        <w:t xml:space="preserve"> </w:t>
      </w:r>
      <w:r w:rsidR="00300FFC">
        <w:t xml:space="preserve">доменов </w:t>
      </w:r>
      <w:r w:rsidR="00300FFC" w:rsidRPr="00300FFC">
        <w:t>общего</w:t>
      </w:r>
      <w:r w:rsidR="00300FFC">
        <w:t xml:space="preserve"> пользования </w:t>
      </w:r>
      <w:r w:rsidR="00496063" w:rsidRPr="00F30CCB">
        <w:t>(</w:t>
      </w:r>
      <w:r w:rsidR="00496063" w:rsidRPr="005F0D70">
        <w:t>GNSO</w:t>
      </w:r>
      <w:r w:rsidR="00496063" w:rsidRPr="00F30CCB">
        <w:t>)</w:t>
      </w:r>
      <w:r w:rsidR="0064695D">
        <w:t>,</w:t>
      </w:r>
      <w:r w:rsidR="00496063" w:rsidRPr="00F30CCB">
        <w:t xml:space="preserve"> </w:t>
      </w:r>
      <w:r w:rsidR="0064695D">
        <w:t xml:space="preserve">входящая в </w:t>
      </w:r>
      <w:r w:rsidR="0064695D" w:rsidRPr="005F0D70">
        <w:t>ICANN</w:t>
      </w:r>
      <w:r w:rsidR="0064695D">
        <w:t>,</w:t>
      </w:r>
      <w:r w:rsidR="0064695D" w:rsidRPr="00F30CCB">
        <w:t xml:space="preserve"> </w:t>
      </w:r>
      <w:r w:rsidR="00496063" w:rsidRPr="00F30CCB">
        <w:t xml:space="preserve">решила пересмотреть </w:t>
      </w:r>
      <w:r w:rsidR="00300FFC">
        <w:t xml:space="preserve">ЕПУС </w:t>
      </w:r>
      <w:r w:rsidR="00496063" w:rsidRPr="00F30CCB">
        <w:t xml:space="preserve">после </w:t>
      </w:r>
      <w:r w:rsidR="00300FFC">
        <w:t xml:space="preserve">введения </w:t>
      </w:r>
      <w:r w:rsidR="00496063" w:rsidRPr="00F30CCB">
        <w:t xml:space="preserve">новых </w:t>
      </w:r>
      <w:r w:rsidR="00300FFC">
        <w:t>рДВУ</w:t>
      </w:r>
      <w:r w:rsidR="009A1BB6" w:rsidRPr="000D3353">
        <w:rPr>
          <w:vertAlign w:val="superscript"/>
        </w:rPr>
        <w:footnoteReference w:id="38"/>
      </w:r>
      <w:r w:rsidR="00300FFC" w:rsidRPr="00496063">
        <w:t>.</w:t>
      </w:r>
      <w:r w:rsidRPr="00496063">
        <w:t xml:space="preserve"> </w:t>
      </w:r>
      <w:r>
        <w:t xml:space="preserve">В </w:t>
      </w:r>
      <w:hyperlink r:id="rId32" w:history="1">
        <w:r w:rsidR="00991916">
          <w:rPr>
            <w:rStyle w:val="Hyperlink"/>
          </w:rPr>
          <w:t>п</w:t>
        </w:r>
        <w:r w:rsidR="00300FFC">
          <w:rPr>
            <w:rStyle w:val="Hyperlink"/>
          </w:rPr>
          <w:t>редварительном докладе по проблеме</w:t>
        </w:r>
      </w:hyperlink>
      <w:r w:rsidR="00300FFC">
        <w:t xml:space="preserve">, опубликованном </w:t>
      </w:r>
      <w:r w:rsidR="00300FFC" w:rsidRPr="00300FFC">
        <w:t xml:space="preserve">ICANN </w:t>
      </w:r>
      <w:r w:rsidR="00300FFC">
        <w:t xml:space="preserve">в 2015 году, </w:t>
      </w:r>
      <w:r>
        <w:t xml:space="preserve">излагается целый ряд сложных </w:t>
      </w:r>
      <w:r w:rsidR="0064695D">
        <w:t>содержательных</w:t>
      </w:r>
      <w:r w:rsidR="00300FFC">
        <w:t xml:space="preserve"> и процедурных вопросов</w:t>
      </w:r>
      <w:r>
        <w:t>. Центр высказал ряд замечаний</w:t>
      </w:r>
      <w:r w:rsidR="00300FFC">
        <w:t xml:space="preserve"> по </w:t>
      </w:r>
      <w:r w:rsidR="00484D14" w:rsidRPr="00F245C5">
        <w:t>доклад</w:t>
      </w:r>
      <w:r w:rsidR="00484D14">
        <w:t>у</w:t>
      </w:r>
      <w:r>
        <w:t xml:space="preserve">, отметив </w:t>
      </w:r>
      <w:r w:rsidR="0064695D">
        <w:t>длительную успешную практику</w:t>
      </w:r>
      <w:r>
        <w:t xml:space="preserve"> применения ЕПУС</w:t>
      </w:r>
      <w:r w:rsidR="0064695D">
        <w:t xml:space="preserve"> </w:t>
      </w:r>
      <w:r>
        <w:t>и риски, которыми чреваты любые попытки е</w:t>
      </w:r>
      <w:r w:rsidR="00300FFC">
        <w:t xml:space="preserve">е пересмотра со стороны ICANN. По истечении </w:t>
      </w:r>
      <w:r w:rsidR="00300FFC" w:rsidRPr="00F05C7D">
        <w:t xml:space="preserve">периода </w:t>
      </w:r>
      <w:r w:rsidR="00300FFC">
        <w:t xml:space="preserve">публичного </w:t>
      </w:r>
      <w:r w:rsidR="00300FFC" w:rsidRPr="00F05C7D">
        <w:lastRenderedPageBreak/>
        <w:t xml:space="preserve">обсуждения ICANN опубликовала </w:t>
      </w:r>
      <w:r w:rsidR="00484D14" w:rsidRPr="00F05C7D">
        <w:t>в январе 2016 года</w:t>
      </w:r>
      <w:r w:rsidR="00484D14">
        <w:t xml:space="preserve"> </w:t>
      </w:r>
      <w:r w:rsidR="00300FFC" w:rsidRPr="00F05C7D">
        <w:t xml:space="preserve">свой </w:t>
      </w:r>
      <w:r w:rsidR="00484D14">
        <w:t xml:space="preserve">Итоговый </w:t>
      </w:r>
      <w:r w:rsidR="00484D14" w:rsidRPr="00F245C5">
        <w:t>доклад</w:t>
      </w:r>
      <w:r w:rsidR="00484D14">
        <w:t xml:space="preserve"> по </w:t>
      </w:r>
      <w:r w:rsidR="00484D14" w:rsidRPr="00AB7D5E">
        <w:t>проблем</w:t>
      </w:r>
      <w:r w:rsidR="00484D14">
        <w:t>е</w:t>
      </w:r>
      <w:r w:rsidR="00300FFC" w:rsidRPr="00F05C7D">
        <w:t xml:space="preserve">, в котором GNSO рекомендовала </w:t>
      </w:r>
      <w:r w:rsidR="00484D14">
        <w:t xml:space="preserve">начать </w:t>
      </w:r>
      <w:r w:rsidR="00484D14" w:rsidRPr="00A535DF">
        <w:t>процедур</w:t>
      </w:r>
      <w:r w:rsidR="00484D14">
        <w:t>у</w:t>
      </w:r>
      <w:r w:rsidR="00300FFC" w:rsidRPr="00F05C7D">
        <w:t xml:space="preserve"> разработки политики (PDP) для </w:t>
      </w:r>
      <w:r w:rsidR="00484D14">
        <w:t>анализа</w:t>
      </w:r>
      <w:r w:rsidR="00300FFC" w:rsidRPr="00F05C7D">
        <w:t xml:space="preserve"> всех </w:t>
      </w:r>
      <w:r w:rsidR="00484D14">
        <w:t>МОП</w:t>
      </w:r>
      <w:r w:rsidR="0064695D">
        <w:t xml:space="preserve">, который </w:t>
      </w:r>
      <w:r w:rsidR="0064695D" w:rsidRPr="00C96DFA">
        <w:t>долж</w:t>
      </w:r>
      <w:r w:rsidR="0064695D">
        <w:t>ен был пройти</w:t>
      </w:r>
      <w:r w:rsidR="00300FFC" w:rsidRPr="00F05C7D">
        <w:t xml:space="preserve"> в два этапа; на </w:t>
      </w:r>
      <w:r w:rsidR="00484D14">
        <w:t xml:space="preserve">уже </w:t>
      </w:r>
      <w:r w:rsidR="00300FFC" w:rsidRPr="00F05C7D">
        <w:t>за</w:t>
      </w:r>
      <w:r w:rsidR="00484D14">
        <w:t>вершившемся начальном этапе был опубликован</w:t>
      </w:r>
      <w:r w:rsidR="00300FFC" w:rsidRPr="00F05C7D">
        <w:t xml:space="preserve"> </w:t>
      </w:r>
      <w:hyperlink r:id="rId33" w:history="1">
        <w:r w:rsidR="00991916">
          <w:rPr>
            <w:rStyle w:val="Hyperlink"/>
          </w:rPr>
          <w:t>и</w:t>
        </w:r>
        <w:r w:rsidR="00484D14">
          <w:rPr>
            <w:rStyle w:val="Hyperlink"/>
          </w:rPr>
          <w:t>тоговый доклад</w:t>
        </w:r>
      </w:hyperlink>
      <w:r w:rsidR="00484D14">
        <w:t xml:space="preserve">, в котором </w:t>
      </w:r>
      <w:r w:rsidR="00300FFC" w:rsidRPr="00F05C7D">
        <w:t xml:space="preserve">основное внимание было уделено </w:t>
      </w:r>
      <w:r w:rsidR="00484D14">
        <w:t>МОП</w:t>
      </w:r>
      <w:r w:rsidR="00300FFC" w:rsidRPr="00F05C7D">
        <w:t xml:space="preserve">, разработанным для Программы </w:t>
      </w:r>
      <w:r w:rsidR="00484D14">
        <w:t xml:space="preserve">введения </w:t>
      </w:r>
      <w:r w:rsidR="00300FFC" w:rsidRPr="00F05C7D">
        <w:t xml:space="preserve">новых </w:t>
      </w:r>
      <w:r w:rsidR="00484D14">
        <w:t>РДВУ</w:t>
      </w:r>
      <w:r w:rsidR="00300FFC" w:rsidRPr="00F05C7D">
        <w:t>, в частности</w:t>
      </w:r>
      <w:r w:rsidR="00484D14">
        <w:t>,</w:t>
      </w:r>
      <w:r w:rsidR="00300FFC" w:rsidRPr="00F05C7D">
        <w:t xml:space="preserve"> </w:t>
      </w:r>
      <w:r w:rsidR="00484D14">
        <w:t>ЦОИТЗ</w:t>
      </w:r>
      <w:r w:rsidR="00300FFC" w:rsidRPr="00F05C7D">
        <w:t xml:space="preserve"> (включая </w:t>
      </w:r>
      <w:r w:rsidR="00484D14">
        <w:t xml:space="preserve">МОП </w:t>
      </w:r>
      <w:r w:rsidR="0064695D">
        <w:t>Sunrise and Claims</w:t>
      </w:r>
      <w:r w:rsidR="00300FFC" w:rsidRPr="00F05C7D">
        <w:t xml:space="preserve">) и URS, </w:t>
      </w:r>
      <w:r w:rsidR="00484D14">
        <w:t>в результате чего был внесен ряд</w:t>
      </w:r>
      <w:r w:rsidR="00300FFC" w:rsidRPr="00F05C7D">
        <w:t xml:space="preserve"> предложений </w:t>
      </w:r>
      <w:r w:rsidR="0064695D">
        <w:t xml:space="preserve">об изменениях, </w:t>
      </w:r>
      <w:r w:rsidR="0064695D" w:rsidRPr="00C862FF">
        <w:t>касающи</w:t>
      </w:r>
      <w:r w:rsidR="0064695D">
        <w:t xml:space="preserve">хся </w:t>
      </w:r>
      <w:r w:rsidR="00484D14">
        <w:t>функционирования и процедур</w:t>
      </w:r>
      <w:r w:rsidR="00484D14" w:rsidRPr="00F05C7D">
        <w:t xml:space="preserve"> </w:t>
      </w:r>
      <w:r w:rsidR="00300FFC" w:rsidRPr="00F05C7D">
        <w:t xml:space="preserve">этих </w:t>
      </w:r>
      <w:r w:rsidR="00484D14" w:rsidRPr="00484D14">
        <w:t>систем</w:t>
      </w:r>
      <w:r w:rsidR="0070734E" w:rsidRPr="00413F4E">
        <w:rPr>
          <w:vertAlign w:val="superscript"/>
        </w:rPr>
        <w:footnoteReference w:id="39"/>
      </w:r>
      <w:r w:rsidR="00484D14" w:rsidRPr="00484D14">
        <w:t>.</w:t>
      </w:r>
      <w:r w:rsidRPr="00484D14">
        <w:t xml:space="preserve"> </w:t>
      </w:r>
      <w:r w:rsidR="00484D14">
        <w:t xml:space="preserve">Итоговый </w:t>
      </w:r>
      <w:r w:rsidR="00484D14" w:rsidRPr="00F245C5">
        <w:t>доклад</w:t>
      </w:r>
      <w:r>
        <w:t xml:space="preserve"> </w:t>
      </w:r>
      <w:r w:rsidR="005C093D">
        <w:t xml:space="preserve">по </w:t>
      </w:r>
      <w:r w:rsidR="003D6F9A">
        <w:t>э</w:t>
      </w:r>
      <w:r w:rsidR="005C093D">
        <w:t>тапу</w:t>
      </w:r>
      <w:r w:rsidR="00484D14">
        <w:t xml:space="preserve"> </w:t>
      </w:r>
      <w:r w:rsidR="005C093D">
        <w:rPr>
          <w:lang w:val="en-US"/>
        </w:rPr>
        <w:t>I</w:t>
      </w:r>
      <w:r w:rsidR="005C093D" w:rsidRPr="005C093D">
        <w:t xml:space="preserve"> </w:t>
      </w:r>
      <w:r w:rsidR="00484D14">
        <w:t>содержал</w:t>
      </w:r>
      <w:r>
        <w:t xml:space="preserve"> 35 рекомендаций</w:t>
      </w:r>
      <w:r w:rsidR="00484D14">
        <w:t>, принятых на основе консенсуса</w:t>
      </w:r>
      <w:r w:rsidR="009A1BB6" w:rsidRPr="0070734E">
        <w:rPr>
          <w:vertAlign w:val="superscript"/>
        </w:rPr>
        <w:footnoteReference w:id="40"/>
      </w:r>
      <w:r w:rsidR="005C093D">
        <w:t xml:space="preserve">, и </w:t>
      </w:r>
      <w:r>
        <w:t xml:space="preserve">был </w:t>
      </w:r>
      <w:r w:rsidR="005C093D">
        <w:t xml:space="preserve">принят Советом GNSO и Советом ICANN </w:t>
      </w:r>
      <w:r w:rsidR="00484D14">
        <w:t xml:space="preserve">к </w:t>
      </w:r>
      <w:r>
        <w:t>реализации в несколько этапов</w:t>
      </w:r>
      <w:r w:rsidR="009A1BB6" w:rsidRPr="000D3353">
        <w:rPr>
          <w:vertAlign w:val="superscript"/>
        </w:rPr>
        <w:footnoteReference w:id="41"/>
      </w:r>
      <w:r>
        <w:t>.</w:t>
      </w:r>
    </w:p>
    <w:p w14:paraId="05CED573" w14:textId="4921208A" w:rsidR="009A1BB6" w:rsidRPr="00484D14" w:rsidRDefault="00FD01FE" w:rsidP="00EF55E5">
      <w:pPr>
        <w:widowControl w:val="0"/>
        <w:spacing w:before="240" w:after="240"/>
      </w:pPr>
      <w:r>
        <w:t>40.</w:t>
      </w:r>
      <w:r>
        <w:tab/>
        <w:t xml:space="preserve">В рамках </w:t>
      </w:r>
      <w:r w:rsidR="003D6F9A">
        <w:t>э</w:t>
      </w:r>
      <w:r>
        <w:t xml:space="preserve">тапа </w:t>
      </w:r>
      <w:r w:rsidR="005C093D">
        <w:rPr>
          <w:lang w:val="en-US"/>
        </w:rPr>
        <w:t>II</w:t>
      </w:r>
      <w:r w:rsidR="005C093D" w:rsidRPr="005C093D">
        <w:t xml:space="preserve"> </w:t>
      </w:r>
      <w:r w:rsidR="005C093D">
        <w:t>(перво</w:t>
      </w:r>
      <w:r>
        <w:t xml:space="preserve">начально ожидалось, что </w:t>
      </w:r>
      <w:r w:rsidR="005C093D">
        <w:t xml:space="preserve">плановая </w:t>
      </w:r>
      <w:r>
        <w:t>работа начнется в 2022</w:t>
      </w:r>
      <w:r w:rsidRPr="00484D14">
        <w:t> году) основное внимание будет уделено ЕПУС</w:t>
      </w:r>
      <w:r w:rsidR="009A1BB6" w:rsidRPr="00484D14">
        <w:rPr>
          <w:vertAlign w:val="superscript"/>
        </w:rPr>
        <w:footnoteReference w:id="42"/>
      </w:r>
      <w:r w:rsidRPr="00484D14">
        <w:t>.</w:t>
      </w:r>
      <w:r w:rsidRPr="00484D14">
        <w:rPr>
          <w:vertAlign w:val="superscript"/>
        </w:rPr>
        <w:t xml:space="preserve">  </w:t>
      </w:r>
      <w:r w:rsidR="00484D14" w:rsidRPr="00484D14">
        <w:t xml:space="preserve">Это вызывает серьезную озабоченность, учитывая </w:t>
      </w:r>
      <w:r w:rsidR="005C093D">
        <w:t xml:space="preserve">то, что </w:t>
      </w:r>
      <w:r w:rsidR="00484D14" w:rsidRPr="00484D14">
        <w:t>ICANN аккредитовала других провайдеров услуг ЕПУС</w:t>
      </w:r>
      <w:r w:rsidR="005C093D">
        <w:t>,</w:t>
      </w:r>
      <w:r w:rsidR="00484D14" w:rsidRPr="00484D14">
        <w:t xml:space="preserve"> </w:t>
      </w:r>
      <w:r w:rsidR="005C093D">
        <w:t>а также</w:t>
      </w:r>
      <w:r w:rsidR="00484D14" w:rsidRPr="00484D14">
        <w:t xml:space="preserve"> неопределенность </w:t>
      </w:r>
      <w:r w:rsidR="005C093D">
        <w:t xml:space="preserve">перспектив </w:t>
      </w:r>
      <w:r w:rsidR="00484D14" w:rsidRPr="00484D14">
        <w:t>возможной эволюции ЕПУС в рамках данного процесса</w:t>
      </w:r>
      <w:r w:rsidR="005C093D">
        <w:t>, начатого</w:t>
      </w:r>
      <w:r w:rsidR="00484D14" w:rsidRPr="00484D14">
        <w:t xml:space="preserve"> ICANN, и Центр продолжает внимательно следить за намерениями заинтересованных сторон ICANN в отношении ЕПУС</w:t>
      </w:r>
      <w:r w:rsidR="005C093D">
        <w:t xml:space="preserve"> и в целом механизмов охраны прав, </w:t>
      </w:r>
      <w:r w:rsidR="005C093D" w:rsidRPr="00C862FF">
        <w:t>касающи</w:t>
      </w:r>
      <w:r w:rsidR="005C093D">
        <w:t>хся товарных знаков</w:t>
      </w:r>
      <w:r w:rsidR="00484D14" w:rsidRPr="00484D14">
        <w:t xml:space="preserve">. В рамках этой работы Центр продолжает консультации, помимо ICANN, с такими заинтересованными сторонами, как Ассоциация европейских сообществ по товарным знакам (ECTA), Международная ассоциация по товарным знакам (INTA) и MARQUES. </w:t>
      </w:r>
      <w:r w:rsidR="005C093D" w:rsidRPr="00484D14">
        <w:t>Ч</w:t>
      </w:r>
      <w:r w:rsidR="00484D14" w:rsidRPr="00484D14">
        <w:t xml:space="preserve">то касается </w:t>
      </w:r>
      <w:r w:rsidR="00BC28CE">
        <w:t>конкретно</w:t>
      </w:r>
      <w:r w:rsidR="005C093D">
        <w:t xml:space="preserve"> </w:t>
      </w:r>
      <w:r w:rsidR="00484D14" w:rsidRPr="00484D14">
        <w:t xml:space="preserve">ЕПУС, </w:t>
      </w:r>
      <w:r w:rsidR="005C093D">
        <w:t>учредительные органы</w:t>
      </w:r>
      <w:r w:rsidR="00484D14" w:rsidRPr="00484D14">
        <w:t xml:space="preserve"> ICANN </w:t>
      </w:r>
      <w:r w:rsidR="005C093D">
        <w:t>предлагали Секретариату</w:t>
      </w:r>
      <w:r w:rsidR="00484D14" w:rsidRPr="00484D14">
        <w:t xml:space="preserve"> ВОИС </w:t>
      </w:r>
      <w:r w:rsidR="00BC28CE">
        <w:t xml:space="preserve">провести, </w:t>
      </w:r>
      <w:r w:rsidR="00BC28CE" w:rsidRPr="00484D14">
        <w:t xml:space="preserve">под руководством экспертов </w:t>
      </w:r>
      <w:r w:rsidR="00BC28CE">
        <w:t xml:space="preserve">и </w:t>
      </w:r>
      <w:r w:rsidR="00BC28CE" w:rsidRPr="00484D14">
        <w:t xml:space="preserve">в рамках </w:t>
      </w:r>
      <w:r w:rsidR="00BC28CE">
        <w:t>существующих положений</w:t>
      </w:r>
      <w:r w:rsidR="00BC28CE" w:rsidRPr="00484D14">
        <w:t xml:space="preserve"> ЕПУС</w:t>
      </w:r>
      <w:r w:rsidR="00BC28CE">
        <w:t>,</w:t>
      </w:r>
      <w:r w:rsidR="00BC28CE" w:rsidRPr="00484D14">
        <w:t xml:space="preserve"> </w:t>
      </w:r>
      <w:r w:rsidR="00BC28CE">
        <w:t xml:space="preserve">ее </w:t>
      </w:r>
      <w:r w:rsidR="00BC28CE">
        <w:rPr>
          <w:szCs w:val="22"/>
        </w:rPr>
        <w:t>целенаправленн</w:t>
      </w:r>
      <w:r w:rsidR="00BC28CE">
        <w:t>ый предварительный анализ консультативного характера, позволяющий оценить</w:t>
      </w:r>
      <w:r w:rsidR="00BC28CE" w:rsidRPr="00484D14">
        <w:t xml:space="preserve"> </w:t>
      </w:r>
      <w:r w:rsidR="00BC28CE">
        <w:t xml:space="preserve">ее работу, чтобы выработать </w:t>
      </w:r>
      <w:r w:rsidR="00BC28CE" w:rsidRPr="00BC28CE">
        <w:t>ориентир</w:t>
      </w:r>
      <w:r w:rsidR="00BC28CE">
        <w:t xml:space="preserve">ы для </w:t>
      </w:r>
      <w:r w:rsidR="00484D14" w:rsidRPr="00484D14">
        <w:t>процесс</w:t>
      </w:r>
      <w:r w:rsidR="00BC28CE">
        <w:t>а</w:t>
      </w:r>
      <w:r w:rsidR="00484D14" w:rsidRPr="00484D14">
        <w:t xml:space="preserve"> выработки </w:t>
      </w:r>
      <w:r w:rsidR="00BC28CE" w:rsidRPr="00BC28CE">
        <w:t>соответствующ</w:t>
      </w:r>
      <w:r w:rsidR="00BC28CE">
        <w:t xml:space="preserve">ей </w:t>
      </w:r>
      <w:r w:rsidR="00484D14" w:rsidRPr="00484D14">
        <w:t>политики ICANN</w:t>
      </w:r>
      <w:r w:rsidR="009A1BB6" w:rsidRPr="00484D14">
        <w:rPr>
          <w:vertAlign w:val="superscript"/>
        </w:rPr>
        <w:footnoteReference w:id="43"/>
      </w:r>
      <w:r w:rsidR="00484D14" w:rsidRPr="00484D14">
        <w:t>.</w:t>
      </w:r>
    </w:p>
    <w:p w14:paraId="6ADF53EC" w14:textId="77777777" w:rsidR="009A1BB6" w:rsidRPr="00E27B7B" w:rsidRDefault="009A1BB6" w:rsidP="009A1BB6">
      <w:pPr>
        <w:pStyle w:val="Heading3"/>
        <w:ind w:firstLine="567"/>
        <w:rPr>
          <w:u w:val="none"/>
        </w:rPr>
      </w:pPr>
      <w:r>
        <w:rPr>
          <w:u w:val="none"/>
        </w:rPr>
        <w:t>C.</w:t>
      </w:r>
      <w:r>
        <w:rPr>
          <w:u w:val="none"/>
        </w:rPr>
        <w:tab/>
        <w:t>БАЗА ДАННЫХ WHOIS</w:t>
      </w:r>
    </w:p>
    <w:p w14:paraId="14A378F3" w14:textId="53571037" w:rsidR="009F43CE" w:rsidRDefault="00EF55E5" w:rsidP="004B7021">
      <w:pPr>
        <w:widowControl w:val="0"/>
        <w:spacing w:before="240"/>
        <w:rPr>
          <w:szCs w:val="22"/>
        </w:rPr>
      </w:pPr>
      <w:r>
        <w:t>41.</w:t>
      </w:r>
      <w:r>
        <w:tab/>
        <w:t xml:space="preserve">В результате </w:t>
      </w:r>
      <w:r w:rsidR="00F04F99">
        <w:t xml:space="preserve">принятия Европейским союзом </w:t>
      </w:r>
      <w:r>
        <w:t>Общего регламента по защите данных (GDPR)</w:t>
      </w:r>
      <w:r w:rsidR="009A1BB6" w:rsidRPr="00D925CE">
        <w:rPr>
          <w:rStyle w:val="FootnoteReference"/>
          <w:szCs w:val="22"/>
        </w:rPr>
        <w:footnoteReference w:id="44"/>
      </w:r>
      <w:r>
        <w:t xml:space="preserve">, </w:t>
      </w:r>
      <w:r w:rsidR="00F04F99">
        <w:t>вступившего</w:t>
      </w:r>
      <w:r>
        <w:t xml:space="preserve"> в силу 25 мая 2018 года, открытая база данных WhoIs, как правило, больше не </w:t>
      </w:r>
      <w:r w:rsidR="00F04F99">
        <w:t>содержит</w:t>
      </w:r>
      <w:r>
        <w:t xml:space="preserve"> полн</w:t>
      </w:r>
      <w:r w:rsidR="00BC28CE">
        <w:t xml:space="preserve">ых контактных </w:t>
      </w:r>
      <w:r w:rsidR="00BC28CE">
        <w:rPr>
          <w:snapToGrid w:val="0"/>
        </w:rPr>
        <w:t>данн</w:t>
      </w:r>
      <w:r w:rsidR="00BC28CE">
        <w:t>ых регистрантов</w:t>
      </w:r>
      <w:r w:rsidR="00F04F99">
        <w:t xml:space="preserve"> доменных имен. </w:t>
      </w:r>
      <w:r w:rsidR="00F04F99" w:rsidRPr="00F04F99">
        <w:t>В</w:t>
      </w:r>
      <w:r w:rsidR="00BC28CE">
        <w:t> </w:t>
      </w:r>
      <w:r w:rsidR="00F04F99" w:rsidRPr="00F04F99">
        <w:t xml:space="preserve">частности, </w:t>
      </w:r>
      <w:r w:rsidR="00F04F99">
        <w:t>имя</w:t>
      </w:r>
      <w:r w:rsidR="00F04F99" w:rsidRPr="00F04F99">
        <w:t xml:space="preserve"> </w:t>
      </w:r>
      <w:r w:rsidR="00F04F99">
        <w:t>регистранта</w:t>
      </w:r>
      <w:r w:rsidR="00F04F99" w:rsidRPr="00F04F99">
        <w:t xml:space="preserve"> </w:t>
      </w:r>
      <w:r w:rsidR="00F04F99">
        <w:t>и</w:t>
      </w:r>
      <w:r w:rsidR="00F04F99" w:rsidRPr="00F04F99">
        <w:t xml:space="preserve"> </w:t>
      </w:r>
      <w:r w:rsidR="00F04F99">
        <w:t>адрес</w:t>
      </w:r>
      <w:r w:rsidR="00F04F99" w:rsidRPr="00F04F99">
        <w:t xml:space="preserve"> </w:t>
      </w:r>
      <w:r w:rsidR="00F04F99">
        <w:t>его</w:t>
      </w:r>
      <w:r w:rsidR="00F04F99" w:rsidRPr="00F04F99">
        <w:t xml:space="preserve"> </w:t>
      </w:r>
      <w:r w:rsidR="00F04F99">
        <w:t xml:space="preserve">электронной почты в большинстве случаев </w:t>
      </w:r>
      <w:r w:rsidR="00BC28CE">
        <w:t>скрыты</w:t>
      </w:r>
      <w:r w:rsidRPr="00F04F99">
        <w:t xml:space="preserve">.  </w:t>
      </w:r>
      <w:r>
        <w:t xml:space="preserve">Однако для </w:t>
      </w:r>
      <w:r w:rsidR="00F04F99">
        <w:t>обеспечения</w:t>
      </w:r>
      <w:r>
        <w:t xml:space="preserve"> контакта с регистрантом доменного имени </w:t>
      </w:r>
      <w:r w:rsidR="00F04F99" w:rsidRPr="00F04F99">
        <w:t>соответствующ</w:t>
      </w:r>
      <w:r w:rsidR="00F04F99">
        <w:t xml:space="preserve">ий </w:t>
      </w:r>
      <w:r>
        <w:t>регистратор обязан указ</w:t>
      </w:r>
      <w:r w:rsidR="00F04F99">
        <w:t>ыв</w:t>
      </w:r>
      <w:r>
        <w:t xml:space="preserve">ать </w:t>
      </w:r>
      <w:r w:rsidR="00F04F99">
        <w:t>«</w:t>
      </w:r>
      <w:r>
        <w:t>обезличенный</w:t>
      </w:r>
      <w:r w:rsidR="00F04F99">
        <w:rPr>
          <w:sz w:val="20"/>
        </w:rPr>
        <w:t>»</w:t>
      </w:r>
      <w:r>
        <w:t xml:space="preserve"> адрес </w:t>
      </w:r>
      <w:r w:rsidR="00F04F99">
        <w:t>электронной почты или предоставля</w:t>
      </w:r>
      <w:r>
        <w:t xml:space="preserve">ть </w:t>
      </w:r>
      <w:r w:rsidR="00F04F99" w:rsidRPr="00847EC1">
        <w:t>онлайнов</w:t>
      </w:r>
      <w:r w:rsidR="00F04F99">
        <w:t>ую форму связи</w:t>
      </w:r>
      <w:r>
        <w:t xml:space="preserve">. Кроме того, в тех случаях, когда </w:t>
      </w:r>
      <w:r w:rsidR="00F04F99">
        <w:lastRenderedPageBreak/>
        <w:t>провайдеру ЕПУС передается жалоба, поданная по процедуре ЕПУС</w:t>
      </w:r>
      <w:r>
        <w:t>, ICANN тре</w:t>
      </w:r>
      <w:r w:rsidR="00F04F99">
        <w:t>бует от регистраторов</w:t>
      </w:r>
      <w:r w:rsidR="00BC28CE">
        <w:t>,</w:t>
      </w:r>
      <w:r w:rsidR="00F04F99">
        <w:t xml:space="preserve"> </w:t>
      </w:r>
      <w:r w:rsidR="00BC28CE" w:rsidRPr="00F04F99">
        <w:t>дополнительн</w:t>
      </w:r>
      <w:r w:rsidR="00BC28CE">
        <w:t xml:space="preserve">о к соблюдению правовых норм, предусмотренных правилами ЕПУС, </w:t>
      </w:r>
      <w:r w:rsidR="00F04F99">
        <w:t>предоставля</w:t>
      </w:r>
      <w:r>
        <w:t>ть контактн</w:t>
      </w:r>
      <w:r w:rsidR="00BC28CE">
        <w:t xml:space="preserve">ые </w:t>
      </w:r>
      <w:r w:rsidR="00BC28CE">
        <w:rPr>
          <w:snapToGrid w:val="0"/>
        </w:rPr>
        <w:t>данн</w:t>
      </w:r>
      <w:r w:rsidR="00BC28CE">
        <w:t xml:space="preserve">ые </w:t>
      </w:r>
      <w:r>
        <w:t>регистранта</w:t>
      </w:r>
      <w:r w:rsidR="00BC28CE">
        <w:t>, полученные</w:t>
      </w:r>
      <w:r>
        <w:t xml:space="preserve"> по запросу такого провайдера («</w:t>
      </w:r>
      <w:r w:rsidR="00BC28CE">
        <w:t>маскируя</w:t>
      </w:r>
      <w:r>
        <w:t xml:space="preserve">» </w:t>
      </w:r>
      <w:r w:rsidR="00F04F99">
        <w:t>при этом данные регистрации</w:t>
      </w:r>
      <w:r>
        <w:t xml:space="preserve"> доменного имени и </w:t>
      </w:r>
      <w:r w:rsidR="00F04F99">
        <w:t>данные регистратора</w:t>
      </w:r>
      <w:r w:rsidR="00BC28CE">
        <w:t>)</w:t>
      </w:r>
      <w:r>
        <w:t xml:space="preserve">. </w:t>
      </w:r>
      <w:r w:rsidR="00BC28CE">
        <w:t xml:space="preserve">Во </w:t>
      </w:r>
      <w:r>
        <w:t>«</w:t>
      </w:r>
      <w:r w:rsidR="00BC28CE">
        <w:t>Временных</w:t>
      </w:r>
      <w:r w:rsidR="00F04F99">
        <w:t xml:space="preserve"> условия</w:t>
      </w:r>
      <w:r w:rsidR="00BC28CE">
        <w:t>х</w:t>
      </w:r>
      <w:r>
        <w:t xml:space="preserve"> [контракта]»</w:t>
      </w:r>
      <w:r w:rsidR="00F04F99">
        <w:t xml:space="preserve"> ICANN</w:t>
      </w:r>
      <w:r>
        <w:t xml:space="preserve">, </w:t>
      </w:r>
      <w:r w:rsidR="00BC28CE" w:rsidRPr="00C862FF">
        <w:t>касающи</w:t>
      </w:r>
      <w:r w:rsidR="00BC28CE">
        <w:t xml:space="preserve">хся </w:t>
      </w:r>
      <w:r w:rsidR="00F04F99">
        <w:t>р</w:t>
      </w:r>
      <w:r>
        <w:t>ег</w:t>
      </w:r>
      <w:r w:rsidR="00F04F99">
        <w:t>истрационных данных</w:t>
      </w:r>
      <w:r>
        <w:t xml:space="preserve"> рДВУ, </w:t>
      </w:r>
      <w:r w:rsidR="00BC28CE">
        <w:t>определенно признается</w:t>
      </w:r>
      <w:r>
        <w:t>, ч</w:t>
      </w:r>
      <w:r w:rsidR="00F04F99">
        <w:t xml:space="preserve">то регистратор </w:t>
      </w:r>
      <w:r w:rsidR="00BC28CE">
        <w:t xml:space="preserve">обязан </w:t>
      </w:r>
      <w:r w:rsidR="00F04F99">
        <w:t>предоставля</w:t>
      </w:r>
      <w:r>
        <w:t xml:space="preserve">ть </w:t>
      </w:r>
      <w:r w:rsidR="00F04F99">
        <w:t xml:space="preserve">провайдерам ЕПУС </w:t>
      </w:r>
      <w:r>
        <w:t>полные «</w:t>
      </w:r>
      <w:r w:rsidR="00F04F99">
        <w:t>регистрационные данные</w:t>
      </w:r>
      <w:r>
        <w:t>»</w:t>
      </w:r>
      <w:r w:rsidR="009A1BB6" w:rsidRPr="00D925CE">
        <w:rPr>
          <w:rStyle w:val="FootnoteReference"/>
          <w:szCs w:val="22"/>
        </w:rPr>
        <w:footnoteReference w:id="45"/>
      </w:r>
      <w:r w:rsidR="00F04F99">
        <w:t xml:space="preserve">. </w:t>
      </w:r>
      <w:r>
        <w:t xml:space="preserve">При этом, судя по всему, </w:t>
      </w:r>
      <w:r w:rsidR="00F04F99">
        <w:t>предполагается</w:t>
      </w:r>
      <w:r>
        <w:t xml:space="preserve">, что провайдеры ЕПУС </w:t>
      </w:r>
      <w:r w:rsidR="00BC28CE">
        <w:t>выполнили требования статьи</w:t>
      </w:r>
      <w:r>
        <w:t xml:space="preserve"> 6(1)(f) («</w:t>
      </w:r>
      <w:r w:rsidR="00F04F99">
        <w:t>З</w:t>
      </w:r>
      <w:r w:rsidR="00BC28CE">
        <w:t>аконные цели») и статьи</w:t>
      </w:r>
      <w:r>
        <w:t xml:space="preserve"> 6(1)(b) («</w:t>
      </w:r>
      <w:r w:rsidR="00F04F99">
        <w:t>И</w:t>
      </w:r>
      <w:r>
        <w:t>сполнение контракта») регламента</w:t>
      </w:r>
      <w:r w:rsidR="00BC28CE">
        <w:t xml:space="preserve"> </w:t>
      </w:r>
      <w:r w:rsidR="00BC28CE" w:rsidRPr="004B7021">
        <w:rPr>
          <w:szCs w:val="22"/>
        </w:rPr>
        <w:t>GDPR</w:t>
      </w:r>
      <w:r w:rsidR="009A1BB6" w:rsidRPr="00D925CE">
        <w:rPr>
          <w:rStyle w:val="FootnoteReference"/>
          <w:szCs w:val="24"/>
        </w:rPr>
        <w:footnoteReference w:id="46"/>
      </w:r>
      <w:r>
        <w:t xml:space="preserve">, </w:t>
      </w:r>
      <w:r w:rsidR="00BC28CE">
        <w:t xml:space="preserve">в соответствии с которыми </w:t>
      </w:r>
      <w:r>
        <w:t xml:space="preserve">регистраторы обязаны </w:t>
      </w:r>
      <w:r w:rsidR="00BC28CE">
        <w:t>были предоставлять</w:t>
      </w:r>
      <w:r>
        <w:t xml:space="preserve"> провайдерам ЕПУС ин</w:t>
      </w:r>
      <w:r w:rsidR="00F04F99">
        <w:t>формацию из базы данных WhoIs. В</w:t>
      </w:r>
      <w:r w:rsidR="00F04F99" w:rsidRPr="00F04F99">
        <w:t xml:space="preserve"> </w:t>
      </w:r>
      <w:r w:rsidR="00F04F99">
        <w:t>июле</w:t>
      </w:r>
      <w:r w:rsidR="00F04F99" w:rsidRPr="00F04F99">
        <w:t xml:space="preserve"> </w:t>
      </w:r>
      <w:r w:rsidRPr="00F04F99">
        <w:t>2018</w:t>
      </w:r>
      <w:r w:rsidR="00F04F99" w:rsidRPr="00F04F99">
        <w:t xml:space="preserve"> </w:t>
      </w:r>
      <w:r w:rsidR="00F04F99">
        <w:t>года</w:t>
      </w:r>
      <w:r w:rsidRPr="00F04F99">
        <w:t xml:space="preserve"> </w:t>
      </w:r>
      <w:r w:rsidRPr="009E2883">
        <w:rPr>
          <w:lang w:val="en-US"/>
        </w:rPr>
        <w:t>GNSO</w:t>
      </w:r>
      <w:r w:rsidRPr="00F04F99">
        <w:t xml:space="preserve"> </w:t>
      </w:r>
      <w:r w:rsidR="00F04F99">
        <w:t>инициировала</w:t>
      </w:r>
      <w:r w:rsidR="00F04F99" w:rsidRPr="00F04F99">
        <w:t xml:space="preserve"> </w:t>
      </w:r>
      <w:r w:rsidR="00F04F99">
        <w:t>ускоренную</w:t>
      </w:r>
      <w:r w:rsidR="00F04F99" w:rsidRPr="00F04F99">
        <w:t xml:space="preserve"> </w:t>
      </w:r>
      <w:r w:rsidR="00F04F99">
        <w:rPr>
          <w:lang w:val="en-US"/>
        </w:rPr>
        <w:t>PDP</w:t>
      </w:r>
      <w:r w:rsidR="00F04F99" w:rsidRPr="00F04F99">
        <w:t xml:space="preserve"> </w:t>
      </w:r>
      <w:r w:rsidRPr="00F04F99">
        <w:t>(</w:t>
      </w:r>
      <w:r w:rsidRPr="009E2883">
        <w:rPr>
          <w:lang w:val="en-US"/>
        </w:rPr>
        <w:t>EPDP</w:t>
      </w:r>
      <w:r w:rsidRPr="00F04F99">
        <w:t xml:space="preserve">) </w:t>
      </w:r>
      <w:r w:rsidR="00F04F99">
        <w:t>по</w:t>
      </w:r>
      <w:r w:rsidR="00F04F99" w:rsidRPr="00F04F99">
        <w:t xml:space="preserve"> </w:t>
      </w:r>
      <w:r w:rsidR="00F04F99">
        <w:t>пересмотру</w:t>
      </w:r>
      <w:r w:rsidR="00F04F99" w:rsidRPr="00F04F99">
        <w:t xml:space="preserve"> «</w:t>
      </w:r>
      <w:r w:rsidR="00F04F99">
        <w:t>Временных</w:t>
      </w:r>
      <w:r w:rsidR="00F04F99" w:rsidRPr="00F04F99">
        <w:t xml:space="preserve"> </w:t>
      </w:r>
      <w:r w:rsidR="00F04F99">
        <w:t>условий</w:t>
      </w:r>
      <w:r w:rsidR="00F04F99" w:rsidRPr="00F04F99">
        <w:t xml:space="preserve"> [</w:t>
      </w:r>
      <w:r w:rsidR="00F04F99">
        <w:t>контракта</w:t>
      </w:r>
      <w:r w:rsidR="00F04F99" w:rsidRPr="00F04F99">
        <w:t xml:space="preserve">]» </w:t>
      </w:r>
      <w:r w:rsidR="00BC28CE">
        <w:t xml:space="preserve">для </w:t>
      </w:r>
      <w:r w:rsidR="00F04F99">
        <w:t xml:space="preserve">обсуждения типовой модели </w:t>
      </w:r>
      <w:r w:rsidR="00BC28CE">
        <w:t>доступа к непубличным</w:t>
      </w:r>
      <w:r w:rsidR="00F04F99">
        <w:t xml:space="preserve"> </w:t>
      </w:r>
      <w:r w:rsidR="00F04F99" w:rsidRPr="006D7B47">
        <w:t>регистр</w:t>
      </w:r>
      <w:r w:rsidR="00BC28CE">
        <w:t>ационным</w:t>
      </w:r>
      <w:r w:rsidR="00F04F99">
        <w:t xml:space="preserve"> </w:t>
      </w:r>
      <w:r w:rsidR="00F04F99">
        <w:rPr>
          <w:snapToGrid w:val="0"/>
        </w:rPr>
        <w:t>данн</w:t>
      </w:r>
      <w:r w:rsidR="00BC28CE">
        <w:t>ым</w:t>
      </w:r>
      <w:r w:rsidR="009A1BB6" w:rsidRPr="00D925CE">
        <w:rPr>
          <w:rStyle w:val="FootnoteReference"/>
          <w:szCs w:val="22"/>
        </w:rPr>
        <w:footnoteReference w:id="47"/>
      </w:r>
      <w:r w:rsidRPr="00F04F99">
        <w:t xml:space="preserve">. </w:t>
      </w:r>
      <w:r w:rsidR="00F04F99">
        <w:t>В</w:t>
      </w:r>
      <w:r w:rsidR="00F04F99" w:rsidRPr="00F04F99">
        <w:t xml:space="preserve"> </w:t>
      </w:r>
      <w:r w:rsidR="00F04F99">
        <w:t>июле</w:t>
      </w:r>
      <w:r w:rsidR="00F04F99" w:rsidRPr="00F04F99">
        <w:t xml:space="preserve"> </w:t>
      </w:r>
      <w:r w:rsidRPr="00F04F99">
        <w:t xml:space="preserve">2020 </w:t>
      </w:r>
      <w:r w:rsidR="00F04F99">
        <w:t>года</w:t>
      </w:r>
      <w:r w:rsidR="00F04F99" w:rsidRPr="00F04F99">
        <w:t xml:space="preserve"> </w:t>
      </w:r>
      <w:r w:rsidR="00F04F99">
        <w:t>Совету</w:t>
      </w:r>
      <w:r w:rsidR="00F04F99" w:rsidRPr="00F04F99">
        <w:t xml:space="preserve"> </w:t>
      </w:r>
      <w:r w:rsidR="00F04F99" w:rsidRPr="009E2883">
        <w:rPr>
          <w:lang w:val="en-US"/>
        </w:rPr>
        <w:t>GNSO</w:t>
      </w:r>
      <w:r w:rsidR="00F04F99" w:rsidRPr="00F04F99">
        <w:t xml:space="preserve"> </w:t>
      </w:r>
      <w:r w:rsidR="00F04F99">
        <w:t>был</w:t>
      </w:r>
      <w:r w:rsidR="00F04F99" w:rsidRPr="00F04F99">
        <w:t xml:space="preserve"> </w:t>
      </w:r>
      <w:r w:rsidR="00F04F99">
        <w:t>представлен</w:t>
      </w:r>
      <w:r w:rsidR="00F04F99" w:rsidRPr="00F04F99">
        <w:t xml:space="preserve"> </w:t>
      </w:r>
      <w:r w:rsidR="00F04F99">
        <w:t>Итоговый</w:t>
      </w:r>
      <w:r w:rsidR="00F04F99" w:rsidRPr="00F04F99">
        <w:t xml:space="preserve"> </w:t>
      </w:r>
      <w:r w:rsidR="00F04F99" w:rsidRPr="00F245C5">
        <w:t>доклад</w:t>
      </w:r>
      <w:r w:rsidR="00F04F99" w:rsidRPr="00F04F99">
        <w:t xml:space="preserve">, </w:t>
      </w:r>
      <w:r w:rsidR="00F04F99">
        <w:t>включавший</w:t>
      </w:r>
      <w:r w:rsidR="00F04F99" w:rsidRPr="00F04F99">
        <w:t xml:space="preserve"> </w:t>
      </w:r>
      <w:r w:rsidR="00F04F99">
        <w:t>рекомендации</w:t>
      </w:r>
      <w:r w:rsidR="00F04F99" w:rsidRPr="00F04F99">
        <w:t xml:space="preserve"> </w:t>
      </w:r>
      <w:r w:rsidR="00F04F99">
        <w:t>группы</w:t>
      </w:r>
      <w:r w:rsidR="00F04F99" w:rsidRPr="00F04F99">
        <w:t xml:space="preserve"> </w:t>
      </w:r>
      <w:r w:rsidRPr="009E2883">
        <w:rPr>
          <w:lang w:val="en-US"/>
        </w:rPr>
        <w:t>EPDP</w:t>
      </w:r>
      <w:r w:rsidRPr="00F04F99">
        <w:t xml:space="preserve"> </w:t>
      </w:r>
      <w:r w:rsidR="00F04F99">
        <w:t>по</w:t>
      </w:r>
      <w:r w:rsidR="00F04F99" w:rsidRPr="00F04F99">
        <w:t xml:space="preserve"> </w:t>
      </w:r>
      <w:r w:rsidR="00F04F99">
        <w:t>разработке</w:t>
      </w:r>
      <w:r w:rsidR="00F04F99" w:rsidRPr="00F04F99">
        <w:t xml:space="preserve"> </w:t>
      </w:r>
      <w:r w:rsidR="00F04F99">
        <w:t xml:space="preserve">Типовой </w:t>
      </w:r>
      <w:r w:rsidR="00F04F99" w:rsidRPr="00F04F99">
        <w:t>систем</w:t>
      </w:r>
      <w:r w:rsidR="00F04F99">
        <w:t>ы</w:t>
      </w:r>
      <w:r w:rsidR="00F04F99" w:rsidRPr="00F04F99">
        <w:t xml:space="preserve"> </w:t>
      </w:r>
      <w:r w:rsidR="001A76E1">
        <w:t>обеспечения</w:t>
      </w:r>
      <w:r w:rsidR="001A76E1" w:rsidRPr="001A76E1">
        <w:t xml:space="preserve"> </w:t>
      </w:r>
      <w:r w:rsidR="00F04F99">
        <w:t>доступа</w:t>
      </w:r>
      <w:r w:rsidR="001A76E1">
        <w:t xml:space="preserve"> к </w:t>
      </w:r>
      <w:r w:rsidR="00F04F99">
        <w:rPr>
          <w:snapToGrid w:val="0"/>
        </w:rPr>
        <w:t>данн</w:t>
      </w:r>
      <w:r w:rsidR="001A76E1">
        <w:t>ым</w:t>
      </w:r>
      <w:r w:rsidR="00F04F99">
        <w:t xml:space="preserve"> </w:t>
      </w:r>
      <w:r w:rsidRPr="00F04F99">
        <w:t>(</w:t>
      </w:r>
      <w:r w:rsidRPr="009E2883">
        <w:rPr>
          <w:lang w:val="en-US"/>
        </w:rPr>
        <w:t>SSAD</w:t>
      </w:r>
      <w:r w:rsidRPr="00F04F99">
        <w:t>)</w:t>
      </w:r>
      <w:r w:rsidR="009A1BB6" w:rsidRPr="00D925CE">
        <w:rPr>
          <w:rStyle w:val="FootnoteReference"/>
          <w:szCs w:val="22"/>
        </w:rPr>
        <w:footnoteReference w:id="48"/>
      </w:r>
      <w:r w:rsidR="00F04F99">
        <w:t>, в</w:t>
      </w:r>
      <w:r w:rsidR="00BC28CE">
        <w:t> </w:t>
      </w:r>
      <w:r w:rsidR="00F04F99">
        <w:t xml:space="preserve">отношении которой правительствами и участниками деятельности, </w:t>
      </w:r>
      <w:r w:rsidR="00F04F99" w:rsidRPr="006A0A21">
        <w:t>касающ</w:t>
      </w:r>
      <w:r w:rsidR="00F04F99">
        <w:t xml:space="preserve">ейся ИС, был </w:t>
      </w:r>
      <w:r w:rsidR="00BC28CE">
        <w:t xml:space="preserve">задан </w:t>
      </w:r>
      <w:r w:rsidR="00F04F99">
        <w:t xml:space="preserve">ряд вопросов, вызывающих беспокойство, и </w:t>
      </w:r>
      <w:r w:rsidR="00BC28CE">
        <w:t xml:space="preserve">в отношении которой все еще идут </w:t>
      </w:r>
      <w:r w:rsidR="00F04F99" w:rsidRPr="00893A9D">
        <w:t>консульта</w:t>
      </w:r>
      <w:r w:rsidR="00F04F99">
        <w:t>ции</w:t>
      </w:r>
      <w:r w:rsidRPr="00F04F99">
        <w:t xml:space="preserve">. </w:t>
      </w:r>
      <w:r>
        <w:t xml:space="preserve">Центр продолжает внимательно следить за ходом </w:t>
      </w:r>
      <w:r w:rsidR="00BC28CE">
        <w:t xml:space="preserve">еще не завершившегося </w:t>
      </w:r>
      <w:r w:rsidR="00F04F99">
        <w:t>обсуждения</w:t>
      </w:r>
      <w:r>
        <w:t xml:space="preserve"> </w:t>
      </w:r>
      <w:r w:rsidR="00F04F99">
        <w:t xml:space="preserve">вопросов </w:t>
      </w:r>
      <w:r w:rsidR="00BC28CE">
        <w:t>политики</w:t>
      </w:r>
      <w:r w:rsidR="00F04F99">
        <w:t xml:space="preserve">, связанных с </w:t>
      </w:r>
      <w:r w:rsidR="001A76E1" w:rsidRPr="001A76E1">
        <w:t>систем</w:t>
      </w:r>
      <w:r w:rsidR="001A76E1">
        <w:t xml:space="preserve">ой </w:t>
      </w:r>
      <w:r>
        <w:t>SSAD</w:t>
      </w:r>
      <w:r w:rsidR="009A1BB6" w:rsidRPr="00D925CE">
        <w:rPr>
          <w:rStyle w:val="FootnoteReference"/>
          <w:szCs w:val="22"/>
        </w:rPr>
        <w:footnoteReference w:id="49"/>
      </w:r>
      <w:r w:rsidR="00F04F99">
        <w:t>.</w:t>
      </w:r>
    </w:p>
    <w:p w14:paraId="5E63D1A0" w14:textId="0155D1A5" w:rsidR="009A1BB6" w:rsidRPr="004B7021" w:rsidRDefault="009F43CE" w:rsidP="004B7021">
      <w:pPr>
        <w:widowControl w:val="0"/>
        <w:spacing w:before="240"/>
        <w:rPr>
          <w:szCs w:val="22"/>
        </w:rPr>
      </w:pPr>
      <w:r>
        <w:t>42.</w:t>
      </w:r>
      <w:r>
        <w:tab/>
        <w:t xml:space="preserve">Совсем недавно ICANN </w:t>
      </w:r>
      <w:r w:rsidR="008A7C64">
        <w:t xml:space="preserve">создала </w:t>
      </w:r>
      <w:hyperlink r:id="rId34" w:history="1">
        <w:r w:rsidR="008A7C64">
          <w:rPr>
            <w:rStyle w:val="Hyperlink"/>
          </w:rPr>
          <w:t>Службу запроса регистрационных данных (RDRS)</w:t>
        </w:r>
      </w:hyperlink>
      <w:r>
        <w:t xml:space="preserve"> </w:t>
      </w:r>
      <w:r w:rsidR="008A7C64">
        <w:t>‒ новый</w:t>
      </w:r>
      <w:r>
        <w:t xml:space="preserve"> централизо</w:t>
      </w:r>
      <w:r w:rsidR="008A7C64">
        <w:t>ванный сервис</w:t>
      </w:r>
      <w:r>
        <w:t xml:space="preserve">, </w:t>
      </w:r>
      <w:r w:rsidR="008A7C64">
        <w:t>предусматривающий</w:t>
      </w:r>
      <w:r>
        <w:t xml:space="preserve"> </w:t>
      </w:r>
      <w:r w:rsidR="008A7C64">
        <w:t>более упорядоченн</w:t>
      </w:r>
      <w:r w:rsidR="00725074">
        <w:t>ый</w:t>
      </w:r>
      <w:r w:rsidR="008A7C64">
        <w:t xml:space="preserve"> </w:t>
      </w:r>
      <w:r w:rsidR="00725074">
        <w:t>и стандартизированный формат</w:t>
      </w:r>
      <w:r>
        <w:t xml:space="preserve"> запросов на </w:t>
      </w:r>
      <w:r w:rsidR="00BC28CE">
        <w:t xml:space="preserve">предоставление </w:t>
      </w:r>
      <w:r>
        <w:t>доступ</w:t>
      </w:r>
      <w:r w:rsidR="00BC28CE">
        <w:t>а</w:t>
      </w:r>
      <w:r>
        <w:t xml:space="preserve"> к непубличным регистрационным данным</w:t>
      </w:r>
      <w:r w:rsidR="00725074">
        <w:t xml:space="preserve"> </w:t>
      </w:r>
      <w:r>
        <w:t>рДВУ</w:t>
      </w:r>
      <w:r w:rsidR="00725074">
        <w:t>, направляемых регистраторам</w:t>
      </w:r>
      <w:r w:rsidR="00BC28CE">
        <w:t>-пользователям сервиса</w:t>
      </w:r>
      <w:r w:rsidR="00725074">
        <w:t xml:space="preserve">. </w:t>
      </w:r>
      <w:r>
        <w:t xml:space="preserve">Центр </w:t>
      </w:r>
      <w:r w:rsidR="00725074">
        <w:t xml:space="preserve">опубликовал </w:t>
      </w:r>
      <w:r>
        <w:t>обнов</w:t>
      </w:r>
      <w:r w:rsidR="00725074">
        <w:t xml:space="preserve">ленную </w:t>
      </w:r>
      <w:hyperlink r:id="rId35" w:history="1">
        <w:r w:rsidR="00BC28CE">
          <w:rPr>
            <w:rStyle w:val="Hyperlink"/>
          </w:rPr>
          <w:t>веб-страницу вопросов и ответов</w:t>
        </w:r>
      </w:hyperlink>
      <w:r w:rsidR="00725074" w:rsidRPr="00725074">
        <w:t>,</w:t>
      </w:r>
      <w:r>
        <w:t xml:space="preserve"> </w:t>
      </w:r>
      <w:r w:rsidR="00BC28CE">
        <w:t xml:space="preserve">которой </w:t>
      </w:r>
      <w:r w:rsidR="00725074">
        <w:t>он информирует</w:t>
      </w:r>
      <w:r>
        <w:t xml:space="preserve"> о </w:t>
      </w:r>
      <w:r w:rsidR="00725074">
        <w:t>создании службы</w:t>
      </w:r>
      <w:r>
        <w:t xml:space="preserve"> RDRS ICANN и </w:t>
      </w:r>
      <w:r w:rsidR="00725074" w:rsidRPr="004D0E14">
        <w:t>рассматр</w:t>
      </w:r>
      <w:r w:rsidR="00725074">
        <w:t xml:space="preserve">ивает возможные </w:t>
      </w:r>
      <w:r>
        <w:t xml:space="preserve">последствия </w:t>
      </w:r>
      <w:r w:rsidR="00725074">
        <w:t xml:space="preserve">этого </w:t>
      </w:r>
      <w:r>
        <w:t xml:space="preserve">для рассмотрения </w:t>
      </w:r>
      <w:r w:rsidR="00725074">
        <w:t xml:space="preserve">споров </w:t>
      </w:r>
      <w:r>
        <w:t>на основе ЕПУС. Европейск</w:t>
      </w:r>
      <w:r w:rsidR="00875E08">
        <w:t>ий союз</w:t>
      </w:r>
      <w:r w:rsidR="00725074">
        <w:t>,</w:t>
      </w:r>
      <w:r>
        <w:t xml:space="preserve"> </w:t>
      </w:r>
      <w:r w:rsidR="00725074">
        <w:t xml:space="preserve">затрагивая некоторые аспекты вопросов, </w:t>
      </w:r>
      <w:r w:rsidR="00725074" w:rsidRPr="00C862FF">
        <w:t>касающи</w:t>
      </w:r>
      <w:r w:rsidR="00725074">
        <w:t xml:space="preserve">хся EPDP и WhoIs, </w:t>
      </w:r>
      <w:r>
        <w:t xml:space="preserve">принял </w:t>
      </w:r>
      <w:hyperlink r:id="rId36" w:history="1">
        <w:r>
          <w:rPr>
            <w:rStyle w:val="Hyperlink"/>
          </w:rPr>
          <w:t xml:space="preserve">пересмотренную Директиву о </w:t>
        </w:r>
        <w:r w:rsidR="00DA245A">
          <w:rPr>
            <w:rStyle w:val="Hyperlink"/>
          </w:rPr>
          <w:t>мерах по обеспечению высокого уровня кибербезопасности на территории Союза</w:t>
        </w:r>
      </w:hyperlink>
      <w:r w:rsidR="00BC28CE">
        <w:t xml:space="preserve"> (Директива</w:t>
      </w:r>
      <w:r>
        <w:t xml:space="preserve"> NIS 2), которая должна </w:t>
      </w:r>
      <w:r w:rsidR="00725074">
        <w:t>найти отражение в национальном законодательстве</w:t>
      </w:r>
      <w:r>
        <w:t xml:space="preserve"> </w:t>
      </w:r>
      <w:r w:rsidR="00875E08">
        <w:t>государств – членов Европейского союза</w:t>
      </w:r>
      <w:r w:rsidR="006A18E3">
        <w:t xml:space="preserve"> </w:t>
      </w:r>
      <w:r>
        <w:t xml:space="preserve">и которая, как ожидается, потенциально может повлиять на практику </w:t>
      </w:r>
      <w:r w:rsidR="006A18E3">
        <w:t xml:space="preserve">работы </w:t>
      </w:r>
      <w:r w:rsidR="00725074">
        <w:t>с WhoIs</w:t>
      </w:r>
      <w:r w:rsidR="006A18E3">
        <w:t xml:space="preserve"> и формирование </w:t>
      </w:r>
      <w:r w:rsidR="006A18E3" w:rsidRPr="006A18E3">
        <w:t>соответствующ</w:t>
      </w:r>
      <w:r w:rsidR="006A18E3">
        <w:t>их запросов</w:t>
      </w:r>
      <w:r>
        <w:t>.</w:t>
      </w:r>
    </w:p>
    <w:p w14:paraId="366DCEAD" w14:textId="38F27A65" w:rsidR="009A1BB6" w:rsidRPr="004B7021" w:rsidRDefault="00EF55E5" w:rsidP="004B7021">
      <w:pPr>
        <w:widowControl w:val="0"/>
        <w:spacing w:before="240" w:after="240"/>
        <w:rPr>
          <w:szCs w:val="22"/>
        </w:rPr>
      </w:pPr>
      <w:r>
        <w:t>43.</w:t>
      </w:r>
      <w:r>
        <w:tab/>
        <w:t xml:space="preserve">Центр продолжает внимательно следить за тем, как </w:t>
      </w:r>
      <w:r w:rsidR="00725074">
        <w:t>принятие регламента GDPR влияе</w:t>
      </w:r>
      <w:r>
        <w:t xml:space="preserve">т на рассмотрение споров по процедуре ЕПУС. Помимо выполнения Центром своих функций, связанных с ЕПУС, для решения более широких задач защиты прав ИС в связи с введением </w:t>
      </w:r>
      <w:r w:rsidR="00725074" w:rsidRPr="00D539C9">
        <w:t>регламент</w:t>
      </w:r>
      <w:r w:rsidR="00725074">
        <w:t xml:space="preserve">а GDPR, как указано </w:t>
      </w:r>
      <w:r>
        <w:t xml:space="preserve">выше </w:t>
      </w:r>
      <w:r w:rsidR="00725074">
        <w:t xml:space="preserve">в связи с </w:t>
      </w:r>
      <w:r>
        <w:t xml:space="preserve">предлагаемой </w:t>
      </w:r>
      <w:r w:rsidR="00725074" w:rsidRPr="00725074">
        <w:t>систем</w:t>
      </w:r>
      <w:r w:rsidR="00725074">
        <w:t xml:space="preserve">ой </w:t>
      </w:r>
      <w:r>
        <w:t>SSAD</w:t>
      </w:r>
      <w:r w:rsidR="001A76E1">
        <w:t xml:space="preserve">, предназначенной </w:t>
      </w:r>
      <w:r>
        <w:t xml:space="preserve">для </w:t>
      </w:r>
      <w:r w:rsidR="001A76E1">
        <w:t xml:space="preserve">направления </w:t>
      </w:r>
      <w:r>
        <w:t xml:space="preserve">запросов к базе данных WhoIs, продолжается ряд обсуждений по вопросу о возможной модели «аккредитации и доступа» </w:t>
      </w:r>
      <w:r w:rsidR="00725074">
        <w:t xml:space="preserve">для </w:t>
      </w:r>
      <w:r>
        <w:t xml:space="preserve">WhoIs, включая вопрос о потенциальной роли ВОИС в </w:t>
      </w:r>
      <w:r w:rsidR="00725074">
        <w:t xml:space="preserve">подтверждении прав </w:t>
      </w:r>
      <w:r>
        <w:t xml:space="preserve">владельцев ИС </w:t>
      </w:r>
      <w:r w:rsidR="00725074">
        <w:t xml:space="preserve">на </w:t>
      </w:r>
      <w:r w:rsidR="001A76E1">
        <w:lastRenderedPageBreak/>
        <w:t>получение такого</w:t>
      </w:r>
      <w:r w:rsidR="00725074">
        <w:t xml:space="preserve"> доступ</w:t>
      </w:r>
      <w:r w:rsidR="001A76E1">
        <w:t>а</w:t>
      </w:r>
      <w:r w:rsidR="009A1BB6" w:rsidRPr="00632443">
        <w:rPr>
          <w:rStyle w:val="FootnoteReference"/>
          <w:szCs w:val="22"/>
        </w:rPr>
        <w:footnoteReference w:id="50"/>
      </w:r>
      <w:r>
        <w:t>.</w:t>
      </w:r>
    </w:p>
    <w:p w14:paraId="2D9E9DBD" w14:textId="77777777" w:rsidR="009A1BB6" w:rsidRPr="005B4F4B" w:rsidRDefault="004B4BD9" w:rsidP="009A1BB6">
      <w:pPr>
        <w:pStyle w:val="Heading3"/>
        <w:ind w:firstLine="567"/>
        <w:rPr>
          <w:u w:val="none"/>
        </w:rPr>
      </w:pPr>
      <w:r>
        <w:rPr>
          <w:u w:val="none"/>
        </w:rPr>
        <w:t>D.</w:t>
      </w:r>
      <w:r>
        <w:rPr>
          <w:u w:val="none"/>
        </w:rPr>
        <w:tab/>
        <w:t>ДРУГИЕ ИДЕНТИФИКАТОРЫ</w:t>
      </w:r>
    </w:p>
    <w:p w14:paraId="39161BCD" w14:textId="77777777" w:rsidR="009A1BB6" w:rsidRPr="004B7021" w:rsidRDefault="00EF55E5" w:rsidP="004B7021">
      <w:pPr>
        <w:spacing w:before="240" w:after="240"/>
        <w:rPr>
          <w:szCs w:val="22"/>
        </w:rPr>
      </w:pPr>
      <w:r>
        <w:t>44.</w:t>
      </w:r>
      <w:r>
        <w:tab/>
        <w:t>Помимо упомянутых выше инициатив</w:t>
      </w:r>
      <w:r w:rsidR="00186DFD">
        <w:t xml:space="preserve"> и </w:t>
      </w:r>
      <w:r>
        <w:t xml:space="preserve">в связи с ними в ICANN </w:t>
      </w:r>
      <w:r w:rsidR="001A76E1">
        <w:t xml:space="preserve">идут </w:t>
      </w:r>
      <w:r>
        <w:t xml:space="preserve">и другие </w:t>
      </w:r>
      <w:r w:rsidR="00186DFD">
        <w:t>процессы</w:t>
      </w:r>
      <w:r w:rsidR="001A76E1">
        <w:t xml:space="preserve">, </w:t>
      </w:r>
      <w:r w:rsidR="001A76E1" w:rsidRPr="00C862FF">
        <w:t>касающи</w:t>
      </w:r>
      <w:r w:rsidR="001A76E1">
        <w:t xml:space="preserve">еся </w:t>
      </w:r>
      <w:r>
        <w:t>охраны идентификаторов, не связанных с товарными знаками.</w:t>
      </w:r>
    </w:p>
    <w:p w14:paraId="20354D88" w14:textId="2087A149" w:rsidR="009A1BB6" w:rsidRPr="005B4F4B" w:rsidRDefault="0029722F" w:rsidP="004A5C56">
      <w:pPr>
        <w:pStyle w:val="Heading3"/>
        <w:keepNext w:val="0"/>
        <w:widowControl w:val="0"/>
        <w:spacing w:after="240"/>
        <w:ind w:left="562" w:firstLine="562"/>
      </w:pPr>
      <w:r w:rsidRPr="0029722F">
        <w:rPr>
          <w:u w:val="none"/>
        </w:rPr>
        <w:t>(а)</w:t>
      </w:r>
      <w:r w:rsidRPr="0029722F">
        <w:rPr>
          <w:u w:val="none"/>
        </w:rPr>
        <w:tab/>
      </w:r>
      <w:r w:rsidR="009A1BB6">
        <w:t>Межправительственные организации (М</w:t>
      </w:r>
      <w:r w:rsidR="004A5C56">
        <w:t>П</w:t>
      </w:r>
      <w:r w:rsidR="009A1BB6">
        <w:t>О)</w:t>
      </w:r>
    </w:p>
    <w:p w14:paraId="37EC2DE1" w14:textId="1AE3C2C7" w:rsidR="009A1BB6" w:rsidRPr="004B7021" w:rsidRDefault="00EF55E5" w:rsidP="004B7021">
      <w:pPr>
        <w:rPr>
          <w:szCs w:val="22"/>
        </w:rPr>
      </w:pPr>
      <w:r>
        <w:t>45.</w:t>
      </w:r>
      <w:r>
        <w:tab/>
        <w:t xml:space="preserve">Как </w:t>
      </w:r>
      <w:r w:rsidR="000417ED">
        <w:t xml:space="preserve">уже </w:t>
      </w:r>
      <w:r w:rsidR="00186DFD">
        <w:t>отмечалось</w:t>
      </w:r>
      <w:r w:rsidR="000417ED">
        <w:t>,</w:t>
      </w:r>
      <w:r>
        <w:t xml:space="preserve"> в частности, в документе </w:t>
      </w:r>
      <w:hyperlink r:id="rId37" w:history="1">
        <w:r>
          <w:rPr>
            <w:rStyle w:val="Hyperlink"/>
          </w:rPr>
          <w:t>SCT/46/3</w:t>
        </w:r>
      </w:hyperlink>
      <w:r>
        <w:t>, Рабочая группа ICANN выработала ряд рекомендаций по предоставлению МО доступа к ЕПУС, и эти рекомендации были единогласно одобрены Совет</w:t>
      </w:r>
      <w:r w:rsidR="00186DFD">
        <w:t xml:space="preserve">ом GNSO 27 сентября 2018 года. </w:t>
      </w:r>
      <w:r w:rsidRPr="00186DFD">
        <w:t>27</w:t>
      </w:r>
      <w:r w:rsidR="000417ED">
        <w:t> </w:t>
      </w:r>
      <w:r w:rsidR="00186DFD">
        <w:t>января</w:t>
      </w:r>
      <w:r w:rsidR="00186DFD" w:rsidRPr="00186DFD">
        <w:t xml:space="preserve"> </w:t>
      </w:r>
      <w:r w:rsidRPr="00186DFD">
        <w:t>2019</w:t>
      </w:r>
      <w:r w:rsidR="00186DFD" w:rsidRPr="00186DFD">
        <w:t xml:space="preserve"> </w:t>
      </w:r>
      <w:r w:rsidR="00186DFD">
        <w:t>года</w:t>
      </w:r>
      <w:r w:rsidRPr="00186DFD">
        <w:t xml:space="preserve"> </w:t>
      </w:r>
      <w:r w:rsidR="00186DFD">
        <w:t>эти</w:t>
      </w:r>
      <w:r w:rsidR="00186DFD" w:rsidRPr="00186DFD">
        <w:t xml:space="preserve"> </w:t>
      </w:r>
      <w:r w:rsidR="00186DFD">
        <w:t>рекомендации</w:t>
      </w:r>
      <w:r w:rsidR="00186DFD" w:rsidRPr="00186DFD">
        <w:t xml:space="preserve"> </w:t>
      </w:r>
      <w:r w:rsidR="00186DFD">
        <w:t>были</w:t>
      </w:r>
      <w:r w:rsidR="00186DFD" w:rsidRPr="00186DFD">
        <w:t xml:space="preserve"> </w:t>
      </w:r>
      <w:r w:rsidR="00186DFD">
        <w:t>приняты</w:t>
      </w:r>
      <w:r w:rsidR="00186DFD" w:rsidRPr="00186DFD">
        <w:t xml:space="preserve"> </w:t>
      </w:r>
      <w:r w:rsidR="00186DFD">
        <w:t>Советом</w:t>
      </w:r>
      <w:r w:rsidR="00186DFD" w:rsidRPr="00186DFD">
        <w:t xml:space="preserve"> </w:t>
      </w:r>
      <w:r w:rsidRPr="009E2883">
        <w:rPr>
          <w:lang w:val="en-US"/>
        </w:rPr>
        <w:t>ICANN</w:t>
      </w:r>
      <w:r w:rsidR="00186DFD" w:rsidRPr="00186DFD">
        <w:t>,</w:t>
      </w:r>
      <w:r w:rsidRPr="00186DFD">
        <w:t xml:space="preserve"> </w:t>
      </w:r>
      <w:r w:rsidR="00186DFD">
        <w:t>и</w:t>
      </w:r>
      <w:r w:rsidR="00186DFD" w:rsidRPr="00186DFD">
        <w:t xml:space="preserve"> </w:t>
      </w:r>
      <w:r w:rsidRPr="009E2883">
        <w:rPr>
          <w:lang w:val="en-US"/>
        </w:rPr>
        <w:t>ICANN</w:t>
      </w:r>
      <w:r w:rsidRPr="00186DFD">
        <w:t xml:space="preserve"> </w:t>
      </w:r>
      <w:r w:rsidR="00186DFD">
        <w:t xml:space="preserve">было поручено </w:t>
      </w:r>
      <w:r w:rsidR="000417ED">
        <w:t>их выполнение</w:t>
      </w:r>
      <w:r w:rsidR="00186DFD">
        <w:t>. Пока</w:t>
      </w:r>
      <w:r w:rsidR="00186DFD" w:rsidRPr="00186DFD">
        <w:t xml:space="preserve"> </w:t>
      </w:r>
      <w:r w:rsidR="00186DFD">
        <w:t>работа</w:t>
      </w:r>
      <w:r w:rsidR="00186DFD" w:rsidRPr="00186DFD">
        <w:t xml:space="preserve"> </w:t>
      </w:r>
      <w:r w:rsidRPr="009E2883">
        <w:rPr>
          <w:lang w:val="en-US"/>
        </w:rPr>
        <w:t>ICANN</w:t>
      </w:r>
      <w:r w:rsidRPr="00186DFD">
        <w:t xml:space="preserve"> </w:t>
      </w:r>
      <w:r w:rsidR="00186DFD">
        <w:t>по</w:t>
      </w:r>
      <w:r w:rsidR="00186DFD" w:rsidRPr="00186DFD">
        <w:t xml:space="preserve"> выполнени</w:t>
      </w:r>
      <w:r w:rsidR="00186DFD">
        <w:t>ю</w:t>
      </w:r>
      <w:r w:rsidR="00186DFD" w:rsidRPr="00186DFD">
        <w:t xml:space="preserve"> </w:t>
      </w:r>
      <w:r w:rsidR="00186DFD">
        <w:t>этих</w:t>
      </w:r>
      <w:r w:rsidR="00186DFD" w:rsidRPr="00186DFD">
        <w:t xml:space="preserve"> </w:t>
      </w:r>
      <w:r w:rsidR="00186DFD">
        <w:t>рекомендаций</w:t>
      </w:r>
      <w:r w:rsidR="00186DFD" w:rsidRPr="00186DFD">
        <w:t xml:space="preserve"> </w:t>
      </w:r>
      <w:r w:rsidR="00186DFD">
        <w:t>по вопросам политики не завершена</w:t>
      </w:r>
      <w:r w:rsidRPr="00186DFD">
        <w:t xml:space="preserve">. </w:t>
      </w:r>
      <w:r>
        <w:t>Вместе с другими МО</w:t>
      </w:r>
      <w:r w:rsidR="00186DFD">
        <w:t xml:space="preserve">, которых это касается, </w:t>
      </w:r>
      <w:r>
        <w:t xml:space="preserve">Центр продолжает внимательно следить за </w:t>
      </w:r>
      <w:r w:rsidR="00186DFD">
        <w:t xml:space="preserve">процессом </w:t>
      </w:r>
      <w:r w:rsidR="00186DFD" w:rsidRPr="00186DFD">
        <w:t>выполнени</w:t>
      </w:r>
      <w:r w:rsidR="00186DFD">
        <w:t>я этой</w:t>
      </w:r>
      <w:r>
        <w:t xml:space="preserve"> </w:t>
      </w:r>
      <w:r w:rsidR="00186DFD">
        <w:t>давно сформулированной задачи</w:t>
      </w:r>
      <w:r w:rsidR="000417ED">
        <w:t xml:space="preserve"> ICANN</w:t>
      </w:r>
      <w:r>
        <w:t>.</w:t>
      </w:r>
    </w:p>
    <w:p w14:paraId="7AA8D18C" w14:textId="77777777" w:rsidR="009A1BB6" w:rsidRPr="005B4F4B" w:rsidRDefault="009A1BB6" w:rsidP="009A1BB6">
      <w:pPr>
        <w:pStyle w:val="Heading3"/>
        <w:ind w:left="567" w:firstLine="567"/>
        <w:rPr>
          <w:u w:val="none"/>
        </w:rPr>
      </w:pPr>
      <w:r>
        <w:rPr>
          <w:u w:val="none"/>
        </w:rPr>
        <w:t>(b)</w:t>
      </w:r>
      <w:r>
        <w:rPr>
          <w:u w:val="none"/>
        </w:rPr>
        <w:tab/>
      </w:r>
      <w:r w:rsidR="00186DFD" w:rsidRPr="00186DFD">
        <w:t>Географическ</w:t>
      </w:r>
      <w:r w:rsidR="00186DFD">
        <w:t>ие</w:t>
      </w:r>
      <w:r w:rsidR="00186DFD" w:rsidRPr="00186DFD">
        <w:t xml:space="preserve"> </w:t>
      </w:r>
      <w:r w:rsidR="006339E5">
        <w:t>термины</w:t>
      </w:r>
    </w:p>
    <w:p w14:paraId="397BECA2" w14:textId="3B931053" w:rsidR="009C497F" w:rsidRDefault="00EF55E5" w:rsidP="004B7021">
      <w:pPr>
        <w:spacing w:before="240" w:after="240"/>
        <w:ind w:right="-143"/>
      </w:pPr>
      <w:r>
        <w:t>46.</w:t>
      </w:r>
      <w:r>
        <w:tab/>
      </w:r>
      <w:r w:rsidR="006339E5">
        <w:t xml:space="preserve">Что касается </w:t>
      </w:r>
      <w:r>
        <w:t>охраны географических терминов</w:t>
      </w:r>
      <w:r w:rsidR="006339E5">
        <w:t>,</w:t>
      </w:r>
      <w:r>
        <w:t xml:space="preserve"> </w:t>
      </w:r>
      <w:r w:rsidR="006339E5">
        <w:t>ПКК был одним из органов</w:t>
      </w:r>
      <w:r>
        <w:t xml:space="preserve">, </w:t>
      </w:r>
      <w:r w:rsidR="006339E5">
        <w:t>выразивших</w:t>
      </w:r>
      <w:r>
        <w:t xml:space="preserve"> обеспокоенность </w:t>
      </w:r>
      <w:r w:rsidR="006339E5">
        <w:t>по поводу их использования</w:t>
      </w:r>
      <w:r>
        <w:t xml:space="preserve"> в новых рДВУ и </w:t>
      </w:r>
      <w:r w:rsidR="000417ED">
        <w:t xml:space="preserve">возможностей </w:t>
      </w:r>
      <w:r>
        <w:t>их охраны в этой связи</w:t>
      </w:r>
      <w:r w:rsidR="009A1BB6" w:rsidRPr="005B4F4B">
        <w:rPr>
          <w:vertAlign w:val="superscript"/>
        </w:rPr>
        <w:footnoteReference w:id="51"/>
      </w:r>
      <w:r>
        <w:t xml:space="preserve">. В 2007 году ПКК выпустил </w:t>
      </w:r>
      <w:r w:rsidR="006339E5">
        <w:t xml:space="preserve">документ </w:t>
      </w:r>
      <w:r>
        <w:t xml:space="preserve">«Принципы ПКК, касающиеся новых рДВУ», </w:t>
      </w:r>
      <w:r w:rsidR="006339E5">
        <w:t>где</w:t>
      </w:r>
      <w:r>
        <w:t xml:space="preserve">, </w:t>
      </w:r>
      <w:r w:rsidR="006339E5" w:rsidRPr="006339E5">
        <w:t xml:space="preserve">в частности, </w:t>
      </w:r>
      <w:r w:rsidR="006339E5">
        <w:t>говорится</w:t>
      </w:r>
      <w:r>
        <w:t xml:space="preserve">, что ICANN следует избегать </w:t>
      </w:r>
      <w:r w:rsidR="006339E5">
        <w:t xml:space="preserve">делегирования </w:t>
      </w:r>
      <w:r>
        <w:t xml:space="preserve">новых рДВУ, </w:t>
      </w:r>
      <w:r w:rsidR="00376322" w:rsidRPr="00C862FF">
        <w:t>касающи</w:t>
      </w:r>
      <w:r w:rsidR="00376322">
        <w:t>хся названий</w:t>
      </w:r>
      <w:r>
        <w:t xml:space="preserve"> стран, территорий или мест, а также </w:t>
      </w:r>
      <w:r w:rsidR="006339E5">
        <w:t xml:space="preserve">местных </w:t>
      </w:r>
      <w:r>
        <w:t xml:space="preserve">языков или народов, если это не предусмотрено </w:t>
      </w:r>
      <w:r w:rsidR="006339E5">
        <w:t>соглашениями</w:t>
      </w:r>
      <w:r>
        <w:t xml:space="preserve"> с соответствующими правительствами или государственными </w:t>
      </w:r>
      <w:r w:rsidR="006339E5">
        <w:t>органами</w:t>
      </w:r>
      <w:r>
        <w:t xml:space="preserve">. Члены ПКК </w:t>
      </w:r>
      <w:r w:rsidR="006339E5">
        <w:t xml:space="preserve">высказали и </w:t>
      </w:r>
      <w:r>
        <w:t xml:space="preserve">другие </w:t>
      </w:r>
      <w:r w:rsidR="006339E5">
        <w:t>опасения</w:t>
      </w:r>
      <w:r>
        <w:t xml:space="preserve"> относительно </w:t>
      </w:r>
      <w:r w:rsidR="006339E5">
        <w:t xml:space="preserve">ряда </w:t>
      </w:r>
      <w:r>
        <w:t xml:space="preserve">заявок на создание новых рДВУ, </w:t>
      </w:r>
      <w:r w:rsidR="00376322">
        <w:t xml:space="preserve">связанные с их соответствием </w:t>
      </w:r>
      <w:r>
        <w:t>географическим или иным «</w:t>
      </w:r>
      <w:r w:rsidR="006339E5">
        <w:t>деликатны</w:t>
      </w:r>
      <w:r w:rsidR="006339E5" w:rsidRPr="006339E5">
        <w:t>м</w:t>
      </w:r>
      <w:r>
        <w:t xml:space="preserve">» терминам, </w:t>
      </w:r>
      <w:r w:rsidR="00FA39F4">
        <w:t>рекомендуя</w:t>
      </w:r>
      <w:r>
        <w:t xml:space="preserve"> Совету ICANN не </w:t>
      </w:r>
      <w:r w:rsidR="00FA39F4">
        <w:t xml:space="preserve">идти далее </w:t>
      </w:r>
      <w:r>
        <w:t>их первоначал</w:t>
      </w:r>
      <w:r w:rsidR="00FA39F4">
        <w:t>ьной оценки и запросив</w:t>
      </w:r>
      <w:r>
        <w:t xml:space="preserve"> </w:t>
      </w:r>
      <w:r w:rsidR="00FA39F4">
        <w:t>разъяснений Совета по поводу того, в какой степени заявители</w:t>
      </w:r>
      <w:r>
        <w:t xml:space="preserve"> </w:t>
      </w:r>
      <w:r w:rsidR="00FA39F4">
        <w:t xml:space="preserve">могут исправлять свои </w:t>
      </w:r>
      <w:r>
        <w:t xml:space="preserve">заявки на создание новых рДВУ </w:t>
      </w:r>
      <w:r w:rsidR="00FA39F4">
        <w:t>с учетом</w:t>
      </w:r>
      <w:r>
        <w:t xml:space="preserve"> конкретных </w:t>
      </w:r>
      <w:r w:rsidR="00FA39F4">
        <w:t>моментов</w:t>
      </w:r>
      <w:r>
        <w:t>, вызывающих озабоченность ПКК</w:t>
      </w:r>
      <w:r w:rsidR="009A1BB6" w:rsidRPr="005B4F4B">
        <w:rPr>
          <w:rStyle w:val="FootnoteReference"/>
          <w:iCs/>
          <w:szCs w:val="22"/>
        </w:rPr>
        <w:footnoteReference w:id="52"/>
      </w:r>
      <w:r>
        <w:t>.</w:t>
      </w:r>
    </w:p>
    <w:p w14:paraId="07E6C7FE" w14:textId="7B359153" w:rsidR="009A1BB6" w:rsidRPr="009C497F" w:rsidRDefault="009C497F" w:rsidP="009C497F">
      <w:r>
        <w:br w:type="page"/>
      </w:r>
    </w:p>
    <w:p w14:paraId="6231D798" w14:textId="2A06F361" w:rsidR="009A1BB6" w:rsidRPr="00365196" w:rsidRDefault="00EF55E5" w:rsidP="00F40736">
      <w:pPr>
        <w:rPr>
          <w:szCs w:val="22"/>
        </w:rPr>
      </w:pPr>
      <w:r>
        <w:lastRenderedPageBreak/>
        <w:t>47.</w:t>
      </w:r>
      <w:r>
        <w:tab/>
        <w:t xml:space="preserve">Что касается возможных </w:t>
      </w:r>
      <w:r w:rsidR="00FA39F4">
        <w:t xml:space="preserve">будущих </w:t>
      </w:r>
      <w:r>
        <w:t xml:space="preserve">раундов делегирования новых рДВУ, </w:t>
      </w:r>
      <w:r w:rsidR="006C312A">
        <w:t>то так называемая «Р</w:t>
      </w:r>
      <w:r>
        <w:t>абочая группа по направлению работы № 5</w:t>
      </w:r>
      <w:r w:rsidR="006C312A">
        <w:t>, отражающая мнения различных сообществ»,</w:t>
      </w:r>
      <w:r>
        <w:t xml:space="preserve"> представила </w:t>
      </w:r>
      <w:r w:rsidR="00FA39F4">
        <w:t xml:space="preserve">свой </w:t>
      </w:r>
      <w:hyperlink r:id="rId38" w:history="1">
        <w:r w:rsidR="00991916">
          <w:rPr>
            <w:rStyle w:val="Hyperlink"/>
          </w:rPr>
          <w:t>и</w:t>
        </w:r>
        <w:r w:rsidR="006C312A">
          <w:rPr>
            <w:rStyle w:val="Hyperlink"/>
          </w:rPr>
          <w:t>тоговый отчет Рабочей группе по PDP по последующим процедурам в отношении новых рДВУ</w:t>
        </w:r>
      </w:hyperlink>
      <w:r>
        <w:t xml:space="preserve"> </w:t>
      </w:r>
      <w:r w:rsidR="00FA39F4">
        <w:t xml:space="preserve">по вопросу об использовании </w:t>
      </w:r>
      <w:r>
        <w:t xml:space="preserve">географических названий </w:t>
      </w:r>
      <w:r w:rsidR="00FA39F4">
        <w:t>в доменах верхнего уровня</w:t>
      </w:r>
      <w:r w:rsidR="00C63B87" w:rsidRPr="00C63B87">
        <w:t>.</w:t>
      </w:r>
      <w:r>
        <w:t xml:space="preserve"> Хотя в целом</w:t>
      </w:r>
      <w:r w:rsidR="00FA39F4">
        <w:t xml:space="preserve"> </w:t>
      </w:r>
      <w:r w:rsidR="006C312A">
        <w:t xml:space="preserve">для </w:t>
      </w:r>
      <w:r w:rsidR="00FA39F4">
        <w:t xml:space="preserve">следующего раунда </w:t>
      </w:r>
      <w:r w:rsidR="006C312A">
        <w:t>приема</w:t>
      </w:r>
      <w:r w:rsidR="00FA39F4">
        <w:t xml:space="preserve"> заявок </w:t>
      </w:r>
      <w:r w:rsidR="006C312A">
        <w:t xml:space="preserve">ICANN </w:t>
      </w:r>
      <w:r w:rsidR="00FA39F4">
        <w:t>будет, вероятно, сохранен</w:t>
      </w:r>
      <w:r>
        <w:t xml:space="preserve"> статус раунда 2014 года, тема географичес</w:t>
      </w:r>
      <w:r w:rsidR="00FA39F4">
        <w:t>ких названий</w:t>
      </w:r>
      <w:r w:rsidR="006C312A">
        <w:t>, имеющая более общий характер,</w:t>
      </w:r>
      <w:r w:rsidR="00FA39F4">
        <w:t xml:space="preserve"> остается актуальной</w:t>
      </w:r>
      <w:r>
        <w:t xml:space="preserve"> для ряда </w:t>
      </w:r>
      <w:r w:rsidR="00FA39F4">
        <w:t xml:space="preserve">сторон, заинтересованных в деятельности </w:t>
      </w:r>
      <w:r>
        <w:t>ICANN, в том числе для правительств и потенциальных заявителей</w:t>
      </w:r>
      <w:r w:rsidR="00FD01FE">
        <w:rPr>
          <w:rStyle w:val="FootnoteReference"/>
          <w:szCs w:val="22"/>
        </w:rPr>
        <w:footnoteReference w:id="53"/>
      </w:r>
      <w:r>
        <w:t>.</w:t>
      </w:r>
      <w:bookmarkStart w:id="9" w:name="_Hlk156398678"/>
    </w:p>
    <w:bookmarkEnd w:id="9"/>
    <w:p w14:paraId="2D28CCC5" w14:textId="3A3BF9A9" w:rsidR="009A1BB6" w:rsidRPr="00CD7B3D" w:rsidRDefault="00EF55E5" w:rsidP="004B7021">
      <w:pPr>
        <w:spacing w:before="240" w:after="240"/>
        <w:ind w:right="-143"/>
        <w:rPr>
          <w:szCs w:val="22"/>
        </w:rPr>
      </w:pPr>
      <w:r>
        <w:t>48.</w:t>
      </w:r>
      <w:r>
        <w:tab/>
        <w:t xml:space="preserve">В декабре 2016 года ICANN санкционировал выдачу </w:t>
      </w:r>
      <w:r w:rsidR="00184B4F" w:rsidRPr="00950CF2">
        <w:t>разреш</w:t>
      </w:r>
      <w:r w:rsidR="00184B4F">
        <w:t xml:space="preserve">ений на использование </w:t>
      </w:r>
      <w:r>
        <w:t xml:space="preserve">всех ранее зарезервированных двухсимвольных доменных имен </w:t>
      </w:r>
      <w:r w:rsidR="00184B4F">
        <w:t>второго уровня</w:t>
      </w:r>
      <w:r>
        <w:t xml:space="preserve"> в новых рДВУ</w:t>
      </w:r>
      <w:r w:rsidR="00DF4EA4">
        <w:t>,</w:t>
      </w:r>
      <w:r>
        <w:t xml:space="preserve"> при условии, что операторы реестров </w:t>
      </w:r>
      <w:r w:rsidR="00CD7B3D">
        <w:t xml:space="preserve">сначала дадут </w:t>
      </w:r>
      <w:r w:rsidR="00184B4F">
        <w:t>соответствующим правительствам</w:t>
      </w:r>
      <w:r>
        <w:t xml:space="preserve"> </w:t>
      </w:r>
      <w:r w:rsidR="00184B4F">
        <w:t xml:space="preserve">30-дневный срок на приобретение </w:t>
      </w:r>
      <w:r>
        <w:t>таких доменных имен</w:t>
      </w:r>
      <w:r w:rsidR="00CD7B3D">
        <w:t>;</w:t>
      </w:r>
      <w:r>
        <w:t xml:space="preserve"> потребуют от регистрантов взять </w:t>
      </w:r>
      <w:r w:rsidR="00184B4F">
        <w:t xml:space="preserve">на себя обязательство в том, что </w:t>
      </w:r>
      <w:r w:rsidR="00CD7B3D">
        <w:t>в связи с использованием</w:t>
      </w:r>
      <w:r>
        <w:t xml:space="preserve"> таких двухсимвольных доменных имен </w:t>
      </w:r>
      <w:r w:rsidR="00CD7B3D">
        <w:t xml:space="preserve">они не будут </w:t>
      </w:r>
      <w:r w:rsidR="006C312A">
        <w:t xml:space="preserve">стремиться </w:t>
      </w:r>
      <w:r w:rsidR="00CD7B3D">
        <w:t>созда</w:t>
      </w:r>
      <w:r w:rsidR="00DF4EA4">
        <w:t>ва</w:t>
      </w:r>
      <w:r w:rsidR="00CD7B3D">
        <w:t xml:space="preserve">ть ложное впечатление об их </w:t>
      </w:r>
      <w:r>
        <w:t>связ</w:t>
      </w:r>
      <w:r w:rsidR="00CD7B3D">
        <w:t>и</w:t>
      </w:r>
      <w:r>
        <w:t xml:space="preserve"> с государственными органами</w:t>
      </w:r>
      <w:r w:rsidR="00CD7B3D">
        <w:t>;</w:t>
      </w:r>
      <w:r>
        <w:t xml:space="preserve"> и обеспечат процедуру рассмотрения жалоб после регистрации</w:t>
      </w:r>
      <w:r w:rsidR="009A1BB6" w:rsidRPr="005B4F4B">
        <w:rPr>
          <w:rStyle w:val="FootnoteReference"/>
          <w:szCs w:val="22"/>
        </w:rPr>
        <w:footnoteReference w:id="54"/>
      </w:r>
      <w:r>
        <w:t xml:space="preserve">. В этой связи Центр </w:t>
      </w:r>
      <w:hyperlink r:id="rId39" w:history="1">
        <w:r w:rsidR="00CD7B3D">
          <w:rPr>
            <w:rStyle w:val="Hyperlink"/>
          </w:rPr>
          <w:t>представил ICANN свои комментарии</w:t>
        </w:r>
      </w:hyperlink>
      <w:r>
        <w:t xml:space="preserve">, отметив, что </w:t>
      </w:r>
      <w:r w:rsidR="00CD7B3D">
        <w:t>в ходе Второго</w:t>
      </w:r>
      <w:r>
        <w:t xml:space="preserve"> процесс</w:t>
      </w:r>
      <w:r w:rsidR="00CD7B3D">
        <w:t>а</w:t>
      </w:r>
      <w:r>
        <w:t xml:space="preserve"> ВОИС по доменным именам в интернете </w:t>
      </w:r>
      <w:r w:rsidR="00CD7B3D">
        <w:t>была рассмотрена</w:t>
      </w:r>
      <w:r>
        <w:t xml:space="preserve"> возможность </w:t>
      </w:r>
      <w:r w:rsidR="006C312A">
        <w:t>обсуждения</w:t>
      </w:r>
      <w:r w:rsidR="00CD7B3D">
        <w:t xml:space="preserve"> </w:t>
      </w:r>
      <w:r>
        <w:t>мер</w:t>
      </w:r>
      <w:r w:rsidR="00CD7B3D">
        <w:t xml:space="preserve">, направленных на </w:t>
      </w:r>
      <w:r w:rsidR="006C312A" w:rsidRPr="00EA4BEE">
        <w:rPr>
          <w:snapToGrid w:val="0"/>
        </w:rPr>
        <w:t>применени</w:t>
      </w:r>
      <w:r w:rsidR="006C312A">
        <w:t>е</w:t>
      </w:r>
      <w:r w:rsidR="00CD7B3D">
        <w:t xml:space="preserve"> </w:t>
      </w:r>
      <w:r>
        <w:t xml:space="preserve">ЕПУС </w:t>
      </w:r>
      <w:r w:rsidR="006C312A">
        <w:t>в ходе регистрации</w:t>
      </w:r>
      <w:r w:rsidR="00CD7B3D">
        <w:t xml:space="preserve"> доменных имен </w:t>
      </w:r>
      <w:r>
        <w:t>тр</w:t>
      </w:r>
      <w:r w:rsidR="00CD7B3D">
        <w:t>етьего уровня</w:t>
      </w:r>
      <w:r>
        <w:t xml:space="preserve"> </w:t>
      </w:r>
      <w:r w:rsidR="00CD7B3D">
        <w:t>для уменьшения вероятности</w:t>
      </w:r>
      <w:r>
        <w:t xml:space="preserve"> </w:t>
      </w:r>
      <w:r w:rsidR="00CD7B3D">
        <w:t>нарушений прав на товарные знаки</w:t>
      </w:r>
      <w:r>
        <w:t xml:space="preserve">.  </w:t>
      </w:r>
      <w:r w:rsidRPr="009E2883">
        <w:rPr>
          <w:lang w:val="en-US"/>
        </w:rPr>
        <w:t>ICANN</w:t>
      </w:r>
      <w:r w:rsidRPr="00423040">
        <w:t xml:space="preserve"> </w:t>
      </w:r>
      <w:r>
        <w:t>не</w:t>
      </w:r>
      <w:r w:rsidRPr="00423040">
        <w:t xml:space="preserve"> </w:t>
      </w:r>
      <w:r>
        <w:t>отреагировал</w:t>
      </w:r>
      <w:r w:rsidRPr="00423040">
        <w:t xml:space="preserve"> </w:t>
      </w:r>
      <w:r>
        <w:t>на</w:t>
      </w:r>
      <w:r w:rsidRPr="00423040">
        <w:t xml:space="preserve"> </w:t>
      </w:r>
      <w:r>
        <w:t>эти</w:t>
      </w:r>
      <w:r w:rsidRPr="00423040">
        <w:t xml:space="preserve"> </w:t>
      </w:r>
      <w:r>
        <w:t>комментарии</w:t>
      </w:r>
      <w:r w:rsidRPr="00423040">
        <w:t xml:space="preserve"> </w:t>
      </w:r>
      <w:r>
        <w:t>Центра</w:t>
      </w:r>
      <w:r w:rsidRPr="00423040">
        <w:t xml:space="preserve">. </w:t>
      </w:r>
      <w:r w:rsidR="00CD7B3D">
        <w:t>Члены</w:t>
      </w:r>
      <w:r w:rsidR="00CD7B3D" w:rsidRPr="00CD7B3D">
        <w:t xml:space="preserve"> </w:t>
      </w:r>
      <w:r w:rsidR="006339E5" w:rsidRPr="00CD7B3D">
        <w:t>ПКК</w:t>
      </w:r>
      <w:r w:rsidRPr="00CD7B3D">
        <w:t xml:space="preserve"> </w:t>
      </w:r>
      <w:r w:rsidR="00DF4EA4" w:rsidRPr="009C497F">
        <w:t>просили ICANN представить согласованную информацию о соответствующих запросах и делегированиях имен</w:t>
      </w:r>
      <w:r w:rsidRPr="00CD7B3D">
        <w:t>.</w:t>
      </w:r>
    </w:p>
    <w:p w14:paraId="11446049" w14:textId="7727D158" w:rsidR="009A1BB6" w:rsidRPr="004B7021" w:rsidRDefault="006C312A" w:rsidP="004B7021">
      <w:pPr>
        <w:spacing w:before="240" w:after="240"/>
        <w:rPr>
          <w:szCs w:val="24"/>
        </w:rPr>
      </w:pPr>
      <w:r>
        <w:t>49.</w:t>
      </w:r>
      <w:r>
        <w:tab/>
        <w:t>Центр стремится</w:t>
      </w:r>
      <w:r w:rsidR="00EF55E5">
        <w:t xml:space="preserve"> информировать </w:t>
      </w:r>
      <w:r>
        <w:t xml:space="preserve">соответствующие отделы Секретариата </w:t>
      </w:r>
      <w:r w:rsidR="00DF4EA4">
        <w:t xml:space="preserve">об этих и других вопросах, относящихся к DNS, </w:t>
      </w:r>
      <w:r w:rsidR="00EF55E5">
        <w:t xml:space="preserve">в том числе </w:t>
      </w:r>
      <w:r w:rsidR="00DF4EA4">
        <w:t xml:space="preserve">для </w:t>
      </w:r>
      <w:r w:rsidR="00EF55E5">
        <w:t>обеспечения работы Постоянного комитета по законодательству в области товарных знаков, промышленных образцов и географических указаний (ПКТЗ)</w:t>
      </w:r>
      <w:r w:rsidR="009A1BB6" w:rsidRPr="005B4F4B">
        <w:rPr>
          <w:rStyle w:val="FootnoteReference"/>
          <w:szCs w:val="22"/>
        </w:rPr>
        <w:footnoteReference w:id="55"/>
      </w:r>
      <w:r w:rsidR="00EF55E5">
        <w:t xml:space="preserve">. Секретариат будет </w:t>
      </w:r>
      <w:r w:rsidR="00DF4EA4">
        <w:t xml:space="preserve">и далее </w:t>
      </w:r>
      <w:r w:rsidR="00EF55E5">
        <w:t xml:space="preserve">следить за развитием ситуации в этой области и высказывать свои соображения по мере </w:t>
      </w:r>
      <w:r w:rsidR="00DF4EA4">
        <w:t>необходимости</w:t>
      </w:r>
      <w:r w:rsidR="00EF55E5">
        <w:t>.</w:t>
      </w:r>
    </w:p>
    <w:p w14:paraId="072E8546" w14:textId="5B38A617" w:rsidR="008D6F26" w:rsidRPr="006F6660" w:rsidRDefault="00DF1442" w:rsidP="006E7704">
      <w:pPr>
        <w:pStyle w:val="DecisionInvitingPara"/>
        <w:ind w:left="5530"/>
        <w:rPr>
          <w:rFonts w:cs="Arial"/>
          <w:sz w:val="22"/>
        </w:rPr>
      </w:pPr>
      <w:r>
        <w:rPr>
          <w:sz w:val="22"/>
        </w:rPr>
        <w:t>50.</w:t>
      </w:r>
      <w:r>
        <w:tab/>
      </w:r>
      <w:r>
        <w:rPr>
          <w:sz w:val="22"/>
        </w:rPr>
        <w:t>Генеральной Ассамблее ВОИС предлагается принять к сведению содержание документа «Центр ВОИС по арбитражу и посредничеству, включая доменные имена» (документ</w:t>
      </w:r>
      <w:r w:rsidR="00153414">
        <w:rPr>
          <w:sz w:val="22"/>
        </w:rPr>
        <w:t> </w:t>
      </w:r>
      <w:r>
        <w:rPr>
          <w:sz w:val="22"/>
        </w:rPr>
        <w:t>WO/GA/57/10).</w:t>
      </w:r>
    </w:p>
    <w:p w14:paraId="1EBB7D1D" w14:textId="77777777" w:rsidR="004A745C" w:rsidRPr="006F6660" w:rsidRDefault="004A745C" w:rsidP="004A745C">
      <w:pPr>
        <w:pStyle w:val="DecisionInvitingPara"/>
        <w:ind w:left="5530"/>
        <w:rPr>
          <w:rFonts w:cs="Arial"/>
          <w:sz w:val="22"/>
        </w:rPr>
      </w:pPr>
    </w:p>
    <w:p w14:paraId="19BB7B3C" w14:textId="77777777" w:rsidR="006E7704" w:rsidRPr="006F6660" w:rsidRDefault="006E7704" w:rsidP="002D6207">
      <w:pPr>
        <w:pStyle w:val="DecisionInvitingPara"/>
        <w:ind w:left="0"/>
        <w:rPr>
          <w:rFonts w:cs="Arial"/>
          <w:sz w:val="22"/>
        </w:rPr>
      </w:pPr>
    </w:p>
    <w:p w14:paraId="48735B07" w14:textId="77777777" w:rsidR="008D6F26" w:rsidRPr="004D39C4" w:rsidRDefault="008D6F26" w:rsidP="006E7704">
      <w:pPr>
        <w:pStyle w:val="DecisionInvitingPara"/>
        <w:spacing w:before="120"/>
        <w:ind w:left="5530"/>
        <w:rPr>
          <w:i w:val="0"/>
        </w:rPr>
      </w:pPr>
      <w:r>
        <w:rPr>
          <w:i w:val="0"/>
          <w:sz w:val="22"/>
        </w:rPr>
        <w:t xml:space="preserve">[Конец документа] </w:t>
      </w:r>
      <w:bookmarkEnd w:id="4"/>
    </w:p>
    <w:sectPr w:rsidR="008D6F26" w:rsidRPr="004D39C4" w:rsidSect="00823777">
      <w:headerReference w:type="default" r:id="rId40"/>
      <w:footerReference w:type="default" r:id="rId41"/>
      <w:footerReference w:type="first" r:id="rId4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53CD9" w14:textId="77777777" w:rsidR="0077782A" w:rsidRDefault="0077782A">
      <w:r>
        <w:separator/>
      </w:r>
    </w:p>
  </w:endnote>
  <w:endnote w:type="continuationSeparator" w:id="0">
    <w:p w14:paraId="32835DFC" w14:textId="77777777" w:rsidR="0077782A" w:rsidRDefault="0077782A" w:rsidP="003B38C1">
      <w:r>
        <w:separator/>
      </w:r>
    </w:p>
    <w:p w14:paraId="74B95FB7" w14:textId="77777777" w:rsidR="0077782A" w:rsidRPr="009E2883" w:rsidRDefault="0077782A" w:rsidP="003B38C1">
      <w:pPr>
        <w:spacing w:after="60"/>
        <w:rPr>
          <w:sz w:val="17"/>
          <w:lang w:val="en-US"/>
        </w:rPr>
      </w:pPr>
      <w:r w:rsidRPr="009E2883">
        <w:rPr>
          <w:sz w:val="17"/>
          <w:lang w:val="en-US"/>
        </w:rPr>
        <w:t>[Endnote continued from previous page]</w:t>
      </w:r>
    </w:p>
  </w:endnote>
  <w:endnote w:type="continuationNotice" w:id="1">
    <w:p w14:paraId="585F3769" w14:textId="77777777" w:rsidR="0077782A" w:rsidRPr="009E2883" w:rsidRDefault="0077782A" w:rsidP="003B38C1">
      <w:pPr>
        <w:spacing w:before="60"/>
        <w:jc w:val="right"/>
        <w:rPr>
          <w:sz w:val="17"/>
          <w:szCs w:val="17"/>
          <w:lang w:val="en-US"/>
        </w:rPr>
      </w:pPr>
      <w:r w:rsidRPr="009E2883">
        <w:rPr>
          <w:sz w:val="17"/>
          <w:szCs w:val="17"/>
          <w:lang w:val="en-US"/>
        </w:rPr>
        <w:t xml:space="preserve">[Endnote </w:t>
      </w:r>
      <w:proofErr w:type="gramStart"/>
      <w:r w:rsidRPr="009E2883">
        <w:rPr>
          <w:sz w:val="17"/>
          <w:szCs w:val="17"/>
          <w:lang w:val="en-US"/>
        </w:rPr>
        <w:t>continued on</w:t>
      </w:r>
      <w:proofErr w:type="gramEnd"/>
      <w:r w:rsidRPr="009E2883">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B1A0" w14:textId="60922863" w:rsidR="00DB4D92" w:rsidRDefault="00DB4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0FE7" w14:textId="45301493" w:rsidR="00DB4D92" w:rsidRDefault="00DB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F21A" w14:textId="77777777" w:rsidR="0077782A" w:rsidRDefault="0077782A">
      <w:r>
        <w:separator/>
      </w:r>
    </w:p>
  </w:footnote>
  <w:footnote w:type="continuationSeparator" w:id="0">
    <w:p w14:paraId="3F6C04F0" w14:textId="77777777" w:rsidR="0077782A" w:rsidRDefault="0077782A" w:rsidP="008B60B2">
      <w:r>
        <w:separator/>
      </w:r>
    </w:p>
    <w:p w14:paraId="2E063957" w14:textId="77777777" w:rsidR="0077782A" w:rsidRPr="009E2883" w:rsidRDefault="0077782A" w:rsidP="008B60B2">
      <w:pPr>
        <w:spacing w:after="60"/>
        <w:rPr>
          <w:sz w:val="17"/>
          <w:szCs w:val="17"/>
          <w:lang w:val="en-US"/>
        </w:rPr>
      </w:pPr>
      <w:r w:rsidRPr="009E2883">
        <w:rPr>
          <w:sz w:val="17"/>
          <w:szCs w:val="17"/>
          <w:lang w:val="en-US"/>
        </w:rPr>
        <w:t>[Footnote continued from previous page]</w:t>
      </w:r>
    </w:p>
  </w:footnote>
  <w:footnote w:type="continuationNotice" w:id="1">
    <w:p w14:paraId="0A07636E" w14:textId="77777777" w:rsidR="0077782A" w:rsidRPr="009E2883" w:rsidRDefault="0077782A" w:rsidP="008B60B2">
      <w:pPr>
        <w:spacing w:before="60"/>
        <w:jc w:val="right"/>
        <w:rPr>
          <w:sz w:val="17"/>
          <w:szCs w:val="17"/>
          <w:lang w:val="en-US"/>
        </w:rPr>
      </w:pPr>
      <w:r w:rsidRPr="009E2883">
        <w:rPr>
          <w:sz w:val="17"/>
          <w:szCs w:val="17"/>
          <w:lang w:val="en-US"/>
        </w:rPr>
        <w:t xml:space="preserve">[Footnote </w:t>
      </w:r>
      <w:proofErr w:type="gramStart"/>
      <w:r w:rsidRPr="009E2883">
        <w:rPr>
          <w:sz w:val="17"/>
          <w:szCs w:val="17"/>
          <w:lang w:val="en-US"/>
        </w:rPr>
        <w:t>continued on</w:t>
      </w:r>
      <w:proofErr w:type="gramEnd"/>
      <w:r w:rsidRPr="009E2883">
        <w:rPr>
          <w:sz w:val="17"/>
          <w:szCs w:val="17"/>
          <w:lang w:val="en-US"/>
        </w:rPr>
        <w:t xml:space="preserve"> next page]</w:t>
      </w:r>
    </w:p>
  </w:footnote>
  <w:footnote w:id="2">
    <w:p w14:paraId="73D43922" w14:textId="77777777" w:rsidR="00DB4D92" w:rsidRPr="00CD2DBA" w:rsidRDefault="00DB4D92" w:rsidP="00595359">
      <w:pPr>
        <w:pStyle w:val="FootnoteText"/>
        <w:rPr>
          <w:szCs w:val="18"/>
        </w:rPr>
      </w:pPr>
      <w:r w:rsidRPr="006D7D6A">
        <w:rPr>
          <w:rStyle w:val="FootnoteReference"/>
          <w:szCs w:val="18"/>
        </w:rPr>
        <w:footnoteRef/>
      </w:r>
      <w:r w:rsidRPr="00CD2DBA">
        <w:t xml:space="preserve"> </w:t>
      </w:r>
      <w:r w:rsidRPr="00CD2DBA">
        <w:tab/>
      </w:r>
      <w:r w:rsidRPr="002C45F4">
        <w:t>Споры</w:t>
      </w:r>
      <w:r>
        <w:t xml:space="preserve">, </w:t>
      </w:r>
      <w:r>
        <w:rPr>
          <w:szCs w:val="22"/>
        </w:rPr>
        <w:t xml:space="preserve">рассмотренные </w:t>
      </w:r>
      <w:r w:rsidRPr="00CC1EED">
        <w:rPr>
          <w:szCs w:val="22"/>
        </w:rPr>
        <w:t xml:space="preserve">в соответствии с </w:t>
      </w:r>
      <w:r w:rsidRPr="00CD2DBA">
        <w:t>Правил</w:t>
      </w:r>
      <w:r>
        <w:t>ами</w:t>
      </w:r>
      <w:r w:rsidRPr="00CD2DBA">
        <w:t xml:space="preserve"> ВОИС </w:t>
      </w:r>
      <w:r>
        <w:t>в области посредничества</w:t>
      </w:r>
      <w:r w:rsidRPr="00CD2DBA">
        <w:t xml:space="preserve">, </w:t>
      </w:r>
      <w:r>
        <w:t>арбитража,</w:t>
      </w:r>
      <w:r w:rsidRPr="00CD2DBA">
        <w:t xml:space="preserve"> </w:t>
      </w:r>
      <w:r>
        <w:t>ускоренного</w:t>
      </w:r>
      <w:r w:rsidRPr="00CD2DBA">
        <w:t xml:space="preserve"> </w:t>
      </w:r>
      <w:r>
        <w:t>арбитража</w:t>
      </w:r>
      <w:r w:rsidRPr="00CD2DBA">
        <w:t xml:space="preserve"> </w:t>
      </w:r>
      <w:r>
        <w:t>и экспертных</w:t>
      </w:r>
      <w:r w:rsidRPr="00CD2DBA">
        <w:t xml:space="preserve"> </w:t>
      </w:r>
      <w:r>
        <w:t>заключений</w:t>
      </w:r>
      <w:r w:rsidRPr="00CD2DBA">
        <w:t xml:space="preserve"> (Правила</w:t>
      </w:r>
      <w:r>
        <w:t>ми</w:t>
      </w:r>
      <w:r w:rsidRPr="00CD2DBA">
        <w:t xml:space="preserve"> ВОИС)</w:t>
      </w:r>
      <w:r>
        <w:t xml:space="preserve">, а также в рамках оказываемого ВОИС </w:t>
      </w:r>
      <w:r w:rsidRPr="00A535DF">
        <w:t>процедур</w:t>
      </w:r>
      <w:r>
        <w:t>ного содействия (добрых услуг)</w:t>
      </w:r>
      <w:r w:rsidRPr="00CD2DBA">
        <w:t>.</w:t>
      </w:r>
    </w:p>
  </w:footnote>
  <w:footnote w:id="3">
    <w:p w14:paraId="2FA0B727" w14:textId="77777777" w:rsidR="00DB4D92" w:rsidRPr="006D7D6A" w:rsidRDefault="00DB4D92" w:rsidP="00950383">
      <w:pPr>
        <w:pStyle w:val="FootnoteText"/>
        <w:rPr>
          <w:szCs w:val="18"/>
        </w:rPr>
      </w:pPr>
      <w:r w:rsidRPr="006D7D6A">
        <w:rPr>
          <w:rStyle w:val="FootnoteReference"/>
          <w:szCs w:val="18"/>
        </w:rPr>
        <w:footnoteRef/>
      </w:r>
      <w:r w:rsidRPr="00CD2DBA">
        <w:t xml:space="preserve"> </w:t>
      </w:r>
      <w:r w:rsidRPr="00CD2DBA">
        <w:tab/>
      </w:r>
      <w:r>
        <w:t>Центр</w:t>
      </w:r>
      <w:r w:rsidRPr="00CD2DBA">
        <w:t xml:space="preserve"> </w:t>
      </w:r>
      <w:r>
        <w:t>оказывает</w:t>
      </w:r>
      <w:r w:rsidRPr="00CD2DBA">
        <w:t xml:space="preserve"> </w:t>
      </w:r>
      <w:r w:rsidRPr="00A535DF">
        <w:t>процедур</w:t>
      </w:r>
      <w:r>
        <w:t>ное</w:t>
      </w:r>
      <w:r w:rsidRPr="00CD2DBA">
        <w:t xml:space="preserve"> </w:t>
      </w:r>
      <w:r>
        <w:t>содействие</w:t>
      </w:r>
      <w:r w:rsidRPr="00CD2DBA">
        <w:t xml:space="preserve"> </w:t>
      </w:r>
      <w:r w:rsidRPr="00CD2DBA">
        <w:rPr>
          <w:color w:val="000000"/>
        </w:rPr>
        <w:t>(</w:t>
      </w:r>
      <w:r>
        <w:rPr>
          <w:color w:val="000000"/>
        </w:rPr>
        <w:t>добрые</w:t>
      </w:r>
      <w:r w:rsidRPr="00CD2DBA">
        <w:rPr>
          <w:color w:val="000000"/>
        </w:rPr>
        <w:t xml:space="preserve"> услуг</w:t>
      </w:r>
      <w:r>
        <w:rPr>
          <w:color w:val="000000"/>
        </w:rPr>
        <w:t>и</w:t>
      </w:r>
      <w:r w:rsidRPr="00CD2DBA">
        <w:rPr>
          <w:color w:val="000000"/>
        </w:rPr>
        <w:t>)</w:t>
      </w:r>
      <w:r w:rsidRPr="00CD2DBA">
        <w:rPr>
          <w:color w:val="000000"/>
          <w:shd w:val="clear" w:color="auto" w:fill="FFFFFF"/>
        </w:rPr>
        <w:t xml:space="preserve"> сторон</w:t>
      </w:r>
      <w:r>
        <w:rPr>
          <w:color w:val="000000"/>
          <w:shd w:val="clear" w:color="auto" w:fill="FFFFFF"/>
        </w:rPr>
        <w:t>ам</w:t>
      </w:r>
      <w:r w:rsidRPr="00CD2DBA">
        <w:rPr>
          <w:color w:val="000000"/>
          <w:shd w:val="clear" w:color="auto" w:fill="FFFFFF"/>
        </w:rPr>
        <w:t xml:space="preserve"> </w:t>
      </w:r>
      <w:r>
        <w:rPr>
          <w:color w:val="000000"/>
          <w:shd w:val="clear" w:color="auto" w:fill="FFFFFF"/>
        </w:rPr>
        <w:t>споров</w:t>
      </w:r>
      <w:r w:rsidRPr="00CD2DBA">
        <w:rPr>
          <w:color w:val="000000"/>
          <w:shd w:val="clear" w:color="auto" w:fill="FFFFFF"/>
        </w:rPr>
        <w:t xml:space="preserve">, касающихся </w:t>
      </w:r>
      <w:r>
        <w:rPr>
          <w:color w:val="000000"/>
          <w:shd w:val="clear" w:color="auto" w:fill="FFFFFF"/>
        </w:rPr>
        <w:t>ИС</w:t>
      </w:r>
      <w:r w:rsidRPr="00CD2DBA">
        <w:rPr>
          <w:color w:val="000000"/>
          <w:shd w:val="clear" w:color="auto" w:fill="FFFFFF"/>
        </w:rPr>
        <w:t xml:space="preserve"> </w:t>
      </w:r>
      <w:r>
        <w:rPr>
          <w:color w:val="000000"/>
          <w:shd w:val="clear" w:color="auto" w:fill="FFFFFF"/>
        </w:rPr>
        <w:t>или</w:t>
      </w:r>
      <w:r w:rsidRPr="00CD2DBA">
        <w:rPr>
          <w:color w:val="000000"/>
          <w:shd w:val="clear" w:color="auto" w:fill="FFFFFF"/>
        </w:rPr>
        <w:t xml:space="preserve"> технологи</w:t>
      </w:r>
      <w:r>
        <w:rPr>
          <w:color w:val="000000"/>
          <w:shd w:val="clear" w:color="auto" w:fill="FFFFFF"/>
        </w:rPr>
        <w:t>й</w:t>
      </w:r>
      <w:r w:rsidRPr="00CD2DBA">
        <w:rPr>
          <w:color w:val="000000"/>
          <w:shd w:val="clear" w:color="auto" w:fill="FFFFFF"/>
        </w:rPr>
        <w:t xml:space="preserve">, </w:t>
      </w:r>
      <w:r>
        <w:rPr>
          <w:color w:val="000000"/>
          <w:shd w:val="clear" w:color="auto" w:fill="FFFFFF"/>
        </w:rPr>
        <w:t>способствуя</w:t>
      </w:r>
      <w:r w:rsidRPr="00CD2DBA">
        <w:rPr>
          <w:color w:val="000000"/>
          <w:shd w:val="clear" w:color="auto" w:fill="FFFFFF"/>
        </w:rPr>
        <w:t xml:space="preserve"> </w:t>
      </w:r>
      <w:r>
        <w:rPr>
          <w:color w:val="000000"/>
          <w:shd w:val="clear" w:color="auto" w:fill="FFFFFF"/>
        </w:rPr>
        <w:t>прямому</w:t>
      </w:r>
      <w:r w:rsidRPr="00CD2DBA">
        <w:rPr>
          <w:color w:val="000000"/>
          <w:shd w:val="clear" w:color="auto" w:fill="FFFFFF"/>
        </w:rPr>
        <w:t xml:space="preserve"> урегулировани</w:t>
      </w:r>
      <w:r>
        <w:rPr>
          <w:color w:val="000000"/>
          <w:shd w:val="clear" w:color="auto" w:fill="FFFFFF"/>
        </w:rPr>
        <w:t>ю</w:t>
      </w:r>
      <w:r w:rsidRPr="00CD2DBA">
        <w:rPr>
          <w:color w:val="000000"/>
          <w:shd w:val="clear" w:color="auto" w:fill="FFFFFF"/>
        </w:rPr>
        <w:t xml:space="preserve"> </w:t>
      </w:r>
      <w:r>
        <w:rPr>
          <w:color w:val="000000"/>
          <w:shd w:val="clear" w:color="auto" w:fill="FFFFFF"/>
        </w:rPr>
        <w:t>спора</w:t>
      </w:r>
      <w:r w:rsidRPr="00CD2DBA">
        <w:rPr>
          <w:color w:val="000000"/>
          <w:shd w:val="clear" w:color="auto" w:fill="FFFFFF"/>
        </w:rPr>
        <w:t xml:space="preserve"> </w:t>
      </w:r>
      <w:r>
        <w:rPr>
          <w:color w:val="000000"/>
          <w:shd w:val="clear" w:color="auto" w:fill="FFFFFF"/>
        </w:rPr>
        <w:t xml:space="preserve">между ними или передаче его на </w:t>
      </w:r>
      <w:r>
        <w:t>посредничество</w:t>
      </w:r>
      <w:r w:rsidRPr="00CD2DBA">
        <w:t xml:space="preserve">, </w:t>
      </w:r>
      <w:r>
        <w:t>в арбитраж или на экспертное</w:t>
      </w:r>
      <w:r w:rsidRPr="00CD2DBA">
        <w:t xml:space="preserve"> </w:t>
      </w:r>
      <w:r>
        <w:t>заключение ВОИС</w:t>
      </w:r>
      <w:r w:rsidRPr="00CD2DBA">
        <w:t xml:space="preserve"> </w:t>
      </w:r>
      <w:r>
        <w:t xml:space="preserve">в качестве </w:t>
      </w:r>
      <w:r>
        <w:rPr>
          <w:snapToGrid w:val="0"/>
        </w:rPr>
        <w:t xml:space="preserve">альтернатив судебному </w:t>
      </w:r>
      <w:r w:rsidRPr="00CD2DBA">
        <w:rPr>
          <w:snapToGrid w:val="0"/>
        </w:rPr>
        <w:t>разбирательств</w:t>
      </w:r>
      <w:r>
        <w:rPr>
          <w:snapToGrid w:val="0"/>
        </w:rPr>
        <w:t>у</w:t>
      </w:r>
      <w:r w:rsidRPr="00CD2DBA">
        <w:t xml:space="preserve">.  </w:t>
      </w:r>
      <w:r>
        <w:br/>
      </w:r>
      <w:r w:rsidRPr="006D7D6A">
        <w:t xml:space="preserve">См. </w:t>
      </w:r>
      <w:r w:rsidR="00F668B1">
        <w:fldChar w:fldCharType="begin"/>
      </w:r>
      <w:r w:rsidR="00F668B1">
        <w:instrText>HYPERLINK "https://www.wipo.int/amc/en/goodoffices/index.html"</w:instrText>
      </w:r>
      <w:r w:rsidR="00F668B1">
        <w:fldChar w:fldCharType="separate"/>
      </w:r>
      <w:r w:rsidRPr="006D7D6A">
        <w:rPr>
          <w:rStyle w:val="Hyperlink"/>
        </w:rPr>
        <w:t>https://www.wipo.int/amc/en/goodoffices/index.html</w:t>
      </w:r>
      <w:r w:rsidR="00F668B1">
        <w:rPr>
          <w:rStyle w:val="Hyperlink"/>
        </w:rPr>
        <w:fldChar w:fldCharType="end"/>
      </w:r>
      <w:r w:rsidRPr="006D7D6A">
        <w:t>.</w:t>
      </w:r>
    </w:p>
  </w:footnote>
  <w:footnote w:id="4">
    <w:p w14:paraId="439F18ED" w14:textId="77777777" w:rsidR="00DB4D92" w:rsidRPr="006D7D6A" w:rsidRDefault="00DB4D92" w:rsidP="00595359">
      <w:pPr>
        <w:pStyle w:val="FootnoteText"/>
        <w:rPr>
          <w:szCs w:val="18"/>
        </w:rPr>
      </w:pPr>
      <w:r w:rsidRPr="006D7D6A">
        <w:rPr>
          <w:rStyle w:val="FootnoteReference"/>
          <w:szCs w:val="18"/>
        </w:rPr>
        <w:footnoteRef/>
      </w:r>
      <w:r>
        <w:tab/>
      </w:r>
      <w:r>
        <w:t xml:space="preserve">С перечнем всех проводимых Центром семинаров и других мероприятий можно ознакомиться по </w:t>
      </w:r>
      <w:r>
        <w:t xml:space="preserve">адресу </w:t>
      </w:r>
      <w:r w:rsidR="00F668B1">
        <w:fldChar w:fldCharType="begin"/>
      </w:r>
      <w:r w:rsidR="00F668B1">
        <w:instrText>HYPERLINK "http://www.wipo.int/amc/en/events"</w:instrText>
      </w:r>
      <w:r w:rsidR="00F668B1">
        <w:fldChar w:fldCharType="separate"/>
      </w:r>
      <w:r w:rsidRPr="006D7D6A">
        <w:rPr>
          <w:rStyle w:val="Hyperlink"/>
        </w:rPr>
        <w:t>https://www.wipo.int/amc/en/events</w:t>
      </w:r>
      <w:r w:rsidR="00F668B1">
        <w:rPr>
          <w:rStyle w:val="Hyperlink"/>
        </w:rPr>
        <w:fldChar w:fldCharType="end"/>
      </w:r>
      <w:r>
        <w:t>.</w:t>
      </w:r>
    </w:p>
  </w:footnote>
  <w:footnote w:id="5">
    <w:p w14:paraId="498C1A0F" w14:textId="6FA9A2BA" w:rsidR="00DB4D92" w:rsidRPr="006D7D6A" w:rsidRDefault="00DB4D92" w:rsidP="00595359">
      <w:pPr>
        <w:pStyle w:val="FootnoteText"/>
        <w:rPr>
          <w:szCs w:val="18"/>
        </w:rPr>
      </w:pPr>
      <w:r w:rsidRPr="006D7D6A">
        <w:rPr>
          <w:rStyle w:val="FootnoteReference"/>
          <w:szCs w:val="18"/>
        </w:rPr>
        <w:footnoteRef/>
      </w:r>
      <w:r>
        <w:tab/>
        <w:t>В Центре имеются рекомендованные типовые положения и соглашения о передаче, а также онлайновая программа, которая позволяет сторонам формулировать основные статьи и положения соглашений о передаче споров на урегулирование.</w:t>
      </w:r>
      <w:r w:rsidRPr="006D7D6A">
        <w:t xml:space="preserve"> </w:t>
      </w:r>
      <w:r w:rsidRPr="006D7D6A">
        <w:t xml:space="preserve">См. </w:t>
      </w:r>
      <w:bookmarkStart w:id="5" w:name="_Hlk163636111"/>
      <w:r>
        <w:fldChar w:fldCharType="begin"/>
      </w:r>
      <w:r>
        <w:instrText xml:space="preserve"> HYPERLINK "</w:instrText>
      </w:r>
      <w:r w:rsidRPr="00CD2DBA">
        <w:instrText>https://www.wipo.int/amc/ru/clauses/index.html</w:instrText>
      </w:r>
      <w:r>
        <w:instrText xml:space="preserve">" </w:instrText>
      </w:r>
      <w:r>
        <w:fldChar w:fldCharType="separate"/>
      </w:r>
      <w:r w:rsidRPr="00BF2DF3">
        <w:rPr>
          <w:rStyle w:val="Hyperlink"/>
        </w:rPr>
        <w:t>https://www.wipo.int/amc/ru/clauses/index.html</w:t>
      </w:r>
      <w:r>
        <w:fldChar w:fldCharType="end"/>
      </w:r>
      <w:r w:rsidRPr="006D7D6A">
        <w:t xml:space="preserve"> и </w:t>
      </w:r>
      <w:bookmarkStart w:id="6" w:name="_Hlk163636257"/>
      <w:r w:rsidRPr="006D7D6A">
        <w:fldChar w:fldCharType="begin"/>
      </w:r>
      <w:r w:rsidRPr="006D7D6A">
        <w:instrText>HYPERLINK "https://amc.wipo.int/clause-generator/"</w:instrText>
      </w:r>
      <w:r w:rsidRPr="006D7D6A">
        <w:fldChar w:fldCharType="separate"/>
      </w:r>
      <w:r w:rsidRPr="006D7D6A">
        <w:rPr>
          <w:rStyle w:val="Hyperlink"/>
        </w:rPr>
        <w:t>https://amc.wipo.int/clause-generator/</w:t>
      </w:r>
      <w:bookmarkEnd w:id="6"/>
      <w:r w:rsidRPr="006D7D6A">
        <w:fldChar w:fldCharType="end"/>
      </w:r>
      <w:r w:rsidRPr="006D7D6A">
        <w:t>.</w:t>
      </w:r>
      <w:bookmarkEnd w:id="5"/>
    </w:p>
  </w:footnote>
  <w:footnote w:id="6">
    <w:p w14:paraId="1ED082C0" w14:textId="77777777" w:rsidR="00DB4D92" w:rsidRPr="006D7D6A" w:rsidRDefault="00DB4D92" w:rsidP="00CD2DBA">
      <w:pPr>
        <w:pStyle w:val="FootnoteText"/>
        <w:rPr>
          <w:szCs w:val="18"/>
        </w:rPr>
      </w:pPr>
      <w:r w:rsidRPr="006D7D6A">
        <w:rPr>
          <w:rStyle w:val="FootnoteReference"/>
          <w:szCs w:val="18"/>
        </w:rPr>
        <w:footnoteRef/>
      </w:r>
      <w:r w:rsidRPr="00CD2DBA">
        <w:t xml:space="preserve"> </w:t>
      </w:r>
      <w:r w:rsidRPr="00CD2DBA">
        <w:tab/>
      </w:r>
      <w:r>
        <w:t xml:space="preserve">МСП, </w:t>
      </w:r>
      <w:r w:rsidRPr="002C45F4">
        <w:t xml:space="preserve">включая стартапы, </w:t>
      </w:r>
      <w:r>
        <w:t>изобретателей и рационализаторов</w:t>
      </w:r>
      <w:r w:rsidRPr="002C45F4">
        <w:t>, в целом состав</w:t>
      </w:r>
      <w:r>
        <w:t>ляют</w:t>
      </w:r>
      <w:r w:rsidRPr="002C45F4">
        <w:t xml:space="preserve"> более 50 процентов сторон, участвующих в посреднических и арбитражных процедурах ВОИС. При рассмотрении дел при участии МСП Центр пр</w:t>
      </w:r>
      <w:r>
        <w:t xml:space="preserve">именяет </w:t>
      </w:r>
      <w:r w:rsidRPr="002C45F4">
        <w:t xml:space="preserve">сниженные административные и регистрационные сборы. </w:t>
      </w:r>
      <w:r>
        <w:br/>
        <w:t xml:space="preserve">См. </w:t>
      </w:r>
      <w:hyperlink r:id="rId1" w:history="1">
        <w:r w:rsidRPr="006D7D6A">
          <w:rPr>
            <w:rStyle w:val="Hyperlink"/>
          </w:rPr>
          <w:t>https://www.wipo.int/amc/en/center/specific-sectors/smes/</w:t>
        </w:r>
      </w:hyperlink>
      <w:r>
        <w:t>.</w:t>
      </w:r>
    </w:p>
  </w:footnote>
  <w:footnote w:id="7">
    <w:p w14:paraId="4034B64C" w14:textId="77777777" w:rsidR="00DB4D92" w:rsidRPr="006D7D6A" w:rsidRDefault="00DB4D92" w:rsidP="00595359">
      <w:pPr>
        <w:pStyle w:val="FootnoteText"/>
        <w:rPr>
          <w:szCs w:val="18"/>
        </w:rPr>
      </w:pPr>
      <w:r w:rsidRPr="006D7D6A">
        <w:rPr>
          <w:rStyle w:val="FootnoteReference"/>
          <w:szCs w:val="18"/>
        </w:rPr>
        <w:footnoteRef/>
      </w:r>
      <w:r>
        <w:tab/>
        <w:t>Конкретные юридические вопросы касались нарушения прав на патенты, товарные знаки и авторские права, исчерпания патентных прав, совместного владения патентами, патентных пулов, надлежащих условий лицензирования патентов (включая условия FRAND), нарушений условий контрактов, корректировки и выплаты роялти, соглашений о сосуществовании товарных знаков, подделок, условий лицензирования авторских прав, удаления контента с онлайновых платформ, реального исполнения обязательств, включая отзыв судебного иска, исков о возмещении ущерба, а также возражений в отношении товарных знаков, находящихся на рассмотрении в ведомствах ИС.</w:t>
      </w:r>
    </w:p>
  </w:footnote>
  <w:footnote w:id="8">
    <w:p w14:paraId="41426471" w14:textId="77777777" w:rsidR="00DB4D92" w:rsidRPr="009D674B" w:rsidRDefault="00DB4D92" w:rsidP="00595359">
      <w:pPr>
        <w:pStyle w:val="FootnoteText"/>
        <w:rPr>
          <w:szCs w:val="18"/>
        </w:rPr>
      </w:pPr>
      <w:r w:rsidRPr="009D674B">
        <w:rPr>
          <w:rStyle w:val="FootnoteReference"/>
          <w:szCs w:val="18"/>
        </w:rPr>
        <w:footnoteRef/>
      </w:r>
      <w:r w:rsidRPr="009D674B">
        <w:t xml:space="preserve"> </w:t>
      </w:r>
      <w:r w:rsidRPr="009D674B">
        <w:tab/>
        <w:t xml:space="preserve">В рамках </w:t>
      </w:r>
      <w:r w:rsidRPr="009D674B">
        <w:rPr>
          <w:lang w:val="en-US"/>
        </w:rPr>
        <w:t>AMP</w:t>
      </w:r>
      <w:r w:rsidRPr="009D674B">
        <w:t xml:space="preserve"> стороны, </w:t>
      </w:r>
      <w:r>
        <w:t>от</w:t>
      </w:r>
      <w:r w:rsidRPr="009D674B">
        <w:t xml:space="preserve">вечающие установленным требованиям, могут подавать заявки на покрытие расходов на услуги посредничества в спорах, связанных с интеллектуальной собственностью или технологиями, или в ходе переговоров о заключении контрактов. На данный момент успешно урегулированы два дела по товарным знакам, и ожидается, что до истечения срока программы (конец 2024 года) в ее рамках будут </w:t>
      </w:r>
      <w:r w:rsidRPr="009D674B">
        <w:rPr>
          <w:szCs w:val="22"/>
        </w:rPr>
        <w:t>рассмотрены дополнительные</w:t>
      </w:r>
      <w:r w:rsidRPr="009D674B">
        <w:t xml:space="preserve"> дела. </w:t>
      </w:r>
      <w:r w:rsidRPr="009D674B">
        <w:t xml:space="preserve">Краткая информация об этих делах имеется по </w:t>
      </w:r>
      <w:r w:rsidRPr="009D674B">
        <w:t xml:space="preserve">адресу </w:t>
      </w:r>
      <w:r w:rsidR="00F668B1">
        <w:fldChar w:fldCharType="begin"/>
      </w:r>
      <w:r w:rsidR="00F668B1">
        <w:instrText>HYPERLINK "https://www.ipos.gov.sg/docs/default-source/protecting-your-ideas/hearings-mediation/mediation-cases.pdf"</w:instrText>
      </w:r>
      <w:r w:rsidR="00F668B1">
        <w:fldChar w:fldCharType="separate"/>
      </w:r>
      <w:r w:rsidRPr="006D7D6A">
        <w:rPr>
          <w:rStyle w:val="Hyperlink"/>
          <w:lang w:val="en-US"/>
        </w:rPr>
        <w:t>https</w:t>
      </w:r>
      <w:r w:rsidRPr="009D674B">
        <w:rPr>
          <w:rStyle w:val="Hyperlink"/>
        </w:rPr>
        <w:t>://</w:t>
      </w:r>
      <w:r w:rsidRPr="006D7D6A">
        <w:rPr>
          <w:rStyle w:val="Hyperlink"/>
          <w:lang w:val="en-US"/>
        </w:rPr>
        <w:t>www</w:t>
      </w:r>
      <w:r w:rsidRPr="009D674B">
        <w:rPr>
          <w:rStyle w:val="Hyperlink"/>
        </w:rPr>
        <w:t>.</w:t>
      </w:r>
      <w:r w:rsidRPr="006D7D6A">
        <w:rPr>
          <w:rStyle w:val="Hyperlink"/>
          <w:lang w:val="en-US"/>
        </w:rPr>
        <w:t>ipos</w:t>
      </w:r>
      <w:r w:rsidRPr="009D674B">
        <w:rPr>
          <w:rStyle w:val="Hyperlink"/>
        </w:rPr>
        <w:t>.</w:t>
      </w:r>
      <w:r w:rsidRPr="006D7D6A">
        <w:rPr>
          <w:rStyle w:val="Hyperlink"/>
          <w:lang w:val="en-US"/>
        </w:rPr>
        <w:t>gov</w:t>
      </w:r>
      <w:r w:rsidRPr="009D674B">
        <w:rPr>
          <w:rStyle w:val="Hyperlink"/>
        </w:rPr>
        <w:t>.</w:t>
      </w:r>
      <w:r w:rsidRPr="006D7D6A">
        <w:rPr>
          <w:rStyle w:val="Hyperlink"/>
          <w:lang w:val="en-US"/>
        </w:rPr>
        <w:t>sg</w:t>
      </w:r>
      <w:r w:rsidRPr="009D674B">
        <w:rPr>
          <w:rStyle w:val="Hyperlink"/>
        </w:rPr>
        <w:t>/</w:t>
      </w:r>
      <w:r w:rsidRPr="006D7D6A">
        <w:rPr>
          <w:rStyle w:val="Hyperlink"/>
          <w:lang w:val="en-US"/>
        </w:rPr>
        <w:t>docs</w:t>
      </w:r>
      <w:r w:rsidRPr="009D674B">
        <w:rPr>
          <w:rStyle w:val="Hyperlink"/>
        </w:rPr>
        <w:t>/</w:t>
      </w:r>
      <w:r w:rsidRPr="006D7D6A">
        <w:rPr>
          <w:rStyle w:val="Hyperlink"/>
          <w:lang w:val="en-US"/>
        </w:rPr>
        <w:t>default</w:t>
      </w:r>
      <w:r w:rsidRPr="009D674B">
        <w:rPr>
          <w:rStyle w:val="Hyperlink"/>
        </w:rPr>
        <w:t>-</w:t>
      </w:r>
      <w:r w:rsidRPr="006D7D6A">
        <w:rPr>
          <w:rStyle w:val="Hyperlink"/>
          <w:lang w:val="en-US"/>
        </w:rPr>
        <w:t>source</w:t>
      </w:r>
      <w:r w:rsidRPr="009D674B">
        <w:rPr>
          <w:rStyle w:val="Hyperlink"/>
        </w:rPr>
        <w:t>/</w:t>
      </w:r>
      <w:r w:rsidRPr="006D7D6A">
        <w:rPr>
          <w:rStyle w:val="Hyperlink"/>
          <w:lang w:val="en-US"/>
        </w:rPr>
        <w:t>protecting</w:t>
      </w:r>
      <w:r w:rsidRPr="009D674B">
        <w:rPr>
          <w:rStyle w:val="Hyperlink"/>
        </w:rPr>
        <w:t>-</w:t>
      </w:r>
      <w:r w:rsidRPr="006D7D6A">
        <w:rPr>
          <w:rStyle w:val="Hyperlink"/>
          <w:lang w:val="en-US"/>
        </w:rPr>
        <w:t>your</w:t>
      </w:r>
      <w:r w:rsidRPr="009D674B">
        <w:rPr>
          <w:rStyle w:val="Hyperlink"/>
        </w:rPr>
        <w:t>-</w:t>
      </w:r>
      <w:r w:rsidRPr="006D7D6A">
        <w:rPr>
          <w:rStyle w:val="Hyperlink"/>
          <w:lang w:val="en-US"/>
        </w:rPr>
        <w:t>ideas</w:t>
      </w:r>
      <w:r w:rsidRPr="009D674B">
        <w:rPr>
          <w:rStyle w:val="Hyperlink"/>
        </w:rPr>
        <w:t>/</w:t>
      </w:r>
      <w:r w:rsidRPr="006D7D6A">
        <w:rPr>
          <w:rStyle w:val="Hyperlink"/>
          <w:lang w:val="en-US"/>
        </w:rPr>
        <w:t>hearings</w:t>
      </w:r>
      <w:r w:rsidRPr="009D674B">
        <w:rPr>
          <w:rStyle w:val="Hyperlink"/>
        </w:rPr>
        <w:t>-</w:t>
      </w:r>
      <w:r w:rsidRPr="006D7D6A">
        <w:rPr>
          <w:rStyle w:val="Hyperlink"/>
          <w:lang w:val="en-US"/>
        </w:rPr>
        <w:t>mediation</w:t>
      </w:r>
      <w:r w:rsidRPr="009D674B">
        <w:rPr>
          <w:rStyle w:val="Hyperlink"/>
        </w:rPr>
        <w:t>/</w:t>
      </w:r>
      <w:r w:rsidRPr="006D7D6A">
        <w:rPr>
          <w:rStyle w:val="Hyperlink"/>
          <w:lang w:val="en-US"/>
        </w:rPr>
        <w:t>mediation</w:t>
      </w:r>
      <w:r w:rsidRPr="009D674B">
        <w:rPr>
          <w:rStyle w:val="Hyperlink"/>
        </w:rPr>
        <w:t>-</w:t>
      </w:r>
      <w:r w:rsidRPr="006D7D6A">
        <w:rPr>
          <w:rStyle w:val="Hyperlink"/>
          <w:lang w:val="en-US"/>
        </w:rPr>
        <w:t>cases</w:t>
      </w:r>
      <w:r w:rsidRPr="009D674B">
        <w:rPr>
          <w:rStyle w:val="Hyperlink"/>
        </w:rPr>
        <w:t>.</w:t>
      </w:r>
      <w:r w:rsidRPr="006D7D6A">
        <w:rPr>
          <w:rStyle w:val="Hyperlink"/>
          <w:lang w:val="en-US"/>
        </w:rPr>
        <w:t>pdf</w:t>
      </w:r>
      <w:r w:rsidR="00F668B1">
        <w:rPr>
          <w:rStyle w:val="Hyperlink"/>
          <w:lang w:val="en-US"/>
        </w:rPr>
        <w:fldChar w:fldCharType="end"/>
      </w:r>
      <w:r w:rsidRPr="009D674B">
        <w:t>; дополнительн</w:t>
      </w:r>
      <w:r>
        <w:t xml:space="preserve">ую информацию о программе </w:t>
      </w:r>
      <w:r w:rsidRPr="006D7D6A">
        <w:rPr>
          <w:lang w:val="en-US"/>
        </w:rPr>
        <w:t>AMP</w:t>
      </w:r>
      <w:r w:rsidRPr="009D674B">
        <w:t xml:space="preserve"> </w:t>
      </w:r>
      <w:r>
        <w:t xml:space="preserve">можно найти по адресу </w:t>
      </w:r>
      <w:r w:rsidR="00F668B1">
        <w:fldChar w:fldCharType="begin"/>
      </w:r>
      <w:r w:rsidR="00F668B1">
        <w:instrText>HYPERLINK "https://www.wipo.int/about-wipo/en/offices/singapore/news/2023/news_0011.html"</w:instrText>
      </w:r>
      <w:r w:rsidR="00F668B1">
        <w:fldChar w:fldCharType="separate"/>
      </w:r>
      <w:r w:rsidRPr="006D7D6A">
        <w:rPr>
          <w:rStyle w:val="Hyperlink"/>
          <w:lang w:val="en-US"/>
        </w:rPr>
        <w:t>https</w:t>
      </w:r>
      <w:r w:rsidRPr="009D674B">
        <w:rPr>
          <w:rStyle w:val="Hyperlink"/>
        </w:rPr>
        <w:t>://</w:t>
      </w:r>
      <w:r w:rsidRPr="006D7D6A">
        <w:rPr>
          <w:rStyle w:val="Hyperlink"/>
          <w:lang w:val="en-US"/>
        </w:rPr>
        <w:t>www</w:t>
      </w:r>
      <w:r w:rsidRPr="009D674B">
        <w:rPr>
          <w:rStyle w:val="Hyperlink"/>
        </w:rPr>
        <w:t>.</w:t>
      </w:r>
      <w:r w:rsidRPr="006D7D6A">
        <w:rPr>
          <w:rStyle w:val="Hyperlink"/>
          <w:lang w:val="en-US"/>
        </w:rPr>
        <w:t>wipo</w:t>
      </w:r>
      <w:r w:rsidRPr="009D674B">
        <w:rPr>
          <w:rStyle w:val="Hyperlink"/>
        </w:rPr>
        <w:t>.</w:t>
      </w:r>
      <w:r w:rsidRPr="006D7D6A">
        <w:rPr>
          <w:rStyle w:val="Hyperlink"/>
          <w:lang w:val="en-US"/>
        </w:rPr>
        <w:t>int</w:t>
      </w:r>
      <w:r w:rsidRPr="009D674B">
        <w:rPr>
          <w:rStyle w:val="Hyperlink"/>
        </w:rPr>
        <w:t>/</w:t>
      </w:r>
      <w:r w:rsidRPr="006D7D6A">
        <w:rPr>
          <w:rStyle w:val="Hyperlink"/>
          <w:lang w:val="en-US"/>
        </w:rPr>
        <w:t>about</w:t>
      </w:r>
      <w:r w:rsidRPr="009D674B">
        <w:rPr>
          <w:rStyle w:val="Hyperlink"/>
        </w:rPr>
        <w:t>-</w:t>
      </w:r>
      <w:r w:rsidRPr="006D7D6A">
        <w:rPr>
          <w:rStyle w:val="Hyperlink"/>
          <w:lang w:val="en-US"/>
        </w:rPr>
        <w:t>wipo</w:t>
      </w:r>
      <w:r w:rsidRPr="009D674B">
        <w:rPr>
          <w:rStyle w:val="Hyperlink"/>
        </w:rPr>
        <w:t>/</w:t>
      </w:r>
      <w:r w:rsidRPr="006D7D6A">
        <w:rPr>
          <w:rStyle w:val="Hyperlink"/>
          <w:lang w:val="en-US"/>
        </w:rPr>
        <w:t>en</w:t>
      </w:r>
      <w:r w:rsidRPr="009D674B">
        <w:rPr>
          <w:rStyle w:val="Hyperlink"/>
        </w:rPr>
        <w:t>/</w:t>
      </w:r>
      <w:r w:rsidRPr="006D7D6A">
        <w:rPr>
          <w:rStyle w:val="Hyperlink"/>
          <w:lang w:val="en-US"/>
        </w:rPr>
        <w:t>offices</w:t>
      </w:r>
      <w:r w:rsidRPr="009D674B">
        <w:rPr>
          <w:rStyle w:val="Hyperlink"/>
        </w:rPr>
        <w:t>/</w:t>
      </w:r>
      <w:r w:rsidRPr="006D7D6A">
        <w:rPr>
          <w:rStyle w:val="Hyperlink"/>
          <w:lang w:val="en-US"/>
        </w:rPr>
        <w:t>singapore</w:t>
      </w:r>
      <w:r w:rsidRPr="009D674B">
        <w:rPr>
          <w:rStyle w:val="Hyperlink"/>
        </w:rPr>
        <w:t>/</w:t>
      </w:r>
      <w:r w:rsidRPr="006D7D6A">
        <w:rPr>
          <w:rStyle w:val="Hyperlink"/>
          <w:lang w:val="en-US"/>
        </w:rPr>
        <w:t>news</w:t>
      </w:r>
      <w:r w:rsidRPr="009D674B">
        <w:rPr>
          <w:rStyle w:val="Hyperlink"/>
        </w:rPr>
        <w:t>/2023/</w:t>
      </w:r>
      <w:r w:rsidRPr="006D7D6A">
        <w:rPr>
          <w:rStyle w:val="Hyperlink"/>
          <w:lang w:val="en-US"/>
        </w:rPr>
        <w:t>news</w:t>
      </w:r>
      <w:r w:rsidRPr="009D674B">
        <w:rPr>
          <w:rStyle w:val="Hyperlink"/>
        </w:rPr>
        <w:t>_0011.</w:t>
      </w:r>
      <w:r w:rsidRPr="006D7D6A">
        <w:rPr>
          <w:rStyle w:val="Hyperlink"/>
          <w:lang w:val="en-US"/>
        </w:rPr>
        <w:t>html</w:t>
      </w:r>
      <w:r w:rsidR="00F668B1">
        <w:rPr>
          <w:rStyle w:val="Hyperlink"/>
          <w:lang w:val="en-US"/>
        </w:rPr>
        <w:fldChar w:fldCharType="end"/>
      </w:r>
      <w:r w:rsidRPr="009D674B">
        <w:t>.</w:t>
      </w:r>
    </w:p>
  </w:footnote>
  <w:footnote w:id="9">
    <w:p w14:paraId="2B140CEF" w14:textId="77777777" w:rsidR="00DB4D92" w:rsidRPr="00E3095A" w:rsidRDefault="00DB4D92" w:rsidP="00E3095A">
      <w:pPr>
        <w:pStyle w:val="FootnoteText"/>
        <w:rPr>
          <w:szCs w:val="18"/>
        </w:rPr>
      </w:pPr>
      <w:r w:rsidRPr="003E3B03">
        <w:rPr>
          <w:rStyle w:val="FootnoteReference"/>
          <w:szCs w:val="18"/>
        </w:rPr>
        <w:footnoteRef/>
      </w:r>
      <w:r w:rsidRPr="00E3095A">
        <w:rPr>
          <w:szCs w:val="18"/>
        </w:rPr>
        <w:t xml:space="preserve"> </w:t>
      </w:r>
      <w:r w:rsidRPr="00E3095A">
        <w:rPr>
          <w:szCs w:val="18"/>
        </w:rPr>
        <w:tab/>
      </w:r>
      <w:r>
        <w:rPr>
          <w:szCs w:val="18"/>
        </w:rPr>
        <w:t>Модуль</w:t>
      </w:r>
      <w:r w:rsidRPr="00E3095A">
        <w:rPr>
          <w:szCs w:val="18"/>
        </w:rPr>
        <w:t xml:space="preserve"> </w:t>
      </w:r>
      <w:proofErr w:type="spellStart"/>
      <w:r w:rsidRPr="00E3095A">
        <w:rPr>
          <w:szCs w:val="18"/>
          <w:lang w:val="en-US"/>
        </w:rPr>
        <w:t>eADR</w:t>
      </w:r>
      <w:proofErr w:type="spellEnd"/>
      <w:r w:rsidRPr="00E3095A">
        <w:rPr>
          <w:szCs w:val="18"/>
        </w:rPr>
        <w:t xml:space="preserve"> ВОИС </w:t>
      </w:r>
      <w:r>
        <w:rPr>
          <w:szCs w:val="18"/>
        </w:rPr>
        <w:t>позволяет</w:t>
      </w:r>
      <w:r w:rsidRPr="00E3095A">
        <w:rPr>
          <w:szCs w:val="18"/>
        </w:rPr>
        <w:t xml:space="preserve"> сторон</w:t>
      </w:r>
      <w:r>
        <w:rPr>
          <w:szCs w:val="18"/>
        </w:rPr>
        <w:t>ам</w:t>
      </w:r>
      <w:r w:rsidRPr="00E3095A">
        <w:rPr>
          <w:szCs w:val="18"/>
        </w:rPr>
        <w:t xml:space="preserve"> </w:t>
      </w:r>
      <w:r>
        <w:rPr>
          <w:szCs w:val="18"/>
        </w:rPr>
        <w:t>споров</w:t>
      </w:r>
      <w:r w:rsidRPr="00E3095A">
        <w:rPr>
          <w:szCs w:val="18"/>
        </w:rPr>
        <w:t xml:space="preserve"> </w:t>
      </w:r>
      <w:r>
        <w:rPr>
          <w:szCs w:val="18"/>
        </w:rPr>
        <w:t>и</w:t>
      </w:r>
      <w:r w:rsidRPr="00E3095A">
        <w:rPr>
          <w:szCs w:val="18"/>
        </w:rPr>
        <w:t xml:space="preserve"> </w:t>
      </w:r>
      <w:r>
        <w:rPr>
          <w:szCs w:val="18"/>
        </w:rPr>
        <w:t>нейтральным</w:t>
      </w:r>
      <w:r w:rsidRPr="00E3095A">
        <w:rPr>
          <w:szCs w:val="18"/>
        </w:rPr>
        <w:t xml:space="preserve"> сторон</w:t>
      </w:r>
      <w:r>
        <w:rPr>
          <w:szCs w:val="18"/>
        </w:rPr>
        <w:t>ам</w:t>
      </w:r>
      <w:r w:rsidRPr="00E3095A">
        <w:rPr>
          <w:szCs w:val="18"/>
        </w:rPr>
        <w:t xml:space="preserve"> </w:t>
      </w:r>
      <w:r>
        <w:rPr>
          <w:szCs w:val="18"/>
        </w:rPr>
        <w:t>направлять</w:t>
      </w:r>
      <w:r w:rsidRPr="00E3095A">
        <w:rPr>
          <w:szCs w:val="18"/>
        </w:rPr>
        <w:t xml:space="preserve"> </w:t>
      </w:r>
      <w:r>
        <w:rPr>
          <w:szCs w:val="18"/>
        </w:rPr>
        <w:t>друг</w:t>
      </w:r>
      <w:r w:rsidRPr="00E3095A">
        <w:rPr>
          <w:szCs w:val="18"/>
        </w:rPr>
        <w:t xml:space="preserve"> </w:t>
      </w:r>
      <w:r>
        <w:rPr>
          <w:szCs w:val="18"/>
        </w:rPr>
        <w:t xml:space="preserve">другу и получать доступ ко всем </w:t>
      </w:r>
      <w:r w:rsidRPr="00E3095A">
        <w:rPr>
          <w:szCs w:val="18"/>
        </w:rPr>
        <w:t>документ</w:t>
      </w:r>
      <w:r>
        <w:rPr>
          <w:szCs w:val="18"/>
        </w:rPr>
        <w:t xml:space="preserve">ам, </w:t>
      </w:r>
      <w:r w:rsidRPr="00E3095A">
        <w:rPr>
          <w:szCs w:val="18"/>
        </w:rPr>
        <w:t>касающи</w:t>
      </w:r>
      <w:r>
        <w:rPr>
          <w:szCs w:val="18"/>
        </w:rPr>
        <w:t>мся споров, через единый безопасный портал</w:t>
      </w:r>
      <w:r w:rsidRPr="00E3095A">
        <w:rPr>
          <w:szCs w:val="18"/>
        </w:rPr>
        <w:t xml:space="preserve">. </w:t>
      </w:r>
      <w:r>
        <w:rPr>
          <w:szCs w:val="18"/>
        </w:rPr>
        <w:t>В</w:t>
      </w:r>
      <w:r w:rsidRPr="00E3095A">
        <w:rPr>
          <w:szCs w:val="18"/>
        </w:rPr>
        <w:t xml:space="preserve"> </w:t>
      </w:r>
      <w:r>
        <w:rPr>
          <w:szCs w:val="18"/>
        </w:rPr>
        <w:t>этот</w:t>
      </w:r>
      <w:r w:rsidRPr="00E3095A">
        <w:rPr>
          <w:szCs w:val="18"/>
        </w:rPr>
        <w:t xml:space="preserve"> период </w:t>
      </w:r>
      <w:r>
        <w:rPr>
          <w:szCs w:val="18"/>
        </w:rPr>
        <w:t>модуль</w:t>
      </w:r>
      <w:r w:rsidRPr="00E3095A">
        <w:rPr>
          <w:szCs w:val="18"/>
        </w:rPr>
        <w:t xml:space="preserve"> </w:t>
      </w:r>
      <w:proofErr w:type="spellStart"/>
      <w:r w:rsidRPr="00E3095A">
        <w:rPr>
          <w:szCs w:val="18"/>
          <w:lang w:val="en-US"/>
        </w:rPr>
        <w:t>eADR</w:t>
      </w:r>
      <w:proofErr w:type="spellEnd"/>
      <w:r w:rsidRPr="00E3095A">
        <w:rPr>
          <w:szCs w:val="18"/>
        </w:rPr>
        <w:t xml:space="preserve"> ВОИС </w:t>
      </w:r>
      <w:r>
        <w:rPr>
          <w:szCs w:val="18"/>
        </w:rPr>
        <w:t>также</w:t>
      </w:r>
      <w:r w:rsidRPr="00E3095A">
        <w:rPr>
          <w:szCs w:val="18"/>
        </w:rPr>
        <w:t xml:space="preserve"> использова</w:t>
      </w:r>
      <w:r>
        <w:rPr>
          <w:szCs w:val="18"/>
        </w:rPr>
        <w:t>лся</w:t>
      </w:r>
      <w:r w:rsidRPr="00E3095A">
        <w:rPr>
          <w:szCs w:val="18"/>
        </w:rPr>
        <w:t xml:space="preserve"> </w:t>
      </w:r>
      <w:r>
        <w:rPr>
          <w:szCs w:val="18"/>
        </w:rPr>
        <w:t>Арбитражной</w:t>
      </w:r>
      <w:r w:rsidRPr="00E3095A">
        <w:rPr>
          <w:szCs w:val="18"/>
        </w:rPr>
        <w:t xml:space="preserve"> </w:t>
      </w:r>
      <w:r>
        <w:rPr>
          <w:szCs w:val="18"/>
        </w:rPr>
        <w:t>комиссией</w:t>
      </w:r>
      <w:r w:rsidRPr="00E3095A">
        <w:rPr>
          <w:szCs w:val="18"/>
        </w:rPr>
        <w:t xml:space="preserve"> 37</w:t>
      </w:r>
      <w:r>
        <w:rPr>
          <w:szCs w:val="18"/>
        </w:rPr>
        <w:t>–го Кубка</w:t>
      </w:r>
      <w:r w:rsidRPr="00E3095A">
        <w:rPr>
          <w:szCs w:val="18"/>
        </w:rPr>
        <w:t xml:space="preserve"> </w:t>
      </w:r>
      <w:r>
        <w:rPr>
          <w:szCs w:val="18"/>
        </w:rPr>
        <w:t>Америки по парусному спорту.</w:t>
      </w:r>
      <w:r w:rsidRPr="00E3095A">
        <w:rPr>
          <w:szCs w:val="18"/>
        </w:rPr>
        <w:t xml:space="preserve"> </w:t>
      </w:r>
      <w:r>
        <w:rPr>
          <w:szCs w:val="18"/>
        </w:rPr>
        <w:t xml:space="preserve">См. </w:t>
      </w:r>
      <w:hyperlink r:id="rId2" w:history="1">
        <w:r w:rsidRPr="00E3095A">
          <w:rPr>
            <w:rStyle w:val="Hyperlink"/>
            <w:szCs w:val="18"/>
            <w:lang w:val="en-US"/>
          </w:rPr>
          <w:t>https</w:t>
        </w:r>
        <w:r w:rsidRPr="00E3095A">
          <w:rPr>
            <w:rStyle w:val="Hyperlink"/>
            <w:szCs w:val="18"/>
          </w:rPr>
          <w:t>://</w:t>
        </w:r>
        <w:r w:rsidRPr="00E3095A">
          <w:rPr>
            <w:rStyle w:val="Hyperlink"/>
            <w:szCs w:val="18"/>
            <w:lang w:val="en-US"/>
          </w:rPr>
          <w:t>www</w:t>
        </w:r>
        <w:r w:rsidRPr="00E3095A">
          <w:rPr>
            <w:rStyle w:val="Hyperlink"/>
            <w:szCs w:val="18"/>
          </w:rPr>
          <w:t>.</w:t>
        </w:r>
        <w:proofErr w:type="spellStart"/>
        <w:r w:rsidRPr="00E3095A">
          <w:rPr>
            <w:rStyle w:val="Hyperlink"/>
            <w:szCs w:val="18"/>
            <w:lang w:val="en-US"/>
          </w:rPr>
          <w:t>wipo</w:t>
        </w:r>
        <w:proofErr w:type="spellEnd"/>
        <w:r w:rsidRPr="00E3095A">
          <w:rPr>
            <w:rStyle w:val="Hyperlink"/>
            <w:szCs w:val="18"/>
          </w:rPr>
          <w:t>.</w:t>
        </w:r>
        <w:r w:rsidRPr="00E3095A">
          <w:rPr>
            <w:rStyle w:val="Hyperlink"/>
            <w:szCs w:val="18"/>
            <w:lang w:val="en-US"/>
          </w:rPr>
          <w:t>int</w:t>
        </w:r>
        <w:r w:rsidRPr="00E3095A">
          <w:rPr>
            <w:rStyle w:val="Hyperlink"/>
            <w:szCs w:val="18"/>
          </w:rPr>
          <w:t>/</w:t>
        </w:r>
        <w:proofErr w:type="spellStart"/>
        <w:r w:rsidRPr="00E3095A">
          <w:rPr>
            <w:rStyle w:val="Hyperlink"/>
            <w:szCs w:val="18"/>
            <w:lang w:val="en-US"/>
          </w:rPr>
          <w:t>amc</w:t>
        </w:r>
        <w:proofErr w:type="spellEnd"/>
        <w:r w:rsidRPr="00E3095A">
          <w:rPr>
            <w:rStyle w:val="Hyperlink"/>
            <w:szCs w:val="18"/>
          </w:rPr>
          <w:t>/</w:t>
        </w:r>
        <w:proofErr w:type="spellStart"/>
        <w:r w:rsidRPr="00E3095A">
          <w:rPr>
            <w:rStyle w:val="Hyperlink"/>
            <w:szCs w:val="18"/>
            <w:lang w:val="en-US"/>
          </w:rPr>
          <w:t>en</w:t>
        </w:r>
        <w:proofErr w:type="spellEnd"/>
        <w:r w:rsidRPr="00E3095A">
          <w:rPr>
            <w:rStyle w:val="Hyperlink"/>
            <w:szCs w:val="18"/>
          </w:rPr>
          <w:t>/</w:t>
        </w:r>
        <w:r w:rsidRPr="00E3095A">
          <w:rPr>
            <w:rStyle w:val="Hyperlink"/>
            <w:szCs w:val="18"/>
            <w:lang w:val="en-US"/>
          </w:rPr>
          <w:t>center</w:t>
        </w:r>
        <w:r w:rsidRPr="00E3095A">
          <w:rPr>
            <w:rStyle w:val="Hyperlink"/>
            <w:szCs w:val="18"/>
          </w:rPr>
          <w:t>/</w:t>
        </w:r>
        <w:r w:rsidRPr="00E3095A">
          <w:rPr>
            <w:rStyle w:val="Hyperlink"/>
            <w:szCs w:val="18"/>
            <w:lang w:val="en-US"/>
          </w:rPr>
          <w:t>background</w:t>
        </w:r>
        <w:r w:rsidRPr="00E3095A">
          <w:rPr>
            <w:rStyle w:val="Hyperlink"/>
            <w:szCs w:val="18"/>
          </w:rPr>
          <w:t>.</w:t>
        </w:r>
        <w:r w:rsidRPr="00E3095A">
          <w:rPr>
            <w:rStyle w:val="Hyperlink"/>
            <w:szCs w:val="18"/>
            <w:lang w:val="en-US"/>
          </w:rPr>
          <w:t>html</w:t>
        </w:r>
      </w:hyperlink>
      <w:r>
        <w:rPr>
          <w:szCs w:val="18"/>
        </w:rPr>
        <w:t>.</w:t>
      </w:r>
    </w:p>
  </w:footnote>
  <w:footnote w:id="10">
    <w:p w14:paraId="3B40E40C" w14:textId="333948C1" w:rsidR="00DB4D92" w:rsidRPr="006D7D6A" w:rsidRDefault="00DB4D92" w:rsidP="00595359">
      <w:pPr>
        <w:pStyle w:val="FootnoteText"/>
        <w:rPr>
          <w:szCs w:val="18"/>
        </w:rPr>
      </w:pPr>
      <w:r w:rsidRPr="006D7D6A">
        <w:rPr>
          <w:rStyle w:val="FootnoteReference"/>
          <w:szCs w:val="18"/>
        </w:rPr>
        <w:footnoteRef/>
      </w:r>
      <w:r>
        <w:tab/>
        <w:t xml:space="preserve">См. </w:t>
      </w:r>
      <w:hyperlink r:id="rId3" w:history="1">
        <w:r w:rsidRPr="006D7D6A">
          <w:rPr>
            <w:rStyle w:val="Hyperlink"/>
          </w:rPr>
          <w:t>https://www.wipo.int/export/sites/www/amc/en/docs/2022/wipo_adr_options_for_frand_disputes_management_resolution.pdf</w:t>
        </w:r>
      </w:hyperlink>
      <w:r>
        <w:t>.</w:t>
      </w:r>
      <w:r w:rsidRPr="006D7D6A">
        <w:t xml:space="preserve"> Публикация призвана помочь сторонам споров и нейтральным сторонам лучше по</w:t>
      </w:r>
      <w:r>
        <w:t xml:space="preserve">нимать и применять </w:t>
      </w:r>
      <w:r w:rsidRPr="006D7D6A">
        <w:t>имеющиеся варианты урегулирования споров при ведении переговоров и заключении лицензионных соглашений на условиях FRAND.</w:t>
      </w:r>
      <w:r w:rsidRPr="006D7D6A">
        <w:rPr>
          <w:shd w:val="clear" w:color="auto" w:fill="FFFFFF"/>
        </w:rPr>
        <w:t xml:space="preserve"> </w:t>
      </w:r>
      <w:r>
        <w:rPr>
          <w:shd w:val="clear" w:color="auto" w:fill="FFFFFF"/>
        </w:rPr>
        <w:t xml:space="preserve">В ней изложены </w:t>
      </w:r>
      <w:r w:rsidRPr="006D7D6A">
        <w:rPr>
          <w:shd w:val="clear" w:color="auto" w:fill="FFFFFF"/>
        </w:rPr>
        <w:t xml:space="preserve">ключевые элементы, которые стороны могут использовать для построения процесса АУС, особенно когда речь идет о крупных портфелях SEP в секторах телекоммуникаций, интернета вещей и </w:t>
      </w:r>
      <w:r>
        <w:rPr>
          <w:shd w:val="clear" w:color="auto" w:fill="FFFFFF"/>
        </w:rPr>
        <w:t>других динамичных сферах</w:t>
      </w:r>
      <w:r w:rsidRPr="006D7D6A">
        <w:rPr>
          <w:shd w:val="clear" w:color="auto" w:fill="FFFFFF"/>
        </w:rPr>
        <w:t xml:space="preserve">, а также для оптимизации </w:t>
      </w:r>
      <w:r>
        <w:rPr>
          <w:shd w:val="clear" w:color="auto" w:fill="FFFFFF"/>
        </w:rPr>
        <w:t xml:space="preserve">затрат </w:t>
      </w:r>
      <w:r w:rsidRPr="006D7D6A">
        <w:rPr>
          <w:shd w:val="clear" w:color="auto" w:fill="FFFFFF"/>
        </w:rPr>
        <w:t xml:space="preserve">времени и </w:t>
      </w:r>
      <w:r w:rsidRPr="00AC6320">
        <w:rPr>
          <w:shd w:val="clear" w:color="auto" w:fill="FFFFFF"/>
        </w:rPr>
        <w:t>средств</w:t>
      </w:r>
      <w:r>
        <w:rPr>
          <w:shd w:val="clear" w:color="auto" w:fill="FFFFFF"/>
        </w:rPr>
        <w:t xml:space="preserve"> на рассмотрение</w:t>
      </w:r>
      <w:r w:rsidRPr="006D7D6A">
        <w:rPr>
          <w:shd w:val="clear" w:color="auto" w:fill="FFFFFF"/>
        </w:rPr>
        <w:t xml:space="preserve"> споров. </w:t>
      </w:r>
      <w:r w:rsidRPr="009D674B">
        <w:rPr>
          <w:shd w:val="clear" w:color="auto" w:fill="FFFFFF"/>
        </w:rPr>
        <w:t>Публикаци</w:t>
      </w:r>
      <w:r>
        <w:rPr>
          <w:shd w:val="clear" w:color="auto" w:fill="FFFFFF"/>
        </w:rPr>
        <w:t xml:space="preserve">я </w:t>
      </w:r>
      <w:r w:rsidRPr="006D7D6A">
        <w:rPr>
          <w:shd w:val="clear" w:color="auto" w:fill="FFFFFF"/>
        </w:rPr>
        <w:t xml:space="preserve">также </w:t>
      </w:r>
      <w:r w:rsidRPr="009D674B">
        <w:rPr>
          <w:shd w:val="clear" w:color="auto" w:fill="FFFFFF"/>
        </w:rPr>
        <w:t>содерж</w:t>
      </w:r>
      <w:r>
        <w:rPr>
          <w:shd w:val="clear" w:color="auto" w:fill="FFFFFF"/>
        </w:rPr>
        <w:t>ит</w:t>
      </w:r>
      <w:r w:rsidRPr="006D7D6A">
        <w:rPr>
          <w:shd w:val="clear" w:color="auto" w:fill="FFFFFF"/>
        </w:rPr>
        <w:t xml:space="preserve"> типовые соглашения </w:t>
      </w:r>
      <w:r>
        <w:rPr>
          <w:shd w:val="clear" w:color="auto" w:fill="FFFFFF"/>
        </w:rPr>
        <w:t xml:space="preserve">об АУС, учитывающие </w:t>
      </w:r>
      <w:r w:rsidRPr="00AC6320">
        <w:rPr>
          <w:shd w:val="clear" w:color="auto" w:fill="FFFFFF"/>
        </w:rPr>
        <w:t>специфику</w:t>
      </w:r>
      <w:r>
        <w:rPr>
          <w:shd w:val="clear" w:color="auto" w:fill="FFFFFF"/>
        </w:rPr>
        <w:t xml:space="preserve"> </w:t>
      </w:r>
      <w:r w:rsidRPr="00AC6320">
        <w:rPr>
          <w:shd w:val="clear" w:color="auto" w:fill="FFFFFF"/>
        </w:rPr>
        <w:t>различн</w:t>
      </w:r>
      <w:r>
        <w:rPr>
          <w:shd w:val="clear" w:color="auto" w:fill="FFFFFF"/>
        </w:rPr>
        <w:t>ых отраслей</w:t>
      </w:r>
      <w:r w:rsidRPr="006D7D6A">
        <w:rPr>
          <w:shd w:val="clear" w:color="auto" w:fill="FFFFFF"/>
        </w:rPr>
        <w:t>.</w:t>
      </w:r>
    </w:p>
  </w:footnote>
  <w:footnote w:id="11">
    <w:p w14:paraId="4379752E" w14:textId="660B4354" w:rsidR="00DB4D92" w:rsidRPr="00482E30" w:rsidRDefault="00DB4D92" w:rsidP="00595359">
      <w:pPr>
        <w:pStyle w:val="FootnoteText"/>
        <w:rPr>
          <w:szCs w:val="18"/>
        </w:rPr>
      </w:pPr>
      <w:r w:rsidRPr="006D7D6A">
        <w:rPr>
          <w:rStyle w:val="FootnoteReference"/>
          <w:szCs w:val="18"/>
        </w:rPr>
        <w:footnoteRef/>
      </w:r>
      <w:r>
        <w:tab/>
        <w:t>Центр отмечает все более широкое использование норм В</w:t>
      </w:r>
      <w:r w:rsidRPr="00482E30">
        <w:t xml:space="preserve">ОИС о посредничестве и арбитраже участниками сделок в сфере наук о жизни. Например, варианты действий, связанные с посредничеством и арбитражем ВОИС предусмотрены более чем в 75 лицензионных и сублицензионных соглашениях, заключенных Патентным фондом лекарственных средств (MPP) с лицензиатами примерно в 25 юрисдикциях </w:t>
      </w:r>
      <w:r w:rsidRPr="00482E30">
        <w:t xml:space="preserve">(см. </w:t>
      </w:r>
      <w:r w:rsidR="00F668B1">
        <w:fldChar w:fldCharType="begin"/>
      </w:r>
      <w:r w:rsidR="00F668B1">
        <w:instrText>HYPERLINK "https://medicinespatentpool.org/progress-achievements/licences"</w:instrText>
      </w:r>
      <w:r w:rsidR="00F668B1">
        <w:fldChar w:fldCharType="separate"/>
      </w:r>
      <w:r w:rsidRPr="00482E30">
        <w:rPr>
          <w:rStyle w:val="Hyperlink"/>
          <w:lang w:val="en-US"/>
        </w:rPr>
        <w:t>https</w:t>
      </w:r>
      <w:r w:rsidRPr="00482E30">
        <w:rPr>
          <w:rStyle w:val="Hyperlink"/>
        </w:rPr>
        <w:t>://</w:t>
      </w:r>
      <w:proofErr w:type="spellStart"/>
      <w:r w:rsidRPr="00482E30">
        <w:rPr>
          <w:rStyle w:val="Hyperlink"/>
          <w:lang w:val="en-US"/>
        </w:rPr>
        <w:t>medicinespatentpool</w:t>
      </w:r>
      <w:proofErr w:type="spellEnd"/>
      <w:r w:rsidRPr="00482E30">
        <w:rPr>
          <w:rStyle w:val="Hyperlink"/>
        </w:rPr>
        <w:t>.</w:t>
      </w:r>
      <w:r w:rsidRPr="00482E30">
        <w:rPr>
          <w:rStyle w:val="Hyperlink"/>
          <w:lang w:val="en-US"/>
        </w:rPr>
        <w:t>org</w:t>
      </w:r>
      <w:r w:rsidRPr="00482E30">
        <w:rPr>
          <w:rStyle w:val="Hyperlink"/>
        </w:rPr>
        <w:t>/</w:t>
      </w:r>
      <w:r w:rsidRPr="00482E30">
        <w:rPr>
          <w:rStyle w:val="Hyperlink"/>
          <w:lang w:val="en-US"/>
        </w:rPr>
        <w:t>progress</w:t>
      </w:r>
      <w:r w:rsidRPr="00482E30">
        <w:rPr>
          <w:rStyle w:val="Hyperlink"/>
        </w:rPr>
        <w:t>-</w:t>
      </w:r>
      <w:r w:rsidRPr="00482E30">
        <w:rPr>
          <w:rStyle w:val="Hyperlink"/>
          <w:lang w:val="en-US"/>
        </w:rPr>
        <w:t>achievements</w:t>
      </w:r>
      <w:r w:rsidRPr="00482E30">
        <w:rPr>
          <w:rStyle w:val="Hyperlink"/>
        </w:rPr>
        <w:t>/</w:t>
      </w:r>
      <w:proofErr w:type="spellStart"/>
      <w:r w:rsidRPr="00482E30">
        <w:rPr>
          <w:rStyle w:val="Hyperlink"/>
          <w:lang w:val="en-US"/>
        </w:rPr>
        <w:t>licences</w:t>
      </w:r>
      <w:proofErr w:type="spellEnd"/>
      <w:r w:rsidR="00F668B1">
        <w:rPr>
          <w:rStyle w:val="Hyperlink"/>
          <w:lang w:val="en-US"/>
        </w:rPr>
        <w:fldChar w:fldCharType="end"/>
      </w:r>
      <w:r w:rsidRPr="00482E30">
        <w:rPr>
          <w:rStyle w:val="Hyperlink"/>
        </w:rPr>
        <w:t>)</w:t>
      </w:r>
      <w:r>
        <w:t>.</w:t>
      </w:r>
    </w:p>
  </w:footnote>
  <w:footnote w:id="12">
    <w:p w14:paraId="259130DE" w14:textId="77777777" w:rsidR="00DB4D92" w:rsidRPr="006D7D6A" w:rsidRDefault="00DB4D92" w:rsidP="00595359">
      <w:pPr>
        <w:pStyle w:val="FootnoteText"/>
        <w:rPr>
          <w:szCs w:val="18"/>
        </w:rPr>
      </w:pPr>
      <w:r w:rsidRPr="006D7D6A">
        <w:rPr>
          <w:rStyle w:val="FootnoteReference"/>
          <w:szCs w:val="18"/>
        </w:rPr>
        <w:footnoteRef/>
      </w:r>
      <w:r>
        <w:tab/>
        <w:t>Эта публикация была представлена 29 ноября 2022 года на семинаре ВОИС по АУС для рассмотрения и урегулирования споров в сфере наук о жизни, на котором выступили представители отрасли, ведомств по передаче технологий, партнерств в области здравоохранения и нейтральных сторон ВОИС из стран Африки, Азии, Европы и Северной Америки.</w:t>
      </w:r>
      <w:r w:rsidRPr="006D7D6A">
        <w:t xml:space="preserve"> </w:t>
      </w:r>
      <w:r>
        <w:t xml:space="preserve">См. </w:t>
      </w:r>
      <w:hyperlink r:id="rId4" w:history="1">
        <w:r w:rsidRPr="006D7D6A">
          <w:rPr>
            <w:rStyle w:val="Hyperlink"/>
          </w:rPr>
          <w:t>https://webcast.wipo.int/video/OTHER_WIPO_SEMINAR_1_2022-11-29_PM_117643</w:t>
        </w:r>
      </w:hyperlink>
      <w:r>
        <w:t xml:space="preserve">. </w:t>
      </w:r>
    </w:p>
  </w:footnote>
  <w:footnote w:id="13">
    <w:p w14:paraId="4E0C6F3E" w14:textId="77777777" w:rsidR="00DB4D92" w:rsidRPr="00E3095A" w:rsidRDefault="00DB4D92" w:rsidP="00595359">
      <w:pPr>
        <w:pStyle w:val="FootnoteText"/>
        <w:rPr>
          <w:szCs w:val="18"/>
        </w:rPr>
      </w:pPr>
      <w:r w:rsidRPr="006D7D6A">
        <w:rPr>
          <w:rStyle w:val="FootnoteReference"/>
          <w:szCs w:val="18"/>
        </w:rPr>
        <w:footnoteRef/>
      </w:r>
      <w:r w:rsidRPr="00E3095A">
        <w:t xml:space="preserve"> </w:t>
      </w:r>
      <w:r w:rsidRPr="00E3095A">
        <w:tab/>
      </w:r>
      <w:r>
        <w:t>Речь идет о спорах</w:t>
      </w:r>
      <w:r w:rsidRPr="00F05C7D">
        <w:t xml:space="preserve">, </w:t>
      </w:r>
      <w:r w:rsidRPr="00063743">
        <w:t>рассматрива</w:t>
      </w:r>
      <w:r>
        <w:t>емых</w:t>
      </w:r>
      <w:r w:rsidRPr="00F05C7D">
        <w:t xml:space="preserve"> совместно с ведомствами </w:t>
      </w:r>
      <w:r>
        <w:t>ИС и авторского права</w:t>
      </w:r>
      <w:r w:rsidRPr="00F05C7D">
        <w:t xml:space="preserve">, судами и другими сторонами </w:t>
      </w:r>
      <w:r>
        <w:t xml:space="preserve">без </w:t>
      </w:r>
      <w:r w:rsidRPr="00063743">
        <w:rPr>
          <w:snapToGrid w:val="0"/>
        </w:rPr>
        <w:t>применени</w:t>
      </w:r>
      <w:r>
        <w:t xml:space="preserve">я </w:t>
      </w:r>
      <w:r w:rsidRPr="00F05C7D">
        <w:t>Пра</w:t>
      </w:r>
      <w:r>
        <w:t>вил ВОИС</w:t>
      </w:r>
      <w:r w:rsidRPr="00F05C7D">
        <w:t>.</w:t>
      </w:r>
    </w:p>
  </w:footnote>
  <w:footnote w:id="14">
    <w:p w14:paraId="4E147903" w14:textId="19DD19B6" w:rsidR="00DB4D92" w:rsidRPr="006D7D6A" w:rsidRDefault="00DB4D92" w:rsidP="00595359">
      <w:pPr>
        <w:pStyle w:val="FootnoteText"/>
        <w:rPr>
          <w:szCs w:val="18"/>
        </w:rPr>
      </w:pPr>
      <w:r w:rsidRPr="006D7D6A">
        <w:rPr>
          <w:rStyle w:val="FootnoteReference"/>
          <w:szCs w:val="18"/>
        </w:rPr>
        <w:footnoteRef/>
      </w:r>
      <w:r>
        <w:tab/>
      </w:r>
      <w:r w:rsidRPr="006D7D6A">
        <w:t>На сегодняшн</w:t>
      </w:r>
      <w:r>
        <w:t xml:space="preserve">ий день Центр сотрудничает с 87 </w:t>
      </w:r>
      <w:r w:rsidRPr="00B05182">
        <w:t>ведомств</w:t>
      </w:r>
      <w:r>
        <w:t xml:space="preserve">ами ИС </w:t>
      </w:r>
      <w:r w:rsidRPr="006D7D6A">
        <w:t>и судами</w:t>
      </w:r>
      <w:r>
        <w:t>: организациями Албании, Алжира, Аргентины</w:t>
      </w:r>
      <w:r w:rsidRPr="006D7D6A">
        <w:t>, Австра</w:t>
      </w:r>
      <w:r>
        <w:t>лии, Австрии, Беларуси, Ботсваны, Бразилии, Болгарии, Канады, Чили, Китая, Колумбии, Коста-Рики, Кубы, Чешской Республики, Доминиканской Республики, Эквадора, Египта</w:t>
      </w:r>
      <w:r w:rsidRPr="006D7D6A">
        <w:t>, Сальвадор</w:t>
      </w:r>
      <w:r>
        <w:t>а</w:t>
      </w:r>
      <w:r w:rsidRPr="006D7D6A">
        <w:t>, Фр</w:t>
      </w:r>
      <w:r>
        <w:t>анции, Грузии, Греции, Гватемалы</w:t>
      </w:r>
      <w:r w:rsidRPr="006D7D6A">
        <w:t>, Ве</w:t>
      </w:r>
      <w:r>
        <w:t>нгрии, Индии, Индонезии, Израиля, Италии, Казахстана</w:t>
      </w:r>
      <w:r w:rsidRPr="006D7D6A">
        <w:t>, Кении, Республик</w:t>
      </w:r>
      <w:r>
        <w:t>и Корея, Кыргызстана</w:t>
      </w:r>
      <w:r w:rsidRPr="006D7D6A">
        <w:t>, Лаосской На</w:t>
      </w:r>
      <w:r>
        <w:t>родно-Демократической Республики, Литвы, Мексики</w:t>
      </w:r>
      <w:r w:rsidRPr="006D7D6A">
        <w:t>, Марокко, Намибии, Н</w:t>
      </w:r>
      <w:r>
        <w:t>овой Зеландии, Нигерии, Парагвая</w:t>
      </w:r>
      <w:r w:rsidRPr="006D7D6A">
        <w:t>, Перу, Фил</w:t>
      </w:r>
      <w:r>
        <w:t>иппин, Польши, Катара</w:t>
      </w:r>
      <w:r w:rsidRPr="006D7D6A">
        <w:t>, Румынии, Российской Федерации, Сауд</w:t>
      </w:r>
      <w:r>
        <w:t>овской Аравии, Сербии, Сингапура</w:t>
      </w:r>
      <w:r w:rsidRPr="006D7D6A">
        <w:t>, Словакии, Испании, Шв</w:t>
      </w:r>
      <w:r>
        <w:t>ейцарии, Объединенной Республики Танзании, Таиланда, Тринидада и Тобаго, Турции, Украины</w:t>
      </w:r>
      <w:r w:rsidRPr="006D7D6A">
        <w:t>, Ве</w:t>
      </w:r>
      <w:r>
        <w:t>ликобритании, Соединенных Штатов</w:t>
      </w:r>
      <w:r w:rsidRPr="006D7D6A">
        <w:t xml:space="preserve"> Америки и Уругва</w:t>
      </w:r>
      <w:r>
        <w:t xml:space="preserve">я, а также с </w:t>
      </w:r>
      <w:r w:rsidRPr="006D7D6A">
        <w:t>Е</w:t>
      </w:r>
      <w:r>
        <w:t>вразийской патентной организацией</w:t>
      </w:r>
      <w:r w:rsidRPr="006D7D6A">
        <w:t xml:space="preserve"> (ЕАПО)</w:t>
      </w:r>
      <w:r>
        <w:t xml:space="preserve"> и Патентным ведомством</w:t>
      </w:r>
      <w:r w:rsidRPr="006D7D6A">
        <w:t xml:space="preserve"> Совета сотрудничества арабских государс</w:t>
      </w:r>
      <w:r>
        <w:t>тв Персидского залива (Патентным</w:t>
      </w:r>
      <w:r w:rsidRPr="006D7D6A">
        <w:t xml:space="preserve"> ведомство</w:t>
      </w:r>
      <w:r>
        <w:t>м</w:t>
      </w:r>
      <w:r w:rsidRPr="006D7D6A">
        <w:t xml:space="preserve"> ССАГПЗ)</w:t>
      </w:r>
      <w:r w:rsidR="00F4340D" w:rsidRPr="00F4340D">
        <w:t>.</w:t>
      </w:r>
      <w:r w:rsidRPr="006D7D6A">
        <w:t xml:space="preserve"> </w:t>
      </w:r>
      <w:r w:rsidRPr="006D7D6A">
        <w:rPr>
          <w:shd w:val="clear" w:color="auto" w:fill="FFFFFF"/>
        </w:rPr>
        <w:t xml:space="preserve">См. </w:t>
      </w:r>
      <w:r w:rsidR="00F668B1">
        <w:fldChar w:fldCharType="begin"/>
      </w:r>
      <w:r w:rsidR="00F668B1">
        <w:instrText>HYPERLINK "https://www.wipo.int/amc/en/center/specific-sectors/ipoffices/"</w:instrText>
      </w:r>
      <w:r w:rsidR="00F668B1">
        <w:fldChar w:fldCharType="separate"/>
      </w:r>
      <w:r w:rsidRPr="006D7D6A">
        <w:rPr>
          <w:rStyle w:val="Hyperlink"/>
        </w:rPr>
        <w:t>https://www.wipo.int/amc/en/center/specific-sectors/ipoffices/</w:t>
      </w:r>
      <w:r w:rsidR="00F668B1">
        <w:rPr>
          <w:rStyle w:val="Hyperlink"/>
        </w:rPr>
        <w:fldChar w:fldCharType="end"/>
      </w:r>
      <w:r>
        <w:rPr>
          <w:shd w:val="clear" w:color="auto" w:fill="FFFFFF"/>
        </w:rPr>
        <w:t>.</w:t>
      </w:r>
    </w:p>
  </w:footnote>
  <w:footnote w:id="15">
    <w:p w14:paraId="0273399E" w14:textId="77777777" w:rsidR="00DB4D92" w:rsidRPr="00077839" w:rsidRDefault="00DB4D92" w:rsidP="00595359">
      <w:pPr>
        <w:pStyle w:val="FootnoteText"/>
        <w:rPr>
          <w:szCs w:val="18"/>
        </w:rPr>
      </w:pPr>
      <w:r w:rsidRPr="00F2670D">
        <w:rPr>
          <w:rStyle w:val="FootnoteReference"/>
          <w:szCs w:val="18"/>
        </w:rPr>
        <w:footnoteRef/>
      </w:r>
      <w:r w:rsidRPr="00F2670D">
        <w:t xml:space="preserve"> </w:t>
      </w:r>
      <w:r w:rsidRPr="00F2670D">
        <w:tab/>
        <w:t>Участниками таких инициатив были Главное управление промышленной собственности и Школа судей Республики Албания, Национальное управление по авторским и смежным правам Алжира (</w:t>
      </w:r>
      <w:r w:rsidRPr="00F2670D">
        <w:rPr>
          <w:lang w:val="en-US"/>
        </w:rPr>
        <w:t>ONDA</w:t>
      </w:r>
      <w:r w:rsidRPr="00F2670D">
        <w:t>), Австрийское патентное ведомство, Высший народный суд провинции Гуандун (Китай), Национальный институт промышленной собственности Франции (</w:t>
      </w:r>
      <w:r w:rsidRPr="00F2670D">
        <w:rPr>
          <w:lang w:val="en-US"/>
        </w:rPr>
        <w:t>INPI</w:t>
      </w:r>
      <w:r w:rsidRPr="00F2670D">
        <w:t>), Управление генерального контролера по патентам, промышленным образцам и товарным знакам Индии (</w:t>
      </w:r>
      <w:r w:rsidRPr="00F2670D">
        <w:rPr>
          <w:lang w:val="en-US"/>
        </w:rPr>
        <w:t>CGPDTM</w:t>
      </w:r>
      <w:r w:rsidRPr="00F2670D">
        <w:t>), Комитет по аккредитации организаций посредничества Кении, Управление интеллектуальной собственности при Министерстве промышленности и торговли Лаосской Народно-Демократической Республики, Управление предпринимательства и интеллектуальной собственности Намибии (</w:t>
      </w:r>
      <w:r w:rsidRPr="00F2670D">
        <w:rPr>
          <w:lang w:val="en-US"/>
        </w:rPr>
        <w:t>BIPA</w:t>
      </w:r>
      <w:r w:rsidRPr="00F2670D">
        <w:t>), Управление интеллектуальной собственности Саудовской Аравии (</w:t>
      </w:r>
      <w:r w:rsidRPr="00F2670D">
        <w:rPr>
          <w:lang w:val="en-US"/>
        </w:rPr>
        <w:t>SAIP</w:t>
      </w:r>
      <w:r w:rsidRPr="00F2670D">
        <w:t>), Турецкое ведомство по патентам и товарным знакам и Национальное управление промышленной собственности Ур</w:t>
      </w:r>
      <w:r w:rsidRPr="00077839">
        <w:t xml:space="preserve">угвая. </w:t>
      </w:r>
    </w:p>
  </w:footnote>
  <w:footnote w:id="16">
    <w:p w14:paraId="1976077E" w14:textId="2F8B46C0" w:rsidR="00DB4D92" w:rsidRPr="00423040" w:rsidRDefault="00DB4D92" w:rsidP="00595359">
      <w:pPr>
        <w:pStyle w:val="FootnoteText"/>
        <w:rPr>
          <w:szCs w:val="18"/>
        </w:rPr>
      </w:pPr>
      <w:r w:rsidRPr="00077839">
        <w:rPr>
          <w:rStyle w:val="FootnoteReference"/>
          <w:szCs w:val="18"/>
        </w:rPr>
        <w:footnoteRef/>
      </w:r>
      <w:r w:rsidRPr="00077839">
        <w:tab/>
        <w:t xml:space="preserve">В этот период Центр организовал учебные и информационно-разъяснительные мероприятия по вопросам АУС с ведомствами </w:t>
      </w:r>
      <w:r w:rsidR="00534F6B">
        <w:t>ИС</w:t>
      </w:r>
      <w:r w:rsidRPr="00077839">
        <w:t xml:space="preserve"> и судами Алжира, Австрии, Канады, Чили, Китая, Доминиканской Республики, Египта, Франции, Грузии, Греции, Гватемалы, Индии, Кении, Мексики, Марокко, Нигерии, Филиппин, Польши, Катара, Республики Кореи, Саудовской Аравии, Сингапура, Словакии, Испании, Турции, Объединенной Республики Танзании и Соединенных Штатов Америки, а также с Африканской региональной организацией интеллектуальной собственности (АРОИС) и Евразийской патентной организацией</w:t>
      </w:r>
      <w:r w:rsidR="006D71A1">
        <w:t> </w:t>
      </w:r>
      <w:r w:rsidRPr="00077839">
        <w:t xml:space="preserve">(ЕАПО). </w:t>
      </w:r>
    </w:p>
  </w:footnote>
  <w:footnote w:id="17">
    <w:p w14:paraId="600A1CE1" w14:textId="67251683" w:rsidR="00DB4D92" w:rsidRPr="00256503" w:rsidRDefault="00DB4D92" w:rsidP="00595359">
      <w:pPr>
        <w:pStyle w:val="FootnoteText"/>
        <w:rPr>
          <w:szCs w:val="18"/>
        </w:rPr>
      </w:pPr>
      <w:r w:rsidRPr="006D7D6A">
        <w:rPr>
          <w:rStyle w:val="FootnoteReference"/>
          <w:szCs w:val="18"/>
        </w:rPr>
        <w:footnoteRef/>
      </w:r>
      <w:r w:rsidRPr="00402131">
        <w:t xml:space="preserve"> </w:t>
      </w:r>
      <w:r w:rsidRPr="00402131">
        <w:tab/>
      </w:r>
      <w:bookmarkStart w:id="7" w:name="_Hlk159937683"/>
      <w:r>
        <w:t>Как</w:t>
      </w:r>
      <w:r w:rsidRPr="00402131">
        <w:t xml:space="preserve"> </w:t>
      </w:r>
      <w:r>
        <w:t>указывалось</w:t>
      </w:r>
      <w:r w:rsidRPr="00402131">
        <w:t xml:space="preserve"> </w:t>
      </w:r>
      <w:r>
        <w:t>в</w:t>
      </w:r>
      <w:r w:rsidRPr="00402131">
        <w:t xml:space="preserve"> </w:t>
      </w:r>
      <w:r>
        <w:t>пункте</w:t>
      </w:r>
      <w:r w:rsidRPr="00402131">
        <w:t xml:space="preserve"> 8 </w:t>
      </w:r>
      <w:r>
        <w:t>выше</w:t>
      </w:r>
      <w:r w:rsidRPr="00402131">
        <w:t xml:space="preserve">, </w:t>
      </w:r>
      <w:r>
        <w:t>в</w:t>
      </w:r>
      <w:r w:rsidRPr="00402131">
        <w:t xml:space="preserve"> </w:t>
      </w:r>
      <w:r>
        <w:t>рамках</w:t>
      </w:r>
      <w:r w:rsidRPr="00402131">
        <w:t xml:space="preserve"> </w:t>
      </w:r>
      <w:r>
        <w:t>своего</w:t>
      </w:r>
      <w:r w:rsidRPr="00402131">
        <w:t xml:space="preserve"> </w:t>
      </w:r>
      <w:r w:rsidRPr="0036372D">
        <w:t>сотрудн</w:t>
      </w:r>
      <w:r>
        <w:t>ичества</w:t>
      </w:r>
      <w:r w:rsidRPr="00402131">
        <w:t xml:space="preserve"> </w:t>
      </w:r>
      <w:r>
        <w:t>с</w:t>
      </w:r>
      <w:r w:rsidRPr="00402131">
        <w:t xml:space="preserve"> </w:t>
      </w:r>
      <w:r w:rsidRPr="006D7D6A">
        <w:rPr>
          <w:lang w:val="en-US"/>
        </w:rPr>
        <w:t>IPOS</w:t>
      </w:r>
      <w:r w:rsidRPr="00402131">
        <w:t xml:space="preserve"> </w:t>
      </w:r>
      <w:r>
        <w:t>Центр</w:t>
      </w:r>
      <w:r w:rsidRPr="00402131">
        <w:t xml:space="preserve"> </w:t>
      </w:r>
      <w:r>
        <w:t>участвовал</w:t>
      </w:r>
      <w:r w:rsidRPr="00402131">
        <w:t xml:space="preserve"> </w:t>
      </w:r>
      <w:r>
        <w:t>в</w:t>
      </w:r>
      <w:r w:rsidRPr="00402131">
        <w:t xml:space="preserve"> </w:t>
      </w:r>
      <w:r>
        <w:t>разработке</w:t>
      </w:r>
      <w:r w:rsidRPr="00402131">
        <w:t xml:space="preserve"> </w:t>
      </w:r>
      <w:r>
        <w:t xml:space="preserve">схем </w:t>
      </w:r>
      <w:r w:rsidRPr="00A27F76">
        <w:t>по</w:t>
      </w:r>
      <w:r>
        <w:t>средничества</w:t>
      </w:r>
      <w:r w:rsidRPr="00402131">
        <w:t xml:space="preserve"> </w:t>
      </w:r>
      <w:r>
        <w:t>для</w:t>
      </w:r>
      <w:r w:rsidRPr="00402131">
        <w:t xml:space="preserve"> </w:t>
      </w:r>
      <w:r>
        <w:rPr>
          <w:szCs w:val="22"/>
        </w:rPr>
        <w:t xml:space="preserve">рассматриваемых </w:t>
      </w:r>
      <w:r w:rsidRPr="006D7D6A">
        <w:rPr>
          <w:lang w:val="en-US"/>
        </w:rPr>
        <w:t>IPOS</w:t>
      </w:r>
      <w:r w:rsidRPr="00402131">
        <w:t xml:space="preserve"> </w:t>
      </w:r>
      <w:r>
        <w:t xml:space="preserve">споров о </w:t>
      </w:r>
      <w:r w:rsidRPr="002B2E25">
        <w:t>товарных знаках</w:t>
      </w:r>
      <w:r>
        <w:t xml:space="preserve"> и других формах ИС</w:t>
      </w:r>
      <w:r w:rsidRPr="00402131">
        <w:t xml:space="preserve">, </w:t>
      </w:r>
      <w:r>
        <w:t>а также схемы выработки экспертных заключений для</w:t>
      </w:r>
      <w:r w:rsidRPr="00402131">
        <w:t xml:space="preserve"> </w:t>
      </w:r>
      <w:r>
        <w:rPr>
          <w:szCs w:val="22"/>
        </w:rPr>
        <w:t xml:space="preserve">рассматриваемых </w:t>
      </w:r>
      <w:r w:rsidRPr="006D7D6A">
        <w:rPr>
          <w:lang w:val="en-US"/>
        </w:rPr>
        <w:t>IPOS</w:t>
      </w:r>
      <w:r w:rsidRPr="00402131">
        <w:t xml:space="preserve"> </w:t>
      </w:r>
      <w:r>
        <w:rPr>
          <w:szCs w:val="22"/>
        </w:rPr>
        <w:t>патент</w:t>
      </w:r>
      <w:r>
        <w:t>ных споров</w:t>
      </w:r>
      <w:r w:rsidRPr="00402131">
        <w:t xml:space="preserve">, </w:t>
      </w:r>
      <w:r>
        <w:t xml:space="preserve">и </w:t>
      </w:r>
      <w:r w:rsidRPr="004D0E14">
        <w:t>рассматр</w:t>
      </w:r>
      <w:r>
        <w:t>ивает такие споры</w:t>
      </w:r>
      <w:r w:rsidRPr="00402131">
        <w:t>,</w:t>
      </w:r>
      <w:r>
        <w:t xml:space="preserve"> в том числе с </w:t>
      </w:r>
      <w:r w:rsidRPr="00EA4BEE">
        <w:rPr>
          <w:snapToGrid w:val="0"/>
        </w:rPr>
        <w:t>применени</w:t>
      </w:r>
      <w:r>
        <w:t xml:space="preserve">ем </w:t>
      </w:r>
      <w:r w:rsidRPr="00847EC1">
        <w:rPr>
          <w:lang w:eastAsia="ru-RU"/>
        </w:rPr>
        <w:t>онл</w:t>
      </w:r>
      <w:r>
        <w:rPr>
          <w:lang w:eastAsia="ru-RU"/>
        </w:rPr>
        <w:t>айн</w:t>
      </w:r>
      <w:r>
        <w:t xml:space="preserve">овых </w:t>
      </w:r>
      <w:r w:rsidRPr="00402131">
        <w:t xml:space="preserve">средств. </w:t>
      </w:r>
      <w:r w:rsidRPr="006D7D6A">
        <w:t xml:space="preserve">Центр также сотрудничает с IPOPHL по вопросам ведения на Филиппинах посреднических процедур, связанных с правами ИС, в том числе в последнее время в рамках программы внесудебного посредничества IPOPHL, а также занимается рассмотрением дел, переданных для проведения посредничества ВОИС в рамках этих механизмов. </w:t>
      </w:r>
      <w:bookmarkEnd w:id="7"/>
      <w:r w:rsidRPr="006D7D6A">
        <w:t xml:space="preserve">Кроме того, Совет по рассмотрению споров и апелляций в связи с товарными знаками (TTAB) и Совет по рассмотрению споров и апелляций в связи с патентами (PTAB) ВПТЗ США рекомендуют сторонам считать АУС средством урегулирования вопросов, возникающих в ходе таких разбирательств; Центр включен в перечень провайдеров услуг в области урегулирования споров. В рамках сотрудничества с Патентным ведомством Польши (PPO) Центр участвовал в разработке посреднической процедуры ВОИС, которая может использоваться для </w:t>
      </w:r>
      <w:r>
        <w:t xml:space="preserve">споров, </w:t>
      </w:r>
      <w:r w:rsidRPr="00C862FF">
        <w:t>касающи</w:t>
      </w:r>
      <w:r>
        <w:t>хся возражений</w:t>
      </w:r>
      <w:r w:rsidRPr="006D7D6A">
        <w:t xml:space="preserve"> в отнош</w:t>
      </w:r>
      <w:r w:rsidRPr="00256503">
        <w:t>ении товарных знаков.</w:t>
      </w:r>
      <w:bookmarkStart w:id="8" w:name="_Hlk159938345"/>
      <w:r w:rsidRPr="00256503">
        <w:t xml:space="preserve"> В рамках сотрудничества между Центром и OMPIC стороны разработали схему посредничества для разрешения споров в области ИС и технологий, </w:t>
      </w:r>
      <w:r>
        <w:t>которые урегулируются</w:t>
      </w:r>
      <w:r w:rsidRPr="00256503">
        <w:t xml:space="preserve"> совместно Центром и OMPIC. </w:t>
      </w:r>
      <w:r w:rsidRPr="00256503">
        <w:rPr>
          <w:lang w:val="en-US"/>
        </w:rPr>
        <w:t>T</w:t>
      </w:r>
      <w:r w:rsidRPr="00256503">
        <w:t xml:space="preserve">TIPO, совместно с Центром, предлагает сторонам споров, касающихся возражений в отношении товарных знаков, вариант добровольного посредничества, проводимого на основании Правил ВОИС о посредничестве, для разрешения споров, </w:t>
      </w:r>
      <w:r>
        <w:t>поданных на рассмотрение</w:t>
      </w:r>
      <w:r w:rsidRPr="00256503">
        <w:t xml:space="preserve"> TTIPO</w:t>
      </w:r>
      <w:bookmarkEnd w:id="8"/>
      <w:r w:rsidRPr="00256503">
        <w:t>.</w:t>
      </w:r>
    </w:p>
  </w:footnote>
  <w:footnote w:id="18">
    <w:p w14:paraId="7F02C5BE" w14:textId="10A8E15D" w:rsidR="00DB4D92" w:rsidRPr="008500E1" w:rsidRDefault="00DB4D92" w:rsidP="00595359">
      <w:pPr>
        <w:pStyle w:val="FootnoteText"/>
        <w:rPr>
          <w:szCs w:val="18"/>
        </w:rPr>
      </w:pPr>
      <w:r w:rsidRPr="006D7D6A">
        <w:rPr>
          <w:rStyle w:val="FootnoteReference"/>
          <w:szCs w:val="18"/>
        </w:rPr>
        <w:footnoteRef/>
      </w:r>
      <w:r w:rsidRPr="006D7D6A">
        <w:t xml:space="preserve"> </w:t>
      </w:r>
      <w:r w:rsidRPr="006D7D6A">
        <w:tab/>
      </w:r>
      <w:r>
        <w:t xml:space="preserve">Например, Центр также разработал онлайновые инструменты для организации согласительных </w:t>
      </w:r>
      <w:r w:rsidRPr="00A535DF">
        <w:t>процедур</w:t>
      </w:r>
      <w:r>
        <w:t xml:space="preserve">, в частности, для проведения видеоконференций и контроля за ходом согласительных </w:t>
      </w:r>
      <w:r w:rsidRPr="00A535DF">
        <w:t>процедур</w:t>
      </w:r>
      <w:r>
        <w:t xml:space="preserve"> для колумбийской DNDA и мексиканской INDAUTOR, соответственно </w:t>
      </w:r>
      <w:r>
        <w:t xml:space="preserve">(см. </w:t>
      </w:r>
      <w:r w:rsidR="00F668B1">
        <w:fldChar w:fldCharType="begin"/>
      </w:r>
      <w:r w:rsidR="00F668B1">
        <w:instrText>HYPERLINK "https://www.wipo.int/amc/en/center/specific-sectors/ipoffices/mexico/indautor"</w:instrText>
      </w:r>
      <w:r w:rsidR="00F668B1">
        <w:fldChar w:fldCharType="separate"/>
      </w:r>
      <w:r w:rsidRPr="008500E1">
        <w:rPr>
          <w:rStyle w:val="Hyperlink"/>
          <w:shd w:val="clear" w:color="auto" w:fill="FFFFFF"/>
        </w:rPr>
        <w:t>https://www.wipo.int/amc/en/center/specific-sectors/ipoffices/mexico/indautor</w:t>
      </w:r>
      <w:r w:rsidR="00F668B1">
        <w:rPr>
          <w:rStyle w:val="Hyperlink"/>
          <w:shd w:val="clear" w:color="auto" w:fill="FFFFFF"/>
        </w:rPr>
        <w:fldChar w:fldCharType="end"/>
      </w:r>
      <w:r w:rsidRPr="008500E1">
        <w:t>).</w:t>
      </w:r>
      <w:r w:rsidRPr="008500E1">
        <w:rPr>
          <w:shd w:val="clear" w:color="auto" w:fill="FFFFFF"/>
        </w:rPr>
        <w:t xml:space="preserve"> Сегодня Центр сотрудничает и с другими ведомствами </w:t>
      </w:r>
      <w:r w:rsidR="006D71A1">
        <w:rPr>
          <w:shd w:val="clear" w:color="auto" w:fill="FFFFFF"/>
        </w:rPr>
        <w:t>ИС</w:t>
      </w:r>
      <w:r w:rsidRPr="008500E1">
        <w:rPr>
          <w:shd w:val="clear" w:color="auto" w:fill="FFFFFF"/>
        </w:rPr>
        <w:t xml:space="preserve"> государств</w:t>
      </w:r>
      <w:r w:rsidR="006D71A1">
        <w:rPr>
          <w:shd w:val="clear" w:color="auto" w:fill="FFFFFF"/>
        </w:rPr>
        <w:t xml:space="preserve"> – </w:t>
      </w:r>
      <w:r w:rsidRPr="008500E1">
        <w:rPr>
          <w:shd w:val="clear" w:color="auto" w:fill="FFFFFF"/>
        </w:rPr>
        <w:t xml:space="preserve">членов ВОИС, в том числе с Реестром интеллектуальной собственности Гватемалы (RPI), DINAPI и Обществом авторского права Танзании (COSOTA), оказывая им аналогичные услуги. Центр также сотрудничает в популяризации и оказании посреднических услуг с компаниями и Управлением интеллектуальной собственности Ботсваны (CIPA), Греческой организацией по авторскому праву (HCO), Кенийским советом по авторскому праву (KECOBO), Комиссией по авторскому праву Нигерии (NCC), MCST, Корейской комиссией по авторскому праву (KCC), Корейским агентством креативного контента (KOCCA), Ведомством авторского права Румынии (ORDA) и Министерством культуры и спорта Испании. </w:t>
      </w:r>
    </w:p>
  </w:footnote>
  <w:footnote w:id="19">
    <w:p w14:paraId="2868FA58" w14:textId="77777777" w:rsidR="00DB4D92" w:rsidRPr="00256503" w:rsidRDefault="00DB4D92" w:rsidP="00595359">
      <w:pPr>
        <w:pStyle w:val="FootnoteText"/>
        <w:rPr>
          <w:szCs w:val="18"/>
        </w:rPr>
      </w:pPr>
      <w:r w:rsidRPr="006D7D6A">
        <w:rPr>
          <w:rStyle w:val="FootnoteReference"/>
          <w:szCs w:val="18"/>
        </w:rPr>
        <w:footnoteRef/>
      </w:r>
      <w:r w:rsidRPr="006D7D6A">
        <w:tab/>
      </w:r>
      <w:r>
        <w:rPr>
          <w:shd w:val="clear" w:color="auto" w:fill="FFFFFF"/>
        </w:rPr>
        <w:t>Примерами</w:t>
      </w:r>
      <w:r w:rsidRPr="006D7D6A">
        <w:rPr>
          <w:shd w:val="clear" w:color="auto" w:fill="FFFFFF"/>
        </w:rPr>
        <w:t xml:space="preserve"> </w:t>
      </w:r>
      <w:r>
        <w:rPr>
          <w:shd w:val="clear" w:color="auto" w:fill="FFFFFF"/>
        </w:rPr>
        <w:t xml:space="preserve">могут служить </w:t>
      </w:r>
      <w:r w:rsidRPr="006D7D6A">
        <w:rPr>
          <w:shd w:val="clear" w:color="auto" w:fill="FFFFFF"/>
        </w:rPr>
        <w:t>Типовое соглашение Европейского союза DESCA 2020 года</w:t>
      </w:r>
      <w:r>
        <w:rPr>
          <w:shd w:val="clear" w:color="auto" w:fill="FFFFFF"/>
        </w:rPr>
        <w:t xml:space="preserve"> о создании консорциумов</w:t>
      </w:r>
      <w:r w:rsidRPr="006D7D6A">
        <w:rPr>
          <w:shd w:val="clear" w:color="auto" w:fill="FFFFFF"/>
        </w:rPr>
        <w:t xml:space="preserve"> </w:t>
      </w:r>
      <w:r w:rsidRPr="00256503">
        <w:rPr>
          <w:shd w:val="clear" w:color="auto" w:fill="FFFFFF"/>
        </w:rPr>
        <w:t>в области</w:t>
      </w:r>
      <w:r>
        <w:rPr>
          <w:shd w:val="clear" w:color="auto" w:fill="FFFFFF"/>
        </w:rPr>
        <w:t xml:space="preserve"> научных </w:t>
      </w:r>
      <w:r w:rsidRPr="00256503">
        <w:rPr>
          <w:shd w:val="clear" w:color="auto" w:fill="FFFFFF"/>
        </w:rPr>
        <w:t>исследовани</w:t>
      </w:r>
      <w:r>
        <w:rPr>
          <w:shd w:val="clear" w:color="auto" w:fill="FFFFFF"/>
        </w:rPr>
        <w:t>й</w:t>
      </w:r>
      <w:r w:rsidRPr="006D7D6A">
        <w:rPr>
          <w:shd w:val="clear" w:color="auto" w:fill="FFFFFF"/>
        </w:rPr>
        <w:t>, Руководство по</w:t>
      </w:r>
      <w:r>
        <w:rPr>
          <w:shd w:val="clear" w:color="auto" w:fill="FFFFFF"/>
        </w:rPr>
        <w:t xml:space="preserve"> </w:t>
      </w:r>
      <w:r w:rsidRPr="00D269CB">
        <w:rPr>
          <w:shd w:val="clear" w:color="auto" w:fill="FFFFFF"/>
        </w:rPr>
        <w:t>подготовк</w:t>
      </w:r>
      <w:r>
        <w:rPr>
          <w:shd w:val="clear" w:color="auto" w:fill="FFFFFF"/>
        </w:rPr>
        <w:t>е соглашений</w:t>
      </w:r>
      <w:r w:rsidRPr="006D7D6A">
        <w:rPr>
          <w:shd w:val="clear" w:color="auto" w:fill="FFFFFF"/>
        </w:rPr>
        <w:t xml:space="preserve"> в области </w:t>
      </w:r>
      <w:r>
        <w:rPr>
          <w:shd w:val="clear" w:color="auto" w:fill="FFFFFF"/>
        </w:rPr>
        <w:t xml:space="preserve">ИС </w:t>
      </w:r>
      <w:r w:rsidRPr="006D7D6A">
        <w:rPr>
          <w:shd w:val="clear" w:color="auto" w:fill="FFFFFF"/>
        </w:rPr>
        <w:t>(IPAG) Австрии, типовые соглашения о сотрудничестве в области исследований и разработок</w:t>
      </w:r>
      <w:r>
        <w:rPr>
          <w:shd w:val="clear" w:color="auto" w:fill="FFFFFF"/>
        </w:rPr>
        <w:t>, подготовленные</w:t>
      </w:r>
      <w:r w:rsidRPr="006D7D6A">
        <w:rPr>
          <w:shd w:val="clear" w:color="auto" w:fill="FFFFFF"/>
        </w:rPr>
        <w:t xml:space="preserve"> в Германии</w:t>
      </w:r>
      <w:r>
        <w:rPr>
          <w:shd w:val="clear" w:color="auto" w:fill="FFFFFF"/>
        </w:rPr>
        <w:t>,</w:t>
      </w:r>
      <w:r w:rsidRPr="006D7D6A">
        <w:rPr>
          <w:shd w:val="clear" w:color="auto" w:fill="FFFFFF"/>
        </w:rPr>
        <w:t xml:space="preserve"> и типовые соглашения о НИОКР, разработанные совместно с Испанским ведомством по пате</w:t>
      </w:r>
      <w:r>
        <w:rPr>
          <w:shd w:val="clear" w:color="auto" w:fill="FFFFFF"/>
        </w:rPr>
        <w:t xml:space="preserve">нтам и товарным знакам (OEPM). Самый недавний пример </w:t>
      </w:r>
      <w:r w:rsidRPr="00D269CB">
        <w:rPr>
          <w:shd w:val="clear" w:color="auto" w:fill="FFFFFF"/>
        </w:rPr>
        <w:t>‒</w:t>
      </w:r>
      <w:r>
        <w:rPr>
          <w:shd w:val="clear" w:color="auto" w:fill="FFFFFF"/>
        </w:rPr>
        <w:t xml:space="preserve"> </w:t>
      </w:r>
      <w:r w:rsidRPr="006D7D6A">
        <w:t>Соглашение о сотрудничестве</w:t>
      </w:r>
      <w:r>
        <w:t>, разработанное Балтийской сетью</w:t>
      </w:r>
      <w:r w:rsidRPr="006D7D6A">
        <w:t xml:space="preserve"> бюро </w:t>
      </w:r>
      <w:r>
        <w:t>передачи</w:t>
      </w:r>
      <w:r w:rsidRPr="006D7D6A">
        <w:t xml:space="preserve"> технологий</w:t>
      </w:r>
      <w:r>
        <w:t xml:space="preserve"> </w:t>
      </w:r>
      <w:r w:rsidRPr="006D7D6A">
        <w:t xml:space="preserve">в 2022 году </w:t>
      </w:r>
      <w:r>
        <w:t xml:space="preserve">совместно </w:t>
      </w:r>
      <w:r w:rsidRPr="006D7D6A">
        <w:t xml:space="preserve">с ВОИС, </w:t>
      </w:r>
      <w:r>
        <w:t>рекомендующее</w:t>
      </w:r>
      <w:r w:rsidRPr="006D7D6A">
        <w:t xml:space="preserve"> посредничество ВОИС, </w:t>
      </w:r>
      <w:r>
        <w:t xml:space="preserve">а при невозможности урегулирования спора ‒ </w:t>
      </w:r>
      <w:r w:rsidRPr="008500E1">
        <w:t>судебное разбирательство. Типовые рамочные соглашения о лицензировании ИС и научных исследованиях, разработанные в рамках Австралийской программы коммерциализации научных исследований в области высшего образования (HERC) рекомендуют посредничеств</w:t>
      </w:r>
      <w:r>
        <w:t>о</w:t>
      </w:r>
      <w:r w:rsidRPr="008500E1">
        <w:t>, а при невозможности урегулирования спора ‒ судебное разбирательство или арбитражную процедуру ВОИС.</w:t>
      </w:r>
      <w:r w:rsidRPr="008500E1">
        <w:rPr>
          <w:shd w:val="clear" w:color="auto" w:fill="FFFFFF"/>
        </w:rPr>
        <w:t xml:space="preserve"> </w:t>
      </w:r>
      <w:r>
        <w:t>Дополнительная</w:t>
      </w:r>
      <w:r w:rsidRPr="00256503">
        <w:t xml:space="preserve"> </w:t>
      </w:r>
      <w:r>
        <w:t>информация</w:t>
      </w:r>
      <w:r w:rsidRPr="00256503">
        <w:t xml:space="preserve"> </w:t>
      </w:r>
      <w:r>
        <w:t>имеется</w:t>
      </w:r>
      <w:r w:rsidRPr="00256503">
        <w:t xml:space="preserve"> </w:t>
      </w:r>
      <w:r>
        <w:t>по</w:t>
      </w:r>
      <w:r w:rsidRPr="00256503">
        <w:t xml:space="preserve"> </w:t>
      </w:r>
      <w:r>
        <w:t>адресу</w:t>
      </w:r>
      <w:r w:rsidRPr="00256503">
        <w:t xml:space="preserve">: </w:t>
      </w:r>
      <w:hyperlink r:id="rId5" w:history="1">
        <w:r w:rsidRPr="00256503">
          <w:rPr>
            <w:rStyle w:val="Hyperlink"/>
            <w:shd w:val="clear" w:color="auto" w:fill="FFFFFF"/>
            <w:lang w:val="en-US"/>
          </w:rPr>
          <w:t>https</w:t>
        </w:r>
        <w:r w:rsidRPr="00256503">
          <w:rPr>
            <w:rStyle w:val="Hyperlink"/>
            <w:shd w:val="clear" w:color="auto" w:fill="FFFFFF"/>
          </w:rPr>
          <w:t>://</w:t>
        </w:r>
        <w:r w:rsidRPr="00256503">
          <w:rPr>
            <w:rStyle w:val="Hyperlink"/>
            <w:shd w:val="clear" w:color="auto" w:fill="FFFFFF"/>
            <w:lang w:val="en-US"/>
          </w:rPr>
          <w:t>www</w:t>
        </w:r>
        <w:r w:rsidRPr="00256503">
          <w:rPr>
            <w:rStyle w:val="Hyperlink"/>
            <w:shd w:val="clear" w:color="auto" w:fill="FFFFFF"/>
          </w:rPr>
          <w:t>.</w:t>
        </w:r>
        <w:proofErr w:type="spellStart"/>
        <w:r w:rsidRPr="00256503">
          <w:rPr>
            <w:rStyle w:val="Hyperlink"/>
            <w:shd w:val="clear" w:color="auto" w:fill="FFFFFF"/>
            <w:lang w:val="en-US"/>
          </w:rPr>
          <w:t>wipo</w:t>
        </w:r>
        <w:proofErr w:type="spellEnd"/>
        <w:r w:rsidRPr="00256503">
          <w:rPr>
            <w:rStyle w:val="Hyperlink"/>
            <w:shd w:val="clear" w:color="auto" w:fill="FFFFFF"/>
          </w:rPr>
          <w:t>.</w:t>
        </w:r>
        <w:r w:rsidRPr="00256503">
          <w:rPr>
            <w:rStyle w:val="Hyperlink"/>
            <w:shd w:val="clear" w:color="auto" w:fill="FFFFFF"/>
            <w:lang w:val="en-US"/>
          </w:rPr>
          <w:t>int</w:t>
        </w:r>
        <w:r w:rsidRPr="00256503">
          <w:rPr>
            <w:rStyle w:val="Hyperlink"/>
            <w:shd w:val="clear" w:color="auto" w:fill="FFFFFF"/>
          </w:rPr>
          <w:t>/</w:t>
        </w:r>
        <w:proofErr w:type="spellStart"/>
        <w:r w:rsidRPr="00256503">
          <w:rPr>
            <w:rStyle w:val="Hyperlink"/>
            <w:shd w:val="clear" w:color="auto" w:fill="FFFFFF"/>
            <w:lang w:val="en-US"/>
          </w:rPr>
          <w:t>amc</w:t>
        </w:r>
        <w:proofErr w:type="spellEnd"/>
        <w:r w:rsidRPr="00256503">
          <w:rPr>
            <w:rStyle w:val="Hyperlink"/>
            <w:shd w:val="clear" w:color="auto" w:fill="FFFFFF"/>
          </w:rPr>
          <w:t>/</w:t>
        </w:r>
        <w:proofErr w:type="spellStart"/>
        <w:r w:rsidRPr="00256503">
          <w:rPr>
            <w:rStyle w:val="Hyperlink"/>
            <w:shd w:val="clear" w:color="auto" w:fill="FFFFFF"/>
            <w:lang w:val="en-US"/>
          </w:rPr>
          <w:t>en</w:t>
        </w:r>
        <w:proofErr w:type="spellEnd"/>
        <w:r w:rsidRPr="00256503">
          <w:rPr>
            <w:rStyle w:val="Hyperlink"/>
            <w:shd w:val="clear" w:color="auto" w:fill="FFFFFF"/>
          </w:rPr>
          <w:t>/</w:t>
        </w:r>
        <w:r w:rsidRPr="00256503">
          <w:rPr>
            <w:rStyle w:val="Hyperlink"/>
            <w:shd w:val="clear" w:color="auto" w:fill="FFFFFF"/>
            <w:lang w:val="en-US"/>
          </w:rPr>
          <w:t>center</w:t>
        </w:r>
        <w:r w:rsidRPr="00256503">
          <w:rPr>
            <w:rStyle w:val="Hyperlink"/>
            <w:shd w:val="clear" w:color="auto" w:fill="FFFFFF"/>
          </w:rPr>
          <w:t>/</w:t>
        </w:r>
        <w:r w:rsidRPr="00256503">
          <w:rPr>
            <w:rStyle w:val="Hyperlink"/>
            <w:shd w:val="clear" w:color="auto" w:fill="FFFFFF"/>
            <w:lang w:val="en-US"/>
          </w:rPr>
          <w:t>specific</w:t>
        </w:r>
        <w:r w:rsidRPr="00256503">
          <w:rPr>
            <w:rStyle w:val="Hyperlink"/>
            <w:shd w:val="clear" w:color="auto" w:fill="FFFFFF"/>
          </w:rPr>
          <w:t>-</w:t>
        </w:r>
        <w:r w:rsidRPr="00256503">
          <w:rPr>
            <w:rStyle w:val="Hyperlink"/>
            <w:shd w:val="clear" w:color="auto" w:fill="FFFFFF"/>
            <w:lang w:val="en-US"/>
          </w:rPr>
          <w:t>sectors</w:t>
        </w:r>
        <w:r w:rsidRPr="00256503">
          <w:rPr>
            <w:rStyle w:val="Hyperlink"/>
            <w:shd w:val="clear" w:color="auto" w:fill="FFFFFF"/>
          </w:rPr>
          <w:t>/</w:t>
        </w:r>
        <w:proofErr w:type="spellStart"/>
        <w:r w:rsidRPr="00256503">
          <w:rPr>
            <w:rStyle w:val="Hyperlink"/>
            <w:shd w:val="clear" w:color="auto" w:fill="FFFFFF"/>
            <w:lang w:val="en-US"/>
          </w:rPr>
          <w:t>rd</w:t>
        </w:r>
        <w:proofErr w:type="spellEnd"/>
        <w:r w:rsidRPr="00256503">
          <w:rPr>
            <w:rStyle w:val="Hyperlink"/>
            <w:shd w:val="clear" w:color="auto" w:fill="FFFFFF"/>
          </w:rPr>
          <w:t>/</w:t>
        </w:r>
      </w:hyperlink>
      <w:r w:rsidRPr="00256503">
        <w:t>.</w:t>
      </w:r>
    </w:p>
  </w:footnote>
  <w:footnote w:id="20">
    <w:p w14:paraId="5E58C03C" w14:textId="77777777" w:rsidR="00DB4D92" w:rsidRPr="00567235" w:rsidRDefault="00DB4D92" w:rsidP="00567235">
      <w:pPr>
        <w:pStyle w:val="FootnoteText"/>
        <w:rPr>
          <w:szCs w:val="18"/>
        </w:rPr>
      </w:pPr>
      <w:r w:rsidRPr="003E3B03">
        <w:rPr>
          <w:rStyle w:val="FootnoteReference"/>
          <w:szCs w:val="18"/>
        </w:rPr>
        <w:footnoteRef/>
      </w:r>
      <w:r w:rsidRPr="00567235">
        <w:rPr>
          <w:szCs w:val="18"/>
        </w:rPr>
        <w:t xml:space="preserve"> </w:t>
      </w:r>
      <w:r w:rsidRPr="00567235">
        <w:rPr>
          <w:szCs w:val="18"/>
        </w:rPr>
        <w:tab/>
      </w:r>
      <w:r w:rsidRPr="00567235">
        <w:rPr>
          <w:szCs w:val="18"/>
        </w:rPr>
        <w:t xml:space="preserve">Число подписчиков </w:t>
      </w:r>
      <w:r>
        <w:rPr>
          <w:szCs w:val="18"/>
        </w:rPr>
        <w:t xml:space="preserve">бюллетеня </w:t>
      </w:r>
      <w:r w:rsidRPr="00567235">
        <w:rPr>
          <w:szCs w:val="18"/>
          <w:lang w:val="en-US"/>
        </w:rPr>
        <w:t>WIPO</w:t>
      </w:r>
      <w:r w:rsidRPr="00567235">
        <w:rPr>
          <w:szCs w:val="18"/>
        </w:rPr>
        <w:t xml:space="preserve"> </w:t>
      </w:r>
      <w:r w:rsidRPr="00567235">
        <w:rPr>
          <w:szCs w:val="18"/>
          <w:lang w:val="en-US"/>
        </w:rPr>
        <w:t>ADR</w:t>
      </w:r>
      <w:r w:rsidRPr="00567235">
        <w:rPr>
          <w:szCs w:val="18"/>
        </w:rPr>
        <w:t xml:space="preserve"> </w:t>
      </w:r>
      <w:r w:rsidRPr="00567235">
        <w:rPr>
          <w:szCs w:val="18"/>
          <w:lang w:val="en-US"/>
        </w:rPr>
        <w:t>Highlights</w:t>
      </w:r>
      <w:r w:rsidRPr="00567235">
        <w:rPr>
          <w:szCs w:val="18"/>
        </w:rPr>
        <w:t xml:space="preserve"> </w:t>
      </w:r>
      <w:r>
        <w:rPr>
          <w:szCs w:val="18"/>
        </w:rPr>
        <w:t>превысило</w:t>
      </w:r>
      <w:r w:rsidRPr="00567235">
        <w:rPr>
          <w:szCs w:val="18"/>
        </w:rPr>
        <w:t xml:space="preserve"> 8,5 </w:t>
      </w:r>
      <w:r>
        <w:rPr>
          <w:szCs w:val="18"/>
        </w:rPr>
        <w:t>тыс</w:t>
      </w:r>
      <w:r w:rsidRPr="00567235">
        <w:rPr>
          <w:szCs w:val="18"/>
        </w:rPr>
        <w:t xml:space="preserve">.; </w:t>
      </w:r>
      <w:r>
        <w:rPr>
          <w:szCs w:val="18"/>
        </w:rPr>
        <w:t>все</w:t>
      </w:r>
      <w:r w:rsidRPr="00567235">
        <w:rPr>
          <w:szCs w:val="18"/>
        </w:rPr>
        <w:t xml:space="preserve"> </w:t>
      </w:r>
      <w:r>
        <w:rPr>
          <w:szCs w:val="18"/>
        </w:rPr>
        <w:t xml:space="preserve">его выпуски имеются по </w:t>
      </w:r>
      <w:r>
        <w:rPr>
          <w:szCs w:val="18"/>
        </w:rPr>
        <w:t xml:space="preserve">адресу: </w:t>
      </w:r>
      <w:r w:rsidR="00F668B1">
        <w:fldChar w:fldCharType="begin"/>
      </w:r>
      <w:r w:rsidR="00F668B1">
        <w:instrText>HYPERLINK "https://www.wipo.int/newsletters-archive/en/adr_highlights.html"</w:instrText>
      </w:r>
      <w:r w:rsidR="00F668B1">
        <w:fldChar w:fldCharType="separate"/>
      </w:r>
      <w:r w:rsidRPr="00567235">
        <w:rPr>
          <w:rStyle w:val="Hyperlink"/>
          <w:szCs w:val="18"/>
          <w:lang w:val="en-US"/>
        </w:rPr>
        <w:t>https</w:t>
      </w:r>
      <w:r w:rsidRPr="00567235">
        <w:rPr>
          <w:rStyle w:val="Hyperlink"/>
          <w:szCs w:val="18"/>
        </w:rPr>
        <w:t>://</w:t>
      </w:r>
      <w:r w:rsidRPr="00567235">
        <w:rPr>
          <w:rStyle w:val="Hyperlink"/>
          <w:szCs w:val="18"/>
          <w:lang w:val="en-US"/>
        </w:rPr>
        <w:t>www</w:t>
      </w:r>
      <w:r w:rsidRPr="00567235">
        <w:rPr>
          <w:rStyle w:val="Hyperlink"/>
          <w:szCs w:val="18"/>
        </w:rPr>
        <w:t>.</w:t>
      </w:r>
      <w:proofErr w:type="spellStart"/>
      <w:r w:rsidRPr="00567235">
        <w:rPr>
          <w:rStyle w:val="Hyperlink"/>
          <w:szCs w:val="18"/>
          <w:lang w:val="en-US"/>
        </w:rPr>
        <w:t>wipo</w:t>
      </w:r>
      <w:proofErr w:type="spellEnd"/>
      <w:r w:rsidRPr="00567235">
        <w:rPr>
          <w:rStyle w:val="Hyperlink"/>
          <w:szCs w:val="18"/>
        </w:rPr>
        <w:t>.</w:t>
      </w:r>
      <w:r w:rsidRPr="00567235">
        <w:rPr>
          <w:rStyle w:val="Hyperlink"/>
          <w:szCs w:val="18"/>
          <w:lang w:val="en-US"/>
        </w:rPr>
        <w:t>int</w:t>
      </w:r>
      <w:r w:rsidRPr="00567235">
        <w:rPr>
          <w:rStyle w:val="Hyperlink"/>
          <w:szCs w:val="18"/>
        </w:rPr>
        <w:t>/</w:t>
      </w:r>
      <w:r w:rsidRPr="00567235">
        <w:rPr>
          <w:rStyle w:val="Hyperlink"/>
          <w:szCs w:val="18"/>
          <w:lang w:val="en-US"/>
        </w:rPr>
        <w:t>newsletters</w:t>
      </w:r>
      <w:r w:rsidRPr="00567235">
        <w:rPr>
          <w:rStyle w:val="Hyperlink"/>
          <w:szCs w:val="18"/>
        </w:rPr>
        <w:t>-</w:t>
      </w:r>
      <w:r w:rsidRPr="00567235">
        <w:rPr>
          <w:rStyle w:val="Hyperlink"/>
          <w:szCs w:val="18"/>
          <w:lang w:val="en-US"/>
        </w:rPr>
        <w:t>archive</w:t>
      </w:r>
      <w:r w:rsidRPr="00567235">
        <w:rPr>
          <w:rStyle w:val="Hyperlink"/>
          <w:szCs w:val="18"/>
        </w:rPr>
        <w:t>/</w:t>
      </w:r>
      <w:proofErr w:type="spellStart"/>
      <w:r w:rsidRPr="00567235">
        <w:rPr>
          <w:rStyle w:val="Hyperlink"/>
          <w:szCs w:val="18"/>
          <w:lang w:val="en-US"/>
        </w:rPr>
        <w:t>en</w:t>
      </w:r>
      <w:proofErr w:type="spellEnd"/>
      <w:r w:rsidRPr="00567235">
        <w:rPr>
          <w:rStyle w:val="Hyperlink"/>
          <w:szCs w:val="18"/>
        </w:rPr>
        <w:t>/</w:t>
      </w:r>
      <w:proofErr w:type="spellStart"/>
      <w:r w:rsidRPr="00567235">
        <w:rPr>
          <w:rStyle w:val="Hyperlink"/>
          <w:szCs w:val="18"/>
          <w:lang w:val="en-US"/>
        </w:rPr>
        <w:t>adr</w:t>
      </w:r>
      <w:proofErr w:type="spellEnd"/>
      <w:r w:rsidRPr="00567235">
        <w:rPr>
          <w:rStyle w:val="Hyperlink"/>
          <w:szCs w:val="18"/>
        </w:rPr>
        <w:t>_</w:t>
      </w:r>
      <w:r w:rsidRPr="00567235">
        <w:rPr>
          <w:rStyle w:val="Hyperlink"/>
          <w:szCs w:val="18"/>
          <w:lang w:val="en-US"/>
        </w:rPr>
        <w:t>highlights</w:t>
      </w:r>
      <w:r w:rsidRPr="00567235">
        <w:rPr>
          <w:rStyle w:val="Hyperlink"/>
          <w:szCs w:val="18"/>
        </w:rPr>
        <w:t>.</w:t>
      </w:r>
      <w:r w:rsidRPr="00567235">
        <w:rPr>
          <w:rStyle w:val="Hyperlink"/>
          <w:szCs w:val="18"/>
          <w:lang w:val="en-US"/>
        </w:rPr>
        <w:t>html</w:t>
      </w:r>
      <w:r w:rsidR="00F668B1">
        <w:rPr>
          <w:rStyle w:val="Hyperlink"/>
          <w:szCs w:val="18"/>
          <w:lang w:val="en-US"/>
        </w:rPr>
        <w:fldChar w:fldCharType="end"/>
      </w:r>
      <w:r w:rsidRPr="00567235">
        <w:rPr>
          <w:szCs w:val="18"/>
        </w:rPr>
        <w:t xml:space="preserve">. </w:t>
      </w:r>
    </w:p>
  </w:footnote>
  <w:footnote w:id="21">
    <w:p w14:paraId="0DD39577" w14:textId="77777777" w:rsidR="00DB4D92" w:rsidRPr="00567235" w:rsidRDefault="00DB4D92" w:rsidP="00567235">
      <w:pPr>
        <w:pStyle w:val="FootnoteText"/>
        <w:rPr>
          <w:szCs w:val="18"/>
        </w:rPr>
      </w:pPr>
      <w:r w:rsidRPr="003E3B03">
        <w:rPr>
          <w:rStyle w:val="FootnoteReference"/>
          <w:szCs w:val="18"/>
        </w:rPr>
        <w:footnoteRef/>
      </w:r>
      <w:r w:rsidRPr="00567235">
        <w:rPr>
          <w:szCs w:val="18"/>
        </w:rPr>
        <w:t xml:space="preserve"> </w:t>
      </w:r>
      <w:r w:rsidRPr="00567235">
        <w:rPr>
          <w:szCs w:val="18"/>
        </w:rPr>
        <w:tab/>
      </w:r>
      <w:r w:rsidRPr="00567235">
        <w:rPr>
          <w:szCs w:val="18"/>
        </w:rPr>
        <w:t xml:space="preserve">Например, </w:t>
      </w:r>
      <w:r>
        <w:rPr>
          <w:szCs w:val="18"/>
        </w:rPr>
        <w:t>Центр</w:t>
      </w:r>
      <w:r w:rsidRPr="00567235">
        <w:rPr>
          <w:szCs w:val="18"/>
        </w:rPr>
        <w:t xml:space="preserve"> популяр</w:t>
      </w:r>
      <w:r>
        <w:rPr>
          <w:szCs w:val="18"/>
        </w:rPr>
        <w:t>изирует</w:t>
      </w:r>
      <w:r w:rsidRPr="00567235">
        <w:rPr>
          <w:szCs w:val="18"/>
        </w:rPr>
        <w:t xml:space="preserve"> </w:t>
      </w:r>
      <w:r>
        <w:rPr>
          <w:szCs w:val="18"/>
        </w:rPr>
        <w:t>АУС</w:t>
      </w:r>
      <w:r w:rsidRPr="00567235">
        <w:rPr>
          <w:szCs w:val="18"/>
        </w:rPr>
        <w:t xml:space="preserve"> ВОИС </w:t>
      </w:r>
      <w:r>
        <w:rPr>
          <w:szCs w:val="18"/>
        </w:rPr>
        <w:t xml:space="preserve">в Китае, используя </w:t>
      </w:r>
      <w:r w:rsidRPr="00567235">
        <w:rPr>
          <w:szCs w:val="18"/>
          <w:lang w:val="en-US"/>
        </w:rPr>
        <w:t>WeChat</w:t>
      </w:r>
      <w:r>
        <w:rPr>
          <w:szCs w:val="18"/>
        </w:rPr>
        <w:t>,</w:t>
      </w:r>
      <w:r w:rsidRPr="00567235">
        <w:rPr>
          <w:szCs w:val="18"/>
        </w:rPr>
        <w:t xml:space="preserve"> </w:t>
      </w:r>
      <w:r>
        <w:rPr>
          <w:szCs w:val="18"/>
        </w:rPr>
        <w:t xml:space="preserve">и в Корее через </w:t>
      </w:r>
      <w:proofErr w:type="spellStart"/>
      <w:r w:rsidRPr="00567235">
        <w:rPr>
          <w:szCs w:val="18"/>
          <w:lang w:val="en-US"/>
        </w:rPr>
        <w:t>KakaoTalk</w:t>
      </w:r>
      <w:proofErr w:type="spellEnd"/>
      <w:r w:rsidRPr="00567235">
        <w:rPr>
          <w:szCs w:val="18"/>
        </w:rPr>
        <w:t>.</w:t>
      </w:r>
    </w:p>
  </w:footnote>
  <w:footnote w:id="22">
    <w:p w14:paraId="0919BDA4" w14:textId="77777777" w:rsidR="00DB4D92" w:rsidRPr="006D7D6A" w:rsidRDefault="00DB4D92" w:rsidP="00595359">
      <w:pPr>
        <w:pStyle w:val="FootnoteText"/>
        <w:rPr>
          <w:szCs w:val="18"/>
        </w:rPr>
      </w:pPr>
      <w:r w:rsidRPr="006D7D6A">
        <w:rPr>
          <w:rStyle w:val="FootnoteReference"/>
          <w:szCs w:val="18"/>
        </w:rPr>
        <w:footnoteRef/>
      </w:r>
      <w:r>
        <w:tab/>
        <w:t>На данный момент Центр проводит вебинары на английском, испанском, итальянском, китайском, корейском, немецком, голландском, русском, шведском, французском и японском языках.</w:t>
      </w:r>
      <w:r w:rsidRPr="006D7D6A">
        <w:t xml:space="preserve">  </w:t>
      </w:r>
    </w:p>
  </w:footnote>
  <w:footnote w:id="23">
    <w:p w14:paraId="3B8CF407" w14:textId="6EBE8F0B" w:rsidR="00DB4D92" w:rsidRPr="006D7D6A" w:rsidRDefault="00DB4D92" w:rsidP="00595359">
      <w:pPr>
        <w:pStyle w:val="FootnoteText"/>
        <w:rPr>
          <w:szCs w:val="18"/>
        </w:rPr>
      </w:pPr>
      <w:r w:rsidRPr="006D7D6A">
        <w:rPr>
          <w:rStyle w:val="FootnoteReference"/>
          <w:szCs w:val="18"/>
        </w:rPr>
        <w:footnoteRef/>
      </w:r>
      <w:r w:rsidRPr="006D7D6A">
        <w:t xml:space="preserve"> </w:t>
      </w:r>
      <w:r w:rsidRPr="006D7D6A">
        <w:tab/>
      </w:r>
      <w:r>
        <w:t xml:space="preserve">См. </w:t>
      </w:r>
      <w:r>
        <w:t xml:space="preserve">Седьмой раунд Дискуссии ВОИС на тему «ИС и </w:t>
      </w:r>
      <w:r>
        <w:t xml:space="preserve">метавселенная»: </w:t>
      </w:r>
      <w:r w:rsidR="00F668B1">
        <w:fldChar w:fldCharType="begin"/>
      </w:r>
      <w:r w:rsidR="004D4957">
        <w:instrText>HYPERLINK "https://www.wipo.int/meetings/ru/details.jsp?meeting_id=74608"</w:instrText>
      </w:r>
      <w:r w:rsidR="00F668B1">
        <w:fldChar w:fldCharType="separate"/>
      </w:r>
      <w:r w:rsidRPr="006D7D6A">
        <w:rPr>
          <w:rStyle w:val="Hyperlink"/>
          <w:shd w:val="clear" w:color="auto" w:fill="FFFFFF"/>
        </w:rPr>
        <w:t>https://www.wipo.int/meetings/ru/details.jsp?meeting_id=74608</w:t>
      </w:r>
      <w:r w:rsidR="00F668B1">
        <w:rPr>
          <w:rStyle w:val="Hyperlink"/>
          <w:shd w:val="clear" w:color="auto" w:fill="FFFFFF"/>
        </w:rPr>
        <w:fldChar w:fldCharType="end"/>
      </w:r>
      <w:r>
        <w:t>.</w:t>
      </w:r>
    </w:p>
  </w:footnote>
  <w:footnote w:id="24">
    <w:p w14:paraId="297A73E8" w14:textId="77777777" w:rsidR="00DB4D92" w:rsidRPr="006D7D6A" w:rsidRDefault="00DB4D92" w:rsidP="00595359">
      <w:pPr>
        <w:pStyle w:val="FootnoteText"/>
        <w:rPr>
          <w:szCs w:val="18"/>
        </w:rPr>
      </w:pPr>
      <w:r w:rsidRPr="006D7D6A">
        <w:rPr>
          <w:rStyle w:val="FootnoteReference"/>
          <w:szCs w:val="18"/>
        </w:rPr>
        <w:footnoteRef/>
      </w:r>
      <w:r>
        <w:t xml:space="preserve"> </w:t>
      </w:r>
      <w:r>
        <w:tab/>
        <w:t>Арабском, болгарском, китайском, чешском, датском, голландском, английском, эстонском, финском, французском, немецком, греческом, иврите, венгерском, индонезийском, итальянском, японском, корейском, норвежском, польском, португальском, румынском, русском, словацком, испанском, шведском, турецком, украинском и вьетнамском (в порядке английского алфавита).</w:t>
      </w:r>
    </w:p>
  </w:footnote>
  <w:footnote w:id="25">
    <w:p w14:paraId="59BD4A12" w14:textId="1921DB18" w:rsidR="00DB4D92" w:rsidRPr="006D7D6A" w:rsidRDefault="00DB4D92" w:rsidP="00595359">
      <w:pPr>
        <w:pStyle w:val="FootnoteText"/>
        <w:rPr>
          <w:szCs w:val="18"/>
        </w:rPr>
      </w:pPr>
      <w:r w:rsidRPr="006D7D6A">
        <w:rPr>
          <w:rStyle w:val="FootnoteReference"/>
          <w:szCs w:val="18"/>
        </w:rPr>
        <w:footnoteRef/>
      </w:r>
      <w:r>
        <w:tab/>
        <w:t>ЕПУС не лишает ни одну из сторон права передать спор в компетентный суд, однако лишь очень немногие споры, по которым было принято решение на основе ЕПУС, были в дальнейшем переданы в национальные суды.</w:t>
      </w:r>
      <w:r w:rsidRPr="006D7D6A">
        <w:t xml:space="preserve"> </w:t>
      </w:r>
      <w:r>
        <w:t xml:space="preserve">См. </w:t>
      </w:r>
      <w:r>
        <w:t xml:space="preserve">подборку судебных дел, урегулированных на основе </w:t>
      </w:r>
      <w:r>
        <w:t xml:space="preserve">ЕПУС: </w:t>
      </w:r>
      <w:r w:rsidR="00F668B1">
        <w:fldChar w:fldCharType="begin"/>
      </w:r>
      <w:r w:rsidR="00F668B1">
        <w:instrText>HYPERLINK "https://www.wipo.int/amc/en/domains/challenged"</w:instrText>
      </w:r>
      <w:r w:rsidR="00F668B1">
        <w:fldChar w:fldCharType="separate"/>
      </w:r>
      <w:r w:rsidR="00991916" w:rsidRPr="00551837">
        <w:rPr>
          <w:rStyle w:val="Hyperlink"/>
        </w:rPr>
        <w:t>http</w:t>
      </w:r>
      <w:r w:rsidR="00991916" w:rsidRPr="00551837">
        <w:rPr>
          <w:rStyle w:val="Hyperlink"/>
          <w:lang w:val="en-US"/>
        </w:rPr>
        <w:t>s</w:t>
      </w:r>
      <w:r w:rsidR="00991916" w:rsidRPr="00551837">
        <w:rPr>
          <w:rStyle w:val="Hyperlink"/>
        </w:rPr>
        <w:t>://www.wipo.int/amc/en/domains/challenged</w:t>
      </w:r>
      <w:r w:rsidR="00F668B1">
        <w:rPr>
          <w:rStyle w:val="Hyperlink"/>
        </w:rPr>
        <w:fldChar w:fldCharType="end"/>
      </w:r>
      <w:r>
        <w:t>.</w:t>
      </w:r>
    </w:p>
  </w:footnote>
  <w:footnote w:id="26">
    <w:p w14:paraId="4DCF769F" w14:textId="77777777" w:rsidR="00DB4D92" w:rsidRPr="006D7D6A" w:rsidRDefault="00DB4D92" w:rsidP="00595359">
      <w:pPr>
        <w:pStyle w:val="FootnoteText"/>
        <w:rPr>
          <w:color w:val="000000"/>
          <w:szCs w:val="18"/>
        </w:rPr>
      </w:pPr>
      <w:r w:rsidRPr="006D7D6A">
        <w:rPr>
          <w:rStyle w:val="FootnoteReference"/>
          <w:szCs w:val="18"/>
        </w:rPr>
        <w:footnoteRef/>
      </w:r>
      <w:r>
        <w:tab/>
        <w:t>Центр публикует в интернете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регистранты доменных имен, директивные органы в области доменных имен, средства массовой информации и ученые.</w:t>
      </w:r>
      <w:r w:rsidRPr="00567235">
        <w:t xml:space="preserve"> </w:t>
      </w:r>
      <w:r>
        <w:t xml:space="preserve">См. </w:t>
      </w:r>
      <w:hyperlink r:id="rId6" w:history="1">
        <w:r w:rsidRPr="006D7D6A">
          <w:rPr>
            <w:rStyle w:val="Hyperlink"/>
          </w:rPr>
          <w:t>https://www.wipo.int/amc/en/domains/statistics</w:t>
        </w:r>
      </w:hyperlink>
      <w:r>
        <w:t>.</w:t>
      </w:r>
    </w:p>
  </w:footnote>
  <w:footnote w:id="27">
    <w:p w14:paraId="2B0682B0" w14:textId="42DEEF47" w:rsidR="00DB4D92" w:rsidRPr="006D7D6A" w:rsidRDefault="00DB4D92" w:rsidP="00595359">
      <w:pPr>
        <w:pStyle w:val="FootnoteText"/>
        <w:rPr>
          <w:szCs w:val="18"/>
        </w:rPr>
      </w:pPr>
      <w:r w:rsidRPr="006D7D6A">
        <w:rPr>
          <w:rStyle w:val="FootnoteReference"/>
          <w:szCs w:val="18"/>
        </w:rPr>
        <w:footnoteRef/>
      </w:r>
      <w:r>
        <w:tab/>
        <w:t>Расширение охвата WIPO Overview 3.0 свидетельствует об изменениях в области DNS и увеличении почти в два раза числа дел, рассмотренных центром за последнее время.</w:t>
      </w:r>
      <w:r w:rsidRPr="006D7D6A">
        <w:t xml:space="preserve"> Этот обзор играет важную роль в обеспечении и поддержке согласованных решений, принимаемых на основе ЕПУС ВОИС.  </w:t>
      </w:r>
    </w:p>
  </w:footnote>
  <w:footnote w:id="28">
    <w:p w14:paraId="33D05402" w14:textId="77777777" w:rsidR="00DB4D92" w:rsidRPr="00567235" w:rsidRDefault="00DB4D92" w:rsidP="00595359">
      <w:pPr>
        <w:rPr>
          <w:i/>
          <w:sz w:val="18"/>
          <w:szCs w:val="18"/>
        </w:rPr>
      </w:pPr>
      <w:r w:rsidRPr="006D7D6A">
        <w:rPr>
          <w:rStyle w:val="FootnoteReference"/>
          <w:sz w:val="18"/>
          <w:szCs w:val="18"/>
        </w:rPr>
        <w:footnoteRef/>
      </w:r>
      <w:r w:rsidRPr="00567235">
        <w:rPr>
          <w:sz w:val="18"/>
        </w:rPr>
        <w:t xml:space="preserve"> </w:t>
      </w:r>
      <w:r w:rsidRPr="00567235">
        <w:rPr>
          <w:sz w:val="18"/>
        </w:rPr>
        <w:tab/>
        <w:t xml:space="preserve">В 2023 году Центр опубликовал обновленное руководство для </w:t>
      </w:r>
      <w:r>
        <w:rPr>
          <w:sz w:val="18"/>
        </w:rPr>
        <w:t xml:space="preserve">участников споров, </w:t>
      </w:r>
      <w:r w:rsidRPr="00567235">
        <w:rPr>
          <w:sz w:val="18"/>
        </w:rPr>
        <w:t>посвященн</w:t>
      </w:r>
      <w:r>
        <w:rPr>
          <w:sz w:val="18"/>
        </w:rPr>
        <w:t xml:space="preserve">ое практическим последствиям норм </w:t>
      </w:r>
      <w:r w:rsidRPr="00567235">
        <w:rPr>
          <w:sz w:val="18"/>
        </w:rPr>
        <w:t>законодательств</w:t>
      </w:r>
      <w:r>
        <w:rPr>
          <w:sz w:val="18"/>
        </w:rPr>
        <w:t xml:space="preserve">а о </w:t>
      </w:r>
      <w:r w:rsidRPr="00567235">
        <w:rPr>
          <w:sz w:val="18"/>
        </w:rPr>
        <w:t xml:space="preserve">защите данных </w:t>
      </w:r>
      <w:r>
        <w:rPr>
          <w:sz w:val="18"/>
        </w:rPr>
        <w:t>для процедур</w:t>
      </w:r>
      <w:r w:rsidRPr="00567235">
        <w:rPr>
          <w:sz w:val="18"/>
        </w:rPr>
        <w:t xml:space="preserve"> ЕПУС </w:t>
      </w:r>
      <w:r>
        <w:rPr>
          <w:sz w:val="18"/>
        </w:rPr>
        <w:t xml:space="preserve">(см. </w:t>
      </w:r>
      <w:r w:rsidR="00F668B1">
        <w:fldChar w:fldCharType="begin"/>
      </w:r>
      <w:r w:rsidR="00F668B1">
        <w:instrText>HYPERLINK "https://www.wipo.int/amc/en/domains/gdpr/"</w:instrText>
      </w:r>
      <w:r w:rsidR="00F668B1">
        <w:fldChar w:fldCharType="separate"/>
      </w:r>
      <w:r w:rsidRPr="006D7D6A">
        <w:rPr>
          <w:rStyle w:val="Hyperlink"/>
          <w:sz w:val="18"/>
          <w:lang w:val="en-US"/>
        </w:rPr>
        <w:t>https</w:t>
      </w:r>
      <w:r w:rsidRPr="00567235">
        <w:rPr>
          <w:rStyle w:val="Hyperlink"/>
          <w:sz w:val="18"/>
        </w:rPr>
        <w:t>://</w:t>
      </w:r>
      <w:r w:rsidRPr="006D7D6A">
        <w:rPr>
          <w:rStyle w:val="Hyperlink"/>
          <w:sz w:val="18"/>
          <w:lang w:val="en-US"/>
        </w:rPr>
        <w:t>www</w:t>
      </w:r>
      <w:r w:rsidRPr="00567235">
        <w:rPr>
          <w:rStyle w:val="Hyperlink"/>
          <w:sz w:val="18"/>
        </w:rPr>
        <w:t>.</w:t>
      </w:r>
      <w:proofErr w:type="spellStart"/>
      <w:r w:rsidRPr="006D7D6A">
        <w:rPr>
          <w:rStyle w:val="Hyperlink"/>
          <w:sz w:val="18"/>
          <w:lang w:val="en-US"/>
        </w:rPr>
        <w:t>wipo</w:t>
      </w:r>
      <w:proofErr w:type="spellEnd"/>
      <w:r w:rsidRPr="00567235">
        <w:rPr>
          <w:rStyle w:val="Hyperlink"/>
          <w:sz w:val="18"/>
        </w:rPr>
        <w:t>.</w:t>
      </w:r>
      <w:r w:rsidRPr="006D7D6A">
        <w:rPr>
          <w:rStyle w:val="Hyperlink"/>
          <w:sz w:val="18"/>
          <w:lang w:val="en-US"/>
        </w:rPr>
        <w:t>int</w:t>
      </w:r>
      <w:r w:rsidRPr="00567235">
        <w:rPr>
          <w:rStyle w:val="Hyperlink"/>
          <w:sz w:val="18"/>
        </w:rPr>
        <w:t>/</w:t>
      </w:r>
      <w:proofErr w:type="spellStart"/>
      <w:r w:rsidRPr="006D7D6A">
        <w:rPr>
          <w:rStyle w:val="Hyperlink"/>
          <w:sz w:val="18"/>
          <w:lang w:val="en-US"/>
        </w:rPr>
        <w:t>amc</w:t>
      </w:r>
      <w:proofErr w:type="spellEnd"/>
      <w:r w:rsidRPr="00567235">
        <w:rPr>
          <w:rStyle w:val="Hyperlink"/>
          <w:sz w:val="18"/>
        </w:rPr>
        <w:t>/</w:t>
      </w:r>
      <w:proofErr w:type="spellStart"/>
      <w:r w:rsidRPr="006D7D6A">
        <w:rPr>
          <w:rStyle w:val="Hyperlink"/>
          <w:sz w:val="18"/>
          <w:lang w:val="en-US"/>
        </w:rPr>
        <w:t>en</w:t>
      </w:r>
      <w:proofErr w:type="spellEnd"/>
      <w:r w:rsidRPr="00567235">
        <w:rPr>
          <w:rStyle w:val="Hyperlink"/>
          <w:sz w:val="18"/>
        </w:rPr>
        <w:t>/</w:t>
      </w:r>
      <w:r w:rsidRPr="006D7D6A">
        <w:rPr>
          <w:rStyle w:val="Hyperlink"/>
          <w:sz w:val="18"/>
          <w:lang w:val="en-US"/>
        </w:rPr>
        <w:t>domains</w:t>
      </w:r>
      <w:r w:rsidRPr="00567235">
        <w:rPr>
          <w:rStyle w:val="Hyperlink"/>
          <w:sz w:val="18"/>
        </w:rPr>
        <w:t>/</w:t>
      </w:r>
      <w:proofErr w:type="spellStart"/>
      <w:r w:rsidRPr="006D7D6A">
        <w:rPr>
          <w:rStyle w:val="Hyperlink"/>
          <w:sz w:val="18"/>
          <w:lang w:val="en-US"/>
        </w:rPr>
        <w:t>gdpr</w:t>
      </w:r>
      <w:proofErr w:type="spellEnd"/>
      <w:r w:rsidRPr="00567235">
        <w:rPr>
          <w:rStyle w:val="Hyperlink"/>
          <w:sz w:val="18"/>
        </w:rPr>
        <w:t>/</w:t>
      </w:r>
      <w:r w:rsidR="00F668B1">
        <w:rPr>
          <w:rStyle w:val="Hyperlink"/>
          <w:sz w:val="18"/>
        </w:rPr>
        <w:fldChar w:fldCharType="end"/>
      </w:r>
      <w:r>
        <w:rPr>
          <w:sz w:val="18"/>
        </w:rPr>
        <w:t>).</w:t>
      </w:r>
    </w:p>
  </w:footnote>
  <w:footnote w:id="29">
    <w:p w14:paraId="5A33A1CC" w14:textId="77777777" w:rsidR="00DB4D92" w:rsidRPr="00EF2965" w:rsidRDefault="00DB4D92" w:rsidP="00595359">
      <w:pPr>
        <w:pStyle w:val="FootnoteText"/>
        <w:rPr>
          <w:szCs w:val="18"/>
        </w:rPr>
      </w:pPr>
      <w:r w:rsidRPr="006D7D6A">
        <w:rPr>
          <w:rStyle w:val="FootnoteReference"/>
          <w:szCs w:val="18"/>
        </w:rPr>
        <w:footnoteRef/>
      </w:r>
      <w:r w:rsidRPr="00EF2965">
        <w:tab/>
      </w:r>
      <w:r>
        <w:t>Полный</w:t>
      </w:r>
      <w:r w:rsidRPr="00EF2965">
        <w:t xml:space="preserve"> </w:t>
      </w:r>
      <w:r>
        <w:t>список</w:t>
      </w:r>
      <w:r w:rsidRPr="00EF2965">
        <w:t xml:space="preserve"> </w:t>
      </w:r>
      <w:r>
        <w:t>нДВУ</w:t>
      </w:r>
      <w:r w:rsidRPr="00EF2965">
        <w:t xml:space="preserve">, </w:t>
      </w:r>
      <w:r>
        <w:t>сохранивших</w:t>
      </w:r>
      <w:r w:rsidRPr="00EF2965">
        <w:t xml:space="preserve"> </w:t>
      </w:r>
      <w:r>
        <w:t>Центр</w:t>
      </w:r>
      <w:r w:rsidRPr="00EF2965">
        <w:t xml:space="preserve"> </w:t>
      </w:r>
      <w:r>
        <w:t>в</w:t>
      </w:r>
      <w:r w:rsidRPr="00EF2965">
        <w:t xml:space="preserve"> </w:t>
      </w:r>
      <w:r>
        <w:t>качестве</w:t>
      </w:r>
      <w:r w:rsidRPr="00EF2965">
        <w:t xml:space="preserve"> </w:t>
      </w:r>
      <w:r>
        <w:t>своего провайдера</w:t>
      </w:r>
      <w:r w:rsidRPr="00EF2965">
        <w:t xml:space="preserve"> </w:t>
      </w:r>
      <w:r>
        <w:t>услуг</w:t>
      </w:r>
      <w:r w:rsidRPr="00EF2965">
        <w:t xml:space="preserve"> </w:t>
      </w:r>
      <w:r>
        <w:t>по урегулированию споров о доменных именах, приводится на странице</w:t>
      </w:r>
      <w:r w:rsidRPr="00EF2965">
        <w:t xml:space="preserve"> </w:t>
      </w:r>
      <w:hyperlink r:id="rId7" w:history="1">
        <w:r w:rsidRPr="006D7D6A">
          <w:rPr>
            <w:rStyle w:val="Hyperlink"/>
            <w:lang w:val="en-US"/>
          </w:rPr>
          <w:t>https</w:t>
        </w:r>
        <w:r w:rsidRPr="00EF2965">
          <w:rPr>
            <w:rStyle w:val="Hyperlink"/>
          </w:rPr>
          <w:t>://</w:t>
        </w:r>
        <w:r w:rsidRPr="006D7D6A">
          <w:rPr>
            <w:rStyle w:val="Hyperlink"/>
            <w:lang w:val="en-US"/>
          </w:rPr>
          <w:t>www</w:t>
        </w:r>
        <w:r w:rsidRPr="00EF2965">
          <w:rPr>
            <w:rStyle w:val="Hyperlink"/>
          </w:rPr>
          <w:t>.</w:t>
        </w:r>
        <w:proofErr w:type="spellStart"/>
        <w:r w:rsidRPr="006D7D6A">
          <w:rPr>
            <w:rStyle w:val="Hyperlink"/>
            <w:lang w:val="en-US"/>
          </w:rPr>
          <w:t>wipo</w:t>
        </w:r>
        <w:proofErr w:type="spellEnd"/>
        <w:r w:rsidRPr="00EF2965">
          <w:rPr>
            <w:rStyle w:val="Hyperlink"/>
          </w:rPr>
          <w:t>.</w:t>
        </w:r>
        <w:r w:rsidRPr="006D7D6A">
          <w:rPr>
            <w:rStyle w:val="Hyperlink"/>
            <w:lang w:val="en-US"/>
          </w:rPr>
          <w:t>int</w:t>
        </w:r>
        <w:r w:rsidRPr="00EF2965">
          <w:rPr>
            <w:rStyle w:val="Hyperlink"/>
          </w:rPr>
          <w:t>/</w:t>
        </w:r>
        <w:proofErr w:type="spellStart"/>
        <w:r w:rsidRPr="006D7D6A">
          <w:rPr>
            <w:rStyle w:val="Hyperlink"/>
            <w:lang w:val="en-US"/>
          </w:rPr>
          <w:t>amc</w:t>
        </w:r>
        <w:proofErr w:type="spellEnd"/>
        <w:r w:rsidRPr="00EF2965">
          <w:rPr>
            <w:rStyle w:val="Hyperlink"/>
          </w:rPr>
          <w:t>/</w:t>
        </w:r>
        <w:proofErr w:type="spellStart"/>
        <w:r w:rsidRPr="006D7D6A">
          <w:rPr>
            <w:rStyle w:val="Hyperlink"/>
            <w:lang w:val="en-US"/>
          </w:rPr>
          <w:t>en</w:t>
        </w:r>
        <w:proofErr w:type="spellEnd"/>
        <w:r w:rsidRPr="00EF2965">
          <w:rPr>
            <w:rStyle w:val="Hyperlink"/>
          </w:rPr>
          <w:t>/</w:t>
        </w:r>
        <w:r w:rsidRPr="006D7D6A">
          <w:rPr>
            <w:rStyle w:val="Hyperlink"/>
            <w:lang w:val="en-US"/>
          </w:rPr>
          <w:t>domains</w:t>
        </w:r>
        <w:r w:rsidRPr="00EF2965">
          <w:rPr>
            <w:rStyle w:val="Hyperlink"/>
          </w:rPr>
          <w:t>/</w:t>
        </w:r>
        <w:proofErr w:type="spellStart"/>
        <w:r w:rsidRPr="006D7D6A">
          <w:rPr>
            <w:rStyle w:val="Hyperlink"/>
            <w:lang w:val="en-US"/>
          </w:rPr>
          <w:t>cctld</w:t>
        </w:r>
        <w:proofErr w:type="spellEnd"/>
      </w:hyperlink>
      <w:r>
        <w:t>.</w:t>
      </w:r>
    </w:p>
  </w:footnote>
  <w:footnote w:id="30">
    <w:p w14:paraId="09D2FD7B" w14:textId="77777777" w:rsidR="00DB4D92" w:rsidRPr="000B4189" w:rsidRDefault="00DB4D92" w:rsidP="00595359">
      <w:pPr>
        <w:pStyle w:val="FootnoteText"/>
        <w:rPr>
          <w:szCs w:val="18"/>
        </w:rPr>
      </w:pPr>
      <w:r w:rsidRPr="006D7D6A">
        <w:rPr>
          <w:rStyle w:val="FootnoteReference"/>
          <w:szCs w:val="18"/>
        </w:rPr>
        <w:footnoteRef/>
      </w:r>
      <w:r w:rsidRPr="000B4189">
        <w:t xml:space="preserve"> </w:t>
      </w:r>
      <w:r w:rsidRPr="000B4189">
        <w:tab/>
      </w:r>
      <w:r w:rsidRPr="00712221">
        <w:t>Например</w:t>
      </w:r>
      <w:r w:rsidRPr="000B4189">
        <w:t xml:space="preserve">, </w:t>
      </w:r>
      <w:r>
        <w:t>веб</w:t>
      </w:r>
      <w:r w:rsidRPr="000B4189">
        <w:t>-</w:t>
      </w:r>
      <w:r>
        <w:t>страница</w:t>
      </w:r>
      <w:r w:rsidRPr="000B4189">
        <w:t xml:space="preserve"> </w:t>
      </w:r>
      <w:r>
        <w:t>Центра</w:t>
      </w:r>
      <w:r w:rsidRPr="000B4189">
        <w:t xml:space="preserve">, </w:t>
      </w:r>
      <w:r>
        <w:t>посвященная</w:t>
      </w:r>
      <w:r w:rsidRPr="000B4189">
        <w:t xml:space="preserve"> </w:t>
      </w:r>
      <w:r>
        <w:t>нДВУ</w:t>
      </w:r>
      <w:r w:rsidRPr="000B4189">
        <w:t xml:space="preserve"> .</w:t>
      </w:r>
      <w:r w:rsidRPr="006D7D6A">
        <w:rPr>
          <w:lang w:val="en-US"/>
        </w:rPr>
        <w:t>CH</w:t>
      </w:r>
      <w:r w:rsidRPr="000B4189">
        <w:t xml:space="preserve"> (</w:t>
      </w:r>
      <w:r>
        <w:t>Швейцария</w:t>
      </w:r>
      <w:r w:rsidRPr="000B4189">
        <w:t xml:space="preserve">) </w:t>
      </w:r>
      <w:r>
        <w:t>не только на английском</w:t>
      </w:r>
      <w:r w:rsidRPr="000B4189">
        <w:t>, французск</w:t>
      </w:r>
      <w:r>
        <w:t>ом и испанском, но также на немецком и итальянском языках</w:t>
      </w:r>
      <w:r w:rsidRPr="000B4189">
        <w:t>.</w:t>
      </w:r>
    </w:p>
  </w:footnote>
  <w:footnote w:id="31">
    <w:p w14:paraId="7E532083" w14:textId="39F83167" w:rsidR="00DB4D92" w:rsidRPr="004D4957" w:rsidRDefault="00DB4D92" w:rsidP="00595359">
      <w:pPr>
        <w:pStyle w:val="FootnoteText"/>
      </w:pPr>
      <w:r w:rsidRPr="006D7D6A">
        <w:rPr>
          <w:rStyle w:val="FootnoteReference"/>
          <w:szCs w:val="18"/>
        </w:rPr>
        <w:footnoteRef/>
      </w:r>
      <w:r>
        <w:tab/>
      </w:r>
      <w:r>
        <w:t xml:space="preserve">См. </w:t>
      </w:r>
      <w:r w:rsidR="004D4957">
        <w:fldChar w:fldCharType="begin"/>
      </w:r>
      <w:r w:rsidR="004D4957">
        <w:instrText>HYPERLINK "https://www.wipo.int/amc/en/domains/cctld/"</w:instrText>
      </w:r>
      <w:r w:rsidR="004D4957">
        <w:fldChar w:fldCharType="separate"/>
      </w:r>
      <w:r w:rsidR="004D4957" w:rsidRPr="0059209F">
        <w:rPr>
          <w:rStyle w:val="Hyperlink"/>
        </w:rPr>
        <w:t>https://www.wipo.int/amc/en/domains/cctld/</w:t>
      </w:r>
      <w:r w:rsidR="004D4957">
        <w:fldChar w:fldCharType="end"/>
      </w:r>
      <w:r w:rsidRPr="006D7D6A">
        <w:t xml:space="preserve"> </w:t>
      </w:r>
    </w:p>
  </w:footnote>
  <w:footnote w:id="32">
    <w:p w14:paraId="561330B5" w14:textId="5AD871E7" w:rsidR="00DB4D92" w:rsidRPr="006D7D6A" w:rsidRDefault="00DB4D92" w:rsidP="00595359">
      <w:pPr>
        <w:pStyle w:val="FootnoteText"/>
        <w:rPr>
          <w:szCs w:val="18"/>
        </w:rPr>
      </w:pPr>
      <w:r w:rsidRPr="006D7D6A">
        <w:rPr>
          <w:rStyle w:val="FootnoteReference"/>
          <w:szCs w:val="18"/>
        </w:rPr>
        <w:footnoteRef/>
      </w:r>
      <w:r w:rsidRPr="006D7D6A">
        <w:t xml:space="preserve"> </w:t>
      </w:r>
      <w:r w:rsidRPr="006D7D6A">
        <w:tab/>
      </w:r>
      <w:r w:rsidRPr="006D7D6A">
        <w:t xml:space="preserve">Новые делегированные рДВУ перечислены по </w:t>
      </w:r>
      <w:r w:rsidRPr="006D7D6A">
        <w:t>адресу:</w:t>
      </w:r>
      <w:r w:rsidR="00F668B1">
        <w:fldChar w:fldCharType="begin"/>
      </w:r>
      <w:r w:rsidR="00F668B1">
        <w:instrText>HYPERLINK "https://newgtlds.icann.org/en/program-status/delegated-strings"</w:instrText>
      </w:r>
      <w:r w:rsidR="00F668B1">
        <w:fldChar w:fldCharType="separate"/>
      </w:r>
      <w:r w:rsidRPr="006D7D6A">
        <w:rPr>
          <w:rStyle w:val="Hyperlink"/>
        </w:rPr>
        <w:t>https://newgtlds.icann.org/en/program-status/delegated-strings</w:t>
      </w:r>
      <w:r w:rsidR="00F668B1">
        <w:rPr>
          <w:rStyle w:val="Hyperlink"/>
        </w:rPr>
        <w:fldChar w:fldCharType="end"/>
      </w:r>
      <w:r w:rsidRPr="006D7D6A">
        <w:t>.</w:t>
      </w:r>
    </w:p>
  </w:footnote>
  <w:footnote w:id="33">
    <w:p w14:paraId="394077FB" w14:textId="2EB3FA60" w:rsidR="00DB4D92" w:rsidRPr="006D7D6A" w:rsidRDefault="00DB4D92" w:rsidP="00595359">
      <w:pPr>
        <w:pStyle w:val="FootnoteText"/>
        <w:rPr>
          <w:szCs w:val="18"/>
        </w:rPr>
      </w:pPr>
      <w:r w:rsidRPr="006D7D6A">
        <w:rPr>
          <w:rStyle w:val="FootnoteReference"/>
          <w:szCs w:val="18"/>
        </w:rPr>
        <w:footnoteRef/>
      </w:r>
      <w:r w:rsidRPr="006D7D6A">
        <w:rPr>
          <w:rStyle w:val="FootnoteReference"/>
        </w:rPr>
        <w:t xml:space="preserve"> </w:t>
      </w:r>
      <w:r w:rsidRPr="006D7D6A">
        <w:tab/>
      </w:r>
      <w:r>
        <w:t xml:space="preserve">Дополнительная справочная информация, включая ссылки, содержится </w:t>
      </w:r>
      <w:r w:rsidRPr="00F668B1">
        <w:t xml:space="preserve">в </w:t>
      </w:r>
      <w:r w:rsidRPr="00F668B1">
        <w:t xml:space="preserve">документе </w:t>
      </w:r>
      <w:r w:rsidR="00F668B1" w:rsidRPr="00F668B1">
        <w:fldChar w:fldCharType="begin"/>
      </w:r>
      <w:r w:rsidR="004D4957" w:rsidRPr="00F668B1">
        <w:instrText>HYPERLINK "https://www.wipo.int/about-wipo/en/assemblies/2024/a-65/doc_details.jsp?doc_id=136276"</w:instrText>
      </w:r>
      <w:r w:rsidR="00F668B1" w:rsidRPr="00F668B1">
        <w:fldChar w:fldCharType="separate"/>
      </w:r>
      <w:r w:rsidRPr="00F668B1">
        <w:rPr>
          <w:rStyle w:val="Hyperlink"/>
        </w:rPr>
        <w:t>WO/GA/39/10</w:t>
      </w:r>
      <w:r w:rsidR="00F668B1" w:rsidRPr="00F668B1">
        <w:rPr>
          <w:rStyle w:val="Hyperlink"/>
        </w:rPr>
        <w:fldChar w:fldCharType="end"/>
      </w:r>
      <w:r w:rsidRPr="00F668B1">
        <w:t>,</w:t>
      </w:r>
      <w:r>
        <w:t xml:space="preserve"> в частности в пунктах 23–30.</w:t>
      </w:r>
      <w:r w:rsidRPr="006D7D6A">
        <w:t xml:space="preserve"> Здесь отмечается, что ICANN отклонила предложение о подготовке «Перечня знаков, пользующихся </w:t>
      </w:r>
      <w:r>
        <w:t>международной</w:t>
      </w:r>
      <w:r w:rsidRPr="006D7D6A">
        <w:t xml:space="preserve"> охраной».</w:t>
      </w:r>
    </w:p>
  </w:footnote>
  <w:footnote w:id="34">
    <w:p w14:paraId="7947A50F" w14:textId="17613655" w:rsidR="00DB4D92" w:rsidRPr="006D7D6A" w:rsidRDefault="00DB4D92" w:rsidP="00065C5D">
      <w:pPr>
        <w:pStyle w:val="FootnoteText"/>
        <w:rPr>
          <w:szCs w:val="18"/>
        </w:rPr>
      </w:pPr>
      <w:r w:rsidRPr="006D7D6A">
        <w:rPr>
          <w:rStyle w:val="FootnoteReference"/>
          <w:szCs w:val="18"/>
        </w:rPr>
        <w:footnoteRef/>
      </w:r>
      <w:r>
        <w:tab/>
        <w:t xml:space="preserve">Другими видами возражений, признаваемыми ICANN, были </w:t>
      </w:r>
      <w:r w:rsidRPr="006D7D6A">
        <w:t xml:space="preserve">«возражения, основанные на смешении в </w:t>
      </w:r>
      <w:r>
        <w:t xml:space="preserve">адресной </w:t>
      </w:r>
      <w:r w:rsidRPr="006D7D6A">
        <w:t xml:space="preserve">строке», «возражения </w:t>
      </w:r>
      <w:r>
        <w:t>групп</w:t>
      </w:r>
      <w:r w:rsidRPr="006D7D6A">
        <w:t>» и «</w:t>
      </w:r>
      <w:r>
        <w:t xml:space="preserve">ограниченные </w:t>
      </w:r>
      <w:r w:rsidRPr="006D7D6A">
        <w:t xml:space="preserve">возражения, основанные на общественном интересе». «Руководство для заявителя» предусматривает также ряд других процедур, которыми правительства могут пользоваться после того, как ICANN </w:t>
      </w:r>
      <w:r>
        <w:t>объявит о приеме заявок</w:t>
      </w:r>
      <w:r w:rsidRPr="006D7D6A">
        <w:t xml:space="preserve"> на регистрацию новых рДВУ. В частности, раздел 1.1.2.4 предусматривает «</w:t>
      </w:r>
      <w:r>
        <w:t>Раннее</w:t>
      </w:r>
      <w:r w:rsidRPr="006D7D6A">
        <w:t xml:space="preserve"> </w:t>
      </w:r>
      <w:r>
        <w:t xml:space="preserve">предупреждение </w:t>
      </w:r>
      <w:r w:rsidRPr="006D7D6A">
        <w:t>ПКК», а раздел 1.1.2.7 — «Рекомендации ПКК в отношении новых рДВУ», направляемые на рассмотрение Совета ICANN.</w:t>
      </w:r>
    </w:p>
  </w:footnote>
  <w:footnote w:id="35">
    <w:p w14:paraId="4C941839" w14:textId="77777777" w:rsidR="00DB4D92" w:rsidRPr="006D7D6A" w:rsidRDefault="00DB4D92" w:rsidP="00595359">
      <w:pPr>
        <w:pStyle w:val="FootnoteText"/>
        <w:rPr>
          <w:szCs w:val="18"/>
        </w:rPr>
      </w:pPr>
      <w:r w:rsidRPr="006D7D6A">
        <w:rPr>
          <w:rStyle w:val="FootnoteReference"/>
          <w:szCs w:val="18"/>
        </w:rPr>
        <w:footnoteRef/>
      </w:r>
      <w:r w:rsidRPr="006D7D6A">
        <w:t xml:space="preserve"> </w:t>
      </w:r>
      <w:r w:rsidRPr="006D7D6A">
        <w:tab/>
        <w:t xml:space="preserve">См. </w:t>
      </w:r>
      <w:hyperlink r:id="rId8" w:history="1">
        <w:r w:rsidRPr="006D7D6A">
          <w:rPr>
            <w:rStyle w:val="Hyperlink"/>
          </w:rPr>
          <w:t>https://www.wipo.int/amc/en/docs/icann130309.pdf</w:t>
        </w:r>
      </w:hyperlink>
      <w:r w:rsidRPr="006D7D6A">
        <w:t>.</w:t>
      </w:r>
    </w:p>
  </w:footnote>
  <w:footnote w:id="36">
    <w:p w14:paraId="68723293" w14:textId="4F975AF3" w:rsidR="00DB4D92" w:rsidRPr="006D7D6A" w:rsidRDefault="00DB4D92" w:rsidP="00595359">
      <w:pPr>
        <w:pStyle w:val="FootnoteText"/>
        <w:rPr>
          <w:szCs w:val="18"/>
        </w:rPr>
      </w:pPr>
      <w:r w:rsidRPr="006D7D6A">
        <w:rPr>
          <w:rStyle w:val="FootnoteReference"/>
          <w:szCs w:val="18"/>
        </w:rPr>
        <w:footnoteRef/>
      </w:r>
      <w:r>
        <w:t xml:space="preserve"> </w:t>
      </w:r>
      <w:r>
        <w:tab/>
        <w:t>В ЦОИТЗ могут вноситься зарегистрированные словесные знаки, словесные знаки, охраняемые в соответствии с законом или договором или на основании судебного решения, и «прочие знаки, составляющие интеллектуальную собственность» (последнее понятие не определено).</w:t>
      </w:r>
      <w:r w:rsidRPr="006D7D6A">
        <w:t xml:space="preserve"> Что касается МОП, основанных на использовании данных ЦОИТЗ, в настоящее время </w:t>
      </w:r>
      <w:r>
        <w:t xml:space="preserve">сервис </w:t>
      </w:r>
      <w:r w:rsidRPr="006D7D6A">
        <w:t xml:space="preserve">Sunrise (т.е. право владельца товарного знака, при условии оплаты соответствующего сбора, </w:t>
      </w:r>
      <w:r>
        <w:t>превентивным образом зарегистрировать</w:t>
      </w:r>
      <w:r w:rsidRPr="006D7D6A">
        <w:t xml:space="preserve"> </w:t>
      </w:r>
      <w:r>
        <w:t>в качестве доменного имени слово, полностью совпадающее</w:t>
      </w:r>
      <w:r w:rsidRPr="006D7D6A">
        <w:t xml:space="preserve"> с принадлежащим ему знаком) </w:t>
      </w:r>
      <w:r>
        <w:t>распространяется на товарные знаки</w:t>
      </w:r>
      <w:r w:rsidRPr="006D7D6A">
        <w:t>, текущее использование которых может быть доказано. Независимо от доказанност</w:t>
      </w:r>
      <w:r>
        <w:t>и текущего использования</w:t>
      </w:r>
      <w:r w:rsidRPr="006D7D6A">
        <w:t>, владельцы товарных знаков будут также иметь право пользоваться ограниченн</w:t>
      </w:r>
      <w:r>
        <w:t xml:space="preserve">ым </w:t>
      </w:r>
      <w:r w:rsidRPr="006D7D6A">
        <w:t xml:space="preserve">по времени действия </w:t>
      </w:r>
      <w:r>
        <w:t>сервисом</w:t>
      </w:r>
      <w:r w:rsidRPr="006D7D6A">
        <w:t xml:space="preserve"> Claims (возможностью уведомления потенциального регистранта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регистрант все же регистрирует доменное имя). 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w:t>
      </w:r>
      <w:r>
        <w:t>пользователи</w:t>
      </w:r>
      <w:r w:rsidRPr="006D7D6A">
        <w:t xml:space="preserve"> ЦОИТЗ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Sunrise, касается также </w:t>
      </w:r>
      <w:r>
        <w:t xml:space="preserve">указания </w:t>
      </w:r>
      <w:r w:rsidRPr="006D7D6A">
        <w:t xml:space="preserve">на существование товарных знаков в качестве основания для подачи </w:t>
      </w:r>
      <w:r>
        <w:t xml:space="preserve">жалобы </w:t>
      </w:r>
      <w:r w:rsidRPr="006D7D6A">
        <w:t xml:space="preserve">в соответствии с описанным </w:t>
      </w:r>
      <w:r>
        <w:t xml:space="preserve">в настоящем документе МОП </w:t>
      </w:r>
      <w:r w:rsidRPr="006D7D6A">
        <w:t xml:space="preserve">«Единая система быстрого приостановления действия». </w:t>
      </w:r>
      <w:r>
        <w:t xml:space="preserve">Ряд операторов реестров включили в свои соглашения между реестрами и регистраторами положение о неограниченном сроке действия сервиса </w:t>
      </w:r>
      <w:r w:rsidRPr="006D7D6A">
        <w:t>Claims</w:t>
      </w:r>
      <w:r>
        <w:t xml:space="preserve"> ‒ так, Charleston Road Registry, подразделение Google, сделала это в отношении домена .арр </w:t>
      </w:r>
      <w:r>
        <w:t xml:space="preserve">(см. </w:t>
      </w:r>
      <w:r w:rsidR="00F668B1">
        <w:fldChar w:fldCharType="begin"/>
      </w:r>
      <w:r w:rsidR="00F668B1">
        <w:instrText>HYPERLINK "https://gtldresult.icann.org/applicationstatus/applicationdetails:downloadapplication/1343?t:ac=1343"</w:instrText>
      </w:r>
      <w:r w:rsidR="00F668B1">
        <w:fldChar w:fldCharType="separate"/>
      </w:r>
      <w:r w:rsidRPr="006D7D6A">
        <w:rPr>
          <w:rStyle w:val="Hyperlink"/>
        </w:rPr>
        <w:t>gtldresult.icann.org/applicationstatus/applicationdetails:downloadapplication/1343?t:ac=1343</w:t>
      </w:r>
      <w:r w:rsidR="00F668B1">
        <w:rPr>
          <w:rStyle w:val="Hyperlink"/>
        </w:rPr>
        <w:fldChar w:fldCharType="end"/>
      </w:r>
      <w:r>
        <w:t>)</w:t>
      </w:r>
    </w:p>
  </w:footnote>
  <w:footnote w:id="37">
    <w:p w14:paraId="000B1283" w14:textId="7C890AF1" w:rsidR="00DB4D92" w:rsidRPr="006D7D6A" w:rsidRDefault="00DB4D92" w:rsidP="00595359">
      <w:pPr>
        <w:pStyle w:val="FootnoteText"/>
        <w:rPr>
          <w:szCs w:val="18"/>
        </w:rPr>
      </w:pPr>
      <w:r w:rsidRPr="006D7D6A">
        <w:rPr>
          <w:rStyle w:val="FootnoteReference"/>
          <w:szCs w:val="18"/>
        </w:rPr>
        <w:footnoteRef/>
      </w:r>
      <w:r>
        <w:t xml:space="preserve"> </w:t>
      </w:r>
      <w:r>
        <w:tab/>
        <w:t xml:space="preserve">Центр, со своей стороны, направил в ICANN в апреле 2009 года предварительный проект документа «Механизм ускоренного приостановления действия (доменных имен)» </w:t>
      </w:r>
      <w:r>
        <w:t xml:space="preserve">(см. </w:t>
      </w:r>
      <w:r w:rsidR="00F668B1">
        <w:fldChar w:fldCharType="begin"/>
      </w:r>
      <w:r w:rsidR="00F668B1">
        <w:instrText>HYPERLINK "http://www.wipo.int/amc/en/docs/icann030409.pdf"</w:instrText>
      </w:r>
      <w:r w:rsidR="00F668B1">
        <w:fldChar w:fldCharType="separate"/>
      </w:r>
      <w:r w:rsidRPr="006D7D6A">
        <w:rPr>
          <w:rStyle w:val="Hyperlink"/>
        </w:rPr>
        <w:t>https://www.wipo.int/amc/en/docs/icann030409.pdf</w:t>
      </w:r>
      <w:r w:rsidR="00F668B1">
        <w:rPr>
          <w:rStyle w:val="Hyperlink"/>
        </w:rPr>
        <w:fldChar w:fldCharType="end"/>
      </w:r>
      <w:r>
        <w:t xml:space="preserve">) и затем вносил на заседаниях ICANN предложения о создании на базе этой модели более совершенного механизма (см. </w:t>
      </w:r>
      <w:r w:rsidR="00F668B1">
        <w:fldChar w:fldCharType="begin"/>
      </w:r>
      <w:r w:rsidR="00F668B1">
        <w:instrText>HYPERLINK "http://prague44.icann.org/node/31773"</w:instrText>
      </w:r>
      <w:r w:rsidR="00F668B1">
        <w:fldChar w:fldCharType="separate"/>
      </w:r>
      <w:r w:rsidRPr="006D7D6A">
        <w:rPr>
          <w:rStyle w:val="Hyperlink"/>
        </w:rPr>
        <w:t>prague44.icann.org</w:t>
      </w:r>
      <w:r w:rsidR="00F668B1">
        <w:rPr>
          <w:rStyle w:val="Hyperlink"/>
        </w:rPr>
        <w:fldChar w:fldCharType="end"/>
      </w:r>
      <w:r>
        <w:t xml:space="preserve"> и </w:t>
      </w:r>
      <w:r w:rsidR="00F668B1">
        <w:fldChar w:fldCharType="begin"/>
      </w:r>
      <w:r w:rsidR="00F668B1">
        <w:instrText>HYPERLINK "http://toronto45.icann.org/node/34325"</w:instrText>
      </w:r>
      <w:r w:rsidR="00F668B1">
        <w:fldChar w:fldCharType="separate"/>
      </w:r>
      <w:r w:rsidRPr="006D7D6A">
        <w:rPr>
          <w:rStyle w:val="Hyperlink"/>
        </w:rPr>
        <w:t>toronto45.icann.org/node/34325</w:t>
      </w:r>
      <w:r w:rsidR="00F668B1">
        <w:rPr>
          <w:rStyle w:val="Hyperlink"/>
        </w:rPr>
        <w:fldChar w:fldCharType="end"/>
      </w:r>
      <w:r>
        <w:t>).</w:t>
      </w:r>
      <w:r w:rsidRPr="006D7D6A">
        <w:t xml:space="preserve"> </w:t>
      </w:r>
      <w:r>
        <w:t xml:space="preserve">В </w:t>
      </w:r>
      <w:r w:rsidRPr="006D7D6A">
        <w:t>эти</w:t>
      </w:r>
      <w:r>
        <w:t>х</w:t>
      </w:r>
      <w:r w:rsidRPr="006D7D6A">
        <w:t xml:space="preserve"> предложения</w:t>
      </w:r>
      <w:r>
        <w:t>х учитывалась</w:t>
      </w:r>
      <w:r w:rsidRPr="006D7D6A">
        <w:t xml:space="preserve"> необходимость </w:t>
      </w:r>
      <w:r>
        <w:t xml:space="preserve">обеспечения </w:t>
      </w:r>
      <w:r w:rsidRPr="006D7D6A">
        <w:t xml:space="preserve">разумного </w:t>
      </w:r>
      <w:r>
        <w:t>баланса</w:t>
      </w:r>
      <w:r w:rsidRPr="006D7D6A">
        <w:t xml:space="preserve">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w:t>
      </w:r>
      <w:r>
        <w:t xml:space="preserve">правомерными </w:t>
      </w:r>
      <w:r w:rsidRPr="006D7D6A">
        <w:t>ожиданиями добросовестн</w:t>
      </w:r>
      <w:r>
        <w:t>ых регистрантов доменных имен.</w:t>
      </w:r>
    </w:p>
  </w:footnote>
  <w:footnote w:id="38">
    <w:p w14:paraId="43D1EEA7" w14:textId="77777777" w:rsidR="00DB4D92" w:rsidRPr="006D7D6A" w:rsidRDefault="00DB4D92" w:rsidP="00595359">
      <w:pPr>
        <w:pStyle w:val="FootnoteText"/>
        <w:rPr>
          <w:szCs w:val="18"/>
        </w:rPr>
      </w:pPr>
      <w:r w:rsidRPr="006D7D6A">
        <w:rPr>
          <w:rStyle w:val="FootnoteReference"/>
          <w:szCs w:val="18"/>
        </w:rPr>
        <w:footnoteRef/>
      </w:r>
      <w:r>
        <w:tab/>
        <w:t>Несмотря на то, что явное большинство участников обсуждения, состоявшегося в 2011 году, считали, что любой пересмотр ЕПУС со стороны ICANN как организации, основной задачей которой является обеспечение регистраций, может принести больше вреда, чем пользы.</w:t>
      </w:r>
      <w:r w:rsidRPr="006D7D6A">
        <w:t xml:space="preserve"> </w:t>
      </w:r>
      <w:r>
        <w:t xml:space="preserve">См. </w:t>
      </w:r>
      <w:hyperlink r:id="rId9" w:history="1">
        <w:r w:rsidRPr="006D7D6A">
          <w:rPr>
            <w:rStyle w:val="Hyperlink"/>
          </w:rPr>
          <w:t>https://community.icann.org/display/gnsoudrpdt/Webinar+on+the+Current+State+of+the+UDRP</w:t>
        </w:r>
      </w:hyperlink>
      <w:r>
        <w:t>; см. также более общий контекст в пункте 31 документа </w:t>
      </w:r>
      <w:hyperlink r:id="rId10" w:history="1">
        <w:r w:rsidRPr="006D7D6A">
          <w:rPr>
            <w:rStyle w:val="Hyperlink"/>
          </w:rPr>
          <w:t>WO/GA/39/10</w:t>
        </w:r>
      </w:hyperlink>
      <w:r>
        <w:t>.</w:t>
      </w:r>
    </w:p>
  </w:footnote>
  <w:footnote w:id="39">
    <w:p w14:paraId="67BD45F2" w14:textId="77777777" w:rsidR="00DB4D92" w:rsidRPr="00484D14" w:rsidRDefault="00DB4D92" w:rsidP="00595359">
      <w:pPr>
        <w:pStyle w:val="FootnoteText"/>
        <w:rPr>
          <w:szCs w:val="18"/>
        </w:rPr>
      </w:pPr>
      <w:r w:rsidRPr="006D7D6A">
        <w:rPr>
          <w:rStyle w:val="FootnoteReference"/>
          <w:szCs w:val="18"/>
        </w:rPr>
        <w:footnoteRef/>
      </w:r>
      <w:r w:rsidRPr="00484D14">
        <w:t xml:space="preserve"> </w:t>
      </w:r>
      <w:r w:rsidRPr="00484D14">
        <w:tab/>
      </w:r>
      <w:r>
        <w:t>См</w:t>
      </w:r>
      <w:r w:rsidRPr="00484D14">
        <w:t xml:space="preserve">. </w:t>
      </w:r>
      <w:r>
        <w:t>текст Итогового</w:t>
      </w:r>
      <w:r w:rsidRPr="00484D14">
        <w:t xml:space="preserve"> </w:t>
      </w:r>
      <w:r w:rsidRPr="00F245C5">
        <w:t>доклад</w:t>
      </w:r>
      <w:r>
        <w:t xml:space="preserve">а по </w:t>
      </w:r>
      <w:r>
        <w:t xml:space="preserve">адресу: </w:t>
      </w:r>
      <w:r w:rsidR="00F668B1">
        <w:fldChar w:fldCharType="begin"/>
      </w:r>
      <w:r w:rsidR="00F668B1">
        <w:instrText>HYPERLINK "https://gnso.icann.org/sites/default/files/file/field-file-attach/council-recommendations-rpm-pdp-phase-1-report-10feb21-en.pdf"</w:instrText>
      </w:r>
      <w:r w:rsidR="00F668B1">
        <w:fldChar w:fldCharType="separate"/>
      </w:r>
      <w:r w:rsidRPr="006D7D6A">
        <w:rPr>
          <w:rStyle w:val="Hyperlink"/>
          <w:lang w:val="en-US"/>
        </w:rPr>
        <w:t>https</w:t>
      </w:r>
      <w:r w:rsidRPr="00484D14">
        <w:rPr>
          <w:rStyle w:val="Hyperlink"/>
        </w:rPr>
        <w:t>://</w:t>
      </w:r>
      <w:proofErr w:type="spellStart"/>
      <w:r w:rsidRPr="006D7D6A">
        <w:rPr>
          <w:rStyle w:val="Hyperlink"/>
          <w:lang w:val="en-US"/>
        </w:rPr>
        <w:t>gnso</w:t>
      </w:r>
      <w:proofErr w:type="spellEnd"/>
      <w:r w:rsidRPr="00484D14">
        <w:rPr>
          <w:rStyle w:val="Hyperlink"/>
        </w:rPr>
        <w:t>.</w:t>
      </w:r>
      <w:proofErr w:type="spellStart"/>
      <w:r w:rsidRPr="006D7D6A">
        <w:rPr>
          <w:rStyle w:val="Hyperlink"/>
          <w:lang w:val="en-US"/>
        </w:rPr>
        <w:t>icann</w:t>
      </w:r>
      <w:proofErr w:type="spellEnd"/>
      <w:r w:rsidRPr="00484D14">
        <w:rPr>
          <w:rStyle w:val="Hyperlink"/>
        </w:rPr>
        <w:t>.</w:t>
      </w:r>
      <w:r w:rsidRPr="006D7D6A">
        <w:rPr>
          <w:rStyle w:val="Hyperlink"/>
          <w:lang w:val="en-US"/>
        </w:rPr>
        <w:t>org</w:t>
      </w:r>
      <w:r w:rsidRPr="00484D14">
        <w:rPr>
          <w:rStyle w:val="Hyperlink"/>
        </w:rPr>
        <w:t>/</w:t>
      </w:r>
      <w:r w:rsidRPr="006D7D6A">
        <w:rPr>
          <w:rStyle w:val="Hyperlink"/>
          <w:lang w:val="en-US"/>
        </w:rPr>
        <w:t>sites</w:t>
      </w:r>
      <w:r w:rsidRPr="00484D14">
        <w:rPr>
          <w:rStyle w:val="Hyperlink"/>
        </w:rPr>
        <w:t>/</w:t>
      </w:r>
      <w:r w:rsidRPr="006D7D6A">
        <w:rPr>
          <w:rStyle w:val="Hyperlink"/>
          <w:lang w:val="en-US"/>
        </w:rPr>
        <w:t>default</w:t>
      </w:r>
      <w:r w:rsidRPr="00484D14">
        <w:rPr>
          <w:rStyle w:val="Hyperlink"/>
        </w:rPr>
        <w:t>/</w:t>
      </w:r>
      <w:r w:rsidRPr="006D7D6A">
        <w:rPr>
          <w:rStyle w:val="Hyperlink"/>
          <w:lang w:val="en-US"/>
        </w:rPr>
        <w:t>files</w:t>
      </w:r>
      <w:r w:rsidRPr="00484D14">
        <w:rPr>
          <w:rStyle w:val="Hyperlink"/>
        </w:rPr>
        <w:t>/</w:t>
      </w:r>
      <w:r w:rsidRPr="006D7D6A">
        <w:rPr>
          <w:rStyle w:val="Hyperlink"/>
          <w:lang w:val="en-US"/>
        </w:rPr>
        <w:t>file</w:t>
      </w:r>
      <w:r w:rsidRPr="00484D14">
        <w:rPr>
          <w:rStyle w:val="Hyperlink"/>
        </w:rPr>
        <w:t>/</w:t>
      </w:r>
      <w:r w:rsidRPr="006D7D6A">
        <w:rPr>
          <w:rStyle w:val="Hyperlink"/>
          <w:lang w:val="en-US"/>
        </w:rPr>
        <w:t>field</w:t>
      </w:r>
      <w:r w:rsidRPr="00484D14">
        <w:rPr>
          <w:rStyle w:val="Hyperlink"/>
        </w:rPr>
        <w:t>-</w:t>
      </w:r>
      <w:r w:rsidRPr="006D7D6A">
        <w:rPr>
          <w:rStyle w:val="Hyperlink"/>
          <w:lang w:val="en-US"/>
        </w:rPr>
        <w:t>file</w:t>
      </w:r>
      <w:r w:rsidRPr="00484D14">
        <w:rPr>
          <w:rStyle w:val="Hyperlink"/>
        </w:rPr>
        <w:t>-</w:t>
      </w:r>
      <w:r w:rsidRPr="006D7D6A">
        <w:rPr>
          <w:rStyle w:val="Hyperlink"/>
          <w:lang w:val="en-US"/>
        </w:rPr>
        <w:t>attach</w:t>
      </w:r>
      <w:r w:rsidRPr="00484D14">
        <w:rPr>
          <w:rStyle w:val="Hyperlink"/>
        </w:rPr>
        <w:t>/</w:t>
      </w:r>
      <w:r w:rsidRPr="006D7D6A">
        <w:rPr>
          <w:rStyle w:val="Hyperlink"/>
          <w:lang w:val="en-US"/>
        </w:rPr>
        <w:t>council</w:t>
      </w:r>
      <w:r w:rsidRPr="00484D14">
        <w:rPr>
          <w:rStyle w:val="Hyperlink"/>
        </w:rPr>
        <w:t>-</w:t>
      </w:r>
      <w:r w:rsidRPr="006D7D6A">
        <w:rPr>
          <w:rStyle w:val="Hyperlink"/>
          <w:lang w:val="en-US"/>
        </w:rPr>
        <w:t>recommendations</w:t>
      </w:r>
      <w:r w:rsidRPr="00484D14">
        <w:rPr>
          <w:rStyle w:val="Hyperlink"/>
        </w:rPr>
        <w:t>-</w:t>
      </w:r>
      <w:r w:rsidRPr="006D7D6A">
        <w:rPr>
          <w:rStyle w:val="Hyperlink"/>
          <w:lang w:val="en-US"/>
        </w:rPr>
        <w:t>rpm</w:t>
      </w:r>
      <w:r w:rsidRPr="00484D14">
        <w:rPr>
          <w:rStyle w:val="Hyperlink"/>
        </w:rPr>
        <w:t>-</w:t>
      </w:r>
      <w:proofErr w:type="spellStart"/>
      <w:r w:rsidRPr="006D7D6A">
        <w:rPr>
          <w:rStyle w:val="Hyperlink"/>
          <w:lang w:val="en-US"/>
        </w:rPr>
        <w:t>pdp</w:t>
      </w:r>
      <w:proofErr w:type="spellEnd"/>
      <w:r w:rsidRPr="00484D14">
        <w:rPr>
          <w:rStyle w:val="Hyperlink"/>
        </w:rPr>
        <w:t>-</w:t>
      </w:r>
      <w:r w:rsidRPr="006D7D6A">
        <w:rPr>
          <w:rStyle w:val="Hyperlink"/>
          <w:lang w:val="en-US"/>
        </w:rPr>
        <w:t>phase</w:t>
      </w:r>
      <w:r w:rsidRPr="00484D14">
        <w:rPr>
          <w:rStyle w:val="Hyperlink"/>
        </w:rPr>
        <w:t>-1-</w:t>
      </w:r>
      <w:r w:rsidRPr="006D7D6A">
        <w:rPr>
          <w:rStyle w:val="Hyperlink"/>
          <w:lang w:val="en-US"/>
        </w:rPr>
        <w:t>report</w:t>
      </w:r>
      <w:r w:rsidRPr="00484D14">
        <w:rPr>
          <w:rStyle w:val="Hyperlink"/>
        </w:rPr>
        <w:t>-10</w:t>
      </w:r>
      <w:proofErr w:type="spellStart"/>
      <w:r w:rsidRPr="006D7D6A">
        <w:rPr>
          <w:rStyle w:val="Hyperlink"/>
          <w:lang w:val="en-US"/>
        </w:rPr>
        <w:t>feb</w:t>
      </w:r>
      <w:proofErr w:type="spellEnd"/>
      <w:r w:rsidRPr="00484D14">
        <w:rPr>
          <w:rStyle w:val="Hyperlink"/>
        </w:rPr>
        <w:t>21-</w:t>
      </w:r>
      <w:proofErr w:type="spellStart"/>
      <w:r w:rsidRPr="006D7D6A">
        <w:rPr>
          <w:rStyle w:val="Hyperlink"/>
          <w:lang w:val="en-US"/>
        </w:rPr>
        <w:t>en</w:t>
      </w:r>
      <w:proofErr w:type="spellEnd"/>
      <w:r w:rsidRPr="00484D14">
        <w:rPr>
          <w:rStyle w:val="Hyperlink"/>
        </w:rPr>
        <w:t>.</w:t>
      </w:r>
      <w:r w:rsidRPr="006D7D6A">
        <w:rPr>
          <w:rStyle w:val="Hyperlink"/>
          <w:lang w:val="en-US"/>
        </w:rPr>
        <w:t>pdf</w:t>
      </w:r>
      <w:r w:rsidR="00F668B1">
        <w:rPr>
          <w:rStyle w:val="Hyperlink"/>
          <w:lang w:val="en-US"/>
        </w:rPr>
        <w:fldChar w:fldCharType="end"/>
      </w:r>
      <w:r w:rsidRPr="00484D14">
        <w:t xml:space="preserve">. </w:t>
      </w:r>
    </w:p>
    <w:p w14:paraId="6331551D" w14:textId="77777777" w:rsidR="00DB4D92" w:rsidRPr="006D7D6A" w:rsidRDefault="00DB4D92" w:rsidP="00595359">
      <w:pPr>
        <w:pStyle w:val="FootnoteText"/>
        <w:rPr>
          <w:szCs w:val="18"/>
        </w:rPr>
      </w:pPr>
      <w:r>
        <w:t xml:space="preserve">См. также презентацию Совету GNSO, с которой можно ознакомиться по адресу: </w:t>
      </w:r>
      <w:r w:rsidR="00F668B1">
        <w:fldChar w:fldCharType="begin"/>
      </w:r>
      <w:r w:rsidR="00F668B1">
        <w:instrText>HYPERLINK "https://gnso.icann.org/sites/default/files/policy/2021/presentation/presentation-gnso-rpm-final-report-11Jan21-en.pdf"</w:instrText>
      </w:r>
      <w:r w:rsidR="00F668B1">
        <w:fldChar w:fldCharType="separate"/>
      </w:r>
      <w:r w:rsidRPr="006D7D6A">
        <w:rPr>
          <w:rStyle w:val="Hyperlink"/>
        </w:rPr>
        <w:t>https://gnso.icann.org/sites/default/files/policy/2021/presentation/presentation-gnso-rpm-final-report-11Jan21-en.pdf</w:t>
      </w:r>
      <w:r w:rsidR="00F668B1">
        <w:rPr>
          <w:rStyle w:val="Hyperlink"/>
        </w:rPr>
        <w:fldChar w:fldCharType="end"/>
      </w:r>
      <w:r>
        <w:t>.</w:t>
      </w:r>
    </w:p>
  </w:footnote>
  <w:footnote w:id="40">
    <w:p w14:paraId="769B3191" w14:textId="77777777" w:rsidR="00DB4D92" w:rsidRPr="006D7D6A" w:rsidRDefault="00DB4D92" w:rsidP="00595359">
      <w:pPr>
        <w:pStyle w:val="FootnoteText"/>
        <w:rPr>
          <w:szCs w:val="18"/>
        </w:rPr>
      </w:pPr>
      <w:r w:rsidRPr="006D7D6A">
        <w:rPr>
          <w:rStyle w:val="FootnoteReference"/>
          <w:szCs w:val="18"/>
        </w:rPr>
        <w:footnoteRef/>
      </w:r>
      <w:r>
        <w:t xml:space="preserve"> </w:t>
      </w:r>
      <w:r>
        <w:tab/>
        <w:t>Рекомендации можно разделить на следующие четыре категории: сохранить существующее положение (9), внести изменения в практику работы (10), разработать новые политики и процедуры (15) и организовать сбор комплексных данных (1).</w:t>
      </w:r>
    </w:p>
  </w:footnote>
  <w:footnote w:id="41">
    <w:p w14:paraId="3AC9876E" w14:textId="4999038D" w:rsidR="00DB4D92" w:rsidRPr="006D7D6A" w:rsidRDefault="00DB4D92" w:rsidP="00595359">
      <w:pPr>
        <w:pStyle w:val="FootnoteText"/>
        <w:rPr>
          <w:szCs w:val="18"/>
        </w:rPr>
      </w:pPr>
      <w:r w:rsidRPr="006D7D6A">
        <w:rPr>
          <w:rStyle w:val="FootnoteReference"/>
          <w:szCs w:val="18"/>
        </w:rPr>
        <w:footnoteRef/>
      </w:r>
      <w:r w:rsidRPr="006D7D6A">
        <w:t xml:space="preserve"> </w:t>
      </w:r>
      <w:r w:rsidRPr="006D7D6A">
        <w:tab/>
      </w:r>
      <w:r w:rsidRPr="006D7D6A">
        <w:t xml:space="preserve">См. </w:t>
      </w:r>
      <w:r w:rsidR="00F668B1">
        <w:fldChar w:fldCharType="begin"/>
      </w:r>
      <w:r w:rsidR="009D6C01">
        <w:instrText>HYPERLINK "https://www.icann.org/en/board-activities-and-meetings/materials/approved-board-resolutions-special-meeting-of-the-icann-board-16-01-2022-en" \l "2.a."</w:instrText>
      </w:r>
      <w:r w:rsidR="00F668B1">
        <w:fldChar w:fldCharType="separate"/>
      </w:r>
      <w:r w:rsidRPr="006D7D6A">
        <w:rPr>
          <w:rStyle w:val="Hyperlink"/>
        </w:rPr>
        <w:t>https://www.icann.org/resources/board-material/resolutions-2022-01-16-en#2.a</w:t>
      </w:r>
      <w:r w:rsidR="00F668B1">
        <w:rPr>
          <w:rStyle w:val="Hyperlink"/>
        </w:rPr>
        <w:fldChar w:fldCharType="end"/>
      </w:r>
      <w:r w:rsidRPr="006D7D6A">
        <w:t>.</w:t>
      </w:r>
    </w:p>
  </w:footnote>
  <w:footnote w:id="42">
    <w:p w14:paraId="605D5542" w14:textId="1CBA928F" w:rsidR="00DB4D92" w:rsidRPr="006D7D6A" w:rsidRDefault="00DB4D92" w:rsidP="00595359">
      <w:pPr>
        <w:pStyle w:val="FootnoteText"/>
        <w:rPr>
          <w:szCs w:val="18"/>
        </w:rPr>
      </w:pPr>
      <w:r w:rsidRPr="006D7D6A">
        <w:rPr>
          <w:rStyle w:val="FootnoteReference"/>
          <w:szCs w:val="18"/>
        </w:rPr>
        <w:footnoteRef/>
      </w:r>
      <w:r w:rsidRPr="009E2883">
        <w:rPr>
          <w:lang w:val="en-US"/>
        </w:rPr>
        <w:t xml:space="preserve"> </w:t>
      </w:r>
      <w:r w:rsidRPr="009E2883">
        <w:rPr>
          <w:lang w:val="en-US"/>
        </w:rPr>
        <w:tab/>
      </w:r>
      <w:r>
        <w:t>См</w:t>
      </w:r>
      <w:hyperlink r:id="rId11" w:history="1">
        <w:r w:rsidRPr="00290EED">
          <w:rPr>
            <w:rStyle w:val="Hyperlink"/>
            <w:lang w:val="en-US"/>
          </w:rPr>
          <w:t>. gnso.icann.org/en/issues/new-gtlds/rpm-final-issue-11jan16-en.pdf</w:t>
        </w:r>
      </w:hyperlink>
      <w:r w:rsidRPr="009E2883">
        <w:rPr>
          <w:lang w:val="en-US"/>
        </w:rPr>
        <w:t>.</w:t>
      </w:r>
      <w:r w:rsidRPr="006D7D6A">
        <w:rPr>
          <w:lang w:val="en-US"/>
        </w:rPr>
        <w:t xml:space="preserve"> </w:t>
      </w:r>
      <w:r w:rsidRPr="006D7D6A">
        <w:t xml:space="preserve">См. также коммюнике </w:t>
      </w:r>
      <w:r>
        <w:t xml:space="preserve">74-го заседания Правительственного </w:t>
      </w:r>
      <w:r w:rsidRPr="00893A9D">
        <w:t>консульта</w:t>
      </w:r>
      <w:r>
        <w:t xml:space="preserve">тивного комитета (ПКК) </w:t>
      </w:r>
      <w:r w:rsidRPr="006D7D6A">
        <w:t>IC</w:t>
      </w:r>
      <w:r>
        <w:t>ANN, в котором говорится</w:t>
      </w:r>
      <w:r w:rsidRPr="006D7D6A">
        <w:t xml:space="preserve">: «По окончании периода </w:t>
      </w:r>
      <w:r>
        <w:t>публичного обсуждения "</w:t>
      </w:r>
      <w:r w:rsidRPr="00F245C5">
        <w:t>Доклад</w:t>
      </w:r>
      <w:r>
        <w:t xml:space="preserve">а </w:t>
      </w:r>
      <w:r w:rsidRPr="006D7D6A">
        <w:t xml:space="preserve">о </w:t>
      </w:r>
      <w:r>
        <w:t xml:space="preserve">ходе разработки </w:t>
      </w:r>
      <w:r w:rsidRPr="006D7D6A">
        <w:t>политики</w:t>
      </w:r>
      <w:r>
        <w:t xml:space="preserve">", касающегося </w:t>
      </w:r>
      <w:r w:rsidRPr="006D7D6A">
        <w:t>ЕПУС</w:t>
      </w:r>
      <w:r>
        <w:t>,</w:t>
      </w:r>
      <w:r w:rsidRPr="006D7D6A">
        <w:t xml:space="preserve"> </w:t>
      </w:r>
      <w:r>
        <w:t>ПКК</w:t>
      </w:r>
      <w:r w:rsidRPr="006D7D6A">
        <w:t xml:space="preserve"> получил </w:t>
      </w:r>
      <w:r>
        <w:t xml:space="preserve">мнения </w:t>
      </w:r>
      <w:r w:rsidRPr="006D7D6A">
        <w:t xml:space="preserve">некоторых </w:t>
      </w:r>
      <w:r>
        <w:t xml:space="preserve">своих </w:t>
      </w:r>
      <w:r w:rsidRPr="006D7D6A">
        <w:t xml:space="preserve">членов </w:t>
      </w:r>
      <w:r>
        <w:t>по вопросу о возможности распространения действия</w:t>
      </w:r>
      <w:r w:rsidRPr="006D7D6A">
        <w:t xml:space="preserve"> ЕП</w:t>
      </w:r>
      <w:r>
        <w:t xml:space="preserve">УС на географические указания. </w:t>
      </w:r>
      <w:r w:rsidRPr="00F57614">
        <w:t>В связи с этим</w:t>
      </w:r>
      <w:r>
        <w:t xml:space="preserve"> ПКК</w:t>
      </w:r>
      <w:r w:rsidRPr="006D7D6A">
        <w:t xml:space="preserve"> намерен рассмотреть этот вопрос в рамках подготовки к </w:t>
      </w:r>
      <w:r>
        <w:t xml:space="preserve">его </w:t>
      </w:r>
      <w:r w:rsidRPr="006D7D6A">
        <w:t>обсуждению на следующих заседаниях».</w:t>
      </w:r>
    </w:p>
  </w:footnote>
  <w:footnote w:id="43">
    <w:p w14:paraId="779CBE0F" w14:textId="77777777" w:rsidR="00DB4D92" w:rsidRPr="006D7D6A" w:rsidRDefault="00DB4D92" w:rsidP="00595359">
      <w:pPr>
        <w:pStyle w:val="FootnoteText"/>
        <w:rPr>
          <w:szCs w:val="18"/>
        </w:rPr>
      </w:pPr>
      <w:r w:rsidRPr="006D7D6A">
        <w:rPr>
          <w:rStyle w:val="FootnoteReference"/>
          <w:szCs w:val="18"/>
        </w:rPr>
        <w:footnoteRef/>
      </w:r>
      <w:r>
        <w:t xml:space="preserve"> </w:t>
      </w:r>
      <w:r>
        <w:tab/>
        <w:t xml:space="preserve">См., </w:t>
      </w:r>
      <w:r w:rsidRPr="0080357C">
        <w:t xml:space="preserve">в частности, </w:t>
      </w:r>
      <w:r w:rsidRPr="006D7D6A">
        <w:t xml:space="preserve">коммюнике </w:t>
      </w:r>
      <w:r>
        <w:t xml:space="preserve">74-го заседания ПКК </w:t>
      </w:r>
      <w:r w:rsidRPr="006D7D6A">
        <w:t>IC</w:t>
      </w:r>
      <w:r>
        <w:t>ANN, которое гласит:</w:t>
      </w:r>
      <w:r w:rsidRPr="006D7D6A">
        <w:t xml:space="preserve"> «</w:t>
      </w:r>
      <w:r>
        <w:t xml:space="preserve">ПКК </w:t>
      </w:r>
      <w:r w:rsidRPr="006D7D6A">
        <w:t xml:space="preserve">получил обновленную информацию о </w:t>
      </w:r>
      <w:r>
        <w:t xml:space="preserve">ходе </w:t>
      </w:r>
      <w:r w:rsidRPr="006D7D6A">
        <w:t>запланированного пересмот</w:t>
      </w:r>
      <w:r>
        <w:t xml:space="preserve">ра ЕПУС, и, в частности, принимает к сведению </w:t>
      </w:r>
      <w:r w:rsidRPr="006D7D6A">
        <w:t xml:space="preserve">ссылку на раздел 13.1 Устава ICANN, в </w:t>
      </w:r>
      <w:r>
        <w:t>котором</w:t>
      </w:r>
      <w:r w:rsidRPr="006D7D6A">
        <w:t xml:space="preserve"> </w:t>
      </w:r>
      <w:r>
        <w:t xml:space="preserve">Совету </w:t>
      </w:r>
      <w:r w:rsidRPr="006D7D6A">
        <w:t xml:space="preserve">и учредительным органам </w:t>
      </w:r>
      <w:r>
        <w:t>предлагается и даже рекомендуется запрашивать рекомендации соответствующих</w:t>
      </w:r>
      <w:r w:rsidRPr="006D7D6A">
        <w:t xml:space="preserve"> </w:t>
      </w:r>
      <w:r>
        <w:t xml:space="preserve">публичных организаций, имеющих реальный опыт и знания </w:t>
      </w:r>
      <w:r w:rsidRPr="006D7D6A">
        <w:t xml:space="preserve">вне </w:t>
      </w:r>
      <w:r>
        <w:t xml:space="preserve">сферы ведения </w:t>
      </w:r>
      <w:r w:rsidRPr="006D7D6A">
        <w:t xml:space="preserve">ICANN (в частности, Всемирной организации интеллектуальной собственности </w:t>
      </w:r>
      <w:r>
        <w:t xml:space="preserve">(ВОИС) </w:t>
      </w:r>
      <w:r w:rsidRPr="006D7D6A">
        <w:t xml:space="preserve">как </w:t>
      </w:r>
      <w:r>
        <w:t xml:space="preserve">разработчика </w:t>
      </w:r>
      <w:r w:rsidRPr="006D7D6A">
        <w:t>и</w:t>
      </w:r>
      <w:r>
        <w:t xml:space="preserve"> распорядителя </w:t>
      </w:r>
      <w:r w:rsidRPr="006D7D6A">
        <w:t xml:space="preserve">ЕПУС), для </w:t>
      </w:r>
      <w:r>
        <w:t xml:space="preserve">направления </w:t>
      </w:r>
      <w:r w:rsidRPr="006D7D6A">
        <w:t xml:space="preserve">процесса разработки политики, и надеется </w:t>
      </w:r>
      <w:r w:rsidRPr="00E84DB2">
        <w:t>дополнительн</w:t>
      </w:r>
      <w:r>
        <w:t>о изучить возможности, связанные с этим положением,</w:t>
      </w:r>
      <w:r w:rsidRPr="006D7D6A">
        <w:t xml:space="preserve"> до любого пересмотра ЕПУС».</w:t>
      </w:r>
    </w:p>
  </w:footnote>
  <w:footnote w:id="44">
    <w:p w14:paraId="533433AB" w14:textId="77777777" w:rsidR="00DB4D92" w:rsidRPr="006D7D6A" w:rsidRDefault="00DB4D92" w:rsidP="00595359">
      <w:pPr>
        <w:pStyle w:val="FootnoteText"/>
        <w:rPr>
          <w:szCs w:val="18"/>
        </w:rPr>
      </w:pPr>
      <w:r w:rsidRPr="006D7D6A">
        <w:rPr>
          <w:rStyle w:val="FootnoteReference"/>
          <w:szCs w:val="18"/>
        </w:rPr>
        <w:footnoteRef/>
      </w:r>
      <w:r>
        <w:t xml:space="preserve"> </w:t>
      </w:r>
      <w:r>
        <w:tab/>
        <w:t>Регламент (ЕС) 2016/679 Европейского парламента и Совета от 27 апреля 2016 года о защите физических лиц в отношении обработки личных данных и о свободном движении таких данных, а также об отмене Директивы 95/46/EC (Общий регламент по защите данных).</w:t>
      </w:r>
    </w:p>
  </w:footnote>
  <w:footnote w:id="45">
    <w:p w14:paraId="14AF0875" w14:textId="7594390E" w:rsidR="00DB4D92" w:rsidRPr="006D7D6A" w:rsidRDefault="00DB4D92" w:rsidP="00595359">
      <w:pPr>
        <w:pStyle w:val="FootnoteText"/>
        <w:rPr>
          <w:szCs w:val="18"/>
        </w:rPr>
      </w:pPr>
      <w:r w:rsidRPr="006D7D6A">
        <w:rPr>
          <w:rStyle w:val="FootnoteReference"/>
          <w:szCs w:val="18"/>
        </w:rPr>
        <w:footnoteRef/>
      </w:r>
      <w:r>
        <w:t xml:space="preserve"> </w:t>
      </w:r>
      <w:r>
        <w:tab/>
        <w:t xml:space="preserve">См. </w:t>
      </w:r>
      <w:hyperlink r:id="rId12" w:history="1">
        <w:r w:rsidR="00C63B87" w:rsidRPr="00247725">
          <w:rPr>
            <w:rStyle w:val="Hyperlink"/>
          </w:rPr>
          <w:t>https://www.icann.org/resources/pages/gtld-registration-data-specs-en</w:t>
        </w:r>
      </w:hyperlink>
      <w:r>
        <w:t xml:space="preserve">, приложение F. См. </w:t>
      </w:r>
      <w:r>
        <w:t xml:space="preserve">также </w:t>
      </w:r>
      <w:r w:rsidR="00F668B1">
        <w:fldChar w:fldCharType="begin"/>
      </w:r>
      <w:r w:rsidR="00F668B1">
        <w:instrText>HYPERLINK "https://www.icann.org/en/announcements/details/icann-board-reaffirms-temporary-specification-for-gtld-registration-data-29-1-2019-en"</w:instrText>
      </w:r>
      <w:r w:rsidR="00F668B1">
        <w:fldChar w:fldCharType="separate"/>
      </w:r>
      <w:r w:rsidRPr="006D7D6A">
        <w:rPr>
          <w:rStyle w:val="Hyperlink"/>
        </w:rPr>
        <w:t>https://www.icann.org/en/announcements/details/icann-board-reaffirms-temporary-specification-for-gtld-registration-data-29-1-2019-en</w:t>
      </w:r>
      <w:r w:rsidR="00F668B1">
        <w:rPr>
          <w:rStyle w:val="Hyperlink"/>
        </w:rPr>
        <w:fldChar w:fldCharType="end"/>
      </w:r>
      <w:r>
        <w:t>.</w:t>
      </w:r>
    </w:p>
  </w:footnote>
  <w:footnote w:id="46">
    <w:p w14:paraId="19E4221C" w14:textId="0E2A076D" w:rsidR="00DB4D92" w:rsidRPr="00423040" w:rsidRDefault="00DB4D92" w:rsidP="00595359">
      <w:pPr>
        <w:pStyle w:val="FootnoteText"/>
        <w:rPr>
          <w:szCs w:val="18"/>
        </w:rPr>
      </w:pPr>
      <w:r w:rsidRPr="006D7D6A">
        <w:rPr>
          <w:rStyle w:val="FootnoteReference"/>
          <w:szCs w:val="18"/>
        </w:rPr>
        <w:footnoteRef/>
      </w:r>
      <w:r>
        <w:t xml:space="preserve"> </w:t>
      </w:r>
      <w:r>
        <w:tab/>
        <w:t xml:space="preserve">В 2018 году Центр опубликовал неофициальное руководство ВОИС для сторон споров о практических </w:t>
      </w:r>
      <w:r w:rsidRPr="00FD0361">
        <w:t>последстви</w:t>
      </w:r>
      <w:r>
        <w:t xml:space="preserve">ях принятия </w:t>
      </w:r>
      <w:r w:rsidRPr="00D539C9">
        <w:t>регламент</w:t>
      </w:r>
      <w:r>
        <w:t xml:space="preserve">а GDPR для </w:t>
      </w:r>
      <w:r w:rsidRPr="00EA4BEE">
        <w:rPr>
          <w:snapToGrid w:val="0"/>
        </w:rPr>
        <w:t>применени</w:t>
      </w:r>
      <w:r>
        <w:t>я процедур ЕПУС.</w:t>
      </w:r>
      <w:r w:rsidRPr="006D7D6A">
        <w:t xml:space="preserve"> </w:t>
      </w:r>
      <w:r>
        <w:t>См</w:t>
      </w:r>
      <w:r w:rsidRPr="00F04F99">
        <w:t xml:space="preserve">. </w:t>
      </w:r>
      <w:hyperlink r:id="rId13" w:history="1">
        <w:r w:rsidRPr="006D7D6A">
          <w:rPr>
            <w:rStyle w:val="Hyperlink"/>
            <w:lang w:val="en-US"/>
          </w:rPr>
          <w:t>https</w:t>
        </w:r>
        <w:r w:rsidRPr="00423040">
          <w:rPr>
            <w:rStyle w:val="Hyperlink"/>
          </w:rPr>
          <w:t>://</w:t>
        </w:r>
        <w:r w:rsidRPr="006D7D6A">
          <w:rPr>
            <w:rStyle w:val="Hyperlink"/>
            <w:lang w:val="en-US"/>
          </w:rPr>
          <w:t>www</w:t>
        </w:r>
        <w:r w:rsidRPr="00423040">
          <w:rPr>
            <w:rStyle w:val="Hyperlink"/>
          </w:rPr>
          <w:t>.</w:t>
        </w:r>
        <w:proofErr w:type="spellStart"/>
        <w:r w:rsidRPr="006D7D6A">
          <w:rPr>
            <w:rStyle w:val="Hyperlink"/>
            <w:lang w:val="en-US"/>
          </w:rPr>
          <w:t>wipo</w:t>
        </w:r>
        <w:proofErr w:type="spellEnd"/>
        <w:r w:rsidRPr="00423040">
          <w:rPr>
            <w:rStyle w:val="Hyperlink"/>
          </w:rPr>
          <w:t>.</w:t>
        </w:r>
        <w:r w:rsidRPr="006D7D6A">
          <w:rPr>
            <w:rStyle w:val="Hyperlink"/>
            <w:lang w:val="en-US"/>
          </w:rPr>
          <w:t>int</w:t>
        </w:r>
        <w:r w:rsidRPr="00423040">
          <w:rPr>
            <w:rStyle w:val="Hyperlink"/>
          </w:rPr>
          <w:t>/</w:t>
        </w:r>
        <w:proofErr w:type="spellStart"/>
        <w:r w:rsidRPr="006D7D6A">
          <w:rPr>
            <w:rStyle w:val="Hyperlink"/>
            <w:lang w:val="en-US"/>
          </w:rPr>
          <w:t>amc</w:t>
        </w:r>
        <w:proofErr w:type="spellEnd"/>
        <w:r w:rsidRPr="00423040">
          <w:rPr>
            <w:rStyle w:val="Hyperlink"/>
          </w:rPr>
          <w:t>/</w:t>
        </w:r>
        <w:proofErr w:type="spellStart"/>
        <w:r w:rsidRPr="006D7D6A">
          <w:rPr>
            <w:rStyle w:val="Hyperlink"/>
            <w:lang w:val="en-US"/>
          </w:rPr>
          <w:t>en</w:t>
        </w:r>
        <w:proofErr w:type="spellEnd"/>
        <w:r w:rsidRPr="00423040">
          <w:rPr>
            <w:rStyle w:val="Hyperlink"/>
          </w:rPr>
          <w:t>/</w:t>
        </w:r>
        <w:r w:rsidRPr="006D7D6A">
          <w:rPr>
            <w:rStyle w:val="Hyperlink"/>
            <w:lang w:val="en-US"/>
          </w:rPr>
          <w:t>domains</w:t>
        </w:r>
        <w:r w:rsidRPr="00423040">
          <w:rPr>
            <w:rStyle w:val="Hyperlink"/>
          </w:rPr>
          <w:t>/</w:t>
        </w:r>
        <w:proofErr w:type="spellStart"/>
        <w:r w:rsidRPr="006D7D6A">
          <w:rPr>
            <w:rStyle w:val="Hyperlink"/>
            <w:lang w:val="en-US"/>
          </w:rPr>
          <w:t>gdpr</w:t>
        </w:r>
        <w:proofErr w:type="spellEnd"/>
      </w:hyperlink>
      <w:r w:rsidRPr="00423040">
        <w:t>.</w:t>
      </w:r>
    </w:p>
  </w:footnote>
  <w:footnote w:id="47">
    <w:p w14:paraId="5FFD4916" w14:textId="77777777" w:rsidR="00DB4D92" w:rsidRPr="00F04F99" w:rsidRDefault="00DB4D92" w:rsidP="00595359">
      <w:pPr>
        <w:pStyle w:val="FootnoteText"/>
        <w:rPr>
          <w:szCs w:val="18"/>
        </w:rPr>
      </w:pPr>
      <w:r w:rsidRPr="006D7D6A">
        <w:rPr>
          <w:rStyle w:val="FootnoteReference"/>
          <w:szCs w:val="18"/>
        </w:rPr>
        <w:footnoteRef/>
      </w:r>
      <w:r w:rsidRPr="00423040">
        <w:t xml:space="preserve"> </w:t>
      </w:r>
      <w:r w:rsidRPr="00423040">
        <w:tab/>
      </w:r>
      <w:r>
        <w:t>См</w:t>
      </w:r>
      <w:r w:rsidRPr="00423040">
        <w:t xml:space="preserve">. </w:t>
      </w:r>
      <w:hyperlink r:id="rId14" w:history="1">
        <w:r w:rsidRPr="006D7D6A">
          <w:rPr>
            <w:rStyle w:val="Hyperlink"/>
            <w:lang w:val="en-US"/>
          </w:rPr>
          <w:t>https</w:t>
        </w:r>
        <w:r w:rsidRPr="00F04F99">
          <w:rPr>
            <w:rStyle w:val="Hyperlink"/>
          </w:rPr>
          <w:t>://</w:t>
        </w:r>
        <w:proofErr w:type="spellStart"/>
        <w:r w:rsidRPr="006D7D6A">
          <w:rPr>
            <w:rStyle w:val="Hyperlink"/>
            <w:lang w:val="en-US"/>
          </w:rPr>
          <w:t>gnso</w:t>
        </w:r>
        <w:proofErr w:type="spellEnd"/>
        <w:r w:rsidRPr="00F04F99">
          <w:rPr>
            <w:rStyle w:val="Hyperlink"/>
          </w:rPr>
          <w:t>.</w:t>
        </w:r>
        <w:proofErr w:type="spellStart"/>
        <w:r w:rsidRPr="006D7D6A">
          <w:rPr>
            <w:rStyle w:val="Hyperlink"/>
            <w:lang w:val="en-US"/>
          </w:rPr>
          <w:t>icann</w:t>
        </w:r>
        <w:proofErr w:type="spellEnd"/>
        <w:r w:rsidRPr="00F04F99">
          <w:rPr>
            <w:rStyle w:val="Hyperlink"/>
          </w:rPr>
          <w:t>.</w:t>
        </w:r>
        <w:r w:rsidRPr="006D7D6A">
          <w:rPr>
            <w:rStyle w:val="Hyperlink"/>
            <w:lang w:val="en-US"/>
          </w:rPr>
          <w:t>org</w:t>
        </w:r>
        <w:r w:rsidRPr="00F04F99">
          <w:rPr>
            <w:rStyle w:val="Hyperlink"/>
          </w:rPr>
          <w:t>/</w:t>
        </w:r>
        <w:proofErr w:type="spellStart"/>
        <w:r w:rsidRPr="006D7D6A">
          <w:rPr>
            <w:rStyle w:val="Hyperlink"/>
            <w:lang w:val="en-US"/>
          </w:rPr>
          <w:t>en</w:t>
        </w:r>
        <w:proofErr w:type="spellEnd"/>
        <w:r w:rsidRPr="00F04F99">
          <w:rPr>
            <w:rStyle w:val="Hyperlink"/>
          </w:rPr>
          <w:t>/</w:t>
        </w:r>
        <w:r w:rsidRPr="006D7D6A">
          <w:rPr>
            <w:rStyle w:val="Hyperlink"/>
            <w:lang w:val="en-US"/>
          </w:rPr>
          <w:t>group</w:t>
        </w:r>
        <w:r w:rsidRPr="00F04F99">
          <w:rPr>
            <w:rStyle w:val="Hyperlink"/>
          </w:rPr>
          <w:t>-</w:t>
        </w:r>
        <w:r w:rsidRPr="006D7D6A">
          <w:rPr>
            <w:rStyle w:val="Hyperlink"/>
            <w:lang w:val="en-US"/>
          </w:rPr>
          <w:t>activities</w:t>
        </w:r>
        <w:r w:rsidRPr="00F04F99">
          <w:rPr>
            <w:rStyle w:val="Hyperlink"/>
          </w:rPr>
          <w:t>/</w:t>
        </w:r>
        <w:r w:rsidRPr="006D7D6A">
          <w:rPr>
            <w:rStyle w:val="Hyperlink"/>
            <w:lang w:val="en-US"/>
          </w:rPr>
          <w:t>active</w:t>
        </w:r>
        <w:r w:rsidRPr="00F04F99">
          <w:rPr>
            <w:rStyle w:val="Hyperlink"/>
          </w:rPr>
          <w:t>/</w:t>
        </w:r>
        <w:proofErr w:type="spellStart"/>
        <w:r w:rsidRPr="006D7D6A">
          <w:rPr>
            <w:rStyle w:val="Hyperlink"/>
            <w:lang w:val="en-US"/>
          </w:rPr>
          <w:t>gtld</w:t>
        </w:r>
        <w:proofErr w:type="spellEnd"/>
        <w:r w:rsidRPr="00F04F99">
          <w:rPr>
            <w:rStyle w:val="Hyperlink"/>
          </w:rPr>
          <w:t>-</w:t>
        </w:r>
        <w:r w:rsidRPr="006D7D6A">
          <w:rPr>
            <w:rStyle w:val="Hyperlink"/>
            <w:lang w:val="en-US"/>
          </w:rPr>
          <w:t>registration</w:t>
        </w:r>
        <w:r w:rsidRPr="00F04F99">
          <w:rPr>
            <w:rStyle w:val="Hyperlink"/>
          </w:rPr>
          <w:t>-</w:t>
        </w:r>
        <w:r w:rsidRPr="006D7D6A">
          <w:rPr>
            <w:rStyle w:val="Hyperlink"/>
            <w:lang w:val="en-US"/>
          </w:rPr>
          <w:t>data</w:t>
        </w:r>
        <w:r w:rsidRPr="00F04F99">
          <w:rPr>
            <w:rStyle w:val="Hyperlink"/>
          </w:rPr>
          <w:t>-</w:t>
        </w:r>
        <w:proofErr w:type="spellStart"/>
        <w:r w:rsidRPr="006D7D6A">
          <w:rPr>
            <w:rStyle w:val="Hyperlink"/>
            <w:lang w:val="en-US"/>
          </w:rPr>
          <w:t>epdp</w:t>
        </w:r>
        <w:proofErr w:type="spellEnd"/>
      </w:hyperlink>
      <w:r w:rsidRPr="00F04F99">
        <w:t>.</w:t>
      </w:r>
    </w:p>
  </w:footnote>
  <w:footnote w:id="48">
    <w:p w14:paraId="12E9C4AF" w14:textId="77777777" w:rsidR="00DB4D92" w:rsidRPr="00F04F99" w:rsidRDefault="00DB4D92" w:rsidP="00595359">
      <w:pPr>
        <w:pStyle w:val="FootnoteText"/>
        <w:rPr>
          <w:szCs w:val="18"/>
        </w:rPr>
      </w:pPr>
      <w:r w:rsidRPr="006D7D6A">
        <w:rPr>
          <w:rStyle w:val="FootnoteReference"/>
          <w:szCs w:val="18"/>
        </w:rPr>
        <w:footnoteRef/>
      </w:r>
      <w:r w:rsidRPr="00423040">
        <w:t xml:space="preserve"> </w:t>
      </w:r>
      <w:r w:rsidRPr="00423040">
        <w:tab/>
      </w:r>
      <w:r>
        <w:t>См</w:t>
      </w:r>
      <w:r w:rsidRPr="00423040">
        <w:t xml:space="preserve">. </w:t>
      </w:r>
      <w:hyperlink r:id="rId15" w:history="1">
        <w:r w:rsidRPr="006D7D6A">
          <w:rPr>
            <w:rStyle w:val="Hyperlink"/>
            <w:lang w:val="en-US"/>
          </w:rPr>
          <w:t>https</w:t>
        </w:r>
        <w:r w:rsidRPr="00F04F99">
          <w:rPr>
            <w:rStyle w:val="Hyperlink"/>
          </w:rPr>
          <w:t>://</w:t>
        </w:r>
        <w:proofErr w:type="spellStart"/>
        <w:r w:rsidRPr="006D7D6A">
          <w:rPr>
            <w:rStyle w:val="Hyperlink"/>
            <w:lang w:val="en-US"/>
          </w:rPr>
          <w:t>gnso</w:t>
        </w:r>
        <w:proofErr w:type="spellEnd"/>
        <w:r w:rsidRPr="00F04F99">
          <w:rPr>
            <w:rStyle w:val="Hyperlink"/>
          </w:rPr>
          <w:t>.</w:t>
        </w:r>
        <w:proofErr w:type="spellStart"/>
        <w:r w:rsidRPr="006D7D6A">
          <w:rPr>
            <w:rStyle w:val="Hyperlink"/>
            <w:lang w:val="en-US"/>
          </w:rPr>
          <w:t>icann</w:t>
        </w:r>
        <w:proofErr w:type="spellEnd"/>
        <w:r w:rsidRPr="00F04F99">
          <w:rPr>
            <w:rStyle w:val="Hyperlink"/>
          </w:rPr>
          <w:t>.</w:t>
        </w:r>
        <w:r w:rsidRPr="006D7D6A">
          <w:rPr>
            <w:rStyle w:val="Hyperlink"/>
            <w:lang w:val="en-US"/>
          </w:rPr>
          <w:t>org</w:t>
        </w:r>
        <w:r w:rsidRPr="00F04F99">
          <w:rPr>
            <w:rStyle w:val="Hyperlink"/>
          </w:rPr>
          <w:t>/</w:t>
        </w:r>
        <w:proofErr w:type="spellStart"/>
        <w:r w:rsidRPr="006D7D6A">
          <w:rPr>
            <w:rStyle w:val="Hyperlink"/>
            <w:lang w:val="en-US"/>
          </w:rPr>
          <w:t>en</w:t>
        </w:r>
        <w:proofErr w:type="spellEnd"/>
        <w:r w:rsidRPr="00F04F99">
          <w:rPr>
            <w:rStyle w:val="Hyperlink"/>
          </w:rPr>
          <w:t>/</w:t>
        </w:r>
        <w:r w:rsidRPr="006D7D6A">
          <w:rPr>
            <w:rStyle w:val="Hyperlink"/>
            <w:lang w:val="en-US"/>
          </w:rPr>
          <w:t>group</w:t>
        </w:r>
        <w:r w:rsidRPr="00F04F99">
          <w:rPr>
            <w:rStyle w:val="Hyperlink"/>
          </w:rPr>
          <w:t>-</w:t>
        </w:r>
        <w:r w:rsidRPr="006D7D6A">
          <w:rPr>
            <w:rStyle w:val="Hyperlink"/>
            <w:lang w:val="en-US"/>
          </w:rPr>
          <w:t>activities</w:t>
        </w:r>
        <w:r w:rsidRPr="00F04F99">
          <w:rPr>
            <w:rStyle w:val="Hyperlink"/>
          </w:rPr>
          <w:t>/</w:t>
        </w:r>
        <w:r w:rsidRPr="006D7D6A">
          <w:rPr>
            <w:rStyle w:val="Hyperlink"/>
            <w:lang w:val="en-US"/>
          </w:rPr>
          <w:t>active</w:t>
        </w:r>
        <w:r w:rsidRPr="00F04F99">
          <w:rPr>
            <w:rStyle w:val="Hyperlink"/>
          </w:rPr>
          <w:t>/</w:t>
        </w:r>
        <w:proofErr w:type="spellStart"/>
        <w:r w:rsidRPr="006D7D6A">
          <w:rPr>
            <w:rStyle w:val="Hyperlink"/>
            <w:lang w:val="en-US"/>
          </w:rPr>
          <w:t>gtld</w:t>
        </w:r>
        <w:proofErr w:type="spellEnd"/>
        <w:r w:rsidRPr="00F04F99">
          <w:rPr>
            <w:rStyle w:val="Hyperlink"/>
          </w:rPr>
          <w:t>-</w:t>
        </w:r>
        <w:r w:rsidRPr="006D7D6A">
          <w:rPr>
            <w:rStyle w:val="Hyperlink"/>
            <w:lang w:val="en-US"/>
          </w:rPr>
          <w:t>registration</w:t>
        </w:r>
        <w:r w:rsidRPr="00F04F99">
          <w:rPr>
            <w:rStyle w:val="Hyperlink"/>
          </w:rPr>
          <w:t>-</w:t>
        </w:r>
        <w:r w:rsidRPr="006D7D6A">
          <w:rPr>
            <w:rStyle w:val="Hyperlink"/>
            <w:lang w:val="en-US"/>
          </w:rPr>
          <w:t>data</w:t>
        </w:r>
        <w:r w:rsidRPr="00F04F99">
          <w:rPr>
            <w:rStyle w:val="Hyperlink"/>
          </w:rPr>
          <w:t>-</w:t>
        </w:r>
        <w:proofErr w:type="spellStart"/>
        <w:r w:rsidRPr="006D7D6A">
          <w:rPr>
            <w:rStyle w:val="Hyperlink"/>
            <w:lang w:val="en-US"/>
          </w:rPr>
          <w:t>epdp</w:t>
        </w:r>
        <w:proofErr w:type="spellEnd"/>
        <w:r w:rsidRPr="00F04F99">
          <w:rPr>
            <w:rStyle w:val="Hyperlink"/>
          </w:rPr>
          <w:t>-</w:t>
        </w:r>
        <w:r w:rsidRPr="006D7D6A">
          <w:rPr>
            <w:rStyle w:val="Hyperlink"/>
            <w:lang w:val="en-US"/>
          </w:rPr>
          <w:t>phase</w:t>
        </w:r>
        <w:r w:rsidRPr="00F04F99">
          <w:rPr>
            <w:rStyle w:val="Hyperlink"/>
          </w:rPr>
          <w:t>-2</w:t>
        </w:r>
      </w:hyperlink>
      <w:r w:rsidRPr="00F04F99">
        <w:t>.</w:t>
      </w:r>
    </w:p>
  </w:footnote>
  <w:footnote w:id="49">
    <w:p w14:paraId="2D2B326F" w14:textId="7C9A1B86" w:rsidR="00DB4D92" w:rsidRPr="006D7D6A" w:rsidRDefault="00DB4D92" w:rsidP="00595359">
      <w:pPr>
        <w:pStyle w:val="FootnoteText"/>
        <w:rPr>
          <w:szCs w:val="18"/>
        </w:rPr>
      </w:pPr>
      <w:r w:rsidRPr="006D7D6A">
        <w:rPr>
          <w:rStyle w:val="FootnoteReference"/>
          <w:szCs w:val="18"/>
        </w:rPr>
        <w:footnoteRef/>
      </w:r>
      <w:r w:rsidRPr="00423040">
        <w:t xml:space="preserve"> </w:t>
      </w:r>
      <w:r w:rsidRPr="00423040">
        <w:tab/>
      </w:r>
      <w:r>
        <w:t>См</w:t>
      </w:r>
      <w:r w:rsidRPr="00423040">
        <w:t xml:space="preserve">. </w:t>
      </w:r>
      <w:hyperlink r:id="rId16" w:history="1">
        <w:r w:rsidRPr="006D7D6A">
          <w:rPr>
            <w:rStyle w:val="Hyperlink"/>
            <w:lang w:val="en-US"/>
          </w:rPr>
          <w:t>https</w:t>
        </w:r>
        <w:r w:rsidRPr="00F04F99">
          <w:rPr>
            <w:rStyle w:val="Hyperlink"/>
          </w:rPr>
          <w:t>://</w:t>
        </w:r>
        <w:r w:rsidRPr="006D7D6A">
          <w:rPr>
            <w:rStyle w:val="Hyperlink"/>
            <w:lang w:val="en-US"/>
          </w:rPr>
          <w:t>gnso</w:t>
        </w:r>
        <w:r w:rsidRPr="00F04F99">
          <w:rPr>
            <w:rStyle w:val="Hyperlink"/>
          </w:rPr>
          <w:t>.</w:t>
        </w:r>
        <w:r w:rsidRPr="006D7D6A">
          <w:rPr>
            <w:rStyle w:val="Hyperlink"/>
            <w:lang w:val="en-US"/>
          </w:rPr>
          <w:t>icann</w:t>
        </w:r>
        <w:r w:rsidRPr="00F04F99">
          <w:rPr>
            <w:rStyle w:val="Hyperlink"/>
          </w:rPr>
          <w:t>.</w:t>
        </w:r>
        <w:r w:rsidRPr="006D7D6A">
          <w:rPr>
            <w:rStyle w:val="Hyperlink"/>
            <w:lang w:val="en-US"/>
          </w:rPr>
          <w:t>org</w:t>
        </w:r>
        <w:r w:rsidRPr="00F04F99">
          <w:rPr>
            <w:rStyle w:val="Hyperlink"/>
          </w:rPr>
          <w:t>/</w:t>
        </w:r>
        <w:r w:rsidRPr="006D7D6A">
          <w:rPr>
            <w:rStyle w:val="Hyperlink"/>
            <w:lang w:val="en-US"/>
          </w:rPr>
          <w:t>sites</w:t>
        </w:r>
        <w:r w:rsidRPr="00F04F99">
          <w:rPr>
            <w:rStyle w:val="Hyperlink"/>
          </w:rPr>
          <w:t>/</w:t>
        </w:r>
        <w:r w:rsidRPr="006D7D6A">
          <w:rPr>
            <w:rStyle w:val="Hyperlink"/>
            <w:lang w:val="en-US"/>
          </w:rPr>
          <w:t>default</w:t>
        </w:r>
        <w:r w:rsidRPr="00F04F99">
          <w:rPr>
            <w:rStyle w:val="Hyperlink"/>
          </w:rPr>
          <w:t>/</w:t>
        </w:r>
        <w:r w:rsidRPr="006D7D6A">
          <w:rPr>
            <w:rStyle w:val="Hyperlink"/>
            <w:lang w:val="en-US"/>
          </w:rPr>
          <w:t>files</w:t>
        </w:r>
        <w:r w:rsidRPr="00F04F99">
          <w:rPr>
            <w:rStyle w:val="Hyperlink"/>
          </w:rPr>
          <w:t>/</w:t>
        </w:r>
        <w:r w:rsidRPr="006D7D6A">
          <w:rPr>
            <w:rStyle w:val="Hyperlink"/>
            <w:lang w:val="en-US"/>
          </w:rPr>
          <w:t>file</w:t>
        </w:r>
        <w:r w:rsidRPr="00F04F99">
          <w:rPr>
            <w:rStyle w:val="Hyperlink"/>
          </w:rPr>
          <w:t>/</w:t>
        </w:r>
        <w:r w:rsidRPr="006D7D6A">
          <w:rPr>
            <w:rStyle w:val="Hyperlink"/>
            <w:lang w:val="en-US"/>
          </w:rPr>
          <w:t>field</w:t>
        </w:r>
        <w:r w:rsidRPr="00F04F99">
          <w:rPr>
            <w:rStyle w:val="Hyperlink"/>
          </w:rPr>
          <w:t>-</w:t>
        </w:r>
        <w:r w:rsidRPr="006D7D6A">
          <w:rPr>
            <w:rStyle w:val="Hyperlink"/>
            <w:lang w:val="en-US"/>
          </w:rPr>
          <w:t>file</w:t>
        </w:r>
        <w:r w:rsidRPr="00F04F99">
          <w:rPr>
            <w:rStyle w:val="Hyperlink"/>
          </w:rPr>
          <w:t>-</w:t>
        </w:r>
        <w:r w:rsidRPr="006D7D6A">
          <w:rPr>
            <w:rStyle w:val="Hyperlink"/>
            <w:lang w:val="en-US"/>
          </w:rPr>
          <w:t>attach</w:t>
        </w:r>
        <w:r w:rsidRPr="00F04F99">
          <w:rPr>
            <w:rStyle w:val="Hyperlink"/>
          </w:rPr>
          <w:t>/</w:t>
        </w:r>
        <w:r w:rsidRPr="006D7D6A">
          <w:rPr>
            <w:rStyle w:val="Hyperlink"/>
            <w:lang w:val="en-US"/>
          </w:rPr>
          <w:t>policy</w:t>
        </w:r>
        <w:r w:rsidRPr="00F04F99">
          <w:rPr>
            <w:rStyle w:val="Hyperlink"/>
          </w:rPr>
          <w:t>-</w:t>
        </w:r>
        <w:r w:rsidRPr="006D7D6A">
          <w:rPr>
            <w:rStyle w:val="Hyperlink"/>
            <w:lang w:val="en-US"/>
          </w:rPr>
          <w:t>briefing</w:t>
        </w:r>
        <w:r w:rsidRPr="00F04F99">
          <w:rPr>
            <w:rStyle w:val="Hyperlink"/>
          </w:rPr>
          <w:t>-</w:t>
        </w:r>
        <w:r w:rsidRPr="006D7D6A">
          <w:rPr>
            <w:rStyle w:val="Hyperlink"/>
            <w:lang w:val="en-US"/>
          </w:rPr>
          <w:t>icann</w:t>
        </w:r>
        <w:r w:rsidRPr="00F04F99">
          <w:rPr>
            <w:rStyle w:val="Hyperlink"/>
          </w:rPr>
          <w:t>70-03</w:t>
        </w:r>
        <w:r w:rsidRPr="006D7D6A">
          <w:rPr>
            <w:rStyle w:val="Hyperlink"/>
            <w:lang w:val="en-US"/>
          </w:rPr>
          <w:t>mar</w:t>
        </w:r>
        <w:r w:rsidRPr="00F04F99">
          <w:rPr>
            <w:rStyle w:val="Hyperlink"/>
          </w:rPr>
          <w:t>21-</w:t>
        </w:r>
        <w:r w:rsidRPr="006D7D6A">
          <w:rPr>
            <w:rStyle w:val="Hyperlink"/>
            <w:lang w:val="en-US"/>
          </w:rPr>
          <w:t>en</w:t>
        </w:r>
        <w:r w:rsidRPr="00F04F99">
          <w:rPr>
            <w:rStyle w:val="Hyperlink"/>
          </w:rPr>
          <w:t>.</w:t>
        </w:r>
        <w:r w:rsidRPr="006D7D6A">
          <w:rPr>
            <w:rStyle w:val="Hyperlink"/>
            <w:lang w:val="en-US"/>
          </w:rPr>
          <w:t>pdf</w:t>
        </w:r>
      </w:hyperlink>
      <w:r w:rsidRPr="00F04F99">
        <w:t xml:space="preserve">.  </w:t>
      </w:r>
      <w:r>
        <w:t>См. также Заявление меньшинства Правительственного консультативного комитета</w:t>
      </w:r>
      <w:r w:rsidR="00420596">
        <w:t xml:space="preserve"> (ПКК)</w:t>
      </w:r>
      <w:r>
        <w:t xml:space="preserve"> относительно заключительного доклада, подготовленного по итогам </w:t>
      </w:r>
      <w:r w:rsidR="003D6F9A">
        <w:t>э</w:t>
      </w:r>
      <w:r>
        <w:t xml:space="preserve">тапа </w:t>
      </w:r>
      <w:r>
        <w:rPr>
          <w:lang w:val="en-US"/>
        </w:rPr>
        <w:t>II</w:t>
      </w:r>
      <w:r w:rsidRPr="001A76E1">
        <w:t xml:space="preserve"> </w:t>
      </w:r>
      <w:r>
        <w:t xml:space="preserve">EPDP по регистрационным данным рДВУ, по адресу: </w:t>
      </w:r>
      <w:hyperlink r:id="rId17" w:history="1">
        <w:r w:rsidRPr="006D7D6A">
          <w:rPr>
            <w:rStyle w:val="Hyperlink"/>
          </w:rPr>
          <w:t>https://mm.icann.org/pipermail/gnso-epdp-team/attachments/20200824/aeeab8dd/gac-minority-statement-epdp-phase2-24aug20-0001.pdf</w:t>
        </w:r>
      </w:hyperlink>
      <w:r>
        <w:t>.</w:t>
      </w:r>
    </w:p>
  </w:footnote>
  <w:footnote w:id="50">
    <w:p w14:paraId="6D3AA363" w14:textId="77777777" w:rsidR="00DB4D92" w:rsidRPr="006D7D6A" w:rsidRDefault="00DB4D92" w:rsidP="00595359">
      <w:pPr>
        <w:pStyle w:val="FootnoteText"/>
        <w:rPr>
          <w:szCs w:val="18"/>
        </w:rPr>
      </w:pPr>
      <w:r w:rsidRPr="006D7D6A">
        <w:rPr>
          <w:rStyle w:val="FootnoteReference"/>
          <w:szCs w:val="18"/>
        </w:rPr>
        <w:footnoteRef/>
      </w:r>
      <w:r>
        <w:tab/>
        <w:t xml:space="preserve">См. </w:t>
      </w:r>
      <w:hyperlink r:id="rId18" w:history="1">
        <w:r w:rsidRPr="006D7D6A">
          <w:rPr>
            <w:rStyle w:val="Hyperlink"/>
          </w:rPr>
          <w:t>https://www.icann.org/en/system/files/files/framework-elements-unified-access-model-for-discussion-18jun18-en.pdf</w:t>
        </w:r>
      </w:hyperlink>
      <w:r>
        <w:t>.</w:t>
      </w:r>
      <w:r w:rsidRPr="006D7D6A">
        <w:t xml:space="preserve"> </w:t>
      </w:r>
    </w:p>
    <w:p w14:paraId="7D9B0FB6" w14:textId="331EE4A4" w:rsidR="00DB4D92" w:rsidRPr="00991916" w:rsidRDefault="00DB4D92" w:rsidP="00595359">
      <w:pPr>
        <w:pStyle w:val="FootnoteText"/>
        <w:rPr>
          <w:szCs w:val="18"/>
        </w:rPr>
      </w:pPr>
      <w:r>
        <w:t>См</w:t>
      </w:r>
      <w:r w:rsidRPr="00991916">
        <w:t xml:space="preserve">. </w:t>
      </w:r>
      <w:r>
        <w:t>также</w:t>
      </w:r>
      <w:r w:rsidRPr="00991916">
        <w:t xml:space="preserve"> </w:t>
      </w:r>
      <w:hyperlink r:id="rId19" w:history="1">
        <w:r w:rsidR="00991916" w:rsidRPr="00551837">
          <w:rPr>
            <w:rStyle w:val="Hyperlink"/>
            <w:lang w:val="en-US"/>
          </w:rPr>
          <w:t>https</w:t>
        </w:r>
        <w:r w:rsidR="00991916" w:rsidRPr="00551837">
          <w:rPr>
            <w:rStyle w:val="Hyperlink"/>
          </w:rPr>
          <w:t>://</w:t>
        </w:r>
        <w:r w:rsidR="00991916" w:rsidRPr="00551837">
          <w:rPr>
            <w:rStyle w:val="Hyperlink"/>
            <w:lang w:val="en-US"/>
          </w:rPr>
          <w:t>www</w:t>
        </w:r>
        <w:r w:rsidR="00991916" w:rsidRPr="00551837">
          <w:rPr>
            <w:rStyle w:val="Hyperlink"/>
          </w:rPr>
          <w:t>.</w:t>
        </w:r>
        <w:proofErr w:type="spellStart"/>
        <w:r w:rsidR="00991916" w:rsidRPr="00551837">
          <w:rPr>
            <w:rStyle w:val="Hyperlink"/>
            <w:lang w:val="en-US"/>
          </w:rPr>
          <w:t>ipconstituency</w:t>
        </w:r>
        <w:proofErr w:type="spellEnd"/>
        <w:r w:rsidR="00991916" w:rsidRPr="00551837">
          <w:rPr>
            <w:rStyle w:val="Hyperlink"/>
          </w:rPr>
          <w:t>.</w:t>
        </w:r>
        <w:r w:rsidR="00991916" w:rsidRPr="00551837">
          <w:rPr>
            <w:rStyle w:val="Hyperlink"/>
            <w:lang w:val="en-US"/>
          </w:rPr>
          <w:t>org</w:t>
        </w:r>
        <w:r w:rsidR="00991916" w:rsidRPr="00551837">
          <w:rPr>
            <w:rStyle w:val="Hyperlink"/>
          </w:rPr>
          <w:t>/</w:t>
        </w:r>
        <w:r w:rsidR="00991916" w:rsidRPr="00551837">
          <w:rPr>
            <w:rStyle w:val="Hyperlink"/>
            <w:lang w:val="en-US"/>
          </w:rPr>
          <w:t>assets</w:t>
        </w:r>
        <w:r w:rsidR="00991916" w:rsidRPr="00551837">
          <w:rPr>
            <w:rStyle w:val="Hyperlink"/>
          </w:rPr>
          <w:t>/</w:t>
        </w:r>
        <w:r w:rsidR="00991916" w:rsidRPr="00551837">
          <w:rPr>
            <w:rStyle w:val="Hyperlink"/>
            <w:lang w:val="en-US"/>
          </w:rPr>
          <w:t>Outreach</w:t>
        </w:r>
        <w:r w:rsidR="00991916" w:rsidRPr="00551837">
          <w:rPr>
            <w:rStyle w:val="Hyperlink"/>
          </w:rPr>
          <w:t>/</w:t>
        </w:r>
        <w:r w:rsidR="00991916" w:rsidRPr="00551837">
          <w:rPr>
            <w:rStyle w:val="Hyperlink"/>
            <w:lang w:val="en-US"/>
          </w:rPr>
          <w:t>DRAFT</w:t>
        </w:r>
        <w:r w:rsidR="00991916" w:rsidRPr="00551837">
          <w:rPr>
            <w:rStyle w:val="Hyperlink"/>
          </w:rPr>
          <w:t>%20-%20</w:t>
        </w:r>
        <w:r w:rsidR="00991916" w:rsidRPr="00551837">
          <w:rPr>
            <w:rStyle w:val="Hyperlink"/>
            <w:lang w:val="en-US"/>
          </w:rPr>
          <w:t>WHOIS</w:t>
        </w:r>
        <w:r w:rsidR="00991916" w:rsidRPr="00551837">
          <w:rPr>
            <w:rStyle w:val="Hyperlink"/>
          </w:rPr>
          <w:t>%20</w:t>
        </w:r>
        <w:r w:rsidR="00991916" w:rsidRPr="00551837">
          <w:rPr>
            <w:rStyle w:val="Hyperlink"/>
            <w:lang w:val="en-US"/>
          </w:rPr>
          <w:t>Accreditation</w:t>
        </w:r>
        <w:r w:rsidR="00991916" w:rsidRPr="00551837">
          <w:rPr>
            <w:rStyle w:val="Hyperlink"/>
          </w:rPr>
          <w:t>%20</w:t>
        </w:r>
        <w:r w:rsidR="00991916" w:rsidRPr="00551837">
          <w:rPr>
            <w:rStyle w:val="Hyperlink"/>
            <w:lang w:val="en-US"/>
          </w:rPr>
          <w:t>and</w:t>
        </w:r>
        <w:r w:rsidR="00991916" w:rsidRPr="00551837">
          <w:rPr>
            <w:rStyle w:val="Hyperlink"/>
          </w:rPr>
          <w:t>%20</w:t>
        </w:r>
        <w:r w:rsidR="00991916" w:rsidRPr="00551837">
          <w:rPr>
            <w:rStyle w:val="Hyperlink"/>
            <w:lang w:val="en-US"/>
          </w:rPr>
          <w:t>Access</w:t>
        </w:r>
        <w:r w:rsidR="00991916" w:rsidRPr="00551837">
          <w:rPr>
            <w:rStyle w:val="Hyperlink"/>
          </w:rPr>
          <w:t>%20</w:t>
        </w:r>
        <w:r w:rsidR="00991916" w:rsidRPr="00551837">
          <w:rPr>
            <w:rStyle w:val="Hyperlink"/>
            <w:lang w:val="en-US"/>
          </w:rPr>
          <w:t>Model</w:t>
        </w:r>
        <w:r w:rsidR="00991916" w:rsidRPr="00551837">
          <w:rPr>
            <w:rStyle w:val="Hyperlink"/>
          </w:rPr>
          <w:t>%20</w:t>
        </w:r>
        <w:r w:rsidR="00991916" w:rsidRPr="00551837">
          <w:rPr>
            <w:rStyle w:val="Hyperlink"/>
            <w:lang w:val="en-US"/>
          </w:rPr>
          <w:t>v</w:t>
        </w:r>
        <w:r w:rsidR="00991916" w:rsidRPr="00551837">
          <w:rPr>
            <w:rStyle w:val="Hyperlink"/>
          </w:rPr>
          <w:t>1.7.</w:t>
        </w:r>
        <w:r w:rsidR="00991916" w:rsidRPr="00551837">
          <w:rPr>
            <w:rStyle w:val="Hyperlink"/>
            <w:lang w:val="en-US"/>
          </w:rPr>
          <w:t>pdf</w:t>
        </w:r>
      </w:hyperlink>
      <w:r w:rsidRPr="00991916">
        <w:t>.</w:t>
      </w:r>
    </w:p>
  </w:footnote>
  <w:footnote w:id="51">
    <w:p w14:paraId="40B6B7F9" w14:textId="77777777" w:rsidR="00DB4D92" w:rsidRPr="006D7D6A" w:rsidRDefault="00DB4D92" w:rsidP="00595359">
      <w:pPr>
        <w:pStyle w:val="FootnoteText"/>
        <w:rPr>
          <w:szCs w:val="18"/>
        </w:rPr>
      </w:pPr>
      <w:r w:rsidRPr="006D7D6A">
        <w:rPr>
          <w:rStyle w:val="FootnoteReference"/>
          <w:szCs w:val="18"/>
        </w:rPr>
        <w:footnoteRef/>
      </w:r>
      <w:r w:rsidRPr="006D7D6A">
        <w:rPr>
          <w:rStyle w:val="FootnoteReference"/>
        </w:rPr>
        <w:t xml:space="preserve"> </w:t>
      </w:r>
      <w:r w:rsidRPr="006D7D6A">
        <w:tab/>
      </w:r>
      <w:r>
        <w:t xml:space="preserve">См. </w:t>
      </w:r>
      <w:hyperlink r:id="rId20" w:history="1">
        <w:r w:rsidRPr="006D7D6A">
          <w:rPr>
            <w:rStyle w:val="Hyperlink"/>
          </w:rPr>
          <w:t>https://archive.icann.org/en/topics/new-gtlds/gac-principles-regarding-new-gtlds-28mar07-en.pdf</w:t>
        </w:r>
      </w:hyperlink>
      <w:r>
        <w:t>.</w:t>
      </w:r>
    </w:p>
  </w:footnote>
  <w:footnote w:id="52">
    <w:p w14:paraId="3CBC92DD" w14:textId="2313CEF7" w:rsidR="00DB4D92" w:rsidRPr="006D7D6A" w:rsidRDefault="00DB4D92" w:rsidP="006D7D6A">
      <w:pPr>
        <w:pStyle w:val="FootnoteText"/>
        <w:shd w:val="clear" w:color="auto" w:fill="FFFFFF"/>
        <w:rPr>
          <w:color w:val="000000"/>
          <w:szCs w:val="18"/>
        </w:rPr>
      </w:pPr>
      <w:r w:rsidRPr="006D7D6A">
        <w:rPr>
          <w:rStyle w:val="FootnoteReference"/>
          <w:szCs w:val="18"/>
        </w:rPr>
        <w:footnoteRef/>
      </w:r>
      <w:r w:rsidRPr="00FA39F4">
        <w:t xml:space="preserve"> </w:t>
      </w:r>
      <w:r w:rsidRPr="00FA39F4">
        <w:tab/>
      </w:r>
      <w:r>
        <w:t>См</w:t>
      </w:r>
      <w:r w:rsidRPr="00FA39F4">
        <w:t xml:space="preserve">. </w:t>
      </w:r>
      <w:hyperlink r:id="rId21" w:history="1">
        <w:r w:rsidRPr="006D7D6A">
          <w:rPr>
            <w:rStyle w:val="Hyperlink"/>
            <w:lang w:val="en-US"/>
          </w:rPr>
          <w:t>https</w:t>
        </w:r>
        <w:r w:rsidRPr="00FA39F4">
          <w:rPr>
            <w:rStyle w:val="Hyperlink"/>
          </w:rPr>
          <w:t>://</w:t>
        </w:r>
        <w:r w:rsidRPr="006D7D6A">
          <w:rPr>
            <w:rStyle w:val="Hyperlink"/>
            <w:lang w:val="en-US"/>
          </w:rPr>
          <w:t>www</w:t>
        </w:r>
        <w:r w:rsidRPr="00FA39F4">
          <w:rPr>
            <w:rStyle w:val="Hyperlink"/>
          </w:rPr>
          <w:t>.</w:t>
        </w:r>
        <w:r w:rsidRPr="006D7D6A">
          <w:rPr>
            <w:rStyle w:val="Hyperlink"/>
            <w:lang w:val="en-US"/>
          </w:rPr>
          <w:t>icann</w:t>
        </w:r>
        <w:r w:rsidRPr="00FA39F4">
          <w:rPr>
            <w:rStyle w:val="Hyperlink"/>
          </w:rPr>
          <w:t>.</w:t>
        </w:r>
        <w:r w:rsidRPr="006D7D6A">
          <w:rPr>
            <w:rStyle w:val="Hyperlink"/>
            <w:lang w:val="en-US"/>
          </w:rPr>
          <w:t>org</w:t>
        </w:r>
        <w:r w:rsidRPr="00FA39F4">
          <w:rPr>
            <w:rStyle w:val="Hyperlink"/>
          </w:rPr>
          <w:t>/</w:t>
        </w:r>
        <w:r w:rsidRPr="006D7D6A">
          <w:rPr>
            <w:rStyle w:val="Hyperlink"/>
            <w:lang w:val="en-US"/>
          </w:rPr>
          <w:t>en</w:t>
        </w:r>
        <w:r w:rsidRPr="00FA39F4">
          <w:rPr>
            <w:rStyle w:val="Hyperlink"/>
          </w:rPr>
          <w:t>/</w:t>
        </w:r>
        <w:r w:rsidRPr="006D7D6A">
          <w:rPr>
            <w:rStyle w:val="Hyperlink"/>
            <w:lang w:val="en-US"/>
          </w:rPr>
          <w:t>system</w:t>
        </w:r>
        <w:r w:rsidRPr="00FA39F4">
          <w:rPr>
            <w:rStyle w:val="Hyperlink"/>
          </w:rPr>
          <w:t>/</w:t>
        </w:r>
        <w:r w:rsidRPr="006D7D6A">
          <w:rPr>
            <w:rStyle w:val="Hyperlink"/>
            <w:lang w:val="en-US"/>
          </w:rPr>
          <w:t>files</w:t>
        </w:r>
        <w:r w:rsidRPr="00FA39F4">
          <w:rPr>
            <w:rStyle w:val="Hyperlink"/>
          </w:rPr>
          <w:t>/</w:t>
        </w:r>
        <w:r w:rsidRPr="006D7D6A">
          <w:rPr>
            <w:rStyle w:val="Hyperlink"/>
            <w:lang w:val="en-US"/>
          </w:rPr>
          <w:t>correspondence</w:t>
        </w:r>
        <w:r w:rsidRPr="00FA39F4">
          <w:rPr>
            <w:rStyle w:val="Hyperlink"/>
          </w:rPr>
          <w:t>/</w:t>
        </w:r>
        <w:r w:rsidRPr="006D7D6A">
          <w:rPr>
            <w:rStyle w:val="Hyperlink"/>
            <w:lang w:val="en-US"/>
          </w:rPr>
          <w:t>gac</w:t>
        </w:r>
        <w:r w:rsidRPr="00FA39F4">
          <w:rPr>
            <w:rStyle w:val="Hyperlink"/>
          </w:rPr>
          <w:t>-</w:t>
        </w:r>
        <w:r w:rsidRPr="006D7D6A">
          <w:rPr>
            <w:rStyle w:val="Hyperlink"/>
            <w:lang w:val="en-US"/>
          </w:rPr>
          <w:t>to</w:t>
        </w:r>
        <w:r w:rsidRPr="00FA39F4">
          <w:rPr>
            <w:rStyle w:val="Hyperlink"/>
          </w:rPr>
          <w:t>-</w:t>
        </w:r>
        <w:r w:rsidRPr="006D7D6A">
          <w:rPr>
            <w:rStyle w:val="Hyperlink"/>
            <w:lang w:val="en-US"/>
          </w:rPr>
          <w:t>board</w:t>
        </w:r>
        <w:r w:rsidRPr="00FA39F4">
          <w:rPr>
            <w:rStyle w:val="Hyperlink"/>
          </w:rPr>
          <w:t>-27</w:t>
        </w:r>
        <w:r w:rsidRPr="006D7D6A">
          <w:rPr>
            <w:rStyle w:val="Hyperlink"/>
            <w:lang w:val="en-US"/>
          </w:rPr>
          <w:t>mar</w:t>
        </w:r>
        <w:r w:rsidRPr="00FA39F4">
          <w:rPr>
            <w:rStyle w:val="Hyperlink"/>
          </w:rPr>
          <w:t>14-</w:t>
        </w:r>
        <w:r w:rsidRPr="006D7D6A">
          <w:rPr>
            <w:rStyle w:val="Hyperlink"/>
            <w:lang w:val="en-US"/>
          </w:rPr>
          <w:t>en</w:t>
        </w:r>
        <w:r w:rsidRPr="00FA39F4">
          <w:rPr>
            <w:rStyle w:val="Hyperlink"/>
          </w:rPr>
          <w:t>.</w:t>
        </w:r>
        <w:r w:rsidRPr="006D7D6A">
          <w:rPr>
            <w:rStyle w:val="Hyperlink"/>
            <w:lang w:val="en-US"/>
          </w:rPr>
          <w:t>pdf</w:t>
        </w:r>
      </w:hyperlink>
      <w:r w:rsidRPr="00FA39F4">
        <w:t xml:space="preserve">, </w:t>
      </w:r>
      <w:r>
        <w:br/>
        <w:t>пункт</w:t>
      </w:r>
      <w:r w:rsidRPr="00FA39F4">
        <w:t xml:space="preserve"> </w:t>
      </w:r>
      <w:r w:rsidRPr="006D7D6A">
        <w:t xml:space="preserve">«4. </w:t>
      </w:r>
      <w:r>
        <w:t>Конкретные строки</w:t>
      </w:r>
      <w:r w:rsidRPr="006D7D6A">
        <w:t>». 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по вопросу о ряде дополнительных механизмов охраны, предлагаемых ПКК</w:t>
      </w:r>
      <w:r>
        <w:t>,</w:t>
      </w:r>
      <w:r w:rsidRPr="006D7D6A">
        <w:t xml:space="preserve"> в отношении ряда </w:t>
      </w:r>
      <w:r>
        <w:t xml:space="preserve">широких </w:t>
      </w:r>
      <w:r w:rsidRPr="006D7D6A">
        <w:t xml:space="preserve">категорий заявок на делегирование новых рДВУ — например, новых рДВУ, имена которых соответствуют </w:t>
      </w:r>
      <w:r>
        <w:t>названиям контролируемых видов</w:t>
      </w:r>
      <w:r w:rsidRPr="006D7D6A">
        <w:t xml:space="preserve"> деятельности или словарным терминам. </w:t>
      </w:r>
      <w:r>
        <w:t xml:space="preserve">См. </w:t>
      </w:r>
      <w:hyperlink r:id="rId22" w:history="1">
        <w:r w:rsidRPr="006D7D6A">
          <w:rPr>
            <w:rStyle w:val="Hyperlink"/>
          </w:rPr>
          <w:t>https://www.icann.org/en/system/files/correspondence/gac-to-board-11apr13-en.pdf</w:t>
        </w:r>
      </w:hyperlink>
      <w:r>
        <w:t>.</w:t>
      </w:r>
      <w:r w:rsidRPr="006D7D6A">
        <w:t xml:space="preserve">  Подгруппа ПКК по географическим наименованиям (подгруппа Рабочей группы ПКК по </w:t>
      </w:r>
      <w:r>
        <w:t xml:space="preserve">будущим </w:t>
      </w:r>
      <w:r w:rsidRPr="006D7D6A">
        <w:t>новым рДВУ) разработала проект документа</w:t>
      </w:r>
      <w:r>
        <w:t xml:space="preserve">, касающегося </w:t>
      </w:r>
      <w:r w:rsidRPr="006D7D6A">
        <w:t xml:space="preserve">будущих раундов </w:t>
      </w:r>
      <w:r>
        <w:t>делегирования новых</w:t>
      </w:r>
      <w:r w:rsidRPr="006D7D6A">
        <w:t xml:space="preserve"> рДВУ, в котором изложены некоторые аспекты публичной политики в отношении геог</w:t>
      </w:r>
      <w:r>
        <w:t>рафических наименований и который подлежит дальнейшему обсуждению</w:t>
      </w:r>
      <w:r w:rsidRPr="006D7D6A">
        <w:t xml:space="preserve"> в ICANN. </w:t>
      </w:r>
      <w:r>
        <w:t xml:space="preserve">См. </w:t>
      </w:r>
      <w:r w:rsidR="00F668B1">
        <w:fldChar w:fldCharType="begin"/>
      </w:r>
      <w:r w:rsidR="00F668B1">
        <w:instrText>HYPERLINK "https://gac.icann.org/reports/public/report-geo-names-2014-08-29.pdf?version=1&amp;modificationDate=1411549504000&amp;api=v2"</w:instrText>
      </w:r>
      <w:r w:rsidR="00F668B1">
        <w:fldChar w:fldCharType="separate"/>
      </w:r>
      <w:r w:rsidR="00F668B1">
        <w:rPr>
          <w:rStyle w:val="Hyperlink"/>
        </w:rPr>
        <w:t>https://gac.icann.org/reports/public/report-geo-names-2014-08-29.pdf?version=1&amp;modificationDate=1411549504000&amp;api=v2</w:t>
      </w:r>
      <w:r w:rsidR="00F668B1">
        <w:rPr>
          <w:rStyle w:val="Hyperlink"/>
        </w:rPr>
        <w:fldChar w:fldCharType="end"/>
      </w:r>
      <w:r>
        <w:t>.</w:t>
      </w:r>
      <w:r w:rsidRPr="006D7D6A">
        <w:rPr>
          <w:color w:val="000000"/>
        </w:rPr>
        <w:t xml:space="preserve">  </w:t>
      </w:r>
      <w:r>
        <w:t xml:space="preserve">См. также </w:t>
      </w:r>
      <w:r w:rsidR="00B63FC3">
        <w:fldChar w:fldCharType="begin"/>
      </w:r>
      <w:r w:rsidR="00B63FC3">
        <w:instrText>HYPERLINK "https://www.icann.org/resources/board-material/resolutions-2019-05-15-en" \l "1.c."</w:instrText>
      </w:r>
      <w:r w:rsidR="00B63FC3">
        <w:fldChar w:fldCharType="separate"/>
      </w:r>
      <w:r w:rsidRPr="00B63FC3">
        <w:rPr>
          <w:rStyle w:val="Hyperlink"/>
        </w:rPr>
        <w:t>https://www.icann.org/resources/board-material/resolutions-2019-05-15-en#1.c.</w:t>
      </w:r>
      <w:r w:rsidR="00B63FC3">
        <w:fldChar w:fldCharType="end"/>
      </w:r>
    </w:p>
  </w:footnote>
  <w:footnote w:id="53">
    <w:p w14:paraId="295B0619" w14:textId="77777777" w:rsidR="00DB4D92" w:rsidRPr="00FA39F4" w:rsidRDefault="00DB4D92">
      <w:pPr>
        <w:pStyle w:val="FootnoteText"/>
      </w:pPr>
      <w:r>
        <w:rPr>
          <w:rStyle w:val="FootnoteReference"/>
        </w:rPr>
        <w:footnoteRef/>
      </w:r>
      <w:r>
        <w:tab/>
      </w:r>
      <w:r w:rsidRPr="00FA39F4">
        <w:t xml:space="preserve">В 2023 году Европейский парламент и Совет утвердили регламент «Охрана географических указаний (ГУ), используемых для обозначения изделий ремесел и промышленности, в том числе в DNS» </w:t>
      </w:r>
      <w:r>
        <w:t>(</w:t>
      </w:r>
      <w:r w:rsidRPr="00FA39F4">
        <w:t xml:space="preserve">см. </w:t>
      </w:r>
      <w:hyperlink r:id="rId23" w:history="1">
        <w:r w:rsidRPr="00FA39F4">
          <w:rPr>
            <w:rStyle w:val="Hyperlink"/>
          </w:rPr>
          <w:t>https://eur-lex.europa.eu/legal-content/EN/TXT/?uri=CELEX%3A32023R2411</w:t>
        </w:r>
      </w:hyperlink>
      <w:r>
        <w:t>)</w:t>
      </w:r>
      <w:r w:rsidRPr="00FA39F4">
        <w:t xml:space="preserve">. Европейский парламент </w:t>
      </w:r>
      <w:r w:rsidRPr="00FA39F4">
        <w:t xml:space="preserve">(см. </w:t>
      </w:r>
      <w:r w:rsidR="00F668B1">
        <w:fldChar w:fldCharType="begin"/>
      </w:r>
      <w:r w:rsidR="00F668B1">
        <w:instrText>HYPERLINK "https://www.europarl.europa.eu/doceo/document/TA-9-2024-0101_EN.html"</w:instrText>
      </w:r>
      <w:r w:rsidR="00F668B1">
        <w:fldChar w:fldCharType="separate"/>
      </w:r>
      <w:r w:rsidRPr="00FA39F4">
        <w:rPr>
          <w:rStyle w:val="Hyperlink"/>
          <w:lang w:val="en-US"/>
        </w:rPr>
        <w:t>https</w:t>
      </w:r>
      <w:r w:rsidRPr="00FA39F4">
        <w:rPr>
          <w:rStyle w:val="Hyperlink"/>
        </w:rPr>
        <w:t>://</w:t>
      </w:r>
      <w:r w:rsidRPr="00FA39F4">
        <w:rPr>
          <w:rStyle w:val="Hyperlink"/>
          <w:lang w:val="en-US"/>
        </w:rPr>
        <w:t>www</w:t>
      </w:r>
      <w:r w:rsidRPr="00FA39F4">
        <w:rPr>
          <w:rStyle w:val="Hyperlink"/>
        </w:rPr>
        <w:t>.</w:t>
      </w:r>
      <w:proofErr w:type="spellStart"/>
      <w:r w:rsidRPr="00FA39F4">
        <w:rPr>
          <w:rStyle w:val="Hyperlink"/>
          <w:lang w:val="en-US"/>
        </w:rPr>
        <w:t>europarl</w:t>
      </w:r>
      <w:proofErr w:type="spellEnd"/>
      <w:r w:rsidRPr="00FA39F4">
        <w:rPr>
          <w:rStyle w:val="Hyperlink"/>
        </w:rPr>
        <w:t>.</w:t>
      </w:r>
      <w:proofErr w:type="spellStart"/>
      <w:r w:rsidRPr="00FA39F4">
        <w:rPr>
          <w:rStyle w:val="Hyperlink"/>
          <w:lang w:val="en-US"/>
        </w:rPr>
        <w:t>europa</w:t>
      </w:r>
      <w:proofErr w:type="spellEnd"/>
      <w:r w:rsidRPr="00FA39F4">
        <w:rPr>
          <w:rStyle w:val="Hyperlink"/>
        </w:rPr>
        <w:t>.</w:t>
      </w:r>
      <w:proofErr w:type="spellStart"/>
      <w:r w:rsidRPr="00FA39F4">
        <w:rPr>
          <w:rStyle w:val="Hyperlink"/>
          <w:lang w:val="en-US"/>
        </w:rPr>
        <w:t>eu</w:t>
      </w:r>
      <w:proofErr w:type="spellEnd"/>
      <w:r w:rsidRPr="00FA39F4">
        <w:rPr>
          <w:rStyle w:val="Hyperlink"/>
        </w:rPr>
        <w:t>/</w:t>
      </w:r>
      <w:proofErr w:type="spellStart"/>
      <w:r w:rsidRPr="00FA39F4">
        <w:rPr>
          <w:rStyle w:val="Hyperlink"/>
          <w:lang w:val="en-US"/>
        </w:rPr>
        <w:t>doceo</w:t>
      </w:r>
      <w:proofErr w:type="spellEnd"/>
      <w:r w:rsidRPr="00FA39F4">
        <w:rPr>
          <w:rStyle w:val="Hyperlink"/>
        </w:rPr>
        <w:t>/</w:t>
      </w:r>
      <w:r w:rsidRPr="00FA39F4">
        <w:rPr>
          <w:rStyle w:val="Hyperlink"/>
          <w:lang w:val="en-US"/>
        </w:rPr>
        <w:t>document</w:t>
      </w:r>
      <w:r w:rsidRPr="00FA39F4">
        <w:rPr>
          <w:rStyle w:val="Hyperlink"/>
        </w:rPr>
        <w:t>/</w:t>
      </w:r>
      <w:r w:rsidRPr="00FA39F4">
        <w:rPr>
          <w:rStyle w:val="Hyperlink"/>
          <w:lang w:val="en-US"/>
        </w:rPr>
        <w:t>TA</w:t>
      </w:r>
      <w:r w:rsidRPr="00FA39F4">
        <w:rPr>
          <w:rStyle w:val="Hyperlink"/>
        </w:rPr>
        <w:t>-9-2024-0101_</w:t>
      </w:r>
      <w:r w:rsidRPr="00FA39F4">
        <w:rPr>
          <w:rStyle w:val="Hyperlink"/>
          <w:lang w:val="en-US"/>
        </w:rPr>
        <w:t>EN</w:t>
      </w:r>
      <w:r w:rsidRPr="00FA39F4">
        <w:rPr>
          <w:rStyle w:val="Hyperlink"/>
        </w:rPr>
        <w:t>.</w:t>
      </w:r>
      <w:r w:rsidRPr="00FA39F4">
        <w:rPr>
          <w:rStyle w:val="Hyperlink"/>
          <w:lang w:val="en-US"/>
        </w:rPr>
        <w:t>html</w:t>
      </w:r>
      <w:r w:rsidR="00F668B1">
        <w:rPr>
          <w:rStyle w:val="Hyperlink"/>
          <w:lang w:val="en-US"/>
        </w:rPr>
        <w:fldChar w:fldCharType="end"/>
      </w:r>
      <w:r w:rsidRPr="00FA39F4">
        <w:t xml:space="preserve">) и Совет ЕС утвердили регламент, касающийся вин, крепких спиртных напитков и сельскохозяйственной </w:t>
      </w:r>
      <w:r w:rsidRPr="00FA39F4">
        <w:rPr>
          <w:rFonts w:eastAsia="Arial Unicode MS"/>
        </w:rPr>
        <w:t>продук</w:t>
      </w:r>
      <w:r w:rsidRPr="00FA39F4">
        <w:t xml:space="preserve">ции, содержащий некоторые положения в отношении доменных имен. Хотя ряд европейских нДВУ уже учитывают </w:t>
      </w:r>
      <w:r w:rsidRPr="00AB7D5E">
        <w:t>проблем</w:t>
      </w:r>
      <w:r>
        <w:t xml:space="preserve">у </w:t>
      </w:r>
      <w:r w:rsidRPr="00FA39F4">
        <w:t>ГУ в своих системах АУС, утвержденный</w:t>
      </w:r>
      <w:r>
        <w:t xml:space="preserve"> </w:t>
      </w:r>
      <w:r w:rsidRPr="00D539C9">
        <w:t>регламент</w:t>
      </w:r>
      <w:r>
        <w:t xml:space="preserve"> </w:t>
      </w:r>
      <w:r w:rsidRPr="00FA39F4">
        <w:t xml:space="preserve">повлияет на </w:t>
      </w:r>
      <w:r>
        <w:t xml:space="preserve">политику </w:t>
      </w:r>
      <w:r w:rsidRPr="00FA39F4">
        <w:t xml:space="preserve">ряда </w:t>
      </w:r>
      <w:r>
        <w:t xml:space="preserve">других </w:t>
      </w:r>
      <w:r w:rsidRPr="00FA39F4">
        <w:t>европейских нДВУ</w:t>
      </w:r>
      <w:r>
        <w:t>, которую необходимо будет пересмотреть</w:t>
      </w:r>
      <w:r w:rsidRPr="00FA39F4">
        <w:t>.</w:t>
      </w:r>
    </w:p>
  </w:footnote>
  <w:footnote w:id="54">
    <w:p w14:paraId="2405B072" w14:textId="4D9719A6" w:rsidR="00DB4D92" w:rsidRPr="006D7D6A" w:rsidRDefault="00DB4D92" w:rsidP="00595359">
      <w:pPr>
        <w:pStyle w:val="FootnoteText"/>
        <w:rPr>
          <w:szCs w:val="18"/>
        </w:rPr>
      </w:pPr>
      <w:r w:rsidRPr="006D7D6A">
        <w:rPr>
          <w:rStyle w:val="FootnoteReference"/>
          <w:szCs w:val="18"/>
        </w:rPr>
        <w:footnoteRef/>
      </w:r>
      <w:r>
        <w:t xml:space="preserve"> </w:t>
      </w:r>
      <w:r>
        <w:tab/>
        <w:t>В своей совокупности эти меры являются частью планов ICANN по так называемой «минимизации рисков возможного смешения</w:t>
      </w:r>
      <w:r>
        <w:rPr>
          <w:sz w:val="16"/>
        </w:rPr>
        <w:t>»</w:t>
      </w:r>
      <w:r>
        <w:t>.</w:t>
      </w:r>
      <w:r w:rsidRPr="006D7D6A">
        <w:t xml:space="preserve"> </w:t>
      </w:r>
      <w:r>
        <w:t xml:space="preserve">См., например, </w:t>
      </w:r>
      <w:hyperlink r:id="rId24" w:history="1">
        <w:r w:rsidRPr="006D7D6A">
          <w:rPr>
            <w:rStyle w:val="Hyperlink"/>
          </w:rPr>
          <w:t>https://www.icann.org/en/system/files/files/two-character-ltr-ltr-authorization-release-13dec16-en.</w:t>
        </w:r>
        <w:bookmarkStart w:id="10" w:name="a"/>
        <w:bookmarkEnd w:id="10"/>
        <w:r w:rsidRPr="006D7D6A">
          <w:rPr>
            <w:rStyle w:val="Hyperlink"/>
          </w:rPr>
          <w:t>pdf</w:t>
        </w:r>
      </w:hyperlink>
      <w:r>
        <w:t>.</w:t>
      </w:r>
    </w:p>
  </w:footnote>
  <w:footnote w:id="55">
    <w:p w14:paraId="094EC435" w14:textId="3EB7B05B" w:rsidR="00DB4D92" w:rsidRPr="006D7D6A" w:rsidRDefault="00DB4D92" w:rsidP="00595359">
      <w:pPr>
        <w:pStyle w:val="FootnoteText"/>
        <w:rPr>
          <w:b/>
          <w:szCs w:val="18"/>
        </w:rPr>
      </w:pPr>
      <w:r w:rsidRPr="006D7D6A">
        <w:rPr>
          <w:rStyle w:val="FootnoteReference"/>
          <w:szCs w:val="18"/>
        </w:rPr>
        <w:footnoteRef/>
      </w:r>
      <w:r w:rsidRPr="006D7D6A">
        <w:rPr>
          <w:rStyle w:val="FootnoteReference"/>
        </w:rPr>
        <w:t xml:space="preserve"> </w:t>
      </w:r>
      <w:r w:rsidRPr="006D7D6A">
        <w:tab/>
        <w:t xml:space="preserve">См., например, документы </w:t>
      </w:r>
      <w:hyperlink r:id="rId25" w:history="1">
        <w:r w:rsidRPr="006D7D6A">
          <w:rPr>
            <w:rStyle w:val="Hyperlink"/>
          </w:rPr>
          <w:t>SCT/37/4</w:t>
        </w:r>
      </w:hyperlink>
      <w:r w:rsidRPr="006D7D6A">
        <w:t xml:space="preserve">, </w:t>
      </w:r>
      <w:hyperlink r:id="rId26" w:history="1">
        <w:r w:rsidRPr="006D7D6A">
          <w:rPr>
            <w:rStyle w:val="Hyperlink"/>
          </w:rPr>
          <w:t>SCT</w:t>
        </w:r>
        <w:r w:rsidR="00153414" w:rsidRPr="004D4957">
          <w:rPr>
            <w:rStyle w:val="Hyperlink"/>
          </w:rPr>
          <w:t>/</w:t>
        </w:r>
        <w:r w:rsidRPr="006D7D6A">
          <w:rPr>
            <w:rStyle w:val="Hyperlink"/>
          </w:rPr>
          <w:t>37/5</w:t>
        </w:r>
      </w:hyperlink>
      <w:r w:rsidRPr="006D7D6A">
        <w:t xml:space="preserve">, </w:t>
      </w:r>
      <w:hyperlink r:id="rId27" w:history="1">
        <w:r w:rsidRPr="006D7D6A">
          <w:rPr>
            <w:rStyle w:val="Hyperlink"/>
          </w:rPr>
          <w:t>SCT</w:t>
        </w:r>
        <w:r w:rsidR="00153414" w:rsidRPr="004D4957">
          <w:rPr>
            <w:rStyle w:val="Hyperlink"/>
          </w:rPr>
          <w:t>/</w:t>
        </w:r>
        <w:r w:rsidRPr="006D7D6A">
          <w:rPr>
            <w:rStyle w:val="Hyperlink"/>
          </w:rPr>
          <w:t>38/3</w:t>
        </w:r>
      </w:hyperlink>
      <w:r w:rsidRPr="006D7D6A">
        <w:t xml:space="preserve">, </w:t>
      </w:r>
      <w:hyperlink r:id="rId28" w:history="1">
        <w:r w:rsidRPr="006D7D6A">
          <w:rPr>
            <w:rStyle w:val="Hyperlink"/>
          </w:rPr>
          <w:t>SCT</w:t>
        </w:r>
        <w:r w:rsidR="00153414" w:rsidRPr="004D4957">
          <w:rPr>
            <w:rStyle w:val="Hyperlink"/>
          </w:rPr>
          <w:t>/</w:t>
        </w:r>
        <w:r w:rsidRPr="006D7D6A">
          <w:rPr>
            <w:rStyle w:val="Hyperlink"/>
          </w:rPr>
          <w:t>39/5</w:t>
        </w:r>
      </w:hyperlink>
      <w:r w:rsidRPr="006D7D6A">
        <w:t xml:space="preserve">, </w:t>
      </w:r>
      <w:hyperlink r:id="rId29" w:history="1">
        <w:r w:rsidRPr="006D7D6A">
          <w:rPr>
            <w:rStyle w:val="Hyperlink"/>
          </w:rPr>
          <w:t>SCT</w:t>
        </w:r>
        <w:r w:rsidR="00153414" w:rsidRPr="004D4957">
          <w:rPr>
            <w:rStyle w:val="Hyperlink"/>
          </w:rPr>
          <w:t>/</w:t>
        </w:r>
        <w:r w:rsidRPr="006D7D6A">
          <w:rPr>
            <w:rStyle w:val="Hyperlink"/>
          </w:rPr>
          <w:t>40/4</w:t>
        </w:r>
      </w:hyperlink>
      <w:r w:rsidRPr="006D7D6A">
        <w:t xml:space="preserve">, </w:t>
      </w:r>
      <w:hyperlink r:id="rId30" w:history="1">
        <w:r w:rsidRPr="006D7D6A">
          <w:rPr>
            <w:rStyle w:val="Hyperlink"/>
          </w:rPr>
          <w:t>SCT</w:t>
        </w:r>
        <w:r w:rsidR="00153414" w:rsidRPr="004D4957">
          <w:rPr>
            <w:rStyle w:val="Hyperlink"/>
          </w:rPr>
          <w:t>/</w:t>
        </w:r>
        <w:r w:rsidRPr="006D7D6A">
          <w:rPr>
            <w:rStyle w:val="Hyperlink"/>
          </w:rPr>
          <w:t>41/5</w:t>
        </w:r>
      </w:hyperlink>
      <w:r w:rsidRPr="006D7D6A">
        <w:t xml:space="preserve">, </w:t>
      </w:r>
      <w:hyperlink r:id="rId31" w:history="1">
        <w:r w:rsidRPr="006D7D6A">
          <w:rPr>
            <w:rStyle w:val="Hyperlink"/>
          </w:rPr>
          <w:t>SCT</w:t>
        </w:r>
        <w:r w:rsidR="00153414" w:rsidRPr="004D4957">
          <w:rPr>
            <w:rStyle w:val="Hyperlink"/>
          </w:rPr>
          <w:t>/</w:t>
        </w:r>
        <w:r w:rsidRPr="006D7D6A">
          <w:rPr>
            <w:rStyle w:val="Hyperlink"/>
          </w:rPr>
          <w:t>42/3</w:t>
        </w:r>
      </w:hyperlink>
      <w:r w:rsidRPr="006D7D6A">
        <w:t xml:space="preserve">, </w:t>
      </w:r>
      <w:hyperlink r:id="rId32" w:history="1">
        <w:r w:rsidRPr="006D7D6A">
          <w:rPr>
            <w:rStyle w:val="Hyperlink"/>
          </w:rPr>
          <w:t>SCT</w:t>
        </w:r>
        <w:r w:rsidR="00153414" w:rsidRPr="004D4957">
          <w:rPr>
            <w:rStyle w:val="Hyperlink"/>
          </w:rPr>
          <w:t>/</w:t>
        </w:r>
        <w:r w:rsidRPr="006D7D6A">
          <w:rPr>
            <w:rStyle w:val="Hyperlink"/>
          </w:rPr>
          <w:t>43/4</w:t>
        </w:r>
      </w:hyperlink>
      <w:r w:rsidRPr="006D7D6A">
        <w:t xml:space="preserve">, </w:t>
      </w:r>
      <w:hyperlink r:id="rId33" w:history="1">
        <w:r w:rsidRPr="006D7D6A">
          <w:rPr>
            <w:rStyle w:val="Hyperlink"/>
          </w:rPr>
          <w:t>SCT</w:t>
        </w:r>
        <w:r w:rsidR="00153414" w:rsidRPr="004D4957">
          <w:rPr>
            <w:rStyle w:val="Hyperlink"/>
          </w:rPr>
          <w:t>/</w:t>
        </w:r>
        <w:r w:rsidRPr="006D7D6A">
          <w:rPr>
            <w:rStyle w:val="Hyperlink"/>
          </w:rPr>
          <w:t>44/2</w:t>
        </w:r>
      </w:hyperlink>
      <w:r w:rsidRPr="006D7D6A">
        <w:t xml:space="preserve"> и </w:t>
      </w:r>
      <w:hyperlink r:id="rId34" w:history="1">
        <w:r w:rsidRPr="006D7D6A">
          <w:rPr>
            <w:rStyle w:val="Hyperlink"/>
          </w:rPr>
          <w:t>SCT</w:t>
        </w:r>
        <w:r w:rsidR="00153414" w:rsidRPr="004D4957">
          <w:rPr>
            <w:rStyle w:val="Hyperlink"/>
          </w:rPr>
          <w:t>/</w:t>
        </w:r>
        <w:r w:rsidRPr="006D7D6A">
          <w:rPr>
            <w:rStyle w:val="Hyperlink"/>
          </w:rPr>
          <w:t>45/3</w:t>
        </w:r>
      </w:hyperlink>
      <w:r w:rsidRPr="006D7D6A">
        <w:t xml:space="preserve">. </w:t>
      </w:r>
      <w:r>
        <w:t xml:space="preserve">См. также документ о мероприятии </w:t>
      </w:r>
      <w:hyperlink r:id="rId35" w:history="1">
        <w:r w:rsidRPr="006D7D6A">
          <w:rPr>
            <w:rStyle w:val="Hyperlink"/>
          </w:rPr>
          <w:t>SCT/IS/GEO/GE/17</w:t>
        </w:r>
      </w:hyperlink>
      <w:r>
        <w:t>.</w:t>
      </w:r>
      <w:r w:rsidRPr="006D7D6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4492" w14:textId="77777777" w:rsidR="00DB4D92" w:rsidRDefault="00DB4D92" w:rsidP="00477D6B">
    <w:pPr>
      <w:jc w:val="right"/>
    </w:pPr>
    <w:bookmarkStart w:id="11" w:name="Code2"/>
    <w:bookmarkEnd w:id="11"/>
    <w:r>
      <w:t>WO/GA/57/10</w:t>
    </w:r>
  </w:p>
  <w:p w14:paraId="26398030" w14:textId="77777777" w:rsidR="00DB4D92" w:rsidRDefault="00DB4D92" w:rsidP="00477D6B">
    <w:pPr>
      <w:jc w:val="right"/>
    </w:pPr>
    <w:r>
      <w:t xml:space="preserve">cтр. </w:t>
    </w:r>
    <w:r>
      <w:fldChar w:fldCharType="begin"/>
    </w:r>
    <w:r>
      <w:instrText xml:space="preserve"> PAGE  \* MERGEFORMAT </w:instrText>
    </w:r>
    <w:r>
      <w:fldChar w:fldCharType="separate"/>
    </w:r>
    <w:r w:rsidR="000F6570">
      <w:rPr>
        <w:noProof/>
      </w:rPr>
      <w:t>17</w:t>
    </w:r>
    <w:r>
      <w:fldChar w:fldCharType="end"/>
    </w:r>
  </w:p>
  <w:p w14:paraId="06F7818A" w14:textId="77777777" w:rsidR="00DB4D92" w:rsidRDefault="00DB4D92" w:rsidP="00477D6B">
    <w:pPr>
      <w:jc w:val="right"/>
    </w:pPr>
  </w:p>
  <w:p w14:paraId="60314547" w14:textId="77777777" w:rsidR="00DB4D92" w:rsidRDefault="00DB4D9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B5786D"/>
    <w:multiLevelType w:val="hybridMultilevel"/>
    <w:tmpl w:val="158629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1862"/>
    <w:multiLevelType w:val="hybridMultilevel"/>
    <w:tmpl w:val="61D6E5F6"/>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47F9"/>
    <w:multiLevelType w:val="hybridMultilevel"/>
    <w:tmpl w:val="353487DA"/>
    <w:lvl w:ilvl="0" w:tplc="0409000F">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390467"/>
    <w:multiLevelType w:val="hybridMultilevel"/>
    <w:tmpl w:val="723615C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B12FE"/>
    <w:multiLevelType w:val="hybridMultilevel"/>
    <w:tmpl w:val="D11493A6"/>
    <w:lvl w:ilvl="0" w:tplc="0CCA1A66">
      <w:start w:val="5"/>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10EEB"/>
    <w:multiLevelType w:val="hybridMultilevel"/>
    <w:tmpl w:val="194CFCD0"/>
    <w:lvl w:ilvl="0" w:tplc="0409000F">
      <w:start w:val="3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B46547"/>
    <w:multiLevelType w:val="hybridMultilevel"/>
    <w:tmpl w:val="C3B6C018"/>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13FEE"/>
    <w:multiLevelType w:val="hybridMultilevel"/>
    <w:tmpl w:val="9F2C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05D7F"/>
    <w:multiLevelType w:val="hybridMultilevel"/>
    <w:tmpl w:val="371CAEB8"/>
    <w:lvl w:ilvl="0" w:tplc="D6A636DA">
      <w:start w:val="11"/>
      <w:numFmt w:val="decimal"/>
      <w:lvlText w:val="%1."/>
      <w:lvlJc w:val="left"/>
      <w:pPr>
        <w:ind w:left="-207" w:hanging="360"/>
      </w:pPr>
      <w:rPr>
        <w:rFonts w:hint="default"/>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3" w15:restartNumberingAfterBreak="0">
    <w:nsid w:val="3B4B684D"/>
    <w:multiLevelType w:val="hybridMultilevel"/>
    <w:tmpl w:val="F37679AC"/>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703099"/>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A65F6"/>
    <w:multiLevelType w:val="hybridMultilevel"/>
    <w:tmpl w:val="2CF2BFE4"/>
    <w:lvl w:ilvl="0" w:tplc="0409001B">
      <w:start w:val="1"/>
      <w:numFmt w:val="lowerRoman"/>
      <w:lvlText w:val="%1."/>
      <w:lvlJc w:val="righ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5C586E"/>
    <w:multiLevelType w:val="hybridMultilevel"/>
    <w:tmpl w:val="D3A29912"/>
    <w:lvl w:ilvl="0" w:tplc="5F3CF8B4">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FD7D71"/>
    <w:multiLevelType w:val="hybridMultilevel"/>
    <w:tmpl w:val="21482CFA"/>
    <w:lvl w:ilvl="0" w:tplc="1474E7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21B8A"/>
    <w:multiLevelType w:val="hybridMultilevel"/>
    <w:tmpl w:val="9070AE5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1132187">
    <w:abstractNumId w:val="5"/>
  </w:num>
  <w:num w:numId="2" w16cid:durableId="881139928">
    <w:abstractNumId w:val="14"/>
  </w:num>
  <w:num w:numId="3" w16cid:durableId="1339843798">
    <w:abstractNumId w:val="0"/>
  </w:num>
  <w:num w:numId="4" w16cid:durableId="1306230533">
    <w:abstractNumId w:val="17"/>
  </w:num>
  <w:num w:numId="5" w16cid:durableId="771710492">
    <w:abstractNumId w:val="1"/>
  </w:num>
  <w:num w:numId="6" w16cid:durableId="480733015">
    <w:abstractNumId w:val="6"/>
  </w:num>
  <w:num w:numId="7" w16cid:durableId="1255437713">
    <w:abstractNumId w:val="8"/>
  </w:num>
  <w:num w:numId="8" w16cid:durableId="494342415">
    <w:abstractNumId w:val="15"/>
  </w:num>
  <w:num w:numId="9" w16cid:durableId="1495950893">
    <w:abstractNumId w:val="16"/>
  </w:num>
  <w:num w:numId="10" w16cid:durableId="1616252381">
    <w:abstractNumId w:val="11"/>
  </w:num>
  <w:num w:numId="11" w16cid:durableId="1699694980">
    <w:abstractNumId w:val="12"/>
  </w:num>
  <w:num w:numId="12" w16cid:durableId="1867404369">
    <w:abstractNumId w:val="4"/>
  </w:num>
  <w:num w:numId="13" w16cid:durableId="1259369978">
    <w:abstractNumId w:val="3"/>
  </w:num>
  <w:num w:numId="14" w16cid:durableId="60102769">
    <w:abstractNumId w:val="18"/>
  </w:num>
  <w:num w:numId="15" w16cid:durableId="1500265321">
    <w:abstractNumId w:val="9"/>
  </w:num>
  <w:num w:numId="16" w16cid:durableId="265159064">
    <w:abstractNumId w:val="10"/>
  </w:num>
  <w:num w:numId="17" w16cid:durableId="1634142041">
    <w:abstractNumId w:val="7"/>
  </w:num>
  <w:num w:numId="18" w16cid:durableId="2139490656">
    <w:abstractNumId w:val="13"/>
  </w:num>
  <w:num w:numId="19" w16cid:durableId="1918829370">
    <w:abstractNumId w:val="2"/>
  </w:num>
  <w:num w:numId="20" w16cid:durableId="1929531839">
    <w:abstractNumId w:val="19"/>
  </w:num>
  <w:num w:numId="21" w16cid:durableId="1301114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ru-RU" w:vendorID="64" w:dllVersion="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77"/>
    <w:rsid w:val="000163D1"/>
    <w:rsid w:val="0001647B"/>
    <w:rsid w:val="00017FDF"/>
    <w:rsid w:val="0002004A"/>
    <w:rsid w:val="0002111E"/>
    <w:rsid w:val="00023EFD"/>
    <w:rsid w:val="00033FCF"/>
    <w:rsid w:val="00036012"/>
    <w:rsid w:val="00040875"/>
    <w:rsid w:val="000417ED"/>
    <w:rsid w:val="00043CAA"/>
    <w:rsid w:val="000513BD"/>
    <w:rsid w:val="00051A7D"/>
    <w:rsid w:val="00061C9D"/>
    <w:rsid w:val="00064F58"/>
    <w:rsid w:val="00065C5D"/>
    <w:rsid w:val="00075432"/>
    <w:rsid w:val="000773CB"/>
    <w:rsid w:val="00077839"/>
    <w:rsid w:val="00077988"/>
    <w:rsid w:val="00077A70"/>
    <w:rsid w:val="000942FF"/>
    <w:rsid w:val="000968ED"/>
    <w:rsid w:val="000A0379"/>
    <w:rsid w:val="000A0921"/>
    <w:rsid w:val="000A096E"/>
    <w:rsid w:val="000A2D92"/>
    <w:rsid w:val="000A4B43"/>
    <w:rsid w:val="000B4189"/>
    <w:rsid w:val="000C482F"/>
    <w:rsid w:val="000C68D6"/>
    <w:rsid w:val="000C7740"/>
    <w:rsid w:val="000D2953"/>
    <w:rsid w:val="000D3353"/>
    <w:rsid w:val="000E10CC"/>
    <w:rsid w:val="000E48DA"/>
    <w:rsid w:val="000F5E56"/>
    <w:rsid w:val="000F6570"/>
    <w:rsid w:val="000F7D32"/>
    <w:rsid w:val="0010156E"/>
    <w:rsid w:val="001024FE"/>
    <w:rsid w:val="001042AE"/>
    <w:rsid w:val="00111810"/>
    <w:rsid w:val="00111D17"/>
    <w:rsid w:val="00115A38"/>
    <w:rsid w:val="0012304D"/>
    <w:rsid w:val="001240A6"/>
    <w:rsid w:val="001279FF"/>
    <w:rsid w:val="00131162"/>
    <w:rsid w:val="00131BFA"/>
    <w:rsid w:val="0013571F"/>
    <w:rsid w:val="001362EE"/>
    <w:rsid w:val="00142868"/>
    <w:rsid w:val="00151EFD"/>
    <w:rsid w:val="00151FAC"/>
    <w:rsid w:val="00153414"/>
    <w:rsid w:val="00157902"/>
    <w:rsid w:val="00157FE5"/>
    <w:rsid w:val="001832A6"/>
    <w:rsid w:val="00183E35"/>
    <w:rsid w:val="00184B4F"/>
    <w:rsid w:val="00186639"/>
    <w:rsid w:val="00186DFD"/>
    <w:rsid w:val="00186F09"/>
    <w:rsid w:val="00192263"/>
    <w:rsid w:val="00196471"/>
    <w:rsid w:val="001A76E1"/>
    <w:rsid w:val="001B1499"/>
    <w:rsid w:val="001C0C80"/>
    <w:rsid w:val="001C6808"/>
    <w:rsid w:val="001D2716"/>
    <w:rsid w:val="001D7FB9"/>
    <w:rsid w:val="001E0FAF"/>
    <w:rsid w:val="001F1F47"/>
    <w:rsid w:val="001F3101"/>
    <w:rsid w:val="001F6914"/>
    <w:rsid w:val="001F6F7F"/>
    <w:rsid w:val="002056AF"/>
    <w:rsid w:val="00205A7F"/>
    <w:rsid w:val="00205B6A"/>
    <w:rsid w:val="002118B6"/>
    <w:rsid w:val="00211DC8"/>
    <w:rsid w:val="002121FA"/>
    <w:rsid w:val="0023344D"/>
    <w:rsid w:val="0023415B"/>
    <w:rsid w:val="0024100F"/>
    <w:rsid w:val="0024107F"/>
    <w:rsid w:val="00245DA8"/>
    <w:rsid w:val="00256503"/>
    <w:rsid w:val="002634C4"/>
    <w:rsid w:val="00284BD5"/>
    <w:rsid w:val="00285CAB"/>
    <w:rsid w:val="00286CE7"/>
    <w:rsid w:val="002904BF"/>
    <w:rsid w:val="00290EED"/>
    <w:rsid w:val="002917B5"/>
    <w:rsid w:val="002928D3"/>
    <w:rsid w:val="002943EF"/>
    <w:rsid w:val="00294A10"/>
    <w:rsid w:val="0029722F"/>
    <w:rsid w:val="002A2041"/>
    <w:rsid w:val="002A53EC"/>
    <w:rsid w:val="002A5927"/>
    <w:rsid w:val="002B2F87"/>
    <w:rsid w:val="002C0202"/>
    <w:rsid w:val="002C0AEB"/>
    <w:rsid w:val="002D6207"/>
    <w:rsid w:val="002E0B12"/>
    <w:rsid w:val="002E284A"/>
    <w:rsid w:val="002E326E"/>
    <w:rsid w:val="002F052F"/>
    <w:rsid w:val="002F1FE6"/>
    <w:rsid w:val="002F4E68"/>
    <w:rsid w:val="00300FFC"/>
    <w:rsid w:val="00302D68"/>
    <w:rsid w:val="0030499F"/>
    <w:rsid w:val="00310A85"/>
    <w:rsid w:val="003112A1"/>
    <w:rsid w:val="00312B51"/>
    <w:rsid w:val="00312F7F"/>
    <w:rsid w:val="0031518D"/>
    <w:rsid w:val="003228B7"/>
    <w:rsid w:val="0033372C"/>
    <w:rsid w:val="00337372"/>
    <w:rsid w:val="0034445F"/>
    <w:rsid w:val="00346E3C"/>
    <w:rsid w:val="003508A3"/>
    <w:rsid w:val="00365196"/>
    <w:rsid w:val="003673CF"/>
    <w:rsid w:val="0037086A"/>
    <w:rsid w:val="00372284"/>
    <w:rsid w:val="00374F72"/>
    <w:rsid w:val="00376322"/>
    <w:rsid w:val="0038014D"/>
    <w:rsid w:val="00382CA9"/>
    <w:rsid w:val="003845C1"/>
    <w:rsid w:val="003906C6"/>
    <w:rsid w:val="00394BE5"/>
    <w:rsid w:val="00394E22"/>
    <w:rsid w:val="003A041E"/>
    <w:rsid w:val="003A3A88"/>
    <w:rsid w:val="003A5E43"/>
    <w:rsid w:val="003A6F89"/>
    <w:rsid w:val="003A7986"/>
    <w:rsid w:val="003B38C1"/>
    <w:rsid w:val="003B40F4"/>
    <w:rsid w:val="003B53EF"/>
    <w:rsid w:val="003B5F42"/>
    <w:rsid w:val="003C4279"/>
    <w:rsid w:val="003D0B07"/>
    <w:rsid w:val="003D1904"/>
    <w:rsid w:val="003D2FF4"/>
    <w:rsid w:val="003D4C34"/>
    <w:rsid w:val="003D6F9A"/>
    <w:rsid w:val="003E5718"/>
    <w:rsid w:val="003F0DCB"/>
    <w:rsid w:val="00402131"/>
    <w:rsid w:val="0041135B"/>
    <w:rsid w:val="00413F4E"/>
    <w:rsid w:val="00416524"/>
    <w:rsid w:val="00416BB4"/>
    <w:rsid w:val="00420596"/>
    <w:rsid w:val="004223AB"/>
    <w:rsid w:val="00423040"/>
    <w:rsid w:val="00423E3E"/>
    <w:rsid w:val="00427ACC"/>
    <w:rsid w:val="00427AF4"/>
    <w:rsid w:val="0043324A"/>
    <w:rsid w:val="004400E2"/>
    <w:rsid w:val="00442A60"/>
    <w:rsid w:val="00444EE1"/>
    <w:rsid w:val="004450D9"/>
    <w:rsid w:val="0044706D"/>
    <w:rsid w:val="004473B4"/>
    <w:rsid w:val="00461161"/>
    <w:rsid w:val="00461632"/>
    <w:rsid w:val="004647DA"/>
    <w:rsid w:val="00466D12"/>
    <w:rsid w:val="004671B4"/>
    <w:rsid w:val="004675D0"/>
    <w:rsid w:val="004675E1"/>
    <w:rsid w:val="00474062"/>
    <w:rsid w:val="00475200"/>
    <w:rsid w:val="00475BEA"/>
    <w:rsid w:val="00477D6B"/>
    <w:rsid w:val="00482E30"/>
    <w:rsid w:val="00484D14"/>
    <w:rsid w:val="00490028"/>
    <w:rsid w:val="00496063"/>
    <w:rsid w:val="004A5C56"/>
    <w:rsid w:val="004A64A0"/>
    <w:rsid w:val="004A655F"/>
    <w:rsid w:val="004A745C"/>
    <w:rsid w:val="004B4BD9"/>
    <w:rsid w:val="004B7021"/>
    <w:rsid w:val="004D2587"/>
    <w:rsid w:val="004D374D"/>
    <w:rsid w:val="004D39C4"/>
    <w:rsid w:val="004D47C2"/>
    <w:rsid w:val="004D4957"/>
    <w:rsid w:val="004E26F7"/>
    <w:rsid w:val="004E3CD5"/>
    <w:rsid w:val="004F1EF2"/>
    <w:rsid w:val="0050399A"/>
    <w:rsid w:val="00506CAD"/>
    <w:rsid w:val="00511AF2"/>
    <w:rsid w:val="00513BF7"/>
    <w:rsid w:val="00525A29"/>
    <w:rsid w:val="005263C9"/>
    <w:rsid w:val="0053057A"/>
    <w:rsid w:val="00534F6B"/>
    <w:rsid w:val="00536ED6"/>
    <w:rsid w:val="00547FF5"/>
    <w:rsid w:val="00550534"/>
    <w:rsid w:val="005510DA"/>
    <w:rsid w:val="00552F69"/>
    <w:rsid w:val="00553E90"/>
    <w:rsid w:val="0055775F"/>
    <w:rsid w:val="00560A29"/>
    <w:rsid w:val="00560A51"/>
    <w:rsid w:val="00564373"/>
    <w:rsid w:val="00567235"/>
    <w:rsid w:val="00570556"/>
    <w:rsid w:val="00574F83"/>
    <w:rsid w:val="005779BB"/>
    <w:rsid w:val="00584FD4"/>
    <w:rsid w:val="00585CBB"/>
    <w:rsid w:val="00587CB0"/>
    <w:rsid w:val="00594D27"/>
    <w:rsid w:val="00595359"/>
    <w:rsid w:val="00596E06"/>
    <w:rsid w:val="005A3C3C"/>
    <w:rsid w:val="005A7838"/>
    <w:rsid w:val="005A7F9B"/>
    <w:rsid w:val="005B4633"/>
    <w:rsid w:val="005C093D"/>
    <w:rsid w:val="005C2767"/>
    <w:rsid w:val="005C6EEA"/>
    <w:rsid w:val="005D0F87"/>
    <w:rsid w:val="005D6025"/>
    <w:rsid w:val="005D7022"/>
    <w:rsid w:val="005D7AF7"/>
    <w:rsid w:val="005E2B3D"/>
    <w:rsid w:val="005F3F39"/>
    <w:rsid w:val="005F46C6"/>
    <w:rsid w:val="005F4E91"/>
    <w:rsid w:val="00601760"/>
    <w:rsid w:val="00605827"/>
    <w:rsid w:val="00610857"/>
    <w:rsid w:val="006121EC"/>
    <w:rsid w:val="00614A0E"/>
    <w:rsid w:val="00624703"/>
    <w:rsid w:val="00624E47"/>
    <w:rsid w:val="0062702A"/>
    <w:rsid w:val="006322BC"/>
    <w:rsid w:val="00632443"/>
    <w:rsid w:val="006339E5"/>
    <w:rsid w:val="00634235"/>
    <w:rsid w:val="00642E7C"/>
    <w:rsid w:val="00643EBC"/>
    <w:rsid w:val="00645A15"/>
    <w:rsid w:val="00646050"/>
    <w:rsid w:val="0064695D"/>
    <w:rsid w:val="0065392A"/>
    <w:rsid w:val="00662607"/>
    <w:rsid w:val="0066351A"/>
    <w:rsid w:val="006713CA"/>
    <w:rsid w:val="006761CE"/>
    <w:rsid w:val="00676C5C"/>
    <w:rsid w:val="006810C4"/>
    <w:rsid w:val="006838EA"/>
    <w:rsid w:val="006866A7"/>
    <w:rsid w:val="00695558"/>
    <w:rsid w:val="006A18E3"/>
    <w:rsid w:val="006A392F"/>
    <w:rsid w:val="006A4B77"/>
    <w:rsid w:val="006A6F76"/>
    <w:rsid w:val="006A769D"/>
    <w:rsid w:val="006B1EEF"/>
    <w:rsid w:val="006B50E5"/>
    <w:rsid w:val="006B5C69"/>
    <w:rsid w:val="006B70E3"/>
    <w:rsid w:val="006C312A"/>
    <w:rsid w:val="006C40AB"/>
    <w:rsid w:val="006D5E0F"/>
    <w:rsid w:val="006D71A1"/>
    <w:rsid w:val="006D7D6A"/>
    <w:rsid w:val="006E0179"/>
    <w:rsid w:val="006E2D4B"/>
    <w:rsid w:val="006E7704"/>
    <w:rsid w:val="006E79F5"/>
    <w:rsid w:val="006F11EA"/>
    <w:rsid w:val="006F1824"/>
    <w:rsid w:val="006F2CE2"/>
    <w:rsid w:val="006F6660"/>
    <w:rsid w:val="00701421"/>
    <w:rsid w:val="00704F9A"/>
    <w:rsid w:val="007058FB"/>
    <w:rsid w:val="0070734E"/>
    <w:rsid w:val="00707875"/>
    <w:rsid w:val="0071046D"/>
    <w:rsid w:val="00710F72"/>
    <w:rsid w:val="00714F79"/>
    <w:rsid w:val="0072175B"/>
    <w:rsid w:val="00725074"/>
    <w:rsid w:val="00725194"/>
    <w:rsid w:val="0074148E"/>
    <w:rsid w:val="007457BA"/>
    <w:rsid w:val="00747F67"/>
    <w:rsid w:val="007616D3"/>
    <w:rsid w:val="00772B35"/>
    <w:rsid w:val="00774244"/>
    <w:rsid w:val="0077782A"/>
    <w:rsid w:val="0078746E"/>
    <w:rsid w:val="00793925"/>
    <w:rsid w:val="007A2820"/>
    <w:rsid w:val="007A6EDE"/>
    <w:rsid w:val="007B161E"/>
    <w:rsid w:val="007B2C2B"/>
    <w:rsid w:val="007B313D"/>
    <w:rsid w:val="007B4B04"/>
    <w:rsid w:val="007B66EF"/>
    <w:rsid w:val="007B6A58"/>
    <w:rsid w:val="007D1613"/>
    <w:rsid w:val="007D1F79"/>
    <w:rsid w:val="007D25AB"/>
    <w:rsid w:val="007D7336"/>
    <w:rsid w:val="007E6477"/>
    <w:rsid w:val="007E66BC"/>
    <w:rsid w:val="007F261B"/>
    <w:rsid w:val="007F2F9E"/>
    <w:rsid w:val="007F350F"/>
    <w:rsid w:val="0080357C"/>
    <w:rsid w:val="008053AA"/>
    <w:rsid w:val="00812B65"/>
    <w:rsid w:val="008144DC"/>
    <w:rsid w:val="00823777"/>
    <w:rsid w:val="00825503"/>
    <w:rsid w:val="00831D7C"/>
    <w:rsid w:val="008334B0"/>
    <w:rsid w:val="00837AB6"/>
    <w:rsid w:val="0084580D"/>
    <w:rsid w:val="0084656A"/>
    <w:rsid w:val="008500E1"/>
    <w:rsid w:val="008518EB"/>
    <w:rsid w:val="0085219B"/>
    <w:rsid w:val="00854F65"/>
    <w:rsid w:val="008557F4"/>
    <w:rsid w:val="008601B3"/>
    <w:rsid w:val="00873EE5"/>
    <w:rsid w:val="00874B7F"/>
    <w:rsid w:val="00875E08"/>
    <w:rsid w:val="008818D6"/>
    <w:rsid w:val="00882222"/>
    <w:rsid w:val="00882D0E"/>
    <w:rsid w:val="00883E39"/>
    <w:rsid w:val="008869FF"/>
    <w:rsid w:val="00886F09"/>
    <w:rsid w:val="008878FF"/>
    <w:rsid w:val="00890B6E"/>
    <w:rsid w:val="00892E49"/>
    <w:rsid w:val="008A7C64"/>
    <w:rsid w:val="008B2CC1"/>
    <w:rsid w:val="008B4B5E"/>
    <w:rsid w:val="008B5273"/>
    <w:rsid w:val="008B60B2"/>
    <w:rsid w:val="008C2309"/>
    <w:rsid w:val="008C4CA0"/>
    <w:rsid w:val="008D6F26"/>
    <w:rsid w:val="008E1F5F"/>
    <w:rsid w:val="008E2A73"/>
    <w:rsid w:val="008F1174"/>
    <w:rsid w:val="008F55E5"/>
    <w:rsid w:val="008F6CE1"/>
    <w:rsid w:val="008F7F39"/>
    <w:rsid w:val="00902143"/>
    <w:rsid w:val="00906C18"/>
    <w:rsid w:val="0090731E"/>
    <w:rsid w:val="00915AEB"/>
    <w:rsid w:val="00916EE2"/>
    <w:rsid w:val="009248BA"/>
    <w:rsid w:val="00925E82"/>
    <w:rsid w:val="00926BFD"/>
    <w:rsid w:val="00934F1F"/>
    <w:rsid w:val="009350BE"/>
    <w:rsid w:val="009356D8"/>
    <w:rsid w:val="00941E76"/>
    <w:rsid w:val="00942D7B"/>
    <w:rsid w:val="00950383"/>
    <w:rsid w:val="00950C31"/>
    <w:rsid w:val="0095142D"/>
    <w:rsid w:val="0095352B"/>
    <w:rsid w:val="00963BA2"/>
    <w:rsid w:val="00966A22"/>
    <w:rsid w:val="0096722F"/>
    <w:rsid w:val="00975612"/>
    <w:rsid w:val="00977517"/>
    <w:rsid w:val="00980843"/>
    <w:rsid w:val="00986E43"/>
    <w:rsid w:val="00991916"/>
    <w:rsid w:val="00993362"/>
    <w:rsid w:val="009A1BB6"/>
    <w:rsid w:val="009A255A"/>
    <w:rsid w:val="009A2BBE"/>
    <w:rsid w:val="009A3E25"/>
    <w:rsid w:val="009A66C4"/>
    <w:rsid w:val="009B032F"/>
    <w:rsid w:val="009B05CB"/>
    <w:rsid w:val="009B0676"/>
    <w:rsid w:val="009B5BB1"/>
    <w:rsid w:val="009C37B0"/>
    <w:rsid w:val="009C3FB9"/>
    <w:rsid w:val="009C497F"/>
    <w:rsid w:val="009C4E91"/>
    <w:rsid w:val="009C7B97"/>
    <w:rsid w:val="009D0DD1"/>
    <w:rsid w:val="009D1C2F"/>
    <w:rsid w:val="009D674B"/>
    <w:rsid w:val="009D6C01"/>
    <w:rsid w:val="009E0011"/>
    <w:rsid w:val="009E02BF"/>
    <w:rsid w:val="009E155F"/>
    <w:rsid w:val="009E1ABA"/>
    <w:rsid w:val="009E2791"/>
    <w:rsid w:val="009E2883"/>
    <w:rsid w:val="009E3F6F"/>
    <w:rsid w:val="009E4E61"/>
    <w:rsid w:val="009F3BF9"/>
    <w:rsid w:val="009F43CE"/>
    <w:rsid w:val="009F499F"/>
    <w:rsid w:val="00A00DE1"/>
    <w:rsid w:val="00A07643"/>
    <w:rsid w:val="00A10C97"/>
    <w:rsid w:val="00A23077"/>
    <w:rsid w:val="00A3146E"/>
    <w:rsid w:val="00A36723"/>
    <w:rsid w:val="00A4048F"/>
    <w:rsid w:val="00A42DAF"/>
    <w:rsid w:val="00A44A4C"/>
    <w:rsid w:val="00A45BD8"/>
    <w:rsid w:val="00A527DE"/>
    <w:rsid w:val="00A55B1A"/>
    <w:rsid w:val="00A6257F"/>
    <w:rsid w:val="00A70404"/>
    <w:rsid w:val="00A70919"/>
    <w:rsid w:val="00A7093D"/>
    <w:rsid w:val="00A778BF"/>
    <w:rsid w:val="00A82777"/>
    <w:rsid w:val="00A848B6"/>
    <w:rsid w:val="00A85B8E"/>
    <w:rsid w:val="00A90819"/>
    <w:rsid w:val="00A9118D"/>
    <w:rsid w:val="00A966C7"/>
    <w:rsid w:val="00AA1E28"/>
    <w:rsid w:val="00AA267C"/>
    <w:rsid w:val="00AB6384"/>
    <w:rsid w:val="00AC205C"/>
    <w:rsid w:val="00AC2CE8"/>
    <w:rsid w:val="00AC4AAA"/>
    <w:rsid w:val="00AC6320"/>
    <w:rsid w:val="00AC7A4A"/>
    <w:rsid w:val="00AD0D4D"/>
    <w:rsid w:val="00AE3E26"/>
    <w:rsid w:val="00AE598D"/>
    <w:rsid w:val="00AE76C3"/>
    <w:rsid w:val="00AF4027"/>
    <w:rsid w:val="00AF5C73"/>
    <w:rsid w:val="00B03409"/>
    <w:rsid w:val="00B046EE"/>
    <w:rsid w:val="00B05A69"/>
    <w:rsid w:val="00B12A0A"/>
    <w:rsid w:val="00B14250"/>
    <w:rsid w:val="00B148BB"/>
    <w:rsid w:val="00B17351"/>
    <w:rsid w:val="00B2040B"/>
    <w:rsid w:val="00B22CA0"/>
    <w:rsid w:val="00B3769D"/>
    <w:rsid w:val="00B40598"/>
    <w:rsid w:val="00B42FCC"/>
    <w:rsid w:val="00B46153"/>
    <w:rsid w:val="00B50B99"/>
    <w:rsid w:val="00B53D5E"/>
    <w:rsid w:val="00B543D4"/>
    <w:rsid w:val="00B56EE5"/>
    <w:rsid w:val="00B62CD9"/>
    <w:rsid w:val="00B63FC3"/>
    <w:rsid w:val="00B66675"/>
    <w:rsid w:val="00B73A29"/>
    <w:rsid w:val="00B9093F"/>
    <w:rsid w:val="00B9456B"/>
    <w:rsid w:val="00B9734B"/>
    <w:rsid w:val="00BB714F"/>
    <w:rsid w:val="00BC28CE"/>
    <w:rsid w:val="00BC55CA"/>
    <w:rsid w:val="00BC6E42"/>
    <w:rsid w:val="00BD1AF1"/>
    <w:rsid w:val="00BD5AF2"/>
    <w:rsid w:val="00C06CD7"/>
    <w:rsid w:val="00C10C49"/>
    <w:rsid w:val="00C11BFE"/>
    <w:rsid w:val="00C128AE"/>
    <w:rsid w:val="00C327AD"/>
    <w:rsid w:val="00C430F2"/>
    <w:rsid w:val="00C43CE4"/>
    <w:rsid w:val="00C440B9"/>
    <w:rsid w:val="00C4740C"/>
    <w:rsid w:val="00C525B4"/>
    <w:rsid w:val="00C529C2"/>
    <w:rsid w:val="00C563A5"/>
    <w:rsid w:val="00C56521"/>
    <w:rsid w:val="00C57245"/>
    <w:rsid w:val="00C573C6"/>
    <w:rsid w:val="00C61EE0"/>
    <w:rsid w:val="00C63031"/>
    <w:rsid w:val="00C63B87"/>
    <w:rsid w:val="00C669A8"/>
    <w:rsid w:val="00C66BBE"/>
    <w:rsid w:val="00C67CB2"/>
    <w:rsid w:val="00C720D4"/>
    <w:rsid w:val="00C72BE8"/>
    <w:rsid w:val="00C742B2"/>
    <w:rsid w:val="00C84CE8"/>
    <w:rsid w:val="00C94629"/>
    <w:rsid w:val="00C94A97"/>
    <w:rsid w:val="00C958B6"/>
    <w:rsid w:val="00C97625"/>
    <w:rsid w:val="00CA0EF6"/>
    <w:rsid w:val="00CA1FEA"/>
    <w:rsid w:val="00CA3241"/>
    <w:rsid w:val="00CA71C1"/>
    <w:rsid w:val="00CB41A8"/>
    <w:rsid w:val="00CB53D7"/>
    <w:rsid w:val="00CC3D26"/>
    <w:rsid w:val="00CC4B9E"/>
    <w:rsid w:val="00CC55EC"/>
    <w:rsid w:val="00CD1797"/>
    <w:rsid w:val="00CD2DBA"/>
    <w:rsid w:val="00CD319D"/>
    <w:rsid w:val="00CD37B2"/>
    <w:rsid w:val="00CD5BFE"/>
    <w:rsid w:val="00CD7B3D"/>
    <w:rsid w:val="00CE3426"/>
    <w:rsid w:val="00CE65D4"/>
    <w:rsid w:val="00D02869"/>
    <w:rsid w:val="00D11FC5"/>
    <w:rsid w:val="00D1328F"/>
    <w:rsid w:val="00D20CD8"/>
    <w:rsid w:val="00D24E5D"/>
    <w:rsid w:val="00D269CB"/>
    <w:rsid w:val="00D4277D"/>
    <w:rsid w:val="00D448E7"/>
    <w:rsid w:val="00D45252"/>
    <w:rsid w:val="00D47B49"/>
    <w:rsid w:val="00D619D9"/>
    <w:rsid w:val="00D6729D"/>
    <w:rsid w:val="00D71B4D"/>
    <w:rsid w:val="00D73DBF"/>
    <w:rsid w:val="00D8127E"/>
    <w:rsid w:val="00D829E7"/>
    <w:rsid w:val="00D93D55"/>
    <w:rsid w:val="00D972EF"/>
    <w:rsid w:val="00DA245A"/>
    <w:rsid w:val="00DA3A2D"/>
    <w:rsid w:val="00DA59A7"/>
    <w:rsid w:val="00DB424C"/>
    <w:rsid w:val="00DB4D92"/>
    <w:rsid w:val="00DB5694"/>
    <w:rsid w:val="00DB6A6B"/>
    <w:rsid w:val="00DC1775"/>
    <w:rsid w:val="00DC1B85"/>
    <w:rsid w:val="00DC67D4"/>
    <w:rsid w:val="00DC6AB0"/>
    <w:rsid w:val="00DD0D26"/>
    <w:rsid w:val="00DE174B"/>
    <w:rsid w:val="00DF1442"/>
    <w:rsid w:val="00DF4483"/>
    <w:rsid w:val="00DF4A42"/>
    <w:rsid w:val="00DF4EA4"/>
    <w:rsid w:val="00E0788E"/>
    <w:rsid w:val="00E161A2"/>
    <w:rsid w:val="00E21B99"/>
    <w:rsid w:val="00E21E5D"/>
    <w:rsid w:val="00E2570E"/>
    <w:rsid w:val="00E3095A"/>
    <w:rsid w:val="00E335FE"/>
    <w:rsid w:val="00E41AAD"/>
    <w:rsid w:val="00E46F01"/>
    <w:rsid w:val="00E5021F"/>
    <w:rsid w:val="00E51936"/>
    <w:rsid w:val="00E52CC0"/>
    <w:rsid w:val="00E52E6F"/>
    <w:rsid w:val="00E53093"/>
    <w:rsid w:val="00E56C72"/>
    <w:rsid w:val="00E669F3"/>
    <w:rsid w:val="00E671A6"/>
    <w:rsid w:val="00E72A3B"/>
    <w:rsid w:val="00E74882"/>
    <w:rsid w:val="00E77050"/>
    <w:rsid w:val="00E81915"/>
    <w:rsid w:val="00E82251"/>
    <w:rsid w:val="00E84DB2"/>
    <w:rsid w:val="00E86517"/>
    <w:rsid w:val="00E87E04"/>
    <w:rsid w:val="00E90AA1"/>
    <w:rsid w:val="00E9326F"/>
    <w:rsid w:val="00E93796"/>
    <w:rsid w:val="00EA1C91"/>
    <w:rsid w:val="00EA4E3B"/>
    <w:rsid w:val="00EA56EC"/>
    <w:rsid w:val="00EB532A"/>
    <w:rsid w:val="00EC38B7"/>
    <w:rsid w:val="00EC472C"/>
    <w:rsid w:val="00EC4E49"/>
    <w:rsid w:val="00EC5746"/>
    <w:rsid w:val="00ED1345"/>
    <w:rsid w:val="00ED77FB"/>
    <w:rsid w:val="00ED78F1"/>
    <w:rsid w:val="00EE04BE"/>
    <w:rsid w:val="00EE0F9C"/>
    <w:rsid w:val="00EE59E7"/>
    <w:rsid w:val="00EF2965"/>
    <w:rsid w:val="00EF3095"/>
    <w:rsid w:val="00EF55E5"/>
    <w:rsid w:val="00F00114"/>
    <w:rsid w:val="00F021A6"/>
    <w:rsid w:val="00F04B2A"/>
    <w:rsid w:val="00F04F99"/>
    <w:rsid w:val="00F10EA4"/>
    <w:rsid w:val="00F11D94"/>
    <w:rsid w:val="00F259E8"/>
    <w:rsid w:val="00F2670D"/>
    <w:rsid w:val="00F40736"/>
    <w:rsid w:val="00F4340D"/>
    <w:rsid w:val="00F44DF8"/>
    <w:rsid w:val="00F4573F"/>
    <w:rsid w:val="00F45B69"/>
    <w:rsid w:val="00F66152"/>
    <w:rsid w:val="00F668B1"/>
    <w:rsid w:val="00F67D83"/>
    <w:rsid w:val="00F71D5F"/>
    <w:rsid w:val="00F735A8"/>
    <w:rsid w:val="00F73CFD"/>
    <w:rsid w:val="00F767E6"/>
    <w:rsid w:val="00F7688F"/>
    <w:rsid w:val="00F8152B"/>
    <w:rsid w:val="00F815D8"/>
    <w:rsid w:val="00F909AD"/>
    <w:rsid w:val="00F92D77"/>
    <w:rsid w:val="00F92E02"/>
    <w:rsid w:val="00F94369"/>
    <w:rsid w:val="00FA39F4"/>
    <w:rsid w:val="00FA51CE"/>
    <w:rsid w:val="00FA64E5"/>
    <w:rsid w:val="00FB0110"/>
    <w:rsid w:val="00FB0F37"/>
    <w:rsid w:val="00FB1B58"/>
    <w:rsid w:val="00FB365C"/>
    <w:rsid w:val="00FB56B1"/>
    <w:rsid w:val="00FB76C0"/>
    <w:rsid w:val="00FD01FE"/>
    <w:rsid w:val="00FD319C"/>
    <w:rsid w:val="00FD6D78"/>
    <w:rsid w:val="00FE0436"/>
    <w:rsid w:val="00FE1DA5"/>
    <w:rsid w:val="00FE225E"/>
    <w:rsid w:val="00FE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9CF749"/>
  <w15:chartTrackingRefBased/>
  <w15:docId w15:val="{3C54AFC3-004C-4406-B124-7FA4AEC8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uiPriority w:val="99"/>
    <w:rsid w:val="008D6F26"/>
    <w:rPr>
      <w:rFonts w:ascii="Arial" w:eastAsia="SimSun" w:hAnsi="Arial" w:cs="Arial"/>
      <w:sz w:val="18"/>
      <w:lang w:val="ru-RU" w:eastAsia="zh-CN"/>
    </w:rPr>
  </w:style>
  <w:style w:type="paragraph" w:customStyle="1" w:styleId="DecisionInvitingPara">
    <w:name w:val="Decision Inviting Para."/>
    <w:basedOn w:val="Normal"/>
    <w:rsid w:val="008D6F2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8D6F26"/>
    <w:rPr>
      <w:vertAlign w:val="superscript"/>
    </w:rPr>
  </w:style>
  <w:style w:type="character" w:customStyle="1" w:styleId="ONUMEChar">
    <w:name w:val="ONUM E Char"/>
    <w:link w:val="ONUME"/>
    <w:rsid w:val="008D6F26"/>
    <w:rPr>
      <w:rFonts w:ascii="Arial" w:eastAsia="SimSun" w:hAnsi="Arial" w:cs="Arial"/>
      <w:sz w:val="22"/>
      <w:lang w:val="ru-RU" w:eastAsia="zh-CN"/>
    </w:rPr>
  </w:style>
  <w:style w:type="paragraph" w:styleId="ListParagraph">
    <w:name w:val="List Paragraph"/>
    <w:basedOn w:val="Normal"/>
    <w:uiPriority w:val="34"/>
    <w:qFormat/>
    <w:rsid w:val="008D6F26"/>
    <w:pPr>
      <w:ind w:left="720"/>
      <w:contextualSpacing/>
    </w:pPr>
    <w:rPr>
      <w:rFonts w:eastAsia="Times New Roman" w:cs="Times New Roman"/>
      <w:lang w:eastAsia="en-US"/>
    </w:rPr>
  </w:style>
  <w:style w:type="character" w:styleId="Hyperlink">
    <w:name w:val="Hyperlink"/>
    <w:unhideWhenUsed/>
    <w:rsid w:val="00506CAD"/>
    <w:rPr>
      <w:color w:val="0000FF"/>
      <w:u w:val="single"/>
    </w:rPr>
  </w:style>
  <w:style w:type="paragraph" w:customStyle="1" w:styleId="paragraph">
    <w:name w:val="paragraph"/>
    <w:basedOn w:val="Normal"/>
    <w:rsid w:val="00CA0EF6"/>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A0EF6"/>
  </w:style>
  <w:style w:type="paragraph" w:styleId="BalloonText">
    <w:name w:val="Balloon Text"/>
    <w:basedOn w:val="Normal"/>
    <w:link w:val="BalloonTextChar"/>
    <w:semiHidden/>
    <w:unhideWhenUsed/>
    <w:rsid w:val="006761CE"/>
    <w:rPr>
      <w:rFonts w:ascii="Segoe UI" w:hAnsi="Segoe UI" w:cs="Segoe UI"/>
      <w:sz w:val="18"/>
      <w:szCs w:val="18"/>
    </w:rPr>
  </w:style>
  <w:style w:type="character" w:customStyle="1" w:styleId="BalloonTextChar">
    <w:name w:val="Balloon Text Char"/>
    <w:link w:val="BalloonText"/>
    <w:semiHidden/>
    <w:rsid w:val="006761CE"/>
    <w:rPr>
      <w:rFonts w:ascii="Segoe UI" w:eastAsia="SimSun" w:hAnsi="Segoe UI" w:cs="Segoe UI"/>
      <w:sz w:val="18"/>
      <w:szCs w:val="18"/>
      <w:lang w:val="ru-RU" w:eastAsia="zh-CN"/>
    </w:rPr>
  </w:style>
  <w:style w:type="character" w:styleId="FollowedHyperlink">
    <w:name w:val="FollowedHyperlink"/>
    <w:semiHidden/>
    <w:unhideWhenUsed/>
    <w:rsid w:val="00D20CD8"/>
    <w:rPr>
      <w:color w:val="800080"/>
      <w:u w:val="single"/>
    </w:rPr>
  </w:style>
  <w:style w:type="character" w:styleId="CommentReference">
    <w:name w:val="annotation reference"/>
    <w:semiHidden/>
    <w:unhideWhenUsed/>
    <w:rsid w:val="00416524"/>
    <w:rPr>
      <w:sz w:val="16"/>
      <w:szCs w:val="16"/>
    </w:rPr>
  </w:style>
  <w:style w:type="paragraph" w:styleId="CommentSubject">
    <w:name w:val="annotation subject"/>
    <w:basedOn w:val="CommentText"/>
    <w:next w:val="CommentText"/>
    <w:link w:val="CommentSubjectChar"/>
    <w:semiHidden/>
    <w:unhideWhenUsed/>
    <w:rsid w:val="00416524"/>
    <w:rPr>
      <w:b/>
      <w:bCs/>
      <w:sz w:val="20"/>
    </w:rPr>
  </w:style>
  <w:style w:type="character" w:customStyle="1" w:styleId="CommentTextChar">
    <w:name w:val="Comment Text Char"/>
    <w:link w:val="CommentText"/>
    <w:semiHidden/>
    <w:rsid w:val="00416524"/>
    <w:rPr>
      <w:rFonts w:ascii="Arial" w:eastAsia="SimSun" w:hAnsi="Arial" w:cs="Arial"/>
      <w:sz w:val="18"/>
      <w:lang w:val="ru-RU" w:eastAsia="zh-CN"/>
    </w:rPr>
  </w:style>
  <w:style w:type="character" w:customStyle="1" w:styleId="CommentSubjectChar">
    <w:name w:val="Comment Subject Char"/>
    <w:link w:val="CommentSubject"/>
    <w:semiHidden/>
    <w:rsid w:val="00416524"/>
    <w:rPr>
      <w:rFonts w:ascii="Arial" w:eastAsia="SimSun" w:hAnsi="Arial" w:cs="Arial"/>
      <w:b/>
      <w:bCs/>
      <w:sz w:val="18"/>
      <w:lang w:val="ru-RU" w:eastAsia="zh-CN"/>
    </w:rPr>
  </w:style>
  <w:style w:type="paragraph" w:styleId="Revision">
    <w:name w:val="Revision"/>
    <w:hidden/>
    <w:uiPriority w:val="99"/>
    <w:semiHidden/>
    <w:rsid w:val="00416524"/>
    <w:rPr>
      <w:rFonts w:ascii="Arial" w:eastAsia="SimSun" w:hAnsi="Arial" w:cs="Arial"/>
      <w:sz w:val="22"/>
      <w:lang w:eastAsia="zh-CN"/>
    </w:rPr>
  </w:style>
  <w:style w:type="character" w:customStyle="1" w:styleId="UnresolvedMention1">
    <w:name w:val="Unresolved Mention1"/>
    <w:uiPriority w:val="99"/>
    <w:semiHidden/>
    <w:unhideWhenUsed/>
    <w:rsid w:val="00D02869"/>
    <w:rPr>
      <w:color w:val="605E5C"/>
      <w:shd w:val="clear" w:color="auto" w:fill="E1DFDD"/>
    </w:rPr>
  </w:style>
  <w:style w:type="character" w:customStyle="1" w:styleId="BodyTextChar">
    <w:name w:val="Body Text Char"/>
    <w:aliases w:val="tst Char,BT Char,BodyText Char,VE Body Text Char"/>
    <w:link w:val="BodyText"/>
    <w:rsid w:val="00077839"/>
    <w:rPr>
      <w:rFonts w:ascii="Arial" w:eastAsia="SimSun" w:hAnsi="Arial" w:cs="Arial"/>
      <w:sz w:val="22"/>
      <w:lang w:val="ru-RU" w:eastAsia="zh-CN" w:bidi="ar-SA"/>
    </w:rPr>
  </w:style>
  <w:style w:type="character" w:styleId="Emphasis">
    <w:name w:val="Emphasis"/>
    <w:qFormat/>
    <w:rsid w:val="00300FFC"/>
    <w:rPr>
      <w:i/>
      <w:iCs/>
    </w:rPr>
  </w:style>
  <w:style w:type="character" w:styleId="UnresolvedMention">
    <w:name w:val="Unresolved Mention"/>
    <w:basedOn w:val="DefaultParagraphFont"/>
    <w:uiPriority w:val="99"/>
    <w:semiHidden/>
    <w:unhideWhenUsed/>
    <w:rsid w:val="0099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138236">
      <w:bodyDiv w:val="1"/>
      <w:marLeft w:val="0"/>
      <w:marRight w:val="0"/>
      <w:marTop w:val="0"/>
      <w:marBottom w:val="0"/>
      <w:divBdr>
        <w:top w:val="none" w:sz="0" w:space="0" w:color="auto"/>
        <w:left w:val="none" w:sz="0" w:space="0" w:color="auto"/>
        <w:bottom w:val="none" w:sz="0" w:space="0" w:color="auto"/>
        <w:right w:val="none" w:sz="0" w:space="0" w:color="auto"/>
      </w:divBdr>
    </w:div>
    <w:div w:id="635916727">
      <w:bodyDiv w:val="1"/>
      <w:marLeft w:val="0"/>
      <w:marRight w:val="0"/>
      <w:marTop w:val="0"/>
      <w:marBottom w:val="0"/>
      <w:divBdr>
        <w:top w:val="none" w:sz="0" w:space="0" w:color="auto"/>
        <w:left w:val="none" w:sz="0" w:space="0" w:color="auto"/>
        <w:bottom w:val="none" w:sz="0" w:space="0" w:color="auto"/>
        <w:right w:val="none" w:sz="0" w:space="0" w:color="auto"/>
      </w:divBdr>
    </w:div>
    <w:div w:id="918901549">
      <w:bodyDiv w:val="1"/>
      <w:marLeft w:val="0"/>
      <w:marRight w:val="0"/>
      <w:marTop w:val="0"/>
      <w:marBottom w:val="0"/>
      <w:divBdr>
        <w:top w:val="none" w:sz="0" w:space="0" w:color="auto"/>
        <w:left w:val="none" w:sz="0" w:space="0" w:color="auto"/>
        <w:bottom w:val="none" w:sz="0" w:space="0" w:color="auto"/>
        <w:right w:val="none" w:sz="0" w:space="0" w:color="auto"/>
      </w:divBdr>
    </w:div>
    <w:div w:id="9285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mc/en/center/specific-sectors/videogames" TargetMode="External"/><Relationship Id="rId18" Type="http://schemas.openxmlformats.org/officeDocument/2006/relationships/hyperlink" Target="https://www.wipo.int/edocs/pubdocs/en/wipo_pub_guide_adr.pdf" TargetMode="External"/><Relationship Id="rId26" Type="http://schemas.openxmlformats.org/officeDocument/2006/relationships/hyperlink" Target="https://www.wipo.int/amc/en/domains/search/overview3.0/" TargetMode="External"/><Relationship Id="rId39" Type="http://schemas.openxmlformats.org/officeDocument/2006/relationships/hyperlink" Target="https://forum.icann.org/lists/comments-proposed-measures-two-char-08jul16/pdfECmcS9knuk.pdf" TargetMode="External"/><Relationship Id="rId21" Type="http://schemas.openxmlformats.org/officeDocument/2006/relationships/hyperlink" Target="https://www.wipo.int/podcasts/en/amc" TargetMode="External"/><Relationship Id="rId34" Type="http://schemas.openxmlformats.org/officeDocument/2006/relationships/hyperlink" Target="https://www.icann.org/resources/press-material/release-2023-11-28-en"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wipo.int/amc/en/center/specific-sectors/ipoffices/national-courts/tanzania/index.html" TargetMode="External"/><Relationship Id="rId20" Type="http://schemas.openxmlformats.org/officeDocument/2006/relationships/hyperlink" Target="https://www.wipo.int/amc/en/center/wipoadryoung" TargetMode="External"/><Relationship Id="rId29" Type="http://schemas.openxmlformats.org/officeDocument/2006/relationships/hyperlink" Target="https://www.wipo.int/amc/en/domains/cctld/"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mc/en/center/specific-sectors/greentechnology-sustainability/" TargetMode="External"/><Relationship Id="rId24" Type="http://schemas.openxmlformats.org/officeDocument/2006/relationships/hyperlink" Target="https://www.wipo.int/amc/en/processes/process1/report" TargetMode="External"/><Relationship Id="rId32" Type="http://schemas.openxmlformats.org/officeDocument/2006/relationships/hyperlink" Target="https://gnso.icann.org/en/issues/new-gtlds/rpm-prelim-issue-09oct15-en.pdf" TargetMode="External"/><Relationship Id="rId37" Type="http://schemas.openxmlformats.org/officeDocument/2006/relationships/hyperlink" Target="https://www.wipo.int/meetings/en/doc_details.jsp?doc_id=588011"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ipo.int/amc/es/center/specific-sectors/dnda/" TargetMode="External"/><Relationship Id="rId23" Type="http://schemas.openxmlformats.org/officeDocument/2006/relationships/hyperlink" Target="https://www.wipo.int/amc/ru/mediation/pledge.html" TargetMode="External"/><Relationship Id="rId28" Type="http://schemas.openxmlformats.org/officeDocument/2006/relationships/hyperlink" Target="https://www.wipo.int/amc/en/events/workshops/2023/domainname.html" TargetMode="External"/><Relationship Id="rId36" Type="http://schemas.openxmlformats.org/officeDocument/2006/relationships/hyperlink" Target="https://digital-strategy.ec.europa.eu/en/policies/nis2-directive" TargetMode="External"/><Relationship Id="rId10" Type="http://schemas.openxmlformats.org/officeDocument/2006/relationships/hyperlink" Target="https://www.wipo.int/edocs/pubdocs/ru/wipo-pub-rn2022-14-ru-wipo-adr-options-for-life-sciences-dispute-management-and-resolution.pdf" TargetMode="External"/><Relationship Id="rId19" Type="http://schemas.openxmlformats.org/officeDocument/2006/relationships/hyperlink" Target="https://www.linkedin.com/showcase/wipo-arbitration-and-mediation-center/?viewAsMember=true" TargetMode="External"/><Relationship Id="rId31" Type="http://schemas.openxmlformats.org/officeDocument/2006/relationships/hyperlink" Target="https://www.wipo.int/meetings/en/doc_details.jsp?doc_id=58801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amc/en/center/specific-sectors/" TargetMode="External"/><Relationship Id="rId14" Type="http://schemas.openxmlformats.org/officeDocument/2006/relationships/hyperlink" Target="https://www.wipo.int/amc/en/center/specific-sectors/artificial-intelligence" TargetMode="External"/><Relationship Id="rId22" Type="http://schemas.openxmlformats.org/officeDocument/2006/relationships/hyperlink" Target="https://www.wipo.int/amc/en/events/webinar.html" TargetMode="External"/><Relationship Id="rId27" Type="http://schemas.openxmlformats.org/officeDocument/2006/relationships/hyperlink" Target="https://www.wipo.int/amc/en/domains/search/legalindex/" TargetMode="External"/><Relationship Id="rId30" Type="http://schemas.openxmlformats.org/officeDocument/2006/relationships/hyperlink" Target="https://www.wipo.int/edocs/pubdocs/en/wipo_pub_1069.pdf" TargetMode="External"/><Relationship Id="rId35" Type="http://schemas.openxmlformats.org/officeDocument/2006/relationships/hyperlink" Target="https://www.wipo.int/amc/en/domains/gdpr" TargetMode="External"/><Relationship Id="rId43" Type="http://schemas.openxmlformats.org/officeDocument/2006/relationships/fontTable" Target="fontTable.xml"/><Relationship Id="rId8" Type="http://schemas.openxmlformats.org/officeDocument/2006/relationships/hyperlink" Target="https://www.wipo.int/about-wipo/ru/assemblies/2024/a-65/doc_details.jsp?doc_id=606995" TargetMode="External"/><Relationship Id="rId3" Type="http://schemas.openxmlformats.org/officeDocument/2006/relationships/settings" Target="settings.xml"/><Relationship Id="rId12" Type="http://schemas.openxmlformats.org/officeDocument/2006/relationships/hyperlink" Target="https://www.wipo.int/amc/en/center/copyright/digitalcopyright" TargetMode="External"/><Relationship Id="rId17" Type="http://schemas.openxmlformats.org/officeDocument/2006/relationships/hyperlink" Target="https://www.wipo.int/amc/en/center/specific-sectors/sports/" TargetMode="External"/><Relationship Id="rId25" Type="http://schemas.openxmlformats.org/officeDocument/2006/relationships/hyperlink" Target="https://www.wipo.int/amc/en/processes/process2/report" TargetMode="External"/><Relationship Id="rId33" Type="http://schemas.openxmlformats.org/officeDocument/2006/relationships/hyperlink" Target="https://gnso.icann.org/sites/default/files/file/field-file-attach/rpm-phase-1-proposed-24nov20-en.pdf" TargetMode="External"/><Relationship Id="rId38" Type="http://schemas.openxmlformats.org/officeDocument/2006/relationships/hyperlink" Target="http://mm.icann.org/pipermail/gnso-newgtld-wg-wt5/attachments/20191022/c47fb9cf/WorkTrack5FinalReporttotheNewgTLDSubProPDPWG-22October2019-0001.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amc/en/domains/gdpr" TargetMode="External"/><Relationship Id="rId18" Type="http://schemas.openxmlformats.org/officeDocument/2006/relationships/hyperlink" Target="https://www.icann.org/en/system/files/files/framework-elements-unified-access-model-for-discussion-18jun18-en.pdf" TargetMode="External"/><Relationship Id="rId26" Type="http://schemas.openxmlformats.org/officeDocument/2006/relationships/hyperlink" Target="https://www.wipo.int/meetings/ru/doc_details.jsp?doc_id=364802" TargetMode="External"/><Relationship Id="rId3" Type="http://schemas.openxmlformats.org/officeDocument/2006/relationships/hyperlink" Target="https://www.wipo.int/export/sites/www/amc/en/docs/2022/wipo_adr_options_for_frand_disputes_management_resolution.pdf" TargetMode="External"/><Relationship Id="rId21" Type="http://schemas.openxmlformats.org/officeDocument/2006/relationships/hyperlink" Target="https://www.icann.org/en/system/files/correspondence/gac-to-board-27mar14-en.pdf" TargetMode="External"/><Relationship Id="rId34" Type="http://schemas.openxmlformats.org/officeDocument/2006/relationships/hyperlink" Target="https://www.wipo.int/meetings/en/doc_details.jsp?doc_id=567651" TargetMode="External"/><Relationship Id="rId7" Type="http://schemas.openxmlformats.org/officeDocument/2006/relationships/hyperlink" Target="https://www.wipo.int/amc/en/domains/cctld" TargetMode="External"/><Relationship Id="rId12" Type="http://schemas.openxmlformats.org/officeDocument/2006/relationships/hyperlink" Target="https://www.icann.org/resources/pages/gtld-registration-data-specs-en" TargetMode="External"/><Relationship Id="rId17" Type="http://schemas.openxmlformats.org/officeDocument/2006/relationships/hyperlink" Target="https://mm.icann.org/pipermail/gnso-epdp-team/attachments/20200824/aeeab8dd/gac-minority-statement-epdp-phase2-24aug20-0001.pdf" TargetMode="External"/><Relationship Id="rId25" Type="http://schemas.openxmlformats.org/officeDocument/2006/relationships/hyperlink" Target="https://www.wipo.int/meetings/ru/doc_details.jsp?doc_id=364576" TargetMode="External"/><Relationship Id="rId33" Type="http://schemas.openxmlformats.org/officeDocument/2006/relationships/hyperlink" Target="https://www.wipo.int/meetings/en/doc_details.jsp?doc_id=533771" TargetMode="External"/><Relationship Id="rId2" Type="http://schemas.openxmlformats.org/officeDocument/2006/relationships/hyperlink" Target="https://www.wipo.int/amc/en/center/background.html" TargetMode="External"/><Relationship Id="rId16" Type="http://schemas.openxmlformats.org/officeDocument/2006/relationships/hyperlink" Target="https://gnso.icann.org/sites/default/files/file/field-file-attach/policy-briefing-icann70-03mar21-en.pdf" TargetMode="External"/><Relationship Id="rId20" Type="http://schemas.openxmlformats.org/officeDocument/2006/relationships/hyperlink" Target="https://archive.icann.org/en/topics/new-gtlds/gac-principles-regarding-new-gtlds-28mar07-en.pdf" TargetMode="External"/><Relationship Id="rId29" Type="http://schemas.openxmlformats.org/officeDocument/2006/relationships/hyperlink" Target="https://www.wipo.int/meetings/ru/doc_details.jsp?doc_id=416569" TargetMode="External"/><Relationship Id="rId1" Type="http://schemas.openxmlformats.org/officeDocument/2006/relationships/hyperlink" Target="http://www.wipo.int/amc/en/center/specific-sectors/smes/" TargetMode="External"/><Relationship Id="rId6" Type="http://schemas.openxmlformats.org/officeDocument/2006/relationships/hyperlink" Target="https://www.wipo.int/amc/en/domains/statistics" TargetMode="External"/><Relationship Id="rId11" Type="http://schemas.openxmlformats.org/officeDocument/2006/relationships/hyperlink" Target="https://gnso.icann.org/sites/default/files/filefield_48411/rpm-final-issue-11jan16-en.pdf" TargetMode="External"/><Relationship Id="rId24" Type="http://schemas.openxmlformats.org/officeDocument/2006/relationships/hyperlink" Target="https://www.icann.org/en/system/files/files/implementation-memo-two-character-ascii-labels-22jan19-en.pdf" TargetMode="External"/><Relationship Id="rId32" Type="http://schemas.openxmlformats.org/officeDocument/2006/relationships/hyperlink" Target="https://www.wipo.int/meetings/ru/doc_details.jsp?doc_id=467381" TargetMode="External"/><Relationship Id="rId5" Type="http://schemas.openxmlformats.org/officeDocument/2006/relationships/hyperlink" Target="https://www.wipo.int/amc/en/center/specific-sectors/rd/" TargetMode="External"/><Relationship Id="rId15" Type="http://schemas.openxmlformats.org/officeDocument/2006/relationships/hyperlink" Target="https://gnso.icann.org/en/group-activities/active/gtld-registration-data-epdp-phase-2" TargetMode="External"/><Relationship Id="rId23" Type="http://schemas.openxmlformats.org/officeDocument/2006/relationships/hyperlink" Target="https://eur-lex.europa.eu/legal-content/EN/TXT/?uri=CELEX%3A32023R2411" TargetMode="External"/><Relationship Id="rId28" Type="http://schemas.openxmlformats.org/officeDocument/2006/relationships/hyperlink" Target="https://www.wipo.int/meetings/ru/doc_details.jsp?doc_id=400158" TargetMode="External"/><Relationship Id="rId10" Type="http://schemas.openxmlformats.org/officeDocument/2006/relationships/hyperlink" Target="https://www.wipo.int/about-wipo/en/assemblies/2024/a-65/doc_details.jsp?doc_id=136276" TargetMode="External"/><Relationship Id="rId19" Type="http://schemas.openxmlformats.org/officeDocument/2006/relationships/hyperlink" Target="https://www.ipconstituency.org/assets/Outreach/DRAFT%20-%20WHOIS%20Accreditation%20and%20Access%20Model%20v1.7.pdf" TargetMode="External"/><Relationship Id="rId31" Type="http://schemas.openxmlformats.org/officeDocument/2006/relationships/hyperlink" Target="https://www.wipo.int/meetings/ru/doc_details.jsp?doc_id=452235" TargetMode="External"/><Relationship Id="rId4" Type="http://schemas.openxmlformats.org/officeDocument/2006/relationships/hyperlink" Target="https://webcast.wipo.int/video/OTHER_WIPO_SEMINAR_1_2022-11-29_PM_117643" TargetMode="External"/><Relationship Id="rId9" Type="http://schemas.openxmlformats.org/officeDocument/2006/relationships/hyperlink" Target="https://community.icann.org/display/gnsoudrpdt/Webinar+on+the+Current+State+of+the+UDRP" TargetMode="External"/><Relationship Id="rId14" Type="http://schemas.openxmlformats.org/officeDocument/2006/relationships/hyperlink" Target="https://gnso.icann.org/en/group-activities/active/gtld-registration-data-epdp" TargetMode="External"/><Relationship Id="rId22" Type="http://schemas.openxmlformats.org/officeDocument/2006/relationships/hyperlink" Target="https://www.icann.org/en/system/files/correspondence/gac-to-board-11apr13-en.pdf" TargetMode="External"/><Relationship Id="rId27" Type="http://schemas.openxmlformats.org/officeDocument/2006/relationships/hyperlink" Target="https://www.wipo.int/meetings/ru/doc_details.jsp?doc_id=383222" TargetMode="External"/><Relationship Id="rId30" Type="http://schemas.openxmlformats.org/officeDocument/2006/relationships/hyperlink" Target="https://www.wipo.int/meetings/ru/doc_details.jsp?doc_id=428471" TargetMode="External"/><Relationship Id="rId35" Type="http://schemas.openxmlformats.org/officeDocument/2006/relationships/hyperlink" Target="https://www.wipo.int/meetings/ru/details.jsp?meeting_id=42547&amp;la=ES" TargetMode="External"/><Relationship Id="rId8" Type="http://schemas.openxmlformats.org/officeDocument/2006/relationships/hyperlink" Target="https://www.wipo.int/amc/en/docs/icann1303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5325</Words>
  <Characters>38358</Characters>
  <Application>Microsoft Office Word</Application>
  <DocSecurity>0</DocSecurity>
  <Lines>3835</Lines>
  <Paragraphs>2426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WO/GA/57/10</vt:lpstr>
      <vt:lpstr>WO/GA/56/13</vt:lpstr>
    </vt:vector>
  </TitlesOfParts>
  <Company>WIPO</Company>
  <LinksUpToDate>false</LinksUpToDate>
  <CharactersWithSpaces>41257</CharactersWithSpaces>
  <SharedDoc>false</SharedDoc>
  <HLinks>
    <vt:vector size="600" baseType="variant">
      <vt:variant>
        <vt:i4>7995426</vt:i4>
      </vt:variant>
      <vt:variant>
        <vt:i4>117</vt:i4>
      </vt:variant>
      <vt:variant>
        <vt:i4>0</vt:i4>
      </vt:variant>
      <vt:variant>
        <vt:i4>5</vt:i4>
      </vt:variant>
      <vt:variant>
        <vt:lpwstr>https://static.ptbl.co/static/attachments/169910/1521228229.pdf?1521228229</vt:lpwstr>
      </vt:variant>
      <vt:variant>
        <vt:lpwstr/>
      </vt:variant>
      <vt:variant>
        <vt:i4>7667767</vt:i4>
      </vt:variant>
      <vt:variant>
        <vt:i4>114</vt:i4>
      </vt:variant>
      <vt:variant>
        <vt:i4>0</vt:i4>
      </vt:variant>
      <vt:variant>
        <vt:i4>5</vt:i4>
      </vt:variant>
      <vt:variant>
        <vt:lpwstr>https://forum.icann.org/lists/comments-proposed-measures-two-char-08jul16/pdfECmcS9knuk.pdf</vt:lpwstr>
      </vt:variant>
      <vt:variant>
        <vt:lpwstr/>
      </vt:variant>
      <vt:variant>
        <vt:i4>2555953</vt:i4>
      </vt:variant>
      <vt:variant>
        <vt:i4>111</vt:i4>
      </vt:variant>
      <vt:variant>
        <vt:i4>0</vt:i4>
      </vt:variant>
      <vt:variant>
        <vt:i4>5</vt:i4>
      </vt:variant>
      <vt:variant>
        <vt:lpwstr>http://mm.icann.org/pipermail/gnso-newgtld-wg-wt5/attachments/20191022/c47fb9cf/WorkTrack5FinalReporttotheNewgTLDSubProPDPWG-22October2019-0001.pdf</vt:lpwstr>
      </vt:variant>
      <vt:variant>
        <vt:lpwstr/>
      </vt:variant>
      <vt:variant>
        <vt:i4>3801183</vt:i4>
      </vt:variant>
      <vt:variant>
        <vt:i4>108</vt:i4>
      </vt:variant>
      <vt:variant>
        <vt:i4>0</vt:i4>
      </vt:variant>
      <vt:variant>
        <vt:i4>5</vt:i4>
      </vt:variant>
      <vt:variant>
        <vt:lpwstr>https://www.wipo.int/edocs/mdocs/sct/en/sct_46/sct_46_3.pdf</vt:lpwstr>
      </vt:variant>
      <vt:variant>
        <vt:lpwstr/>
      </vt:variant>
      <vt:variant>
        <vt:i4>5701712</vt:i4>
      </vt:variant>
      <vt:variant>
        <vt:i4>105</vt:i4>
      </vt:variant>
      <vt:variant>
        <vt:i4>0</vt:i4>
      </vt:variant>
      <vt:variant>
        <vt:i4>5</vt:i4>
      </vt:variant>
      <vt:variant>
        <vt:lpwstr>https://digital-strategy.ec.europa.eu/en/policies/nis2-directive</vt:lpwstr>
      </vt:variant>
      <vt:variant>
        <vt:lpwstr/>
      </vt:variant>
      <vt:variant>
        <vt:i4>4325376</vt:i4>
      </vt:variant>
      <vt:variant>
        <vt:i4>102</vt:i4>
      </vt:variant>
      <vt:variant>
        <vt:i4>0</vt:i4>
      </vt:variant>
      <vt:variant>
        <vt:i4>5</vt:i4>
      </vt:variant>
      <vt:variant>
        <vt:lpwstr>https://www.wipo.int/amc/en/domains/gdpr</vt:lpwstr>
      </vt:variant>
      <vt:variant>
        <vt:lpwstr/>
      </vt:variant>
      <vt:variant>
        <vt:i4>6160405</vt:i4>
      </vt:variant>
      <vt:variant>
        <vt:i4>99</vt:i4>
      </vt:variant>
      <vt:variant>
        <vt:i4>0</vt:i4>
      </vt:variant>
      <vt:variant>
        <vt:i4>5</vt:i4>
      </vt:variant>
      <vt:variant>
        <vt:lpwstr>https://www.icann.org/resources/press-material/release-2023-11-28-en</vt:lpwstr>
      </vt:variant>
      <vt:variant>
        <vt:lpwstr/>
      </vt:variant>
      <vt:variant>
        <vt:i4>5111882</vt:i4>
      </vt:variant>
      <vt:variant>
        <vt:i4>96</vt:i4>
      </vt:variant>
      <vt:variant>
        <vt:i4>0</vt:i4>
      </vt:variant>
      <vt:variant>
        <vt:i4>5</vt:i4>
      </vt:variant>
      <vt:variant>
        <vt:lpwstr>https://gnso.icann.org/sites/default/files/file/field-file-attach/rpm-phase-1-proposed-24nov20-en.pdf</vt:lpwstr>
      </vt:variant>
      <vt:variant>
        <vt:lpwstr/>
      </vt:variant>
      <vt:variant>
        <vt:i4>8060973</vt:i4>
      </vt:variant>
      <vt:variant>
        <vt:i4>93</vt:i4>
      </vt:variant>
      <vt:variant>
        <vt:i4>0</vt:i4>
      </vt:variant>
      <vt:variant>
        <vt:i4>5</vt:i4>
      </vt:variant>
      <vt:variant>
        <vt:lpwstr>https://gnso.icann.org/en/issues/new-gtlds/rpm-prelim-issue-09oct15-en.pdf</vt:lpwstr>
      </vt:variant>
      <vt:variant>
        <vt:lpwstr/>
      </vt:variant>
      <vt:variant>
        <vt:i4>3801183</vt:i4>
      </vt:variant>
      <vt:variant>
        <vt:i4>90</vt:i4>
      </vt:variant>
      <vt:variant>
        <vt:i4>0</vt:i4>
      </vt:variant>
      <vt:variant>
        <vt:i4>5</vt:i4>
      </vt:variant>
      <vt:variant>
        <vt:lpwstr>https://www.wipo.int/edocs/mdocs/sct/en/sct_46/sct_46_3.pdf</vt:lpwstr>
      </vt:variant>
      <vt:variant>
        <vt:lpwstr/>
      </vt:variant>
      <vt:variant>
        <vt:i4>3604536</vt:i4>
      </vt:variant>
      <vt:variant>
        <vt:i4>87</vt:i4>
      </vt:variant>
      <vt:variant>
        <vt:i4>0</vt:i4>
      </vt:variant>
      <vt:variant>
        <vt:i4>5</vt:i4>
      </vt:variant>
      <vt:variant>
        <vt:lpwstr>https://www.wipo.int/edocs/pubdocs/en/wipo_pub_1069.pdf</vt:lpwstr>
      </vt:variant>
      <vt:variant>
        <vt:lpwstr/>
      </vt:variant>
      <vt:variant>
        <vt:i4>7602276</vt:i4>
      </vt:variant>
      <vt:variant>
        <vt:i4>84</vt:i4>
      </vt:variant>
      <vt:variant>
        <vt:i4>0</vt:i4>
      </vt:variant>
      <vt:variant>
        <vt:i4>5</vt:i4>
      </vt:variant>
      <vt:variant>
        <vt:lpwstr>https://www.wipo.int/amc/en/domains/cctld/</vt:lpwstr>
      </vt:variant>
      <vt:variant>
        <vt:lpwstr/>
      </vt:variant>
      <vt:variant>
        <vt:i4>5505110</vt:i4>
      </vt:variant>
      <vt:variant>
        <vt:i4>81</vt:i4>
      </vt:variant>
      <vt:variant>
        <vt:i4>0</vt:i4>
      </vt:variant>
      <vt:variant>
        <vt:i4>5</vt:i4>
      </vt:variant>
      <vt:variant>
        <vt:lpwstr>https://www.wipo.int/amc/en/events/workshops/2023/domainname.html</vt:lpwstr>
      </vt:variant>
      <vt:variant>
        <vt:lpwstr/>
      </vt:variant>
      <vt:variant>
        <vt:i4>6815800</vt:i4>
      </vt:variant>
      <vt:variant>
        <vt:i4>78</vt:i4>
      </vt:variant>
      <vt:variant>
        <vt:i4>0</vt:i4>
      </vt:variant>
      <vt:variant>
        <vt:i4>5</vt:i4>
      </vt:variant>
      <vt:variant>
        <vt:lpwstr>https://www.wipo.int/amc/en/domains/search/legalindex/</vt:lpwstr>
      </vt:variant>
      <vt:variant>
        <vt:lpwstr/>
      </vt:variant>
      <vt:variant>
        <vt:i4>3211389</vt:i4>
      </vt:variant>
      <vt:variant>
        <vt:i4>75</vt:i4>
      </vt:variant>
      <vt:variant>
        <vt:i4>0</vt:i4>
      </vt:variant>
      <vt:variant>
        <vt:i4>5</vt:i4>
      </vt:variant>
      <vt:variant>
        <vt:lpwstr>https://www.wipo.int/amc/en/domains/search/overview3.0/</vt:lpwstr>
      </vt:variant>
      <vt:variant>
        <vt:lpwstr/>
      </vt:variant>
      <vt:variant>
        <vt:i4>1245266</vt:i4>
      </vt:variant>
      <vt:variant>
        <vt:i4>72</vt:i4>
      </vt:variant>
      <vt:variant>
        <vt:i4>0</vt:i4>
      </vt:variant>
      <vt:variant>
        <vt:i4>5</vt:i4>
      </vt:variant>
      <vt:variant>
        <vt:lpwstr>https://www.wipo.int/amc/en/processes/process2/report</vt:lpwstr>
      </vt:variant>
      <vt:variant>
        <vt:lpwstr/>
      </vt:variant>
      <vt:variant>
        <vt:i4>1048658</vt:i4>
      </vt:variant>
      <vt:variant>
        <vt:i4>69</vt:i4>
      </vt:variant>
      <vt:variant>
        <vt:i4>0</vt:i4>
      </vt:variant>
      <vt:variant>
        <vt:i4>5</vt:i4>
      </vt:variant>
      <vt:variant>
        <vt:lpwstr>https://www.wipo.int/amc/en/processes/process1/report</vt:lpwstr>
      </vt:variant>
      <vt:variant>
        <vt:lpwstr/>
      </vt:variant>
      <vt:variant>
        <vt:i4>4915267</vt:i4>
      </vt:variant>
      <vt:variant>
        <vt:i4>66</vt:i4>
      </vt:variant>
      <vt:variant>
        <vt:i4>0</vt:i4>
      </vt:variant>
      <vt:variant>
        <vt:i4>5</vt:i4>
      </vt:variant>
      <vt:variant>
        <vt:lpwstr>https://www.wipo.int/amc/en/mediation/pledge.html</vt:lpwstr>
      </vt:variant>
      <vt:variant>
        <vt:lpwstr/>
      </vt:variant>
      <vt:variant>
        <vt:i4>8126568</vt:i4>
      </vt:variant>
      <vt:variant>
        <vt:i4>63</vt:i4>
      </vt:variant>
      <vt:variant>
        <vt:i4>0</vt:i4>
      </vt:variant>
      <vt:variant>
        <vt:i4>5</vt:i4>
      </vt:variant>
      <vt:variant>
        <vt:lpwstr>https://www.wipo.int/amc/en/events/webinar.html</vt:lpwstr>
      </vt:variant>
      <vt:variant>
        <vt:lpwstr/>
      </vt:variant>
      <vt:variant>
        <vt:i4>1114115</vt:i4>
      </vt:variant>
      <vt:variant>
        <vt:i4>60</vt:i4>
      </vt:variant>
      <vt:variant>
        <vt:i4>0</vt:i4>
      </vt:variant>
      <vt:variant>
        <vt:i4>5</vt:i4>
      </vt:variant>
      <vt:variant>
        <vt:lpwstr>https://www.wipo.int/podcasts/en/amc</vt:lpwstr>
      </vt:variant>
      <vt:variant>
        <vt:lpwstr/>
      </vt:variant>
      <vt:variant>
        <vt:i4>6946930</vt:i4>
      </vt:variant>
      <vt:variant>
        <vt:i4>57</vt:i4>
      </vt:variant>
      <vt:variant>
        <vt:i4>0</vt:i4>
      </vt:variant>
      <vt:variant>
        <vt:i4>5</vt:i4>
      </vt:variant>
      <vt:variant>
        <vt:lpwstr>https://www.linkedin.com/showcase/wipo-arbitration-and-mediation-center/?viewAsMember=true</vt:lpwstr>
      </vt:variant>
      <vt:variant>
        <vt:lpwstr/>
      </vt:variant>
      <vt:variant>
        <vt:i4>7143469</vt:i4>
      </vt:variant>
      <vt:variant>
        <vt:i4>54</vt:i4>
      </vt:variant>
      <vt:variant>
        <vt:i4>0</vt:i4>
      </vt:variant>
      <vt:variant>
        <vt:i4>5</vt:i4>
      </vt:variant>
      <vt:variant>
        <vt:lpwstr>https://www.wipo.int/amc/en/center/wipoadryoung</vt:lpwstr>
      </vt:variant>
      <vt:variant>
        <vt:lpwstr/>
      </vt:variant>
      <vt:variant>
        <vt:i4>1310753</vt:i4>
      </vt:variant>
      <vt:variant>
        <vt:i4>51</vt:i4>
      </vt:variant>
      <vt:variant>
        <vt:i4>0</vt:i4>
      </vt:variant>
      <vt:variant>
        <vt:i4>5</vt:i4>
      </vt:variant>
      <vt:variant>
        <vt:lpwstr>https://www.wipo.int/edocs/pubdocs/en/wipo_pub_guide_adr.pdf</vt:lpwstr>
      </vt:variant>
      <vt:variant>
        <vt:lpwstr/>
      </vt:variant>
      <vt:variant>
        <vt:i4>8257585</vt:i4>
      </vt:variant>
      <vt:variant>
        <vt:i4>48</vt:i4>
      </vt:variant>
      <vt:variant>
        <vt:i4>0</vt:i4>
      </vt:variant>
      <vt:variant>
        <vt:i4>5</vt:i4>
      </vt:variant>
      <vt:variant>
        <vt:lpwstr>https://www.wipo.int/amc/en/center/specific-sectors/sports/</vt:lpwstr>
      </vt:variant>
      <vt:variant>
        <vt:lpwstr/>
      </vt:variant>
      <vt:variant>
        <vt:i4>1638418</vt:i4>
      </vt:variant>
      <vt:variant>
        <vt:i4>45</vt:i4>
      </vt:variant>
      <vt:variant>
        <vt:i4>0</vt:i4>
      </vt:variant>
      <vt:variant>
        <vt:i4>5</vt:i4>
      </vt:variant>
      <vt:variant>
        <vt:lpwstr>https://www.wipo.int/amc/en/center/specific-sectors/ipoffices/national-courts/tanzania/index.html</vt:lpwstr>
      </vt:variant>
      <vt:variant>
        <vt:lpwstr/>
      </vt:variant>
      <vt:variant>
        <vt:i4>6029321</vt:i4>
      </vt:variant>
      <vt:variant>
        <vt:i4>42</vt:i4>
      </vt:variant>
      <vt:variant>
        <vt:i4>0</vt:i4>
      </vt:variant>
      <vt:variant>
        <vt:i4>5</vt:i4>
      </vt:variant>
      <vt:variant>
        <vt:lpwstr>https://www.wipo.int/amc/en/center/specific-sectors/ipoffices/mexico/indautor/index.html</vt:lpwstr>
      </vt:variant>
      <vt:variant>
        <vt:lpwstr/>
      </vt:variant>
      <vt:variant>
        <vt:i4>68</vt:i4>
      </vt:variant>
      <vt:variant>
        <vt:i4>39</vt:i4>
      </vt:variant>
      <vt:variant>
        <vt:i4>0</vt:i4>
      </vt:variant>
      <vt:variant>
        <vt:i4>5</vt:i4>
      </vt:variant>
      <vt:variant>
        <vt:lpwstr>https://www.wipo.int/amc/es/center/specific-sectors/dnda/</vt:lpwstr>
      </vt:variant>
      <vt:variant>
        <vt:lpwstr/>
      </vt:variant>
      <vt:variant>
        <vt:i4>6684779</vt:i4>
      </vt:variant>
      <vt:variant>
        <vt:i4>36</vt:i4>
      </vt:variant>
      <vt:variant>
        <vt:i4>0</vt:i4>
      </vt:variant>
      <vt:variant>
        <vt:i4>5</vt:i4>
      </vt:variant>
      <vt:variant>
        <vt:lpwstr>https://www.wipo.int/amc/en/center/specific-sectors/artificial-intelligence</vt:lpwstr>
      </vt:variant>
      <vt:variant>
        <vt:lpwstr/>
      </vt:variant>
      <vt:variant>
        <vt:i4>7995424</vt:i4>
      </vt:variant>
      <vt:variant>
        <vt:i4>33</vt:i4>
      </vt:variant>
      <vt:variant>
        <vt:i4>0</vt:i4>
      </vt:variant>
      <vt:variant>
        <vt:i4>5</vt:i4>
      </vt:variant>
      <vt:variant>
        <vt:lpwstr>https://www.wipo.int/amc/en/center/specific-sectors/videogames</vt:lpwstr>
      </vt:variant>
      <vt:variant>
        <vt:lpwstr/>
      </vt:variant>
      <vt:variant>
        <vt:i4>1310744</vt:i4>
      </vt:variant>
      <vt:variant>
        <vt:i4>30</vt:i4>
      </vt:variant>
      <vt:variant>
        <vt:i4>0</vt:i4>
      </vt:variant>
      <vt:variant>
        <vt:i4>5</vt:i4>
      </vt:variant>
      <vt:variant>
        <vt:lpwstr>https://www.wipo.int/amc/en/center/copyright/digitalcopyright/index.html</vt:lpwstr>
      </vt:variant>
      <vt:variant>
        <vt:lpwstr/>
      </vt:variant>
      <vt:variant>
        <vt:i4>393244</vt:i4>
      </vt:variant>
      <vt:variant>
        <vt:i4>27</vt:i4>
      </vt:variant>
      <vt:variant>
        <vt:i4>0</vt:i4>
      </vt:variant>
      <vt:variant>
        <vt:i4>5</vt:i4>
      </vt:variant>
      <vt:variant>
        <vt:lpwstr>https://www.wipo.int/amc/en/center/copyright/digitalcopyright</vt:lpwstr>
      </vt:variant>
      <vt:variant>
        <vt:lpwstr/>
      </vt:variant>
      <vt:variant>
        <vt:i4>3604532</vt:i4>
      </vt:variant>
      <vt:variant>
        <vt:i4>24</vt:i4>
      </vt:variant>
      <vt:variant>
        <vt:i4>0</vt:i4>
      </vt:variant>
      <vt:variant>
        <vt:i4>5</vt:i4>
      </vt:variant>
      <vt:variant>
        <vt:lpwstr>https://www.wipo.int/amc/en/center/specific-sectors/greentechnology-sustainability/</vt:lpwstr>
      </vt:variant>
      <vt:variant>
        <vt:lpwstr/>
      </vt:variant>
      <vt:variant>
        <vt:i4>917529</vt:i4>
      </vt:variant>
      <vt:variant>
        <vt:i4>21</vt:i4>
      </vt:variant>
      <vt:variant>
        <vt:i4>0</vt:i4>
      </vt:variant>
      <vt:variant>
        <vt:i4>5</vt:i4>
      </vt:variant>
      <vt:variant>
        <vt:lpwstr>https://www.wipo.int/edocs/pubdocs/ru/wipo-pub-rn2022-14-ru-wipo-adr-options-for-life-sciences-dispute-management-and-resolution.pdf</vt:lpwstr>
      </vt:variant>
      <vt:variant>
        <vt:lpwstr/>
      </vt:variant>
      <vt:variant>
        <vt:i4>1376322</vt:i4>
      </vt:variant>
      <vt:variant>
        <vt:i4>18</vt:i4>
      </vt:variant>
      <vt:variant>
        <vt:i4>0</vt:i4>
      </vt:variant>
      <vt:variant>
        <vt:i4>5</vt:i4>
      </vt:variant>
      <vt:variant>
        <vt:lpwstr>https://www.wipo.int/amc/en/center/specific-sectors/lifesciences/</vt:lpwstr>
      </vt:variant>
      <vt:variant>
        <vt:lpwstr/>
      </vt:variant>
      <vt:variant>
        <vt:i4>7340071</vt:i4>
      </vt:variant>
      <vt:variant>
        <vt:i4>15</vt:i4>
      </vt:variant>
      <vt:variant>
        <vt:i4>0</vt:i4>
      </vt:variant>
      <vt:variant>
        <vt:i4>5</vt:i4>
      </vt:variant>
      <vt:variant>
        <vt:lpwstr>https://www.wipo.int/amc/en/center/specific-sectors/ict/frand/</vt:lpwstr>
      </vt:variant>
      <vt:variant>
        <vt:lpwstr/>
      </vt:variant>
      <vt:variant>
        <vt:i4>983129</vt:i4>
      </vt:variant>
      <vt:variant>
        <vt:i4>12</vt:i4>
      </vt:variant>
      <vt:variant>
        <vt:i4>0</vt:i4>
      </vt:variant>
      <vt:variant>
        <vt:i4>5</vt:i4>
      </vt:variant>
      <vt:variant>
        <vt:lpwstr>https://www.wipo.int/amc/en/center/specific-sectors/</vt:lpwstr>
      </vt:variant>
      <vt:variant>
        <vt:lpwstr/>
      </vt:variant>
      <vt:variant>
        <vt:i4>524352</vt:i4>
      </vt:variant>
      <vt:variant>
        <vt:i4>9</vt:i4>
      </vt:variant>
      <vt:variant>
        <vt:i4>0</vt:i4>
      </vt:variant>
      <vt:variant>
        <vt:i4>5</vt:i4>
      </vt:variant>
      <vt:variant>
        <vt:lpwstr>https://www.wipo.int/amc/en/eadr/checklist/index.html</vt:lpwstr>
      </vt:variant>
      <vt:variant>
        <vt:lpwstr/>
      </vt:variant>
      <vt:variant>
        <vt:i4>524293</vt:i4>
      </vt:variant>
      <vt:variant>
        <vt:i4>6</vt:i4>
      </vt:variant>
      <vt:variant>
        <vt:i4>0</vt:i4>
      </vt:variant>
      <vt:variant>
        <vt:i4>5</vt:i4>
      </vt:variant>
      <vt:variant>
        <vt:lpwstr>https://www.wipo.int/amc/en/eadr/</vt:lpwstr>
      </vt:variant>
      <vt:variant>
        <vt:lpwstr/>
      </vt:variant>
      <vt:variant>
        <vt:i4>393309</vt:i4>
      </vt:variant>
      <vt:variant>
        <vt:i4>3</vt:i4>
      </vt:variant>
      <vt:variant>
        <vt:i4>0</vt:i4>
      </vt:variant>
      <vt:variant>
        <vt:i4>5</vt:i4>
      </vt:variant>
      <vt:variant>
        <vt:lpwstr>https://www.wipo.int/about-wipo/ru/assemblies/2024/a-65/doc_details.jsp?doc_id=606995</vt:lpwstr>
      </vt:variant>
      <vt:variant>
        <vt:lpwstr/>
      </vt:variant>
      <vt:variant>
        <vt:i4>6881360</vt:i4>
      </vt:variant>
      <vt:variant>
        <vt:i4>180</vt:i4>
      </vt:variant>
      <vt:variant>
        <vt:i4>0</vt:i4>
      </vt:variant>
      <vt:variant>
        <vt:i4>5</vt:i4>
      </vt:variant>
      <vt:variant>
        <vt:lpwstr>https://www.wipo.int/meetings/ru/details.jsp?meeting_id=42547&amp;la=ES</vt:lpwstr>
      </vt:variant>
      <vt:variant>
        <vt:lpwstr/>
      </vt:variant>
      <vt:variant>
        <vt:i4>6357047</vt:i4>
      </vt:variant>
      <vt:variant>
        <vt:i4>177</vt:i4>
      </vt:variant>
      <vt:variant>
        <vt:i4>0</vt:i4>
      </vt:variant>
      <vt:variant>
        <vt:i4>5</vt:i4>
      </vt:variant>
      <vt:variant>
        <vt:lpwstr>https://www.wipo.int/meetings/en/doc_details.jsp?doc_id=567651</vt:lpwstr>
      </vt:variant>
      <vt:variant>
        <vt:lpwstr/>
      </vt:variant>
      <vt:variant>
        <vt:i4>6619185</vt:i4>
      </vt:variant>
      <vt:variant>
        <vt:i4>174</vt:i4>
      </vt:variant>
      <vt:variant>
        <vt:i4>0</vt:i4>
      </vt:variant>
      <vt:variant>
        <vt:i4>5</vt:i4>
      </vt:variant>
      <vt:variant>
        <vt:lpwstr>https://www.wipo.int/meetings/en/doc_details.jsp?doc_id=533771</vt:lpwstr>
      </vt:variant>
      <vt:variant>
        <vt:lpwstr/>
      </vt:variant>
      <vt:variant>
        <vt:i4>8323116</vt:i4>
      </vt:variant>
      <vt:variant>
        <vt:i4>171</vt:i4>
      </vt:variant>
      <vt:variant>
        <vt:i4>0</vt:i4>
      </vt:variant>
      <vt:variant>
        <vt:i4>5</vt:i4>
      </vt:variant>
      <vt:variant>
        <vt:lpwstr>https://www.wipo.int/meetings/ru/doc_details.jsp?doc_id=467381</vt:lpwstr>
      </vt:variant>
      <vt:variant>
        <vt:lpwstr/>
      </vt:variant>
      <vt:variant>
        <vt:i4>7929890</vt:i4>
      </vt:variant>
      <vt:variant>
        <vt:i4>168</vt:i4>
      </vt:variant>
      <vt:variant>
        <vt:i4>0</vt:i4>
      </vt:variant>
      <vt:variant>
        <vt:i4>5</vt:i4>
      </vt:variant>
      <vt:variant>
        <vt:lpwstr>https://www.wipo.int/meetings/ru/doc_details.jsp?doc_id=452235</vt:lpwstr>
      </vt:variant>
      <vt:variant>
        <vt:lpwstr/>
      </vt:variant>
      <vt:variant>
        <vt:i4>8126508</vt:i4>
      </vt:variant>
      <vt:variant>
        <vt:i4>165</vt:i4>
      </vt:variant>
      <vt:variant>
        <vt:i4>0</vt:i4>
      </vt:variant>
      <vt:variant>
        <vt:i4>5</vt:i4>
      </vt:variant>
      <vt:variant>
        <vt:lpwstr>https://www.wipo.int/meetings/ru/doc_details.jsp?doc_id=428471</vt:lpwstr>
      </vt:variant>
      <vt:variant>
        <vt:lpwstr/>
      </vt:variant>
      <vt:variant>
        <vt:i4>7733283</vt:i4>
      </vt:variant>
      <vt:variant>
        <vt:i4>162</vt:i4>
      </vt:variant>
      <vt:variant>
        <vt:i4>0</vt:i4>
      </vt:variant>
      <vt:variant>
        <vt:i4>5</vt:i4>
      </vt:variant>
      <vt:variant>
        <vt:lpwstr>https://www.wipo.int/meetings/ru/doc_details.jsp?doc_id=416569</vt:lpwstr>
      </vt:variant>
      <vt:variant>
        <vt:lpwstr/>
      </vt:variant>
      <vt:variant>
        <vt:i4>7471142</vt:i4>
      </vt:variant>
      <vt:variant>
        <vt:i4>159</vt:i4>
      </vt:variant>
      <vt:variant>
        <vt:i4>0</vt:i4>
      </vt:variant>
      <vt:variant>
        <vt:i4>5</vt:i4>
      </vt:variant>
      <vt:variant>
        <vt:lpwstr>https://www.wipo.int/meetings/ru/doc_details.jsp?doc_id=400158</vt:lpwstr>
      </vt:variant>
      <vt:variant>
        <vt:lpwstr/>
      </vt:variant>
      <vt:variant>
        <vt:i4>7536677</vt:i4>
      </vt:variant>
      <vt:variant>
        <vt:i4>156</vt:i4>
      </vt:variant>
      <vt:variant>
        <vt:i4>0</vt:i4>
      </vt:variant>
      <vt:variant>
        <vt:i4>5</vt:i4>
      </vt:variant>
      <vt:variant>
        <vt:lpwstr>https://www.wipo.int/meetings/ru/doc_details.jsp?doc_id=383222</vt:lpwstr>
      </vt:variant>
      <vt:variant>
        <vt:lpwstr/>
      </vt:variant>
      <vt:variant>
        <vt:i4>7798816</vt:i4>
      </vt:variant>
      <vt:variant>
        <vt:i4>153</vt:i4>
      </vt:variant>
      <vt:variant>
        <vt:i4>0</vt:i4>
      </vt:variant>
      <vt:variant>
        <vt:i4>5</vt:i4>
      </vt:variant>
      <vt:variant>
        <vt:lpwstr>https://www.wipo.int/meetings/ru/doc_details.jsp?doc_id=364802</vt:lpwstr>
      </vt:variant>
      <vt:variant>
        <vt:lpwstr/>
      </vt:variant>
      <vt:variant>
        <vt:i4>8257575</vt:i4>
      </vt:variant>
      <vt:variant>
        <vt:i4>150</vt:i4>
      </vt:variant>
      <vt:variant>
        <vt:i4>0</vt:i4>
      </vt:variant>
      <vt:variant>
        <vt:i4>5</vt:i4>
      </vt:variant>
      <vt:variant>
        <vt:lpwstr>https://www.wipo.int/meetings/ru/doc_details.jsp?doc_id=364576</vt:lpwstr>
      </vt:variant>
      <vt:variant>
        <vt:lpwstr/>
      </vt:variant>
      <vt:variant>
        <vt:i4>5242974</vt:i4>
      </vt:variant>
      <vt:variant>
        <vt:i4>147</vt:i4>
      </vt:variant>
      <vt:variant>
        <vt:i4>0</vt:i4>
      </vt:variant>
      <vt:variant>
        <vt:i4>5</vt:i4>
      </vt:variant>
      <vt:variant>
        <vt:lpwstr>https://www.icann.org/en/system/files/files/implementation-memo-two-character-ascii-labels-22jan19-en.pdf</vt:lpwstr>
      </vt:variant>
      <vt:variant>
        <vt:lpwstr/>
      </vt:variant>
      <vt:variant>
        <vt:i4>393248</vt:i4>
      </vt:variant>
      <vt:variant>
        <vt:i4>144</vt:i4>
      </vt:variant>
      <vt:variant>
        <vt:i4>0</vt:i4>
      </vt:variant>
      <vt:variant>
        <vt:i4>5</vt:i4>
      </vt:variant>
      <vt:variant>
        <vt:lpwstr>https://www.europarl.europa.eu/doceo/document/TA-9-2024-0101_EN.html</vt:lpwstr>
      </vt:variant>
      <vt:variant>
        <vt:lpwstr/>
      </vt:variant>
      <vt:variant>
        <vt:i4>7143538</vt:i4>
      </vt:variant>
      <vt:variant>
        <vt:i4>141</vt:i4>
      </vt:variant>
      <vt:variant>
        <vt:i4>0</vt:i4>
      </vt:variant>
      <vt:variant>
        <vt:i4>5</vt:i4>
      </vt:variant>
      <vt:variant>
        <vt:lpwstr>https://eur-lex.europa.eu/legal-content/EN/TXT/?uri=CELEX%3A32023R2411</vt:lpwstr>
      </vt:variant>
      <vt:variant>
        <vt:lpwstr/>
      </vt:variant>
      <vt:variant>
        <vt:i4>3735585</vt:i4>
      </vt:variant>
      <vt:variant>
        <vt:i4>138</vt:i4>
      </vt:variant>
      <vt:variant>
        <vt:i4>0</vt:i4>
      </vt:variant>
      <vt:variant>
        <vt:i4>5</vt:i4>
      </vt:variant>
      <vt:variant>
        <vt:lpwstr>https://www.icann.org/resources/board-material/resolutions-2019-05-15-en%231.c</vt:lpwstr>
      </vt:variant>
      <vt:variant>
        <vt:lpwstr/>
      </vt:variant>
      <vt:variant>
        <vt:i4>1376267</vt:i4>
      </vt:variant>
      <vt:variant>
        <vt:i4>135</vt:i4>
      </vt:variant>
      <vt:variant>
        <vt:i4>0</vt:i4>
      </vt:variant>
      <vt:variant>
        <vt:i4>5</vt:i4>
      </vt:variant>
      <vt:variant>
        <vt:lpwstr>https://gacweb.icann.org/download/attachments/27132037/Geo names in new gTLDs Updated  V3  29 august 2014%5B4%5D.pdf?version=1&amp;modificationDate=1411549935000&amp;api=v2</vt:lpwstr>
      </vt:variant>
      <vt:variant>
        <vt:lpwstr/>
      </vt:variant>
      <vt:variant>
        <vt:i4>1507396</vt:i4>
      </vt:variant>
      <vt:variant>
        <vt:i4>132</vt:i4>
      </vt:variant>
      <vt:variant>
        <vt:i4>0</vt:i4>
      </vt:variant>
      <vt:variant>
        <vt:i4>5</vt:i4>
      </vt:variant>
      <vt:variant>
        <vt:lpwstr>https://www.icann.org/en/system/files/correspondence/gac-to-board-11apr13-en.pdf</vt:lpwstr>
      </vt:variant>
      <vt:variant>
        <vt:lpwstr/>
      </vt:variant>
      <vt:variant>
        <vt:i4>76</vt:i4>
      </vt:variant>
      <vt:variant>
        <vt:i4>129</vt:i4>
      </vt:variant>
      <vt:variant>
        <vt:i4>0</vt:i4>
      </vt:variant>
      <vt:variant>
        <vt:i4>5</vt:i4>
      </vt:variant>
      <vt:variant>
        <vt:lpwstr>https://www.icann.org/en/system/files/correspondence/gac-to-board-27mar14-en.pdf</vt:lpwstr>
      </vt:variant>
      <vt:variant>
        <vt:lpwstr/>
      </vt:variant>
      <vt:variant>
        <vt:i4>6750260</vt:i4>
      </vt:variant>
      <vt:variant>
        <vt:i4>126</vt:i4>
      </vt:variant>
      <vt:variant>
        <vt:i4>0</vt:i4>
      </vt:variant>
      <vt:variant>
        <vt:i4>5</vt:i4>
      </vt:variant>
      <vt:variant>
        <vt:lpwstr>https://archive.icann.org/en/topics/new-gtlds/gac-principles-regarding-new-gtlds-28mar07-en.pdf</vt:lpwstr>
      </vt:variant>
      <vt:variant>
        <vt:lpwstr/>
      </vt:variant>
      <vt:variant>
        <vt:i4>4849679</vt:i4>
      </vt:variant>
      <vt:variant>
        <vt:i4>123</vt:i4>
      </vt:variant>
      <vt:variant>
        <vt:i4>0</vt:i4>
      </vt:variant>
      <vt:variant>
        <vt:i4>5</vt:i4>
      </vt:variant>
      <vt:variant>
        <vt:lpwstr>../../../../../Users/ferland/Desktop/www.ipconstituency.org/assets/Outreach/DRAFT - WHOIS Accreditation and Access Model v1.7.pdf</vt:lpwstr>
      </vt:variant>
      <vt:variant>
        <vt:lpwstr/>
      </vt:variant>
      <vt:variant>
        <vt:i4>5046278</vt:i4>
      </vt:variant>
      <vt:variant>
        <vt:i4>120</vt:i4>
      </vt:variant>
      <vt:variant>
        <vt:i4>0</vt:i4>
      </vt:variant>
      <vt:variant>
        <vt:i4>5</vt:i4>
      </vt:variant>
      <vt:variant>
        <vt:lpwstr>https://www.icann.org/en/system/files/files/framework-elements-unified-access-model-for-discussion-18jun18-en.pdf</vt:lpwstr>
      </vt:variant>
      <vt:variant>
        <vt:lpwstr/>
      </vt:variant>
      <vt:variant>
        <vt:i4>8061048</vt:i4>
      </vt:variant>
      <vt:variant>
        <vt:i4>117</vt:i4>
      </vt:variant>
      <vt:variant>
        <vt:i4>0</vt:i4>
      </vt:variant>
      <vt:variant>
        <vt:i4>5</vt:i4>
      </vt:variant>
      <vt:variant>
        <vt:lpwstr>https://mm.icann.org/pipermail/gnso-epdp-team/attachments/20200824/aeeab8dd/gac-minority-statement-epdp-phase2-24aug20-0001.pdf</vt:lpwstr>
      </vt:variant>
      <vt:variant>
        <vt:lpwstr/>
      </vt:variant>
      <vt:variant>
        <vt:i4>5963870</vt:i4>
      </vt:variant>
      <vt:variant>
        <vt:i4>114</vt:i4>
      </vt:variant>
      <vt:variant>
        <vt:i4>0</vt:i4>
      </vt:variant>
      <vt:variant>
        <vt:i4>5</vt:i4>
      </vt:variant>
      <vt:variant>
        <vt:lpwstr>https://gnso.icann.org/sites/default/files/file/field-file-attach/policy-briefing-icann70-03mar21-en.pdf</vt:lpwstr>
      </vt:variant>
      <vt:variant>
        <vt:lpwstr/>
      </vt:variant>
      <vt:variant>
        <vt:i4>196689</vt:i4>
      </vt:variant>
      <vt:variant>
        <vt:i4>111</vt:i4>
      </vt:variant>
      <vt:variant>
        <vt:i4>0</vt:i4>
      </vt:variant>
      <vt:variant>
        <vt:i4>5</vt:i4>
      </vt:variant>
      <vt:variant>
        <vt:lpwstr>https://gnso.icann.org/en/group-activities/active/gtld-registration-data-epdp-phase-2</vt:lpwstr>
      </vt:variant>
      <vt:variant>
        <vt:lpwstr/>
      </vt:variant>
      <vt:variant>
        <vt:i4>1572949</vt:i4>
      </vt:variant>
      <vt:variant>
        <vt:i4>108</vt:i4>
      </vt:variant>
      <vt:variant>
        <vt:i4>0</vt:i4>
      </vt:variant>
      <vt:variant>
        <vt:i4>5</vt:i4>
      </vt:variant>
      <vt:variant>
        <vt:lpwstr>https://gnso.icann.org/en/group-activities/active/gtld-registration-data-epdp</vt:lpwstr>
      </vt:variant>
      <vt:variant>
        <vt:lpwstr/>
      </vt:variant>
      <vt:variant>
        <vt:i4>983048</vt:i4>
      </vt:variant>
      <vt:variant>
        <vt:i4>105</vt:i4>
      </vt:variant>
      <vt:variant>
        <vt:i4>0</vt:i4>
      </vt:variant>
      <vt:variant>
        <vt:i4>5</vt:i4>
      </vt:variant>
      <vt:variant>
        <vt:lpwstr>../../../../../Users/ferland/Desktop/www.wipo.int/amc/en/domains/gdpr</vt:lpwstr>
      </vt:variant>
      <vt:variant>
        <vt:lpwstr/>
      </vt:variant>
      <vt:variant>
        <vt:i4>589851</vt:i4>
      </vt:variant>
      <vt:variant>
        <vt:i4>102</vt:i4>
      </vt:variant>
      <vt:variant>
        <vt:i4>0</vt:i4>
      </vt:variant>
      <vt:variant>
        <vt:i4>5</vt:i4>
      </vt:variant>
      <vt:variant>
        <vt:lpwstr>https://www.icann.org/en/announcements/details/icann-board-reaffirms-temporary-specification-for-gtld-registration-data-29-1-2019-en</vt:lpwstr>
      </vt:variant>
      <vt:variant>
        <vt:lpwstr/>
      </vt:variant>
      <vt:variant>
        <vt:i4>7602213</vt:i4>
      </vt:variant>
      <vt:variant>
        <vt:i4>99</vt:i4>
      </vt:variant>
      <vt:variant>
        <vt:i4>0</vt:i4>
      </vt:variant>
      <vt:variant>
        <vt:i4>5</vt:i4>
      </vt:variant>
      <vt:variant>
        <vt:lpwstr>../../../../../Users/ferland/Desktop/www.icann.org/resources/pages/gtld-registration-data-specs-en</vt:lpwstr>
      </vt:variant>
      <vt:variant>
        <vt:lpwstr/>
      </vt:variant>
      <vt:variant>
        <vt:i4>2424880</vt:i4>
      </vt:variant>
      <vt:variant>
        <vt:i4>96</vt:i4>
      </vt:variant>
      <vt:variant>
        <vt:i4>0</vt:i4>
      </vt:variant>
      <vt:variant>
        <vt:i4>5</vt:i4>
      </vt:variant>
      <vt:variant>
        <vt:lpwstr>../../../../../Users/ferland/Desktop/gnso.icann.org/en/issues/new-gtlds/rpm-final-issue-11jan16-en.pdf</vt:lpwstr>
      </vt:variant>
      <vt:variant>
        <vt:lpwstr/>
      </vt:variant>
      <vt:variant>
        <vt:i4>4128809</vt:i4>
      </vt:variant>
      <vt:variant>
        <vt:i4>93</vt:i4>
      </vt:variant>
      <vt:variant>
        <vt:i4>0</vt:i4>
      </vt:variant>
      <vt:variant>
        <vt:i4>5</vt:i4>
      </vt:variant>
      <vt:variant>
        <vt:lpwstr>https://www.icann.org/resources/board-material/resolutions-2022-01-16-en%232.a</vt:lpwstr>
      </vt:variant>
      <vt:variant>
        <vt:lpwstr/>
      </vt:variant>
      <vt:variant>
        <vt:i4>786526</vt:i4>
      </vt:variant>
      <vt:variant>
        <vt:i4>90</vt:i4>
      </vt:variant>
      <vt:variant>
        <vt:i4>0</vt:i4>
      </vt:variant>
      <vt:variant>
        <vt:i4>5</vt:i4>
      </vt:variant>
      <vt:variant>
        <vt:lpwstr>https://gnso.icann.org/sites/default/files/policy/2021/presentation/presentation-gnso-rpm-final-report-11Jan21-en.pdf</vt:lpwstr>
      </vt:variant>
      <vt:variant>
        <vt:lpwstr/>
      </vt:variant>
      <vt:variant>
        <vt:i4>7667757</vt:i4>
      </vt:variant>
      <vt:variant>
        <vt:i4>87</vt:i4>
      </vt:variant>
      <vt:variant>
        <vt:i4>0</vt:i4>
      </vt:variant>
      <vt:variant>
        <vt:i4>5</vt:i4>
      </vt:variant>
      <vt:variant>
        <vt:lpwstr>https://gnso.icann.org/sites/default/files/file/field-file-attach/council-recommendations-rpm-pdp-phase-1-report-10feb21-en.pdf</vt:lpwstr>
      </vt:variant>
      <vt:variant>
        <vt:lpwstr/>
      </vt:variant>
      <vt:variant>
        <vt:i4>1310786</vt:i4>
      </vt:variant>
      <vt:variant>
        <vt:i4>84</vt:i4>
      </vt:variant>
      <vt:variant>
        <vt:i4>0</vt:i4>
      </vt:variant>
      <vt:variant>
        <vt:i4>5</vt:i4>
      </vt:variant>
      <vt:variant>
        <vt:lpwstr>https://www.wipo.int/about-wipo/en/assemblies/2024/a-65/doc_details.jsp?doc_id=136276</vt:lpwstr>
      </vt:variant>
      <vt:variant>
        <vt:lpwstr/>
      </vt:variant>
      <vt:variant>
        <vt:i4>7864370</vt:i4>
      </vt:variant>
      <vt:variant>
        <vt:i4>81</vt:i4>
      </vt:variant>
      <vt:variant>
        <vt:i4>0</vt:i4>
      </vt:variant>
      <vt:variant>
        <vt:i4>5</vt:i4>
      </vt:variant>
      <vt:variant>
        <vt:lpwstr>https://community.icann.org/display/gnsoudrpdt/Webinar+on+the+Current+State+of+the+UDRP</vt:lpwstr>
      </vt:variant>
      <vt:variant>
        <vt:lpwstr/>
      </vt:variant>
      <vt:variant>
        <vt:i4>3145779</vt:i4>
      </vt:variant>
      <vt:variant>
        <vt:i4>78</vt:i4>
      </vt:variant>
      <vt:variant>
        <vt:i4>0</vt:i4>
      </vt:variant>
      <vt:variant>
        <vt:i4>5</vt:i4>
      </vt:variant>
      <vt:variant>
        <vt:lpwstr>../../../../../Users/ferland/Desktop/toronto45.icann.org/node/34325</vt:lpwstr>
      </vt:variant>
      <vt:variant>
        <vt:lpwstr/>
      </vt:variant>
      <vt:variant>
        <vt:i4>7471136</vt:i4>
      </vt:variant>
      <vt:variant>
        <vt:i4>75</vt:i4>
      </vt:variant>
      <vt:variant>
        <vt:i4>0</vt:i4>
      </vt:variant>
      <vt:variant>
        <vt:i4>5</vt:i4>
      </vt:variant>
      <vt:variant>
        <vt:lpwstr>../../../../../Users/ferland/Desktop/prague44.icann.org/node/31773</vt:lpwstr>
      </vt:variant>
      <vt:variant>
        <vt:lpwstr/>
      </vt:variant>
      <vt:variant>
        <vt:i4>3145783</vt:i4>
      </vt:variant>
      <vt:variant>
        <vt:i4>72</vt:i4>
      </vt:variant>
      <vt:variant>
        <vt:i4>0</vt:i4>
      </vt:variant>
      <vt:variant>
        <vt:i4>5</vt:i4>
      </vt:variant>
      <vt:variant>
        <vt:lpwstr>http://www.wipo.int/amc/en/docs/icann030409.pdf</vt:lpwstr>
      </vt:variant>
      <vt:variant>
        <vt:lpwstr/>
      </vt:variant>
      <vt:variant>
        <vt:i4>4063328</vt:i4>
      </vt:variant>
      <vt:variant>
        <vt:i4>69</vt:i4>
      </vt:variant>
      <vt:variant>
        <vt:i4>0</vt:i4>
      </vt:variant>
      <vt:variant>
        <vt:i4>5</vt:i4>
      </vt:variant>
      <vt:variant>
        <vt:lpwstr>../../../../../Users/ferland/Desktop/gtldresult.icann.org/applicationstatus/applicationdetails:downloadapplication/1343</vt:lpwstr>
      </vt:variant>
      <vt:variant>
        <vt:lpwstr/>
      </vt:variant>
      <vt:variant>
        <vt:i4>5111898</vt:i4>
      </vt:variant>
      <vt:variant>
        <vt:i4>66</vt:i4>
      </vt:variant>
      <vt:variant>
        <vt:i4>0</vt:i4>
      </vt:variant>
      <vt:variant>
        <vt:i4>5</vt:i4>
      </vt:variant>
      <vt:variant>
        <vt:lpwstr>https://www.wipo.int/amc/en/docs/icann130309.pdf</vt:lpwstr>
      </vt:variant>
      <vt:variant>
        <vt:lpwstr/>
      </vt:variant>
      <vt:variant>
        <vt:i4>1310786</vt:i4>
      </vt:variant>
      <vt:variant>
        <vt:i4>63</vt:i4>
      </vt:variant>
      <vt:variant>
        <vt:i4>0</vt:i4>
      </vt:variant>
      <vt:variant>
        <vt:i4>5</vt:i4>
      </vt:variant>
      <vt:variant>
        <vt:lpwstr>https://www.wipo.int/about-wipo/en/assemblies/2024/a-65/doc_details.jsp?doc_id=136276</vt:lpwstr>
      </vt:variant>
      <vt:variant>
        <vt:lpwstr/>
      </vt:variant>
      <vt:variant>
        <vt:i4>6357100</vt:i4>
      </vt:variant>
      <vt:variant>
        <vt:i4>60</vt:i4>
      </vt:variant>
      <vt:variant>
        <vt:i4>0</vt:i4>
      </vt:variant>
      <vt:variant>
        <vt:i4>5</vt:i4>
      </vt:variant>
      <vt:variant>
        <vt:lpwstr>https://newgtlds.icann.org/en/program-status/delegated-strings</vt:lpwstr>
      </vt:variant>
      <vt:variant>
        <vt:lpwstr/>
      </vt:variant>
      <vt:variant>
        <vt:i4>5963776</vt:i4>
      </vt:variant>
      <vt:variant>
        <vt:i4>57</vt:i4>
      </vt:variant>
      <vt:variant>
        <vt:i4>0</vt:i4>
      </vt:variant>
      <vt:variant>
        <vt:i4>5</vt:i4>
      </vt:variant>
      <vt:variant>
        <vt:lpwstr>https://www.wipo.int/amc/en/domains/cctld</vt:lpwstr>
      </vt:variant>
      <vt:variant>
        <vt:lpwstr/>
      </vt:variant>
      <vt:variant>
        <vt:i4>4325376</vt:i4>
      </vt:variant>
      <vt:variant>
        <vt:i4>54</vt:i4>
      </vt:variant>
      <vt:variant>
        <vt:i4>0</vt:i4>
      </vt:variant>
      <vt:variant>
        <vt:i4>5</vt:i4>
      </vt:variant>
      <vt:variant>
        <vt:lpwstr>https://www.wipo.int/amc/en/domains/gdpr/</vt:lpwstr>
      </vt:variant>
      <vt:variant>
        <vt:lpwstr/>
      </vt:variant>
      <vt:variant>
        <vt:i4>3997819</vt:i4>
      </vt:variant>
      <vt:variant>
        <vt:i4>51</vt:i4>
      </vt:variant>
      <vt:variant>
        <vt:i4>0</vt:i4>
      </vt:variant>
      <vt:variant>
        <vt:i4>5</vt:i4>
      </vt:variant>
      <vt:variant>
        <vt:lpwstr>https://www.wipo.int/amc/en/domains/statistics</vt:lpwstr>
      </vt:variant>
      <vt:variant>
        <vt:lpwstr/>
      </vt:variant>
      <vt:variant>
        <vt:i4>3539058</vt:i4>
      </vt:variant>
      <vt:variant>
        <vt:i4>48</vt:i4>
      </vt:variant>
      <vt:variant>
        <vt:i4>0</vt:i4>
      </vt:variant>
      <vt:variant>
        <vt:i4>5</vt:i4>
      </vt:variant>
      <vt:variant>
        <vt:lpwstr>https://www.wipo.int/amc/en/domains/challenged</vt:lpwstr>
      </vt:variant>
      <vt:variant>
        <vt:lpwstr/>
      </vt:variant>
      <vt:variant>
        <vt:i4>5373985</vt:i4>
      </vt:variant>
      <vt:variant>
        <vt:i4>45</vt:i4>
      </vt:variant>
      <vt:variant>
        <vt:i4>0</vt:i4>
      </vt:variant>
      <vt:variant>
        <vt:i4>5</vt:i4>
      </vt:variant>
      <vt:variant>
        <vt:lpwstr>https://www.wipo.int/meetings/en/details.jsp?meeting_id=74608</vt:lpwstr>
      </vt:variant>
      <vt:variant>
        <vt:lpwstr/>
      </vt:variant>
      <vt:variant>
        <vt:i4>5046372</vt:i4>
      </vt:variant>
      <vt:variant>
        <vt:i4>42</vt:i4>
      </vt:variant>
      <vt:variant>
        <vt:i4>0</vt:i4>
      </vt:variant>
      <vt:variant>
        <vt:i4>5</vt:i4>
      </vt:variant>
      <vt:variant>
        <vt:lpwstr>https://www.wipo.int/newsletters-archive/en/adr_highlights.html</vt:lpwstr>
      </vt:variant>
      <vt:variant>
        <vt:lpwstr/>
      </vt:variant>
      <vt:variant>
        <vt:i4>7012395</vt:i4>
      </vt:variant>
      <vt:variant>
        <vt:i4>39</vt:i4>
      </vt:variant>
      <vt:variant>
        <vt:i4>0</vt:i4>
      </vt:variant>
      <vt:variant>
        <vt:i4>5</vt:i4>
      </vt:variant>
      <vt:variant>
        <vt:lpwstr>https://www.wipo.int/amc/en/center/specific-sectors/rd/</vt:lpwstr>
      </vt:variant>
      <vt:variant>
        <vt:lpwstr/>
      </vt:variant>
      <vt:variant>
        <vt:i4>5111819</vt:i4>
      </vt:variant>
      <vt:variant>
        <vt:i4>36</vt:i4>
      </vt:variant>
      <vt:variant>
        <vt:i4>0</vt:i4>
      </vt:variant>
      <vt:variant>
        <vt:i4>5</vt:i4>
      </vt:variant>
      <vt:variant>
        <vt:lpwstr>https://www.wipo.int/amc/en/center/specific-sectors/ipoffices/mexico/indautor</vt:lpwstr>
      </vt:variant>
      <vt:variant>
        <vt:lpwstr/>
      </vt:variant>
      <vt:variant>
        <vt:i4>3801129</vt:i4>
      </vt:variant>
      <vt:variant>
        <vt:i4>33</vt:i4>
      </vt:variant>
      <vt:variant>
        <vt:i4>0</vt:i4>
      </vt:variant>
      <vt:variant>
        <vt:i4>5</vt:i4>
      </vt:variant>
      <vt:variant>
        <vt:lpwstr>https://www.wipo.int/amc/en/center/specific-sectors/ipoffices/</vt:lpwstr>
      </vt:variant>
      <vt:variant>
        <vt:lpwstr/>
      </vt:variant>
      <vt:variant>
        <vt:i4>5242974</vt:i4>
      </vt:variant>
      <vt:variant>
        <vt:i4>30</vt:i4>
      </vt:variant>
      <vt:variant>
        <vt:i4>0</vt:i4>
      </vt:variant>
      <vt:variant>
        <vt:i4>5</vt:i4>
      </vt:variant>
      <vt:variant>
        <vt:lpwstr>https://webcast.wipo.int/video/OTHER_WIPO_SEMINAR_1_2022-11-29_PM_117643</vt:lpwstr>
      </vt:variant>
      <vt:variant>
        <vt:lpwstr/>
      </vt:variant>
      <vt:variant>
        <vt:i4>4128887</vt:i4>
      </vt:variant>
      <vt:variant>
        <vt:i4>27</vt:i4>
      </vt:variant>
      <vt:variant>
        <vt:i4>0</vt:i4>
      </vt:variant>
      <vt:variant>
        <vt:i4>5</vt:i4>
      </vt:variant>
      <vt:variant>
        <vt:lpwstr>https://medicinespatentpool.org/progress-achievements/licences</vt:lpwstr>
      </vt:variant>
      <vt:variant>
        <vt:lpwstr/>
      </vt:variant>
      <vt:variant>
        <vt:i4>1441841</vt:i4>
      </vt:variant>
      <vt:variant>
        <vt:i4>24</vt:i4>
      </vt:variant>
      <vt:variant>
        <vt:i4>0</vt:i4>
      </vt:variant>
      <vt:variant>
        <vt:i4>5</vt:i4>
      </vt:variant>
      <vt:variant>
        <vt:lpwstr>https://www.wipo.int/export/sites/www/amc/en/docs/2022/wipo_adr_options_for_frand_disputes_management_resolution.pdf</vt:lpwstr>
      </vt:variant>
      <vt:variant>
        <vt:lpwstr/>
      </vt:variant>
      <vt:variant>
        <vt:i4>2687023</vt:i4>
      </vt:variant>
      <vt:variant>
        <vt:i4>21</vt:i4>
      </vt:variant>
      <vt:variant>
        <vt:i4>0</vt:i4>
      </vt:variant>
      <vt:variant>
        <vt:i4>5</vt:i4>
      </vt:variant>
      <vt:variant>
        <vt:lpwstr>https://www.wipo.int/amc/en/center/background.html</vt:lpwstr>
      </vt:variant>
      <vt:variant>
        <vt:lpwstr/>
      </vt:variant>
      <vt:variant>
        <vt:i4>7798860</vt:i4>
      </vt:variant>
      <vt:variant>
        <vt:i4>18</vt:i4>
      </vt:variant>
      <vt:variant>
        <vt:i4>0</vt:i4>
      </vt:variant>
      <vt:variant>
        <vt:i4>5</vt:i4>
      </vt:variant>
      <vt:variant>
        <vt:lpwstr>https://www.wipo.int/about-wipo/en/offices/singapore/news/2023/news_0011.html</vt:lpwstr>
      </vt:variant>
      <vt:variant>
        <vt:lpwstr/>
      </vt:variant>
      <vt:variant>
        <vt:i4>4980754</vt:i4>
      </vt:variant>
      <vt:variant>
        <vt:i4>15</vt:i4>
      </vt:variant>
      <vt:variant>
        <vt:i4>0</vt:i4>
      </vt:variant>
      <vt:variant>
        <vt:i4>5</vt:i4>
      </vt:variant>
      <vt:variant>
        <vt:lpwstr>https://www.ipos.gov.sg/docs/default-source/protecting-your-ideas/hearings-mediation/mediation-cases.pdf</vt:lpwstr>
      </vt:variant>
      <vt:variant>
        <vt:lpwstr/>
      </vt:variant>
      <vt:variant>
        <vt:i4>720905</vt:i4>
      </vt:variant>
      <vt:variant>
        <vt:i4>12</vt:i4>
      </vt:variant>
      <vt:variant>
        <vt:i4>0</vt:i4>
      </vt:variant>
      <vt:variant>
        <vt:i4>5</vt:i4>
      </vt:variant>
      <vt:variant>
        <vt:lpwstr>http://www.wipo.int/amc/en/center/specific-sectors/smes/</vt:lpwstr>
      </vt:variant>
      <vt:variant>
        <vt:lpwstr/>
      </vt:variant>
      <vt:variant>
        <vt:i4>3407915</vt:i4>
      </vt:variant>
      <vt:variant>
        <vt:i4>9</vt:i4>
      </vt:variant>
      <vt:variant>
        <vt:i4>0</vt:i4>
      </vt:variant>
      <vt:variant>
        <vt:i4>5</vt:i4>
      </vt:variant>
      <vt:variant>
        <vt:lpwstr>https://amc.wipo.int/clause-generator/</vt:lpwstr>
      </vt:variant>
      <vt:variant>
        <vt:lpwstr/>
      </vt:variant>
      <vt:variant>
        <vt:i4>6422637</vt:i4>
      </vt:variant>
      <vt:variant>
        <vt:i4>6</vt:i4>
      </vt:variant>
      <vt:variant>
        <vt:i4>0</vt:i4>
      </vt:variant>
      <vt:variant>
        <vt:i4>5</vt:i4>
      </vt:variant>
      <vt:variant>
        <vt:lpwstr>https://www.wipo.int/amc/ru/clauses/index.html</vt:lpwstr>
      </vt:variant>
      <vt:variant>
        <vt:lpwstr/>
      </vt:variant>
      <vt:variant>
        <vt:i4>1769499</vt:i4>
      </vt:variant>
      <vt:variant>
        <vt:i4>3</vt:i4>
      </vt:variant>
      <vt:variant>
        <vt:i4>0</vt:i4>
      </vt:variant>
      <vt:variant>
        <vt:i4>5</vt:i4>
      </vt:variant>
      <vt:variant>
        <vt:lpwstr>http://www.wipo.int/amc/en/events</vt:lpwstr>
      </vt:variant>
      <vt:variant>
        <vt:lpwstr/>
      </vt:variant>
      <vt:variant>
        <vt:i4>6815845</vt:i4>
      </vt:variant>
      <vt:variant>
        <vt:i4>0</vt:i4>
      </vt:variant>
      <vt:variant>
        <vt:i4>0</vt:i4>
      </vt:variant>
      <vt:variant>
        <vt:i4>5</vt:i4>
      </vt:variant>
      <vt:variant>
        <vt:lpwstr>https://www.wipo.int/amc/en/goodoffices/index.html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WO/GA/57/10</dc:title>
  <dc:subject/>
  <dc:creator>WIPO</dc:creator>
  <cp:keywords>PUBLIC</cp:keywords>
  <dc:description/>
  <cp:lastModifiedBy>HÄFLIGER Patience</cp:lastModifiedBy>
  <cp:revision>3</cp:revision>
  <cp:lastPrinted>2024-04-19T08:13:00Z</cp:lastPrinted>
  <dcterms:created xsi:type="dcterms:W3CDTF">2024-05-03T14:04:00Z</dcterms:created>
  <dcterms:modified xsi:type="dcterms:W3CDTF">2024-05-03T14:06:00Z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2024-05-03T12:41:02Z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5bf32da4-9721-4195-8587-e4c4b601eab1</vt:lpwstr>
  </property>
  <property fmtid="{D5CDD505-2E9C-101B-9397-08002B2CF9AE}" pid="14" name="MSIP_Label_20773ee6-353b-4fb9-a59d-0b94c8c67bea_ContentBits">
    <vt:lpwstr>0</vt:lpwstr>
  </property>
</Properties>
</file>