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7244B" w14:textId="6F881BB9" w:rsidR="007F3E6C" w:rsidRPr="007B6B33" w:rsidRDefault="00C6767C" w:rsidP="007F3E6C">
      <w:pPr>
        <w:spacing w:after="120"/>
        <w:jc w:val="right"/>
        <w:rPr>
          <w:color w:val="auto"/>
        </w:rPr>
      </w:pPr>
      <w:r w:rsidRPr="0042194C">
        <w:rPr>
          <w:noProof/>
          <w:lang w:val="en-US"/>
        </w:rPr>
        <w:drawing>
          <wp:inline distT="0" distB="0" distL="0" distR="0" wp14:anchorId="539C753A" wp14:editId="344A1700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3E6C">
        <w:rPr>
          <w:rFonts w:ascii="Arial Black" w:hAnsi="Arial Black"/>
          <w:caps/>
          <w:noProof/>
          <w:color w:val="auto"/>
          <w:sz w:val="15"/>
        </w:rPr>
        <mc:AlternateContent>
          <mc:Choice Requires="wps">
            <w:drawing>
              <wp:inline distT="0" distB="0" distL="0" distR="0" wp14:anchorId="17D66815" wp14:editId="1244AC0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339C70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78784382" w14:textId="44825A54" w:rsidR="007F3E6C" w:rsidRPr="007B6B33" w:rsidRDefault="007F3E6C" w:rsidP="007F3E6C">
      <w:pPr>
        <w:jc w:val="right"/>
        <w:rPr>
          <w:rFonts w:ascii="Arial Black" w:hAnsi="Arial Black"/>
          <w:caps/>
          <w:color w:val="auto"/>
          <w:sz w:val="15"/>
          <w:szCs w:val="15"/>
        </w:rPr>
      </w:pPr>
      <w:r>
        <w:rPr>
          <w:rFonts w:ascii="Arial Black" w:hAnsi="Arial Black"/>
          <w:caps/>
          <w:color w:val="auto"/>
          <w:sz w:val="15"/>
        </w:rPr>
        <w:t>WO/GA/57/</w:t>
      </w:r>
      <w:bookmarkStart w:id="0" w:name="Code"/>
      <w:bookmarkEnd w:id="0"/>
      <w:r>
        <w:rPr>
          <w:rFonts w:ascii="Arial Black" w:hAnsi="Arial Black"/>
          <w:caps/>
          <w:color w:val="auto"/>
          <w:sz w:val="15"/>
        </w:rPr>
        <w:t>1</w:t>
      </w:r>
    </w:p>
    <w:p w14:paraId="38C2D281" w14:textId="77777777" w:rsidR="007F3E6C" w:rsidRPr="00407524" w:rsidRDefault="007F3E6C" w:rsidP="007F3E6C">
      <w:pPr>
        <w:jc w:val="right"/>
        <w:rPr>
          <w:rFonts w:ascii="Arial Black" w:hAnsi="Arial Black"/>
          <w:caps/>
          <w:color w:val="auto"/>
          <w:sz w:val="15"/>
          <w:szCs w:val="15"/>
        </w:rPr>
      </w:pPr>
      <w:r w:rsidRPr="00407524">
        <w:rPr>
          <w:rFonts w:ascii="Arial Black" w:hAnsi="Arial Black"/>
          <w:caps/>
          <w:color w:val="auto"/>
          <w:sz w:val="15"/>
        </w:rPr>
        <w:t xml:space="preserve">оригинал: </w:t>
      </w:r>
      <w:bookmarkStart w:id="1" w:name="Original"/>
      <w:r w:rsidRPr="00407524">
        <w:rPr>
          <w:rFonts w:ascii="Arial Black" w:hAnsi="Arial Black"/>
          <w:caps/>
          <w:color w:val="auto"/>
          <w:sz w:val="15"/>
        </w:rPr>
        <w:t>Английский</w:t>
      </w:r>
    </w:p>
    <w:bookmarkEnd w:id="1"/>
    <w:p w14:paraId="25127781" w14:textId="5D1BE543" w:rsidR="007F3E6C" w:rsidRPr="00407524" w:rsidRDefault="007F3E6C" w:rsidP="007F3E6C">
      <w:pPr>
        <w:spacing w:after="1200"/>
        <w:jc w:val="right"/>
        <w:rPr>
          <w:rFonts w:ascii="Arial Black" w:hAnsi="Arial Black"/>
          <w:caps/>
          <w:color w:val="auto"/>
          <w:sz w:val="15"/>
          <w:szCs w:val="15"/>
        </w:rPr>
      </w:pPr>
      <w:r w:rsidRPr="00407524">
        <w:rPr>
          <w:rFonts w:ascii="Arial Black" w:hAnsi="Arial Black"/>
          <w:caps/>
          <w:color w:val="auto"/>
          <w:sz w:val="15"/>
        </w:rPr>
        <w:t xml:space="preserve">ДАТА: </w:t>
      </w:r>
      <w:bookmarkStart w:id="2" w:name="Date"/>
      <w:r w:rsidRPr="00407524">
        <w:rPr>
          <w:rFonts w:ascii="Arial Black" w:hAnsi="Arial Black"/>
          <w:caps/>
          <w:color w:val="auto"/>
          <w:sz w:val="15"/>
        </w:rPr>
        <w:t xml:space="preserve"> </w:t>
      </w:r>
      <w:r w:rsidR="00407524" w:rsidRPr="00407524">
        <w:rPr>
          <w:rFonts w:ascii="Arial Black" w:hAnsi="Arial Black"/>
          <w:caps/>
          <w:color w:val="auto"/>
          <w:sz w:val="15"/>
        </w:rPr>
        <w:t>10</w:t>
      </w:r>
      <w:r w:rsidRPr="00407524">
        <w:rPr>
          <w:rFonts w:ascii="Arial Black" w:hAnsi="Arial Black"/>
          <w:caps/>
          <w:color w:val="auto"/>
          <w:sz w:val="15"/>
        </w:rPr>
        <w:t xml:space="preserve"> мая 2024 г.</w:t>
      </w:r>
    </w:p>
    <w:bookmarkEnd w:id="2"/>
    <w:p w14:paraId="507F6522" w14:textId="77777777" w:rsidR="007F3E6C" w:rsidRPr="007B6B33" w:rsidRDefault="007F3E6C" w:rsidP="007F3E6C">
      <w:pPr>
        <w:spacing w:after="60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</w:rPr>
        <w:t>Генеральная Ассамблея ВОИС</w:t>
      </w:r>
    </w:p>
    <w:p w14:paraId="425797F4" w14:textId="460C390B" w:rsidR="007F3E6C" w:rsidRPr="007B6B33" w:rsidRDefault="007F3E6C" w:rsidP="007F3E6C">
      <w:pPr>
        <w:rPr>
          <w:b/>
          <w:color w:val="auto"/>
          <w:sz w:val="24"/>
          <w:szCs w:val="24"/>
        </w:rPr>
      </w:pPr>
      <w:r>
        <w:rPr>
          <w:b/>
          <w:color w:val="auto"/>
          <w:sz w:val="24"/>
        </w:rPr>
        <w:t>Пятьдесят седьмая (</w:t>
      </w:r>
      <w:r w:rsidR="00407524">
        <w:rPr>
          <w:b/>
          <w:color w:val="auto"/>
          <w:sz w:val="24"/>
        </w:rPr>
        <w:t>31</w:t>
      </w:r>
      <w:r>
        <w:rPr>
          <w:b/>
          <w:color w:val="auto"/>
          <w:sz w:val="24"/>
        </w:rPr>
        <w:t xml:space="preserve">-я </w:t>
      </w:r>
      <w:r w:rsidR="00407524">
        <w:rPr>
          <w:b/>
          <w:color w:val="auto"/>
          <w:sz w:val="24"/>
        </w:rPr>
        <w:t>вне</w:t>
      </w:r>
      <w:r>
        <w:rPr>
          <w:b/>
          <w:color w:val="auto"/>
          <w:sz w:val="24"/>
        </w:rPr>
        <w:t>очередная) сессия</w:t>
      </w:r>
    </w:p>
    <w:p w14:paraId="356D33DF" w14:textId="327AA96E" w:rsidR="007F3E6C" w:rsidRPr="007B6B33" w:rsidRDefault="007F3E6C" w:rsidP="007F3E6C">
      <w:pPr>
        <w:spacing w:after="720"/>
        <w:rPr>
          <w:color w:val="auto"/>
        </w:rPr>
      </w:pPr>
      <w:r>
        <w:rPr>
          <w:b/>
          <w:color w:val="auto"/>
          <w:sz w:val="24"/>
        </w:rPr>
        <w:t>Женева, 9–17 июля 2024 года</w:t>
      </w:r>
    </w:p>
    <w:p w14:paraId="24989889" w14:textId="77777777" w:rsidR="007F3E6C" w:rsidRPr="007B6B33" w:rsidRDefault="007F3E6C" w:rsidP="007F3E6C">
      <w:pPr>
        <w:spacing w:after="360"/>
        <w:rPr>
          <w:caps/>
          <w:color w:val="auto"/>
          <w:sz w:val="24"/>
        </w:rPr>
      </w:pPr>
      <w:bookmarkStart w:id="3" w:name="TitleOfDoc"/>
      <w:r>
        <w:rPr>
          <w:caps/>
          <w:color w:val="auto"/>
          <w:sz w:val="24"/>
        </w:rPr>
        <w:t>Отчет Независимого консультативного комитета ВОИС по надзору (НККН)</w:t>
      </w:r>
    </w:p>
    <w:p w14:paraId="0D2093EB" w14:textId="77777777" w:rsidR="007F3E6C" w:rsidRPr="007B6B33" w:rsidRDefault="007F3E6C" w:rsidP="007F3E6C">
      <w:pPr>
        <w:spacing w:after="960"/>
        <w:rPr>
          <w:i/>
          <w:color w:val="auto"/>
        </w:rPr>
      </w:pPr>
      <w:bookmarkStart w:id="4" w:name="Prepared"/>
      <w:bookmarkEnd w:id="3"/>
      <w:r>
        <w:rPr>
          <w:i/>
          <w:color w:val="auto"/>
        </w:rPr>
        <w:t>подготовлен Независимым консультативным комитетом ВОИС по надзору (НККН)</w:t>
      </w:r>
    </w:p>
    <w:bookmarkEnd w:id="4"/>
    <w:p w14:paraId="2DE109AE" w14:textId="137BDD5A" w:rsidR="007F3E6C" w:rsidRPr="007B6B33" w:rsidRDefault="007F3E6C" w:rsidP="007F3E6C">
      <w:pPr>
        <w:pStyle w:val="ONUME"/>
        <w:numPr>
          <w:ilvl w:val="0"/>
          <w:numId w:val="33"/>
        </w:numPr>
      </w:pPr>
      <w:r>
        <w:t>В настоящем документе содержится отчет Независимого консультативного комитета ВОИС по надзору (НККН) (документ WO/PBC/37/2), направляемый в Комитет ВОИС по программе и бюджету (КПБ) для рассмотрения на его тридцать седьмой сессии (10–14 июня 2024 года).</w:t>
      </w:r>
    </w:p>
    <w:p w14:paraId="2D3D211E" w14:textId="73A87AA7" w:rsidR="007F3E6C" w:rsidRPr="007B6B33" w:rsidRDefault="007F3E6C" w:rsidP="007F3E6C">
      <w:pPr>
        <w:pStyle w:val="ONUME"/>
      </w:pPr>
      <w:r>
        <w:t>Все решения КПБ в отношении этого документа будут отражены в перечне решений, принятых Комитетом по программе и бюджету (документ A/65/6).</w:t>
      </w:r>
    </w:p>
    <w:p w14:paraId="708023A8" w14:textId="77777777" w:rsidR="007F3E6C" w:rsidRDefault="007F3E6C" w:rsidP="007F3E6C">
      <w:pPr>
        <w:autoSpaceDE w:val="0"/>
        <w:autoSpaceDN w:val="0"/>
        <w:adjustRightInd w:val="0"/>
        <w:ind w:left="5520"/>
        <w:rPr>
          <w:rFonts w:eastAsia="Times New Roman"/>
          <w:color w:val="auto"/>
        </w:rPr>
      </w:pPr>
    </w:p>
    <w:p w14:paraId="6C76C75E" w14:textId="77777777" w:rsidR="00C84614" w:rsidRPr="007B6B33" w:rsidRDefault="00C84614" w:rsidP="007F3E6C">
      <w:pPr>
        <w:autoSpaceDE w:val="0"/>
        <w:autoSpaceDN w:val="0"/>
        <w:adjustRightInd w:val="0"/>
        <w:ind w:left="5520"/>
        <w:rPr>
          <w:rFonts w:eastAsia="Times New Roman"/>
          <w:color w:val="auto"/>
        </w:rPr>
      </w:pPr>
    </w:p>
    <w:p w14:paraId="2C62A28A" w14:textId="53F6FE80" w:rsidR="007F3E6C" w:rsidRPr="007B6B33" w:rsidRDefault="007F3E6C" w:rsidP="007F3E6C">
      <w:pPr>
        <w:autoSpaceDE w:val="0"/>
        <w:autoSpaceDN w:val="0"/>
        <w:adjustRightInd w:val="0"/>
        <w:ind w:left="5520"/>
        <w:rPr>
          <w:color w:val="auto"/>
        </w:rPr>
      </w:pPr>
      <w:r>
        <w:rPr>
          <w:color w:val="auto"/>
        </w:rPr>
        <w:t>[Документ WO/PBC/37/2 следует]</w:t>
      </w:r>
    </w:p>
    <w:p w14:paraId="5C432009" w14:textId="77777777" w:rsidR="00A8381F" w:rsidRPr="00582027" w:rsidRDefault="007F3E6C" w:rsidP="00A8381F">
      <w:pPr>
        <w:spacing w:after="120"/>
        <w:jc w:val="right"/>
      </w:pPr>
      <w:r>
        <w:br w:type="page"/>
      </w:r>
      <w:r w:rsidR="00A8381F" w:rsidRPr="003B5EA0">
        <w:rPr>
          <w:noProof/>
          <w:lang w:val="en-US"/>
        </w:rPr>
        <w:lastRenderedPageBreak/>
        <w:drawing>
          <wp:inline distT="0" distB="0" distL="0" distR="0" wp14:anchorId="69B54FA0" wp14:editId="6BBCABE7">
            <wp:extent cx="3240405" cy="1631315"/>
            <wp:effectExtent l="0" t="0" r="0" b="6985"/>
            <wp:docPr id="49" name="Picture 9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itle: Эмблема ВОИС&#10;&#10;Description: 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63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381F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01BA3A5" wp14:editId="7F61CBFA">
                <wp:extent cx="5935980" cy="0"/>
                <wp:effectExtent l="0" t="0" r="26670" b="19050"/>
                <wp:docPr id="1" name="Straight Connector 1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8DC177" id="Straight Connector 1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" strokecolor="black [3200]" strokeweight=".5pt">
                <v:stroke joinstyle="miter"/>
                <w10:anchorlock/>
              </v:line>
            </w:pict>
          </mc:Fallback>
        </mc:AlternateContent>
      </w:r>
    </w:p>
    <w:tbl>
      <w:tblPr>
        <w:tblW w:w="992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9"/>
      </w:tblGrid>
      <w:tr w:rsidR="001259E0" w:rsidRPr="007B6B33" w14:paraId="471BD12B" w14:textId="77777777" w:rsidTr="00BF403D">
        <w:trPr>
          <w:trHeight w:val="105"/>
        </w:trPr>
        <w:tc>
          <w:tcPr>
            <w:tcW w:w="9929" w:type="dxa"/>
            <w:shd w:val="clear" w:color="auto" w:fill="auto"/>
          </w:tcPr>
          <w:p w14:paraId="02C127AD" w14:textId="60E3063E" w:rsidR="003D6209" w:rsidRPr="007B6B33" w:rsidRDefault="003D6209" w:rsidP="003D620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 Black" w:eastAsiaTheme="minorEastAsia" w:hAnsi="Arial Black" w:cs="Arial Black"/>
                <w:color w:val="auto"/>
                <w:sz w:val="15"/>
                <w:szCs w:val="15"/>
              </w:rPr>
            </w:pPr>
            <w:r>
              <w:rPr>
                <w:rFonts w:ascii="Arial Black" w:hAnsi="Arial Black"/>
                <w:color w:val="auto"/>
                <w:sz w:val="24"/>
              </w:rPr>
              <w:t xml:space="preserve"> </w:t>
            </w:r>
            <w:r>
              <w:rPr>
                <w:rFonts w:ascii="Arial Black" w:hAnsi="Arial Black"/>
                <w:b/>
                <w:color w:val="auto"/>
                <w:sz w:val="15"/>
              </w:rPr>
              <w:t xml:space="preserve">WO/PBC/37/2 </w:t>
            </w:r>
          </w:p>
        </w:tc>
      </w:tr>
      <w:tr w:rsidR="001259E0" w:rsidRPr="007B6B33" w14:paraId="1B24D285" w14:textId="77777777" w:rsidTr="003D6209">
        <w:trPr>
          <w:trHeight w:val="105"/>
        </w:trPr>
        <w:tc>
          <w:tcPr>
            <w:tcW w:w="9929" w:type="dxa"/>
          </w:tcPr>
          <w:p w14:paraId="113436BE" w14:textId="77777777" w:rsidR="003D6209" w:rsidRPr="007B6B33" w:rsidRDefault="003D6209" w:rsidP="003D6209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 Black" w:eastAsiaTheme="minorEastAsia" w:hAnsi="Arial Black" w:cs="Arial Black"/>
                <w:color w:val="auto"/>
                <w:sz w:val="15"/>
                <w:szCs w:val="15"/>
              </w:rPr>
            </w:pPr>
            <w:r>
              <w:rPr>
                <w:rFonts w:ascii="Arial Black" w:hAnsi="Arial Black"/>
                <w:b/>
                <w:color w:val="auto"/>
                <w:sz w:val="15"/>
              </w:rPr>
              <w:t xml:space="preserve">ОРИГИНАЛ:  АНГЛИЙСКИЙ </w:t>
            </w:r>
          </w:p>
        </w:tc>
      </w:tr>
      <w:tr w:rsidR="001259E0" w:rsidRPr="007B6B33" w14:paraId="7C264DAC" w14:textId="77777777" w:rsidTr="00BF403D">
        <w:trPr>
          <w:trHeight w:val="105"/>
        </w:trPr>
        <w:tc>
          <w:tcPr>
            <w:tcW w:w="9929" w:type="dxa"/>
            <w:shd w:val="clear" w:color="auto" w:fill="auto"/>
          </w:tcPr>
          <w:p w14:paraId="6EACF455" w14:textId="14CB035F" w:rsidR="003D6209" w:rsidRPr="00407524" w:rsidRDefault="00407524" w:rsidP="001D3C7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Arial Black" w:hAnsi="Arial Black"/>
                <w:b/>
                <w:color w:val="auto"/>
                <w:sz w:val="15"/>
              </w:rPr>
            </w:pPr>
            <w:r>
              <w:rPr>
                <w:rFonts w:ascii="Arial Black" w:hAnsi="Arial Black"/>
                <w:b/>
                <w:color w:val="auto"/>
                <w:sz w:val="15"/>
              </w:rPr>
              <w:t xml:space="preserve">ДАТА:  </w:t>
            </w:r>
            <w:r w:rsidRPr="00407524">
              <w:rPr>
                <w:rFonts w:ascii="Arial Black" w:hAnsi="Arial Black"/>
                <w:b/>
                <w:color w:val="auto"/>
                <w:sz w:val="15"/>
              </w:rPr>
              <w:t xml:space="preserve">8 МАЯ 2024 ГОДА </w:t>
            </w:r>
          </w:p>
        </w:tc>
      </w:tr>
    </w:tbl>
    <w:p w14:paraId="647EB5CB" w14:textId="77777777" w:rsidR="003D6209" w:rsidRPr="007B6B33" w:rsidRDefault="003D6209" w:rsidP="00656D69">
      <w:pPr>
        <w:spacing w:after="1325" w:line="265" w:lineRule="auto"/>
        <w:ind w:left="0" w:right="56" w:firstLine="0"/>
        <w:rPr>
          <w:rFonts w:ascii="Arial Black" w:hAnsi="Arial Black"/>
          <w:color w:val="auto"/>
          <w:sz w:val="10"/>
          <w:szCs w:val="10"/>
        </w:rPr>
      </w:pPr>
    </w:p>
    <w:p w14:paraId="6C1125C1" w14:textId="77777777" w:rsidR="000F075B" w:rsidRPr="007B6B33" w:rsidRDefault="00046A56">
      <w:pPr>
        <w:spacing w:after="561"/>
        <w:ind w:left="2" w:right="0" w:firstLine="0"/>
        <w:rPr>
          <w:color w:val="auto"/>
        </w:rPr>
      </w:pPr>
      <w:r>
        <w:rPr>
          <w:b/>
          <w:color w:val="auto"/>
          <w:sz w:val="28"/>
        </w:rPr>
        <w:t xml:space="preserve">Комитет по программе и бюджету </w:t>
      </w:r>
    </w:p>
    <w:p w14:paraId="68E2445D" w14:textId="17C7F7C8" w:rsidR="000F075B" w:rsidRPr="007B6B33" w:rsidRDefault="00046A56">
      <w:pPr>
        <w:spacing w:after="0" w:line="265" w:lineRule="auto"/>
        <w:ind w:left="-3" w:right="0"/>
        <w:rPr>
          <w:color w:val="auto"/>
        </w:rPr>
      </w:pPr>
      <w:r>
        <w:rPr>
          <w:b/>
          <w:color w:val="auto"/>
          <w:sz w:val="24"/>
        </w:rPr>
        <w:t xml:space="preserve">Тридцать седьмая сессия </w:t>
      </w:r>
    </w:p>
    <w:p w14:paraId="4B658950" w14:textId="33307C64" w:rsidR="000F075B" w:rsidRPr="007B6B33" w:rsidRDefault="00046A56">
      <w:pPr>
        <w:spacing w:after="702" w:line="265" w:lineRule="auto"/>
        <w:ind w:left="-3" w:right="0"/>
        <w:rPr>
          <w:color w:val="auto"/>
        </w:rPr>
      </w:pPr>
      <w:r>
        <w:rPr>
          <w:b/>
          <w:color w:val="auto"/>
          <w:sz w:val="24"/>
        </w:rPr>
        <w:t>Женева, 10–14 июня 2024 года</w:t>
      </w:r>
    </w:p>
    <w:p w14:paraId="1151A0A0" w14:textId="77777777" w:rsidR="000F075B" w:rsidRPr="007B6B33" w:rsidRDefault="00046A56">
      <w:pPr>
        <w:spacing w:after="328"/>
        <w:ind w:left="2" w:right="0" w:firstLine="0"/>
        <w:rPr>
          <w:color w:val="auto"/>
        </w:rPr>
      </w:pPr>
      <w:r>
        <w:rPr>
          <w:color w:val="auto"/>
          <w:sz w:val="24"/>
        </w:rPr>
        <w:t xml:space="preserve">ОТЧЕТ НЕЗАВИСИМОГО КОНСУЛЬТАТИВНОГО КОМИТЕТА ВОИС ПО НАДЗОРУ (НККН)   </w:t>
      </w:r>
    </w:p>
    <w:p w14:paraId="038BD672" w14:textId="77777777" w:rsidR="000F075B" w:rsidRPr="007B6B33" w:rsidRDefault="00046A56">
      <w:pPr>
        <w:spacing w:after="969"/>
        <w:ind w:right="1"/>
        <w:rPr>
          <w:color w:val="auto"/>
        </w:rPr>
      </w:pPr>
      <w:r>
        <w:rPr>
          <w:i/>
          <w:color w:val="auto"/>
        </w:rPr>
        <w:t xml:space="preserve">подготовлен Независимым консультативным комитетом ВОИС по надзору (НККН) </w:t>
      </w:r>
    </w:p>
    <w:p w14:paraId="26AE8F5C" w14:textId="681188F6" w:rsidR="000F075B" w:rsidRPr="007B6B33" w:rsidRDefault="00046A56" w:rsidP="00407524">
      <w:pPr>
        <w:numPr>
          <w:ilvl w:val="0"/>
          <w:numId w:val="1"/>
        </w:numPr>
        <w:ind w:left="0" w:right="44" w:firstLine="0"/>
        <w:rPr>
          <w:color w:val="auto"/>
        </w:rPr>
      </w:pPr>
      <w:r>
        <w:rPr>
          <w:color w:val="auto"/>
        </w:rPr>
        <w:t>В настоящем документе содержится отчет Независимого консультативного комитета ВОИС по надзору (НККН), подготовленный НККН и охватывающий период с 25</w:t>
      </w:r>
      <w:r w:rsidR="00407524">
        <w:rPr>
          <w:color w:val="auto"/>
        </w:rPr>
        <w:t> </w:t>
      </w:r>
      <w:r>
        <w:rPr>
          <w:color w:val="auto"/>
        </w:rPr>
        <w:t>марта 2023</w:t>
      </w:r>
      <w:r w:rsidR="00407524">
        <w:rPr>
          <w:color w:val="auto"/>
        </w:rPr>
        <w:t> </w:t>
      </w:r>
      <w:r>
        <w:rPr>
          <w:color w:val="auto"/>
        </w:rPr>
        <w:t>года по 22</w:t>
      </w:r>
      <w:r w:rsidR="00407524">
        <w:rPr>
          <w:color w:val="auto"/>
        </w:rPr>
        <w:t> </w:t>
      </w:r>
      <w:r>
        <w:rPr>
          <w:color w:val="auto"/>
        </w:rPr>
        <w:t>марта 2024</w:t>
      </w:r>
      <w:r w:rsidR="00407524">
        <w:rPr>
          <w:color w:val="auto"/>
        </w:rPr>
        <w:t> </w:t>
      </w:r>
      <w:r>
        <w:rPr>
          <w:color w:val="auto"/>
        </w:rPr>
        <w:t>года.</w:t>
      </w:r>
    </w:p>
    <w:p w14:paraId="11BE7BE4" w14:textId="77777777" w:rsidR="000F075B" w:rsidRPr="007B6B33" w:rsidRDefault="000F075B">
      <w:pPr>
        <w:spacing w:after="21"/>
        <w:ind w:left="2" w:right="0" w:firstLine="0"/>
        <w:rPr>
          <w:color w:val="auto"/>
        </w:rPr>
      </w:pPr>
    </w:p>
    <w:p w14:paraId="53A38789" w14:textId="6F888128" w:rsidR="000F075B" w:rsidRPr="007B6B33" w:rsidRDefault="00046A56">
      <w:pPr>
        <w:numPr>
          <w:ilvl w:val="0"/>
          <w:numId w:val="1"/>
        </w:numPr>
        <w:ind w:hanging="566"/>
        <w:rPr>
          <w:color w:val="auto"/>
        </w:rPr>
      </w:pPr>
      <w:r>
        <w:rPr>
          <w:color w:val="auto"/>
        </w:rPr>
        <w:t>Предлагается следующий пункт решения.</w:t>
      </w:r>
    </w:p>
    <w:p w14:paraId="439364F7" w14:textId="77777777" w:rsidR="00FE57CF" w:rsidRPr="007B6B33" w:rsidRDefault="00FE57CF" w:rsidP="002F432F">
      <w:pPr>
        <w:spacing w:after="21"/>
        <w:ind w:left="2" w:right="0" w:firstLine="0"/>
        <w:rPr>
          <w:color w:val="auto"/>
        </w:rPr>
      </w:pPr>
    </w:p>
    <w:p w14:paraId="08953B8A" w14:textId="4C651F7F" w:rsidR="000F075B" w:rsidRPr="007B6B33" w:rsidRDefault="00046A56">
      <w:pPr>
        <w:pStyle w:val="Heading3"/>
        <w:tabs>
          <w:tab w:val="center" w:pos="5630"/>
          <w:tab w:val="center" w:pos="7333"/>
        </w:tabs>
        <w:spacing w:after="3"/>
        <w:ind w:left="0" w:firstLine="0"/>
        <w:rPr>
          <w:color w:val="auto"/>
        </w:rPr>
      </w:pPr>
      <w:r>
        <w:rPr>
          <w:rFonts w:ascii="Calibri" w:hAnsi="Calibri"/>
          <w:b w:val="0"/>
          <w:color w:val="auto"/>
        </w:rPr>
        <w:tab/>
      </w:r>
      <w:r>
        <w:rPr>
          <w:b w:val="0"/>
          <w:i/>
          <w:color w:val="auto"/>
        </w:rPr>
        <w:t>3.</w:t>
      </w:r>
      <w:r>
        <w:rPr>
          <w:b w:val="0"/>
          <w:i/>
          <w:color w:val="auto"/>
        </w:rPr>
        <w:tab/>
        <w:t xml:space="preserve">Программа и бюджет </w:t>
      </w:r>
    </w:p>
    <w:p w14:paraId="6019CE82" w14:textId="2B0BB552" w:rsidR="000F075B" w:rsidRPr="007B6B33" w:rsidRDefault="00046A56">
      <w:pPr>
        <w:spacing w:after="3"/>
        <w:ind w:left="5546" w:right="1"/>
        <w:rPr>
          <w:color w:val="auto"/>
        </w:rPr>
      </w:pPr>
      <w:r>
        <w:rPr>
          <w:i/>
          <w:color w:val="auto"/>
        </w:rPr>
        <w:t>Комитет по программе и бюджету (КПБ) рекомендовал Генеральной Ассамблее ВОИС принять к сведению отчет Независимого консультативного комитета ВОИС по надзору (НККН) (документ WO/PBC/37/2).</w:t>
      </w:r>
    </w:p>
    <w:p w14:paraId="591445F7" w14:textId="77777777" w:rsidR="000F075B" w:rsidRPr="007B6B33" w:rsidRDefault="000F075B" w:rsidP="002F432F">
      <w:pPr>
        <w:spacing w:after="21"/>
        <w:ind w:left="2" w:right="0" w:firstLine="0"/>
        <w:rPr>
          <w:color w:val="auto"/>
        </w:rPr>
      </w:pPr>
    </w:p>
    <w:p w14:paraId="79CCEE6B" w14:textId="77777777" w:rsidR="000F075B" w:rsidRPr="007B6B33" w:rsidRDefault="000F075B">
      <w:pPr>
        <w:spacing w:after="0"/>
        <w:ind w:left="2" w:right="0" w:firstLine="0"/>
        <w:rPr>
          <w:color w:val="auto"/>
        </w:rPr>
      </w:pPr>
    </w:p>
    <w:p w14:paraId="45E368F8" w14:textId="04F81234" w:rsidR="000F075B" w:rsidRPr="007B6B33" w:rsidRDefault="00046A56">
      <w:pPr>
        <w:ind w:left="5546" w:right="115"/>
        <w:rPr>
          <w:color w:val="auto"/>
        </w:rPr>
      </w:pPr>
      <w:r>
        <w:rPr>
          <w:color w:val="auto"/>
        </w:rPr>
        <w:t xml:space="preserve">[Отчет Независимого консультативного </w:t>
      </w:r>
    </w:p>
    <w:p w14:paraId="403ED3BA" w14:textId="6AC96216" w:rsidR="0098295D" w:rsidRPr="007B6B33" w:rsidRDefault="00046A56">
      <w:pPr>
        <w:ind w:left="5546" w:right="115"/>
        <w:rPr>
          <w:color w:val="auto"/>
        </w:rPr>
      </w:pPr>
      <w:r>
        <w:rPr>
          <w:color w:val="auto"/>
        </w:rPr>
        <w:t xml:space="preserve"> комитета ВОИС по надзору следует]</w:t>
      </w:r>
    </w:p>
    <w:p w14:paraId="4AC4CA2C" w14:textId="77777777" w:rsidR="0098295D" w:rsidRPr="007B6B33" w:rsidRDefault="0098295D">
      <w:pPr>
        <w:spacing w:after="160"/>
        <w:ind w:left="0" w:right="0" w:firstLine="0"/>
        <w:rPr>
          <w:color w:val="auto"/>
        </w:rPr>
      </w:pPr>
      <w:r>
        <w:br w:type="page"/>
      </w:r>
    </w:p>
    <w:p w14:paraId="665D7431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2A3F738A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3CE3E904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0E6F08B6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54ADE1D1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2DBCF581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452322E4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6FFE542D" w14:textId="77777777" w:rsidR="000F075B" w:rsidRPr="007B6B33" w:rsidRDefault="00046A56" w:rsidP="009E506A">
      <w:pPr>
        <w:spacing w:after="0"/>
        <w:ind w:left="10" w:right="44"/>
        <w:jc w:val="center"/>
        <w:rPr>
          <w:color w:val="auto"/>
        </w:rPr>
      </w:pPr>
      <w:r>
        <w:rPr>
          <w:color w:val="auto"/>
        </w:rPr>
        <w:t>ГОДОВОЙ ОТЧЕТ НЕЗАВИСИМОГО</w:t>
      </w:r>
    </w:p>
    <w:p w14:paraId="0AF029E7" w14:textId="77777777" w:rsidR="005C2B55" w:rsidRPr="007B6B33" w:rsidRDefault="00046A56" w:rsidP="009E506A">
      <w:pPr>
        <w:ind w:left="0" w:right="44" w:firstLine="0"/>
        <w:jc w:val="center"/>
        <w:rPr>
          <w:color w:val="auto"/>
        </w:rPr>
      </w:pPr>
      <w:r>
        <w:rPr>
          <w:color w:val="auto"/>
        </w:rPr>
        <w:t>КОНСУЛЬТАТИВНОГО КОМИТЕТА ВОИС ПО НАДЗОРУ (НККН)</w:t>
      </w:r>
    </w:p>
    <w:p w14:paraId="3A843798" w14:textId="4C699667" w:rsidR="000F075B" w:rsidRPr="007B6B33" w:rsidRDefault="00046A56" w:rsidP="009E506A">
      <w:pPr>
        <w:ind w:left="0" w:right="44" w:firstLine="0"/>
        <w:jc w:val="center"/>
        <w:rPr>
          <w:color w:val="auto"/>
        </w:rPr>
      </w:pPr>
      <w:r>
        <w:rPr>
          <w:color w:val="auto"/>
        </w:rPr>
        <w:t xml:space="preserve">ЗА </w:t>
      </w:r>
      <w:r w:rsidR="00407524">
        <w:rPr>
          <w:color w:val="auto"/>
        </w:rPr>
        <w:t>ПЕРИОД С 25 МАРТА 2023 ГОДА ПО 22 МАРТА 2024 ГОДА</w:t>
      </w:r>
    </w:p>
    <w:p w14:paraId="7D55904A" w14:textId="77777777" w:rsidR="000F075B" w:rsidRPr="007B6B33" w:rsidRDefault="000F075B" w:rsidP="002F432F">
      <w:pPr>
        <w:spacing w:after="0"/>
        <w:ind w:left="0" w:right="0" w:firstLine="0"/>
        <w:rPr>
          <w:color w:val="auto"/>
        </w:rPr>
      </w:pPr>
    </w:p>
    <w:p w14:paraId="568D716D" w14:textId="76A878C2" w:rsidR="000F075B" w:rsidRPr="00407524" w:rsidRDefault="00407524">
      <w:pPr>
        <w:spacing w:after="0"/>
        <w:ind w:left="10" w:right="184"/>
        <w:jc w:val="center"/>
        <w:rPr>
          <w:color w:val="auto"/>
        </w:rPr>
      </w:pPr>
      <w:r w:rsidRPr="00407524">
        <w:rPr>
          <w:color w:val="auto"/>
        </w:rPr>
        <w:t>[8 МАЯ 2024 ГОДА]</w:t>
      </w:r>
    </w:p>
    <w:p w14:paraId="0B4536E5" w14:textId="77777777" w:rsidR="000F075B" w:rsidRPr="007B6B33" w:rsidRDefault="000F075B">
      <w:pPr>
        <w:spacing w:after="0"/>
        <w:ind w:left="0" w:right="1" w:firstLine="0"/>
        <w:jc w:val="center"/>
        <w:rPr>
          <w:color w:val="auto"/>
        </w:rPr>
      </w:pPr>
    </w:p>
    <w:p w14:paraId="7957AFED" w14:textId="77777777" w:rsidR="000F075B" w:rsidRPr="007B6B33" w:rsidRDefault="000F075B">
      <w:pPr>
        <w:spacing w:after="18"/>
        <w:ind w:left="0" w:right="1" w:firstLine="0"/>
        <w:jc w:val="center"/>
        <w:rPr>
          <w:color w:val="auto"/>
        </w:rPr>
      </w:pPr>
    </w:p>
    <w:p w14:paraId="340514E7" w14:textId="77777777" w:rsidR="000F075B" w:rsidRPr="007B6B33" w:rsidRDefault="000F075B">
      <w:pPr>
        <w:spacing w:after="45"/>
        <w:ind w:left="2" w:right="0" w:firstLine="0"/>
        <w:rPr>
          <w:color w:val="auto"/>
        </w:rPr>
      </w:pPr>
    </w:p>
    <w:p w14:paraId="41FFBADC" w14:textId="77777777" w:rsidR="000F075B" w:rsidRPr="007B6B33" w:rsidRDefault="00046A56">
      <w:pPr>
        <w:spacing w:after="0"/>
        <w:ind w:left="2" w:right="0" w:firstLine="0"/>
        <w:rPr>
          <w:color w:val="auto"/>
        </w:rPr>
      </w:pPr>
      <w:r>
        <w:rPr>
          <w:color w:val="auto"/>
          <w:sz w:val="16"/>
        </w:rPr>
        <w:t xml:space="preserve">  </w:t>
      </w:r>
      <w:r>
        <w:rPr>
          <w:color w:val="auto"/>
          <w:sz w:val="16"/>
        </w:rPr>
        <w:tab/>
        <w:t xml:space="preserve"> </w:t>
      </w:r>
      <w:r>
        <w:rPr>
          <w:color w:val="auto"/>
        </w:rPr>
        <w:t xml:space="preserve"> </w:t>
      </w:r>
      <w:r>
        <w:rPr>
          <w:color w:val="auto"/>
        </w:rPr>
        <w:tab/>
        <w:t xml:space="preserve"> </w:t>
      </w:r>
      <w:r>
        <w:rPr>
          <w:color w:val="auto"/>
        </w:rPr>
        <w:br w:type="page"/>
      </w:r>
    </w:p>
    <w:p w14:paraId="0AB054B4" w14:textId="77777777" w:rsidR="000F075B" w:rsidRPr="007B6B33" w:rsidRDefault="000F075B" w:rsidP="00623835">
      <w:pPr>
        <w:spacing w:after="17"/>
        <w:ind w:left="0" w:right="0" w:firstLine="0"/>
        <w:jc w:val="center"/>
      </w:pPr>
    </w:p>
    <w:sdt>
      <w:sdtPr>
        <w:id w:val="699747013"/>
        <w:docPartObj>
          <w:docPartGallery w:val="Table of Contents"/>
        </w:docPartObj>
      </w:sdtPr>
      <w:sdtEndPr/>
      <w:sdtContent>
        <w:p w14:paraId="29AE3B82" w14:textId="77777777" w:rsidR="000F075B" w:rsidRPr="007B6B33" w:rsidRDefault="00046A56">
          <w:pPr>
            <w:spacing w:after="555"/>
            <w:ind w:left="0" w:right="188" w:firstLine="0"/>
            <w:jc w:val="center"/>
          </w:pPr>
          <w:r>
            <w:rPr>
              <w:b/>
              <w:sz w:val="24"/>
            </w:rPr>
            <w:t xml:space="preserve">Содержание </w:t>
          </w:r>
          <w:r>
            <w:t xml:space="preserve"> </w:t>
          </w:r>
        </w:p>
        <w:p w14:paraId="1C2DB3F5" w14:textId="7A9E010A" w:rsidR="000F075B" w:rsidRPr="007B6B33" w:rsidRDefault="000F075B">
          <w:pPr>
            <w:spacing w:after="0"/>
            <w:ind w:left="2" w:right="0" w:firstLine="0"/>
          </w:pPr>
        </w:p>
        <w:p w14:paraId="723B51D5" w14:textId="5579964F" w:rsidR="00AF1852" w:rsidRDefault="00046A56">
          <w:pPr>
            <w:pStyle w:val="TOC1"/>
            <w:tabs>
              <w:tab w:val="left" w:pos="605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r w:rsidRPr="007B6B33">
            <w:fldChar w:fldCharType="begin"/>
          </w:r>
          <w:r w:rsidRPr="007B6B33">
            <w:instrText xml:space="preserve"> TOC \o "1-2" \h \z \u </w:instrText>
          </w:r>
          <w:r w:rsidRPr="007B6B33">
            <w:fldChar w:fldCharType="separate"/>
          </w:r>
          <w:hyperlink w:anchor="_Toc166253348" w:history="1">
            <w:r w:rsidR="00AF1852" w:rsidRPr="007F07F1">
              <w:rPr>
                <w:rStyle w:val="Hyperlink"/>
                <w:noProof/>
              </w:rPr>
              <w:t xml:space="preserve">I.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ВВЕДЕНИЕ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_Toc166253348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3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68BF3BA8" w14:textId="6CBBF9F4" w:rsidR="00AF1852" w:rsidRDefault="004F279C">
          <w:pPr>
            <w:pStyle w:val="TOC1"/>
            <w:tabs>
              <w:tab w:val="left" w:pos="605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49" w:history="1">
            <w:r w:rsidR="00AF1852" w:rsidRPr="007F07F1">
              <w:rPr>
                <w:rStyle w:val="Hyperlink"/>
                <w:noProof/>
              </w:rPr>
              <w:t xml:space="preserve">II.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КВАРТАЛЬНЫЕ СЕССИИ, СОСТАВ И МЕТОДЫ РАБОТЫ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_Toc166253349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3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0B608FCD" w14:textId="1A5938A7" w:rsidR="00AF1852" w:rsidRDefault="004F279C">
          <w:pPr>
            <w:pStyle w:val="TOC1"/>
            <w:tabs>
              <w:tab w:val="left" w:pos="66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0" w:history="1">
            <w:r w:rsidR="00AF1852" w:rsidRPr="007F07F1">
              <w:rPr>
                <w:rStyle w:val="Hyperlink"/>
                <w:noProof/>
              </w:rPr>
              <w:t xml:space="preserve">III.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ВОПРОСЫ, КОТОРЫЕ СТАЛИ ПРЕДМЕТОМ ОБСУЖДЕНИЯ И ОБЗОРА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_Toc166253350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4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127950F1" w14:textId="7A6D3E36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1" w:history="1">
            <w:r w:rsidR="00AF1852" w:rsidRPr="007F07F1">
              <w:rPr>
                <w:rStyle w:val="Hyperlink"/>
                <w:noProof/>
              </w:rPr>
              <w:t xml:space="preserve">А.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Внутренний надзор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_Toc166253351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4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5322DA22" w14:textId="24A9BA1B" w:rsidR="00AF1852" w:rsidRDefault="004F279C" w:rsidP="002435E2">
          <w:pPr>
            <w:pStyle w:val="TOC2"/>
            <w:tabs>
              <w:tab w:val="left" w:pos="135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2" w:history="1">
            <w:r w:rsidR="00AF1852" w:rsidRPr="007F07F1">
              <w:rPr>
                <w:rStyle w:val="Hyperlink"/>
                <w:noProof/>
              </w:rPr>
              <w:t>B.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Внешний аудит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_Toc166253352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6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7B17271C" w14:textId="07664104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3" w:history="1">
            <w:r w:rsidR="00AF1852" w:rsidRPr="007F07F1">
              <w:rPr>
                <w:rStyle w:val="Hyperlink"/>
                <w:noProof/>
              </w:rPr>
              <w:t xml:space="preserve">C.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 xml:space="preserve"> Финансовая отчетность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_Toc166253353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7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4244586E" w14:textId="7A770264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4" w:history="1">
            <w:r w:rsidR="00AF1852" w:rsidRPr="007F07F1">
              <w:rPr>
                <w:rStyle w:val="Hyperlink"/>
                <w:noProof/>
              </w:rPr>
              <w:t xml:space="preserve">D.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Управление рисками и внутренний контроль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_Toc166253354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8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53014628" w14:textId="6A3E6105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5" w:history="1">
            <w:r w:rsidR="00AF1852" w:rsidRPr="007F07F1">
              <w:rPr>
                <w:rStyle w:val="Hyperlink"/>
                <w:noProof/>
              </w:rPr>
              <w:t xml:space="preserve">E.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Осуществление рекомендаций надзорных органов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_Toc166253355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10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72ED5055" w14:textId="73D6EDE0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6" w:history="1">
            <w:r w:rsidR="00AF1852" w:rsidRPr="007F07F1">
              <w:rPr>
                <w:rStyle w:val="Hyperlink"/>
                <w:noProof/>
              </w:rPr>
              <w:t xml:space="preserve">F.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Вопросы этики и Омбудсмен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_Toc166253356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11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152FCAFC" w14:textId="51C23439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7" w:history="1">
            <w:r w:rsidR="00AF1852" w:rsidRPr="007F07F1">
              <w:rPr>
                <w:rStyle w:val="Hyperlink"/>
                <w:noProof/>
              </w:rPr>
              <w:t xml:space="preserve">G.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Управление людскими ресурсами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_Toc166253357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12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658AF3FF" w14:textId="10B6E04F" w:rsidR="00AF1852" w:rsidRDefault="004F279C">
          <w:pPr>
            <w:pStyle w:val="TOC2"/>
            <w:tabs>
              <w:tab w:val="left" w:pos="132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8" w:history="1">
            <w:r w:rsidR="00AF1852" w:rsidRPr="007F07F1">
              <w:rPr>
                <w:rStyle w:val="Hyperlink"/>
                <w:noProof/>
              </w:rPr>
              <w:t xml:space="preserve">H.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Прочие вопросы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_Toc166253358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13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1EBF5E4C" w14:textId="6EB4782C" w:rsidR="00AF1852" w:rsidRDefault="004F279C">
          <w:pPr>
            <w:pStyle w:val="TOC1"/>
            <w:tabs>
              <w:tab w:val="left" w:pos="660"/>
              <w:tab w:val="right" w:leader="dot" w:pos="9754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lang w:val="en-US"/>
              <w14:ligatures w14:val="standardContextual"/>
            </w:rPr>
          </w:pPr>
          <w:hyperlink w:anchor="_Toc166253359" w:history="1">
            <w:r w:rsidR="00AF1852" w:rsidRPr="007F07F1">
              <w:rPr>
                <w:rStyle w:val="Hyperlink"/>
                <w:noProof/>
              </w:rPr>
              <w:t xml:space="preserve">IV.  </w:t>
            </w:r>
            <w:r w:rsidR="00AF1852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lang w:val="en-US"/>
                <w14:ligatures w14:val="standardContextual"/>
              </w:rPr>
              <w:tab/>
            </w:r>
            <w:r w:rsidR="00AF1852" w:rsidRPr="007F07F1">
              <w:rPr>
                <w:rStyle w:val="Hyperlink"/>
                <w:noProof/>
              </w:rPr>
              <w:t>ЗАКЛЮЧИТЕЛЬНЫЕ ЗАМЕЧАНИЯ</w:t>
            </w:r>
            <w:r w:rsidR="00AF1852">
              <w:rPr>
                <w:noProof/>
                <w:webHidden/>
              </w:rPr>
              <w:tab/>
            </w:r>
            <w:r w:rsidR="00AF1852">
              <w:rPr>
                <w:noProof/>
                <w:webHidden/>
              </w:rPr>
              <w:fldChar w:fldCharType="begin"/>
            </w:r>
            <w:r w:rsidR="00AF1852">
              <w:rPr>
                <w:noProof/>
                <w:webHidden/>
              </w:rPr>
              <w:instrText xml:space="preserve"> PAGEREF _Toc166253359 \h </w:instrText>
            </w:r>
            <w:r w:rsidR="00AF1852">
              <w:rPr>
                <w:noProof/>
                <w:webHidden/>
              </w:rPr>
            </w:r>
            <w:r w:rsidR="00AF1852">
              <w:rPr>
                <w:noProof/>
                <w:webHidden/>
              </w:rPr>
              <w:fldChar w:fldCharType="separate"/>
            </w:r>
            <w:r w:rsidR="002435E2">
              <w:rPr>
                <w:noProof/>
                <w:webHidden/>
              </w:rPr>
              <w:t>13</w:t>
            </w:r>
            <w:r w:rsidR="00AF1852">
              <w:rPr>
                <w:noProof/>
                <w:webHidden/>
              </w:rPr>
              <w:fldChar w:fldCharType="end"/>
            </w:r>
          </w:hyperlink>
        </w:p>
        <w:p w14:paraId="337B28B4" w14:textId="2E91493A" w:rsidR="000F075B" w:rsidRPr="007B6B33" w:rsidRDefault="00046A56">
          <w:r w:rsidRPr="007B6B33">
            <w:fldChar w:fldCharType="end"/>
          </w:r>
        </w:p>
      </w:sdtContent>
    </w:sdt>
    <w:p w14:paraId="16D55F6E" w14:textId="77777777" w:rsidR="000F075B" w:rsidRPr="007B6B33" w:rsidRDefault="000F075B">
      <w:pPr>
        <w:spacing w:after="0"/>
        <w:ind w:left="0" w:right="0" w:firstLine="0"/>
      </w:pPr>
    </w:p>
    <w:p w14:paraId="12BAB0DE" w14:textId="77777777" w:rsidR="000F075B" w:rsidRPr="007B6B33" w:rsidRDefault="000F075B">
      <w:pPr>
        <w:spacing w:after="0"/>
        <w:ind w:left="0" w:right="0" w:firstLine="0"/>
      </w:pPr>
    </w:p>
    <w:p w14:paraId="1F1FE714" w14:textId="77777777" w:rsidR="000F075B" w:rsidRPr="007B6B33" w:rsidRDefault="000F075B">
      <w:pPr>
        <w:spacing w:after="103"/>
        <w:ind w:left="0" w:right="0" w:firstLine="0"/>
      </w:pPr>
    </w:p>
    <w:p w14:paraId="25F0A71C" w14:textId="77777777" w:rsidR="000F075B" w:rsidRPr="007B6B33" w:rsidRDefault="000F075B">
      <w:pPr>
        <w:spacing w:after="0"/>
        <w:ind w:left="0" w:right="0" w:firstLine="0"/>
      </w:pPr>
    </w:p>
    <w:p w14:paraId="1C47A388" w14:textId="77777777" w:rsidR="000F075B" w:rsidRPr="007B6B33" w:rsidRDefault="000F075B">
      <w:pPr>
        <w:spacing w:after="0"/>
        <w:ind w:left="0" w:right="0" w:firstLine="0"/>
      </w:pPr>
    </w:p>
    <w:p w14:paraId="03596164" w14:textId="77777777" w:rsidR="000F075B" w:rsidRPr="007B6B33" w:rsidRDefault="000F075B">
      <w:pPr>
        <w:spacing w:after="0"/>
        <w:ind w:left="0" w:right="0" w:firstLine="0"/>
      </w:pPr>
    </w:p>
    <w:p w14:paraId="16F9E9A9" w14:textId="77777777" w:rsidR="000F075B" w:rsidRPr="007B6B33" w:rsidRDefault="00046A56" w:rsidP="00B40017">
      <w:pPr>
        <w:spacing w:after="0"/>
        <w:ind w:left="0" w:right="0" w:firstLine="0"/>
        <w:sectPr w:rsidR="000F075B" w:rsidRPr="007B6B33" w:rsidSect="0040005F">
          <w:headerReference w:type="even" r:id="rId10"/>
          <w:headerReference w:type="default" r:id="rId11"/>
          <w:headerReference w:type="first" r:id="rId12"/>
          <w:pgSz w:w="11906" w:h="16841"/>
          <w:pgMar w:top="763" w:right="848" w:bottom="325" w:left="1294" w:header="720" w:footer="720" w:gutter="0"/>
          <w:cols w:space="720"/>
          <w:titlePg/>
          <w:docGrid w:linePitch="299"/>
        </w:sectPr>
      </w:pPr>
      <w:r>
        <w:t xml:space="preserve">   </w:t>
      </w:r>
    </w:p>
    <w:p w14:paraId="0C85B1F1" w14:textId="77777777" w:rsidR="000F075B" w:rsidRPr="007B6B33" w:rsidRDefault="00046A56" w:rsidP="00A8381F">
      <w:pPr>
        <w:pStyle w:val="Heading1"/>
        <w:ind w:left="0" w:firstLine="0"/>
      </w:pPr>
      <w:bookmarkStart w:id="5" w:name="_Toc166253348"/>
      <w:r>
        <w:lastRenderedPageBreak/>
        <w:t xml:space="preserve">I.  </w:t>
      </w:r>
      <w:r>
        <w:tab/>
        <w:t>ВВЕДЕНИЕ</w:t>
      </w:r>
      <w:bookmarkEnd w:id="5"/>
      <w:r>
        <w:rPr>
          <w:b w:val="0"/>
        </w:rPr>
        <w:t xml:space="preserve"> </w:t>
      </w:r>
      <w:r>
        <w:t xml:space="preserve"> </w:t>
      </w:r>
    </w:p>
    <w:p w14:paraId="00083136" w14:textId="77777777" w:rsidR="000F075B" w:rsidRPr="007B6B33" w:rsidRDefault="000F075B" w:rsidP="00623835">
      <w:pPr>
        <w:spacing w:after="16"/>
        <w:ind w:right="0"/>
      </w:pPr>
    </w:p>
    <w:p w14:paraId="5554A31B" w14:textId="77777777" w:rsidR="000F075B" w:rsidRPr="007B6B33" w:rsidRDefault="00046A56" w:rsidP="005C2B55">
      <w:pPr>
        <w:numPr>
          <w:ilvl w:val="0"/>
          <w:numId w:val="2"/>
        </w:numPr>
        <w:ind w:left="0" w:right="32"/>
      </w:pPr>
      <w:r>
        <w:t>В соответствии со своими Полномочиями Независимый консультативный комитет ВОИС по надзору (НККН) представляет ежегодный отчет Комитету по программе и бюджету (КПБ) и Генеральной Ассамблее ВОИС.</w:t>
      </w:r>
    </w:p>
    <w:p w14:paraId="2B022F62" w14:textId="77777777" w:rsidR="000F075B" w:rsidRPr="007B6B33" w:rsidRDefault="000F075B" w:rsidP="00623835">
      <w:pPr>
        <w:spacing w:after="16"/>
        <w:ind w:right="0"/>
      </w:pPr>
    </w:p>
    <w:p w14:paraId="0DE08B49" w14:textId="429B10FD" w:rsidR="000F075B" w:rsidRPr="007B6B33" w:rsidRDefault="00046A56" w:rsidP="005C2B55">
      <w:pPr>
        <w:numPr>
          <w:ilvl w:val="0"/>
          <w:numId w:val="2"/>
        </w:numPr>
        <w:ind w:left="0" w:right="32"/>
      </w:pPr>
      <w:r>
        <w:t>НККН (также именуемый «Комитет») был учрежден в 2005 году.  Он является вспомогательным органом Генеральной Ассамблеи ВОИС и КПБ.  НККН выполняет роль независимого экспертного консультативного органа и оказывает содействие Ассамблее и КПБ в выполнении их надзорных функций.</w:t>
      </w:r>
    </w:p>
    <w:p w14:paraId="7A4C2A56" w14:textId="77777777" w:rsidR="000F075B" w:rsidRPr="007B6B33" w:rsidRDefault="000F075B" w:rsidP="00623835">
      <w:pPr>
        <w:spacing w:after="16"/>
        <w:ind w:right="0"/>
      </w:pPr>
    </w:p>
    <w:p w14:paraId="570115A2" w14:textId="0F6194AF" w:rsidR="000F075B" w:rsidRPr="007B6B33" w:rsidRDefault="00046A56" w:rsidP="005C2B55">
      <w:pPr>
        <w:numPr>
          <w:ilvl w:val="0"/>
          <w:numId w:val="2"/>
        </w:numPr>
        <w:ind w:left="0" w:right="32"/>
      </w:pPr>
      <w:r>
        <w:t>Настоящий отчет охватывает период с 25 марта 2023 года по 22 марта 2024 года.  В разделе II отчета приводится обзор квартальных сессий НККН, состава Комитета и его методов работы.  В разделе III подробно изложены вопросы, которые НККН обсудил и рассмотрел в отчетный период.</w:t>
      </w:r>
    </w:p>
    <w:p w14:paraId="5FA7D35F" w14:textId="77777777" w:rsidR="000F075B" w:rsidRPr="007B6B33" w:rsidRDefault="000F075B" w:rsidP="00623835">
      <w:pPr>
        <w:spacing w:after="16"/>
        <w:ind w:right="0"/>
      </w:pPr>
    </w:p>
    <w:p w14:paraId="4464D674" w14:textId="77777777" w:rsidR="000F075B" w:rsidRPr="007B6B33" w:rsidRDefault="00046A56" w:rsidP="00A8381F">
      <w:pPr>
        <w:pStyle w:val="Heading1"/>
        <w:ind w:left="0" w:right="32" w:firstLine="0"/>
      </w:pPr>
      <w:bookmarkStart w:id="6" w:name="_Toc166253349"/>
      <w:r>
        <w:t xml:space="preserve">II.  </w:t>
      </w:r>
      <w:r>
        <w:tab/>
        <w:t>КВАРТАЛЬНЫЕ СЕССИИ, СОСТАВ И МЕТОДЫ РАБОТЫ</w:t>
      </w:r>
      <w:bookmarkEnd w:id="6"/>
    </w:p>
    <w:p w14:paraId="6B83EC0A" w14:textId="77777777" w:rsidR="000F075B" w:rsidRPr="007B6B33" w:rsidRDefault="000F075B" w:rsidP="00623835">
      <w:pPr>
        <w:spacing w:after="16"/>
        <w:ind w:right="0"/>
      </w:pPr>
    </w:p>
    <w:p w14:paraId="3F033BE9" w14:textId="77777777" w:rsidR="000F075B" w:rsidRPr="007B6B33" w:rsidRDefault="00046A56" w:rsidP="00A8381F">
      <w:pPr>
        <w:pStyle w:val="Heading4"/>
        <w:spacing w:after="3"/>
        <w:ind w:left="0" w:right="32" w:firstLine="0"/>
      </w:pPr>
      <w:r>
        <w:rPr>
          <w:u w:val="none"/>
        </w:rPr>
        <w:tab/>
      </w:r>
      <w:r>
        <w:rPr>
          <w:i/>
          <w:u w:val="none"/>
        </w:rPr>
        <w:t>Квартальные сессии</w:t>
      </w:r>
    </w:p>
    <w:p w14:paraId="7A1E3248" w14:textId="77777777" w:rsidR="000F075B" w:rsidRPr="007B6B33" w:rsidRDefault="000F075B" w:rsidP="00623835">
      <w:pPr>
        <w:spacing w:after="16"/>
        <w:ind w:right="0"/>
      </w:pPr>
    </w:p>
    <w:p w14:paraId="737BEFC9" w14:textId="289E0D85" w:rsidR="000F075B" w:rsidRPr="007B6B33" w:rsidRDefault="00046A56" w:rsidP="009E506A">
      <w:pPr>
        <w:pStyle w:val="ListParagraph"/>
        <w:numPr>
          <w:ilvl w:val="0"/>
          <w:numId w:val="2"/>
        </w:numPr>
        <w:ind w:left="0"/>
      </w:pPr>
      <w:r>
        <w:t>За отчетный период Комитет провел четыре квартальные сессии:  с 30 мая по 2 июня 2023 года (69-я сессия);  с 11 по 15 сентября 2023 года (70-я сессия);  с 11 по 15 декабря 2023 года (71-я сессия) и с 18 по 2 марта 2024 года (72-я сессия).  В соответствии со своими Полномочиями Комитет после всех сессий проводил информационные совещания с представителями государств-членов.  Отчеты о работе всех сессий опубликованы на веб-сайте ВОИС.</w:t>
      </w:r>
    </w:p>
    <w:p w14:paraId="74AAE721" w14:textId="77777777" w:rsidR="000F075B" w:rsidRPr="007B6B33" w:rsidRDefault="000F075B" w:rsidP="00623835">
      <w:pPr>
        <w:spacing w:after="16"/>
        <w:ind w:right="0"/>
      </w:pPr>
    </w:p>
    <w:p w14:paraId="5B71D998" w14:textId="77777777" w:rsidR="000F075B" w:rsidRPr="007B6B33" w:rsidRDefault="00046A56" w:rsidP="00A8381F">
      <w:pPr>
        <w:pStyle w:val="Heading4"/>
        <w:spacing w:after="3"/>
        <w:ind w:left="0" w:right="32" w:firstLine="0"/>
      </w:pPr>
      <w:r>
        <w:rPr>
          <w:u w:val="none"/>
        </w:rPr>
        <w:tab/>
      </w:r>
      <w:r>
        <w:rPr>
          <w:i/>
          <w:u w:val="none"/>
        </w:rPr>
        <w:t>Состав и процесс выбора новых членов</w:t>
      </w:r>
    </w:p>
    <w:p w14:paraId="39B578C2" w14:textId="77777777" w:rsidR="000F075B" w:rsidRPr="007B6B33" w:rsidRDefault="000F075B" w:rsidP="00623835">
      <w:pPr>
        <w:spacing w:after="16"/>
        <w:ind w:right="0"/>
      </w:pPr>
    </w:p>
    <w:p w14:paraId="01E66A78" w14:textId="328B9A09" w:rsidR="000F075B" w:rsidRPr="007B6B33" w:rsidRDefault="00046A56" w:rsidP="00483112">
      <w:pPr>
        <w:numPr>
          <w:ilvl w:val="0"/>
          <w:numId w:val="3"/>
        </w:numPr>
        <w:spacing w:after="37"/>
        <w:ind w:left="0" w:right="32"/>
      </w:pPr>
      <w:r>
        <w:t xml:space="preserve">НККН состоит из семи членов от групп государств – членов ВОИС.  Они работают в личном качестве независимо от государств-членов.  В соответствии со своими Полномочиями и Правилами процедуры Комитет на 71-й сессии в декабре 2023 года избрал </w:t>
      </w:r>
      <w:bookmarkStart w:id="7" w:name="_Hlk127806171"/>
      <w:r>
        <w:t xml:space="preserve">г-на Берта Кёппенса </w:t>
      </w:r>
      <w:bookmarkEnd w:id="7"/>
      <w:r>
        <w:t>Председателем, а г-на Давида Канджу — заместителем Председателя.  Функции Председателя в ходе 69-й и 70-й сессий выполнял г-н Игорь Луджборс, а заместителя Председателя — г-н Кёппенс.</w:t>
      </w:r>
    </w:p>
    <w:p w14:paraId="7F8F35B6" w14:textId="77777777" w:rsidR="000F075B" w:rsidRPr="007B6B33" w:rsidRDefault="000F075B" w:rsidP="00623835">
      <w:pPr>
        <w:spacing w:after="16"/>
        <w:ind w:right="0"/>
      </w:pPr>
    </w:p>
    <w:p w14:paraId="340C8932" w14:textId="1A3797AD" w:rsidR="000F075B" w:rsidRPr="007B6B33" w:rsidRDefault="00046A56" w:rsidP="00483112">
      <w:pPr>
        <w:numPr>
          <w:ilvl w:val="0"/>
          <w:numId w:val="3"/>
        </w:numPr>
        <w:ind w:left="0" w:right="32"/>
      </w:pPr>
      <w:r>
        <w:t>В соответствии с процедурой выборов, изложенной в приложении IV к Финансовым положениям и правилам ВОИС, в состав Комитета в настоящее время входят следующие члены:</w:t>
      </w:r>
    </w:p>
    <w:p w14:paraId="5FF81A4E" w14:textId="77777777" w:rsidR="000F075B" w:rsidRPr="007B6B33" w:rsidRDefault="000F075B" w:rsidP="00623835">
      <w:pPr>
        <w:spacing w:after="16"/>
        <w:ind w:right="0"/>
      </w:pPr>
    </w:p>
    <w:p w14:paraId="4C1605B1" w14:textId="10AF046E" w:rsidR="000F075B" w:rsidRPr="007B6B33" w:rsidRDefault="004D6C2F" w:rsidP="005C2B55">
      <w:pPr>
        <w:numPr>
          <w:ilvl w:val="1"/>
          <w:numId w:val="3"/>
        </w:numPr>
        <w:ind w:left="1171" w:right="32" w:hanging="427"/>
      </w:pPr>
      <w:r>
        <w:t>г-н Берт Кёппенс, Председатель (Группа B);</w:t>
      </w:r>
    </w:p>
    <w:p w14:paraId="4403DCC9" w14:textId="0FD7FAAF" w:rsidR="00D407D2" w:rsidRPr="007B6B33" w:rsidRDefault="00D407D2" w:rsidP="00D407D2">
      <w:pPr>
        <w:numPr>
          <w:ilvl w:val="1"/>
          <w:numId w:val="3"/>
        </w:numPr>
        <w:ind w:left="1171" w:right="32" w:hanging="427"/>
      </w:pPr>
      <w:r>
        <w:t>г-н Давид Канджа, заместитель Председателя (Африканская группа);</w:t>
      </w:r>
    </w:p>
    <w:p w14:paraId="73228770" w14:textId="77777777" w:rsidR="00D407D2" w:rsidRPr="007B6B33" w:rsidRDefault="00D407D2" w:rsidP="00D407D2">
      <w:pPr>
        <w:numPr>
          <w:ilvl w:val="1"/>
          <w:numId w:val="3"/>
        </w:numPr>
        <w:ind w:left="1171" w:right="32" w:hanging="427"/>
      </w:pPr>
      <w:r>
        <w:t>г-н Камлеш Викамсей (Азиатско-Тихоокеанская группа);</w:t>
      </w:r>
    </w:p>
    <w:p w14:paraId="049FB254" w14:textId="77777777" w:rsidR="00962F96" w:rsidRPr="007B6B33" w:rsidRDefault="004D6C2F" w:rsidP="00962F96">
      <w:pPr>
        <w:numPr>
          <w:ilvl w:val="1"/>
          <w:numId w:val="3"/>
        </w:numPr>
        <w:ind w:left="1171" w:right="32" w:hanging="427"/>
      </w:pPr>
      <w:bookmarkStart w:id="8" w:name="_Hlk127806646"/>
      <w:r>
        <w:t xml:space="preserve">г-н Данил Керими (Группа стран Центральной Азии, Кавказа и Восточной Европы (ГЦАКВЕ)); </w:t>
      </w:r>
    </w:p>
    <w:p w14:paraId="58E58155" w14:textId="7483F01E" w:rsidR="00962F96" w:rsidRPr="007B6B33" w:rsidRDefault="00962F96" w:rsidP="00962F96">
      <w:pPr>
        <w:numPr>
          <w:ilvl w:val="1"/>
          <w:numId w:val="3"/>
        </w:numPr>
        <w:ind w:left="1171" w:right="32" w:hanging="427"/>
      </w:pPr>
      <w:r>
        <w:t>г-н Игорь Луджборс (Группа государств Центральной Европы и Балтии (ГЦЕБ));</w:t>
      </w:r>
    </w:p>
    <w:p w14:paraId="4AAA0DA1" w14:textId="4C37C529" w:rsidR="00D407D2" w:rsidRPr="007B6B33" w:rsidRDefault="00D407D2" w:rsidP="00D407D2">
      <w:pPr>
        <w:numPr>
          <w:ilvl w:val="1"/>
          <w:numId w:val="3"/>
        </w:numPr>
        <w:ind w:left="1171" w:right="32" w:hanging="427"/>
      </w:pPr>
      <w:r>
        <w:t xml:space="preserve">г-н Гуань Цзянь (Китай); и </w:t>
      </w:r>
    </w:p>
    <w:p w14:paraId="095F550E" w14:textId="3535382A" w:rsidR="000F075B" w:rsidRPr="007B6B33" w:rsidRDefault="00046A56" w:rsidP="005C2B55">
      <w:pPr>
        <w:numPr>
          <w:ilvl w:val="1"/>
          <w:numId w:val="3"/>
        </w:numPr>
        <w:ind w:left="1171" w:right="32" w:hanging="427"/>
      </w:pPr>
      <w:r>
        <w:t>г-н Герман Деффит (Группа стран Латинской Америки и Карибского бассейна (ГРУЛАК)).</w:t>
      </w:r>
    </w:p>
    <w:bookmarkEnd w:id="8"/>
    <w:p w14:paraId="7581BBAC" w14:textId="77777777" w:rsidR="000F075B" w:rsidRPr="007B6B33" w:rsidRDefault="000F075B" w:rsidP="00623835">
      <w:pPr>
        <w:spacing w:after="0"/>
        <w:ind w:right="32"/>
      </w:pPr>
    </w:p>
    <w:p w14:paraId="479D5D58" w14:textId="6DF2233F" w:rsidR="00EA41C9" w:rsidRPr="007B6B33" w:rsidRDefault="00046A56" w:rsidP="00407524">
      <w:pPr>
        <w:ind w:left="0" w:right="32"/>
      </w:pPr>
      <w:r>
        <w:lastRenderedPageBreak/>
        <w:t>Состав Комитета отражает должное сочетание и баланс профессиональных навыков, знаний и опыта.</w:t>
      </w:r>
    </w:p>
    <w:p w14:paraId="15359FD6" w14:textId="75849A89" w:rsidR="000F075B" w:rsidRPr="007B6B33" w:rsidRDefault="00046A56" w:rsidP="00A8381F">
      <w:pPr>
        <w:pStyle w:val="Heading5"/>
        <w:spacing w:before="240"/>
        <w:ind w:left="720" w:firstLine="0"/>
      </w:pPr>
      <w:r>
        <w:t xml:space="preserve">Методы работы  </w:t>
      </w:r>
    </w:p>
    <w:p w14:paraId="45419794" w14:textId="77777777" w:rsidR="000F075B" w:rsidRPr="007B6B33" w:rsidRDefault="000F075B" w:rsidP="00623835">
      <w:pPr>
        <w:spacing w:after="0"/>
        <w:ind w:right="32"/>
      </w:pPr>
    </w:p>
    <w:p w14:paraId="0060E382" w14:textId="4C765A01" w:rsidR="000F075B" w:rsidRPr="007B6B33" w:rsidRDefault="00046A56" w:rsidP="00A61270">
      <w:pPr>
        <w:numPr>
          <w:ilvl w:val="0"/>
          <w:numId w:val="3"/>
        </w:numPr>
        <w:ind w:left="0" w:right="32"/>
      </w:pPr>
      <w:r>
        <w:t>Комитет выносит экспертные рекомендации в рамках взаимодействия с Генеральным директором ВОИС, сотрудниками Секретариата и Внешним аудитором, основываясь главным образом на предоставляемых ему отчетах, сообщениях и информации.  Кроме того, прежде чем прийти к тем или иным заключениям и выводам, он проводит обсуждения соответствующих вопросов.</w:t>
      </w:r>
    </w:p>
    <w:p w14:paraId="1F5EA6F7" w14:textId="77777777" w:rsidR="00542022" w:rsidRPr="007B6B33" w:rsidRDefault="00542022" w:rsidP="00542022">
      <w:pPr>
        <w:ind w:right="32"/>
      </w:pPr>
    </w:p>
    <w:p w14:paraId="351A7BD8" w14:textId="7A34B92C" w:rsidR="000A2482" w:rsidRPr="007B6B33" w:rsidRDefault="000A2482" w:rsidP="00483112">
      <w:pPr>
        <w:numPr>
          <w:ilvl w:val="0"/>
          <w:numId w:val="4"/>
        </w:numPr>
        <w:ind w:left="0" w:right="32"/>
        <w:rPr>
          <w:color w:val="auto"/>
        </w:rPr>
      </w:pPr>
      <w:r>
        <w:rPr>
          <w:color w:val="auto"/>
        </w:rPr>
        <w:t xml:space="preserve">В течение отчетного периода Комитет получал как от Генерального директора, так и от помощника Генерального </w:t>
      </w:r>
      <w:r w:rsidRPr="00DB511D">
        <w:rPr>
          <w:color w:val="auto"/>
        </w:rPr>
        <w:t>директора</w:t>
      </w:r>
      <w:r w:rsidR="00726570" w:rsidRPr="00DB511D">
        <w:rPr>
          <w:color w:val="auto"/>
        </w:rPr>
        <w:t xml:space="preserve">, </w:t>
      </w:r>
      <w:r w:rsidRPr="00DB511D">
        <w:rPr>
          <w:color w:val="auto"/>
        </w:rPr>
        <w:t>Сектор администрации, финансов и управления</w:t>
      </w:r>
      <w:r w:rsidR="00726570" w:rsidRPr="00DB511D">
        <w:rPr>
          <w:color w:val="auto"/>
        </w:rPr>
        <w:t xml:space="preserve">, </w:t>
      </w:r>
      <w:r w:rsidRPr="00DB511D">
        <w:rPr>
          <w:color w:val="auto"/>
        </w:rPr>
        <w:t xml:space="preserve">информацию по различным вопросам, включая актуальные сведения о ходе осуществления </w:t>
      </w:r>
      <w:r w:rsidR="00726570" w:rsidRPr="00DB511D">
        <w:rPr>
          <w:color w:val="auto"/>
        </w:rPr>
        <w:t xml:space="preserve">Среднесрочного стратегического плана </w:t>
      </w:r>
      <w:r w:rsidRPr="00DB511D">
        <w:rPr>
          <w:color w:val="auto"/>
        </w:rPr>
        <w:t xml:space="preserve">и </w:t>
      </w:r>
      <w:r w:rsidR="00726570" w:rsidRPr="00DB511D">
        <w:rPr>
          <w:color w:val="auto"/>
        </w:rPr>
        <w:t xml:space="preserve">Стратегии </w:t>
      </w:r>
      <w:r w:rsidRPr="00DB511D">
        <w:rPr>
          <w:color w:val="auto"/>
        </w:rPr>
        <w:t>управлени</w:t>
      </w:r>
      <w:r w:rsidR="00726570" w:rsidRPr="00DB511D">
        <w:rPr>
          <w:color w:val="auto"/>
        </w:rPr>
        <w:t>я</w:t>
      </w:r>
      <w:r w:rsidRPr="00DB511D">
        <w:rPr>
          <w:color w:val="auto"/>
        </w:rPr>
        <w:t xml:space="preserve"> </w:t>
      </w:r>
      <w:r w:rsidR="00DB511D" w:rsidRPr="00DB511D">
        <w:rPr>
          <w:color w:val="auto"/>
        </w:rPr>
        <w:t>изменениями</w:t>
      </w:r>
      <w:r w:rsidRPr="00DB511D">
        <w:rPr>
          <w:color w:val="auto"/>
        </w:rPr>
        <w:t>, работе ВОИС по содействию д</w:t>
      </w:r>
      <w:r>
        <w:rPr>
          <w:color w:val="auto"/>
        </w:rPr>
        <w:t xml:space="preserve">остижению целей в области устойчивого развития, повышении заметности и </w:t>
      </w:r>
      <w:r w:rsidR="00DB511D">
        <w:rPr>
          <w:color w:val="auto"/>
        </w:rPr>
        <w:t>воздействия</w:t>
      </w:r>
      <w:r>
        <w:rPr>
          <w:color w:val="auto"/>
        </w:rPr>
        <w:t xml:space="preserve"> интеллектуальной собственности в мировом масштабе, а также о влиянии глобальных событий на Организацию.</w:t>
      </w:r>
    </w:p>
    <w:p w14:paraId="33BA7B85" w14:textId="77777777" w:rsidR="000A2482" w:rsidRPr="007B6B33" w:rsidRDefault="000A2482" w:rsidP="007F1480">
      <w:pPr>
        <w:ind w:left="0" w:right="32" w:firstLine="0"/>
        <w:rPr>
          <w:color w:val="auto"/>
        </w:rPr>
      </w:pPr>
    </w:p>
    <w:p w14:paraId="6D24DE43" w14:textId="033E0DC6" w:rsidR="000F075B" w:rsidRPr="007B6B33" w:rsidRDefault="00046A56" w:rsidP="009E506A">
      <w:pPr>
        <w:spacing w:after="16"/>
        <w:ind w:left="0" w:right="32" w:firstLine="0"/>
      </w:pPr>
      <w:r>
        <w:tab/>
      </w:r>
      <w:r>
        <w:rPr>
          <w:i/>
        </w:rPr>
        <w:t xml:space="preserve">Самооценка НККН </w:t>
      </w:r>
      <w:r>
        <w:t xml:space="preserve"> </w:t>
      </w:r>
    </w:p>
    <w:p w14:paraId="3A6F9173" w14:textId="77777777" w:rsidR="000F075B" w:rsidRPr="007B6B33" w:rsidRDefault="000F075B" w:rsidP="00623835">
      <w:pPr>
        <w:spacing w:after="0"/>
        <w:ind w:right="32"/>
      </w:pPr>
    </w:p>
    <w:p w14:paraId="6F19DFDF" w14:textId="44F463D6" w:rsidR="000A2482" w:rsidRPr="007B6B33" w:rsidRDefault="00F8092A" w:rsidP="000C6E6B">
      <w:pPr>
        <w:numPr>
          <w:ilvl w:val="0"/>
          <w:numId w:val="4"/>
        </w:numPr>
        <w:ind w:left="0" w:right="32"/>
      </w:pPr>
      <w:r>
        <w:t xml:space="preserve">Как предусмотрено его Полномочиями, на своей 71-й сессии Комитет провел ежегодную самооценку.  </w:t>
      </w:r>
      <w:r w:rsidRPr="00AD17E9">
        <w:t>Комитет решил принять на вооружение 13 критериев применения рекомендуемых методов работы, разработанных Объединенной инспекционной группой (ОИГ) для ревизионных и надзорных</w:t>
      </w:r>
      <w:r>
        <w:t xml:space="preserve"> комитетов организаций системы ООН.  В целом Комитет счел свою работу по решению поставленных перед ним задач эффективной.  В то же время была выработана единая позиция по ряду направлений, требующих улучшений.  В частности, Комитет хотел бы не только информировать представителей государств-членов в рамках информационной встречи, но также, начиная с </w:t>
      </w:r>
      <w:bookmarkStart w:id="9" w:name="_Hlk164952904"/>
      <w:r>
        <w:t>71-й сессии</w:t>
      </w:r>
      <w:bookmarkEnd w:id="9"/>
      <w:r>
        <w:t xml:space="preserve">, проводить совещания по вопросам своей работы с </w:t>
      </w:r>
      <w:r w:rsidR="00963C36">
        <w:t>Г</w:t>
      </w:r>
      <w:r>
        <w:t>енеральным директором, что не нарушает принцип</w:t>
      </w:r>
      <w:r w:rsidR="00963C36">
        <w:t xml:space="preserve"> его</w:t>
      </w:r>
      <w:r>
        <w:t xml:space="preserve"> независимости.  Комитет также принял решение дополнительно усовершенствовать скользящую повестку дня, которую он ранее использовал для планирования работы на год. Подробнее об этом говорится в приложении к отчету о 71-й сессии.</w:t>
      </w:r>
    </w:p>
    <w:p w14:paraId="5A3CA09C" w14:textId="4EAE6991" w:rsidR="000A2482" w:rsidRPr="007B6B33" w:rsidRDefault="000A2482" w:rsidP="00142481">
      <w:pPr>
        <w:pStyle w:val="ListParagraph"/>
        <w:ind w:left="0" w:right="32" w:firstLine="0"/>
      </w:pPr>
    </w:p>
    <w:p w14:paraId="6A23422A" w14:textId="32088350" w:rsidR="000F075B" w:rsidRPr="007B6B33" w:rsidRDefault="00046A56" w:rsidP="00A8381F">
      <w:pPr>
        <w:pStyle w:val="Heading1"/>
        <w:ind w:left="0" w:right="32" w:firstLine="0"/>
      </w:pPr>
      <w:bookmarkStart w:id="10" w:name="_Toc166253350"/>
      <w:r>
        <w:t>III.</w:t>
      </w:r>
      <w:r w:rsidR="00A8381F">
        <w:tab/>
      </w:r>
      <w:r>
        <w:t>ВОПРОСЫ, КОТОРЫЕ СТАЛИ ПРЕДМЕТОМ ОБСУЖДЕНИЯ И ОБЗОРА</w:t>
      </w:r>
      <w:bookmarkEnd w:id="10"/>
      <w:r>
        <w:t xml:space="preserve">  </w:t>
      </w:r>
    </w:p>
    <w:p w14:paraId="65AE3B0B" w14:textId="77777777" w:rsidR="000F075B" w:rsidRPr="007B6B33" w:rsidRDefault="000F075B" w:rsidP="00623835">
      <w:pPr>
        <w:spacing w:after="0"/>
        <w:ind w:right="32"/>
      </w:pPr>
    </w:p>
    <w:p w14:paraId="681C0383" w14:textId="77777777" w:rsidR="000F075B" w:rsidRPr="007B6B33" w:rsidRDefault="00046A56" w:rsidP="00A8381F">
      <w:pPr>
        <w:pStyle w:val="Heading2"/>
        <w:ind w:left="0" w:firstLine="0"/>
      </w:pPr>
      <w:bookmarkStart w:id="11" w:name="_Toc166253351"/>
      <w:r w:rsidRPr="00A8381F">
        <w:rPr>
          <w:u w:val="none"/>
        </w:rPr>
        <w:t xml:space="preserve">А.  </w:t>
      </w:r>
      <w:r w:rsidRPr="00A8381F">
        <w:rPr>
          <w:u w:val="none"/>
        </w:rPr>
        <w:tab/>
      </w:r>
      <w:r>
        <w:t>Внутренний надзор</w:t>
      </w:r>
      <w:bookmarkEnd w:id="11"/>
      <w:r>
        <w:rPr>
          <w:u w:val="none"/>
        </w:rPr>
        <w:t xml:space="preserve">  </w:t>
      </w:r>
    </w:p>
    <w:p w14:paraId="15BFB5B9" w14:textId="77777777" w:rsidR="003545B0" w:rsidRPr="007B6B33" w:rsidRDefault="003545B0" w:rsidP="00A8381F">
      <w:pPr>
        <w:tabs>
          <w:tab w:val="left" w:pos="720"/>
        </w:tabs>
        <w:spacing w:after="0"/>
        <w:ind w:right="0"/>
      </w:pPr>
    </w:p>
    <w:p w14:paraId="582865C6" w14:textId="11F6FD04" w:rsidR="000F075B" w:rsidRPr="007B6B33" w:rsidRDefault="00046A56" w:rsidP="00A8381F">
      <w:pPr>
        <w:pStyle w:val="Heading5"/>
        <w:ind w:left="720" w:firstLine="0"/>
      </w:pPr>
      <w:r>
        <w:t xml:space="preserve">План внутреннего надзора  </w:t>
      </w:r>
    </w:p>
    <w:p w14:paraId="20D53DD0" w14:textId="77777777" w:rsidR="000F075B" w:rsidRPr="007B6B33" w:rsidRDefault="000F075B" w:rsidP="005A1A01">
      <w:pPr>
        <w:spacing w:after="16"/>
        <w:ind w:left="1" w:right="0" w:firstLine="0"/>
      </w:pPr>
      <w:bookmarkStart w:id="12" w:name="_Hlk164773857"/>
    </w:p>
    <w:p w14:paraId="72D63BBA" w14:textId="2B0FD779" w:rsidR="00C7673B" w:rsidRDefault="0043785A" w:rsidP="00C81DD1">
      <w:pPr>
        <w:numPr>
          <w:ilvl w:val="0"/>
          <w:numId w:val="4"/>
        </w:numPr>
        <w:spacing w:after="160"/>
        <w:ind w:left="0" w:right="0" w:firstLine="0"/>
      </w:pPr>
      <w:r>
        <w:t xml:space="preserve">Комитет рассмотрел вопрос о ходе осуществления годового плана надзорной работы на 2023 год, основываясь на квартальных отчетах </w:t>
      </w:r>
      <w:r w:rsidR="001A60D6">
        <w:t>Отдела внутреннего надзора (</w:t>
      </w:r>
      <w:r>
        <w:t>ОВН</w:t>
      </w:r>
      <w:r w:rsidR="001A60D6">
        <w:t>)</w:t>
      </w:r>
      <w:r>
        <w:t xml:space="preserve"> о проделанной работе, которые составлялись для каждой сессии.  На 72-й сессии Комитета директор ОВН представил Комитету проект годового отчета своего подразделения за 2023 год.</w:t>
      </w:r>
      <w:r w:rsidRPr="001A60D6">
        <w:rPr>
          <w:color w:val="auto"/>
        </w:rPr>
        <w:t xml:space="preserve">  Комитет также рассмотрел и утвердил план работы на 2024 год.  </w:t>
      </w:r>
      <w:r>
        <w:t>Комитет принял к сведению, что в течение отчетного периода, о котором идет речь в годовом отчете, ОВН выпустил семь отчетов о внутренних аудиторских проверках, 14 полных отчетов о расследованиях и три отчета о последствиях для руководства.</w:t>
      </w:r>
      <w:r w:rsidRPr="001A60D6">
        <w:rPr>
          <w:color w:val="auto"/>
        </w:rPr>
        <w:t xml:space="preserve">  Комитет также принял к сведению, что в течение отчетного периода ОВН вынес 45 рекомендаций и закрыл 78 рекомендаций.  Комитет обсудил тенденции, связанные с численностью жалоб на потенциальные неправомерные действия, и просил более последовательно </w:t>
      </w:r>
      <w:r w:rsidRPr="001A60D6">
        <w:rPr>
          <w:color w:val="auto"/>
        </w:rPr>
        <w:lastRenderedPageBreak/>
        <w:t xml:space="preserve">использовать в отчете терминологию, касающиеся жалоб и расследований, поскольку не все жалобы становятся предметом расследований.  Комитет также принял к сведению информацию о наличии в ОВН нескольких вакантных должностей и подготовке планов по выполнению намеченных работ и заполнению свободных должностей в установленном порядке.  </w:t>
      </w:r>
      <w:r>
        <w:t xml:space="preserve">В отношении годового плана надзорной работы на 2024 год Комитет счел, что этот документ хорошо проработан, и отметил его более тесную увязку со Среднесрочным стратегическим планом, а также тот факт, что ОВН провел развернутые консультации до составления соответствующего плана.  </w:t>
      </w:r>
    </w:p>
    <w:p w14:paraId="2385A883" w14:textId="77777777" w:rsidR="000F075B" w:rsidRPr="007B6B33" w:rsidRDefault="00046A56" w:rsidP="005C2B55">
      <w:pPr>
        <w:pStyle w:val="Heading5"/>
        <w:ind w:left="715" w:right="32"/>
      </w:pPr>
      <w:r>
        <w:t>Внутренний аудит</w:t>
      </w:r>
    </w:p>
    <w:p w14:paraId="599E5D37" w14:textId="77777777" w:rsidR="000F075B" w:rsidRPr="007B6B33" w:rsidRDefault="000F075B" w:rsidP="001B0DEA">
      <w:pPr>
        <w:spacing w:after="14"/>
        <w:ind w:right="32"/>
      </w:pPr>
    </w:p>
    <w:p w14:paraId="2B6AE697" w14:textId="7DCA1147" w:rsidR="000F075B" w:rsidRPr="007B6B33" w:rsidRDefault="00046A56" w:rsidP="009E506A">
      <w:pPr>
        <w:pStyle w:val="ListParagraph"/>
        <w:numPr>
          <w:ilvl w:val="0"/>
          <w:numId w:val="4"/>
        </w:numPr>
        <w:ind w:left="0" w:right="32"/>
      </w:pPr>
      <w:r>
        <w:rPr>
          <w:color w:val="auto"/>
        </w:rPr>
        <w:t xml:space="preserve">В течение отчетного периода Комитет совместно с ОВН и Секретариатом рассмотрел семь отчетов о результатах аудита.  </w:t>
      </w:r>
      <w:r>
        <w:t>В соответствии с Политикой ОВН в области публикации отчетов (IOD/PP/2017) полные версии</w:t>
      </w:r>
      <w:r w:rsidR="001A60D6">
        <w:t xml:space="preserve"> некоторых из них</w:t>
      </w:r>
      <w:r>
        <w:t xml:space="preserve"> были размещены на веб-сайте ВОИС. </w:t>
      </w:r>
    </w:p>
    <w:p w14:paraId="3F1D0001" w14:textId="77777777" w:rsidR="000F075B" w:rsidRPr="007B6B33" w:rsidRDefault="000F075B" w:rsidP="001B0DEA">
      <w:pPr>
        <w:spacing w:after="16"/>
        <w:ind w:right="32"/>
      </w:pPr>
    </w:p>
    <w:p w14:paraId="64BD0A04" w14:textId="1C5DD3B1" w:rsidR="004E2861" w:rsidRPr="007B6B33" w:rsidRDefault="004E2861" w:rsidP="008938BF">
      <w:pPr>
        <w:numPr>
          <w:ilvl w:val="1"/>
          <w:numId w:val="23"/>
        </w:numPr>
        <w:ind w:right="32" w:hanging="360"/>
      </w:pPr>
      <w:r>
        <w:t>Аудит и оценка оперативной деятельности и работы с клиентами в рамках Договора о патентной кооперации (РСТ) — часть I: аудит оперативной деятельности в рамках РСТ (справочный № ОВН:  IA 2022-05)</w:t>
      </w:r>
    </w:p>
    <w:p w14:paraId="5695F556" w14:textId="568EDEFA" w:rsidR="000F075B" w:rsidRPr="007B6B33" w:rsidRDefault="004E2861" w:rsidP="009E506A">
      <w:pPr>
        <w:numPr>
          <w:ilvl w:val="1"/>
          <w:numId w:val="23"/>
        </w:numPr>
        <w:ind w:right="32" w:hanging="360"/>
      </w:pPr>
      <w:r>
        <w:t xml:space="preserve">Аудит Глобального инновационного индекса ВОИС (ГИИ) (справочный № ОВН:  IA 2022-03) </w:t>
      </w:r>
    </w:p>
    <w:p w14:paraId="3CFF076A" w14:textId="420D0712" w:rsidR="00F37CC4" w:rsidRPr="007B6B33" w:rsidRDefault="004906F7" w:rsidP="009E506A">
      <w:pPr>
        <w:numPr>
          <w:ilvl w:val="1"/>
          <w:numId w:val="23"/>
        </w:numPr>
        <w:ind w:right="32" w:hanging="360"/>
      </w:pPr>
      <w:r>
        <w:rPr>
          <w:color w:val="000000" w:themeColor="text1"/>
        </w:rPr>
        <w:t xml:space="preserve">Проверка данных о заявлениях на получение выплат по линии медицинского страхования после прекращения службы (МСПС) </w:t>
      </w:r>
      <w:r>
        <w:rPr>
          <w:color w:val="000000" w:themeColor="text1"/>
        </w:rPr>
        <w:br/>
        <w:t>(справочный № ОВН:  IA 2023-06)</w:t>
      </w:r>
    </w:p>
    <w:p w14:paraId="74FAA1F7" w14:textId="77777777" w:rsidR="008B0AFC" w:rsidRPr="007B6B33" w:rsidRDefault="008B0AFC" w:rsidP="008B0AFC">
      <w:pPr>
        <w:numPr>
          <w:ilvl w:val="1"/>
          <w:numId w:val="23"/>
        </w:numPr>
        <w:ind w:right="32" w:hanging="360"/>
      </w:pPr>
      <w:r>
        <w:t>Обзор деятельности Бюро ВОИС в Сингапуре (справочный № ОВН:  IA 2023-03)</w:t>
      </w:r>
    </w:p>
    <w:p w14:paraId="1C697CE6" w14:textId="6F70929E" w:rsidR="000F68D1" w:rsidRPr="007B6B33" w:rsidRDefault="000F68D1" w:rsidP="009E506A">
      <w:pPr>
        <w:numPr>
          <w:ilvl w:val="1"/>
          <w:numId w:val="23"/>
        </w:numPr>
        <w:ind w:right="32" w:hanging="360"/>
      </w:pPr>
      <w:r>
        <w:t>Аудит Мадридского реестра (справочный № ОВН:  IA 2023-01)</w:t>
      </w:r>
    </w:p>
    <w:p w14:paraId="2B07F351" w14:textId="63AB5714" w:rsidR="000F68D1" w:rsidRPr="007B6B33" w:rsidRDefault="000F68D1" w:rsidP="009E506A">
      <w:pPr>
        <w:numPr>
          <w:ilvl w:val="1"/>
          <w:numId w:val="23"/>
        </w:numPr>
        <w:ind w:right="32" w:hanging="360"/>
      </w:pPr>
      <w:r>
        <w:t xml:space="preserve">Аудит реализации политики и стандартов ВОИС в области конфиденциальности данных </w:t>
      </w:r>
      <w:r>
        <w:br/>
        <w:t>(справочный № ОВН:  IA 2023-04)</w:t>
      </w:r>
    </w:p>
    <w:p w14:paraId="1DDA7672" w14:textId="77777777" w:rsidR="008B0AFC" w:rsidRPr="007B6B33" w:rsidRDefault="008B0AFC" w:rsidP="008B0AFC">
      <w:pPr>
        <w:numPr>
          <w:ilvl w:val="1"/>
          <w:numId w:val="23"/>
        </w:numPr>
        <w:ind w:right="32" w:hanging="360"/>
      </w:pPr>
      <w:r>
        <w:t>Аудит управления облачными технологиями (справочный № ОВН:  IA 2023-02)</w:t>
      </w:r>
    </w:p>
    <w:p w14:paraId="708F5CFE" w14:textId="77777777" w:rsidR="00B30B74" w:rsidRDefault="00B30B74" w:rsidP="005C2B55">
      <w:pPr>
        <w:spacing w:after="16"/>
        <w:ind w:left="1" w:right="32" w:firstLine="0"/>
      </w:pPr>
    </w:p>
    <w:p w14:paraId="367AA37F" w14:textId="59DEA8F9" w:rsidR="00D65B04" w:rsidRPr="008D050E" w:rsidRDefault="00D65B04" w:rsidP="00B30B74">
      <w:pPr>
        <w:spacing w:after="16"/>
        <w:ind w:left="1" w:right="32" w:firstLine="719"/>
        <w:rPr>
          <w:i/>
          <w:iCs/>
        </w:rPr>
      </w:pPr>
      <w:r>
        <w:rPr>
          <w:i/>
        </w:rPr>
        <w:t>Мероприятия по оценке</w:t>
      </w:r>
    </w:p>
    <w:p w14:paraId="7E560490" w14:textId="77777777" w:rsidR="00D65B04" w:rsidRPr="007B6B33" w:rsidRDefault="00D65B04" w:rsidP="005C2B55">
      <w:pPr>
        <w:spacing w:after="16"/>
        <w:ind w:left="1" w:right="32" w:firstLine="0"/>
      </w:pPr>
    </w:p>
    <w:p w14:paraId="007A2BE0" w14:textId="6BA71758" w:rsidR="000F075B" w:rsidRPr="007B6B33" w:rsidRDefault="00046A56" w:rsidP="009E506A">
      <w:pPr>
        <w:pStyle w:val="ListParagraph"/>
        <w:numPr>
          <w:ilvl w:val="0"/>
          <w:numId w:val="4"/>
        </w:numPr>
        <w:ind w:left="0" w:right="32"/>
        <w:rPr>
          <w:color w:val="auto"/>
        </w:rPr>
      </w:pPr>
      <w:r>
        <w:rPr>
          <w:color w:val="auto"/>
        </w:rPr>
        <w:t xml:space="preserve">В течение отчетного периода Комитет совместно с ОВН и руководством Секретариатом рассмотрел один отчет об оценке и один консультативный отчет. </w:t>
      </w:r>
    </w:p>
    <w:p w14:paraId="3422033F" w14:textId="77777777" w:rsidR="00F37CC4" w:rsidRPr="007B6B33" w:rsidRDefault="00F37CC4" w:rsidP="00F37CC4">
      <w:pPr>
        <w:ind w:right="32"/>
        <w:rPr>
          <w:color w:val="auto"/>
        </w:rPr>
      </w:pPr>
    </w:p>
    <w:p w14:paraId="7DFBA82B" w14:textId="39A34A9B" w:rsidR="000F075B" w:rsidRPr="007B6B33" w:rsidRDefault="00980E0F" w:rsidP="009E506A">
      <w:pPr>
        <w:numPr>
          <w:ilvl w:val="0"/>
          <w:numId w:val="24"/>
        </w:numPr>
        <w:ind w:right="32" w:hanging="427"/>
        <w:rPr>
          <w:color w:val="auto"/>
        </w:rPr>
      </w:pPr>
      <w:r>
        <w:rPr>
          <w:color w:val="auto"/>
        </w:rPr>
        <w:t xml:space="preserve">Уроки реализации инициатив ВОИС, направленных на расширение прав и возможностей женщин-предпринимателей (справочный № ОВН:  EVAL 2022-03) </w:t>
      </w:r>
    </w:p>
    <w:p w14:paraId="2CAA7333" w14:textId="5C8D7A02" w:rsidR="00265435" w:rsidRPr="007B6B33" w:rsidRDefault="00316A50" w:rsidP="00265435">
      <w:pPr>
        <w:numPr>
          <w:ilvl w:val="0"/>
          <w:numId w:val="24"/>
        </w:numPr>
        <w:ind w:right="32" w:hanging="427"/>
      </w:pPr>
      <w:r>
        <w:t>Консультативная помощь:  создание более инклюзивной и разнообразной среды в процессе найма персонала (справочный № ОВН:  EVAL 2023-04)</w:t>
      </w:r>
    </w:p>
    <w:bookmarkEnd w:id="12"/>
    <w:p w14:paraId="4243F442" w14:textId="77777777" w:rsidR="000F68D1" w:rsidRPr="007B6B33" w:rsidRDefault="000F68D1" w:rsidP="005C2B55">
      <w:pPr>
        <w:pStyle w:val="Heading5"/>
        <w:tabs>
          <w:tab w:val="center" w:pos="1395"/>
        </w:tabs>
        <w:ind w:left="0" w:right="32" w:firstLine="0"/>
      </w:pPr>
    </w:p>
    <w:p w14:paraId="238897F2" w14:textId="51804E2D" w:rsidR="000F075B" w:rsidRPr="007B6B33" w:rsidRDefault="00046A56" w:rsidP="00A8381F">
      <w:pPr>
        <w:pStyle w:val="Heading5"/>
        <w:ind w:left="0" w:right="32" w:firstLine="0"/>
      </w:pPr>
      <w:r>
        <w:t xml:space="preserve">  </w:t>
      </w:r>
      <w:r>
        <w:tab/>
      </w:r>
      <w:bookmarkStart w:id="13" w:name="_Hlk164953499"/>
      <w:r>
        <w:t>Расследования</w:t>
      </w:r>
      <w:bookmarkEnd w:id="13"/>
      <w:r>
        <w:t xml:space="preserve">  </w:t>
      </w:r>
    </w:p>
    <w:p w14:paraId="4A39EB6A" w14:textId="77777777" w:rsidR="000F075B" w:rsidRPr="007B6B33" w:rsidRDefault="000F075B" w:rsidP="005C2B55">
      <w:pPr>
        <w:spacing w:after="14"/>
        <w:ind w:left="3" w:right="32" w:firstLine="0"/>
      </w:pPr>
    </w:p>
    <w:p w14:paraId="2B092CCF" w14:textId="3E237F17" w:rsidR="00F37A3F" w:rsidRPr="007B6B33" w:rsidRDefault="00046A56" w:rsidP="009E506A">
      <w:pPr>
        <w:pStyle w:val="ListParagraph"/>
        <w:numPr>
          <w:ilvl w:val="0"/>
          <w:numId w:val="4"/>
        </w:numPr>
        <w:ind w:left="0" w:right="32"/>
      </w:pPr>
      <w:r>
        <w:t>В соответствии с Уставом внутреннего надзора Комитет на каждой сессии получает информацию о ходе работы по проведению расследований и об изменении количества рассматриваемых дел, представляя данные о полученных и обоснованных жалобах в разбивке по категориям неправомерных действий.  Во всех случаях, предполагавших потенциальный конфликт интересов со стороны ОВН, Комитет подробно изучил каждое дело и вынес соответствующие рекомендации.  Кроме того, Комитет обсудил с ОВН механизм принятия к рассмотрению и порядок отбора новых утверждений и обвинений с целью оптимизации их рассмотрения.</w:t>
      </w:r>
    </w:p>
    <w:p w14:paraId="1A08B8E0" w14:textId="77777777" w:rsidR="000F075B" w:rsidRPr="007B6B33" w:rsidRDefault="000F075B" w:rsidP="009E506A">
      <w:pPr>
        <w:ind w:right="32"/>
        <w:rPr>
          <w:color w:val="auto"/>
        </w:rPr>
      </w:pPr>
    </w:p>
    <w:p w14:paraId="22D80936" w14:textId="7F6B6941" w:rsidR="002611F2" w:rsidRPr="007B6B33" w:rsidRDefault="00046A56" w:rsidP="009E506A">
      <w:pPr>
        <w:pStyle w:val="ListParagraph"/>
        <w:numPr>
          <w:ilvl w:val="0"/>
          <w:numId w:val="4"/>
        </w:numPr>
        <w:ind w:left="0"/>
        <w:rPr>
          <w:b/>
          <w:color w:val="auto"/>
        </w:rPr>
      </w:pPr>
      <w:r>
        <w:rPr>
          <w:color w:val="auto"/>
        </w:rPr>
        <w:lastRenderedPageBreak/>
        <w:t xml:space="preserve">На 72-й </w:t>
      </w:r>
      <w:r>
        <w:rPr>
          <w:color w:val="auto"/>
          <w:shd w:val="clear" w:color="auto" w:fill="FFFFFF" w:themeFill="background1"/>
        </w:rPr>
        <w:t>сессии</w:t>
      </w:r>
      <w:r>
        <w:rPr>
          <w:color w:val="auto"/>
        </w:rPr>
        <w:t xml:space="preserve"> Комитета ОВН сообщил, что по состоянию на 29 февраля 2024 года в производстве находилось 11 дел, а предварительная оценка проводилась по пяти жалобам.  За указанный период ни одно из расследований не выявило обоснованность утверждений о совершении неправомерных действий.  </w:t>
      </w:r>
    </w:p>
    <w:p w14:paraId="02EB3B3C" w14:textId="77777777" w:rsidR="001A60D6" w:rsidRPr="001A60D6" w:rsidRDefault="001A60D6" w:rsidP="001A60D6">
      <w:pPr>
        <w:rPr>
          <w:b/>
          <w:color w:val="auto"/>
        </w:rPr>
      </w:pPr>
      <w:bookmarkStart w:id="14" w:name="_Hlk166236616"/>
    </w:p>
    <w:p w14:paraId="154C1A22" w14:textId="155311D4" w:rsidR="001A60D6" w:rsidRPr="001A60D6" w:rsidRDefault="001A60D6" w:rsidP="001A60D6">
      <w:pPr>
        <w:pStyle w:val="ListParagraph"/>
        <w:ind w:left="709" w:firstLine="0"/>
        <w:rPr>
          <w:bCs/>
          <w:i/>
          <w:iCs/>
          <w:color w:val="auto"/>
        </w:rPr>
      </w:pPr>
      <w:r>
        <w:rPr>
          <w:bCs/>
          <w:i/>
          <w:iCs/>
          <w:color w:val="auto"/>
        </w:rPr>
        <w:t>П</w:t>
      </w:r>
      <w:r w:rsidRPr="001A60D6">
        <w:rPr>
          <w:bCs/>
          <w:i/>
          <w:iCs/>
          <w:color w:val="auto"/>
        </w:rPr>
        <w:t>роект стандартных операционных процедур</w:t>
      </w:r>
    </w:p>
    <w:bookmarkEnd w:id="14"/>
    <w:p w14:paraId="247E42CF" w14:textId="77777777" w:rsidR="00C02D58" w:rsidRPr="007B6B33" w:rsidRDefault="00C02D58" w:rsidP="00023E59">
      <w:pPr>
        <w:ind w:left="0" w:firstLine="0"/>
        <w:rPr>
          <w:b/>
          <w:color w:val="auto"/>
        </w:rPr>
      </w:pPr>
    </w:p>
    <w:p w14:paraId="6CCA8207" w14:textId="01EF1952" w:rsidR="00C02D58" w:rsidRPr="00B940D0" w:rsidRDefault="00C02D58" w:rsidP="00C02D58">
      <w:pPr>
        <w:numPr>
          <w:ilvl w:val="0"/>
          <w:numId w:val="4"/>
        </w:numPr>
        <w:shd w:val="clear" w:color="auto" w:fill="FFFFFF" w:themeFill="background1"/>
        <w:ind w:left="0" w:right="32"/>
        <w:rPr>
          <w:bCs/>
          <w:color w:val="auto"/>
        </w:rPr>
      </w:pPr>
      <w:r>
        <w:rPr>
          <w:color w:val="auto"/>
        </w:rPr>
        <w:t>На 70-й сессии Комитет рассмотрел два проекта стандартных операционных процедур</w:t>
      </w:r>
      <w:r w:rsidR="001A60D6">
        <w:rPr>
          <w:color w:val="auto"/>
        </w:rPr>
        <w:t xml:space="preserve"> ОВН</w:t>
      </w:r>
      <w:r>
        <w:rPr>
          <w:color w:val="auto"/>
        </w:rPr>
        <w:t xml:space="preserve">, </w:t>
      </w:r>
      <w:r w:rsidRPr="00B940D0">
        <w:rPr>
          <w:color w:val="auto"/>
        </w:rPr>
        <w:t xml:space="preserve">призвал ОВН проработать надлежащие стандарты проведения совместных мероприятий и рекомендовал ОВН продолжить рассмотрение вопроса о том, следует ли разрешить продление сроков выполнения высокоприоритетных и давних рекомендаций. </w:t>
      </w:r>
    </w:p>
    <w:p w14:paraId="3E4B87DF" w14:textId="77777777" w:rsidR="00B940D0" w:rsidRPr="00B940D0" w:rsidRDefault="00B940D0" w:rsidP="00B940D0">
      <w:pPr>
        <w:rPr>
          <w:b/>
          <w:color w:val="auto"/>
        </w:rPr>
      </w:pPr>
    </w:p>
    <w:p w14:paraId="72A854DE" w14:textId="15485D21" w:rsidR="00B940D0" w:rsidRPr="00B940D0" w:rsidRDefault="00B940D0" w:rsidP="00B940D0">
      <w:pPr>
        <w:pStyle w:val="ListParagraph"/>
        <w:ind w:left="709" w:firstLine="0"/>
        <w:rPr>
          <w:bCs/>
          <w:i/>
          <w:iCs/>
          <w:color w:val="auto"/>
        </w:rPr>
      </w:pPr>
      <w:r w:rsidRPr="00B940D0">
        <w:rPr>
          <w:bCs/>
          <w:i/>
          <w:iCs/>
          <w:color w:val="auto"/>
        </w:rPr>
        <w:t>Закрытые встречи</w:t>
      </w:r>
    </w:p>
    <w:p w14:paraId="2FEB39EF" w14:textId="77777777" w:rsidR="00C02D58" w:rsidRPr="007B6B33" w:rsidRDefault="00C02D58" w:rsidP="00C02D58">
      <w:pPr>
        <w:ind w:left="0" w:firstLine="0"/>
        <w:rPr>
          <w:b/>
          <w:color w:val="auto"/>
        </w:rPr>
      </w:pPr>
    </w:p>
    <w:p w14:paraId="745FCC0E" w14:textId="7F53DC95" w:rsidR="00CA2291" w:rsidRPr="007B6B33" w:rsidRDefault="00CA2291" w:rsidP="00323AF0">
      <w:pPr>
        <w:numPr>
          <w:ilvl w:val="0"/>
          <w:numId w:val="4"/>
        </w:numPr>
        <w:shd w:val="clear" w:color="auto" w:fill="FFFFFF" w:themeFill="background1"/>
        <w:ind w:left="0" w:right="32"/>
        <w:rPr>
          <w:bCs/>
          <w:color w:val="auto"/>
        </w:rPr>
      </w:pPr>
      <w:r>
        <w:rPr>
          <w:color w:val="auto"/>
        </w:rPr>
        <w:t>В соответствии с имеющимися у него полномочиями Комитет провел закрытые встречи с Директором ОВН.</w:t>
      </w:r>
    </w:p>
    <w:p w14:paraId="719C1213" w14:textId="77777777" w:rsidR="000F075B" w:rsidRPr="007B6B33" w:rsidRDefault="000F075B" w:rsidP="001B0DEA">
      <w:pPr>
        <w:spacing w:after="16"/>
        <w:ind w:right="32"/>
      </w:pPr>
    </w:p>
    <w:p w14:paraId="0B6E5F83" w14:textId="77777777" w:rsidR="000F075B" w:rsidRPr="007B6B33" w:rsidRDefault="00046A56" w:rsidP="00A8381F">
      <w:pPr>
        <w:pStyle w:val="Heading2"/>
        <w:tabs>
          <w:tab w:val="left" w:pos="720"/>
        </w:tabs>
        <w:ind w:left="0" w:right="32" w:firstLine="0"/>
        <w:rPr>
          <w:b/>
        </w:rPr>
      </w:pPr>
      <w:bookmarkStart w:id="15" w:name="_Toc166253352"/>
      <w:r>
        <w:rPr>
          <w:u w:val="none"/>
        </w:rPr>
        <w:t>B.</w:t>
      </w:r>
      <w:r>
        <w:rPr>
          <w:u w:val="none"/>
        </w:rPr>
        <w:tab/>
      </w:r>
      <w:r>
        <w:t>Внешний аудит</w:t>
      </w:r>
      <w:bookmarkEnd w:id="15"/>
      <w:r>
        <w:rPr>
          <w:u w:val="none"/>
        </w:rPr>
        <w:t xml:space="preserve"> </w:t>
      </w:r>
    </w:p>
    <w:p w14:paraId="2452DAC4" w14:textId="5AC1C59F" w:rsidR="000F075B" w:rsidRPr="007B6B33" w:rsidRDefault="000F075B" w:rsidP="005C2B55">
      <w:pPr>
        <w:spacing w:after="16"/>
        <w:ind w:left="0" w:right="32" w:firstLine="0"/>
      </w:pPr>
    </w:p>
    <w:p w14:paraId="56C742B9" w14:textId="361D4E8B" w:rsidR="00B6405A" w:rsidRPr="007B6B33" w:rsidRDefault="00B6405A" w:rsidP="005C2B55">
      <w:pPr>
        <w:spacing w:after="16"/>
        <w:ind w:left="0" w:right="32" w:firstLine="0"/>
        <w:rPr>
          <w:i/>
          <w:iCs/>
        </w:rPr>
      </w:pPr>
      <w:r>
        <w:tab/>
      </w:r>
      <w:r>
        <w:rPr>
          <w:i/>
        </w:rPr>
        <w:t>Процедура отбора Внешнего аудитора</w:t>
      </w:r>
    </w:p>
    <w:p w14:paraId="1D5AF8F3" w14:textId="460D3C92" w:rsidR="00B6405A" w:rsidRPr="007B6B33" w:rsidRDefault="00B6405A" w:rsidP="005C2B55">
      <w:pPr>
        <w:spacing w:after="16"/>
        <w:ind w:left="0" w:right="32" w:firstLine="0"/>
      </w:pPr>
    </w:p>
    <w:p w14:paraId="04D99305" w14:textId="23F457D5" w:rsidR="00B6405A" w:rsidRPr="007B6B33" w:rsidRDefault="00B6405A" w:rsidP="00B6405A">
      <w:pPr>
        <w:numPr>
          <w:ilvl w:val="0"/>
          <w:numId w:val="4"/>
        </w:numPr>
        <w:shd w:val="clear" w:color="auto" w:fill="FFFFFF" w:themeFill="background1"/>
        <w:ind w:left="0" w:right="32"/>
        <w:rPr>
          <w:color w:val="auto"/>
        </w:rPr>
      </w:pPr>
      <w:r>
        <w:t xml:space="preserve">На 69-й сессии Секретариат представил Комитету документ WO/GA/56/4 </w:t>
      </w:r>
      <w:r>
        <w:rPr>
          <w:color w:val="auto"/>
        </w:rPr>
        <w:t>«Назначение Внешнего аудитора», который Комитет счел достаточно полным и информативным: в нем, среди прочего, описаны оценочная матрица и процесс оценки, приводится короткий список кандидатов и предлагаются окончательные рекомендации отборочной комиссии</w:t>
      </w:r>
      <w:r>
        <w:t>.</w:t>
      </w:r>
      <w:r>
        <w:rPr>
          <w:color w:val="auto"/>
        </w:rPr>
        <w:t xml:space="preserve"> </w:t>
      </w:r>
    </w:p>
    <w:p w14:paraId="168CFF83" w14:textId="77777777" w:rsidR="00B6405A" w:rsidRPr="007B6B33" w:rsidRDefault="00B6405A" w:rsidP="00B6405A">
      <w:pPr>
        <w:shd w:val="clear" w:color="auto" w:fill="FFFFFF" w:themeFill="background1"/>
        <w:ind w:left="0" w:right="32" w:firstLine="0"/>
        <w:rPr>
          <w:color w:val="auto"/>
        </w:rPr>
      </w:pPr>
    </w:p>
    <w:p w14:paraId="2D8CAF3D" w14:textId="07370556" w:rsidR="00AF587D" w:rsidRDefault="00AF587D" w:rsidP="00864C97">
      <w:pPr>
        <w:numPr>
          <w:ilvl w:val="0"/>
          <w:numId w:val="4"/>
        </w:numPr>
        <w:shd w:val="clear" w:color="auto" w:fill="FFFFFF" w:themeFill="background1"/>
        <w:ind w:left="0" w:right="32" w:firstLine="0"/>
        <w:rPr>
          <w:color w:val="auto"/>
        </w:rPr>
      </w:pPr>
      <w:r>
        <w:rPr>
          <w:color w:val="auto"/>
        </w:rPr>
        <w:t>На 72-й сессии Комитет был проинформирован о ряде изменений, которые предлагается внести в процедуру выбора Внешнего аудитора, вынес рекомендации для рассмотрения, а также обсудил важность урегулирования любых возможных конфликтов интересов членов Комитетов и обеспечения участия всех групп</w:t>
      </w:r>
      <w:r w:rsidR="00DD3C9E">
        <w:rPr>
          <w:color w:val="auto"/>
        </w:rPr>
        <w:t xml:space="preserve"> государств-членов</w:t>
      </w:r>
      <w:r>
        <w:rPr>
          <w:color w:val="auto"/>
        </w:rPr>
        <w:t xml:space="preserve"> в процессе выбора.  Этот вопрос будет рассмотрен дополнительно, поскольку, как было отмечено, он не является срочным: в следующий раз выбор будет проводиться в отдаленном будущем.</w:t>
      </w:r>
    </w:p>
    <w:p w14:paraId="5930A686" w14:textId="77777777" w:rsidR="00DD3C9E" w:rsidRPr="00DD3C9E" w:rsidRDefault="00DD3C9E" w:rsidP="00DD3C9E">
      <w:pPr>
        <w:shd w:val="clear" w:color="auto" w:fill="FFFFFF" w:themeFill="background1"/>
        <w:ind w:left="0" w:right="32" w:firstLine="0"/>
        <w:rPr>
          <w:color w:val="auto"/>
        </w:rPr>
      </w:pPr>
    </w:p>
    <w:p w14:paraId="705F6BF4" w14:textId="1988EE5A" w:rsidR="00DD3C9E" w:rsidRPr="00DD3C9E" w:rsidRDefault="00DD3C9E" w:rsidP="00DD3C9E">
      <w:pPr>
        <w:pStyle w:val="ListParagraph"/>
        <w:shd w:val="clear" w:color="auto" w:fill="FFFFFF" w:themeFill="background1"/>
        <w:ind w:left="709" w:right="32" w:firstLine="0"/>
        <w:rPr>
          <w:i/>
          <w:iCs/>
          <w:color w:val="auto"/>
        </w:rPr>
      </w:pPr>
      <w:r>
        <w:rPr>
          <w:i/>
          <w:iCs/>
          <w:color w:val="auto"/>
        </w:rPr>
        <w:t>Встречи с Внешним аудитором</w:t>
      </w:r>
    </w:p>
    <w:p w14:paraId="6B10DBC6" w14:textId="77777777" w:rsidR="00AF587D" w:rsidRPr="007B6B33" w:rsidRDefault="00AF587D" w:rsidP="00AF587D">
      <w:pPr>
        <w:shd w:val="clear" w:color="auto" w:fill="FFFFFF" w:themeFill="background1"/>
        <w:ind w:left="0" w:right="32" w:firstLine="0"/>
        <w:rPr>
          <w:color w:val="auto"/>
        </w:rPr>
      </w:pPr>
    </w:p>
    <w:p w14:paraId="1B4C8F93" w14:textId="1DE8536F" w:rsidR="00E65BD0" w:rsidRPr="007B6B33" w:rsidRDefault="00E65BD0" w:rsidP="002546A7">
      <w:pPr>
        <w:pStyle w:val="ListParagraph"/>
        <w:numPr>
          <w:ilvl w:val="0"/>
          <w:numId w:val="4"/>
        </w:numPr>
        <w:spacing w:after="0"/>
        <w:ind w:left="0" w:right="32"/>
        <w:rPr>
          <w:color w:val="auto"/>
        </w:rPr>
      </w:pPr>
      <w:r>
        <w:rPr>
          <w:color w:val="auto"/>
        </w:rPr>
        <w:t>В ходе 69-й, 71-й и 72-й сессий Комитет проводил встречи, в том числе закрытые, с представителями Внешнего аудитора — Национального контрольно-ревизионного управления Соединенного Королевства.</w:t>
      </w:r>
      <w:r>
        <w:rPr>
          <w:i/>
          <w:color w:val="auto"/>
        </w:rPr>
        <w:t xml:space="preserve">  </w:t>
      </w:r>
      <w:r>
        <w:rPr>
          <w:color w:val="auto"/>
        </w:rPr>
        <w:t xml:space="preserve">Комитет отметил, что в аудиторском заключении и подробном отчете об аудиторской проверке ВОИС за 2022 год, которые были представлены на 69-й сессии, приведены основные результаты аудита, которые также содержатся в отчете о выполнении аудиторской проверки.  Комитет также проанализировал актуарные допущения в отношении МСПС, рекомендации на 2023 год и возможные последствия для ВОИС предложенных изменений в МСУГС 47 в отношении признания доходов. </w:t>
      </w:r>
    </w:p>
    <w:p w14:paraId="14F92523" w14:textId="77777777" w:rsidR="00BC6C9C" w:rsidRPr="007B6B33" w:rsidRDefault="00BC6C9C" w:rsidP="00037CF2">
      <w:pPr>
        <w:ind w:left="0" w:firstLine="0"/>
        <w:rPr>
          <w:color w:val="auto"/>
        </w:rPr>
      </w:pPr>
    </w:p>
    <w:p w14:paraId="74653E11" w14:textId="39954662" w:rsidR="00A67990" w:rsidRPr="007B6B33" w:rsidRDefault="00A67990" w:rsidP="008C2968">
      <w:pPr>
        <w:pStyle w:val="ListParagraph"/>
        <w:numPr>
          <w:ilvl w:val="0"/>
          <w:numId w:val="4"/>
        </w:numPr>
        <w:spacing w:after="0"/>
        <w:ind w:left="0" w:right="32"/>
        <w:rPr>
          <w:color w:val="auto"/>
        </w:rPr>
      </w:pPr>
      <w:r>
        <w:rPr>
          <w:color w:val="auto"/>
        </w:rPr>
        <w:t>На 72-й сессии Внешний аудитор сообщил, что в ходе аудиторской проверки в 2023 году существенных рисков и проблем выявлено не было и что он находится</w:t>
      </w:r>
      <w:r w:rsidR="00CB3694">
        <w:rPr>
          <w:color w:val="auto"/>
        </w:rPr>
        <w:t xml:space="preserve"> на</w:t>
      </w:r>
      <w:r>
        <w:rPr>
          <w:color w:val="auto"/>
        </w:rPr>
        <w:t xml:space="preserve"> заключительном этапе подготовки аудиторского заключения.  Он высоко оценил уровень взаимодействия с ВОИС и внешними сторонами, такими как актуарий ВОИС.  Комитет </w:t>
      </w:r>
      <w:r>
        <w:rPr>
          <w:color w:val="auto"/>
        </w:rPr>
        <w:lastRenderedPageBreak/>
        <w:t>получил заверения в том, что технические группы Внешнего аудитора проанализируют оценки, проведенные внешними специалистами.</w:t>
      </w:r>
    </w:p>
    <w:p w14:paraId="5F53EEA4" w14:textId="77777777" w:rsidR="008C2968" w:rsidRPr="007B6B33" w:rsidRDefault="008C2968" w:rsidP="008C2968">
      <w:pPr>
        <w:ind w:left="0" w:firstLine="0"/>
        <w:rPr>
          <w:color w:val="auto"/>
        </w:rPr>
      </w:pPr>
    </w:p>
    <w:p w14:paraId="58B633C6" w14:textId="068A08D0" w:rsidR="00A67990" w:rsidRPr="007B6B33" w:rsidRDefault="00A67990" w:rsidP="008C2968">
      <w:pPr>
        <w:pStyle w:val="ListParagraph"/>
        <w:numPr>
          <w:ilvl w:val="0"/>
          <w:numId w:val="4"/>
        </w:numPr>
        <w:spacing w:after="0"/>
        <w:ind w:left="0" w:right="32"/>
        <w:rPr>
          <w:color w:val="auto"/>
        </w:rPr>
      </w:pPr>
      <w:r>
        <w:rPr>
          <w:color w:val="auto"/>
        </w:rPr>
        <w:t>Представитель Внешнего аудитора также сообщил, что его группа находится в тесном диалоге с новым Внешним аудитором из Индонезии и обеспечит гладкую передачу полномочий после завершения упомянутой аудиторской проверки 2023 года.</w:t>
      </w:r>
    </w:p>
    <w:p w14:paraId="463496DB" w14:textId="77777777" w:rsidR="00441C59" w:rsidRPr="007B6B33" w:rsidRDefault="00441C59" w:rsidP="00441C59">
      <w:pPr>
        <w:ind w:left="0" w:firstLine="0"/>
        <w:rPr>
          <w:color w:val="auto"/>
        </w:rPr>
      </w:pPr>
    </w:p>
    <w:p w14:paraId="000683C1" w14:textId="31FC8AA1" w:rsidR="00BC6C9C" w:rsidRPr="007B6B33" w:rsidRDefault="00A67990" w:rsidP="00891518">
      <w:pPr>
        <w:pStyle w:val="ListParagraph"/>
        <w:numPr>
          <w:ilvl w:val="0"/>
          <w:numId w:val="4"/>
        </w:numPr>
        <w:spacing w:after="0"/>
        <w:ind w:left="0" w:right="32"/>
        <w:rPr>
          <w:color w:val="auto"/>
        </w:rPr>
      </w:pPr>
      <w:r>
        <w:rPr>
          <w:color w:val="auto"/>
        </w:rPr>
        <w:t>Внешний аудитор проинформировал Комитет о том, что намерен подготовить финансовый отчет и подробный отчет, в котором будут рассмотрены темы, поднимавшиеся в предыдущие годы, и достигнутый в соответствующих областях прогресс.</w:t>
      </w:r>
    </w:p>
    <w:p w14:paraId="2337F778" w14:textId="031D4C7B" w:rsidR="000F075B" w:rsidRPr="007B6B33" w:rsidRDefault="000F075B" w:rsidP="001936DD">
      <w:pPr>
        <w:spacing w:after="0"/>
        <w:ind w:right="32"/>
        <w:rPr>
          <w:color w:val="auto"/>
        </w:rPr>
      </w:pPr>
    </w:p>
    <w:p w14:paraId="351D7708" w14:textId="36406D15" w:rsidR="000F075B" w:rsidRPr="007B6B33" w:rsidRDefault="00046A56" w:rsidP="00A8381F">
      <w:pPr>
        <w:pStyle w:val="Heading2"/>
        <w:tabs>
          <w:tab w:val="left" w:pos="720"/>
        </w:tabs>
        <w:ind w:left="0" w:right="32" w:firstLine="0"/>
        <w:rPr>
          <w:color w:val="auto"/>
        </w:rPr>
      </w:pPr>
      <w:bookmarkStart w:id="16" w:name="_Toc166253353"/>
      <w:r>
        <w:rPr>
          <w:color w:val="auto"/>
          <w:u w:val="none"/>
        </w:rPr>
        <w:t xml:space="preserve">C.  </w:t>
      </w:r>
      <w:r>
        <w:rPr>
          <w:color w:val="auto"/>
          <w:u w:val="none"/>
        </w:rPr>
        <w:tab/>
      </w:r>
      <w:r>
        <w:rPr>
          <w:color w:val="auto"/>
        </w:rPr>
        <w:t>Финансовая отчетность</w:t>
      </w:r>
      <w:bookmarkEnd w:id="16"/>
    </w:p>
    <w:p w14:paraId="466C4FD6" w14:textId="77AF5577" w:rsidR="000F075B" w:rsidRPr="007B6B33" w:rsidRDefault="000F075B" w:rsidP="006E3436">
      <w:pPr>
        <w:spacing w:after="0"/>
        <w:ind w:left="0" w:right="32" w:firstLine="0"/>
      </w:pPr>
    </w:p>
    <w:p w14:paraId="24558E33" w14:textId="1400A955" w:rsidR="006E3436" w:rsidRPr="007B6B33" w:rsidRDefault="006E3436" w:rsidP="006E3436">
      <w:pPr>
        <w:spacing w:after="0" w:line="240" w:lineRule="auto"/>
        <w:ind w:right="648"/>
        <w:rPr>
          <w:bCs/>
          <w:i/>
          <w:iCs/>
        </w:rPr>
      </w:pPr>
      <w:r>
        <w:tab/>
      </w:r>
      <w:r>
        <w:tab/>
      </w:r>
      <w:r>
        <w:rPr>
          <w:i/>
        </w:rPr>
        <w:t>Финансовые отчеты ВОИС за 2023 год</w:t>
      </w:r>
    </w:p>
    <w:p w14:paraId="3F413204" w14:textId="77777777" w:rsidR="006E3436" w:rsidRPr="007B6B33" w:rsidRDefault="006E3436" w:rsidP="006E3436">
      <w:pPr>
        <w:spacing w:after="0" w:line="240" w:lineRule="auto"/>
        <w:ind w:right="648"/>
        <w:rPr>
          <w:bCs/>
        </w:rPr>
      </w:pPr>
    </w:p>
    <w:p w14:paraId="2DB1FEDC" w14:textId="7B8F5CB7" w:rsidR="00D47C47" w:rsidRPr="007B6B33" w:rsidRDefault="006E3436" w:rsidP="000231CA">
      <w:pPr>
        <w:pStyle w:val="ListParagraph"/>
        <w:numPr>
          <w:ilvl w:val="0"/>
          <w:numId w:val="4"/>
        </w:numPr>
        <w:spacing w:after="19" w:line="240" w:lineRule="auto"/>
        <w:ind w:left="0" w:right="32" w:firstLine="0"/>
        <w:rPr>
          <w:color w:val="auto"/>
        </w:rPr>
      </w:pPr>
      <w:r>
        <w:rPr>
          <w:color w:val="auto"/>
        </w:rPr>
        <w:t>В ходе 72-й сессии директор Финансового отдела проинформировал членов Комитета о проекте отчета о финансовых результатах и отчета о финансовом положении за 2023 год и отметил, что операционные поступления несколько снизились, в том числе из-за сокращения числа заявок в рамках РСТ и Мадридской системы, и этот вопрос находится под пристальным контролем.  Значительное увеличение инвестиционного дохода более чем компенсировало сокращение доходов, в результате чего чистый положительный результат составил порядка 114 млн шв. франков.  В проекте финансовых ведомостей также показан рост обязательств по МСПС, вызванный снижением ставки дисконтирования, используемой актуарием для ежегодного определения текущей стоимости обязательств.  Колебания данных по обязательствам связаны с используемыми допущениями с учетом строгого выполнения требований МСУГС.</w:t>
      </w:r>
    </w:p>
    <w:p w14:paraId="75F2338F" w14:textId="77777777" w:rsidR="00D47C47" w:rsidRPr="007B6B33" w:rsidRDefault="00D47C47" w:rsidP="00D47C47">
      <w:pPr>
        <w:pStyle w:val="ListParagraph"/>
        <w:spacing w:after="19" w:line="240" w:lineRule="auto"/>
        <w:ind w:left="0" w:right="32" w:firstLine="0"/>
        <w:rPr>
          <w:color w:val="auto"/>
        </w:rPr>
      </w:pPr>
    </w:p>
    <w:p w14:paraId="4BCA32B3" w14:textId="77777777" w:rsidR="00E477CA" w:rsidRDefault="00D47C47" w:rsidP="00343F26">
      <w:pPr>
        <w:pStyle w:val="ListParagraph"/>
        <w:numPr>
          <w:ilvl w:val="0"/>
          <w:numId w:val="4"/>
        </w:numPr>
        <w:spacing w:after="19" w:line="240" w:lineRule="auto"/>
        <w:ind w:left="0" w:right="32" w:firstLine="0"/>
        <w:rPr>
          <w:color w:val="auto"/>
        </w:rPr>
      </w:pPr>
      <w:r>
        <w:rPr>
          <w:color w:val="auto"/>
        </w:rPr>
        <w:t xml:space="preserve">Комитет обсудил снижение стоимости объектов недвижимости, согласно недавней оценке, в связи с колебаниями доходности коммерческой недвижимости в городе Женева.  </w:t>
      </w:r>
    </w:p>
    <w:p w14:paraId="2707E27B" w14:textId="77777777" w:rsidR="00E477CA" w:rsidRPr="007913B1" w:rsidRDefault="00E477CA" w:rsidP="007913B1">
      <w:pPr>
        <w:ind w:left="0" w:firstLine="0"/>
        <w:rPr>
          <w:color w:val="auto"/>
        </w:rPr>
      </w:pPr>
    </w:p>
    <w:p w14:paraId="3AD3967C" w14:textId="4B886CFE" w:rsidR="000F075B" w:rsidRPr="007B6B33" w:rsidRDefault="00D47C47" w:rsidP="00343F26">
      <w:pPr>
        <w:pStyle w:val="ListParagraph"/>
        <w:numPr>
          <w:ilvl w:val="0"/>
          <w:numId w:val="4"/>
        </w:numPr>
        <w:spacing w:after="19" w:line="240" w:lineRule="auto"/>
        <w:ind w:left="0" w:right="32" w:firstLine="0"/>
        <w:rPr>
          <w:color w:val="auto"/>
        </w:rPr>
      </w:pPr>
      <w:r>
        <w:rPr>
          <w:color w:val="auto"/>
        </w:rPr>
        <w:t>Комитет обсудил с Секретариатом изменения учетной политики и стандартов учета.  В 2023 году был утвержден один новый стандарт (МСУГС 43 (Договоры операционной аренды)); еще шесть новых стандартов МСУГС изучались на предмет внедрения в 2024–2026 годах.</w:t>
      </w:r>
    </w:p>
    <w:p w14:paraId="3D84AFE4" w14:textId="69B259B7" w:rsidR="00D12542" w:rsidRPr="007B6B33" w:rsidRDefault="00D12542" w:rsidP="001851FF">
      <w:pPr>
        <w:ind w:left="0" w:firstLine="0"/>
        <w:rPr>
          <w:i/>
          <w:iCs/>
          <w:color w:val="auto"/>
        </w:rPr>
      </w:pPr>
    </w:p>
    <w:p w14:paraId="41015CD4" w14:textId="40AC126D" w:rsidR="00F807F3" w:rsidRPr="007B6B33" w:rsidRDefault="00F807F3" w:rsidP="00F807F3">
      <w:pPr>
        <w:spacing w:after="0" w:line="240" w:lineRule="auto"/>
        <w:ind w:right="648"/>
        <w:rPr>
          <w:bCs/>
          <w:i/>
          <w:iCs/>
        </w:rPr>
      </w:pPr>
      <w:r>
        <w:tab/>
      </w:r>
      <w:r>
        <w:tab/>
      </w:r>
      <w:r>
        <w:rPr>
          <w:i/>
        </w:rPr>
        <w:t>Встреча с актуарием</w:t>
      </w:r>
    </w:p>
    <w:p w14:paraId="6C52F81F" w14:textId="77777777" w:rsidR="00F807F3" w:rsidRPr="007B6B33" w:rsidRDefault="00F807F3" w:rsidP="00F807F3">
      <w:pPr>
        <w:spacing w:after="0" w:line="240" w:lineRule="auto"/>
        <w:ind w:right="648"/>
        <w:rPr>
          <w:bCs/>
        </w:rPr>
      </w:pPr>
    </w:p>
    <w:p w14:paraId="7F9D5A01" w14:textId="405F0939" w:rsidR="00F807F3" w:rsidRPr="007B6B33" w:rsidRDefault="00F807F3" w:rsidP="007E0E2F">
      <w:pPr>
        <w:pStyle w:val="ListParagraph"/>
        <w:numPr>
          <w:ilvl w:val="0"/>
          <w:numId w:val="4"/>
        </w:numPr>
        <w:spacing w:after="0" w:line="240" w:lineRule="auto"/>
        <w:ind w:left="0" w:right="648" w:firstLine="0"/>
        <w:rPr>
          <w:bCs/>
          <w:color w:val="auto"/>
        </w:rPr>
      </w:pPr>
      <w:r>
        <w:rPr>
          <w:color w:val="auto"/>
        </w:rPr>
        <w:t>На 70-й сессии Комитет рассмотрел и обсудил с актуарием правильность допущений, использованных для расчета обязательств по МСПС и рассмотрел таблицу сопоставимых допущений, используемую другими расположенными в Женеве учреждениями системы ООН.  Согласно финансовым ведомостям за 2022 год</w:t>
      </w:r>
      <w:r w:rsidR="004A0230">
        <w:rPr>
          <w:color w:val="auto"/>
        </w:rPr>
        <w:t>,</w:t>
      </w:r>
      <w:r>
        <w:rPr>
          <w:color w:val="auto"/>
        </w:rPr>
        <w:t xml:space="preserve"> сумма данных обязательств уменьшилась на 105,1 млн шв. франков, в основном за счет увеличения ставки дисконтирования с 0,5 до 2,5 процента.  Комитет также задал вопрос о взаимодействии между актуарием ВОИС и актуарием Внешнего аудитора. </w:t>
      </w:r>
    </w:p>
    <w:p w14:paraId="6748BBE3" w14:textId="77777777" w:rsidR="00F807F3" w:rsidRPr="007B6B33" w:rsidRDefault="00F807F3" w:rsidP="00F807F3">
      <w:pPr>
        <w:pStyle w:val="ListParagraph"/>
        <w:spacing w:after="0" w:line="240" w:lineRule="auto"/>
        <w:ind w:left="0" w:right="648" w:firstLine="0"/>
        <w:rPr>
          <w:bCs/>
          <w:color w:val="auto"/>
        </w:rPr>
      </w:pPr>
    </w:p>
    <w:p w14:paraId="3FB2D5B5" w14:textId="0E4B12EF" w:rsidR="00F807F3" w:rsidRPr="007B6B33" w:rsidRDefault="00F807F3" w:rsidP="00F807F3">
      <w:pPr>
        <w:pStyle w:val="ListParagraph"/>
        <w:spacing w:after="0" w:line="240" w:lineRule="auto"/>
        <w:ind w:right="648" w:firstLine="0"/>
        <w:rPr>
          <w:bCs/>
          <w:i/>
          <w:iCs/>
          <w:color w:val="auto"/>
        </w:rPr>
      </w:pPr>
      <w:bookmarkStart w:id="17" w:name="_Hlk164955110"/>
      <w:r>
        <w:rPr>
          <w:i/>
          <w:color w:val="auto"/>
        </w:rPr>
        <w:t>Система и политика управления инвестиционной деятельностью</w:t>
      </w:r>
    </w:p>
    <w:bookmarkEnd w:id="17"/>
    <w:p w14:paraId="712209E1" w14:textId="77777777" w:rsidR="00F807F3" w:rsidRPr="007B6B33" w:rsidRDefault="00F807F3" w:rsidP="00F807F3">
      <w:pPr>
        <w:spacing w:after="0" w:line="240" w:lineRule="auto"/>
        <w:ind w:right="648"/>
        <w:rPr>
          <w:bCs/>
          <w:color w:val="auto"/>
        </w:rPr>
      </w:pPr>
    </w:p>
    <w:p w14:paraId="605B1CBE" w14:textId="2C411D65" w:rsidR="00C476D2" w:rsidRPr="007B6B33" w:rsidRDefault="00E262D6" w:rsidP="00F807F3">
      <w:pPr>
        <w:pStyle w:val="ListParagraph"/>
        <w:numPr>
          <w:ilvl w:val="0"/>
          <w:numId w:val="4"/>
        </w:numPr>
        <w:spacing w:after="0" w:line="240" w:lineRule="auto"/>
        <w:ind w:left="0" w:right="648" w:firstLine="0"/>
        <w:rPr>
          <w:bCs/>
          <w:color w:val="auto"/>
        </w:rPr>
      </w:pPr>
      <w:r>
        <w:rPr>
          <w:color w:val="auto"/>
        </w:rPr>
        <w:t xml:space="preserve">Согласно ранее высказанной просьбе Секретариат на каждой сессии Комитета представлял ему актуальные сведения о системе и политике управления инвестиционной деятельностью ВОИС, уделяя особое внимание портфелям основных и стратегических денежных средств и контрольным показателям инвестиционных фондов.  Комитет был проинформирован о том, что Секретариат продолжает изучать пути совершенствования управления инвестициями, руководствуясь при этом полученными от Комитета рекомендациями по улучшению </w:t>
      </w:r>
      <w:r>
        <w:rPr>
          <w:color w:val="auto"/>
        </w:rPr>
        <w:lastRenderedPageBreak/>
        <w:t xml:space="preserve">системы управления в этой сфере.  Кроме того, Комитет был проинформирован о том, что ВОИС привлекла Казначейство Всемирного банка для проведения экспертной оценки в сентябре и октябре 2023 года. </w:t>
      </w:r>
    </w:p>
    <w:p w14:paraId="6AE7F213" w14:textId="77777777" w:rsidR="00C476D2" w:rsidRPr="007B6B33" w:rsidRDefault="00C476D2" w:rsidP="00C476D2">
      <w:pPr>
        <w:pStyle w:val="ListParagraph"/>
        <w:spacing w:after="0" w:line="240" w:lineRule="auto"/>
        <w:ind w:left="0" w:right="648" w:firstLine="0"/>
        <w:rPr>
          <w:bCs/>
          <w:color w:val="auto"/>
        </w:rPr>
      </w:pPr>
    </w:p>
    <w:p w14:paraId="16AB7E9F" w14:textId="64377F2B" w:rsidR="00871F83" w:rsidRPr="007B6B33" w:rsidRDefault="00F20B58" w:rsidP="0052088C">
      <w:pPr>
        <w:pStyle w:val="ListParagraph"/>
        <w:numPr>
          <w:ilvl w:val="0"/>
          <w:numId w:val="4"/>
        </w:numPr>
        <w:spacing w:after="0" w:line="240" w:lineRule="auto"/>
        <w:ind w:left="0" w:right="648" w:firstLine="0"/>
        <w:rPr>
          <w:bCs/>
          <w:color w:val="auto"/>
        </w:rPr>
      </w:pPr>
      <w:r>
        <w:rPr>
          <w:color w:val="auto"/>
        </w:rPr>
        <w:t>Комитет был проинформирован о том, что показатели портфеля соответствовали контрольным показателям результативности инвестиционной деятельности.  Что касается структуры управления, то Комитету периодически представлялась обновленная информация о ходе работы с Партнерством по консультированию и управлению резервами (RAMP), входящим в систему Казначейства Всемирного банка.  Обзор был завершен, по его результатам был вынесен ряд рекомендаций.  Члены Комитета были проинформированы о том, что рекомендация RAMP о включении одного или нескольких внешних экспертов в состав внутреннего Консультативного комитета ВОИС по инвестициям (ККИ) находится на рассмотрении в числе других рекомендаций.</w:t>
      </w:r>
    </w:p>
    <w:p w14:paraId="4C256849" w14:textId="77777777" w:rsidR="00871F83" w:rsidRPr="007B6B33" w:rsidRDefault="00871F83" w:rsidP="00FF5C26">
      <w:pPr>
        <w:ind w:left="0" w:firstLine="0"/>
        <w:rPr>
          <w:bCs/>
          <w:color w:val="auto"/>
        </w:rPr>
      </w:pPr>
    </w:p>
    <w:p w14:paraId="01AF4773" w14:textId="01B2B092" w:rsidR="00231B12" w:rsidRPr="007B6B33" w:rsidRDefault="00D87BA0" w:rsidP="00C7673B">
      <w:pPr>
        <w:pStyle w:val="ListParagraph"/>
        <w:spacing w:after="0" w:line="240" w:lineRule="auto"/>
        <w:ind w:right="648" w:firstLine="0"/>
        <w:rPr>
          <w:bCs/>
          <w:i/>
          <w:iCs/>
          <w:color w:val="auto"/>
        </w:rPr>
      </w:pPr>
      <w:r>
        <w:rPr>
          <w:i/>
          <w:color w:val="auto"/>
        </w:rPr>
        <w:t>Отделение активов, используемых для целей МСПС, и общие финансовые показатели</w:t>
      </w:r>
    </w:p>
    <w:p w14:paraId="798366FA" w14:textId="77777777" w:rsidR="00D87BA0" w:rsidRPr="00AE0F41" w:rsidRDefault="00D87BA0" w:rsidP="00AE0F41">
      <w:pPr>
        <w:spacing w:after="0" w:line="240" w:lineRule="auto"/>
        <w:ind w:right="648"/>
        <w:rPr>
          <w:bCs/>
          <w:i/>
          <w:iCs/>
          <w:color w:val="auto"/>
        </w:rPr>
      </w:pPr>
    </w:p>
    <w:p w14:paraId="6260E178" w14:textId="097D00EF" w:rsidR="00A67DC0" w:rsidRPr="007B6B33" w:rsidRDefault="00871F83" w:rsidP="00F807F3">
      <w:pPr>
        <w:pStyle w:val="ListParagraph"/>
        <w:numPr>
          <w:ilvl w:val="0"/>
          <w:numId w:val="4"/>
        </w:numPr>
        <w:spacing w:after="0" w:line="240" w:lineRule="auto"/>
        <w:ind w:left="0" w:right="648" w:firstLine="0"/>
        <w:rPr>
          <w:bCs/>
          <w:color w:val="auto"/>
        </w:rPr>
      </w:pPr>
      <w:r>
        <w:rPr>
          <w:color w:val="auto"/>
        </w:rPr>
        <w:t xml:space="preserve">Секретариат проинформировал Комитет о различных рассматриваемых вариантах отделения активов, используемых для целей МСПС.  В частности, для них может быть учрежден отдельный фонд. Комитет обсудит этот вопрос дополнительно и предложит руководящие указания.  </w:t>
      </w:r>
    </w:p>
    <w:p w14:paraId="39B694D5" w14:textId="77777777" w:rsidR="00A67DC0" w:rsidRPr="007B6B33" w:rsidRDefault="00A67DC0" w:rsidP="00A02D9E">
      <w:pPr>
        <w:ind w:left="0" w:firstLine="0"/>
        <w:rPr>
          <w:bCs/>
          <w:color w:val="auto"/>
        </w:rPr>
      </w:pPr>
    </w:p>
    <w:p w14:paraId="5C79E90D" w14:textId="2919B11E" w:rsidR="00A67DC0" w:rsidRPr="007B6B33" w:rsidRDefault="00A67DC0" w:rsidP="00F807F3">
      <w:pPr>
        <w:pStyle w:val="ListParagraph"/>
        <w:numPr>
          <w:ilvl w:val="0"/>
          <w:numId w:val="4"/>
        </w:numPr>
        <w:spacing w:after="0" w:line="240" w:lineRule="auto"/>
        <w:ind w:left="0" w:right="648" w:firstLine="0"/>
        <w:rPr>
          <w:bCs/>
          <w:color w:val="auto"/>
        </w:rPr>
      </w:pPr>
      <w:r>
        <w:rPr>
          <w:color w:val="auto"/>
        </w:rPr>
        <w:t xml:space="preserve">Комитету также была представлена обновленная информация об общих финансовых показателях Организации, из которой можно сделать вывод о том, что как поступления, так и расходы находятся в пределах запланированных уровней, хотя на это может повлиять окончательная оценка обязательств по МСПС в конце года. </w:t>
      </w:r>
    </w:p>
    <w:p w14:paraId="36531841" w14:textId="0F8D890A" w:rsidR="00097EE0" w:rsidRPr="007B6B33" w:rsidRDefault="00097EE0" w:rsidP="00097EE0">
      <w:pPr>
        <w:pStyle w:val="ListParagraph"/>
        <w:spacing w:after="0" w:line="240" w:lineRule="auto"/>
        <w:ind w:left="0" w:right="648" w:firstLine="0"/>
        <w:rPr>
          <w:bCs/>
          <w:color w:val="auto"/>
        </w:rPr>
      </w:pPr>
    </w:p>
    <w:p w14:paraId="6240DEB9" w14:textId="741B78A2" w:rsidR="000F075B" w:rsidRPr="00AF1852" w:rsidRDefault="00046A56" w:rsidP="00A713F9">
      <w:pPr>
        <w:pStyle w:val="Heading2"/>
        <w:tabs>
          <w:tab w:val="left" w:pos="720"/>
        </w:tabs>
        <w:ind w:left="0" w:right="32" w:firstLine="0"/>
        <w:rPr>
          <w:color w:val="auto"/>
        </w:rPr>
      </w:pPr>
      <w:bookmarkStart w:id="18" w:name="_Toc166253354"/>
      <w:r w:rsidRPr="00A8381F">
        <w:rPr>
          <w:color w:val="auto"/>
          <w:u w:val="none"/>
        </w:rPr>
        <w:t xml:space="preserve">D.  </w:t>
      </w:r>
      <w:r w:rsidRPr="00A8381F">
        <w:rPr>
          <w:color w:val="auto"/>
          <w:u w:val="none"/>
        </w:rPr>
        <w:tab/>
      </w:r>
      <w:r w:rsidRPr="00AF1852">
        <w:rPr>
          <w:color w:val="auto"/>
        </w:rPr>
        <w:t>Управление рисками и внутренний контроль</w:t>
      </w:r>
      <w:bookmarkEnd w:id="18"/>
      <w:r w:rsidRPr="00AF1852">
        <w:rPr>
          <w:color w:val="auto"/>
        </w:rPr>
        <w:t xml:space="preserve"> </w:t>
      </w:r>
    </w:p>
    <w:p w14:paraId="0165F298" w14:textId="77777777" w:rsidR="00907EDC" w:rsidRPr="007B6B33" w:rsidRDefault="00907EDC" w:rsidP="00BB58AB">
      <w:pPr>
        <w:spacing w:after="0" w:line="240" w:lineRule="auto"/>
        <w:ind w:left="0" w:right="-648" w:firstLine="0"/>
      </w:pPr>
    </w:p>
    <w:p w14:paraId="603F949B" w14:textId="7268446E" w:rsidR="005F3A57" w:rsidRPr="007B6B33" w:rsidRDefault="00B933E3" w:rsidP="00BB58AB">
      <w:pPr>
        <w:pStyle w:val="ListParagraph"/>
        <w:numPr>
          <w:ilvl w:val="0"/>
          <w:numId w:val="4"/>
        </w:numPr>
        <w:spacing w:after="0" w:line="240" w:lineRule="auto"/>
        <w:ind w:left="0" w:right="-648"/>
      </w:pPr>
      <w:r>
        <w:t xml:space="preserve">На 69-й сессии Комитет получил Годовой отчет о ходе работы в области управления рисками за 2022 год (от 9 марта 2023 года) и удостоверяющее заключение ВОИС за 2022 год (от 24 февраля 2023 года) и принял к сведению информацию о совершенствовании процессов управления рисками, в том числе о ключевых механизмах контроля, использовании аналитических данных и регулярных консультациях с ОВН. </w:t>
      </w:r>
    </w:p>
    <w:p w14:paraId="40DC1566" w14:textId="77777777" w:rsidR="005F3A57" w:rsidRPr="007B6B33" w:rsidRDefault="005F3A57" w:rsidP="005F3A57">
      <w:pPr>
        <w:pStyle w:val="ListParagraph"/>
        <w:ind w:left="0" w:firstLine="0"/>
      </w:pPr>
    </w:p>
    <w:p w14:paraId="22C94E48" w14:textId="6ACBDFE5" w:rsidR="00A43D8F" w:rsidRPr="007B6B33" w:rsidRDefault="00796205" w:rsidP="009E506A">
      <w:pPr>
        <w:pStyle w:val="ListParagraph"/>
        <w:numPr>
          <w:ilvl w:val="0"/>
          <w:numId w:val="4"/>
        </w:numPr>
        <w:ind w:left="0"/>
      </w:pPr>
      <w:r>
        <w:t>На 70-й сессии Секретариат представил Комитету обновленную информацию об эффективности деятельности и системе общеорганизационного управления рисками (ОУР), в том числе сведения об основных рисках и мерах по их снижению, и получил рекомендации относительно уточнения определений, используемых для оценки результатов деятельности ВОИС, в частности, для проведения различия между предварительными результатами, итогами и воздействием.  Комитет принял к сведению обновленную информацию о матрице основных рисков ОУР и обсудил оценку и возможность достижения в некоторых областях целевых уровней остаточного риска, а также обсудил с Секретариатом прогресс в достижении ожидаемых результатов и изменение рисков, касающихся различных стратегических направлений работы и базовых задач в рамках матрицы результатов ВОИС.</w:t>
      </w:r>
    </w:p>
    <w:p w14:paraId="1FCCE491" w14:textId="77777777" w:rsidR="00A43D8F" w:rsidRPr="007B6B33" w:rsidRDefault="00A43D8F" w:rsidP="006B3357">
      <w:pPr>
        <w:ind w:left="0" w:firstLine="0"/>
        <w:rPr>
          <w:bCs/>
        </w:rPr>
      </w:pPr>
    </w:p>
    <w:p w14:paraId="4E270024" w14:textId="663C4587" w:rsidR="000944AF" w:rsidRPr="007B6B33" w:rsidRDefault="000944AF" w:rsidP="00A43D8F">
      <w:pPr>
        <w:pStyle w:val="ListParagraph"/>
        <w:rPr>
          <w:bCs/>
          <w:i/>
          <w:iCs/>
        </w:rPr>
      </w:pPr>
      <w:r>
        <w:rPr>
          <w:i/>
        </w:rPr>
        <w:t>Обновленная информация об обеспечении бесперебойного функционирования</w:t>
      </w:r>
    </w:p>
    <w:p w14:paraId="1F54166E" w14:textId="77777777" w:rsidR="000944AF" w:rsidRPr="007B6B33" w:rsidRDefault="000944AF" w:rsidP="006B3357">
      <w:pPr>
        <w:ind w:left="0" w:firstLine="0"/>
        <w:rPr>
          <w:bCs/>
        </w:rPr>
      </w:pPr>
    </w:p>
    <w:p w14:paraId="01031A5C" w14:textId="2D512640" w:rsidR="00A43D8F" w:rsidRPr="007B6B33" w:rsidRDefault="000944AF" w:rsidP="009E506A">
      <w:pPr>
        <w:pStyle w:val="ListParagraph"/>
        <w:numPr>
          <w:ilvl w:val="0"/>
          <w:numId w:val="4"/>
        </w:numPr>
        <w:ind w:left="0"/>
      </w:pPr>
      <w:r>
        <w:t xml:space="preserve">В ходе 70-й сессии члены Комитета провели встречу с Координатором по вопросам обеспечения бесперебойного функционирования, который представил обзор существующих планов обеспечения бесперебойного функционирования, а </w:t>
      </w:r>
      <w:r>
        <w:lastRenderedPageBreak/>
        <w:t xml:space="preserve">также планов, которые находятся на различных этапах разработки и проверки, и сообщил, что на тот момент существовало 22 плана обеспечения бесперебойного функционирования, состоящих из 50 планов действий на уровне отделов/процессов, которые обновлялись по мере необходимости. </w:t>
      </w:r>
    </w:p>
    <w:p w14:paraId="6F16E408" w14:textId="77777777" w:rsidR="00A43D8F" w:rsidRPr="007B6B33" w:rsidRDefault="00A43D8F" w:rsidP="006B3357">
      <w:pPr>
        <w:ind w:left="0" w:firstLine="0"/>
        <w:rPr>
          <w:bCs/>
        </w:rPr>
      </w:pPr>
    </w:p>
    <w:p w14:paraId="3AC4AF7F" w14:textId="57550DC8" w:rsidR="00242814" w:rsidRPr="007B6B33" w:rsidRDefault="00242814" w:rsidP="00242814">
      <w:pPr>
        <w:pStyle w:val="ListParagraph"/>
        <w:rPr>
          <w:bCs/>
          <w:i/>
          <w:iCs/>
        </w:rPr>
      </w:pPr>
      <w:r>
        <w:rPr>
          <w:i/>
        </w:rPr>
        <w:t>Обновленная информация о кибербезопасности</w:t>
      </w:r>
    </w:p>
    <w:p w14:paraId="268D7474" w14:textId="77777777" w:rsidR="00242814" w:rsidRPr="007B6B33" w:rsidRDefault="00242814" w:rsidP="006B3357">
      <w:pPr>
        <w:ind w:left="0" w:firstLine="0"/>
        <w:rPr>
          <w:bCs/>
        </w:rPr>
      </w:pPr>
    </w:p>
    <w:p w14:paraId="474F5CE2" w14:textId="0B70B1BB" w:rsidR="00242814" w:rsidRPr="007B5A1D" w:rsidRDefault="00242814" w:rsidP="00242814">
      <w:pPr>
        <w:pStyle w:val="ListParagraph"/>
        <w:numPr>
          <w:ilvl w:val="0"/>
          <w:numId w:val="4"/>
        </w:numPr>
        <w:ind w:left="0"/>
      </w:pPr>
      <w:r>
        <w:t xml:space="preserve">В ходе 70-й сессии Комитет был проинформирован о трех уровнях обеспечения кибербезопасности в ВОИС.  Первый уровень включает в себя деятельность в области ИТ и контроль периметра; второй включает обеспечение функций соблюдения требований и риска; третий включает внутренний контроль.  Члены Комитета задавали вопросы о функционировании первого и второго уровня, а также обсудили организационную структуру ИТ-подразделения и распределение обязанностей между отдельными подразделениями, отвечающими за деятельность в области ИТ и информационную безопасность.  Это обсуждение было проведено в связи с расширением мандата Комитета в соответствии с его Полномочиями и включением в него вопросов кибербезопасности. </w:t>
      </w:r>
    </w:p>
    <w:p w14:paraId="67F3882C" w14:textId="3A99AC09" w:rsidR="00242814" w:rsidRPr="007B5A1D" w:rsidRDefault="00242814" w:rsidP="00242814"/>
    <w:p w14:paraId="2209FA38" w14:textId="45AE7206" w:rsidR="003F2EEF" w:rsidRPr="00511944" w:rsidRDefault="003F2EEF" w:rsidP="003F2EEF">
      <w:pPr>
        <w:ind w:left="730"/>
        <w:rPr>
          <w:i/>
          <w:iCs/>
        </w:rPr>
      </w:pPr>
      <w:r>
        <w:rPr>
          <w:i/>
        </w:rPr>
        <w:t>Обновленная информация об ИТ-безопасности</w:t>
      </w:r>
    </w:p>
    <w:p w14:paraId="097C9EAC" w14:textId="77777777" w:rsidR="003F2EEF" w:rsidRPr="00511944" w:rsidRDefault="003F2EEF" w:rsidP="006B3357"/>
    <w:p w14:paraId="5D96E5D9" w14:textId="6CB91C30" w:rsidR="003F2EEF" w:rsidRPr="00511944" w:rsidRDefault="003F2EEF" w:rsidP="003F2EEF">
      <w:pPr>
        <w:pStyle w:val="ListParagraph"/>
        <w:numPr>
          <w:ilvl w:val="0"/>
          <w:numId w:val="4"/>
        </w:numPr>
        <w:ind w:left="0"/>
      </w:pPr>
      <w:r>
        <w:t xml:space="preserve">На той же сессии Комитет получил от главного сотрудника по вопросам безопасности обновленную информацию по вопросам обеспечения безопасности и достоверности информации.  Обновленная информация касалась стратегических планов безопасности, а также Программы защиты конфиденциальности данных.  Также обсуждались риски в области кибербезопасности.  Комитет высказал свое мнение о том, что необходимо документировать «достаточно хорошие» способы обеспечения приемлемых уровней рисков в области кибербезопасности и был проинформирован о том, что деятельность по обеспечению информационной безопасности соответствует стандартам ISO (27001 и 27002).  Комитет приветствовал планируемую аудиторскую проверку ОВН в области кибербезопасности, которая будет проводиться при поддержке внешнего консультанта. </w:t>
      </w:r>
    </w:p>
    <w:p w14:paraId="797D8998" w14:textId="120479D5" w:rsidR="00B129EA" w:rsidRPr="00511944" w:rsidRDefault="00B129EA" w:rsidP="00B129EA">
      <w:pPr>
        <w:pStyle w:val="ListParagraph"/>
        <w:ind w:left="0" w:firstLine="0"/>
      </w:pPr>
    </w:p>
    <w:p w14:paraId="36746ECB" w14:textId="46C6738F" w:rsidR="00B915AB" w:rsidRPr="00511944" w:rsidRDefault="00B915AB" w:rsidP="00B915AB">
      <w:pPr>
        <w:pStyle w:val="ListParagraph"/>
        <w:ind w:left="0" w:firstLine="720"/>
        <w:rPr>
          <w:i/>
          <w:iCs/>
        </w:rPr>
      </w:pPr>
      <w:r>
        <w:rPr>
          <w:i/>
        </w:rPr>
        <w:t>Обеспечение безопасности и достоверности информации</w:t>
      </w:r>
    </w:p>
    <w:p w14:paraId="6E227596" w14:textId="77777777" w:rsidR="00B915AB" w:rsidRPr="00511944" w:rsidRDefault="00B915AB" w:rsidP="00B915AB">
      <w:pPr>
        <w:rPr>
          <w:i/>
          <w:iCs/>
        </w:rPr>
      </w:pPr>
    </w:p>
    <w:p w14:paraId="5490E734" w14:textId="147B5926" w:rsidR="00B915AB" w:rsidRPr="00511944" w:rsidRDefault="00B915AB" w:rsidP="003552D2">
      <w:pPr>
        <w:pStyle w:val="ListParagraph"/>
        <w:numPr>
          <w:ilvl w:val="0"/>
          <w:numId w:val="4"/>
        </w:numPr>
        <w:ind w:left="0" w:firstLine="0"/>
      </w:pPr>
      <w:r>
        <w:t>На 72-й сессии Комитет заслушал обновленную информацию о физической и информационной безопасности, включая информацию о мерах по обеспечению безопасности штаб-квартиры, внешних бюро и дипломатических конференций.  Комитет обсудил проведенные и предстоящие аудиторские проверки информационных систем ВОИС, включая результаты систематических тестов на защиту от несанкционированного доступа, и получил заверения в том, что сотрудники проинструктированы о важности проблемы и в Организации периодически проводятся произвольные имитации фишинга.  Комитет был проинформирован о том, что безопасность сотрудников в целом обеспечена; в этой связи Комитет рекомендовал рассмотреть вопрос о привлечении одного или нескольких внешних экспертов в рамках общей системы управления ИКТ в ВОИС.</w:t>
      </w:r>
    </w:p>
    <w:p w14:paraId="5DF741D4" w14:textId="77777777" w:rsidR="00B915AB" w:rsidRPr="00240964" w:rsidRDefault="00B915AB" w:rsidP="00B129EA">
      <w:pPr>
        <w:pStyle w:val="ListParagraph"/>
        <w:ind w:left="0" w:firstLine="0"/>
      </w:pPr>
    </w:p>
    <w:p w14:paraId="72F4A648" w14:textId="62AC8EC2" w:rsidR="003F2EEF" w:rsidRPr="00240964" w:rsidRDefault="0098490E" w:rsidP="0098490E">
      <w:pPr>
        <w:ind w:left="730"/>
        <w:rPr>
          <w:i/>
          <w:iCs/>
        </w:rPr>
      </w:pPr>
      <w:r>
        <w:rPr>
          <w:i/>
        </w:rPr>
        <w:t>Обновленная информация о системе закупок, включая меры по борьбе с мошенничеством и коррупцией</w:t>
      </w:r>
    </w:p>
    <w:p w14:paraId="3625AA2C" w14:textId="77777777" w:rsidR="003F2EEF" w:rsidRPr="00240964" w:rsidRDefault="003F2EEF" w:rsidP="003F2EEF"/>
    <w:p w14:paraId="1ED4F73D" w14:textId="1799D4A0" w:rsidR="0098490E" w:rsidRPr="00240964" w:rsidRDefault="0098490E" w:rsidP="0098490E">
      <w:pPr>
        <w:pStyle w:val="ListParagraph"/>
        <w:numPr>
          <w:ilvl w:val="0"/>
          <w:numId w:val="4"/>
        </w:numPr>
        <w:ind w:left="0"/>
      </w:pPr>
      <w:r>
        <w:t xml:space="preserve">На 70-й сессии директор Отдела закупок и поездок представил Комитету обновленную информацию о закупках в ВОИС, а также обновленную информацию о мерах по борьбе с мошенничеством и коррупцией в закупочной деятельности.  </w:t>
      </w:r>
      <w:r>
        <w:lastRenderedPageBreak/>
        <w:t xml:space="preserve">Данные меры состоят из нормативной базы ВОИС, стандартных требований к поставщикам, проверок и мониторинга, а также обучения.  Комитет принял к сведению автоматизацию систем и цифровизацию в области закупочной деятельности, что привело к сокращению сроков выполнения операций и повышению удовлетворенности клиентов качеством услуг.  Комитет приветствовал непрекращающуюся цифровизацию процессов в области закупочной деятельности, совершенствование системы управления эффективностью работы поставщиков и разработку правил и процедур приобретения ИТ-услуг. </w:t>
      </w:r>
    </w:p>
    <w:p w14:paraId="583A7815" w14:textId="77777777" w:rsidR="0098490E" w:rsidRPr="00240964" w:rsidRDefault="0098490E" w:rsidP="0098490E"/>
    <w:p w14:paraId="1E1432C5" w14:textId="5BDEB816" w:rsidR="006246B1" w:rsidRPr="00633577" w:rsidRDefault="006246B1" w:rsidP="006246B1">
      <w:pPr>
        <w:ind w:firstLine="708"/>
        <w:rPr>
          <w:i/>
          <w:iCs/>
        </w:rPr>
      </w:pPr>
      <w:r>
        <w:rPr>
          <w:i/>
        </w:rPr>
        <w:t>Борьба с мошенничеством и предотвращение финансовых махинаций</w:t>
      </w:r>
    </w:p>
    <w:p w14:paraId="6191F174" w14:textId="77777777" w:rsidR="003D6C6E" w:rsidRPr="00633577" w:rsidRDefault="003D6C6E" w:rsidP="003D6C6E">
      <w:pPr>
        <w:rPr>
          <w:i/>
          <w:iCs/>
        </w:rPr>
      </w:pPr>
    </w:p>
    <w:p w14:paraId="3125BF59" w14:textId="1A6F5445" w:rsidR="006246B1" w:rsidRPr="00633577" w:rsidRDefault="006246B1" w:rsidP="00C7696C">
      <w:pPr>
        <w:pStyle w:val="ListParagraph"/>
        <w:numPr>
          <w:ilvl w:val="0"/>
          <w:numId w:val="4"/>
        </w:numPr>
        <w:ind w:left="0"/>
      </w:pPr>
      <w:r>
        <w:t xml:space="preserve">В соответствии с пересмотренными Полномочиями НККН, которые предусматривают рассмотрение мероприятий по борьбе с мошенничеством, на своей 72-й сессии Комитет был проинформирован о стратегиях ВОИС по недопущению мошенничества и финансовых махинаций.  Эти стратегии включают меры по поддержке эффективной системы управления денежными средствами, надежную систему подотчетности, а также необходимую подготовку персонала, направленную на понимание современных тенденций в сфере мошенничества.  Комитет подчеркнул принципиальную важность пристального отслеживания тенденций и использования технологий, развивающих профильную политику предотвращения мошенничества и финансовых махинаций.  Комитет был также проинформирован о том, что Организация периодически проводит оценки риска мошенничества и по итогам этой работы оценивает себя как надежно защищенную, сохраняя при этом бдительность в областях с более высоким уровнем риска мошенничества, особенно в области кибербезопасности и злоупотребления конфиденциальной информацией. </w:t>
      </w:r>
    </w:p>
    <w:p w14:paraId="4C5710EA" w14:textId="77777777" w:rsidR="006246B1" w:rsidRPr="00633577" w:rsidRDefault="006246B1" w:rsidP="0098490E"/>
    <w:p w14:paraId="480531D8" w14:textId="0297BA56" w:rsidR="0098490E" w:rsidRPr="00633577" w:rsidRDefault="0098490E" w:rsidP="0098490E">
      <w:pPr>
        <w:ind w:left="730"/>
        <w:rPr>
          <w:i/>
          <w:iCs/>
        </w:rPr>
      </w:pPr>
      <w:r>
        <w:rPr>
          <w:i/>
        </w:rPr>
        <w:t>Обновленная информация об управлении данными в системе закупок</w:t>
      </w:r>
    </w:p>
    <w:p w14:paraId="20FF7A68" w14:textId="77777777" w:rsidR="0098490E" w:rsidRPr="00633577" w:rsidRDefault="0098490E" w:rsidP="0098490E"/>
    <w:p w14:paraId="310AB23E" w14:textId="37016269" w:rsidR="0098490E" w:rsidRPr="00633577" w:rsidRDefault="0098490E" w:rsidP="0098490E">
      <w:pPr>
        <w:pStyle w:val="ListParagraph"/>
        <w:numPr>
          <w:ilvl w:val="0"/>
          <w:numId w:val="4"/>
        </w:numPr>
        <w:ind w:left="0"/>
      </w:pPr>
      <w:r>
        <w:t xml:space="preserve">Обновленная информация об управлении данными в сфере закупок, представленная на 70-й сессии, дала Комитету возможность принять к сведению ключевые принципы управления данными, включая роли и обязанности.  Комитет высказал свое мнение о том, что к управлению данными в ВОИС в системе закупок необходимо подключить других соответствующих участников, таких как главный специалист по данным и специалист по защите данных. </w:t>
      </w:r>
    </w:p>
    <w:p w14:paraId="3E6C2C21" w14:textId="00FC942C" w:rsidR="00242814" w:rsidRPr="007B6B33" w:rsidRDefault="00242814" w:rsidP="00C24F91">
      <w:pPr>
        <w:pStyle w:val="ListParagraph"/>
        <w:ind w:left="0" w:firstLine="0"/>
      </w:pPr>
    </w:p>
    <w:p w14:paraId="62AD3FCD" w14:textId="7D6A42ED" w:rsidR="000F075B" w:rsidRDefault="00046A56" w:rsidP="00A713F9">
      <w:pPr>
        <w:pStyle w:val="Heading2"/>
        <w:tabs>
          <w:tab w:val="left" w:pos="720"/>
        </w:tabs>
        <w:ind w:left="0" w:right="32" w:firstLine="0"/>
        <w:rPr>
          <w:color w:val="auto"/>
        </w:rPr>
      </w:pPr>
      <w:bookmarkStart w:id="19" w:name="_Toc166253355"/>
      <w:r w:rsidRPr="00A8381F">
        <w:rPr>
          <w:color w:val="auto"/>
          <w:u w:val="none"/>
        </w:rPr>
        <w:t xml:space="preserve">E.  </w:t>
      </w:r>
      <w:r w:rsidRPr="00A8381F">
        <w:rPr>
          <w:color w:val="auto"/>
          <w:u w:val="none"/>
        </w:rPr>
        <w:tab/>
      </w:r>
      <w:r w:rsidRPr="00AF1852">
        <w:rPr>
          <w:color w:val="auto"/>
        </w:rPr>
        <w:t>Осуществление рекомендаций надзорных органов</w:t>
      </w:r>
      <w:bookmarkEnd w:id="19"/>
    </w:p>
    <w:p w14:paraId="5678017D" w14:textId="77777777" w:rsidR="00AF1852" w:rsidRPr="00AF1852" w:rsidRDefault="00AF1852" w:rsidP="00AF1852"/>
    <w:p w14:paraId="2B758067" w14:textId="74BDD48A" w:rsidR="000F075B" w:rsidRPr="007B6B33" w:rsidRDefault="00933DE6" w:rsidP="00844D67">
      <w:pPr>
        <w:pStyle w:val="ListParagraph"/>
        <w:numPr>
          <w:ilvl w:val="0"/>
          <w:numId w:val="4"/>
        </w:numPr>
        <w:spacing w:after="16"/>
        <w:ind w:left="0" w:right="32"/>
      </w:pPr>
      <w:r>
        <w:t xml:space="preserve">На каждой сессии в течение отчетного периода Комитет при участии ОВН рассматривал ход выполнения всех рекомендаций надзорных органов (в том числе ОИГ, Внешнего аудитора и НККН), принимая к сведению их перевод в другую категорию и закрытие, уделяя при этом особое внимание высокоприоритетным рекомендациям, которые </w:t>
      </w:r>
      <w:r w:rsidR="00943DD9">
        <w:t>оставались</w:t>
      </w:r>
      <w:r>
        <w:t xml:space="preserve"> невыполненными в течение долгого времени. </w:t>
      </w:r>
    </w:p>
    <w:p w14:paraId="55CBBC98" w14:textId="77777777" w:rsidR="000F075B" w:rsidRPr="007B6B33" w:rsidRDefault="000F075B" w:rsidP="00844D67">
      <w:pPr>
        <w:spacing w:after="16"/>
        <w:ind w:left="0" w:right="32" w:firstLine="0"/>
      </w:pPr>
    </w:p>
    <w:p w14:paraId="57992C58" w14:textId="653CA456" w:rsidR="004D0E30" w:rsidRPr="007B6B33" w:rsidRDefault="003545B0" w:rsidP="00844D67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0" w:right="29"/>
      </w:pPr>
      <w:r>
        <w:t>На</w:t>
      </w:r>
      <w:r>
        <w:rPr>
          <w:vertAlign w:val="superscript"/>
        </w:rPr>
        <w:t xml:space="preserve"> </w:t>
      </w:r>
      <w:r>
        <w:t xml:space="preserve">69-й и 70-й сессиях Комитет в присутствии ответственных сотрудников Секретариата рассмотрел давние открытые рекомендации, вынесенные с 2017 по 2019 год, и высокоприоритетные рекомендации, вынесенные с 2021 по 2023 год.  Комитет отметил, что в случае некоторых рекомендаций их выполнение зависело от принятия мер в других областях, что и вызвало задержки с их полным выполнением, и рекомендовал уточнить и сделать понятными для всех заинтересованных сторон как критерии выполнения, так и ответственность за закрытие рекомендаций. </w:t>
      </w:r>
    </w:p>
    <w:p w14:paraId="2A470403" w14:textId="77777777" w:rsidR="004D0E30" w:rsidRPr="007B6B33" w:rsidRDefault="004D0E30" w:rsidP="004D0E30">
      <w:pPr>
        <w:ind w:left="0" w:firstLine="0"/>
      </w:pPr>
    </w:p>
    <w:p w14:paraId="4A69F5F2" w14:textId="77777777" w:rsidR="00D01AAA" w:rsidRPr="007B6B33" w:rsidRDefault="004D0E30" w:rsidP="00844D67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0" w:right="29"/>
      </w:pPr>
      <w:r>
        <w:t>На 71-й сессии Комитет отметил, что некоторые из давних рекомендаций по-прежнему не выполнены, поскольку для этого должны быть внедрены те или иные ИТ-</w:t>
      </w:r>
      <w:r>
        <w:lastRenderedPageBreak/>
        <w:t xml:space="preserve">решения, что требует дополнительного времени.  Секретариат продолжал следить за ситуацией со всеми открытыми рекомендациями надзорных органов, и Комитет выразил удовлетворение этой работой и хорошим прогрессом, достигнутым в выполнении рекомендаций.  </w:t>
      </w:r>
    </w:p>
    <w:p w14:paraId="5E0D3395" w14:textId="77777777" w:rsidR="00D01AAA" w:rsidRPr="007B6B33" w:rsidRDefault="00D01AAA" w:rsidP="00D01AAA">
      <w:pPr>
        <w:ind w:left="0" w:firstLine="0"/>
      </w:pPr>
    </w:p>
    <w:p w14:paraId="23BDBE44" w14:textId="77777777" w:rsidR="000F075B" w:rsidRPr="007B6B33" w:rsidRDefault="00046A56" w:rsidP="00A713F9">
      <w:pPr>
        <w:pStyle w:val="Heading2"/>
        <w:ind w:left="0" w:right="32" w:firstLine="0"/>
      </w:pPr>
      <w:bookmarkStart w:id="20" w:name="_Toc166253356"/>
      <w:r w:rsidRPr="00A8381F">
        <w:rPr>
          <w:u w:val="none"/>
        </w:rPr>
        <w:t xml:space="preserve">F.  </w:t>
      </w:r>
      <w:r w:rsidRPr="00A8381F">
        <w:rPr>
          <w:u w:val="none"/>
        </w:rPr>
        <w:tab/>
      </w:r>
      <w:r>
        <w:t>Вопросы этики и Омбудсмен</w:t>
      </w:r>
      <w:bookmarkEnd w:id="20"/>
      <w:r>
        <w:rPr>
          <w:u w:val="none"/>
        </w:rPr>
        <w:t xml:space="preserve"> </w:t>
      </w:r>
    </w:p>
    <w:p w14:paraId="41390946" w14:textId="77777777" w:rsidR="000F075B" w:rsidRPr="007B6B33" w:rsidRDefault="000F075B" w:rsidP="001B0DEA">
      <w:pPr>
        <w:spacing w:after="0"/>
        <w:ind w:right="32"/>
      </w:pPr>
    </w:p>
    <w:p w14:paraId="4425A2B6" w14:textId="47A6AA38" w:rsidR="003945C2" w:rsidRPr="007B6B33" w:rsidRDefault="003945C2" w:rsidP="00A713F9">
      <w:pPr>
        <w:tabs>
          <w:tab w:val="left" w:pos="720"/>
        </w:tabs>
        <w:rPr>
          <w:b/>
        </w:rPr>
      </w:pPr>
      <w:r>
        <w:tab/>
      </w:r>
      <w:bookmarkStart w:id="21" w:name="_Toc164688958"/>
      <w:r w:rsidR="00A713F9">
        <w:tab/>
      </w:r>
      <w:r>
        <w:rPr>
          <w:i/>
        </w:rPr>
        <w:t>Бюро по вопросам этики</w:t>
      </w:r>
      <w:bookmarkEnd w:id="21"/>
      <w:r>
        <w:t xml:space="preserve"> </w:t>
      </w:r>
    </w:p>
    <w:p w14:paraId="72E0099D" w14:textId="77777777" w:rsidR="000F075B" w:rsidRPr="007B6B33" w:rsidRDefault="000F075B" w:rsidP="001B0DEA">
      <w:pPr>
        <w:spacing w:after="0" w:line="240" w:lineRule="auto"/>
        <w:ind w:right="32"/>
      </w:pPr>
    </w:p>
    <w:p w14:paraId="702AE9EC" w14:textId="603FB3D7" w:rsidR="00021666" w:rsidRPr="007B6B33" w:rsidRDefault="00D01B1A" w:rsidP="00844D67">
      <w:pPr>
        <w:numPr>
          <w:ilvl w:val="0"/>
          <w:numId w:val="4"/>
        </w:numPr>
        <w:spacing w:after="0" w:line="240" w:lineRule="auto"/>
        <w:ind w:left="0" w:right="32" w:firstLine="1"/>
      </w:pPr>
      <w:r>
        <w:t xml:space="preserve">На 69-й сессии главный сотрудник по вопросам этики представила Комитету годовой отчет по вопросам этики за 2022 год, осветив деятельность в предусмотренных мандатом областях, а именно: конфиденциальные консультации и рекомендации, повышение осведомленности и обучение, установление стандартов и разработка политики, а также реализация политики, порученной Бюро по вопросам этики.  Признавая очевидный прогресс, достигнутый с момента вступления в должность главного сотрудника по вопросам этики, Комитет подчеркнул, что необходимо при содействии других подразделений Секретариата в приоритетном порядке завершить выполнение давно вынесенной рекомендации о политике в отношении подарков. </w:t>
      </w:r>
    </w:p>
    <w:p w14:paraId="404C42AD" w14:textId="77777777" w:rsidR="00021666" w:rsidRPr="007B6B33" w:rsidRDefault="00021666" w:rsidP="00021666">
      <w:pPr>
        <w:spacing w:after="0" w:line="240" w:lineRule="auto"/>
        <w:ind w:left="1" w:right="32" w:firstLine="0"/>
      </w:pPr>
    </w:p>
    <w:p w14:paraId="08A007B9" w14:textId="190B4416" w:rsidR="00490817" w:rsidRPr="007B6B33" w:rsidRDefault="00021666" w:rsidP="00AE12BE">
      <w:pPr>
        <w:numPr>
          <w:ilvl w:val="0"/>
          <w:numId w:val="4"/>
        </w:numPr>
        <w:spacing w:after="0" w:line="240" w:lineRule="auto"/>
        <w:ind w:left="0" w:right="32" w:firstLine="1"/>
      </w:pPr>
      <w:r>
        <w:t>На 70-й сессии Комитет передал главному сотруднику по вопросам этики свои замечания по проекту политики защиты от преследования за сообщение о предполагаемых нарушениях и содействие в проведении надзорных мероприятий.  Комитет также получил обновленную информацию о текущей деятельности Бюро по вопросам этики и с удовлетворением принял к сведению обновленную информацию о политике ВОИС в области раскрытия финансовой информации и декларирования заинтересованности (FDDI), а также приветствовал переход от работы с делами к установлению стандартов.  Главный сотрудник по вопросам этики проинформировала Комитет о том, что она покинет Организацию в конце октября 2023 года и что Секретариат будет принимать меры для заполнения этой должности.  Комитет выразил ей признательность за значительный вклад в деятельность Организации в области этики.</w:t>
      </w:r>
    </w:p>
    <w:p w14:paraId="7E54ED1D" w14:textId="77777777" w:rsidR="00490817" w:rsidRPr="007B6B33" w:rsidRDefault="00490817" w:rsidP="004A491E">
      <w:pPr>
        <w:ind w:left="0" w:firstLine="0"/>
      </w:pPr>
    </w:p>
    <w:p w14:paraId="49F024F7" w14:textId="77777777" w:rsidR="00873494" w:rsidRPr="00873494" w:rsidRDefault="004A491E" w:rsidP="00F34D1B">
      <w:pPr>
        <w:numPr>
          <w:ilvl w:val="0"/>
          <w:numId w:val="4"/>
        </w:numPr>
        <w:spacing w:after="0" w:line="240" w:lineRule="auto"/>
        <w:ind w:left="0" w:right="32" w:firstLine="1"/>
        <w:rPr>
          <w:color w:val="auto"/>
        </w:rPr>
      </w:pPr>
      <w:r>
        <w:t>На</w:t>
      </w:r>
      <w:r>
        <w:rPr>
          <w:vertAlign w:val="superscript"/>
        </w:rPr>
        <w:t xml:space="preserve"> </w:t>
      </w:r>
      <w:r>
        <w:t>71-й сессии исполняющий обязанности главного сотрудника по вопросам этики проинформировал Комитет о своей деятельности в этом качестве и рассказал о трудностях, связанных с дистанционным выполнением соответствующих обязанностей.  Комитет также был проинформирован о ходе работы над политикой защиты от преследований (которая, как ожидается, будет утверждена к концу 2023 года) и другими политиками, а также о реализации политики в отношении FDDI.</w:t>
      </w:r>
    </w:p>
    <w:p w14:paraId="1CC7074D" w14:textId="77777777" w:rsidR="00873494" w:rsidRDefault="00873494" w:rsidP="00873494">
      <w:pPr>
        <w:pStyle w:val="ListParagraph"/>
        <w:rPr>
          <w:color w:val="auto"/>
        </w:rPr>
      </w:pPr>
    </w:p>
    <w:p w14:paraId="19AD15F3" w14:textId="3A95C0D4" w:rsidR="001A67B8" w:rsidRPr="007B6B33" w:rsidRDefault="004A491E" w:rsidP="00F34D1B">
      <w:pPr>
        <w:numPr>
          <w:ilvl w:val="0"/>
          <w:numId w:val="4"/>
        </w:numPr>
        <w:spacing w:after="0" w:line="240" w:lineRule="auto"/>
        <w:ind w:left="0" w:right="32" w:firstLine="1"/>
        <w:rPr>
          <w:color w:val="auto"/>
        </w:rPr>
      </w:pPr>
      <w:r>
        <w:rPr>
          <w:color w:val="auto"/>
        </w:rPr>
        <w:t xml:space="preserve">На 72-й сессии Комитет получил обновленную информацию о деятельности функционального звена по вопросам этики, в том числе о завершении работы над политикой защиты от преследования за сообщение о служебных нарушениях и содействие в проведении надлежащим образом утвержденных аудиторских проверок или расследований (как обсуждалось ранее с НКК) и выразил заинтересованность в получении информации о результатах текущего обсуждения политики в отношении внеслужебной деятельности рабочей группой, в которую входят представители Бюро по вопросам этики, </w:t>
      </w:r>
      <w:r w:rsidR="00873494" w:rsidRPr="00873494">
        <w:rPr>
          <w:color w:val="auto"/>
        </w:rPr>
        <w:t>Департамент</w:t>
      </w:r>
      <w:r w:rsidR="00873494">
        <w:rPr>
          <w:color w:val="auto"/>
        </w:rPr>
        <w:t>а</w:t>
      </w:r>
      <w:r w:rsidR="00873494" w:rsidRPr="00873494">
        <w:rPr>
          <w:color w:val="auto"/>
        </w:rPr>
        <w:t xml:space="preserve"> управления людскими ресурсами (</w:t>
      </w:r>
      <w:r>
        <w:rPr>
          <w:color w:val="auto"/>
        </w:rPr>
        <w:t>ДУЛР</w:t>
      </w:r>
      <w:r w:rsidR="00873494" w:rsidRPr="00873494">
        <w:rPr>
          <w:color w:val="auto"/>
        </w:rPr>
        <w:t>)</w:t>
      </w:r>
      <w:r>
        <w:rPr>
          <w:color w:val="auto"/>
        </w:rPr>
        <w:t xml:space="preserve"> и Бюро Юрисконсульта.  Было отмечено, что Бюро по вопросам этики добилось больших успехов в области консультирования по вопросам этики, подготовки кадров, на информационно-просветительской стезе и в области разработки политики и руководящих принципов.  Комитет надеется получить дополнительную информацию по ряду важных и не проработанных должным образом инициатив, включая политику в отношении FDDI и политику в отношении интимных отношений по обоюдному согласию, а также по конкретным делам, связанным с защитой от преследований.  Комитет обсудил важность эффективно функционирующего органа по вопросам этики и подчеркнул необходимость гладкой передачи полномочий </w:t>
      </w:r>
      <w:r w:rsidR="00F65908">
        <w:rPr>
          <w:color w:val="auto"/>
        </w:rPr>
        <w:t>вступающему в должность</w:t>
      </w:r>
      <w:r>
        <w:rPr>
          <w:color w:val="auto"/>
        </w:rPr>
        <w:t xml:space="preserve"> руководителю этого </w:t>
      </w:r>
      <w:r>
        <w:rPr>
          <w:color w:val="auto"/>
        </w:rPr>
        <w:lastRenderedPageBreak/>
        <w:t>подразделения.  Комитет принял к сведению, что процедура найма нового главного сотрудника по вопросам этики близка к завершению.</w:t>
      </w:r>
    </w:p>
    <w:p w14:paraId="0F7730BB" w14:textId="77777777" w:rsidR="0083016A" w:rsidRPr="007B6B33" w:rsidRDefault="0083016A" w:rsidP="00623835">
      <w:pPr>
        <w:spacing w:after="0"/>
        <w:ind w:right="32"/>
        <w:rPr>
          <w:color w:val="auto"/>
        </w:rPr>
      </w:pPr>
    </w:p>
    <w:p w14:paraId="1F085AA3" w14:textId="77777777" w:rsidR="000F075B" w:rsidRPr="007B6B33" w:rsidRDefault="00046A56" w:rsidP="00A713F9">
      <w:pPr>
        <w:pStyle w:val="Heading5"/>
        <w:ind w:left="0" w:right="32" w:firstLine="0"/>
      </w:pPr>
      <w:r>
        <w:tab/>
        <w:t>Омбудсмен</w:t>
      </w:r>
      <w:r>
        <w:rPr>
          <w:i w:val="0"/>
        </w:rPr>
        <w:t xml:space="preserve"> </w:t>
      </w:r>
    </w:p>
    <w:p w14:paraId="1E89F0D0" w14:textId="77777777" w:rsidR="000F075B" w:rsidRPr="007B6B33" w:rsidRDefault="000F075B" w:rsidP="008E2102">
      <w:pPr>
        <w:spacing w:after="16"/>
        <w:ind w:right="32"/>
      </w:pPr>
    </w:p>
    <w:p w14:paraId="3B5F12FE" w14:textId="3BE0BF3E" w:rsidR="00742A98" w:rsidRPr="007B6B33" w:rsidRDefault="007E355B" w:rsidP="00EF0145">
      <w:pPr>
        <w:pStyle w:val="ListParagraph"/>
        <w:numPr>
          <w:ilvl w:val="0"/>
          <w:numId w:val="4"/>
        </w:numPr>
        <w:ind w:left="0" w:firstLine="1"/>
      </w:pPr>
      <w:r>
        <w:t xml:space="preserve">В течение отчетного периода Комитет провел встречу с временным Омбудсменом, который исполняет свои обязанности с 7 апреля 2023 года, и отметил, что отчет о деятельности за 2022 год не был представлен, поскольку предыдущий Омбудсмен, который ушел на пенсию в конце марта 2023 года, не передал никаких данных за период с 1 января 2022 года по 31 марта 2023 года.  На 69-й сессии Комитет с удовлетворением отметил, что его рекомендация о проведении коллегиальной оценки роли должности Омбудсмена выполняется и что решение о будущем этой должности будет принято с учетом результатов коллегиальной оценки.  На своей 70-й сессии Комитет принял к сведению доклад и обновленную информацию, представленные временным Омбудсменом, и обсудил необходимость разъяснения сотрудникам того, в какие инстанции следует обращаться с жалобами, а также необходимость неформального урегулирования конфликтов, когда это возможно. </w:t>
      </w:r>
    </w:p>
    <w:p w14:paraId="496880DA" w14:textId="77777777" w:rsidR="00742A98" w:rsidRPr="007B6B33" w:rsidRDefault="00742A98" w:rsidP="00742A98">
      <w:pPr>
        <w:ind w:left="0" w:firstLine="0"/>
      </w:pPr>
    </w:p>
    <w:p w14:paraId="274E496F" w14:textId="2FBABA5C" w:rsidR="00971360" w:rsidRPr="007B6B33" w:rsidRDefault="00742A98" w:rsidP="00863036">
      <w:pPr>
        <w:pStyle w:val="ListParagraph"/>
        <w:numPr>
          <w:ilvl w:val="0"/>
          <w:numId w:val="4"/>
        </w:numPr>
        <w:ind w:left="0" w:firstLine="1"/>
        <w:rPr>
          <w:color w:val="auto"/>
        </w:rPr>
      </w:pPr>
      <w:r>
        <w:t xml:space="preserve">Приняв к сведению обновленную информацию, полученную от Омбудсмена на 71-й сессии, Комитет рекомендовал разработать руководство, которое поможет сотрудникам ориентироваться в надлежащих механизмах подачи жалоб и урегулирования конфликтов, поскольку до сих пор неясно, какое подразделение может неформально урегулировать такие конфликты или проблемы персонала до подачи жалобы в ОВН.  Было подчеркнуто, что Бюро Омбудсмена рассматривает все вопросы конфиденциальным образом и не обязано сообщать о них другим инстанциям.  Временный Омбудсмен поделилась своим мнением о различных предлагаемых механизмах замещения должности Омбудсмена в ВОИС в будущем, учитывая высокую нагрузку на Бюро, и сообщила, что в конце своего пребывания в должности она представит отчет о деятельности, в котором изложит свои рекомендации.  </w:t>
      </w:r>
      <w:r>
        <w:rPr>
          <w:color w:val="auto"/>
        </w:rPr>
        <w:t>На 72-й сессии Комитет был проинформирован о том, что рассматривается возможность заключения соглашений о совместном с другими организациями найме сотрудника для выполнения функций Омбудсмена, в связи с чем он высказал мнение о том, что в соответствии с контрольными показателями, закрепленными в системе Организации Объединенных Наций, эта должность требует полноценной отдачи непосредственно в ВОИС.</w:t>
      </w:r>
    </w:p>
    <w:p w14:paraId="3269A4C9" w14:textId="77777777" w:rsidR="000F243A" w:rsidRPr="007B6B33" w:rsidRDefault="000F243A" w:rsidP="00D84D11">
      <w:pPr>
        <w:spacing w:after="16"/>
        <w:ind w:left="0" w:right="32" w:firstLine="0"/>
        <w:rPr>
          <w:i/>
          <w:iCs/>
          <w:color w:val="auto"/>
        </w:rPr>
      </w:pPr>
    </w:p>
    <w:p w14:paraId="3D319292" w14:textId="04922FB1" w:rsidR="000F075B" w:rsidRPr="00AF1852" w:rsidRDefault="00046A56" w:rsidP="00A713F9">
      <w:pPr>
        <w:pStyle w:val="Heading2"/>
        <w:tabs>
          <w:tab w:val="left" w:pos="720"/>
        </w:tabs>
        <w:ind w:left="0" w:right="32" w:firstLine="0"/>
        <w:rPr>
          <w:color w:val="auto"/>
        </w:rPr>
      </w:pPr>
      <w:bookmarkStart w:id="22" w:name="_Toc166253357"/>
      <w:r w:rsidRPr="00A8381F">
        <w:rPr>
          <w:color w:val="auto"/>
          <w:u w:val="none"/>
        </w:rPr>
        <w:t xml:space="preserve">G.  </w:t>
      </w:r>
      <w:r w:rsidRPr="00A8381F">
        <w:rPr>
          <w:color w:val="auto"/>
          <w:u w:val="none"/>
        </w:rPr>
        <w:tab/>
      </w:r>
      <w:r w:rsidRPr="00AF1852">
        <w:rPr>
          <w:color w:val="auto"/>
        </w:rPr>
        <w:t>Управление людскими ресурсами</w:t>
      </w:r>
      <w:bookmarkEnd w:id="22"/>
      <w:r w:rsidRPr="00AF1852">
        <w:rPr>
          <w:color w:val="auto"/>
        </w:rPr>
        <w:t xml:space="preserve"> </w:t>
      </w:r>
    </w:p>
    <w:p w14:paraId="31D0BA8A" w14:textId="773C3BFD" w:rsidR="000F075B" w:rsidRPr="007B6B33" w:rsidRDefault="000F075B" w:rsidP="009E506A"/>
    <w:p w14:paraId="41AC2490" w14:textId="6B80100E" w:rsidR="00185E71" w:rsidRPr="007B6B33" w:rsidRDefault="00810DAD" w:rsidP="00763F3D">
      <w:pPr>
        <w:pStyle w:val="ListParagraph"/>
        <w:numPr>
          <w:ilvl w:val="0"/>
          <w:numId w:val="4"/>
        </w:numPr>
        <w:ind w:left="1" w:firstLine="0"/>
      </w:pPr>
      <w:r>
        <w:t xml:space="preserve">В течение отчетного периода директор ДУЛР представил Комитету обновленную информацию по ряду кадровых вопросов, в том числе касающуюся вакантной должности директора ОВН, ситуации с заполнением вакансии главного сотрудника по вопросам этики и возможных механизмов выполнения функции Омбудсмена в ВОИС.  Комитет рассмотрел список предварительно отобранных кандидатов на должность главного сотрудника по вопросам этики и был проинформирован о сроках найма.  После завершения процесса отбора кандидата соответствующая рекомендация Генерального директора была вынесена на рассмотрение НККН, как того требуют Полномочия этого органа.  Комитету также была представлена обновленная информация о гибком графике работы, введенном в начале 2024 года, удаленной работе, инициативах в области обучения руководящего состава и их влиянии на культуру труда, а также о мерах, принимаемых по итогам </w:t>
      </w:r>
      <w:r>
        <w:lastRenderedPageBreak/>
        <w:t>опроса персонала.  Комитет приветствовал выполнение всех рекомендаций в области кадровой политики, вынесенных по итогам аудита.</w:t>
      </w:r>
    </w:p>
    <w:p w14:paraId="141275F3" w14:textId="77777777" w:rsidR="00185E71" w:rsidRPr="007B6B33" w:rsidRDefault="00185E71" w:rsidP="00B708CD">
      <w:pPr>
        <w:pStyle w:val="ListParagraph"/>
        <w:ind w:left="1" w:firstLine="0"/>
      </w:pPr>
    </w:p>
    <w:p w14:paraId="21534531" w14:textId="7174DF27" w:rsidR="008C250F" w:rsidRPr="00AF1852" w:rsidRDefault="009E1AF1" w:rsidP="00AF1852">
      <w:pPr>
        <w:pStyle w:val="Heading2"/>
        <w:tabs>
          <w:tab w:val="left" w:pos="720"/>
          <w:tab w:val="center" w:pos="1668"/>
        </w:tabs>
        <w:ind w:left="0" w:right="32" w:firstLine="0"/>
        <w:rPr>
          <w:color w:val="auto"/>
        </w:rPr>
      </w:pPr>
      <w:bookmarkStart w:id="23" w:name="_Toc166253358"/>
      <w:r w:rsidRPr="00A8381F">
        <w:rPr>
          <w:color w:val="auto"/>
          <w:u w:val="none"/>
        </w:rPr>
        <w:t xml:space="preserve">H.  </w:t>
      </w:r>
      <w:r w:rsidRPr="00A8381F">
        <w:rPr>
          <w:color w:val="auto"/>
          <w:u w:val="none"/>
        </w:rPr>
        <w:tab/>
      </w:r>
      <w:r w:rsidRPr="00AF1852">
        <w:rPr>
          <w:color w:val="auto"/>
        </w:rPr>
        <w:t>Прочие вопросы</w:t>
      </w:r>
      <w:bookmarkEnd w:id="23"/>
      <w:r w:rsidRPr="00AF1852">
        <w:rPr>
          <w:color w:val="auto"/>
        </w:rPr>
        <w:t xml:space="preserve"> </w:t>
      </w:r>
    </w:p>
    <w:p w14:paraId="12922C77" w14:textId="77777777" w:rsidR="008C250F" w:rsidRPr="007B6B33" w:rsidRDefault="008C250F" w:rsidP="008C250F"/>
    <w:p w14:paraId="2F910F42" w14:textId="77777777" w:rsidR="000F075B" w:rsidRPr="007B6B33" w:rsidRDefault="00046A56" w:rsidP="003945C2">
      <w:pPr>
        <w:pStyle w:val="Heading5"/>
        <w:tabs>
          <w:tab w:val="left" w:pos="720"/>
          <w:tab w:val="center" w:pos="1998"/>
        </w:tabs>
        <w:ind w:left="0" w:right="32" w:firstLine="0"/>
      </w:pPr>
      <w:r>
        <w:t xml:space="preserve">  </w:t>
      </w:r>
      <w:r>
        <w:tab/>
      </w:r>
      <w:r>
        <w:tab/>
        <w:t xml:space="preserve">Отчеты ВОИС об инвестициях </w:t>
      </w:r>
    </w:p>
    <w:p w14:paraId="6B03299F" w14:textId="77777777" w:rsidR="000F075B" w:rsidRPr="007B6B33" w:rsidRDefault="000F075B" w:rsidP="008E2102">
      <w:pPr>
        <w:spacing w:after="16"/>
        <w:ind w:right="32"/>
      </w:pPr>
    </w:p>
    <w:p w14:paraId="5CE7789E" w14:textId="048FFBCB" w:rsidR="007D7500" w:rsidRPr="007B6B33" w:rsidRDefault="00046A56" w:rsidP="004F39FF">
      <w:pPr>
        <w:pStyle w:val="ListParagraph"/>
        <w:numPr>
          <w:ilvl w:val="0"/>
          <w:numId w:val="4"/>
        </w:numPr>
        <w:ind w:left="0" w:right="32" w:firstLine="0"/>
      </w:pPr>
      <w:r>
        <w:t xml:space="preserve">По просьбе государств-членов на каждой сессии Комитета Секретариат представляет ему имеющиеся ежемесячные отчеты о результатах инвестиционной деятельности и ежемесячные отчеты о мониторинге инвестиционной деятельности, которые составляются соответственно консультантами по инвестиционным вопросам и Депозитарием.  Комитет пояснил, что его функции ограничиваются препровождением государствам-членам информации, содержащейся в отчетах о результатах инвестиционной деятельности и отчетах о мониторинге инвестиционной деятельности, без предоставления каких-либо гарантий на этот счет. </w:t>
      </w:r>
    </w:p>
    <w:p w14:paraId="6120BF42" w14:textId="77777777" w:rsidR="00204051" w:rsidRPr="007B6B33" w:rsidRDefault="00204051" w:rsidP="00204051">
      <w:pPr>
        <w:pStyle w:val="ListParagraph"/>
        <w:ind w:left="0" w:right="32" w:firstLine="0"/>
      </w:pPr>
    </w:p>
    <w:p w14:paraId="2C0B64C1" w14:textId="27B8DBD1" w:rsidR="004372E8" w:rsidRDefault="0062256C" w:rsidP="00A91C79">
      <w:pPr>
        <w:pStyle w:val="ListParagraph"/>
        <w:numPr>
          <w:ilvl w:val="0"/>
          <w:numId w:val="4"/>
        </w:numPr>
        <w:ind w:left="0" w:firstLine="1"/>
      </w:pPr>
      <w:r>
        <w:t>В отношении периодического рассмотрения ежемесячных инвестиционных отчетов за период с февраля 2023 года по февраль 2024 года Комитет подтвердил, что, как свидетельствует информация, представленная за отчетный период, судя по контрольным инвестиционным показателям, управление всеми финансовыми инструментами в инвестиционных портфелях ВОИС осуществлялось согласно заявленной стратегии инвестиционной деятельности.  Кроме того, Комитет подтвердил, что Депозитарий не сообщал о каких-либо преднамеренных или непреднамеренных нарушениях или обоснованных исключениях.</w:t>
      </w:r>
    </w:p>
    <w:p w14:paraId="0FBBE6E2" w14:textId="72784632" w:rsidR="004372E8" w:rsidRDefault="004372E8">
      <w:pPr>
        <w:spacing w:after="160"/>
        <w:ind w:left="0" w:right="0" w:firstLine="0"/>
      </w:pPr>
    </w:p>
    <w:p w14:paraId="4C25032C" w14:textId="77777777" w:rsidR="000F075B" w:rsidRPr="007B6B33" w:rsidRDefault="00046A56" w:rsidP="009E506A">
      <w:pPr>
        <w:pStyle w:val="Heading1"/>
        <w:tabs>
          <w:tab w:val="center" w:pos="1808"/>
        </w:tabs>
        <w:spacing w:after="0" w:line="240" w:lineRule="auto"/>
        <w:ind w:left="0" w:right="32" w:firstLine="0"/>
      </w:pPr>
      <w:bookmarkStart w:id="24" w:name="_Toc166253359"/>
      <w:r>
        <w:t xml:space="preserve">IV.  </w:t>
      </w:r>
      <w:r>
        <w:tab/>
        <w:t>ЗАКЛЮЧИТЕЛЬНЫЕ ЗАМЕЧАНИЯ</w:t>
      </w:r>
      <w:bookmarkEnd w:id="24"/>
      <w:r>
        <w:t xml:space="preserve"> </w:t>
      </w:r>
    </w:p>
    <w:p w14:paraId="42F79EA1" w14:textId="77777777" w:rsidR="000F075B" w:rsidRPr="007B6B33" w:rsidRDefault="000F075B" w:rsidP="00B4322D">
      <w:pPr>
        <w:spacing w:after="0" w:line="240" w:lineRule="auto"/>
        <w:ind w:right="32"/>
      </w:pPr>
    </w:p>
    <w:p w14:paraId="38AA1FBA" w14:textId="7C6704BF" w:rsidR="000F075B" w:rsidRPr="007B6B33" w:rsidRDefault="00046A56" w:rsidP="00B91C90">
      <w:pPr>
        <w:pStyle w:val="ListParagraph"/>
        <w:numPr>
          <w:ilvl w:val="0"/>
          <w:numId w:val="4"/>
        </w:numPr>
        <w:spacing w:after="0"/>
        <w:ind w:left="1" w:right="32" w:firstLine="0"/>
      </w:pPr>
      <w:r>
        <w:t>Комитет хотел бы выразить признательность Генеральному директору, сотрудникам Секретариата и Внешнему аудитору за доступность, четкость и открытость в рамках их регулярного взаимодействия с Комитетом, а также за предоставленную ими информацию.</w:t>
      </w:r>
    </w:p>
    <w:p w14:paraId="718FEAB9" w14:textId="491D9036" w:rsidR="000F075B" w:rsidRPr="007B6B33" w:rsidRDefault="000F075B" w:rsidP="005C2B55">
      <w:pPr>
        <w:spacing w:after="0"/>
        <w:ind w:left="1" w:right="32" w:firstLine="0"/>
      </w:pPr>
    </w:p>
    <w:p w14:paraId="0E324F3F" w14:textId="77777777" w:rsidR="00B50A7E" w:rsidRPr="007B6B33" w:rsidRDefault="00B50A7E" w:rsidP="005C2B55">
      <w:pPr>
        <w:spacing w:after="0"/>
        <w:ind w:left="1" w:right="32" w:firstLine="0"/>
      </w:pPr>
    </w:p>
    <w:p w14:paraId="392CB857" w14:textId="77777777" w:rsidR="000F075B" w:rsidRDefault="00046A56" w:rsidP="00B4322D">
      <w:pPr>
        <w:ind w:left="5730" w:right="32"/>
      </w:pPr>
      <w:r>
        <w:t xml:space="preserve">[Конец документа] </w:t>
      </w:r>
    </w:p>
    <w:sectPr w:rsidR="000F075B" w:rsidSect="004F279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41"/>
      <w:pgMar w:top="1399" w:right="1038" w:bottom="1038" w:left="1296" w:header="619" w:footer="720" w:gutter="0"/>
      <w:pgNumType w:start="4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D659A" w14:textId="77777777" w:rsidR="00C651E3" w:rsidRPr="007B6B33" w:rsidRDefault="00C651E3">
      <w:pPr>
        <w:spacing w:after="0" w:line="240" w:lineRule="auto"/>
      </w:pPr>
      <w:r w:rsidRPr="007B6B33">
        <w:separator/>
      </w:r>
    </w:p>
  </w:endnote>
  <w:endnote w:type="continuationSeparator" w:id="0">
    <w:p w14:paraId="34BB5CD8" w14:textId="77777777" w:rsidR="00C651E3" w:rsidRPr="007B6B33" w:rsidRDefault="00C651E3">
      <w:pPr>
        <w:spacing w:after="0" w:line="240" w:lineRule="auto"/>
      </w:pPr>
      <w:r w:rsidRPr="007B6B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7465E" w14:textId="69BAA983" w:rsidR="00BE54F5" w:rsidRPr="007B6B33" w:rsidRDefault="00BE54F5" w:rsidP="00BE5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EED61" w14:textId="64963635" w:rsidR="00BE54F5" w:rsidRPr="007B6B33" w:rsidRDefault="00BE54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4C79" w14:textId="20CDAE03" w:rsidR="00BE54F5" w:rsidRPr="007B6B33" w:rsidRDefault="00BE54F5" w:rsidP="00BE5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9C2C5" w14:textId="77777777" w:rsidR="00C651E3" w:rsidRPr="007B6B33" w:rsidRDefault="00C651E3">
      <w:pPr>
        <w:spacing w:after="0" w:line="240" w:lineRule="auto"/>
      </w:pPr>
      <w:r w:rsidRPr="007B6B33">
        <w:separator/>
      </w:r>
    </w:p>
  </w:footnote>
  <w:footnote w:type="continuationSeparator" w:id="0">
    <w:p w14:paraId="4CAC8B41" w14:textId="77777777" w:rsidR="00C651E3" w:rsidRPr="007B6B33" w:rsidRDefault="00C651E3">
      <w:pPr>
        <w:spacing w:after="0" w:line="240" w:lineRule="auto"/>
      </w:pPr>
      <w:r w:rsidRPr="007B6B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7C83" w14:textId="77777777" w:rsidR="00BE54F5" w:rsidRPr="007B6B33" w:rsidRDefault="00BE54F5" w:rsidP="00BE54F5">
    <w:pPr>
      <w:spacing w:after="0"/>
      <w:ind w:left="142" w:right="0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1968" w14:textId="275F67C9" w:rsidR="00623835" w:rsidRPr="007B6B33" w:rsidRDefault="00623835" w:rsidP="00623835">
    <w:pPr>
      <w:spacing w:after="5" w:line="238" w:lineRule="auto"/>
      <w:ind w:left="7200" w:right="-16" w:firstLine="0"/>
      <w:jc w:val="right"/>
    </w:pPr>
    <w:r>
      <w:t>WO/PBC/37/2</w:t>
    </w:r>
  </w:p>
  <w:p w14:paraId="5B729CE5" w14:textId="77777777" w:rsidR="00623835" w:rsidRPr="007B6B33" w:rsidRDefault="00623835" w:rsidP="00623835">
    <w:pPr>
      <w:spacing w:after="5" w:line="238" w:lineRule="auto"/>
      <w:ind w:left="7200" w:right="-16" w:firstLine="0"/>
      <w:jc w:val="right"/>
    </w:pPr>
    <w:r>
      <w:t>стр. 2</w:t>
    </w:r>
  </w:p>
  <w:p w14:paraId="56F9EF88" w14:textId="77777777" w:rsidR="00623835" w:rsidRPr="007B6B33" w:rsidRDefault="00623835" w:rsidP="00623835">
    <w:pPr>
      <w:spacing w:after="0"/>
      <w:ind w:left="142" w:righ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2DE4" w14:textId="211A1199" w:rsidR="00706319" w:rsidRPr="007B6B33" w:rsidRDefault="00706319" w:rsidP="00BE54F5">
    <w:pPr>
      <w:spacing w:after="5" w:line="238" w:lineRule="auto"/>
      <w:ind w:left="7200" w:right="-16" w:firstLine="0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486C" w14:textId="418ABE77" w:rsidR="00BE54F5" w:rsidRPr="007B6B33" w:rsidRDefault="00BE54F5" w:rsidP="00BE54F5">
    <w:pPr>
      <w:spacing w:after="5" w:line="238" w:lineRule="auto"/>
      <w:ind w:left="7200" w:right="-16" w:firstLine="0"/>
      <w:jc w:val="right"/>
    </w:pPr>
    <w:r>
      <w:t>WO/PBC/37/2</w:t>
    </w:r>
  </w:p>
  <w:p w14:paraId="16E622EA" w14:textId="3522F60B" w:rsidR="00BE54F5" w:rsidRPr="007B6B33" w:rsidRDefault="00BE54F5" w:rsidP="00BE54F5">
    <w:pPr>
      <w:spacing w:after="5" w:line="238" w:lineRule="auto"/>
      <w:ind w:left="7200" w:right="-16" w:firstLine="0"/>
      <w:jc w:val="right"/>
    </w:pPr>
    <w:r>
      <w:t xml:space="preserve">стр. </w:t>
    </w:r>
    <w:r w:rsidRPr="007B6B33">
      <w:fldChar w:fldCharType="begin"/>
    </w:r>
    <w:r w:rsidRPr="007B6B33">
      <w:instrText xml:space="preserve"> PAGE   \* MERGEFORMAT </w:instrText>
    </w:r>
    <w:r w:rsidRPr="007B6B33">
      <w:fldChar w:fldCharType="separate"/>
    </w:r>
    <w:r w:rsidR="008E359E" w:rsidRPr="007B6B33">
      <w:t>10</w:t>
    </w:r>
    <w:r w:rsidRPr="007B6B33">
      <w:fldChar w:fldCharType="end"/>
    </w:r>
  </w:p>
  <w:p w14:paraId="15D63005" w14:textId="77777777" w:rsidR="00BE54F5" w:rsidRPr="007B6B33" w:rsidRDefault="00BE54F5" w:rsidP="00BE54F5">
    <w:pPr>
      <w:spacing w:after="0"/>
      <w:ind w:left="142" w:right="0" w:firstLine="0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4D2A7" w14:textId="132A5241" w:rsidR="00B40017" w:rsidRPr="007B6B33" w:rsidRDefault="00B40017">
    <w:pPr>
      <w:spacing w:after="5" w:line="238" w:lineRule="auto"/>
      <w:ind w:left="7200" w:right="-16" w:firstLine="0"/>
      <w:jc w:val="right"/>
    </w:pPr>
    <w:r>
      <w:t>WO/PBC/37/2</w:t>
    </w:r>
  </w:p>
  <w:p w14:paraId="7F220377" w14:textId="32A7DAAD" w:rsidR="00B40017" w:rsidRPr="007B6B33" w:rsidRDefault="00B40017">
    <w:pPr>
      <w:spacing w:after="5" w:line="238" w:lineRule="auto"/>
      <w:ind w:left="7200" w:right="-16" w:firstLine="0"/>
      <w:jc w:val="right"/>
    </w:pPr>
    <w:r>
      <w:t xml:space="preserve">стр. </w:t>
    </w:r>
    <w:r w:rsidRPr="007B6B33">
      <w:fldChar w:fldCharType="begin"/>
    </w:r>
    <w:r w:rsidRPr="007B6B33">
      <w:instrText xml:space="preserve"> PAGE   \* MERGEFORMAT </w:instrText>
    </w:r>
    <w:r w:rsidRPr="007B6B33">
      <w:fldChar w:fldCharType="separate"/>
    </w:r>
    <w:r w:rsidR="008E359E" w:rsidRPr="007B6B33">
      <w:t>9</w:t>
    </w:r>
    <w:r w:rsidRPr="007B6B33">
      <w:fldChar w:fldCharType="end"/>
    </w:r>
  </w:p>
  <w:p w14:paraId="56EBF247" w14:textId="77777777" w:rsidR="00B40017" w:rsidRPr="007B6B33" w:rsidRDefault="00B40017" w:rsidP="00623835">
    <w:pPr>
      <w:spacing w:after="0"/>
      <w:ind w:left="142" w:right="0" w:firstLine="0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87EE" w14:textId="5BE957F1" w:rsidR="00BE54F5" w:rsidRPr="007B6B33" w:rsidRDefault="00BE54F5" w:rsidP="00BE54F5">
    <w:pPr>
      <w:spacing w:after="5" w:line="238" w:lineRule="auto"/>
      <w:ind w:left="7200" w:right="-16" w:firstLine="0"/>
      <w:jc w:val="right"/>
    </w:pPr>
    <w:r>
      <w:t>WO/PBC/37/2</w:t>
    </w:r>
  </w:p>
  <w:p w14:paraId="24E893DF" w14:textId="6C338965" w:rsidR="00BE54F5" w:rsidRPr="007B6B33" w:rsidRDefault="00BE54F5" w:rsidP="00BE54F5">
    <w:pPr>
      <w:spacing w:after="5" w:line="238" w:lineRule="auto"/>
      <w:ind w:left="7200" w:right="-16" w:firstLine="0"/>
      <w:jc w:val="right"/>
    </w:pPr>
    <w:r>
      <w:t xml:space="preserve">стр. </w:t>
    </w:r>
    <w:r w:rsidRPr="007B6B33">
      <w:fldChar w:fldCharType="begin"/>
    </w:r>
    <w:r w:rsidRPr="007B6B33">
      <w:instrText xml:space="preserve"> PAGE   \* MERGEFORMAT </w:instrText>
    </w:r>
    <w:r w:rsidRPr="007B6B33">
      <w:fldChar w:fldCharType="separate"/>
    </w:r>
    <w:r w:rsidR="008E359E" w:rsidRPr="007B6B33">
      <w:t>3</w:t>
    </w:r>
    <w:r w:rsidRPr="007B6B33">
      <w:fldChar w:fldCharType="end"/>
    </w:r>
  </w:p>
  <w:p w14:paraId="097DA6C2" w14:textId="77777777" w:rsidR="00BE54F5" w:rsidRPr="007B6B33" w:rsidRDefault="00BE54F5" w:rsidP="00BE54F5">
    <w:pPr>
      <w:spacing w:after="0"/>
      <w:ind w:left="142" w:righ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29E3"/>
    <w:multiLevelType w:val="multilevel"/>
    <w:tmpl w:val="CE9CDACA"/>
    <w:lvl w:ilvl="0">
      <w:start w:val="2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97049BF"/>
    <w:multiLevelType w:val="hybridMultilevel"/>
    <w:tmpl w:val="B91C1B44"/>
    <w:lvl w:ilvl="0" w:tplc="31BEA9DC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D3BB4"/>
    <w:multiLevelType w:val="hybridMultilevel"/>
    <w:tmpl w:val="6E16C312"/>
    <w:lvl w:ilvl="0" w:tplc="1818D338">
      <w:start w:val="16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5E6B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3A9B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D0E9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5EB4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68B8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6467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B86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D65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F10E0F"/>
    <w:multiLevelType w:val="hybridMultilevel"/>
    <w:tmpl w:val="B54A7858"/>
    <w:lvl w:ilvl="0" w:tplc="5A888962">
      <w:start w:val="8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86014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82420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46F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8C342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97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5C96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474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C57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24310"/>
    <w:multiLevelType w:val="hybridMultilevel"/>
    <w:tmpl w:val="FBEC3A50"/>
    <w:lvl w:ilvl="0" w:tplc="78642F42">
      <w:start w:val="53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483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C77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8A85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66B4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4EB6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8A2E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BC98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BC525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CE21F3"/>
    <w:multiLevelType w:val="hybridMultilevel"/>
    <w:tmpl w:val="4AA2ADDE"/>
    <w:lvl w:ilvl="0" w:tplc="9E5C97D4">
      <w:start w:val="1"/>
      <w:numFmt w:val="bullet"/>
      <w:lvlText w:val="•"/>
      <w:lvlJc w:val="left"/>
      <w:pPr>
        <w:ind w:left="1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6EA4C">
      <w:start w:val="1"/>
      <w:numFmt w:val="bullet"/>
      <w:lvlText w:val="o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EBA54">
      <w:start w:val="1"/>
      <w:numFmt w:val="bullet"/>
      <w:lvlText w:val="▪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09F42">
      <w:start w:val="1"/>
      <w:numFmt w:val="bullet"/>
      <w:lvlText w:val="•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08BA6">
      <w:start w:val="1"/>
      <w:numFmt w:val="bullet"/>
      <w:lvlText w:val="o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8F564">
      <w:start w:val="1"/>
      <w:numFmt w:val="bullet"/>
      <w:lvlText w:val="▪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2E20">
      <w:start w:val="1"/>
      <w:numFmt w:val="bullet"/>
      <w:lvlText w:val="•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A662E">
      <w:start w:val="1"/>
      <w:numFmt w:val="bullet"/>
      <w:lvlText w:val="o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ABC86">
      <w:start w:val="1"/>
      <w:numFmt w:val="bullet"/>
      <w:lvlText w:val="▪"/>
      <w:lvlJc w:val="left"/>
      <w:pPr>
        <w:ind w:left="6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A5EAA"/>
    <w:multiLevelType w:val="hybridMultilevel"/>
    <w:tmpl w:val="B9184FC6"/>
    <w:lvl w:ilvl="0" w:tplc="D6D2DFF2">
      <w:start w:val="14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868342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48DF64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2A55E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6A2D30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0C6974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C66B58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64C7AE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64D88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4A4C9E"/>
    <w:multiLevelType w:val="hybridMultilevel"/>
    <w:tmpl w:val="41C0B9E6"/>
    <w:lvl w:ilvl="0" w:tplc="5A888962">
      <w:start w:val="8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1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82420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46FA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8C342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970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5C96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474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C57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3B19FF"/>
    <w:multiLevelType w:val="hybridMultilevel"/>
    <w:tmpl w:val="F62A35A0"/>
    <w:lvl w:ilvl="0" w:tplc="B7FE277A">
      <w:start w:val="1"/>
      <w:numFmt w:val="decimal"/>
      <w:lvlText w:val="%1."/>
      <w:lvlJc w:val="left"/>
      <w:pPr>
        <w:ind w:left="1495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C6ADB"/>
    <w:multiLevelType w:val="hybridMultilevel"/>
    <w:tmpl w:val="5FA4A152"/>
    <w:lvl w:ilvl="0" w:tplc="6200EF2C">
      <w:start w:val="20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B6D7F6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2C226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74BCFA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075DC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DE62E2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6ED5E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CC87C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A415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CB5A99"/>
    <w:multiLevelType w:val="hybridMultilevel"/>
    <w:tmpl w:val="D6E6D6B4"/>
    <w:lvl w:ilvl="0" w:tplc="3F4A77BA">
      <w:start w:val="24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49E22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62BC54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4EBDB4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4B1CA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BC4A2A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5A37F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1E7888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DAF10C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B306D1"/>
    <w:multiLevelType w:val="hybridMultilevel"/>
    <w:tmpl w:val="617EAED0"/>
    <w:lvl w:ilvl="0" w:tplc="0EFAC94E">
      <w:start w:val="46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CC4EB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4E6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CC7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67C7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8A2C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A49E9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C4607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66C8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227EDE"/>
    <w:multiLevelType w:val="hybridMultilevel"/>
    <w:tmpl w:val="0EDA190E"/>
    <w:lvl w:ilvl="0" w:tplc="5A888962">
      <w:start w:val="8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86014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A82420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9A46FA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8C342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866970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AA5C96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474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8C578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25041D"/>
    <w:multiLevelType w:val="hybridMultilevel"/>
    <w:tmpl w:val="56C8B67A"/>
    <w:lvl w:ilvl="0" w:tplc="2FEE24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B5D30"/>
    <w:multiLevelType w:val="hybridMultilevel"/>
    <w:tmpl w:val="AA202E98"/>
    <w:lvl w:ilvl="0" w:tplc="ED9E7BF4">
      <w:start w:val="26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247558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9A69D0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74567A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F68F2E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D6BA6C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6BAB2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C49E08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C83292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0A64C6"/>
    <w:multiLevelType w:val="hybridMultilevel"/>
    <w:tmpl w:val="7BD0672A"/>
    <w:lvl w:ilvl="0" w:tplc="0C6AA820">
      <w:start w:val="62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00CBF4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A60A78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48E6C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1AE1CA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42656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482100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00F786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1AA452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7B707C"/>
    <w:multiLevelType w:val="hybridMultilevel"/>
    <w:tmpl w:val="03D0A2F8"/>
    <w:lvl w:ilvl="0" w:tplc="C242127E">
      <w:start w:val="1"/>
      <w:numFmt w:val="decimal"/>
      <w:lvlText w:val="(%1)"/>
      <w:lvlJc w:val="left"/>
      <w:pPr>
        <w:ind w:left="174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235CA0"/>
    <w:multiLevelType w:val="hybridMultilevel"/>
    <w:tmpl w:val="6A9EB6FA"/>
    <w:lvl w:ilvl="0" w:tplc="0FB27EDA">
      <w:start w:val="30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807A0">
      <w:start w:val="1"/>
      <w:numFmt w:val="lowerLetter"/>
      <w:lvlText w:val="%2"/>
      <w:lvlJc w:val="left"/>
      <w:pPr>
        <w:ind w:left="1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669232">
      <w:start w:val="1"/>
      <w:numFmt w:val="lowerRoman"/>
      <w:lvlText w:val="%3"/>
      <w:lvlJc w:val="left"/>
      <w:pPr>
        <w:ind w:left="1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CA212">
      <w:start w:val="1"/>
      <w:numFmt w:val="decimal"/>
      <w:lvlText w:val="%4"/>
      <w:lvlJc w:val="left"/>
      <w:pPr>
        <w:ind w:left="2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AFFCA">
      <w:start w:val="1"/>
      <w:numFmt w:val="lowerLetter"/>
      <w:lvlText w:val="%5"/>
      <w:lvlJc w:val="left"/>
      <w:pPr>
        <w:ind w:left="3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22CA8">
      <w:start w:val="1"/>
      <w:numFmt w:val="lowerRoman"/>
      <w:lvlText w:val="%6"/>
      <w:lvlJc w:val="left"/>
      <w:pPr>
        <w:ind w:left="4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0DBC8">
      <w:start w:val="1"/>
      <w:numFmt w:val="decimal"/>
      <w:lvlText w:val="%7"/>
      <w:lvlJc w:val="left"/>
      <w:pPr>
        <w:ind w:left="4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4B45E">
      <w:start w:val="1"/>
      <w:numFmt w:val="lowerLetter"/>
      <w:lvlText w:val="%8"/>
      <w:lvlJc w:val="left"/>
      <w:pPr>
        <w:ind w:left="5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CD988">
      <w:start w:val="1"/>
      <w:numFmt w:val="lowerRoman"/>
      <w:lvlText w:val="%9"/>
      <w:lvlJc w:val="left"/>
      <w:pPr>
        <w:ind w:left="6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8B7084"/>
    <w:multiLevelType w:val="hybridMultilevel"/>
    <w:tmpl w:val="93B65B30"/>
    <w:lvl w:ilvl="0" w:tplc="D584C604">
      <w:start w:val="37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301C36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506674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049C5A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305F02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A672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D03A1A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7C900A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BE9740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DC4162"/>
    <w:multiLevelType w:val="hybridMultilevel"/>
    <w:tmpl w:val="28DE392A"/>
    <w:lvl w:ilvl="0" w:tplc="6C520FA2">
      <w:start w:val="1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CA16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7C53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4078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4AFF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5EC9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5A4C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FA1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2410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456633"/>
    <w:multiLevelType w:val="hybridMultilevel"/>
    <w:tmpl w:val="F3AA6080"/>
    <w:lvl w:ilvl="0" w:tplc="6F989C0E">
      <w:start w:val="19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CA9EA4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74CC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D68DA6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6E0DA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948370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74FD5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CB956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56B78C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A606D1D"/>
    <w:multiLevelType w:val="hybridMultilevel"/>
    <w:tmpl w:val="9AD42CD4"/>
    <w:lvl w:ilvl="0" w:tplc="04090001">
      <w:start w:val="1"/>
      <w:numFmt w:val="bullet"/>
      <w:lvlText w:val=""/>
      <w:lvlJc w:val="left"/>
      <w:pPr>
        <w:ind w:left="117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66EA4C">
      <w:start w:val="1"/>
      <w:numFmt w:val="bullet"/>
      <w:lvlText w:val="o"/>
      <w:lvlJc w:val="left"/>
      <w:pPr>
        <w:ind w:left="1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5EBA54">
      <w:start w:val="1"/>
      <w:numFmt w:val="bullet"/>
      <w:lvlText w:val="▪"/>
      <w:lvlJc w:val="left"/>
      <w:pPr>
        <w:ind w:left="2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809F42">
      <w:start w:val="1"/>
      <w:numFmt w:val="bullet"/>
      <w:lvlText w:val="•"/>
      <w:lvlJc w:val="left"/>
      <w:pPr>
        <w:ind w:left="3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308BA6">
      <w:start w:val="1"/>
      <w:numFmt w:val="bullet"/>
      <w:lvlText w:val="o"/>
      <w:lvlJc w:val="left"/>
      <w:pPr>
        <w:ind w:left="3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8F564">
      <w:start w:val="1"/>
      <w:numFmt w:val="bullet"/>
      <w:lvlText w:val="▪"/>
      <w:lvlJc w:val="left"/>
      <w:pPr>
        <w:ind w:left="4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222E20">
      <w:start w:val="1"/>
      <w:numFmt w:val="bullet"/>
      <w:lvlText w:val="•"/>
      <w:lvlJc w:val="left"/>
      <w:pPr>
        <w:ind w:left="5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1A662E">
      <w:start w:val="1"/>
      <w:numFmt w:val="bullet"/>
      <w:lvlText w:val="o"/>
      <w:lvlJc w:val="left"/>
      <w:pPr>
        <w:ind w:left="6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2ABC86">
      <w:start w:val="1"/>
      <w:numFmt w:val="bullet"/>
      <w:lvlText w:val="▪"/>
      <w:lvlJc w:val="left"/>
      <w:pPr>
        <w:ind w:left="6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A02A54"/>
    <w:multiLevelType w:val="hybridMultilevel"/>
    <w:tmpl w:val="E3721360"/>
    <w:lvl w:ilvl="0" w:tplc="31BEA9DC">
      <w:start w:val="23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3" w15:restartNumberingAfterBreak="0">
    <w:nsid w:val="5DBB2C4D"/>
    <w:multiLevelType w:val="hybridMultilevel"/>
    <w:tmpl w:val="7D908414"/>
    <w:lvl w:ilvl="0" w:tplc="660A17D6">
      <w:start w:val="1"/>
      <w:numFmt w:val="decimal"/>
      <w:lvlText w:val="%1.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CE93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B696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E8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9657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BAB1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612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CECC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E2F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335F47"/>
    <w:multiLevelType w:val="hybridMultilevel"/>
    <w:tmpl w:val="E208FD62"/>
    <w:lvl w:ilvl="0" w:tplc="4AA29EFA">
      <w:start w:val="33"/>
      <w:numFmt w:val="decimal"/>
      <w:lvlText w:val="%1."/>
      <w:lvlJc w:val="left"/>
      <w:pPr>
        <w:ind w:left="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AEE89A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A9EF6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66FE4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6A7BB8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4A4BFC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1013F8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B80208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0AA9C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DB0FF2"/>
    <w:multiLevelType w:val="multilevel"/>
    <w:tmpl w:val="0D444DD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6" w15:restartNumberingAfterBreak="0">
    <w:nsid w:val="6CD21558"/>
    <w:multiLevelType w:val="hybridMultilevel"/>
    <w:tmpl w:val="4FA4C2F6"/>
    <w:lvl w:ilvl="0" w:tplc="7CC4E254">
      <w:start w:val="33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7" w15:restartNumberingAfterBreak="0">
    <w:nsid w:val="6DF75AA2"/>
    <w:multiLevelType w:val="hybridMultilevel"/>
    <w:tmpl w:val="A3EC3398"/>
    <w:lvl w:ilvl="0" w:tplc="A09AA214">
      <w:start w:val="13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C08F59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707E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4EA1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6C8C9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D2BD6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E85A5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BD882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BC43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E0F7EDE"/>
    <w:multiLevelType w:val="hybridMultilevel"/>
    <w:tmpl w:val="A43888A8"/>
    <w:lvl w:ilvl="0" w:tplc="0422FCF4">
      <w:start w:val="58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6AC104">
      <w:start w:val="1"/>
      <w:numFmt w:val="lowerLetter"/>
      <w:lvlText w:val="%2"/>
      <w:lvlJc w:val="left"/>
      <w:pPr>
        <w:ind w:left="1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4DD10">
      <w:start w:val="1"/>
      <w:numFmt w:val="lowerRoman"/>
      <w:lvlText w:val="%3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7A4836">
      <w:start w:val="1"/>
      <w:numFmt w:val="decimal"/>
      <w:lvlText w:val="%4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D22C3E">
      <w:start w:val="1"/>
      <w:numFmt w:val="lowerLetter"/>
      <w:lvlText w:val="%5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D64FAE">
      <w:start w:val="1"/>
      <w:numFmt w:val="lowerRoman"/>
      <w:lvlText w:val="%6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CEA364">
      <w:start w:val="1"/>
      <w:numFmt w:val="decimal"/>
      <w:lvlText w:val="%7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32F87C">
      <w:start w:val="1"/>
      <w:numFmt w:val="lowerLetter"/>
      <w:lvlText w:val="%8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E5D2A">
      <w:start w:val="1"/>
      <w:numFmt w:val="lowerRoman"/>
      <w:lvlText w:val="%9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232D3F"/>
    <w:multiLevelType w:val="hybridMultilevel"/>
    <w:tmpl w:val="13086356"/>
    <w:lvl w:ilvl="0" w:tplc="59D4745A">
      <w:start w:val="22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EA6232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788B0A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4D86A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873E2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94F81E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36E00E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509FDE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AAD504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0BD52AB"/>
    <w:multiLevelType w:val="hybridMultilevel"/>
    <w:tmpl w:val="6FE66288"/>
    <w:lvl w:ilvl="0" w:tplc="8D684A04">
      <w:start w:val="5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E8126">
      <w:start w:val="1"/>
      <w:numFmt w:val="bullet"/>
      <w:lvlText w:val="-"/>
      <w:lvlJc w:val="left"/>
      <w:pPr>
        <w:ind w:left="11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927C3C">
      <w:start w:val="1"/>
      <w:numFmt w:val="bullet"/>
      <w:lvlText w:val="▪"/>
      <w:lvlJc w:val="left"/>
      <w:pPr>
        <w:ind w:left="17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C4EEB4">
      <w:start w:val="1"/>
      <w:numFmt w:val="bullet"/>
      <w:lvlText w:val="•"/>
      <w:lvlJc w:val="left"/>
      <w:pPr>
        <w:ind w:left="24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842C78">
      <w:start w:val="1"/>
      <w:numFmt w:val="bullet"/>
      <w:lvlText w:val="o"/>
      <w:lvlJc w:val="left"/>
      <w:pPr>
        <w:ind w:left="31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B21FB2">
      <w:start w:val="1"/>
      <w:numFmt w:val="bullet"/>
      <w:lvlText w:val="▪"/>
      <w:lvlJc w:val="left"/>
      <w:pPr>
        <w:ind w:left="39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A61F6">
      <w:start w:val="1"/>
      <w:numFmt w:val="bullet"/>
      <w:lvlText w:val="•"/>
      <w:lvlJc w:val="left"/>
      <w:pPr>
        <w:ind w:left="46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2A764">
      <w:start w:val="1"/>
      <w:numFmt w:val="bullet"/>
      <w:lvlText w:val="o"/>
      <w:lvlJc w:val="left"/>
      <w:pPr>
        <w:ind w:left="53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6CEBE6">
      <w:start w:val="1"/>
      <w:numFmt w:val="bullet"/>
      <w:lvlText w:val="▪"/>
      <w:lvlJc w:val="left"/>
      <w:pPr>
        <w:ind w:left="60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5674004"/>
    <w:multiLevelType w:val="hybridMultilevel"/>
    <w:tmpl w:val="308CCA64"/>
    <w:lvl w:ilvl="0" w:tplc="F3AE0E46">
      <w:start w:val="41"/>
      <w:numFmt w:val="decimal"/>
      <w:lvlText w:val="%1."/>
      <w:lvlJc w:val="left"/>
      <w:pPr>
        <w:ind w:left="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CC60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433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2629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BA63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57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602E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B4AA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E0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DB6B42"/>
    <w:multiLevelType w:val="hybridMultilevel"/>
    <w:tmpl w:val="2460C0B0"/>
    <w:lvl w:ilvl="0" w:tplc="C598FB08">
      <w:start w:val="49"/>
      <w:numFmt w:val="decimal"/>
      <w:lvlText w:val="%1.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201E64">
      <w:start w:val="1"/>
      <w:numFmt w:val="lowerLetter"/>
      <w:lvlText w:val="%2"/>
      <w:lvlJc w:val="left"/>
      <w:pPr>
        <w:ind w:left="1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16643C">
      <w:start w:val="1"/>
      <w:numFmt w:val="lowerRoman"/>
      <w:lvlText w:val="%3"/>
      <w:lvlJc w:val="left"/>
      <w:pPr>
        <w:ind w:left="1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EAF404">
      <w:start w:val="1"/>
      <w:numFmt w:val="decimal"/>
      <w:lvlText w:val="%4"/>
      <w:lvlJc w:val="left"/>
      <w:pPr>
        <w:ind w:left="2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70F31A">
      <w:start w:val="1"/>
      <w:numFmt w:val="lowerLetter"/>
      <w:lvlText w:val="%5"/>
      <w:lvlJc w:val="left"/>
      <w:pPr>
        <w:ind w:left="3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CA9084">
      <w:start w:val="1"/>
      <w:numFmt w:val="lowerRoman"/>
      <w:lvlText w:val="%6"/>
      <w:lvlJc w:val="left"/>
      <w:pPr>
        <w:ind w:left="3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C8F7DC">
      <w:start w:val="1"/>
      <w:numFmt w:val="decimal"/>
      <w:lvlText w:val="%7"/>
      <w:lvlJc w:val="left"/>
      <w:pPr>
        <w:ind w:left="4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BE7CBC">
      <w:start w:val="1"/>
      <w:numFmt w:val="lowerLetter"/>
      <w:lvlText w:val="%8"/>
      <w:lvlJc w:val="left"/>
      <w:pPr>
        <w:ind w:left="5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CB1D0">
      <w:start w:val="1"/>
      <w:numFmt w:val="lowerRoman"/>
      <w:lvlText w:val="%9"/>
      <w:lvlJc w:val="left"/>
      <w:pPr>
        <w:ind w:left="6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9292533">
    <w:abstractNumId w:val="23"/>
  </w:num>
  <w:num w:numId="2" w16cid:durableId="278685373">
    <w:abstractNumId w:val="19"/>
  </w:num>
  <w:num w:numId="3" w16cid:durableId="2123498488">
    <w:abstractNumId w:val="30"/>
  </w:num>
  <w:num w:numId="4" w16cid:durableId="1607929399">
    <w:abstractNumId w:val="12"/>
  </w:num>
  <w:num w:numId="5" w16cid:durableId="1131090032">
    <w:abstractNumId w:val="6"/>
  </w:num>
  <w:num w:numId="6" w16cid:durableId="521556862">
    <w:abstractNumId w:val="20"/>
  </w:num>
  <w:num w:numId="7" w16cid:durableId="76218754">
    <w:abstractNumId w:val="5"/>
  </w:num>
  <w:num w:numId="8" w16cid:durableId="721250023">
    <w:abstractNumId w:val="29"/>
  </w:num>
  <w:num w:numId="9" w16cid:durableId="1466386922">
    <w:abstractNumId w:val="14"/>
  </w:num>
  <w:num w:numId="10" w16cid:durableId="1804806885">
    <w:abstractNumId w:val="17"/>
  </w:num>
  <w:num w:numId="11" w16cid:durableId="632910192">
    <w:abstractNumId w:val="24"/>
  </w:num>
  <w:num w:numId="12" w16cid:durableId="717320917">
    <w:abstractNumId w:val="18"/>
  </w:num>
  <w:num w:numId="13" w16cid:durableId="1523282623">
    <w:abstractNumId w:val="31"/>
  </w:num>
  <w:num w:numId="14" w16cid:durableId="1504203278">
    <w:abstractNumId w:val="11"/>
  </w:num>
  <w:num w:numId="15" w16cid:durableId="1369649357">
    <w:abstractNumId w:val="32"/>
  </w:num>
  <w:num w:numId="16" w16cid:durableId="1291588496">
    <w:abstractNumId w:val="4"/>
  </w:num>
  <w:num w:numId="17" w16cid:durableId="1554386573">
    <w:abstractNumId w:val="28"/>
  </w:num>
  <w:num w:numId="18" w16cid:durableId="158663672">
    <w:abstractNumId w:val="15"/>
  </w:num>
  <w:num w:numId="19" w16cid:durableId="1929657587">
    <w:abstractNumId w:val="9"/>
  </w:num>
  <w:num w:numId="20" w16cid:durableId="1718777746">
    <w:abstractNumId w:val="3"/>
  </w:num>
  <w:num w:numId="21" w16cid:durableId="298534155">
    <w:abstractNumId w:val="2"/>
  </w:num>
  <w:num w:numId="22" w16cid:durableId="43910736">
    <w:abstractNumId w:val="27"/>
  </w:num>
  <w:num w:numId="23" w16cid:durableId="8266416">
    <w:abstractNumId w:val="7"/>
  </w:num>
  <w:num w:numId="24" w16cid:durableId="1620526092">
    <w:abstractNumId w:val="21"/>
  </w:num>
  <w:num w:numId="25" w16cid:durableId="1968050183">
    <w:abstractNumId w:val="22"/>
  </w:num>
  <w:num w:numId="26" w16cid:durableId="1625499724">
    <w:abstractNumId w:val="26"/>
  </w:num>
  <w:num w:numId="27" w16cid:durableId="1846822968">
    <w:abstractNumId w:val="10"/>
  </w:num>
  <w:num w:numId="28" w16cid:durableId="1117287995">
    <w:abstractNumId w:val="13"/>
  </w:num>
  <w:num w:numId="29" w16cid:durableId="873348045">
    <w:abstractNumId w:val="1"/>
  </w:num>
  <w:num w:numId="30" w16cid:durableId="1930576297">
    <w:abstractNumId w:val="16"/>
  </w:num>
  <w:num w:numId="31" w16cid:durableId="313873747">
    <w:abstractNumId w:val="8"/>
  </w:num>
  <w:num w:numId="32" w16cid:durableId="65419536">
    <w:abstractNumId w:val="0"/>
  </w:num>
  <w:num w:numId="33" w16cid:durableId="19981481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fr-CH" w:vendorID="64" w:dllVersion="4096" w:nlCheck="1" w:checkStyle="0"/>
  <w:activeWritingStyle w:appName="MSWord" w:lang="ru-RU" w:vendorID="64" w:dllVersion="0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5B"/>
    <w:rsid w:val="00000A96"/>
    <w:rsid w:val="000175D5"/>
    <w:rsid w:val="00021666"/>
    <w:rsid w:val="00023E59"/>
    <w:rsid w:val="00030613"/>
    <w:rsid w:val="000309B5"/>
    <w:rsid w:val="0003221A"/>
    <w:rsid w:val="00035F6A"/>
    <w:rsid w:val="00036D6A"/>
    <w:rsid w:val="000372C6"/>
    <w:rsid w:val="0003781D"/>
    <w:rsid w:val="00037CF2"/>
    <w:rsid w:val="00041D10"/>
    <w:rsid w:val="00046A56"/>
    <w:rsid w:val="00057C5D"/>
    <w:rsid w:val="000609FF"/>
    <w:rsid w:val="0006269A"/>
    <w:rsid w:val="00064643"/>
    <w:rsid w:val="00065EA0"/>
    <w:rsid w:val="000802D3"/>
    <w:rsid w:val="00081CEC"/>
    <w:rsid w:val="00082283"/>
    <w:rsid w:val="0008257C"/>
    <w:rsid w:val="00085F48"/>
    <w:rsid w:val="000944AF"/>
    <w:rsid w:val="00097EE0"/>
    <w:rsid w:val="000A2482"/>
    <w:rsid w:val="000A6DF7"/>
    <w:rsid w:val="000B023C"/>
    <w:rsid w:val="000B33A7"/>
    <w:rsid w:val="000B55BD"/>
    <w:rsid w:val="000B7AA2"/>
    <w:rsid w:val="000C0ABE"/>
    <w:rsid w:val="000C1ED3"/>
    <w:rsid w:val="000C24B0"/>
    <w:rsid w:val="000C3FF9"/>
    <w:rsid w:val="000D198F"/>
    <w:rsid w:val="000D4AE4"/>
    <w:rsid w:val="000D677E"/>
    <w:rsid w:val="000D7BFA"/>
    <w:rsid w:val="000E02AD"/>
    <w:rsid w:val="000E1C73"/>
    <w:rsid w:val="000F075B"/>
    <w:rsid w:val="000F1CA8"/>
    <w:rsid w:val="000F243A"/>
    <w:rsid w:val="000F68D1"/>
    <w:rsid w:val="0010023E"/>
    <w:rsid w:val="0010208B"/>
    <w:rsid w:val="001039C3"/>
    <w:rsid w:val="001117CF"/>
    <w:rsid w:val="00113A5C"/>
    <w:rsid w:val="0011742F"/>
    <w:rsid w:val="001209DA"/>
    <w:rsid w:val="00124E5E"/>
    <w:rsid w:val="001259E0"/>
    <w:rsid w:val="00130FF4"/>
    <w:rsid w:val="00131178"/>
    <w:rsid w:val="00142481"/>
    <w:rsid w:val="001710B7"/>
    <w:rsid w:val="00171E4F"/>
    <w:rsid w:val="001726DC"/>
    <w:rsid w:val="001830F0"/>
    <w:rsid w:val="001851FF"/>
    <w:rsid w:val="00185413"/>
    <w:rsid w:val="00185E71"/>
    <w:rsid w:val="001901FA"/>
    <w:rsid w:val="001936DD"/>
    <w:rsid w:val="001A60D6"/>
    <w:rsid w:val="001A67B8"/>
    <w:rsid w:val="001A6EF6"/>
    <w:rsid w:val="001B0DEA"/>
    <w:rsid w:val="001B182E"/>
    <w:rsid w:val="001B5C16"/>
    <w:rsid w:val="001C6B99"/>
    <w:rsid w:val="001C7BFD"/>
    <w:rsid w:val="001D1F6A"/>
    <w:rsid w:val="001D3C7A"/>
    <w:rsid w:val="001D7662"/>
    <w:rsid w:val="001E7C02"/>
    <w:rsid w:val="001F6662"/>
    <w:rsid w:val="001F695A"/>
    <w:rsid w:val="002034FB"/>
    <w:rsid w:val="00204051"/>
    <w:rsid w:val="00212E3D"/>
    <w:rsid w:val="00214744"/>
    <w:rsid w:val="00224152"/>
    <w:rsid w:val="002306FC"/>
    <w:rsid w:val="00231B12"/>
    <w:rsid w:val="00240964"/>
    <w:rsid w:val="00242814"/>
    <w:rsid w:val="002435E2"/>
    <w:rsid w:val="00244152"/>
    <w:rsid w:val="00245610"/>
    <w:rsid w:val="00247E35"/>
    <w:rsid w:val="00251C89"/>
    <w:rsid w:val="00254E4A"/>
    <w:rsid w:val="002611F2"/>
    <w:rsid w:val="00264A24"/>
    <w:rsid w:val="00265435"/>
    <w:rsid w:val="0028251D"/>
    <w:rsid w:val="0028606F"/>
    <w:rsid w:val="0028719A"/>
    <w:rsid w:val="002925B9"/>
    <w:rsid w:val="0029335F"/>
    <w:rsid w:val="00296B57"/>
    <w:rsid w:val="002A7600"/>
    <w:rsid w:val="002A76F9"/>
    <w:rsid w:val="002B1DE8"/>
    <w:rsid w:val="002F0DBB"/>
    <w:rsid w:val="002F2BE2"/>
    <w:rsid w:val="002F432F"/>
    <w:rsid w:val="002F4B80"/>
    <w:rsid w:val="00301A0A"/>
    <w:rsid w:val="003034BD"/>
    <w:rsid w:val="00305758"/>
    <w:rsid w:val="003116DD"/>
    <w:rsid w:val="00314C9D"/>
    <w:rsid w:val="00315755"/>
    <w:rsid w:val="003159DC"/>
    <w:rsid w:val="00316A50"/>
    <w:rsid w:val="003200C9"/>
    <w:rsid w:val="00323AF0"/>
    <w:rsid w:val="003271E2"/>
    <w:rsid w:val="00331129"/>
    <w:rsid w:val="00341E59"/>
    <w:rsid w:val="00350409"/>
    <w:rsid w:val="003545B0"/>
    <w:rsid w:val="00356BC5"/>
    <w:rsid w:val="00361584"/>
    <w:rsid w:val="003621AE"/>
    <w:rsid w:val="00372262"/>
    <w:rsid w:val="00377434"/>
    <w:rsid w:val="00380620"/>
    <w:rsid w:val="00383B3C"/>
    <w:rsid w:val="00383D39"/>
    <w:rsid w:val="00385E95"/>
    <w:rsid w:val="003945C2"/>
    <w:rsid w:val="003949D4"/>
    <w:rsid w:val="00395748"/>
    <w:rsid w:val="00395B19"/>
    <w:rsid w:val="003B18E4"/>
    <w:rsid w:val="003B71EC"/>
    <w:rsid w:val="003C5ED5"/>
    <w:rsid w:val="003C68C6"/>
    <w:rsid w:val="003D04E7"/>
    <w:rsid w:val="003D1ADF"/>
    <w:rsid w:val="003D6209"/>
    <w:rsid w:val="003D6C6E"/>
    <w:rsid w:val="003E15B7"/>
    <w:rsid w:val="003E23F4"/>
    <w:rsid w:val="003E29D4"/>
    <w:rsid w:val="003E32F9"/>
    <w:rsid w:val="003E6E9F"/>
    <w:rsid w:val="003F2EEF"/>
    <w:rsid w:val="003F37C9"/>
    <w:rsid w:val="0040005F"/>
    <w:rsid w:val="0040096A"/>
    <w:rsid w:val="00407524"/>
    <w:rsid w:val="004103E0"/>
    <w:rsid w:val="00422777"/>
    <w:rsid w:val="004236E0"/>
    <w:rsid w:val="004312AF"/>
    <w:rsid w:val="00434FBE"/>
    <w:rsid w:val="00435B30"/>
    <w:rsid w:val="004372E8"/>
    <w:rsid w:val="0043785A"/>
    <w:rsid w:val="00441C59"/>
    <w:rsid w:val="00441D4D"/>
    <w:rsid w:val="00455865"/>
    <w:rsid w:val="00456810"/>
    <w:rsid w:val="00456D48"/>
    <w:rsid w:val="00465102"/>
    <w:rsid w:val="00474573"/>
    <w:rsid w:val="00483112"/>
    <w:rsid w:val="00484E97"/>
    <w:rsid w:val="004850A2"/>
    <w:rsid w:val="00485D5F"/>
    <w:rsid w:val="00490007"/>
    <w:rsid w:val="004906F7"/>
    <w:rsid w:val="00490817"/>
    <w:rsid w:val="00492591"/>
    <w:rsid w:val="0049477C"/>
    <w:rsid w:val="00494D83"/>
    <w:rsid w:val="004956BE"/>
    <w:rsid w:val="004A0230"/>
    <w:rsid w:val="004A491E"/>
    <w:rsid w:val="004B346A"/>
    <w:rsid w:val="004B5094"/>
    <w:rsid w:val="004B78DB"/>
    <w:rsid w:val="004C2EBE"/>
    <w:rsid w:val="004D0E30"/>
    <w:rsid w:val="004D153C"/>
    <w:rsid w:val="004D1EE0"/>
    <w:rsid w:val="004D26A8"/>
    <w:rsid w:val="004D6C2F"/>
    <w:rsid w:val="004E21D8"/>
    <w:rsid w:val="004E25BC"/>
    <w:rsid w:val="004E2861"/>
    <w:rsid w:val="004E340D"/>
    <w:rsid w:val="004E3B19"/>
    <w:rsid w:val="004E7270"/>
    <w:rsid w:val="004F279C"/>
    <w:rsid w:val="005000D0"/>
    <w:rsid w:val="00502F1C"/>
    <w:rsid w:val="00503346"/>
    <w:rsid w:val="00504269"/>
    <w:rsid w:val="00505766"/>
    <w:rsid w:val="00511944"/>
    <w:rsid w:val="005217D8"/>
    <w:rsid w:val="005256FE"/>
    <w:rsid w:val="00530587"/>
    <w:rsid w:val="005307A8"/>
    <w:rsid w:val="00531F44"/>
    <w:rsid w:val="00534496"/>
    <w:rsid w:val="00542022"/>
    <w:rsid w:val="005447AC"/>
    <w:rsid w:val="00544BEC"/>
    <w:rsid w:val="00547860"/>
    <w:rsid w:val="005518B5"/>
    <w:rsid w:val="00554C54"/>
    <w:rsid w:val="00557C0C"/>
    <w:rsid w:val="00561CC3"/>
    <w:rsid w:val="00574D8D"/>
    <w:rsid w:val="00584C15"/>
    <w:rsid w:val="0059769C"/>
    <w:rsid w:val="005A149F"/>
    <w:rsid w:val="005A1A01"/>
    <w:rsid w:val="005A20DC"/>
    <w:rsid w:val="005A6E54"/>
    <w:rsid w:val="005C1392"/>
    <w:rsid w:val="005C2B55"/>
    <w:rsid w:val="005D4F87"/>
    <w:rsid w:val="005D6390"/>
    <w:rsid w:val="005D7D6D"/>
    <w:rsid w:val="005E6C5F"/>
    <w:rsid w:val="005F1C4B"/>
    <w:rsid w:val="005F2BD2"/>
    <w:rsid w:val="005F3A57"/>
    <w:rsid w:val="006065F8"/>
    <w:rsid w:val="00615687"/>
    <w:rsid w:val="00621BA7"/>
    <w:rsid w:val="0062256C"/>
    <w:rsid w:val="00623835"/>
    <w:rsid w:val="006242AB"/>
    <w:rsid w:val="006246B1"/>
    <w:rsid w:val="00626020"/>
    <w:rsid w:val="0062730A"/>
    <w:rsid w:val="00627AA4"/>
    <w:rsid w:val="00631F02"/>
    <w:rsid w:val="00633577"/>
    <w:rsid w:val="0063494C"/>
    <w:rsid w:val="00635B2A"/>
    <w:rsid w:val="00637B13"/>
    <w:rsid w:val="00644C65"/>
    <w:rsid w:val="00656D69"/>
    <w:rsid w:val="00667E88"/>
    <w:rsid w:val="0067578A"/>
    <w:rsid w:val="00675FD5"/>
    <w:rsid w:val="00676199"/>
    <w:rsid w:val="006842EA"/>
    <w:rsid w:val="006845F7"/>
    <w:rsid w:val="00695C0F"/>
    <w:rsid w:val="00695F5D"/>
    <w:rsid w:val="006A0335"/>
    <w:rsid w:val="006A5101"/>
    <w:rsid w:val="006B0E94"/>
    <w:rsid w:val="006B3357"/>
    <w:rsid w:val="006B378B"/>
    <w:rsid w:val="006C57C0"/>
    <w:rsid w:val="006D238C"/>
    <w:rsid w:val="006E29B0"/>
    <w:rsid w:val="006E3436"/>
    <w:rsid w:val="006E5961"/>
    <w:rsid w:val="006E6C68"/>
    <w:rsid w:val="006E7F12"/>
    <w:rsid w:val="006F632D"/>
    <w:rsid w:val="00701DE5"/>
    <w:rsid w:val="0070269A"/>
    <w:rsid w:val="0070328D"/>
    <w:rsid w:val="00706319"/>
    <w:rsid w:val="00706463"/>
    <w:rsid w:val="00716ACB"/>
    <w:rsid w:val="00726570"/>
    <w:rsid w:val="007273A2"/>
    <w:rsid w:val="00737474"/>
    <w:rsid w:val="00742A98"/>
    <w:rsid w:val="00777808"/>
    <w:rsid w:val="00777BDF"/>
    <w:rsid w:val="00777ECA"/>
    <w:rsid w:val="00781204"/>
    <w:rsid w:val="00787699"/>
    <w:rsid w:val="00790C51"/>
    <w:rsid w:val="00790D43"/>
    <w:rsid w:val="007913B1"/>
    <w:rsid w:val="0079292C"/>
    <w:rsid w:val="00796205"/>
    <w:rsid w:val="007A323A"/>
    <w:rsid w:val="007A7FC1"/>
    <w:rsid w:val="007B5A1D"/>
    <w:rsid w:val="007B6B33"/>
    <w:rsid w:val="007B7D71"/>
    <w:rsid w:val="007C47AD"/>
    <w:rsid w:val="007C609B"/>
    <w:rsid w:val="007D063F"/>
    <w:rsid w:val="007D1886"/>
    <w:rsid w:val="007D3CE1"/>
    <w:rsid w:val="007D4197"/>
    <w:rsid w:val="007D7500"/>
    <w:rsid w:val="007E03BA"/>
    <w:rsid w:val="007E1306"/>
    <w:rsid w:val="007E355B"/>
    <w:rsid w:val="007E599A"/>
    <w:rsid w:val="007F1480"/>
    <w:rsid w:val="007F3E6C"/>
    <w:rsid w:val="008045C0"/>
    <w:rsid w:val="00807022"/>
    <w:rsid w:val="00810DAD"/>
    <w:rsid w:val="00816199"/>
    <w:rsid w:val="00817307"/>
    <w:rsid w:val="008220FF"/>
    <w:rsid w:val="00822964"/>
    <w:rsid w:val="0082379F"/>
    <w:rsid w:val="00824065"/>
    <w:rsid w:val="00824C62"/>
    <w:rsid w:val="0083016A"/>
    <w:rsid w:val="008346D9"/>
    <w:rsid w:val="00836B06"/>
    <w:rsid w:val="00844D67"/>
    <w:rsid w:val="0085480A"/>
    <w:rsid w:val="00855D1A"/>
    <w:rsid w:val="00871F83"/>
    <w:rsid w:val="00872DE8"/>
    <w:rsid w:val="00873179"/>
    <w:rsid w:val="00873494"/>
    <w:rsid w:val="00875232"/>
    <w:rsid w:val="0088220B"/>
    <w:rsid w:val="00883D0D"/>
    <w:rsid w:val="00891518"/>
    <w:rsid w:val="008918A1"/>
    <w:rsid w:val="00892B14"/>
    <w:rsid w:val="00894CBD"/>
    <w:rsid w:val="008A4BAD"/>
    <w:rsid w:val="008B0AFC"/>
    <w:rsid w:val="008B0F86"/>
    <w:rsid w:val="008C16C7"/>
    <w:rsid w:val="008C250F"/>
    <w:rsid w:val="008C2968"/>
    <w:rsid w:val="008C4D3A"/>
    <w:rsid w:val="008C7247"/>
    <w:rsid w:val="008D050E"/>
    <w:rsid w:val="008D48EF"/>
    <w:rsid w:val="008D6351"/>
    <w:rsid w:val="008E2102"/>
    <w:rsid w:val="008E359E"/>
    <w:rsid w:val="008E3D17"/>
    <w:rsid w:val="008E5017"/>
    <w:rsid w:val="008F51F7"/>
    <w:rsid w:val="008F71A9"/>
    <w:rsid w:val="00900936"/>
    <w:rsid w:val="00904F23"/>
    <w:rsid w:val="00906265"/>
    <w:rsid w:val="00907EDC"/>
    <w:rsid w:val="00910053"/>
    <w:rsid w:val="00916C26"/>
    <w:rsid w:val="00920876"/>
    <w:rsid w:val="009209E5"/>
    <w:rsid w:val="009304AB"/>
    <w:rsid w:val="009328BB"/>
    <w:rsid w:val="00933DE6"/>
    <w:rsid w:val="00940AF8"/>
    <w:rsid w:val="00943DD9"/>
    <w:rsid w:val="0094423F"/>
    <w:rsid w:val="009461AC"/>
    <w:rsid w:val="0095071B"/>
    <w:rsid w:val="009575A2"/>
    <w:rsid w:val="009610F6"/>
    <w:rsid w:val="00962F96"/>
    <w:rsid w:val="00963C36"/>
    <w:rsid w:val="009652D8"/>
    <w:rsid w:val="00971360"/>
    <w:rsid w:val="0097384D"/>
    <w:rsid w:val="00974D78"/>
    <w:rsid w:val="00980E0F"/>
    <w:rsid w:val="009827D7"/>
    <w:rsid w:val="0098295D"/>
    <w:rsid w:val="0098490E"/>
    <w:rsid w:val="0098602B"/>
    <w:rsid w:val="009860E2"/>
    <w:rsid w:val="00991081"/>
    <w:rsid w:val="009945E9"/>
    <w:rsid w:val="0099686D"/>
    <w:rsid w:val="009C4356"/>
    <w:rsid w:val="009D0A40"/>
    <w:rsid w:val="009D6CB5"/>
    <w:rsid w:val="009E005A"/>
    <w:rsid w:val="009E1AF1"/>
    <w:rsid w:val="009E506A"/>
    <w:rsid w:val="009F4AB0"/>
    <w:rsid w:val="00A02D9E"/>
    <w:rsid w:val="00A1014E"/>
    <w:rsid w:val="00A14975"/>
    <w:rsid w:val="00A14ED1"/>
    <w:rsid w:val="00A35EEE"/>
    <w:rsid w:val="00A36DC9"/>
    <w:rsid w:val="00A40D56"/>
    <w:rsid w:val="00A43D8F"/>
    <w:rsid w:val="00A46C84"/>
    <w:rsid w:val="00A50223"/>
    <w:rsid w:val="00A600CB"/>
    <w:rsid w:val="00A61270"/>
    <w:rsid w:val="00A6250B"/>
    <w:rsid w:val="00A66FB2"/>
    <w:rsid w:val="00A67990"/>
    <w:rsid w:val="00A67DC0"/>
    <w:rsid w:val="00A713F9"/>
    <w:rsid w:val="00A8381F"/>
    <w:rsid w:val="00A941C8"/>
    <w:rsid w:val="00AA1ED7"/>
    <w:rsid w:val="00AA2DEB"/>
    <w:rsid w:val="00AA2E37"/>
    <w:rsid w:val="00AA5E58"/>
    <w:rsid w:val="00AA6DB4"/>
    <w:rsid w:val="00AA78CE"/>
    <w:rsid w:val="00AC0A7D"/>
    <w:rsid w:val="00AC3CC9"/>
    <w:rsid w:val="00AC6BDC"/>
    <w:rsid w:val="00AD17E9"/>
    <w:rsid w:val="00AD3A29"/>
    <w:rsid w:val="00AE018A"/>
    <w:rsid w:val="00AE0F41"/>
    <w:rsid w:val="00AE2F84"/>
    <w:rsid w:val="00AE3767"/>
    <w:rsid w:val="00AE4C2D"/>
    <w:rsid w:val="00AF1852"/>
    <w:rsid w:val="00AF587D"/>
    <w:rsid w:val="00B01E7A"/>
    <w:rsid w:val="00B02106"/>
    <w:rsid w:val="00B04024"/>
    <w:rsid w:val="00B129EA"/>
    <w:rsid w:val="00B12F2E"/>
    <w:rsid w:val="00B1596E"/>
    <w:rsid w:val="00B27F82"/>
    <w:rsid w:val="00B30B74"/>
    <w:rsid w:val="00B3233C"/>
    <w:rsid w:val="00B34D22"/>
    <w:rsid w:val="00B36C10"/>
    <w:rsid w:val="00B40017"/>
    <w:rsid w:val="00B4322D"/>
    <w:rsid w:val="00B50A7E"/>
    <w:rsid w:val="00B53262"/>
    <w:rsid w:val="00B56BCC"/>
    <w:rsid w:val="00B57702"/>
    <w:rsid w:val="00B6405A"/>
    <w:rsid w:val="00B6512C"/>
    <w:rsid w:val="00B708CD"/>
    <w:rsid w:val="00B75F21"/>
    <w:rsid w:val="00B76B44"/>
    <w:rsid w:val="00B83840"/>
    <w:rsid w:val="00B84A93"/>
    <w:rsid w:val="00B84C7F"/>
    <w:rsid w:val="00B915AB"/>
    <w:rsid w:val="00B92DDF"/>
    <w:rsid w:val="00B933E3"/>
    <w:rsid w:val="00B940D0"/>
    <w:rsid w:val="00BA30C3"/>
    <w:rsid w:val="00BA4775"/>
    <w:rsid w:val="00BA7DBC"/>
    <w:rsid w:val="00BB58AB"/>
    <w:rsid w:val="00BB6E25"/>
    <w:rsid w:val="00BB78D2"/>
    <w:rsid w:val="00BC44CE"/>
    <w:rsid w:val="00BC6C9C"/>
    <w:rsid w:val="00BC7A88"/>
    <w:rsid w:val="00BD11BE"/>
    <w:rsid w:val="00BE030C"/>
    <w:rsid w:val="00BE47C5"/>
    <w:rsid w:val="00BE4CCA"/>
    <w:rsid w:val="00BE54F5"/>
    <w:rsid w:val="00BF403D"/>
    <w:rsid w:val="00C02D58"/>
    <w:rsid w:val="00C16D12"/>
    <w:rsid w:val="00C17C27"/>
    <w:rsid w:val="00C228A1"/>
    <w:rsid w:val="00C24F47"/>
    <w:rsid w:val="00C24F91"/>
    <w:rsid w:val="00C3205B"/>
    <w:rsid w:val="00C35D52"/>
    <w:rsid w:val="00C36096"/>
    <w:rsid w:val="00C4188B"/>
    <w:rsid w:val="00C43C8E"/>
    <w:rsid w:val="00C45BF8"/>
    <w:rsid w:val="00C476D2"/>
    <w:rsid w:val="00C47908"/>
    <w:rsid w:val="00C613E1"/>
    <w:rsid w:val="00C651E3"/>
    <w:rsid w:val="00C6767C"/>
    <w:rsid w:val="00C729FF"/>
    <w:rsid w:val="00C73C59"/>
    <w:rsid w:val="00C748F5"/>
    <w:rsid w:val="00C755A8"/>
    <w:rsid w:val="00C7673B"/>
    <w:rsid w:val="00C76D45"/>
    <w:rsid w:val="00C84614"/>
    <w:rsid w:val="00C84698"/>
    <w:rsid w:val="00C87529"/>
    <w:rsid w:val="00C947AF"/>
    <w:rsid w:val="00CA2291"/>
    <w:rsid w:val="00CA39A9"/>
    <w:rsid w:val="00CB3694"/>
    <w:rsid w:val="00CB4540"/>
    <w:rsid w:val="00CB6166"/>
    <w:rsid w:val="00CC1B7D"/>
    <w:rsid w:val="00CC5530"/>
    <w:rsid w:val="00CC659B"/>
    <w:rsid w:val="00CD254D"/>
    <w:rsid w:val="00CD3B90"/>
    <w:rsid w:val="00CD4E1A"/>
    <w:rsid w:val="00CE7161"/>
    <w:rsid w:val="00CF0D4B"/>
    <w:rsid w:val="00D01AAA"/>
    <w:rsid w:val="00D01B1A"/>
    <w:rsid w:val="00D0219F"/>
    <w:rsid w:val="00D06C44"/>
    <w:rsid w:val="00D12542"/>
    <w:rsid w:val="00D15769"/>
    <w:rsid w:val="00D2479E"/>
    <w:rsid w:val="00D261E6"/>
    <w:rsid w:val="00D33279"/>
    <w:rsid w:val="00D3384A"/>
    <w:rsid w:val="00D407D2"/>
    <w:rsid w:val="00D411F2"/>
    <w:rsid w:val="00D4391F"/>
    <w:rsid w:val="00D45135"/>
    <w:rsid w:val="00D47068"/>
    <w:rsid w:val="00D47C47"/>
    <w:rsid w:val="00D52C91"/>
    <w:rsid w:val="00D65B04"/>
    <w:rsid w:val="00D675F5"/>
    <w:rsid w:val="00D67736"/>
    <w:rsid w:val="00D75818"/>
    <w:rsid w:val="00D825E9"/>
    <w:rsid w:val="00D83A77"/>
    <w:rsid w:val="00D84D11"/>
    <w:rsid w:val="00D87BA0"/>
    <w:rsid w:val="00D91C15"/>
    <w:rsid w:val="00D9205C"/>
    <w:rsid w:val="00D92D15"/>
    <w:rsid w:val="00DA7F4A"/>
    <w:rsid w:val="00DB511D"/>
    <w:rsid w:val="00DB5A8E"/>
    <w:rsid w:val="00DC7756"/>
    <w:rsid w:val="00DD3C9E"/>
    <w:rsid w:val="00DE4648"/>
    <w:rsid w:val="00DF073B"/>
    <w:rsid w:val="00DF4048"/>
    <w:rsid w:val="00DF6725"/>
    <w:rsid w:val="00E01CAF"/>
    <w:rsid w:val="00E03655"/>
    <w:rsid w:val="00E03FD7"/>
    <w:rsid w:val="00E04969"/>
    <w:rsid w:val="00E074A2"/>
    <w:rsid w:val="00E131BB"/>
    <w:rsid w:val="00E13F99"/>
    <w:rsid w:val="00E21736"/>
    <w:rsid w:val="00E262D6"/>
    <w:rsid w:val="00E300EB"/>
    <w:rsid w:val="00E32C86"/>
    <w:rsid w:val="00E32CA8"/>
    <w:rsid w:val="00E32D85"/>
    <w:rsid w:val="00E34D65"/>
    <w:rsid w:val="00E3507A"/>
    <w:rsid w:val="00E36620"/>
    <w:rsid w:val="00E37F0D"/>
    <w:rsid w:val="00E41734"/>
    <w:rsid w:val="00E45DEA"/>
    <w:rsid w:val="00E477CA"/>
    <w:rsid w:val="00E55BDF"/>
    <w:rsid w:val="00E65BD0"/>
    <w:rsid w:val="00E719D1"/>
    <w:rsid w:val="00E71D83"/>
    <w:rsid w:val="00E769E4"/>
    <w:rsid w:val="00E85D6C"/>
    <w:rsid w:val="00E952C9"/>
    <w:rsid w:val="00EA35A7"/>
    <w:rsid w:val="00EA41C9"/>
    <w:rsid w:val="00EA5C16"/>
    <w:rsid w:val="00EA6290"/>
    <w:rsid w:val="00EA7152"/>
    <w:rsid w:val="00EB1764"/>
    <w:rsid w:val="00EB1AE1"/>
    <w:rsid w:val="00EB2860"/>
    <w:rsid w:val="00EB48FB"/>
    <w:rsid w:val="00EB5F31"/>
    <w:rsid w:val="00EB5FDB"/>
    <w:rsid w:val="00EC083B"/>
    <w:rsid w:val="00EC0FA4"/>
    <w:rsid w:val="00EC19BC"/>
    <w:rsid w:val="00EC4835"/>
    <w:rsid w:val="00EC5E09"/>
    <w:rsid w:val="00ED180D"/>
    <w:rsid w:val="00ED76CF"/>
    <w:rsid w:val="00EE1A7B"/>
    <w:rsid w:val="00EF23ED"/>
    <w:rsid w:val="00F13E1E"/>
    <w:rsid w:val="00F17516"/>
    <w:rsid w:val="00F20B58"/>
    <w:rsid w:val="00F25597"/>
    <w:rsid w:val="00F2582C"/>
    <w:rsid w:val="00F32574"/>
    <w:rsid w:val="00F32FA8"/>
    <w:rsid w:val="00F37A3F"/>
    <w:rsid w:val="00F37CC4"/>
    <w:rsid w:val="00F40FEF"/>
    <w:rsid w:val="00F41787"/>
    <w:rsid w:val="00F44A45"/>
    <w:rsid w:val="00F5263E"/>
    <w:rsid w:val="00F6212B"/>
    <w:rsid w:val="00F62FBD"/>
    <w:rsid w:val="00F65908"/>
    <w:rsid w:val="00F66C09"/>
    <w:rsid w:val="00F66FC0"/>
    <w:rsid w:val="00F751FA"/>
    <w:rsid w:val="00F807F3"/>
    <w:rsid w:val="00F8092A"/>
    <w:rsid w:val="00F82886"/>
    <w:rsid w:val="00F84CA5"/>
    <w:rsid w:val="00F91763"/>
    <w:rsid w:val="00F92E12"/>
    <w:rsid w:val="00F94289"/>
    <w:rsid w:val="00F9791B"/>
    <w:rsid w:val="00FA0CF4"/>
    <w:rsid w:val="00FA2F70"/>
    <w:rsid w:val="00FA6D76"/>
    <w:rsid w:val="00FA7546"/>
    <w:rsid w:val="00FB2619"/>
    <w:rsid w:val="00FB5E64"/>
    <w:rsid w:val="00FB5FA8"/>
    <w:rsid w:val="00FB6928"/>
    <w:rsid w:val="00FC36F8"/>
    <w:rsid w:val="00FD56FC"/>
    <w:rsid w:val="00FE57CF"/>
    <w:rsid w:val="00FF11AA"/>
    <w:rsid w:val="00FF295F"/>
    <w:rsid w:val="00FF5C26"/>
    <w:rsid w:val="00FF5C79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A272D"/>
  <w15:docId w15:val="{4DBEDC6A-8D9B-4A8A-9BF8-DB06E04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2" w:right="653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"/>
      <w:ind w:left="102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"/>
      <w:ind w:left="101" w:hanging="10"/>
      <w:outlineLvl w:val="1"/>
    </w:pPr>
    <w:rPr>
      <w:rFonts w:ascii="Arial" w:eastAsia="Arial" w:hAnsi="Arial" w:cs="Arial"/>
      <w:color w:val="000000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"/>
      <w:ind w:left="102" w:hanging="10"/>
      <w:outlineLvl w:val="2"/>
    </w:pPr>
    <w:rPr>
      <w:rFonts w:ascii="Arial" w:eastAsia="Arial" w:hAnsi="Arial" w:cs="Arial"/>
      <w:b/>
      <w:color w:val="000000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5"/>
      <w:ind w:left="101" w:hanging="10"/>
      <w:outlineLvl w:val="3"/>
    </w:pPr>
    <w:rPr>
      <w:rFonts w:ascii="Arial" w:eastAsia="Arial" w:hAnsi="Arial" w:cs="Arial"/>
      <w:color w:val="000000"/>
      <w:u w:val="single" w:color="000000"/>
    </w:rPr>
  </w:style>
  <w:style w:type="paragraph" w:styleId="Heading5">
    <w:name w:val="heading 5"/>
    <w:next w:val="Normal"/>
    <w:link w:val="Heading5Char"/>
    <w:uiPriority w:val="9"/>
    <w:unhideWhenUsed/>
    <w:qFormat/>
    <w:pPr>
      <w:keepNext/>
      <w:keepLines/>
      <w:spacing w:after="3"/>
      <w:ind w:left="12" w:hanging="10"/>
      <w:outlineLvl w:val="4"/>
    </w:pPr>
    <w:rPr>
      <w:rFonts w:ascii="Arial" w:eastAsia="Arial" w:hAnsi="Arial" w:cs="Arial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Pr>
      <w:rFonts w:ascii="Arial" w:eastAsia="Arial" w:hAnsi="Arial" w:cs="Arial"/>
      <w:color w:val="000000"/>
      <w:sz w:val="22"/>
      <w:u w:val="single" w:color="000000"/>
    </w:rPr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5Char">
    <w:name w:val="Heading 5 Char"/>
    <w:link w:val="Heading5"/>
    <w:rPr>
      <w:rFonts w:ascii="Arial" w:eastAsia="Arial" w:hAnsi="Arial" w:cs="Arial"/>
      <w:i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  <w:u w:val="single" w:color="000000"/>
    </w:rPr>
  </w:style>
  <w:style w:type="paragraph" w:styleId="TOC1">
    <w:name w:val="toc 1"/>
    <w:hidden/>
    <w:uiPriority w:val="39"/>
    <w:pPr>
      <w:spacing w:after="108"/>
      <w:ind w:left="39" w:right="136" w:hanging="10"/>
    </w:pPr>
    <w:rPr>
      <w:rFonts w:ascii="Arial" w:eastAsia="Arial" w:hAnsi="Arial" w:cs="Arial"/>
      <w:color w:val="000000"/>
    </w:rPr>
  </w:style>
  <w:style w:type="paragraph" w:styleId="TOC2">
    <w:name w:val="toc 2"/>
    <w:hidden/>
    <w:uiPriority w:val="39"/>
    <w:pPr>
      <w:spacing w:after="108"/>
      <w:ind w:left="605" w:right="136" w:hanging="10"/>
    </w:pPr>
    <w:rPr>
      <w:rFonts w:ascii="Arial" w:eastAsia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777B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7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7CF"/>
    <w:rPr>
      <w:rFonts w:ascii="Segoe UI" w:eastAsia="Arial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5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0C"/>
    <w:rPr>
      <w:rFonts w:ascii="Arial" w:eastAsia="Arial" w:hAnsi="Arial" w:cs="Arial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83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112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112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483112"/>
    <w:pPr>
      <w:spacing w:after="0" w:line="240" w:lineRule="auto"/>
    </w:pPr>
    <w:rPr>
      <w:rFonts w:ascii="Arial" w:eastAsia="Arial" w:hAnsi="Arial" w:cs="Arial"/>
      <w:color w:val="00000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4AB0"/>
    <w:pPr>
      <w:spacing w:after="120" w:line="240" w:lineRule="auto"/>
      <w:ind w:left="0" w:right="0" w:firstLine="0"/>
    </w:pPr>
    <w:rPr>
      <w:rFonts w:eastAsia="SimSun"/>
      <w:color w:val="auto"/>
      <w:szCs w:val="20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F4AB0"/>
    <w:rPr>
      <w:rFonts w:ascii="Arial" w:eastAsia="SimSun" w:hAnsi="Arial" w:cs="Arial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2B1DE8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eastAsia="SimSun"/>
      <w:color w:val="auto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B1DE8"/>
    <w:rPr>
      <w:rFonts w:ascii="Arial" w:eastAsia="SimSun" w:hAnsi="Arial" w:cs="Arial"/>
      <w:szCs w:val="20"/>
      <w:lang w:eastAsia="zh-CN"/>
    </w:rPr>
  </w:style>
  <w:style w:type="paragraph" w:customStyle="1" w:styleId="ONUME">
    <w:name w:val="ONUM E"/>
    <w:basedOn w:val="BodyText"/>
    <w:link w:val="ONUMEChar"/>
    <w:qFormat/>
    <w:rsid w:val="007F3E6C"/>
    <w:pPr>
      <w:numPr>
        <w:numId w:val="32"/>
      </w:numPr>
      <w:spacing w:after="220"/>
    </w:pPr>
  </w:style>
  <w:style w:type="character" w:customStyle="1" w:styleId="ONUMEChar">
    <w:name w:val="ONUM E Char"/>
    <w:link w:val="ONUME"/>
    <w:locked/>
    <w:rsid w:val="007F3E6C"/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301CD-BEBC-40B1-84FA-CFCA29D3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5126</Words>
  <Characters>29223</Characters>
  <Application>Microsoft Office Word</Application>
  <DocSecurity>0</DocSecurity>
  <Lines>243</Lines>
  <Paragraphs>68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WO/GA/54/2</vt:lpstr>
      <vt:lpstr>WO/GA/54/2</vt:lpstr>
      <vt:lpstr>WO/GA/54/2</vt:lpstr>
    </vt:vector>
  </TitlesOfParts>
  <Company>UNDP OAI</Company>
  <LinksUpToDate>false</LinksUpToDate>
  <CharactersWithSpaces>34281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WO/GA/54/2</dc:title>
  <dc:subject>Report by the WIPO Independent Advisory Oversight Committee (IAOC)</dc:subject>
  <dc:creator>IAOC;WIPO</dc:creator>
  <cp:keywords>FOR OFFICIAL USE ONLY</cp:keywords>
  <dc:description/>
  <cp:lastModifiedBy>HÄFLIGER Patience</cp:lastModifiedBy>
  <cp:revision>5</cp:revision>
  <cp:lastPrinted>2024-05-13T13:54:00Z</cp:lastPrinted>
  <dcterms:created xsi:type="dcterms:W3CDTF">2024-05-10T15:10:00Z</dcterms:created>
  <dcterms:modified xsi:type="dcterms:W3CDTF">2024-06-18T15:04:00Z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4794668c-5ee5-4686-9c2b-73efeeb4c774</vt:lpwstr>
  </property>
  <property fmtid="{D5CDD505-2E9C-101B-9397-08002B2CF9AE}" pid="3" name="TCSClassification">
    <vt:lpwstr>FOR OFFICIAL USE ONLY</vt:lpwstr>
  </property>
  <property fmtid="{D5CDD505-2E9C-101B-9397-08002B2CF9AE}" pid="4" name="MSIP_Label_20773ee6-353b-4fb9-a59d-0b94c8c67bea_Enabled">
    <vt:lpwstr>true</vt:lpwstr>
  </property>
  <property fmtid="{D5CDD505-2E9C-101B-9397-08002B2CF9AE}" pid="5" name="MSIP_Label_20773ee6-353b-4fb9-a59d-0b94c8c67bea_SetDate">
    <vt:lpwstr>2023-05-16T09:42:44Z</vt:lpwstr>
  </property>
  <property fmtid="{D5CDD505-2E9C-101B-9397-08002B2CF9AE}" pid="6" name="MSIP_Label_20773ee6-353b-4fb9-a59d-0b94c8c67bea_Method">
    <vt:lpwstr>Privileged</vt:lpwstr>
  </property>
  <property fmtid="{D5CDD505-2E9C-101B-9397-08002B2CF9AE}" pid="7" name="MSIP_Label_20773ee6-353b-4fb9-a59d-0b94c8c67bea_Name">
    <vt:lpwstr>No markings</vt:lpwstr>
  </property>
  <property fmtid="{D5CDD505-2E9C-101B-9397-08002B2CF9AE}" pid="8" name="MSIP_Label_20773ee6-353b-4fb9-a59d-0b94c8c67bea_SiteId">
    <vt:lpwstr>faa31b06-8ccc-48c9-867f-f7510dd11c02</vt:lpwstr>
  </property>
  <property fmtid="{D5CDD505-2E9C-101B-9397-08002B2CF9AE}" pid="9" name="MSIP_Label_20773ee6-353b-4fb9-a59d-0b94c8c67bea_ActionId">
    <vt:lpwstr>c5e77c18-2fb2-4dc1-9818-4ada6967a230</vt:lpwstr>
  </property>
  <property fmtid="{D5CDD505-2E9C-101B-9397-08002B2CF9AE}" pid="10" name="MSIP_Label_20773ee6-353b-4fb9-a59d-0b94c8c67bea_ContentBits">
    <vt:lpwstr>0</vt:lpwstr>
  </property>
  <property fmtid="{D5CDD505-2E9C-101B-9397-08002B2CF9AE}" pid="11" name="Classification">
    <vt:lpwstr>For Official Use Only</vt:lpwstr>
  </property>
  <property fmtid="{D5CDD505-2E9C-101B-9397-08002B2CF9AE}" pid="12" name="VisualMarkings">
    <vt:lpwstr>Footer</vt:lpwstr>
  </property>
  <property fmtid="{D5CDD505-2E9C-101B-9397-08002B2CF9AE}" pid="13" name="Alignment">
    <vt:lpwstr>Centre</vt:lpwstr>
  </property>
  <property fmtid="{D5CDD505-2E9C-101B-9397-08002B2CF9AE}" pid="14" name="Language">
    <vt:lpwstr>English</vt:lpwstr>
  </property>
</Properties>
</file>