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7244B" w14:textId="483EAF87" w:rsidR="007F3E6C" w:rsidRPr="008B2CC1" w:rsidRDefault="00072954" w:rsidP="007F3E6C">
      <w:pPr>
        <w:spacing w:after="120"/>
        <w:jc w:val="right"/>
      </w:pPr>
      <w:bookmarkStart w:id="0" w:name="_GoBack"/>
      <w:bookmarkEnd w:id="0"/>
      <w:r w:rsidRPr="0042194C">
        <w:rPr>
          <w:noProof/>
          <w:lang w:val="en-US"/>
        </w:rPr>
        <w:drawing>
          <wp:inline distT="0" distB="0" distL="0" distR="0" wp14:anchorId="27E0A08A" wp14:editId="6F7BA772">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7F3E6C">
        <w:rPr>
          <w:rFonts w:ascii="Arial Black" w:hAnsi="Arial Black"/>
          <w:caps/>
          <w:noProof/>
          <w:sz w:val="15"/>
          <w:lang w:val="en-US"/>
        </w:rPr>
        <mc:AlternateContent>
          <mc:Choice Requires="wps">
            <w:drawing>
              <wp:inline distT="0" distB="0" distL="0" distR="0" wp14:anchorId="17D66815" wp14:editId="64F1F3E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0CDAE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" strokecolor="black [3200]" strokeweight=".5pt">
                <v:stroke joinstyle="miter"/>
                <w10:anchorlock/>
              </v:line>
            </w:pict>
          </mc:Fallback>
        </mc:AlternateContent>
      </w:r>
    </w:p>
    <w:p w14:paraId="78784382" w14:textId="67524A82" w:rsidR="007F3E6C" w:rsidRPr="001024FE" w:rsidRDefault="007F3E6C" w:rsidP="007F3E6C">
      <w:pPr>
        <w:jc w:val="right"/>
        <w:rPr>
          <w:rFonts w:ascii="Arial Black" w:hAnsi="Arial Black"/>
          <w:caps/>
          <w:sz w:val="15"/>
          <w:szCs w:val="15"/>
        </w:rPr>
      </w:pPr>
      <w:r>
        <w:rPr>
          <w:rFonts w:ascii="Arial Black" w:hAnsi="Arial Black"/>
          <w:caps/>
          <w:sz w:val="15"/>
        </w:rPr>
        <w:t>WO/GA/56/</w:t>
      </w:r>
      <w:bookmarkStart w:id="1" w:name="Code"/>
      <w:bookmarkEnd w:id="1"/>
      <w:r>
        <w:rPr>
          <w:rFonts w:ascii="Arial Black" w:hAnsi="Arial Black"/>
          <w:caps/>
          <w:sz w:val="15"/>
        </w:rPr>
        <w:t>2</w:t>
      </w:r>
    </w:p>
    <w:p w14:paraId="38C2D281" w14:textId="77777777" w:rsidR="007F3E6C" w:rsidRPr="00CE65D4" w:rsidRDefault="007F3E6C" w:rsidP="007F3E6C">
      <w:pPr>
        <w:jc w:val="right"/>
        <w:rPr>
          <w:rFonts w:ascii="Arial Black" w:hAnsi="Arial Black"/>
          <w:caps/>
          <w:sz w:val="15"/>
          <w:szCs w:val="15"/>
        </w:rPr>
      </w:pPr>
      <w:r>
        <w:rPr>
          <w:rFonts w:ascii="Arial Black" w:hAnsi="Arial Black"/>
          <w:caps/>
          <w:sz w:val="15"/>
        </w:rPr>
        <w:t xml:space="preserve">оригинал: </w:t>
      </w:r>
      <w:bookmarkStart w:id="2" w:name="Original"/>
      <w:r>
        <w:rPr>
          <w:rFonts w:ascii="Arial Black" w:hAnsi="Arial Black"/>
          <w:caps/>
          <w:sz w:val="15"/>
        </w:rPr>
        <w:t>АНГЛИЙСКИЙ</w:t>
      </w:r>
    </w:p>
    <w:bookmarkEnd w:id="2"/>
    <w:p w14:paraId="25127781" w14:textId="52D44B66" w:rsidR="007F3E6C" w:rsidRPr="00CE65D4" w:rsidRDefault="007F3E6C" w:rsidP="007F3E6C">
      <w:pPr>
        <w:spacing w:after="1200"/>
        <w:jc w:val="right"/>
        <w:rPr>
          <w:rFonts w:ascii="Arial Black" w:hAnsi="Arial Black"/>
          <w:caps/>
          <w:sz w:val="15"/>
          <w:szCs w:val="15"/>
        </w:rPr>
      </w:pPr>
      <w:r>
        <w:rPr>
          <w:rFonts w:ascii="Arial Black" w:hAnsi="Arial Black"/>
          <w:caps/>
          <w:sz w:val="15"/>
        </w:rPr>
        <w:t xml:space="preserve">дата: </w:t>
      </w:r>
      <w:bookmarkStart w:id="3" w:name="Date"/>
      <w:r w:rsidR="009B2976">
        <w:rPr>
          <w:rFonts w:ascii="Arial Black" w:hAnsi="Arial Black"/>
          <w:caps/>
          <w:sz w:val="15"/>
        </w:rPr>
        <w:t>8</w:t>
      </w:r>
      <w:r>
        <w:rPr>
          <w:rFonts w:ascii="Arial Black" w:hAnsi="Arial Black"/>
          <w:caps/>
          <w:sz w:val="15"/>
        </w:rPr>
        <w:t xml:space="preserve"> июня 2023 г</w:t>
      </w:r>
      <w:r w:rsidR="004F5A85">
        <w:rPr>
          <w:rFonts w:ascii="Arial Black" w:hAnsi="Arial Black"/>
          <w:caps/>
          <w:sz w:val="15"/>
        </w:rPr>
        <w:t>ода</w:t>
      </w:r>
    </w:p>
    <w:bookmarkEnd w:id="3"/>
    <w:p w14:paraId="507F6522" w14:textId="77777777" w:rsidR="007F3E6C" w:rsidRPr="003845C1" w:rsidRDefault="007F3E6C" w:rsidP="007F3E6C">
      <w:pPr>
        <w:spacing w:after="600"/>
        <w:rPr>
          <w:b/>
          <w:sz w:val="28"/>
          <w:szCs w:val="28"/>
        </w:rPr>
      </w:pPr>
      <w:r>
        <w:rPr>
          <w:b/>
          <w:sz w:val="28"/>
        </w:rPr>
        <w:t>Генеральная Ассамблея ВОИС</w:t>
      </w:r>
    </w:p>
    <w:p w14:paraId="425797F4" w14:textId="77777777" w:rsidR="007F3E6C" w:rsidRPr="003845C1" w:rsidRDefault="007F3E6C" w:rsidP="007F3E6C">
      <w:pPr>
        <w:rPr>
          <w:b/>
          <w:sz w:val="24"/>
          <w:szCs w:val="24"/>
        </w:rPr>
      </w:pPr>
      <w:r>
        <w:rPr>
          <w:b/>
          <w:sz w:val="24"/>
        </w:rPr>
        <w:t>Пятьдесят шестая (26-я очередная) сессия</w:t>
      </w:r>
    </w:p>
    <w:p w14:paraId="356D33DF" w14:textId="2EF67961" w:rsidR="007F3E6C" w:rsidRPr="009F3BF9" w:rsidRDefault="007F3E6C" w:rsidP="007F3E6C">
      <w:pPr>
        <w:spacing w:after="720"/>
      </w:pPr>
      <w:r>
        <w:rPr>
          <w:b/>
          <w:sz w:val="24"/>
        </w:rPr>
        <w:t>Женева, 6–14</w:t>
      </w:r>
      <w:r w:rsidR="004F5A85">
        <w:rPr>
          <w:b/>
          <w:sz w:val="24"/>
        </w:rPr>
        <w:t xml:space="preserve"> </w:t>
      </w:r>
      <w:r>
        <w:rPr>
          <w:b/>
          <w:sz w:val="24"/>
        </w:rPr>
        <w:t>июля 2023 года</w:t>
      </w:r>
    </w:p>
    <w:p w14:paraId="24989889" w14:textId="77777777" w:rsidR="007F3E6C" w:rsidRPr="009F3BF9" w:rsidRDefault="007F3E6C" w:rsidP="007F3E6C">
      <w:pPr>
        <w:spacing w:after="360"/>
        <w:rPr>
          <w:caps/>
          <w:sz w:val="24"/>
        </w:rPr>
      </w:pPr>
      <w:bookmarkStart w:id="4" w:name="TitleOfDoc"/>
      <w:r>
        <w:rPr>
          <w:caps/>
          <w:sz w:val="24"/>
        </w:rPr>
        <w:t>Отчет Независимого консультативного комитета ВОИС по надзору (НККН)</w:t>
      </w:r>
    </w:p>
    <w:p w14:paraId="0D2093EB" w14:textId="77777777" w:rsidR="007F3E6C" w:rsidRPr="004D39C4" w:rsidRDefault="007F3E6C" w:rsidP="007F3E6C">
      <w:pPr>
        <w:spacing w:after="960"/>
        <w:rPr>
          <w:i/>
        </w:rPr>
      </w:pPr>
      <w:bookmarkStart w:id="5" w:name="Prepared"/>
      <w:bookmarkEnd w:id="4"/>
      <w:r>
        <w:rPr>
          <w:i/>
        </w:rPr>
        <w:t>Документ подготовлен Независимым консультативным комитетом ВОИС по надзору (НККН)</w:t>
      </w:r>
    </w:p>
    <w:bookmarkEnd w:id="5"/>
    <w:p w14:paraId="2DE109AE" w14:textId="1A18B203" w:rsidR="007F3E6C" w:rsidRDefault="007F3E6C" w:rsidP="007F3E6C">
      <w:pPr>
        <w:pStyle w:val="ONUME"/>
        <w:numPr>
          <w:ilvl w:val="0"/>
          <w:numId w:val="33"/>
        </w:numPr>
      </w:pPr>
      <w:r>
        <w:t>В настоящем документе содержится отчет Независимого консультативного комитета ВОИС по надзору (НККН) (документ WO/PBC/36/2), направляемый в Комитет ВОИС по программе и бюджету (КПБ) для рассмотрения на его тридцать шестой сессии (19–23</w:t>
      </w:r>
      <w:r w:rsidR="009B2976">
        <w:t xml:space="preserve"> июня </w:t>
      </w:r>
      <w:r>
        <w:t>2023</w:t>
      </w:r>
      <w:r w:rsidR="004F5A85">
        <w:t> </w:t>
      </w:r>
      <w:r>
        <w:t>года).</w:t>
      </w:r>
    </w:p>
    <w:p w14:paraId="2D3D211E" w14:textId="2094D516" w:rsidR="007F3E6C" w:rsidRDefault="007F3E6C" w:rsidP="007F3E6C">
      <w:pPr>
        <w:pStyle w:val="ONUME"/>
      </w:pPr>
      <w:r>
        <w:t>Все решения КПБ в отношении этого документа будут отражены в перечне решений, принятых Комитетом по программе и бюджету (документ A/64/7).</w:t>
      </w:r>
    </w:p>
    <w:p w14:paraId="14B8D17B" w14:textId="612A468A" w:rsidR="007F3E6C" w:rsidRDefault="007F3E6C" w:rsidP="007F3E6C">
      <w:pPr>
        <w:autoSpaceDE w:val="0"/>
        <w:autoSpaceDN w:val="0"/>
        <w:adjustRightInd w:val="0"/>
        <w:rPr>
          <w:rFonts w:eastAsia="Times New Roman"/>
        </w:rPr>
      </w:pPr>
    </w:p>
    <w:p w14:paraId="708023A8" w14:textId="77777777" w:rsidR="007F3E6C" w:rsidRDefault="007F3E6C" w:rsidP="007F3E6C">
      <w:pPr>
        <w:autoSpaceDE w:val="0"/>
        <w:autoSpaceDN w:val="0"/>
        <w:adjustRightInd w:val="0"/>
        <w:ind w:left="5520"/>
        <w:rPr>
          <w:rFonts w:eastAsia="Times New Roman"/>
        </w:rPr>
      </w:pPr>
    </w:p>
    <w:p w14:paraId="2C62A28A" w14:textId="17DF6259" w:rsidR="007F3E6C" w:rsidRDefault="007F3E6C" w:rsidP="007F3E6C">
      <w:pPr>
        <w:autoSpaceDE w:val="0"/>
        <w:autoSpaceDN w:val="0"/>
        <w:adjustRightInd w:val="0"/>
        <w:ind w:left="5520"/>
      </w:pPr>
      <w:r>
        <w:t>[Документ WO/PBC/36/2 следует]</w:t>
      </w:r>
    </w:p>
    <w:p w14:paraId="6306CCD3" w14:textId="77777777" w:rsidR="00072954" w:rsidRPr="008B2CC1" w:rsidRDefault="007F3E6C" w:rsidP="00072954">
      <w:pPr>
        <w:spacing w:after="120"/>
        <w:jc w:val="right"/>
      </w:pPr>
      <w:r>
        <w:br w:type="page"/>
      </w:r>
      <w:r w:rsidR="00072954">
        <w:rPr>
          <w:noProof/>
          <w:lang w:val="en-US"/>
        </w:rPr>
        <w:lastRenderedPageBreak/>
        <w:drawing>
          <wp:inline distT="0" distB="0" distL="0" distR="0" wp14:anchorId="2D221727" wp14:editId="0FDF116E">
            <wp:extent cx="3248025" cy="1626870"/>
            <wp:effectExtent l="0" t="0" r="9525" b="0"/>
            <wp:docPr id="3" name="Picture 3"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Всемирной организации интеллектуальной собств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Эмблема ВОИС - Description: 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248025" cy="1626870"/>
                    </a:xfrm>
                    <a:prstGeom prst="rect">
                      <a:avLst/>
                    </a:prstGeom>
                    <a:noFill/>
                    <a:ln>
                      <a:noFill/>
                    </a:ln>
                  </pic:spPr>
                </pic:pic>
              </a:graphicData>
            </a:graphic>
          </wp:inline>
        </w:drawing>
      </w:r>
      <w:r w:rsidR="00072954" w:rsidRPr="00601760">
        <w:rPr>
          <w:rFonts w:ascii="Arial Black" w:hAnsi="Arial Black"/>
          <w:caps/>
          <w:noProof/>
          <w:sz w:val="15"/>
          <w:szCs w:val="15"/>
          <w:lang w:val="en-US"/>
        </w:rPr>
        <mc:AlternateContent>
          <mc:Choice Requires="wps">
            <w:drawing>
              <wp:inline distT="0" distB="0" distL="0" distR="0" wp14:anchorId="7BAC6FC4" wp14:editId="2148A4FF">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254FE2F5"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" strokecolor="windowText" strokeweight=".5pt">
                <v:stroke joinstyle="miter"/>
                <w10:anchorlock/>
              </v:line>
            </w:pict>
          </mc:Fallback>
        </mc:AlternateContent>
      </w:r>
    </w:p>
    <w:tbl>
      <w:tblPr>
        <w:tblW w:w="9929" w:type="dxa"/>
        <w:tblInd w:w="-108" w:type="dxa"/>
        <w:tblBorders>
          <w:top w:val="nil"/>
          <w:left w:val="nil"/>
          <w:bottom w:val="nil"/>
          <w:right w:val="nil"/>
        </w:tblBorders>
        <w:tblLayout w:type="fixed"/>
        <w:tblLook w:val="0000" w:firstRow="0" w:lastRow="0" w:firstColumn="0" w:lastColumn="0" w:noHBand="0" w:noVBand="0"/>
      </w:tblPr>
      <w:tblGrid>
        <w:gridCol w:w="9929"/>
      </w:tblGrid>
      <w:tr w:rsidR="00072954" w:rsidRPr="003D6209" w14:paraId="0F177FC8" w14:textId="77777777" w:rsidTr="00A85782">
        <w:trPr>
          <w:trHeight w:val="105"/>
        </w:trPr>
        <w:tc>
          <w:tcPr>
            <w:tcW w:w="9929" w:type="dxa"/>
            <w:shd w:val="clear" w:color="auto" w:fill="auto"/>
          </w:tcPr>
          <w:p w14:paraId="16ECA235" w14:textId="6FDB4B7C" w:rsidR="00072954" w:rsidRPr="003D6209" w:rsidRDefault="00072954" w:rsidP="004F5A85">
            <w:pPr>
              <w:autoSpaceDE w:val="0"/>
              <w:autoSpaceDN w:val="0"/>
              <w:adjustRightInd w:val="0"/>
              <w:spacing w:after="0" w:line="240" w:lineRule="auto"/>
              <w:ind w:left="0" w:right="0" w:firstLine="0"/>
              <w:jc w:val="right"/>
              <w:rPr>
                <w:rFonts w:ascii="Arial Black" w:eastAsiaTheme="minorEastAsia" w:hAnsi="Arial Black" w:cs="Arial Black"/>
                <w:sz w:val="15"/>
                <w:szCs w:val="15"/>
              </w:rPr>
            </w:pPr>
            <w:r w:rsidRPr="003D6209">
              <w:rPr>
                <w:rFonts w:ascii="Arial Black" w:eastAsiaTheme="minorEastAsia" w:hAnsi="Arial Black" w:cs="Arial Black"/>
                <w:b/>
                <w:bCs/>
                <w:sz w:val="15"/>
                <w:szCs w:val="15"/>
              </w:rPr>
              <w:t>WO/PBC/</w:t>
            </w:r>
            <w:r>
              <w:rPr>
                <w:rFonts w:ascii="Arial Black" w:eastAsiaTheme="minorEastAsia" w:hAnsi="Arial Black" w:cs="Arial Black"/>
                <w:b/>
                <w:bCs/>
                <w:sz w:val="15"/>
                <w:szCs w:val="15"/>
              </w:rPr>
              <w:t>36</w:t>
            </w:r>
            <w:r w:rsidRPr="003D6209">
              <w:rPr>
                <w:rFonts w:ascii="Arial Black" w:eastAsiaTheme="minorEastAsia" w:hAnsi="Arial Black" w:cs="Arial Black"/>
                <w:b/>
                <w:bCs/>
                <w:sz w:val="15"/>
                <w:szCs w:val="15"/>
              </w:rPr>
              <w:t>/</w:t>
            </w:r>
            <w:r>
              <w:rPr>
                <w:rFonts w:ascii="Arial Black" w:eastAsiaTheme="minorEastAsia" w:hAnsi="Arial Black" w:cs="Arial Black"/>
                <w:b/>
                <w:bCs/>
                <w:sz w:val="15"/>
                <w:szCs w:val="15"/>
              </w:rPr>
              <w:t>2</w:t>
            </w:r>
          </w:p>
        </w:tc>
      </w:tr>
      <w:tr w:rsidR="00072954" w:rsidRPr="003D6209" w14:paraId="4435E72B" w14:textId="77777777" w:rsidTr="00A85782">
        <w:trPr>
          <w:trHeight w:val="105"/>
        </w:trPr>
        <w:tc>
          <w:tcPr>
            <w:tcW w:w="9929" w:type="dxa"/>
          </w:tcPr>
          <w:p w14:paraId="138DDBCC" w14:textId="77777777" w:rsidR="00072954" w:rsidRPr="003D6209" w:rsidRDefault="00072954" w:rsidP="00A85782">
            <w:pPr>
              <w:autoSpaceDE w:val="0"/>
              <w:autoSpaceDN w:val="0"/>
              <w:adjustRightInd w:val="0"/>
              <w:spacing w:after="0" w:line="240" w:lineRule="auto"/>
              <w:ind w:left="0" w:right="0" w:firstLine="0"/>
              <w:jc w:val="right"/>
              <w:rPr>
                <w:rFonts w:ascii="Arial Black" w:eastAsiaTheme="minorEastAsia" w:hAnsi="Arial Black" w:cs="Arial Black"/>
                <w:sz w:val="15"/>
                <w:szCs w:val="15"/>
              </w:rPr>
            </w:pPr>
            <w:r w:rsidRPr="00531434">
              <w:rPr>
                <w:rFonts w:ascii="Arial Black" w:eastAsia="SimSun" w:hAnsi="Arial Black"/>
                <w:caps/>
                <w:color w:val="auto"/>
                <w:sz w:val="15"/>
                <w:szCs w:val="15"/>
                <w:lang w:eastAsia="zh-CN"/>
              </w:rPr>
              <w:t>оригинал: английский</w:t>
            </w:r>
          </w:p>
        </w:tc>
      </w:tr>
      <w:tr w:rsidR="00072954" w:rsidRPr="003D6209" w14:paraId="002BC989" w14:textId="77777777" w:rsidTr="00A85782">
        <w:trPr>
          <w:trHeight w:val="105"/>
        </w:trPr>
        <w:tc>
          <w:tcPr>
            <w:tcW w:w="9929" w:type="dxa"/>
            <w:shd w:val="clear" w:color="auto" w:fill="auto"/>
          </w:tcPr>
          <w:p w14:paraId="62F23017" w14:textId="6755AEEC" w:rsidR="00072954" w:rsidRPr="00531434" w:rsidRDefault="00072954" w:rsidP="004F5A85">
            <w:pPr>
              <w:autoSpaceDE w:val="0"/>
              <w:autoSpaceDN w:val="0"/>
              <w:adjustRightInd w:val="0"/>
              <w:spacing w:after="0" w:line="240" w:lineRule="auto"/>
              <w:ind w:left="0" w:right="0" w:firstLine="0"/>
              <w:jc w:val="right"/>
              <w:rPr>
                <w:rFonts w:ascii="Arial Black" w:eastAsiaTheme="minorEastAsia" w:hAnsi="Arial Black" w:cs="Arial Black"/>
                <w:sz w:val="15"/>
                <w:szCs w:val="15"/>
              </w:rPr>
            </w:pPr>
            <w:r>
              <w:rPr>
                <w:rFonts w:ascii="Arial Black" w:eastAsiaTheme="minorEastAsia" w:hAnsi="Arial Black" w:cs="Arial Black"/>
                <w:b/>
                <w:bCs/>
                <w:sz w:val="15"/>
                <w:szCs w:val="15"/>
              </w:rPr>
              <w:t xml:space="preserve">ДАТА: </w:t>
            </w:r>
            <w:r w:rsidR="009B2976">
              <w:rPr>
                <w:rFonts w:ascii="Arial Black" w:eastAsiaTheme="minorEastAsia" w:hAnsi="Arial Black" w:cs="Arial Black"/>
                <w:b/>
                <w:bCs/>
                <w:sz w:val="15"/>
                <w:szCs w:val="15"/>
              </w:rPr>
              <w:t>8</w:t>
            </w:r>
            <w:r w:rsidRPr="00FA10DF">
              <w:rPr>
                <w:rFonts w:ascii="Arial Black" w:eastAsiaTheme="minorEastAsia" w:hAnsi="Arial Black" w:cs="Arial Black"/>
                <w:b/>
                <w:bCs/>
                <w:color w:val="auto"/>
                <w:sz w:val="15"/>
                <w:szCs w:val="15"/>
              </w:rPr>
              <w:t xml:space="preserve"> И</w:t>
            </w:r>
            <w:r>
              <w:rPr>
                <w:rFonts w:ascii="Arial Black" w:eastAsiaTheme="minorEastAsia" w:hAnsi="Arial Black" w:cs="Arial Black"/>
                <w:b/>
                <w:bCs/>
                <w:sz w:val="15"/>
                <w:szCs w:val="15"/>
              </w:rPr>
              <w:t xml:space="preserve">ЮНЯ </w:t>
            </w:r>
            <w:r w:rsidRPr="003D6209">
              <w:rPr>
                <w:rFonts w:ascii="Arial Black" w:eastAsiaTheme="minorEastAsia" w:hAnsi="Arial Black" w:cs="Arial Black"/>
                <w:b/>
                <w:bCs/>
                <w:sz w:val="15"/>
                <w:szCs w:val="15"/>
              </w:rPr>
              <w:t>202</w:t>
            </w:r>
            <w:r>
              <w:rPr>
                <w:rFonts w:ascii="Arial Black" w:eastAsiaTheme="minorEastAsia" w:hAnsi="Arial Black" w:cs="Arial Black"/>
                <w:b/>
                <w:bCs/>
                <w:sz w:val="15"/>
                <w:szCs w:val="15"/>
              </w:rPr>
              <w:t>3</w:t>
            </w:r>
            <w:r w:rsidRPr="003D6209">
              <w:rPr>
                <w:rFonts w:ascii="Arial Black" w:eastAsiaTheme="minorEastAsia" w:hAnsi="Arial Black" w:cs="Arial Black"/>
                <w:b/>
                <w:bCs/>
                <w:sz w:val="15"/>
                <w:szCs w:val="15"/>
              </w:rPr>
              <w:t xml:space="preserve"> </w:t>
            </w:r>
            <w:r>
              <w:rPr>
                <w:rFonts w:ascii="Arial Black" w:eastAsiaTheme="minorEastAsia" w:hAnsi="Arial Black" w:cs="Arial Black"/>
                <w:b/>
                <w:bCs/>
                <w:sz w:val="15"/>
                <w:szCs w:val="15"/>
              </w:rPr>
              <w:t>ГОДА</w:t>
            </w:r>
          </w:p>
        </w:tc>
      </w:tr>
    </w:tbl>
    <w:p w14:paraId="2ADF44D1" w14:textId="77777777" w:rsidR="00072954" w:rsidRPr="002F432F" w:rsidRDefault="00072954" w:rsidP="00072954">
      <w:pPr>
        <w:spacing w:after="1325" w:line="265" w:lineRule="auto"/>
        <w:ind w:left="10" w:right="56"/>
        <w:jc w:val="right"/>
        <w:rPr>
          <w:rFonts w:ascii="Arial Black" w:hAnsi="Arial Black"/>
          <w:sz w:val="15"/>
          <w:szCs w:val="15"/>
        </w:rPr>
      </w:pPr>
    </w:p>
    <w:p w14:paraId="525FDAAC" w14:textId="79D18C03" w:rsidR="00072954" w:rsidRPr="00635CF7" w:rsidRDefault="00072954" w:rsidP="00072954">
      <w:pPr>
        <w:spacing w:after="561"/>
        <w:ind w:left="2" w:right="0" w:firstLine="0"/>
      </w:pPr>
      <w:r w:rsidRPr="00635CF7">
        <w:rPr>
          <w:b/>
          <w:sz w:val="28"/>
          <w:szCs w:val="28"/>
        </w:rPr>
        <w:t>Комитет по программе и бюджету</w:t>
      </w:r>
    </w:p>
    <w:p w14:paraId="4254CB0E" w14:textId="77777777" w:rsidR="00072954" w:rsidRPr="00635CF7" w:rsidRDefault="00072954" w:rsidP="00072954">
      <w:pPr>
        <w:rPr>
          <w:b/>
          <w:sz w:val="24"/>
          <w:szCs w:val="24"/>
        </w:rPr>
      </w:pPr>
      <w:r w:rsidRPr="00635CF7">
        <w:rPr>
          <w:b/>
          <w:sz w:val="24"/>
          <w:szCs w:val="24"/>
        </w:rPr>
        <w:t>Тридцать шестая сессия</w:t>
      </w:r>
    </w:p>
    <w:p w14:paraId="49FEB85E" w14:textId="32342229" w:rsidR="00072954" w:rsidRPr="00635CF7" w:rsidRDefault="00072954" w:rsidP="00072954">
      <w:pPr>
        <w:spacing w:after="702" w:line="265" w:lineRule="auto"/>
        <w:ind w:left="-3" w:right="0"/>
      </w:pPr>
      <w:r w:rsidRPr="00635CF7">
        <w:rPr>
          <w:b/>
          <w:sz w:val="24"/>
          <w:szCs w:val="24"/>
        </w:rPr>
        <w:t>Женева, 19–23 июня 2023</w:t>
      </w:r>
      <w:r w:rsidR="004F5A85">
        <w:rPr>
          <w:b/>
          <w:sz w:val="24"/>
          <w:szCs w:val="24"/>
        </w:rPr>
        <w:t> </w:t>
      </w:r>
      <w:r w:rsidRPr="00635CF7">
        <w:rPr>
          <w:b/>
          <w:sz w:val="24"/>
          <w:szCs w:val="24"/>
        </w:rPr>
        <w:t>года</w:t>
      </w:r>
    </w:p>
    <w:p w14:paraId="4BF3D7A6" w14:textId="7DF85598" w:rsidR="00072954" w:rsidRPr="00635CF7" w:rsidRDefault="00072954" w:rsidP="00072954">
      <w:pPr>
        <w:spacing w:after="328"/>
        <w:ind w:left="2" w:right="0" w:firstLine="0"/>
      </w:pPr>
      <w:r w:rsidRPr="00635CF7">
        <w:rPr>
          <w:sz w:val="24"/>
        </w:rPr>
        <w:t>ОТЧЕТ НЕЗАВИСИМОГО КОНСУЛЬТАТИВНОГО КОМИТЕТА ВОИС ПО НАДЗОРУ</w:t>
      </w:r>
      <w:r w:rsidR="004F5A85">
        <w:rPr>
          <w:sz w:val="24"/>
        </w:rPr>
        <w:t> </w:t>
      </w:r>
      <w:r w:rsidRPr="00635CF7">
        <w:rPr>
          <w:sz w:val="24"/>
        </w:rPr>
        <w:t>(НККН)</w:t>
      </w:r>
    </w:p>
    <w:p w14:paraId="64A4CB8D" w14:textId="77777777" w:rsidR="00072954" w:rsidRPr="00635CF7" w:rsidRDefault="00072954" w:rsidP="00072954">
      <w:pPr>
        <w:spacing w:after="969"/>
        <w:ind w:right="1"/>
      </w:pPr>
      <w:r w:rsidRPr="00635CF7">
        <w:rPr>
          <w:i/>
        </w:rPr>
        <w:t>подготовлен Независимым консультативным комитетом ВОИС по надзору (НККН)</w:t>
      </w:r>
    </w:p>
    <w:p w14:paraId="2121CEAB" w14:textId="22E1B56C" w:rsidR="00072954" w:rsidRPr="00635CF7" w:rsidRDefault="00072954" w:rsidP="00072954">
      <w:pPr>
        <w:numPr>
          <w:ilvl w:val="0"/>
          <w:numId w:val="1"/>
        </w:numPr>
        <w:ind w:right="44" w:hanging="566"/>
      </w:pPr>
      <w:r w:rsidRPr="00635CF7">
        <w:t>В настоящем документе содержится отчет Независимого консультативного комитета ВОИС по надзору (НККН), подготовленный НККН и охватывающий период с 21</w:t>
      </w:r>
      <w:r w:rsidR="004F5A85">
        <w:t> </w:t>
      </w:r>
      <w:r w:rsidRPr="00635CF7">
        <w:t>мая 2022</w:t>
      </w:r>
      <w:r w:rsidR="004F5A85">
        <w:t> </w:t>
      </w:r>
      <w:r w:rsidRPr="00635CF7">
        <w:t>года по 24</w:t>
      </w:r>
      <w:r w:rsidR="004F5A85">
        <w:t> </w:t>
      </w:r>
      <w:r w:rsidRPr="00635CF7">
        <w:t>марта 2023</w:t>
      </w:r>
      <w:r w:rsidR="004F5A85">
        <w:t> года</w:t>
      </w:r>
      <w:r w:rsidRPr="00635CF7">
        <w:t>.</w:t>
      </w:r>
    </w:p>
    <w:p w14:paraId="290245EC" w14:textId="77777777" w:rsidR="00072954" w:rsidRPr="00635CF7" w:rsidRDefault="00072954" w:rsidP="00072954">
      <w:pPr>
        <w:spacing w:after="21"/>
        <w:ind w:left="2" w:right="0" w:firstLine="0"/>
      </w:pPr>
    </w:p>
    <w:p w14:paraId="5741335E" w14:textId="77777777" w:rsidR="00072954" w:rsidRPr="00635CF7" w:rsidRDefault="00072954" w:rsidP="00072954">
      <w:pPr>
        <w:numPr>
          <w:ilvl w:val="0"/>
          <w:numId w:val="1"/>
        </w:numPr>
        <w:ind w:hanging="566"/>
      </w:pPr>
      <w:r w:rsidRPr="00635CF7">
        <w:t>Предлагается следующий пункт решения:</w:t>
      </w:r>
    </w:p>
    <w:p w14:paraId="7B5C85AC" w14:textId="77777777" w:rsidR="00072954" w:rsidRPr="00635CF7" w:rsidRDefault="00072954" w:rsidP="00072954">
      <w:pPr>
        <w:spacing w:after="21"/>
        <w:ind w:left="2" w:right="0" w:firstLine="0"/>
      </w:pPr>
    </w:p>
    <w:p w14:paraId="2781003C" w14:textId="483D9E01" w:rsidR="00072954" w:rsidRPr="00635CF7" w:rsidRDefault="00072954" w:rsidP="004F5A85">
      <w:pPr>
        <w:pStyle w:val="Heading3"/>
        <w:spacing w:after="3"/>
        <w:ind w:left="5040" w:firstLine="0"/>
      </w:pPr>
      <w:r w:rsidRPr="00635CF7">
        <w:rPr>
          <w:b w:val="0"/>
          <w:i/>
        </w:rPr>
        <w:t>3.</w:t>
      </w:r>
      <w:r w:rsidRPr="00635CF7">
        <w:rPr>
          <w:b w:val="0"/>
          <w:i/>
        </w:rPr>
        <w:tab/>
        <w:t>Комитет по программе и бюджету</w:t>
      </w:r>
      <w:r w:rsidR="004F5A85">
        <w:rPr>
          <w:b w:val="0"/>
          <w:i/>
        </w:rPr>
        <w:t> </w:t>
      </w:r>
      <w:r w:rsidRPr="00635CF7">
        <w:rPr>
          <w:b w:val="0"/>
          <w:i/>
        </w:rPr>
        <w:t>(КП</w:t>
      </w:r>
      <w:r>
        <w:rPr>
          <w:b w:val="0"/>
          <w:i/>
        </w:rPr>
        <w:t>Б</w:t>
      </w:r>
      <w:r w:rsidRPr="00635CF7">
        <w:rPr>
          <w:b w:val="0"/>
          <w:i/>
        </w:rPr>
        <w:t>) рекомендовал Генеральной Ассамблее ВОИС принять к сведению отчет Независимого консультативного комитета ВОИС по надзору</w:t>
      </w:r>
      <w:r w:rsidR="00CD2931">
        <w:rPr>
          <w:b w:val="0"/>
          <w:i/>
        </w:rPr>
        <w:t> </w:t>
      </w:r>
      <w:r w:rsidRPr="00635CF7">
        <w:rPr>
          <w:b w:val="0"/>
          <w:i/>
        </w:rPr>
        <w:t>(НККН) (документ</w:t>
      </w:r>
      <w:r w:rsidR="004F5A85">
        <w:rPr>
          <w:b w:val="0"/>
          <w:i/>
        </w:rPr>
        <w:t> </w:t>
      </w:r>
      <w:r w:rsidRPr="00635CF7">
        <w:rPr>
          <w:b w:val="0"/>
          <w:i/>
        </w:rPr>
        <w:t>WO/PBC/36/2).</w:t>
      </w:r>
    </w:p>
    <w:p w14:paraId="1AF2D53E" w14:textId="77777777" w:rsidR="00072954" w:rsidRPr="00635CF7" w:rsidRDefault="00072954" w:rsidP="00072954">
      <w:pPr>
        <w:spacing w:after="21"/>
        <w:ind w:left="2" w:right="0" w:firstLine="0"/>
      </w:pPr>
    </w:p>
    <w:p w14:paraId="70EB5E06" w14:textId="77777777" w:rsidR="00072954" w:rsidRPr="00635CF7" w:rsidRDefault="00072954" w:rsidP="00072954">
      <w:pPr>
        <w:spacing w:after="0"/>
        <w:ind w:left="2" w:right="0" w:firstLine="0"/>
      </w:pPr>
    </w:p>
    <w:p w14:paraId="72088441" w14:textId="77777777" w:rsidR="004F5A85" w:rsidRDefault="00072954" w:rsidP="004F5A85">
      <w:pPr>
        <w:ind w:left="5040" w:right="115" w:firstLine="0"/>
      </w:pPr>
      <w:r w:rsidRPr="00635CF7">
        <w:t>[Отчет Независимого консультативного комитета ВОИС по надзору следует]</w:t>
      </w:r>
    </w:p>
    <w:p w14:paraId="0B31C360" w14:textId="6D730EB7" w:rsidR="00072954" w:rsidRPr="00635CF7" w:rsidRDefault="00072954" w:rsidP="00072954">
      <w:pPr>
        <w:ind w:left="5546" w:right="115"/>
      </w:pPr>
      <w:r w:rsidRPr="00635CF7">
        <w:br w:type="page"/>
      </w:r>
    </w:p>
    <w:p w14:paraId="0F20E3D7" w14:textId="77777777" w:rsidR="00072954" w:rsidRPr="00635CF7" w:rsidRDefault="00072954" w:rsidP="00072954">
      <w:pPr>
        <w:spacing w:after="0"/>
        <w:ind w:left="0" w:right="1" w:firstLine="0"/>
        <w:jc w:val="center"/>
      </w:pPr>
    </w:p>
    <w:p w14:paraId="7BD157CA" w14:textId="77777777" w:rsidR="00072954" w:rsidRPr="00635CF7" w:rsidRDefault="00072954" w:rsidP="00072954">
      <w:pPr>
        <w:spacing w:after="0"/>
        <w:ind w:left="0" w:right="1" w:firstLine="0"/>
        <w:jc w:val="center"/>
      </w:pPr>
    </w:p>
    <w:p w14:paraId="2921D26D" w14:textId="77777777" w:rsidR="00072954" w:rsidRPr="00635CF7" w:rsidRDefault="00072954" w:rsidP="00072954">
      <w:pPr>
        <w:spacing w:after="0"/>
        <w:ind w:left="0" w:right="1" w:firstLine="0"/>
        <w:jc w:val="center"/>
      </w:pPr>
    </w:p>
    <w:p w14:paraId="119264C2" w14:textId="77777777" w:rsidR="00072954" w:rsidRPr="00635CF7" w:rsidRDefault="00072954" w:rsidP="00072954">
      <w:pPr>
        <w:spacing w:after="0"/>
        <w:ind w:left="0" w:right="1" w:firstLine="0"/>
        <w:jc w:val="center"/>
      </w:pPr>
    </w:p>
    <w:p w14:paraId="3830330E" w14:textId="77777777" w:rsidR="00072954" w:rsidRPr="00635CF7" w:rsidRDefault="00072954" w:rsidP="00072954">
      <w:pPr>
        <w:spacing w:after="0"/>
        <w:ind w:left="0" w:right="1" w:firstLine="0"/>
        <w:jc w:val="center"/>
      </w:pPr>
    </w:p>
    <w:p w14:paraId="2C236BFD" w14:textId="77777777" w:rsidR="00072954" w:rsidRPr="00635CF7" w:rsidRDefault="00072954" w:rsidP="00072954">
      <w:pPr>
        <w:spacing w:after="0"/>
        <w:ind w:left="0" w:right="1" w:firstLine="0"/>
        <w:jc w:val="center"/>
      </w:pPr>
    </w:p>
    <w:p w14:paraId="65F2A2D2" w14:textId="77777777" w:rsidR="00072954" w:rsidRPr="00635CF7" w:rsidRDefault="00072954" w:rsidP="00072954">
      <w:pPr>
        <w:spacing w:after="0"/>
        <w:ind w:left="0" w:right="1" w:firstLine="0"/>
        <w:jc w:val="center"/>
      </w:pPr>
    </w:p>
    <w:p w14:paraId="285D514B" w14:textId="544C69A1" w:rsidR="00072954" w:rsidRPr="00635CF7" w:rsidRDefault="00072954" w:rsidP="00072954">
      <w:pPr>
        <w:ind w:left="0" w:right="44" w:firstLine="0"/>
        <w:jc w:val="center"/>
      </w:pPr>
      <w:r w:rsidRPr="00635CF7">
        <w:t xml:space="preserve">ГОДОВОЙ ОТЧЕТ </w:t>
      </w:r>
      <w:r w:rsidR="004F5A85">
        <w:br/>
      </w:r>
      <w:r w:rsidRPr="00635CF7">
        <w:t>НЕЗАВИСИМОГО КОНСУЛЬТАТИВНОГО КОМИТЕТА ВОИС ПО НАДЗОРУ (НККН)</w:t>
      </w:r>
      <w:r w:rsidR="004F5A85">
        <w:t xml:space="preserve"> </w:t>
      </w:r>
      <w:r w:rsidR="004F5A85">
        <w:br/>
      </w:r>
      <w:r w:rsidRPr="00635CF7">
        <w:t xml:space="preserve">ЗА ПЕРИОД С 21 МАЯ </w:t>
      </w:r>
      <w:r>
        <w:t>2022</w:t>
      </w:r>
      <w:r w:rsidRPr="00635CF7">
        <w:t xml:space="preserve"> ГОДА ПО 24 МАРТА 2023 ГОДА</w:t>
      </w:r>
    </w:p>
    <w:p w14:paraId="1F047F84" w14:textId="77777777" w:rsidR="00072954" w:rsidRPr="00635CF7" w:rsidRDefault="00072954" w:rsidP="00072954">
      <w:pPr>
        <w:spacing w:after="0"/>
        <w:ind w:left="0" w:right="0" w:firstLine="0"/>
      </w:pPr>
    </w:p>
    <w:p w14:paraId="0A9CB98E" w14:textId="125794B7" w:rsidR="00072954" w:rsidRPr="00FA10DF" w:rsidRDefault="00072954" w:rsidP="00072954">
      <w:pPr>
        <w:spacing w:after="0"/>
        <w:ind w:left="10" w:right="184"/>
        <w:jc w:val="center"/>
        <w:rPr>
          <w:color w:val="auto"/>
        </w:rPr>
      </w:pPr>
      <w:r w:rsidRPr="00FA10DF">
        <w:rPr>
          <w:color w:val="auto"/>
        </w:rPr>
        <w:t>[</w:t>
      </w:r>
      <w:r w:rsidR="00CD2931">
        <w:rPr>
          <w:color w:val="auto"/>
        </w:rPr>
        <w:t>8</w:t>
      </w:r>
      <w:r w:rsidRPr="00FA10DF">
        <w:rPr>
          <w:color w:val="auto"/>
        </w:rPr>
        <w:t xml:space="preserve"> июня 2023 года]</w:t>
      </w:r>
    </w:p>
    <w:p w14:paraId="398744D1" w14:textId="77777777" w:rsidR="00072954" w:rsidRPr="00635CF7" w:rsidRDefault="00072954" w:rsidP="00072954">
      <w:pPr>
        <w:spacing w:after="0"/>
        <w:ind w:left="0" w:right="1" w:firstLine="0"/>
        <w:jc w:val="center"/>
      </w:pPr>
    </w:p>
    <w:p w14:paraId="1567E3AA" w14:textId="77777777" w:rsidR="00072954" w:rsidRPr="00635CF7" w:rsidRDefault="00072954" w:rsidP="00072954">
      <w:pPr>
        <w:spacing w:after="18"/>
        <w:ind w:left="0" w:right="1" w:firstLine="0"/>
        <w:jc w:val="center"/>
      </w:pPr>
    </w:p>
    <w:p w14:paraId="4D95AD26" w14:textId="77777777" w:rsidR="00072954" w:rsidRPr="00635CF7" w:rsidRDefault="00072954" w:rsidP="004F5A85">
      <w:pPr>
        <w:spacing w:after="45"/>
        <w:ind w:left="2" w:right="0" w:firstLine="0"/>
        <w:jc w:val="center"/>
      </w:pPr>
    </w:p>
    <w:p w14:paraId="02207415" w14:textId="2165BD04" w:rsidR="00072954" w:rsidRPr="00635CF7" w:rsidRDefault="00072954" w:rsidP="004F5A85">
      <w:pPr>
        <w:spacing w:after="0"/>
        <w:ind w:left="2" w:right="0" w:firstLine="0"/>
        <w:jc w:val="center"/>
      </w:pPr>
      <w:r w:rsidRPr="00635CF7">
        <w:br w:type="page"/>
      </w:r>
    </w:p>
    <w:p w14:paraId="321204F9" w14:textId="77777777" w:rsidR="00072954" w:rsidRPr="00635CF7" w:rsidRDefault="00072954" w:rsidP="00072954">
      <w:pPr>
        <w:spacing w:after="17"/>
        <w:ind w:left="0" w:right="0" w:firstLine="0"/>
        <w:jc w:val="center"/>
      </w:pPr>
    </w:p>
    <w:sdt>
      <w:sdtPr>
        <w:id w:val="699747013"/>
        <w:docPartObj>
          <w:docPartGallery w:val="Table of Contents"/>
        </w:docPartObj>
      </w:sdtPr>
      <w:sdtEndPr/>
      <w:sdtContent>
        <w:sdt>
          <w:sdtPr>
            <w:id w:val="-63412555"/>
            <w:docPartObj>
              <w:docPartGallery w:val="Table of Contents"/>
            </w:docPartObj>
          </w:sdtPr>
          <w:sdtEndPr/>
          <w:sdtContent>
            <w:p w14:paraId="785598E7" w14:textId="77777777" w:rsidR="00072954" w:rsidRDefault="00072954" w:rsidP="00072954">
              <w:pPr>
                <w:spacing w:after="555"/>
                <w:ind w:left="0" w:right="188" w:firstLine="0"/>
                <w:jc w:val="center"/>
              </w:pPr>
              <w:r>
                <w:rPr>
                  <w:b/>
                  <w:sz w:val="24"/>
                </w:rPr>
                <w:t>Содержание</w:t>
              </w:r>
            </w:p>
            <w:p w14:paraId="06D7BB99" w14:textId="77777777" w:rsidR="00072954" w:rsidRDefault="00072954" w:rsidP="00072954">
              <w:pPr>
                <w:spacing w:after="0"/>
                <w:ind w:left="2" w:right="0" w:firstLine="0"/>
              </w:pPr>
            </w:p>
            <w:p w14:paraId="1D44A2CB" w14:textId="64D3998C" w:rsidR="00072954" w:rsidRDefault="00072954" w:rsidP="00072954">
              <w:pPr>
                <w:pStyle w:val="TOC1"/>
                <w:tabs>
                  <w:tab w:val="left" w:pos="605"/>
                  <w:tab w:val="right" w:leader="dot" w:pos="9754"/>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136445865" w:history="1">
                <w:r w:rsidRPr="009D272A">
                  <w:rPr>
                    <w:rStyle w:val="Hyperlink"/>
                    <w:noProof/>
                  </w:rPr>
                  <w:t>I.</w:t>
                </w:r>
                <w:r>
                  <w:rPr>
                    <w:rFonts w:asciiTheme="minorHAnsi" w:eastAsiaTheme="minorEastAsia" w:hAnsiTheme="minorHAnsi" w:cstheme="minorBidi"/>
                    <w:noProof/>
                    <w:color w:val="auto"/>
                  </w:rPr>
                  <w:tab/>
                </w:r>
                <w:r w:rsidRPr="009D272A">
                  <w:rPr>
                    <w:rStyle w:val="Hyperlink"/>
                    <w:noProof/>
                  </w:rPr>
                  <w:t>ВВЕДЕНИЕ</w:t>
                </w:r>
                <w:r>
                  <w:rPr>
                    <w:noProof/>
                    <w:webHidden/>
                  </w:rPr>
                  <w:tab/>
                </w:r>
                <w:r>
                  <w:rPr>
                    <w:noProof/>
                    <w:webHidden/>
                  </w:rPr>
                  <w:fldChar w:fldCharType="begin"/>
                </w:r>
                <w:r>
                  <w:rPr>
                    <w:noProof/>
                    <w:webHidden/>
                  </w:rPr>
                  <w:instrText xml:space="preserve"> PAGEREF _Toc136445865 \h </w:instrText>
                </w:r>
                <w:r>
                  <w:rPr>
                    <w:noProof/>
                    <w:webHidden/>
                  </w:rPr>
                </w:r>
                <w:r>
                  <w:rPr>
                    <w:noProof/>
                    <w:webHidden/>
                  </w:rPr>
                  <w:fldChar w:fldCharType="separate"/>
                </w:r>
                <w:r w:rsidR="00EA6A25">
                  <w:rPr>
                    <w:noProof/>
                    <w:webHidden/>
                  </w:rPr>
                  <w:t>4</w:t>
                </w:r>
                <w:r>
                  <w:rPr>
                    <w:noProof/>
                    <w:webHidden/>
                  </w:rPr>
                  <w:fldChar w:fldCharType="end"/>
                </w:r>
              </w:hyperlink>
            </w:p>
            <w:p w14:paraId="6D2600CA" w14:textId="7A9D2356" w:rsidR="00072954" w:rsidRDefault="00320D49" w:rsidP="00072954">
              <w:pPr>
                <w:pStyle w:val="TOC1"/>
                <w:tabs>
                  <w:tab w:val="left" w:pos="605"/>
                  <w:tab w:val="right" w:leader="dot" w:pos="9754"/>
                </w:tabs>
                <w:rPr>
                  <w:rFonts w:asciiTheme="minorHAnsi" w:eastAsiaTheme="minorEastAsia" w:hAnsiTheme="minorHAnsi" w:cstheme="minorBidi"/>
                  <w:noProof/>
                  <w:color w:val="auto"/>
                </w:rPr>
              </w:pPr>
              <w:hyperlink w:anchor="_Toc136445866" w:history="1">
                <w:r w:rsidR="00072954" w:rsidRPr="009D272A">
                  <w:rPr>
                    <w:rStyle w:val="Hyperlink"/>
                    <w:noProof/>
                  </w:rPr>
                  <w:t>II.</w:t>
                </w:r>
                <w:r w:rsidR="00072954">
                  <w:rPr>
                    <w:rFonts w:asciiTheme="minorHAnsi" w:eastAsiaTheme="minorEastAsia" w:hAnsiTheme="minorHAnsi" w:cstheme="minorBidi"/>
                    <w:noProof/>
                    <w:color w:val="auto"/>
                  </w:rPr>
                  <w:tab/>
                </w:r>
                <w:r w:rsidR="00072954" w:rsidRPr="009D272A">
                  <w:rPr>
                    <w:rStyle w:val="Hyperlink"/>
                    <w:noProof/>
                  </w:rPr>
                  <w:t>КВАРТАЛЬНЫЕ СЕССИИ, СОСТАВ И МЕТОДЫ РАБОТЫ</w:t>
                </w:r>
                <w:r w:rsidR="00072954">
                  <w:rPr>
                    <w:noProof/>
                    <w:webHidden/>
                  </w:rPr>
                  <w:tab/>
                </w:r>
                <w:r w:rsidR="00072954">
                  <w:rPr>
                    <w:noProof/>
                    <w:webHidden/>
                  </w:rPr>
                  <w:fldChar w:fldCharType="begin"/>
                </w:r>
                <w:r w:rsidR="00072954">
                  <w:rPr>
                    <w:noProof/>
                    <w:webHidden/>
                  </w:rPr>
                  <w:instrText xml:space="preserve"> PAGEREF _Toc136445866 \h </w:instrText>
                </w:r>
                <w:r w:rsidR="00072954">
                  <w:rPr>
                    <w:noProof/>
                    <w:webHidden/>
                  </w:rPr>
                </w:r>
                <w:r w:rsidR="00072954">
                  <w:rPr>
                    <w:noProof/>
                    <w:webHidden/>
                  </w:rPr>
                  <w:fldChar w:fldCharType="separate"/>
                </w:r>
                <w:r w:rsidR="00EA6A25">
                  <w:rPr>
                    <w:noProof/>
                    <w:webHidden/>
                  </w:rPr>
                  <w:t>4</w:t>
                </w:r>
                <w:r w:rsidR="00072954">
                  <w:rPr>
                    <w:noProof/>
                    <w:webHidden/>
                  </w:rPr>
                  <w:fldChar w:fldCharType="end"/>
                </w:r>
              </w:hyperlink>
            </w:p>
            <w:p w14:paraId="65F92451" w14:textId="217EB6B0" w:rsidR="00072954" w:rsidRDefault="00320D49" w:rsidP="00072954">
              <w:pPr>
                <w:pStyle w:val="TOC1"/>
                <w:tabs>
                  <w:tab w:val="left" w:pos="660"/>
                  <w:tab w:val="right" w:leader="dot" w:pos="9754"/>
                </w:tabs>
                <w:rPr>
                  <w:rFonts w:asciiTheme="minorHAnsi" w:eastAsiaTheme="minorEastAsia" w:hAnsiTheme="minorHAnsi" w:cstheme="minorBidi"/>
                  <w:noProof/>
                  <w:color w:val="auto"/>
                </w:rPr>
              </w:pPr>
              <w:hyperlink w:anchor="_Toc136445867" w:history="1">
                <w:r w:rsidR="00072954" w:rsidRPr="009D272A">
                  <w:rPr>
                    <w:rStyle w:val="Hyperlink"/>
                    <w:noProof/>
                  </w:rPr>
                  <w:t>III.</w:t>
                </w:r>
                <w:r w:rsidR="00072954">
                  <w:rPr>
                    <w:rFonts w:asciiTheme="minorHAnsi" w:eastAsiaTheme="minorEastAsia" w:hAnsiTheme="minorHAnsi" w:cstheme="minorBidi"/>
                    <w:noProof/>
                    <w:color w:val="auto"/>
                  </w:rPr>
                  <w:tab/>
                </w:r>
                <w:r w:rsidR="00072954" w:rsidRPr="009D272A">
                  <w:rPr>
                    <w:rStyle w:val="Hyperlink"/>
                    <w:noProof/>
                  </w:rPr>
                  <w:t>ВОПРОСЫ, КОТОРЫЕ СТАЛИ ПРЕДМЕТОМ ОБСУЖДЕНИЯ И ОБЗОРА</w:t>
                </w:r>
                <w:r w:rsidR="00072954">
                  <w:rPr>
                    <w:noProof/>
                    <w:webHidden/>
                  </w:rPr>
                  <w:tab/>
                </w:r>
                <w:r w:rsidR="00072954">
                  <w:rPr>
                    <w:noProof/>
                    <w:webHidden/>
                  </w:rPr>
                  <w:fldChar w:fldCharType="begin"/>
                </w:r>
                <w:r w:rsidR="00072954">
                  <w:rPr>
                    <w:noProof/>
                    <w:webHidden/>
                  </w:rPr>
                  <w:instrText xml:space="preserve"> PAGEREF _Toc136445867 \h </w:instrText>
                </w:r>
                <w:r w:rsidR="00072954">
                  <w:rPr>
                    <w:noProof/>
                    <w:webHidden/>
                  </w:rPr>
                </w:r>
                <w:r w:rsidR="00072954">
                  <w:rPr>
                    <w:noProof/>
                    <w:webHidden/>
                  </w:rPr>
                  <w:fldChar w:fldCharType="separate"/>
                </w:r>
                <w:r w:rsidR="00EA6A25">
                  <w:rPr>
                    <w:noProof/>
                    <w:webHidden/>
                  </w:rPr>
                  <w:t>6</w:t>
                </w:r>
                <w:r w:rsidR="00072954">
                  <w:rPr>
                    <w:noProof/>
                    <w:webHidden/>
                  </w:rPr>
                  <w:fldChar w:fldCharType="end"/>
                </w:r>
              </w:hyperlink>
            </w:p>
            <w:p w14:paraId="21F316A9" w14:textId="00EE6459" w:rsidR="00072954" w:rsidRDefault="00320D49" w:rsidP="00072954">
              <w:pPr>
                <w:pStyle w:val="TOC2"/>
                <w:tabs>
                  <w:tab w:val="left" w:pos="1100"/>
                  <w:tab w:val="right" w:leader="dot" w:pos="9754"/>
                </w:tabs>
                <w:rPr>
                  <w:rFonts w:asciiTheme="minorHAnsi" w:eastAsiaTheme="minorEastAsia" w:hAnsiTheme="minorHAnsi" w:cstheme="minorBidi"/>
                  <w:noProof/>
                  <w:color w:val="auto"/>
                </w:rPr>
              </w:pPr>
              <w:hyperlink w:anchor="_Toc136445868" w:history="1">
                <w:r w:rsidR="00072954" w:rsidRPr="009D272A">
                  <w:rPr>
                    <w:rStyle w:val="Hyperlink"/>
                    <w:noProof/>
                  </w:rPr>
                  <w:t>A.</w:t>
                </w:r>
                <w:r w:rsidR="00072954">
                  <w:rPr>
                    <w:rFonts w:asciiTheme="minorHAnsi" w:eastAsiaTheme="minorEastAsia" w:hAnsiTheme="minorHAnsi" w:cstheme="minorBidi"/>
                    <w:noProof/>
                    <w:color w:val="auto"/>
                  </w:rPr>
                  <w:tab/>
                </w:r>
                <w:r w:rsidR="00072954" w:rsidRPr="009D272A">
                  <w:rPr>
                    <w:rStyle w:val="Hyperlink"/>
                    <w:noProof/>
                  </w:rPr>
                  <w:t>Внутренний надзор</w:t>
                </w:r>
                <w:r w:rsidR="00072954">
                  <w:rPr>
                    <w:noProof/>
                    <w:webHidden/>
                  </w:rPr>
                  <w:tab/>
                </w:r>
                <w:r w:rsidR="00072954">
                  <w:rPr>
                    <w:noProof/>
                    <w:webHidden/>
                  </w:rPr>
                  <w:fldChar w:fldCharType="begin"/>
                </w:r>
                <w:r w:rsidR="00072954">
                  <w:rPr>
                    <w:noProof/>
                    <w:webHidden/>
                  </w:rPr>
                  <w:instrText xml:space="preserve"> PAGEREF _Toc136445868 \h </w:instrText>
                </w:r>
                <w:r w:rsidR="00072954">
                  <w:rPr>
                    <w:noProof/>
                    <w:webHidden/>
                  </w:rPr>
                </w:r>
                <w:r w:rsidR="00072954">
                  <w:rPr>
                    <w:noProof/>
                    <w:webHidden/>
                  </w:rPr>
                  <w:fldChar w:fldCharType="separate"/>
                </w:r>
                <w:r w:rsidR="00EA6A25">
                  <w:rPr>
                    <w:noProof/>
                    <w:webHidden/>
                  </w:rPr>
                  <w:t>6</w:t>
                </w:r>
                <w:r w:rsidR="00072954">
                  <w:rPr>
                    <w:noProof/>
                    <w:webHidden/>
                  </w:rPr>
                  <w:fldChar w:fldCharType="end"/>
                </w:r>
              </w:hyperlink>
            </w:p>
            <w:p w14:paraId="05B92611" w14:textId="772553FE" w:rsidR="00072954" w:rsidRDefault="00320D49" w:rsidP="00072954">
              <w:pPr>
                <w:pStyle w:val="TOC2"/>
                <w:tabs>
                  <w:tab w:val="left" w:pos="1100"/>
                  <w:tab w:val="right" w:leader="dot" w:pos="9754"/>
                </w:tabs>
                <w:rPr>
                  <w:rFonts w:asciiTheme="minorHAnsi" w:eastAsiaTheme="minorEastAsia" w:hAnsiTheme="minorHAnsi" w:cstheme="minorBidi"/>
                  <w:noProof/>
                  <w:color w:val="auto"/>
                </w:rPr>
              </w:pPr>
              <w:hyperlink w:anchor="_Toc136445869" w:history="1">
                <w:r w:rsidR="00072954" w:rsidRPr="009D272A">
                  <w:rPr>
                    <w:rStyle w:val="Hyperlink"/>
                    <w:noProof/>
                  </w:rPr>
                  <w:t>B.</w:t>
                </w:r>
                <w:r w:rsidR="00072954">
                  <w:rPr>
                    <w:rFonts w:asciiTheme="minorHAnsi" w:eastAsiaTheme="minorEastAsia" w:hAnsiTheme="minorHAnsi" w:cstheme="minorBidi"/>
                    <w:noProof/>
                    <w:color w:val="auto"/>
                  </w:rPr>
                  <w:tab/>
                </w:r>
                <w:r w:rsidR="00072954" w:rsidRPr="009D272A">
                  <w:rPr>
                    <w:rStyle w:val="Hyperlink"/>
                    <w:noProof/>
                  </w:rPr>
                  <w:t>Внешний аудит</w:t>
                </w:r>
                <w:r w:rsidR="00072954">
                  <w:rPr>
                    <w:noProof/>
                    <w:webHidden/>
                  </w:rPr>
                  <w:tab/>
                </w:r>
                <w:r w:rsidR="00072954">
                  <w:rPr>
                    <w:noProof/>
                    <w:webHidden/>
                  </w:rPr>
                  <w:fldChar w:fldCharType="begin"/>
                </w:r>
                <w:r w:rsidR="00072954">
                  <w:rPr>
                    <w:noProof/>
                    <w:webHidden/>
                  </w:rPr>
                  <w:instrText xml:space="preserve"> PAGEREF _Toc136445869 \h </w:instrText>
                </w:r>
                <w:r w:rsidR="00072954">
                  <w:rPr>
                    <w:noProof/>
                    <w:webHidden/>
                  </w:rPr>
                </w:r>
                <w:r w:rsidR="00072954">
                  <w:rPr>
                    <w:noProof/>
                    <w:webHidden/>
                  </w:rPr>
                  <w:fldChar w:fldCharType="separate"/>
                </w:r>
                <w:r w:rsidR="00EA6A25">
                  <w:rPr>
                    <w:noProof/>
                    <w:webHidden/>
                  </w:rPr>
                  <w:t>7</w:t>
                </w:r>
                <w:r w:rsidR="00072954">
                  <w:rPr>
                    <w:noProof/>
                    <w:webHidden/>
                  </w:rPr>
                  <w:fldChar w:fldCharType="end"/>
                </w:r>
              </w:hyperlink>
            </w:p>
            <w:p w14:paraId="2AF61765" w14:textId="78D72BE2" w:rsidR="00072954" w:rsidRDefault="00320D49" w:rsidP="00072954">
              <w:pPr>
                <w:pStyle w:val="TOC2"/>
                <w:tabs>
                  <w:tab w:val="left" w:pos="1100"/>
                  <w:tab w:val="right" w:leader="dot" w:pos="9754"/>
                </w:tabs>
                <w:rPr>
                  <w:rFonts w:asciiTheme="minorHAnsi" w:eastAsiaTheme="minorEastAsia" w:hAnsiTheme="minorHAnsi" w:cstheme="minorBidi"/>
                  <w:noProof/>
                  <w:color w:val="auto"/>
                </w:rPr>
              </w:pPr>
              <w:hyperlink w:anchor="_Toc136445870" w:history="1">
                <w:r w:rsidR="00072954" w:rsidRPr="009D272A">
                  <w:rPr>
                    <w:rStyle w:val="Hyperlink"/>
                    <w:noProof/>
                  </w:rPr>
                  <w:t>C.</w:t>
                </w:r>
                <w:r w:rsidR="00072954">
                  <w:rPr>
                    <w:rFonts w:asciiTheme="minorHAnsi" w:eastAsiaTheme="minorEastAsia" w:hAnsiTheme="minorHAnsi" w:cstheme="minorBidi"/>
                    <w:noProof/>
                    <w:color w:val="auto"/>
                  </w:rPr>
                  <w:tab/>
                </w:r>
                <w:r w:rsidR="00072954" w:rsidRPr="009D272A">
                  <w:rPr>
                    <w:rStyle w:val="Hyperlink"/>
                    <w:noProof/>
                  </w:rPr>
                  <w:t>Финансовая отчетность</w:t>
                </w:r>
                <w:r w:rsidR="00072954">
                  <w:rPr>
                    <w:noProof/>
                    <w:webHidden/>
                  </w:rPr>
                  <w:tab/>
                </w:r>
                <w:r w:rsidR="00072954">
                  <w:rPr>
                    <w:noProof/>
                    <w:webHidden/>
                  </w:rPr>
                  <w:fldChar w:fldCharType="begin"/>
                </w:r>
                <w:r w:rsidR="00072954">
                  <w:rPr>
                    <w:noProof/>
                    <w:webHidden/>
                  </w:rPr>
                  <w:instrText xml:space="preserve"> PAGEREF _Toc136445870 \h </w:instrText>
                </w:r>
                <w:r w:rsidR="00072954">
                  <w:rPr>
                    <w:noProof/>
                    <w:webHidden/>
                  </w:rPr>
                </w:r>
                <w:r w:rsidR="00072954">
                  <w:rPr>
                    <w:noProof/>
                    <w:webHidden/>
                  </w:rPr>
                  <w:fldChar w:fldCharType="separate"/>
                </w:r>
                <w:r w:rsidR="00EA6A25">
                  <w:rPr>
                    <w:noProof/>
                    <w:webHidden/>
                  </w:rPr>
                  <w:t>8</w:t>
                </w:r>
                <w:r w:rsidR="00072954">
                  <w:rPr>
                    <w:noProof/>
                    <w:webHidden/>
                  </w:rPr>
                  <w:fldChar w:fldCharType="end"/>
                </w:r>
              </w:hyperlink>
            </w:p>
            <w:p w14:paraId="3DEC4087" w14:textId="421D7F64" w:rsidR="00072954" w:rsidRDefault="00320D49" w:rsidP="00072954">
              <w:pPr>
                <w:pStyle w:val="TOC2"/>
                <w:tabs>
                  <w:tab w:val="left" w:pos="1100"/>
                  <w:tab w:val="right" w:leader="dot" w:pos="9754"/>
                </w:tabs>
                <w:rPr>
                  <w:rFonts w:asciiTheme="minorHAnsi" w:eastAsiaTheme="minorEastAsia" w:hAnsiTheme="minorHAnsi" w:cstheme="minorBidi"/>
                  <w:noProof/>
                  <w:color w:val="auto"/>
                </w:rPr>
              </w:pPr>
              <w:hyperlink w:anchor="_Toc136445871" w:history="1">
                <w:r w:rsidR="00072954" w:rsidRPr="009D272A">
                  <w:rPr>
                    <w:rStyle w:val="Hyperlink"/>
                    <w:noProof/>
                  </w:rPr>
                  <w:t>D.</w:t>
                </w:r>
                <w:r w:rsidR="00072954">
                  <w:rPr>
                    <w:rFonts w:asciiTheme="minorHAnsi" w:eastAsiaTheme="minorEastAsia" w:hAnsiTheme="minorHAnsi" w:cstheme="minorBidi"/>
                    <w:noProof/>
                    <w:color w:val="auto"/>
                  </w:rPr>
                  <w:tab/>
                </w:r>
                <w:r w:rsidR="00072954" w:rsidRPr="009D272A">
                  <w:rPr>
                    <w:rStyle w:val="Hyperlink"/>
                    <w:noProof/>
                  </w:rPr>
                  <w:t>Управление рисками и внутренний контроль</w:t>
                </w:r>
                <w:r w:rsidR="00072954">
                  <w:rPr>
                    <w:noProof/>
                    <w:webHidden/>
                  </w:rPr>
                  <w:tab/>
                </w:r>
                <w:r w:rsidR="00072954">
                  <w:rPr>
                    <w:noProof/>
                    <w:webHidden/>
                  </w:rPr>
                  <w:fldChar w:fldCharType="begin"/>
                </w:r>
                <w:r w:rsidR="00072954">
                  <w:rPr>
                    <w:noProof/>
                    <w:webHidden/>
                  </w:rPr>
                  <w:instrText xml:space="preserve"> PAGEREF _Toc136445871 \h </w:instrText>
                </w:r>
                <w:r w:rsidR="00072954">
                  <w:rPr>
                    <w:noProof/>
                    <w:webHidden/>
                  </w:rPr>
                </w:r>
                <w:r w:rsidR="00072954">
                  <w:rPr>
                    <w:noProof/>
                    <w:webHidden/>
                  </w:rPr>
                  <w:fldChar w:fldCharType="separate"/>
                </w:r>
                <w:r w:rsidR="00EA6A25">
                  <w:rPr>
                    <w:noProof/>
                    <w:webHidden/>
                  </w:rPr>
                  <w:t>8</w:t>
                </w:r>
                <w:r w:rsidR="00072954">
                  <w:rPr>
                    <w:noProof/>
                    <w:webHidden/>
                  </w:rPr>
                  <w:fldChar w:fldCharType="end"/>
                </w:r>
              </w:hyperlink>
            </w:p>
            <w:p w14:paraId="2B7455C8" w14:textId="1E4EF470" w:rsidR="00072954" w:rsidRDefault="00320D49" w:rsidP="00072954">
              <w:pPr>
                <w:pStyle w:val="TOC2"/>
                <w:tabs>
                  <w:tab w:val="left" w:pos="1100"/>
                  <w:tab w:val="right" w:leader="dot" w:pos="9754"/>
                </w:tabs>
                <w:rPr>
                  <w:rFonts w:asciiTheme="minorHAnsi" w:eastAsiaTheme="minorEastAsia" w:hAnsiTheme="minorHAnsi" w:cstheme="minorBidi"/>
                  <w:noProof/>
                  <w:color w:val="auto"/>
                </w:rPr>
              </w:pPr>
              <w:hyperlink w:anchor="_Toc136445872" w:history="1">
                <w:r w:rsidR="00072954" w:rsidRPr="009D272A">
                  <w:rPr>
                    <w:rStyle w:val="Hyperlink"/>
                    <w:noProof/>
                  </w:rPr>
                  <w:t>E.</w:t>
                </w:r>
                <w:r w:rsidR="00072954">
                  <w:rPr>
                    <w:rFonts w:asciiTheme="minorHAnsi" w:eastAsiaTheme="minorEastAsia" w:hAnsiTheme="minorHAnsi" w:cstheme="minorBidi"/>
                    <w:noProof/>
                    <w:color w:val="auto"/>
                  </w:rPr>
                  <w:tab/>
                </w:r>
                <w:r w:rsidR="00072954" w:rsidRPr="009D272A">
                  <w:rPr>
                    <w:rStyle w:val="Hyperlink"/>
                    <w:noProof/>
                  </w:rPr>
                  <w:t>Осуществление рекомендаций надзорных органов</w:t>
                </w:r>
                <w:r w:rsidR="00072954">
                  <w:rPr>
                    <w:noProof/>
                    <w:webHidden/>
                  </w:rPr>
                  <w:tab/>
                </w:r>
                <w:r w:rsidR="00072954">
                  <w:rPr>
                    <w:noProof/>
                    <w:webHidden/>
                  </w:rPr>
                  <w:fldChar w:fldCharType="begin"/>
                </w:r>
                <w:r w:rsidR="00072954">
                  <w:rPr>
                    <w:noProof/>
                    <w:webHidden/>
                  </w:rPr>
                  <w:instrText xml:space="preserve"> PAGEREF _Toc136445872 \h </w:instrText>
                </w:r>
                <w:r w:rsidR="00072954">
                  <w:rPr>
                    <w:noProof/>
                    <w:webHidden/>
                  </w:rPr>
                </w:r>
                <w:r w:rsidR="00072954">
                  <w:rPr>
                    <w:noProof/>
                    <w:webHidden/>
                  </w:rPr>
                  <w:fldChar w:fldCharType="separate"/>
                </w:r>
                <w:r w:rsidR="00EA6A25">
                  <w:rPr>
                    <w:noProof/>
                    <w:webHidden/>
                  </w:rPr>
                  <w:t>9</w:t>
                </w:r>
                <w:r w:rsidR="00072954">
                  <w:rPr>
                    <w:noProof/>
                    <w:webHidden/>
                  </w:rPr>
                  <w:fldChar w:fldCharType="end"/>
                </w:r>
              </w:hyperlink>
            </w:p>
            <w:p w14:paraId="290BB239" w14:textId="1FE24DFA" w:rsidR="00072954" w:rsidRDefault="00320D49" w:rsidP="00072954">
              <w:pPr>
                <w:pStyle w:val="TOC2"/>
                <w:tabs>
                  <w:tab w:val="left" w:pos="1100"/>
                  <w:tab w:val="right" w:leader="dot" w:pos="9754"/>
                </w:tabs>
                <w:rPr>
                  <w:rFonts w:asciiTheme="minorHAnsi" w:eastAsiaTheme="minorEastAsia" w:hAnsiTheme="minorHAnsi" w:cstheme="minorBidi"/>
                  <w:noProof/>
                  <w:color w:val="auto"/>
                </w:rPr>
              </w:pPr>
              <w:hyperlink w:anchor="_Toc136445873" w:history="1">
                <w:r w:rsidR="00072954" w:rsidRPr="009D272A">
                  <w:rPr>
                    <w:rStyle w:val="Hyperlink"/>
                    <w:noProof/>
                  </w:rPr>
                  <w:t>F.</w:t>
                </w:r>
                <w:r w:rsidR="00072954">
                  <w:rPr>
                    <w:rFonts w:asciiTheme="minorHAnsi" w:eastAsiaTheme="minorEastAsia" w:hAnsiTheme="minorHAnsi" w:cstheme="minorBidi"/>
                    <w:noProof/>
                    <w:color w:val="auto"/>
                  </w:rPr>
                  <w:tab/>
                </w:r>
                <w:r w:rsidR="00072954" w:rsidRPr="009D272A">
                  <w:rPr>
                    <w:rStyle w:val="Hyperlink"/>
                    <w:noProof/>
                  </w:rPr>
                  <w:t>Вопросы этики и Омбудсмен</w:t>
                </w:r>
                <w:r w:rsidR="00072954">
                  <w:rPr>
                    <w:noProof/>
                    <w:webHidden/>
                  </w:rPr>
                  <w:tab/>
                </w:r>
                <w:r w:rsidR="00072954">
                  <w:rPr>
                    <w:noProof/>
                    <w:webHidden/>
                  </w:rPr>
                  <w:fldChar w:fldCharType="begin"/>
                </w:r>
                <w:r w:rsidR="00072954">
                  <w:rPr>
                    <w:noProof/>
                    <w:webHidden/>
                  </w:rPr>
                  <w:instrText xml:space="preserve"> PAGEREF _Toc136445873 \h </w:instrText>
                </w:r>
                <w:r w:rsidR="00072954">
                  <w:rPr>
                    <w:noProof/>
                    <w:webHidden/>
                  </w:rPr>
                </w:r>
                <w:r w:rsidR="00072954">
                  <w:rPr>
                    <w:noProof/>
                    <w:webHidden/>
                  </w:rPr>
                  <w:fldChar w:fldCharType="separate"/>
                </w:r>
                <w:r w:rsidR="00EA6A25">
                  <w:rPr>
                    <w:noProof/>
                    <w:webHidden/>
                  </w:rPr>
                  <w:t>10</w:t>
                </w:r>
                <w:r w:rsidR="00072954">
                  <w:rPr>
                    <w:noProof/>
                    <w:webHidden/>
                  </w:rPr>
                  <w:fldChar w:fldCharType="end"/>
                </w:r>
              </w:hyperlink>
            </w:p>
            <w:p w14:paraId="40C10302" w14:textId="4971DD1F" w:rsidR="00072954" w:rsidRDefault="00320D49" w:rsidP="00072954">
              <w:pPr>
                <w:pStyle w:val="TOC2"/>
                <w:tabs>
                  <w:tab w:val="left" w:pos="1100"/>
                  <w:tab w:val="right" w:leader="dot" w:pos="9754"/>
                </w:tabs>
                <w:rPr>
                  <w:rFonts w:asciiTheme="minorHAnsi" w:eastAsiaTheme="minorEastAsia" w:hAnsiTheme="minorHAnsi" w:cstheme="minorBidi"/>
                  <w:noProof/>
                  <w:color w:val="auto"/>
                </w:rPr>
              </w:pPr>
              <w:hyperlink w:anchor="_Toc136445874" w:history="1">
                <w:r w:rsidR="00072954" w:rsidRPr="009D272A">
                  <w:rPr>
                    <w:rStyle w:val="Hyperlink"/>
                    <w:noProof/>
                  </w:rPr>
                  <w:t>G.</w:t>
                </w:r>
                <w:r w:rsidR="00072954">
                  <w:rPr>
                    <w:rFonts w:asciiTheme="minorHAnsi" w:eastAsiaTheme="minorEastAsia" w:hAnsiTheme="minorHAnsi" w:cstheme="minorBidi"/>
                    <w:noProof/>
                    <w:color w:val="auto"/>
                  </w:rPr>
                  <w:tab/>
                </w:r>
                <w:r w:rsidR="00072954" w:rsidRPr="009D272A">
                  <w:rPr>
                    <w:rStyle w:val="Hyperlink"/>
                    <w:noProof/>
                  </w:rPr>
                  <w:t>Прочие вопросы</w:t>
                </w:r>
                <w:r w:rsidR="00072954">
                  <w:rPr>
                    <w:noProof/>
                    <w:webHidden/>
                  </w:rPr>
                  <w:tab/>
                </w:r>
                <w:r w:rsidR="00072954">
                  <w:rPr>
                    <w:noProof/>
                    <w:webHidden/>
                  </w:rPr>
                  <w:fldChar w:fldCharType="begin"/>
                </w:r>
                <w:r w:rsidR="00072954">
                  <w:rPr>
                    <w:noProof/>
                    <w:webHidden/>
                  </w:rPr>
                  <w:instrText xml:space="preserve"> PAGEREF _Toc136445874 \h </w:instrText>
                </w:r>
                <w:r w:rsidR="00072954">
                  <w:rPr>
                    <w:noProof/>
                    <w:webHidden/>
                  </w:rPr>
                </w:r>
                <w:r w:rsidR="00072954">
                  <w:rPr>
                    <w:noProof/>
                    <w:webHidden/>
                  </w:rPr>
                  <w:fldChar w:fldCharType="separate"/>
                </w:r>
                <w:r w:rsidR="00EA6A25">
                  <w:rPr>
                    <w:noProof/>
                    <w:webHidden/>
                  </w:rPr>
                  <w:t>11</w:t>
                </w:r>
                <w:r w:rsidR="00072954">
                  <w:rPr>
                    <w:noProof/>
                    <w:webHidden/>
                  </w:rPr>
                  <w:fldChar w:fldCharType="end"/>
                </w:r>
              </w:hyperlink>
            </w:p>
            <w:p w14:paraId="479D3672" w14:textId="26E3A647" w:rsidR="00072954" w:rsidRDefault="00320D49" w:rsidP="00072954">
              <w:pPr>
                <w:pStyle w:val="TOC1"/>
                <w:tabs>
                  <w:tab w:val="left" w:pos="660"/>
                  <w:tab w:val="right" w:leader="dot" w:pos="9754"/>
                </w:tabs>
                <w:rPr>
                  <w:rFonts w:asciiTheme="minorHAnsi" w:eastAsiaTheme="minorEastAsia" w:hAnsiTheme="minorHAnsi" w:cstheme="minorBidi"/>
                  <w:noProof/>
                  <w:color w:val="auto"/>
                </w:rPr>
              </w:pPr>
              <w:hyperlink w:anchor="_Toc136445875" w:history="1">
                <w:r w:rsidR="00072954" w:rsidRPr="009D272A">
                  <w:rPr>
                    <w:rStyle w:val="Hyperlink"/>
                    <w:noProof/>
                  </w:rPr>
                  <w:t>IV.</w:t>
                </w:r>
                <w:r w:rsidR="00072954">
                  <w:rPr>
                    <w:rFonts w:asciiTheme="minorHAnsi" w:eastAsiaTheme="minorEastAsia" w:hAnsiTheme="minorHAnsi" w:cstheme="minorBidi"/>
                    <w:noProof/>
                    <w:color w:val="auto"/>
                  </w:rPr>
                  <w:tab/>
                </w:r>
                <w:r w:rsidR="00072954" w:rsidRPr="009D272A">
                  <w:rPr>
                    <w:rStyle w:val="Hyperlink"/>
                    <w:noProof/>
                  </w:rPr>
                  <w:t>ЗАКЛЮЧИТЕЛЬНЫЕ ЗАМЕЧАНИЯ</w:t>
                </w:r>
                <w:r w:rsidR="00072954">
                  <w:rPr>
                    <w:noProof/>
                    <w:webHidden/>
                  </w:rPr>
                  <w:tab/>
                </w:r>
                <w:r w:rsidR="00072954">
                  <w:rPr>
                    <w:noProof/>
                    <w:webHidden/>
                  </w:rPr>
                  <w:fldChar w:fldCharType="begin"/>
                </w:r>
                <w:r w:rsidR="00072954">
                  <w:rPr>
                    <w:noProof/>
                    <w:webHidden/>
                  </w:rPr>
                  <w:instrText xml:space="preserve"> PAGEREF _Toc136445875 \h </w:instrText>
                </w:r>
                <w:r w:rsidR="00072954">
                  <w:rPr>
                    <w:noProof/>
                    <w:webHidden/>
                  </w:rPr>
                </w:r>
                <w:r w:rsidR="00072954">
                  <w:rPr>
                    <w:noProof/>
                    <w:webHidden/>
                  </w:rPr>
                  <w:fldChar w:fldCharType="separate"/>
                </w:r>
                <w:r w:rsidR="00EA6A25">
                  <w:rPr>
                    <w:noProof/>
                    <w:webHidden/>
                  </w:rPr>
                  <w:t>11</w:t>
                </w:r>
                <w:r w:rsidR="00072954">
                  <w:rPr>
                    <w:noProof/>
                    <w:webHidden/>
                  </w:rPr>
                  <w:fldChar w:fldCharType="end"/>
                </w:r>
              </w:hyperlink>
            </w:p>
            <w:p w14:paraId="753EA1A1" w14:textId="77777777" w:rsidR="00072954" w:rsidRDefault="00072954" w:rsidP="00072954">
              <w:r>
                <w:fldChar w:fldCharType="end"/>
              </w:r>
            </w:p>
          </w:sdtContent>
        </w:sdt>
        <w:p w14:paraId="7ECBA51B" w14:textId="77777777" w:rsidR="00072954" w:rsidRPr="00635CF7" w:rsidRDefault="00320D49" w:rsidP="00072954">
          <w:pPr>
            <w:ind w:left="0" w:firstLine="0"/>
          </w:pPr>
        </w:p>
      </w:sdtContent>
    </w:sdt>
    <w:p w14:paraId="6589F451" w14:textId="77777777" w:rsidR="00072954" w:rsidRPr="00635CF7" w:rsidRDefault="00072954" w:rsidP="00072954">
      <w:pPr>
        <w:spacing w:after="0"/>
        <w:ind w:left="0" w:right="0" w:firstLine="0"/>
      </w:pPr>
    </w:p>
    <w:p w14:paraId="786EBCD6" w14:textId="77777777" w:rsidR="00072954" w:rsidRPr="00635CF7" w:rsidRDefault="00072954" w:rsidP="00072954">
      <w:pPr>
        <w:spacing w:after="0"/>
        <w:ind w:left="0" w:right="0" w:firstLine="0"/>
      </w:pPr>
    </w:p>
    <w:p w14:paraId="4B4F4FC8" w14:textId="77777777" w:rsidR="00072954" w:rsidRPr="00635CF7" w:rsidRDefault="00072954" w:rsidP="00072954">
      <w:pPr>
        <w:spacing w:after="103"/>
        <w:ind w:left="0" w:right="0" w:firstLine="0"/>
      </w:pPr>
    </w:p>
    <w:p w14:paraId="3CB4972E" w14:textId="77777777" w:rsidR="00072954" w:rsidRPr="00635CF7" w:rsidRDefault="00072954" w:rsidP="00072954">
      <w:pPr>
        <w:spacing w:after="0"/>
        <w:ind w:left="0" w:right="0" w:firstLine="0"/>
      </w:pPr>
    </w:p>
    <w:p w14:paraId="77188C49" w14:textId="77777777" w:rsidR="00072954" w:rsidRPr="00635CF7" w:rsidRDefault="00072954" w:rsidP="00072954">
      <w:pPr>
        <w:spacing w:after="0"/>
        <w:ind w:left="0" w:right="0" w:firstLine="0"/>
      </w:pPr>
    </w:p>
    <w:p w14:paraId="03CABECA" w14:textId="77777777" w:rsidR="00072954" w:rsidRPr="00635CF7" w:rsidRDefault="00072954" w:rsidP="00072954">
      <w:pPr>
        <w:spacing w:after="0"/>
        <w:ind w:left="0" w:right="0" w:firstLine="0"/>
      </w:pPr>
    </w:p>
    <w:p w14:paraId="1405FF03" w14:textId="77777777" w:rsidR="00072954" w:rsidRPr="00635CF7" w:rsidRDefault="00072954" w:rsidP="00072954">
      <w:pPr>
        <w:spacing w:after="0"/>
        <w:ind w:left="0" w:right="0" w:firstLine="0"/>
        <w:sectPr w:rsidR="00072954" w:rsidRPr="00635CF7" w:rsidSect="00BE54F5">
          <w:headerReference w:type="even" r:id="rId11"/>
          <w:headerReference w:type="default" r:id="rId12"/>
          <w:footerReference w:type="even" r:id="rId13"/>
          <w:footerReference w:type="default" r:id="rId14"/>
          <w:headerReference w:type="first" r:id="rId15"/>
          <w:footerReference w:type="first" r:id="rId16"/>
          <w:pgSz w:w="11906" w:h="16841"/>
          <w:pgMar w:top="763" w:right="848" w:bottom="325" w:left="1294" w:header="720" w:footer="720" w:gutter="0"/>
          <w:cols w:space="720"/>
          <w:titlePg/>
          <w:docGrid w:linePitch="299"/>
        </w:sectPr>
      </w:pPr>
      <w:r w:rsidRPr="00635CF7">
        <w:t xml:space="preserve">   </w:t>
      </w:r>
    </w:p>
    <w:p w14:paraId="4514CF56" w14:textId="16444FC0" w:rsidR="00072954" w:rsidRPr="00635CF7" w:rsidRDefault="00072954" w:rsidP="00072954">
      <w:pPr>
        <w:pStyle w:val="Heading1"/>
        <w:tabs>
          <w:tab w:val="center" w:pos="1564"/>
        </w:tabs>
        <w:ind w:left="0" w:firstLine="0"/>
      </w:pPr>
      <w:bookmarkStart w:id="6" w:name="_Toc136419477"/>
      <w:bookmarkStart w:id="7" w:name="_Toc136445865"/>
      <w:r w:rsidRPr="00635CF7">
        <w:lastRenderedPageBreak/>
        <w:t>I.</w:t>
      </w:r>
      <w:r>
        <w:tab/>
      </w:r>
      <w:r w:rsidRPr="00635CF7">
        <w:t>ВВЕДЕНИЕ</w:t>
      </w:r>
      <w:bookmarkEnd w:id="6"/>
      <w:bookmarkEnd w:id="7"/>
    </w:p>
    <w:p w14:paraId="4A62E764" w14:textId="77777777" w:rsidR="00072954" w:rsidRPr="00635CF7" w:rsidRDefault="00072954" w:rsidP="00072954">
      <w:pPr>
        <w:spacing w:after="16"/>
        <w:ind w:right="0"/>
      </w:pPr>
    </w:p>
    <w:p w14:paraId="4F53B64D" w14:textId="1B1CF91B" w:rsidR="00072954" w:rsidRPr="00635CF7" w:rsidRDefault="00072954" w:rsidP="00072954">
      <w:pPr>
        <w:numPr>
          <w:ilvl w:val="0"/>
          <w:numId w:val="2"/>
        </w:numPr>
        <w:ind w:left="0" w:right="32"/>
      </w:pPr>
      <w:r w:rsidRPr="00635CF7">
        <w:t>В соответствии со своими Полномочиями Независимый консультативный комитет ВОИС по надзору (НККН) представляет ежегодный отчет Комитету по программе и бюджету</w:t>
      </w:r>
      <w:r w:rsidR="004F5A85">
        <w:t> </w:t>
      </w:r>
      <w:r w:rsidRPr="00635CF7">
        <w:t>(КПБ) и Генеральной Ассамблее ВОИС.</w:t>
      </w:r>
    </w:p>
    <w:p w14:paraId="5985930B" w14:textId="77777777" w:rsidR="00072954" w:rsidRPr="00635CF7" w:rsidRDefault="00072954" w:rsidP="00072954">
      <w:pPr>
        <w:spacing w:after="16"/>
        <w:ind w:right="0"/>
      </w:pPr>
    </w:p>
    <w:p w14:paraId="7466FC7D" w14:textId="774AF7B3" w:rsidR="00072954" w:rsidRPr="00635CF7" w:rsidRDefault="00072954" w:rsidP="004F5A85">
      <w:pPr>
        <w:numPr>
          <w:ilvl w:val="0"/>
          <w:numId w:val="2"/>
        </w:numPr>
        <w:ind w:left="0" w:right="32" w:firstLine="0"/>
      </w:pPr>
      <w:r w:rsidRPr="00635CF7">
        <w:t>НККН (</w:t>
      </w:r>
      <w:r w:rsidR="00026191">
        <w:t>также</w:t>
      </w:r>
      <w:r w:rsidRPr="00635CF7">
        <w:t xml:space="preserve"> именуемый «Комитет») был учрежден в 2005 г</w:t>
      </w:r>
      <w:r>
        <w:t>оду</w:t>
      </w:r>
      <w:r w:rsidRPr="00635CF7">
        <w:t>. Он является вспомогательным органом Генеральной Ассамблеи ВОИС и КПБ. НККН выполняет роль независимого экспертного консультативного органа и оказывает содействие Ассамблее и КПБ в выполнении их надзорных функций.</w:t>
      </w:r>
    </w:p>
    <w:p w14:paraId="2DF12C0A" w14:textId="77777777" w:rsidR="00072954" w:rsidRPr="00635CF7" w:rsidRDefault="00072954" w:rsidP="00072954">
      <w:pPr>
        <w:spacing w:after="16"/>
        <w:ind w:right="0"/>
      </w:pPr>
    </w:p>
    <w:p w14:paraId="18335360" w14:textId="2A9BB47C" w:rsidR="00072954" w:rsidRPr="00635CF7" w:rsidRDefault="00072954" w:rsidP="004F5A85">
      <w:pPr>
        <w:numPr>
          <w:ilvl w:val="0"/>
          <w:numId w:val="2"/>
        </w:numPr>
        <w:ind w:left="0" w:right="32" w:firstLine="0"/>
      </w:pPr>
      <w:r w:rsidRPr="00635CF7">
        <w:t>Настоящий отчет охватывает период с 21 мая 2022 года по 24 марта 2023 года. В разделе</w:t>
      </w:r>
      <w:r w:rsidR="004F5A85">
        <w:t> </w:t>
      </w:r>
      <w:r w:rsidRPr="00635CF7">
        <w:t>II отчета приводится обзор квартальных сессий НККН, состава Комитета и его методов работы. В разделе</w:t>
      </w:r>
      <w:r w:rsidR="004F5A85">
        <w:t> </w:t>
      </w:r>
      <w:r w:rsidRPr="00635CF7">
        <w:t>III подробно изложены вопросы, обсужденные и рассмотренные НККН в отчетный период.</w:t>
      </w:r>
    </w:p>
    <w:p w14:paraId="04125841" w14:textId="77777777" w:rsidR="00072954" w:rsidRPr="00635CF7" w:rsidRDefault="00072954" w:rsidP="00072954">
      <w:pPr>
        <w:spacing w:after="16"/>
        <w:ind w:right="0"/>
      </w:pPr>
    </w:p>
    <w:p w14:paraId="4ED068F0" w14:textId="49E4F9FB" w:rsidR="00072954" w:rsidRPr="00635CF7" w:rsidRDefault="00072954" w:rsidP="00072954">
      <w:pPr>
        <w:pStyle w:val="Heading1"/>
        <w:tabs>
          <w:tab w:val="left" w:pos="851"/>
          <w:tab w:val="center" w:pos="1564"/>
        </w:tabs>
        <w:ind w:left="0" w:firstLine="0"/>
      </w:pPr>
      <w:bookmarkStart w:id="8" w:name="_Toc136419478"/>
      <w:bookmarkStart w:id="9" w:name="_Toc136445866"/>
      <w:r w:rsidRPr="00635CF7">
        <w:t>II.</w:t>
      </w:r>
      <w:r>
        <w:tab/>
      </w:r>
      <w:r w:rsidRPr="00635CF7">
        <w:t>КВАРТАЛЬНЫЕ СЕССИИ, СОСТАВ И МЕТОДЫ РАБОТЫ</w:t>
      </w:r>
      <w:bookmarkEnd w:id="8"/>
      <w:bookmarkEnd w:id="9"/>
    </w:p>
    <w:p w14:paraId="2C56A94A" w14:textId="77777777" w:rsidR="00072954" w:rsidRPr="00635CF7" w:rsidRDefault="00072954" w:rsidP="00072954">
      <w:pPr>
        <w:spacing w:after="16"/>
        <w:ind w:right="0"/>
      </w:pPr>
    </w:p>
    <w:p w14:paraId="13A93727" w14:textId="666C376A" w:rsidR="00072954" w:rsidRPr="00635CF7" w:rsidRDefault="00072954" w:rsidP="00294E7C">
      <w:pPr>
        <w:pStyle w:val="Heading4"/>
        <w:spacing w:after="3"/>
        <w:ind w:left="720" w:right="32" w:firstLine="0"/>
      </w:pPr>
      <w:r w:rsidRPr="00635CF7">
        <w:rPr>
          <w:i/>
          <w:u w:val="none"/>
        </w:rPr>
        <w:t>Квартальные сессии</w:t>
      </w:r>
    </w:p>
    <w:p w14:paraId="5DB5A0A4" w14:textId="77777777" w:rsidR="00072954" w:rsidRPr="00635CF7" w:rsidRDefault="00072954" w:rsidP="00072954">
      <w:pPr>
        <w:spacing w:after="16"/>
        <w:ind w:right="0"/>
      </w:pPr>
    </w:p>
    <w:p w14:paraId="1BE0ACBD" w14:textId="7C140772" w:rsidR="00072954" w:rsidRPr="00635CF7" w:rsidRDefault="00072954" w:rsidP="00026191">
      <w:pPr>
        <w:numPr>
          <w:ilvl w:val="0"/>
          <w:numId w:val="2"/>
        </w:numPr>
        <w:spacing w:after="37"/>
        <w:ind w:left="0" w:right="32" w:firstLine="0"/>
      </w:pPr>
      <w:r w:rsidRPr="00635CF7">
        <w:t>За отчетный период Комитет провел три квартальных сессии: 20–23 сентября 2022</w:t>
      </w:r>
      <w:r w:rsidR="004F5A85">
        <w:t> </w:t>
      </w:r>
      <w:r w:rsidRPr="00635CF7">
        <w:t>года (66-я сессия); 13–16 декабря 2022</w:t>
      </w:r>
      <w:r w:rsidR="004F5A85">
        <w:t> </w:t>
      </w:r>
      <w:r w:rsidRPr="00635CF7">
        <w:t xml:space="preserve">года (67-я сессия); и 20–24 марта 2023 года </w:t>
      </w:r>
      <w:r w:rsidR="004F5A85">
        <w:br/>
      </w:r>
      <w:r w:rsidRPr="00635CF7">
        <w:t>(68-я сессия). Из-за пандемии COVID-19 66-я и 67-я сессии проводились в гибридном формате. На 68-й сессии, проходившей в очном формате, в состав Комитета вошли пять новых членов. В соответствии со своими Полномочиями Комитет после всех сессий проводил информационные совещания с представителями государств-членов. Отчеты о</w:t>
      </w:r>
      <w:r>
        <w:t xml:space="preserve"> работе</w:t>
      </w:r>
      <w:r w:rsidRPr="00635CF7">
        <w:t xml:space="preserve"> всех сесси</w:t>
      </w:r>
      <w:r>
        <w:t>й</w:t>
      </w:r>
      <w:r w:rsidRPr="00635CF7">
        <w:t xml:space="preserve"> опубликованы на веб-сайте ВОИС.</w:t>
      </w:r>
    </w:p>
    <w:p w14:paraId="154F9D7D" w14:textId="77777777" w:rsidR="00072954" w:rsidRPr="00635CF7" w:rsidRDefault="00072954" w:rsidP="00026191">
      <w:pPr>
        <w:spacing w:after="16"/>
        <w:ind w:left="0" w:right="0"/>
      </w:pPr>
    </w:p>
    <w:p w14:paraId="2A597B2F" w14:textId="1B0D964D" w:rsidR="00072954" w:rsidRPr="00635CF7" w:rsidRDefault="00072954" w:rsidP="00026191">
      <w:pPr>
        <w:pStyle w:val="Heading4"/>
        <w:spacing w:after="3"/>
        <w:ind w:left="720" w:right="32" w:firstLine="0"/>
      </w:pPr>
      <w:r w:rsidRPr="00635CF7">
        <w:rPr>
          <w:i/>
          <w:u w:val="none"/>
        </w:rPr>
        <w:t>Состав и процесс выбора новых членов</w:t>
      </w:r>
    </w:p>
    <w:p w14:paraId="45D78B72" w14:textId="77777777" w:rsidR="00072954" w:rsidRPr="00635CF7" w:rsidRDefault="00072954" w:rsidP="00026191">
      <w:pPr>
        <w:spacing w:after="16"/>
        <w:ind w:left="0" w:right="0"/>
      </w:pPr>
    </w:p>
    <w:p w14:paraId="790D784A" w14:textId="602DFB4D" w:rsidR="00072954" w:rsidRPr="00635CF7" w:rsidRDefault="00072954" w:rsidP="00026191">
      <w:pPr>
        <w:numPr>
          <w:ilvl w:val="0"/>
          <w:numId w:val="2"/>
        </w:numPr>
        <w:spacing w:after="37"/>
        <w:ind w:left="0" w:right="32" w:firstLine="0"/>
      </w:pPr>
      <w:r w:rsidRPr="00635CF7">
        <w:t xml:space="preserve">НККН состоит из семи членов от групп </w:t>
      </w:r>
      <w:r w:rsidR="00716863">
        <w:t xml:space="preserve">государств – членов </w:t>
      </w:r>
      <w:r w:rsidRPr="00635CF7">
        <w:t>ВОИС. Они работают в личном качестве независимо от государств-членов. В соответствии со своими Полномочиями и Правилами процедуры Комитет на 67-й сессии в декабре 2022 года</w:t>
      </w:r>
      <w:bookmarkStart w:id="10" w:name="_Hlk106122995"/>
      <w:r w:rsidRPr="00635CF7">
        <w:t xml:space="preserve"> избрал г</w:t>
      </w:r>
      <w:r w:rsidRPr="00635CF7">
        <w:noBreakHyphen/>
        <w:t>на </w:t>
      </w:r>
      <w:r w:rsidRPr="00635CF7">
        <w:rPr>
          <w:rFonts w:eastAsia="SimSun"/>
          <w:color w:val="auto"/>
          <w:szCs w:val="20"/>
          <w:lang w:eastAsia="zh-CN"/>
        </w:rPr>
        <w:t xml:space="preserve">Игоря Лудборжса </w:t>
      </w:r>
      <w:r w:rsidRPr="00635CF7">
        <w:t>Председателем, а г-на Берта Кёппенса – заместителем Председателя.</w:t>
      </w:r>
      <w:bookmarkEnd w:id="10"/>
      <w:r w:rsidRPr="00635CF7">
        <w:t xml:space="preserve"> Функции Председателя в ходе 66-й и 67-й сессий выполнял г</w:t>
      </w:r>
      <w:r w:rsidRPr="00635CF7">
        <w:noBreakHyphen/>
        <w:t>н Кёппенс.</w:t>
      </w:r>
    </w:p>
    <w:p w14:paraId="14CCB3F5" w14:textId="77777777" w:rsidR="00072954" w:rsidRPr="00635CF7" w:rsidRDefault="00072954" w:rsidP="00026191">
      <w:pPr>
        <w:spacing w:after="16"/>
        <w:ind w:left="0" w:right="0"/>
      </w:pPr>
    </w:p>
    <w:p w14:paraId="0C208843" w14:textId="77777777" w:rsidR="00072954" w:rsidRPr="00635CF7" w:rsidRDefault="00072954" w:rsidP="00026191">
      <w:pPr>
        <w:numPr>
          <w:ilvl w:val="0"/>
          <w:numId w:val="2"/>
        </w:numPr>
        <w:ind w:left="0" w:right="32"/>
      </w:pPr>
      <w:r w:rsidRPr="00635CF7">
        <w:t>В соответствии с процедурой выборов, изложенной в приложении IV к Финансовым положениям и правилам ВОИС, в состав Комитета в настоящее время входят следующие члены:</w:t>
      </w:r>
    </w:p>
    <w:p w14:paraId="5718260A" w14:textId="77777777" w:rsidR="00072954" w:rsidRPr="00635CF7" w:rsidRDefault="00072954" w:rsidP="00072954">
      <w:pPr>
        <w:spacing w:after="16"/>
        <w:ind w:right="0"/>
      </w:pPr>
    </w:p>
    <w:p w14:paraId="54783435" w14:textId="5AA0D675" w:rsidR="00072954" w:rsidRPr="00635CF7" w:rsidRDefault="00FA1B29" w:rsidP="00072954">
      <w:pPr>
        <w:numPr>
          <w:ilvl w:val="1"/>
          <w:numId w:val="3"/>
        </w:numPr>
        <w:ind w:left="1171" w:right="32" w:hanging="427"/>
      </w:pPr>
      <w:r>
        <w:t>г-н Игорь Луд</w:t>
      </w:r>
      <w:r w:rsidR="00072954" w:rsidRPr="00635CF7">
        <w:t>бор</w:t>
      </w:r>
      <w:r>
        <w:t>ж</w:t>
      </w:r>
      <w:r w:rsidR="00072954" w:rsidRPr="00635CF7">
        <w:t>с, Председатель (Группа государств Центральной Европы и Балтии (</w:t>
      </w:r>
      <w:r w:rsidRPr="00635CF7">
        <w:t>ГЦ</w:t>
      </w:r>
      <w:r>
        <w:t>ЕБ</w:t>
      </w:r>
      <w:r w:rsidR="00072954" w:rsidRPr="00635CF7">
        <w:t>));</w:t>
      </w:r>
    </w:p>
    <w:p w14:paraId="2277C8A5" w14:textId="77777777" w:rsidR="00072954" w:rsidRPr="00635CF7" w:rsidRDefault="00072954" w:rsidP="00072954">
      <w:pPr>
        <w:numPr>
          <w:ilvl w:val="1"/>
          <w:numId w:val="3"/>
        </w:numPr>
        <w:ind w:left="1171" w:right="32" w:hanging="427"/>
      </w:pPr>
      <w:r w:rsidRPr="00635CF7">
        <w:t>г-н Берт Кёппенс, заместитель Председателя (Группа B);</w:t>
      </w:r>
    </w:p>
    <w:p w14:paraId="6859314A" w14:textId="77777777" w:rsidR="00072954" w:rsidRPr="00635CF7" w:rsidRDefault="00072954" w:rsidP="00072954">
      <w:pPr>
        <w:numPr>
          <w:ilvl w:val="1"/>
          <w:numId w:val="3"/>
        </w:numPr>
        <w:ind w:left="1171" w:right="32" w:hanging="427"/>
      </w:pPr>
      <w:r w:rsidRPr="00635CF7">
        <w:t>г-н Давид Канджа (Африканская группа);</w:t>
      </w:r>
    </w:p>
    <w:p w14:paraId="40C4CB6F" w14:textId="77777777" w:rsidR="00072954" w:rsidRPr="00635CF7" w:rsidRDefault="00072954" w:rsidP="00072954">
      <w:pPr>
        <w:numPr>
          <w:ilvl w:val="1"/>
          <w:numId w:val="3"/>
        </w:numPr>
        <w:ind w:left="1171" w:right="32" w:hanging="427"/>
      </w:pPr>
      <w:r w:rsidRPr="00635CF7">
        <w:t xml:space="preserve">г-н </w:t>
      </w:r>
      <w:r w:rsidRPr="00635CF7">
        <w:rPr>
          <w:rFonts w:eastAsia="SimSun"/>
          <w:color w:val="auto"/>
          <w:szCs w:val="20"/>
          <w:lang w:eastAsia="zh-CN"/>
        </w:rPr>
        <w:t>Камлеш Викамсей</w:t>
      </w:r>
      <w:r w:rsidRPr="00635CF7">
        <w:t xml:space="preserve"> (Азиатско-Тихоокеанская группа);</w:t>
      </w:r>
    </w:p>
    <w:p w14:paraId="58BD3C36" w14:textId="033FDE80" w:rsidR="00072954" w:rsidRPr="00635CF7" w:rsidRDefault="00072954" w:rsidP="00072954">
      <w:pPr>
        <w:numPr>
          <w:ilvl w:val="1"/>
          <w:numId w:val="3"/>
        </w:numPr>
        <w:ind w:left="1171" w:right="32" w:hanging="427"/>
      </w:pPr>
      <w:bookmarkStart w:id="11" w:name="_Hlk127806646"/>
      <w:r w:rsidRPr="00635CF7">
        <w:t xml:space="preserve">г-н </w:t>
      </w:r>
      <w:r w:rsidRPr="00635CF7">
        <w:rPr>
          <w:rFonts w:eastAsia="SimSun"/>
          <w:color w:val="auto"/>
          <w:szCs w:val="20"/>
          <w:lang w:eastAsia="zh-CN"/>
        </w:rPr>
        <w:t>Данил Керими</w:t>
      </w:r>
      <w:r w:rsidRPr="00635CF7">
        <w:t xml:space="preserve"> (Группа стран Центральной Азии, Кавказа и Восточной Европы</w:t>
      </w:r>
      <w:r w:rsidR="004F5A85">
        <w:rPr>
          <w:lang w:val="en-US"/>
        </w:rPr>
        <w:t> </w:t>
      </w:r>
      <w:r w:rsidRPr="00635CF7">
        <w:t>(ГЦАКВЕ));</w:t>
      </w:r>
    </w:p>
    <w:p w14:paraId="6EBBCA1E" w14:textId="77777777" w:rsidR="00072954" w:rsidRPr="00635CF7" w:rsidRDefault="00072954" w:rsidP="00072954">
      <w:pPr>
        <w:numPr>
          <w:ilvl w:val="1"/>
          <w:numId w:val="3"/>
        </w:numPr>
        <w:ind w:left="1171" w:right="32" w:hanging="427"/>
      </w:pPr>
      <w:r w:rsidRPr="00635CF7">
        <w:t xml:space="preserve">г-н </w:t>
      </w:r>
      <w:r w:rsidRPr="00635CF7">
        <w:rPr>
          <w:rFonts w:eastAsia="SimSun"/>
          <w:color w:val="auto"/>
          <w:szCs w:val="20"/>
          <w:lang w:eastAsia="zh-CN"/>
        </w:rPr>
        <w:t>Гуань Цзянь</w:t>
      </w:r>
      <w:r w:rsidRPr="00635CF7">
        <w:t xml:space="preserve"> (Китай</w:t>
      </w:r>
      <w:r>
        <w:t>);</w:t>
      </w:r>
      <w:r w:rsidRPr="00635CF7">
        <w:t xml:space="preserve"> и</w:t>
      </w:r>
    </w:p>
    <w:p w14:paraId="3545CD52" w14:textId="77777777" w:rsidR="00072954" w:rsidRPr="00635CF7" w:rsidRDefault="00072954" w:rsidP="00072954">
      <w:pPr>
        <w:numPr>
          <w:ilvl w:val="1"/>
          <w:numId w:val="3"/>
        </w:numPr>
        <w:ind w:left="1171" w:right="32" w:hanging="427"/>
      </w:pPr>
      <w:r w:rsidRPr="00635CF7">
        <w:t xml:space="preserve">г-н </w:t>
      </w:r>
      <w:r w:rsidRPr="00635CF7">
        <w:rPr>
          <w:rFonts w:eastAsia="SimSun"/>
          <w:color w:val="auto"/>
          <w:szCs w:val="20"/>
          <w:lang w:eastAsia="zh-CN"/>
        </w:rPr>
        <w:t>Герман Деффит</w:t>
      </w:r>
      <w:r w:rsidRPr="00635CF7">
        <w:t xml:space="preserve"> (Группа стран Латинской Америки и Карибского бассейна (ГРУЛАК)).</w:t>
      </w:r>
    </w:p>
    <w:bookmarkEnd w:id="11"/>
    <w:p w14:paraId="51E29655" w14:textId="77777777" w:rsidR="00072954" w:rsidRPr="00635CF7" w:rsidRDefault="00072954" w:rsidP="00072954">
      <w:pPr>
        <w:spacing w:after="0"/>
        <w:ind w:right="32"/>
      </w:pPr>
    </w:p>
    <w:p w14:paraId="7CAE2905" w14:textId="77777777" w:rsidR="00072954" w:rsidRPr="00635CF7" w:rsidRDefault="00072954" w:rsidP="00072954">
      <w:pPr>
        <w:ind w:left="0" w:right="32"/>
      </w:pPr>
      <w:r w:rsidRPr="00635CF7">
        <w:lastRenderedPageBreak/>
        <w:t>Состав Комитета отражает должное сочетание и баланс профессиональных навыков, знаний и опыта.</w:t>
      </w:r>
    </w:p>
    <w:p w14:paraId="4068A578" w14:textId="77777777" w:rsidR="00072954" w:rsidRPr="00635CF7" w:rsidRDefault="00072954" w:rsidP="00072954">
      <w:pPr>
        <w:spacing w:after="0"/>
        <w:ind w:right="32"/>
      </w:pPr>
    </w:p>
    <w:p w14:paraId="09A0C1CA" w14:textId="74BFEA87" w:rsidR="00072954" w:rsidRPr="00635CF7" w:rsidRDefault="00072954" w:rsidP="00716863">
      <w:pPr>
        <w:numPr>
          <w:ilvl w:val="0"/>
          <w:numId w:val="2"/>
        </w:numPr>
        <w:ind w:left="0" w:right="32" w:firstLine="0"/>
      </w:pPr>
      <w:r w:rsidRPr="00635CF7">
        <w:rPr>
          <w:shd w:val="clear" w:color="auto" w:fill="FFFFFF" w:themeFill="background1"/>
        </w:rPr>
        <w:t>В марте 2021 г</w:t>
      </w:r>
      <w:r w:rsidR="004F5A85">
        <w:rPr>
          <w:shd w:val="clear" w:color="auto" w:fill="FFFFFF" w:themeFill="background1"/>
        </w:rPr>
        <w:t>ода</w:t>
      </w:r>
      <w:r w:rsidRPr="00635CF7">
        <w:rPr>
          <w:shd w:val="clear" w:color="auto" w:fill="FFFFFF" w:themeFill="background1"/>
        </w:rPr>
        <w:t xml:space="preserve"> г-н </w:t>
      </w:r>
      <w:r>
        <w:rPr>
          <w:shd w:val="clear" w:color="auto" w:fill="FFFFFF" w:themeFill="background1"/>
        </w:rPr>
        <w:t xml:space="preserve">Отман </w:t>
      </w:r>
      <w:r w:rsidRPr="00635CF7">
        <w:rPr>
          <w:shd w:val="clear" w:color="auto" w:fill="FFFFFF" w:themeFill="background1"/>
        </w:rPr>
        <w:t>Шариф в неофициальном порядке сообщил о своем выходе из состава Комитета и после этого не принимал участия в заседаниях. Остальные члены завершили выполнение своих полномочий в январе 2023</w:t>
      </w:r>
      <w:r w:rsidR="004F5A85">
        <w:rPr>
          <w:shd w:val="clear" w:color="auto" w:fill="FFFFFF" w:themeFill="background1"/>
        </w:rPr>
        <w:t> </w:t>
      </w:r>
      <w:r w:rsidRPr="00635CF7">
        <w:rPr>
          <w:shd w:val="clear" w:color="auto" w:fill="FFFFFF" w:themeFill="background1"/>
        </w:rPr>
        <w:t>года, а именно:</w:t>
      </w:r>
    </w:p>
    <w:p w14:paraId="77372A03" w14:textId="77777777" w:rsidR="00072954" w:rsidRPr="00635CF7" w:rsidRDefault="00072954" w:rsidP="00072954">
      <w:pPr>
        <w:ind w:right="32"/>
      </w:pPr>
    </w:p>
    <w:p w14:paraId="1A53A7CF" w14:textId="227C6F99" w:rsidR="00072954" w:rsidRPr="00635CF7" w:rsidRDefault="00072954" w:rsidP="00072954">
      <w:pPr>
        <w:numPr>
          <w:ilvl w:val="1"/>
          <w:numId w:val="3"/>
        </w:numPr>
        <w:ind w:left="1171" w:right="32" w:hanging="427"/>
      </w:pPr>
      <w:r w:rsidRPr="00635CF7">
        <w:t>г-жа Татьяна Васильева (ГЦАКВЕ);</w:t>
      </w:r>
    </w:p>
    <w:p w14:paraId="16596746" w14:textId="03534234" w:rsidR="00072954" w:rsidRPr="00635CF7" w:rsidRDefault="00072954" w:rsidP="00072954">
      <w:pPr>
        <w:numPr>
          <w:ilvl w:val="1"/>
          <w:numId w:val="3"/>
        </w:numPr>
        <w:ind w:left="1171" w:right="32" w:hanging="427"/>
      </w:pPr>
      <w:r w:rsidRPr="00635CF7">
        <w:t>г-жа Мария Висьен-Мильбурн (</w:t>
      </w:r>
      <w:r w:rsidR="00716863">
        <w:t>ГРУЛАК</w:t>
      </w:r>
      <w:r w:rsidRPr="00635CF7">
        <w:t>);</w:t>
      </w:r>
    </w:p>
    <w:p w14:paraId="7EDBAF4F" w14:textId="77777777" w:rsidR="00072954" w:rsidRPr="00635CF7" w:rsidRDefault="00072954" w:rsidP="00072954">
      <w:pPr>
        <w:numPr>
          <w:ilvl w:val="1"/>
          <w:numId w:val="3"/>
        </w:numPr>
        <w:ind w:left="1171" w:right="32" w:hanging="427"/>
      </w:pPr>
      <w:r w:rsidRPr="00635CF7">
        <w:t>г-н Мукеш Арья (Азиатско-Тихоокеанская группа); и</w:t>
      </w:r>
    </w:p>
    <w:p w14:paraId="4CE16375" w14:textId="77777777" w:rsidR="00072954" w:rsidRPr="00635CF7" w:rsidRDefault="00072954" w:rsidP="00072954">
      <w:pPr>
        <w:numPr>
          <w:ilvl w:val="1"/>
          <w:numId w:val="3"/>
        </w:numPr>
        <w:ind w:left="1171" w:right="32" w:hanging="427"/>
      </w:pPr>
      <w:r w:rsidRPr="00635CF7">
        <w:t>г-н Чжан Лун (Китай).</w:t>
      </w:r>
    </w:p>
    <w:p w14:paraId="7DB15FC9" w14:textId="77777777" w:rsidR="00072954" w:rsidRPr="00635CF7" w:rsidRDefault="00072954" w:rsidP="00072954">
      <w:pPr>
        <w:ind w:right="32"/>
      </w:pPr>
    </w:p>
    <w:p w14:paraId="18B48B85" w14:textId="087710CC" w:rsidR="00072954" w:rsidRPr="00635CF7" w:rsidRDefault="00072954" w:rsidP="00294E7C">
      <w:pPr>
        <w:pStyle w:val="Heading4"/>
        <w:spacing w:after="3"/>
        <w:ind w:left="720" w:right="32" w:firstLine="0"/>
      </w:pPr>
      <w:r w:rsidRPr="00635CF7">
        <w:rPr>
          <w:i/>
          <w:u w:val="none"/>
        </w:rPr>
        <w:t>Методы работы</w:t>
      </w:r>
    </w:p>
    <w:p w14:paraId="61593D90" w14:textId="77777777" w:rsidR="00072954" w:rsidRPr="00635CF7" w:rsidRDefault="00072954" w:rsidP="00072954">
      <w:pPr>
        <w:spacing w:after="0"/>
        <w:ind w:right="32"/>
      </w:pPr>
    </w:p>
    <w:p w14:paraId="379BABC2" w14:textId="10C414EB" w:rsidR="00072954" w:rsidRPr="00635CF7" w:rsidRDefault="00072954" w:rsidP="004F5A85">
      <w:pPr>
        <w:numPr>
          <w:ilvl w:val="0"/>
          <w:numId w:val="4"/>
        </w:numPr>
        <w:ind w:left="0" w:right="32" w:firstLine="0"/>
      </w:pPr>
      <w:r w:rsidRPr="00635CF7">
        <w:t>Комитет выносит экспертные рекомендации в рамках взаимодействия с Генеральным директором</w:t>
      </w:r>
      <w:r w:rsidR="00CB328E">
        <w:t xml:space="preserve"> ВОИС, сотрудниками Секретариата </w:t>
      </w:r>
      <w:r w:rsidRPr="00635CF7">
        <w:t>и Внешним аудитором, основываясь главным образом на предоставляемых ему отчетах, сообщениях и информации. Кроме того, прежде чем прийти к тем или иным заключениям и выводам, он проводит обсуждения соответствующих вопросов.</w:t>
      </w:r>
    </w:p>
    <w:p w14:paraId="6A190146" w14:textId="77777777" w:rsidR="00072954" w:rsidRPr="00635CF7" w:rsidRDefault="00072954" w:rsidP="00072954">
      <w:pPr>
        <w:ind w:right="32"/>
      </w:pPr>
    </w:p>
    <w:p w14:paraId="5C52C56D" w14:textId="414D0009" w:rsidR="00072954" w:rsidRPr="00635CF7" w:rsidRDefault="000D71B7" w:rsidP="004F5A85">
      <w:pPr>
        <w:numPr>
          <w:ilvl w:val="0"/>
          <w:numId w:val="4"/>
        </w:numPr>
        <w:ind w:left="0" w:right="32" w:firstLine="0"/>
      </w:pPr>
      <w:r>
        <w:t>В порядке вводного инструктажа Секретариат н</w:t>
      </w:r>
      <w:r w:rsidR="00072954" w:rsidRPr="00635CF7">
        <w:t>а своей 68-й сессии представил Комитету структурированную содержательную информацию о ВОИС</w:t>
      </w:r>
      <w:r w:rsidR="00790CC5">
        <w:t>. Генеральный директор рассказал о деятельности</w:t>
      </w:r>
      <w:r w:rsidR="00072954" w:rsidRPr="00635CF7">
        <w:t xml:space="preserve"> Организации и ее стратегических целей</w:t>
      </w:r>
      <w:r w:rsidR="00790CC5">
        <w:t>.</w:t>
      </w:r>
      <w:r w:rsidR="00072954" w:rsidRPr="00635CF7">
        <w:t xml:space="preserve"> </w:t>
      </w:r>
      <w:r w:rsidR="00790CC5">
        <w:t>Кроме того, были представлены обзоры следующих направлений работы</w:t>
      </w:r>
      <w:r w:rsidR="00790CC5" w:rsidRPr="00635CF7">
        <w:t xml:space="preserve">: </w:t>
      </w:r>
      <w:r w:rsidR="00790CC5">
        <w:t xml:space="preserve">деятельность </w:t>
      </w:r>
      <w:r w:rsidR="00072954" w:rsidRPr="00635CF7">
        <w:t>Сектор</w:t>
      </w:r>
      <w:r w:rsidR="00790CC5">
        <w:t>а</w:t>
      </w:r>
      <w:r w:rsidR="00072954" w:rsidRPr="00635CF7">
        <w:t xml:space="preserve"> администрации, финансов и управления, Сектора патентов и технологий, Сектора брендов и образцов, Отдела внутреннего надзора, Департамента управления людскими ресурсами, Бюро Юрисконсульта и </w:t>
      </w:r>
      <w:r w:rsidR="00427F2B">
        <w:t xml:space="preserve">деятельность ВОИС в области </w:t>
      </w:r>
      <w:r w:rsidR="00072954" w:rsidRPr="00635CF7">
        <w:t>этики. Члены Комитета также встретились с председателями Генеральной Ассамблеи и Координационного комитета ВОИС.</w:t>
      </w:r>
    </w:p>
    <w:p w14:paraId="6E6CCF1F" w14:textId="77777777" w:rsidR="00072954" w:rsidRPr="00635CF7" w:rsidRDefault="00072954" w:rsidP="00072954">
      <w:pPr>
        <w:spacing w:after="0"/>
        <w:ind w:right="32"/>
      </w:pPr>
    </w:p>
    <w:p w14:paraId="5F52C103" w14:textId="738778E8" w:rsidR="00072954" w:rsidRPr="00285EAF" w:rsidRDefault="00072954" w:rsidP="00285EAF">
      <w:pPr>
        <w:pStyle w:val="Heading4"/>
        <w:ind w:left="720" w:firstLine="0"/>
        <w:rPr>
          <w:i/>
          <w:u w:val="none"/>
        </w:rPr>
      </w:pPr>
      <w:r w:rsidRPr="00285EAF">
        <w:rPr>
          <w:i/>
          <w:u w:val="none"/>
        </w:rPr>
        <w:t>Самооценка НККН</w:t>
      </w:r>
    </w:p>
    <w:p w14:paraId="04C36789" w14:textId="77777777" w:rsidR="00072954" w:rsidRPr="00635CF7" w:rsidRDefault="00072954" w:rsidP="00072954">
      <w:pPr>
        <w:spacing w:after="0"/>
        <w:ind w:right="32"/>
      </w:pPr>
    </w:p>
    <w:p w14:paraId="5767A545" w14:textId="0FA57DAC" w:rsidR="00072954" w:rsidRPr="00635CF7" w:rsidRDefault="00072954" w:rsidP="00EA64A9">
      <w:pPr>
        <w:pStyle w:val="ListParagraph"/>
        <w:numPr>
          <w:ilvl w:val="0"/>
          <w:numId w:val="4"/>
        </w:numPr>
        <w:ind w:left="0" w:right="32" w:firstLine="0"/>
      </w:pPr>
      <w:r w:rsidRPr="00635CF7">
        <w:t xml:space="preserve">На 67-й сессии Комитет в русле своих полномочий провел самооценку с точки зрения: (i) выполняемых им функций, возложенных обязанностей и состава; (ii) функционирования Комитета; и (iii) объема работы в области: (a) финансовой отчетности, (b) управления рисками и внутреннего контроля, (c) внешнего аудита, (d) внутреннего надзора и (e) </w:t>
      </w:r>
      <w:r>
        <w:t xml:space="preserve">вопросов </w:t>
      </w:r>
      <w:r w:rsidRPr="00635CF7">
        <w:t xml:space="preserve">этики. </w:t>
      </w:r>
      <w:r>
        <w:t>В</w:t>
      </w:r>
      <w:r w:rsidRPr="00635CF7">
        <w:t xml:space="preserve"> результате самооценки был выявлен ряд требующих учета моментов, в частности систематическая потребность в пересмотре полномочий НККН.</w:t>
      </w:r>
    </w:p>
    <w:p w14:paraId="3E3C323D" w14:textId="77777777" w:rsidR="00072954" w:rsidRPr="00635CF7" w:rsidRDefault="00072954" w:rsidP="00072954">
      <w:pPr>
        <w:ind w:right="32"/>
      </w:pPr>
    </w:p>
    <w:p w14:paraId="266036C3" w14:textId="43777316" w:rsidR="00072954" w:rsidRPr="00635CF7" w:rsidRDefault="00072954" w:rsidP="004507BB">
      <w:pPr>
        <w:pStyle w:val="ListParagraph"/>
        <w:numPr>
          <w:ilvl w:val="0"/>
          <w:numId w:val="4"/>
        </w:numPr>
        <w:ind w:left="0" w:right="32" w:firstLine="0"/>
      </w:pPr>
      <w:r w:rsidRPr="00635CF7">
        <w:t>Кроме того, Комитет, опираясь, в частности</w:t>
      </w:r>
      <w:r>
        <w:t>,</w:t>
      </w:r>
      <w:r w:rsidRPr="00635CF7">
        <w:t xml:space="preserve"> на годовые отчеты за 2019, 2020 и 2021</w:t>
      </w:r>
      <w:r w:rsidR="004507BB">
        <w:t> </w:t>
      </w:r>
      <w:r w:rsidRPr="00635CF7">
        <w:t>годы, а также отчеты о сессиях 2022 года</w:t>
      </w:r>
      <w:r>
        <w:t>,</w:t>
      </w:r>
      <w:r w:rsidRPr="000725FE">
        <w:t xml:space="preserve"> </w:t>
      </w:r>
      <w:r w:rsidR="004507BB">
        <w:t xml:space="preserve">оценил достигнутые </w:t>
      </w:r>
      <w:r w:rsidRPr="00635CF7">
        <w:t xml:space="preserve">успехи. В целом Комитет способствовал: (i) укреплению структуры управления рисками в ВОИС, включая разработку обновленного варианта заявления о параметрах приемлемого риска; (ii) совершенствованию системы контроля за выполнением рекомендаций надзорных органов, включая рекомендации ОИГ; (iii) обеспечению полноценной работы Бюро по вопросам этики; (iv) повышению транспарентности в контексте публикации отчетов Омбудсмена; и (v) расширению диалога с руководством. Помимо этого, Комитет предоставлял консультации, позволившие: (i) обеспечить более тесную увязку плана внутреннего надзора со Среднесрочным стратегическим планом; (ii) способствовать переходу к оценкам стратегического и общеорганизационного характера; (iii) совершенствовать аудиторские проверки бюро за счет учета большего числа факторов, а не только соблюдения финансовых и административных показателей, и включения общей оценки результативности; а также (iv) укрепить основы </w:t>
      </w:r>
      <w:r w:rsidRPr="00635CF7">
        <w:lastRenderedPageBreak/>
        <w:t xml:space="preserve">внешнего аудита за счет полноценной увязки планирования, результатов работы и порядка отчетности с мандатом </w:t>
      </w:r>
      <w:r>
        <w:t>этого</w:t>
      </w:r>
      <w:r w:rsidRPr="00635CF7">
        <w:t xml:space="preserve"> направления деятельности.</w:t>
      </w:r>
      <w:r w:rsidR="004507BB">
        <w:t xml:space="preserve"> </w:t>
      </w:r>
      <w:r w:rsidR="00CC546E">
        <w:t>Члены Комитета удовлетворены тем, что им удается эффективно выполнять свой мандат.</w:t>
      </w:r>
    </w:p>
    <w:p w14:paraId="5421A032" w14:textId="77777777" w:rsidR="00072954" w:rsidRPr="00635CF7" w:rsidRDefault="00072954" w:rsidP="00072954">
      <w:pPr>
        <w:ind w:right="32"/>
      </w:pPr>
    </w:p>
    <w:p w14:paraId="290B7156" w14:textId="77777777" w:rsidR="00072954" w:rsidRPr="00635CF7" w:rsidRDefault="00072954" w:rsidP="00285EAF">
      <w:pPr>
        <w:pStyle w:val="Heading5"/>
        <w:ind w:left="720" w:firstLine="0"/>
      </w:pPr>
      <w:r w:rsidRPr="00635CF7">
        <w:t>Полномочия НККН</w:t>
      </w:r>
    </w:p>
    <w:p w14:paraId="3707BB8C" w14:textId="77777777" w:rsidR="00072954" w:rsidRPr="00635CF7" w:rsidRDefault="00072954" w:rsidP="00072954">
      <w:pPr>
        <w:ind w:right="32"/>
      </w:pPr>
    </w:p>
    <w:p w14:paraId="3EB2B264" w14:textId="25ED0550" w:rsidR="00072954" w:rsidRPr="00635CF7" w:rsidRDefault="00072954" w:rsidP="00CC546E">
      <w:pPr>
        <w:pStyle w:val="ListParagraph"/>
        <w:numPr>
          <w:ilvl w:val="0"/>
          <w:numId w:val="4"/>
        </w:numPr>
        <w:ind w:left="0" w:right="32" w:firstLine="0"/>
      </w:pPr>
      <w:r w:rsidRPr="00635CF7">
        <w:t xml:space="preserve">В 2022 году Комитет в своем предыдущем составе обсудил предлагаемые поправки к Полномочиям, чтобы отразить рекомендации ОИГ, развитие практики в системе ООН и собственный опыт НККН. Конкретные моменты были обсуждены с Секретариатом, и </w:t>
      </w:r>
      <w:r w:rsidR="00CC546E">
        <w:t xml:space="preserve">первый </w:t>
      </w:r>
      <w:r w:rsidRPr="00635CF7">
        <w:t xml:space="preserve">проект был неофициально передан координаторам </w:t>
      </w:r>
      <w:r w:rsidR="00CC546E">
        <w:t>групп</w:t>
      </w:r>
      <w:r w:rsidRPr="00635CF7">
        <w:t>. На 68-й сессии члены Комитета рассмотрели этот нерешенный вопрос и, обсудив его по пунктам, пришли к консенсусу</w:t>
      </w:r>
      <w:r w:rsidR="00CC546E">
        <w:t xml:space="preserve"> с учетом замечаний Секретариата и комментариев по итогам первого раунда консультаций с координаторами групп</w:t>
      </w:r>
      <w:r w:rsidRPr="00635CF7">
        <w:t>. Пересмотренный проект б</w:t>
      </w:r>
      <w:r w:rsidR="00CC546E">
        <w:t>ыл</w:t>
      </w:r>
      <w:r w:rsidRPr="00635CF7">
        <w:t xml:space="preserve"> представлен координаторам групп </w:t>
      </w:r>
      <w:r>
        <w:t>на предмет</w:t>
      </w:r>
      <w:r w:rsidRPr="00635CF7">
        <w:t xml:space="preserve"> замечаний. </w:t>
      </w:r>
      <w:r w:rsidR="00CC546E">
        <w:t>О</w:t>
      </w:r>
      <w:r w:rsidRPr="00635CF7">
        <w:t>кончательный проект будет представлен К</w:t>
      </w:r>
      <w:r w:rsidR="00B94B24">
        <w:t>ПБ</w:t>
      </w:r>
      <w:r w:rsidR="00CC546E">
        <w:t xml:space="preserve"> на 36-й сессии</w:t>
      </w:r>
      <w:r w:rsidRPr="00635CF7">
        <w:t>.</w:t>
      </w:r>
    </w:p>
    <w:p w14:paraId="68727992" w14:textId="77777777" w:rsidR="00072954" w:rsidRPr="00635CF7" w:rsidRDefault="00072954" w:rsidP="00072954">
      <w:pPr>
        <w:spacing w:after="0"/>
        <w:ind w:right="32"/>
      </w:pPr>
    </w:p>
    <w:p w14:paraId="0AAECEAD" w14:textId="4789AFCB" w:rsidR="00072954" w:rsidRPr="00635CF7" w:rsidRDefault="00072954" w:rsidP="00072954">
      <w:pPr>
        <w:pStyle w:val="Heading1"/>
        <w:tabs>
          <w:tab w:val="left" w:pos="851"/>
          <w:tab w:val="left" w:pos="1134"/>
          <w:tab w:val="center" w:pos="2810"/>
        </w:tabs>
        <w:ind w:left="0" w:right="32" w:firstLine="0"/>
      </w:pPr>
      <w:bookmarkStart w:id="12" w:name="_Toc136419479"/>
      <w:bookmarkStart w:id="13" w:name="_Toc136445867"/>
      <w:r w:rsidRPr="00635CF7">
        <w:t>III.</w:t>
      </w:r>
      <w:r>
        <w:tab/>
      </w:r>
      <w:r w:rsidRPr="00635CF7">
        <w:t>ВОПРОСЫ, КОТОРЫЕ СТАЛИ ПРЕДМЕТОМ ОБСУЖДЕНИЯ И ОБЗОРА</w:t>
      </w:r>
      <w:bookmarkEnd w:id="12"/>
      <w:bookmarkEnd w:id="13"/>
    </w:p>
    <w:p w14:paraId="6F3B8741" w14:textId="77777777" w:rsidR="00072954" w:rsidRPr="00635CF7" w:rsidRDefault="00072954" w:rsidP="00072954">
      <w:pPr>
        <w:spacing w:after="0"/>
        <w:ind w:right="32"/>
      </w:pPr>
    </w:p>
    <w:p w14:paraId="59C0C298" w14:textId="77777777" w:rsidR="00072954" w:rsidRPr="00635CF7" w:rsidRDefault="00072954" w:rsidP="00072954">
      <w:pPr>
        <w:pStyle w:val="Heading2"/>
        <w:numPr>
          <w:ilvl w:val="0"/>
          <w:numId w:val="34"/>
        </w:numPr>
        <w:tabs>
          <w:tab w:val="center" w:pos="1589"/>
        </w:tabs>
        <w:ind w:right="32"/>
      </w:pPr>
      <w:r w:rsidRPr="00635CF7">
        <w:rPr>
          <w:u w:val="none"/>
        </w:rPr>
        <w:tab/>
      </w:r>
      <w:bookmarkStart w:id="14" w:name="_Toc136419480"/>
      <w:bookmarkStart w:id="15" w:name="_Toc136445868"/>
      <w:r w:rsidRPr="00635CF7">
        <w:t>Внутренний надзор</w:t>
      </w:r>
      <w:bookmarkEnd w:id="14"/>
      <w:bookmarkEnd w:id="15"/>
    </w:p>
    <w:p w14:paraId="52F63655" w14:textId="77777777" w:rsidR="00072954" w:rsidRPr="00635CF7" w:rsidRDefault="00072954" w:rsidP="00072954">
      <w:pPr>
        <w:spacing w:after="0"/>
        <w:ind w:right="32"/>
      </w:pPr>
    </w:p>
    <w:p w14:paraId="4A8F310C" w14:textId="0511D69F" w:rsidR="00072954" w:rsidRPr="00635CF7" w:rsidRDefault="00072954" w:rsidP="00294E7C">
      <w:pPr>
        <w:pStyle w:val="Heading5"/>
        <w:ind w:left="720" w:right="32" w:firstLine="0"/>
      </w:pPr>
      <w:r w:rsidRPr="00635CF7">
        <w:t>План внутреннего надзора и результаты выполнения плана работы</w:t>
      </w:r>
    </w:p>
    <w:p w14:paraId="72596EDA" w14:textId="77777777" w:rsidR="00072954" w:rsidRPr="00635CF7" w:rsidRDefault="00072954" w:rsidP="00072954">
      <w:pPr>
        <w:spacing w:after="16"/>
        <w:ind w:left="1" w:right="32" w:firstLine="0"/>
      </w:pPr>
    </w:p>
    <w:p w14:paraId="6BFE84B3" w14:textId="06915EA0" w:rsidR="00072954" w:rsidRPr="00635CF7" w:rsidRDefault="00072954" w:rsidP="00131A64">
      <w:pPr>
        <w:pStyle w:val="ListParagraph"/>
        <w:numPr>
          <w:ilvl w:val="0"/>
          <w:numId w:val="4"/>
        </w:numPr>
        <w:spacing w:after="0"/>
        <w:ind w:left="0" w:right="32" w:firstLine="0"/>
      </w:pPr>
      <w:r w:rsidRPr="00635CF7">
        <w:t xml:space="preserve">Комитет рассмотрел вопрос о ходе осуществления </w:t>
      </w:r>
      <w:r>
        <w:t>г</w:t>
      </w:r>
      <w:r w:rsidRPr="00635CF7">
        <w:t>одового плана надзорной работы на 2022</w:t>
      </w:r>
      <w:r w:rsidR="00131A64">
        <w:t> </w:t>
      </w:r>
      <w:r w:rsidRPr="00635CF7">
        <w:t>год, основываясь на квартальных отчетах ОВН о проделанной работе, которые составлялись для каждой сессии. В отношении годового плана надзорной работы на 2023</w:t>
      </w:r>
      <w:r w:rsidR="00131A64">
        <w:t> </w:t>
      </w:r>
      <w:r w:rsidRPr="00635CF7">
        <w:t xml:space="preserve">год Комитет счел, что </w:t>
      </w:r>
      <w:r w:rsidR="0077039B">
        <w:t xml:space="preserve">этот документ </w:t>
      </w:r>
      <w:r w:rsidRPr="00635CF7">
        <w:t>хорошо проработан, и отметил его более тесную увязку со Среднесрочным стратегическим планом, а также тот факт, что ОВН провел развернутые консультации</w:t>
      </w:r>
      <w:r w:rsidR="0077039B">
        <w:t xml:space="preserve"> до составления соответствующего плана</w:t>
      </w:r>
      <w:r w:rsidRPr="00635CF7">
        <w:t>.</w:t>
      </w:r>
    </w:p>
    <w:p w14:paraId="1E35A943" w14:textId="77777777" w:rsidR="00072954" w:rsidRPr="00635CF7" w:rsidRDefault="00072954" w:rsidP="00072954">
      <w:pPr>
        <w:spacing w:after="0"/>
        <w:ind w:right="32"/>
      </w:pPr>
    </w:p>
    <w:p w14:paraId="0BAB27EA" w14:textId="77777777" w:rsidR="00072954" w:rsidRPr="00635CF7" w:rsidRDefault="00072954" w:rsidP="00294E7C">
      <w:pPr>
        <w:pStyle w:val="Heading5"/>
        <w:ind w:left="720" w:right="32" w:firstLine="0"/>
      </w:pPr>
      <w:r w:rsidRPr="00635CF7">
        <w:t>Внутренний аудит</w:t>
      </w:r>
    </w:p>
    <w:p w14:paraId="4026F4CE" w14:textId="77777777" w:rsidR="00072954" w:rsidRPr="00635CF7" w:rsidRDefault="00072954" w:rsidP="00072954">
      <w:pPr>
        <w:spacing w:after="14"/>
        <w:ind w:right="32"/>
      </w:pPr>
    </w:p>
    <w:p w14:paraId="318A508A" w14:textId="77777777" w:rsidR="00072954" w:rsidRPr="00635CF7" w:rsidRDefault="00072954" w:rsidP="00131A64">
      <w:pPr>
        <w:pStyle w:val="ListParagraph"/>
        <w:numPr>
          <w:ilvl w:val="0"/>
          <w:numId w:val="4"/>
        </w:numPr>
        <w:ind w:left="0" w:right="32" w:firstLine="0"/>
      </w:pPr>
      <w:r w:rsidRPr="00635CF7">
        <w:t xml:space="preserve">В течение отчетного периода Комитет совместно с ОВН и руководством рассмотрел два отчета об аудиторских проверках и один отчет о комбинированных аудите и оценке. В соответствии с </w:t>
      </w:r>
      <w:r>
        <w:t>п</w:t>
      </w:r>
      <w:r w:rsidRPr="00635CF7">
        <w:t>олитикой ОВН в области публикации отчетов (IOD/PP/2017) их полные версии были размещены на веб-сайте ВОИС.</w:t>
      </w:r>
    </w:p>
    <w:p w14:paraId="22407F79" w14:textId="77777777" w:rsidR="00072954" w:rsidRPr="00635CF7" w:rsidRDefault="00072954" w:rsidP="00072954">
      <w:pPr>
        <w:spacing w:after="16"/>
        <w:ind w:right="32"/>
      </w:pPr>
    </w:p>
    <w:p w14:paraId="1F67076C" w14:textId="1B5AD426" w:rsidR="00072954" w:rsidRPr="00635CF7" w:rsidRDefault="00072954" w:rsidP="00072954">
      <w:pPr>
        <w:numPr>
          <w:ilvl w:val="1"/>
          <w:numId w:val="23"/>
        </w:numPr>
        <w:ind w:right="32" w:hanging="360"/>
      </w:pPr>
      <w:r w:rsidRPr="00635CF7">
        <w:t>Отчет об аудиторской проверке – Аудит услуг индивидуальных подрядчиков и агентств по временному трудоустройству (</w:t>
      </w:r>
      <w:r w:rsidR="0077039B">
        <w:t xml:space="preserve">справочный № ОВН: </w:t>
      </w:r>
      <w:r w:rsidRPr="00635CF7">
        <w:t>IA 2022-01)</w:t>
      </w:r>
      <w:r w:rsidR="0077039B">
        <w:t>;</w:t>
      </w:r>
    </w:p>
    <w:p w14:paraId="4E947221" w14:textId="72A14F92" w:rsidR="00072954" w:rsidRPr="00635CF7" w:rsidRDefault="00072954" w:rsidP="00072954">
      <w:pPr>
        <w:numPr>
          <w:ilvl w:val="1"/>
          <w:numId w:val="23"/>
        </w:numPr>
        <w:ind w:right="32" w:hanging="360"/>
      </w:pPr>
      <w:r w:rsidRPr="00635CF7">
        <w:t>Обзор деятельности Бюро ВОИС в Японии (</w:t>
      </w:r>
      <w:r w:rsidR="0077039B">
        <w:t xml:space="preserve">справочный № ОВН: </w:t>
      </w:r>
      <w:r w:rsidRPr="00635CF7">
        <w:t>IA 2022-02)</w:t>
      </w:r>
      <w:r w:rsidR="0077039B">
        <w:t>;</w:t>
      </w:r>
    </w:p>
    <w:p w14:paraId="2FEB4929" w14:textId="7A3DAEE5" w:rsidR="00072954" w:rsidRPr="00635CF7" w:rsidRDefault="00072954" w:rsidP="00072954">
      <w:pPr>
        <w:numPr>
          <w:ilvl w:val="1"/>
          <w:numId w:val="23"/>
        </w:numPr>
        <w:ind w:right="32" w:hanging="360"/>
      </w:pPr>
      <w:r w:rsidRPr="00635CF7">
        <w:rPr>
          <w:rFonts w:eastAsia="Times New Roman"/>
          <w:color w:val="000000" w:themeColor="text1"/>
        </w:rPr>
        <w:t>Отчет - Комбинированные аудит и оценка работы Бюро Юрисконсульта (справочный №</w:t>
      </w:r>
      <w:r w:rsidR="0077039B">
        <w:rPr>
          <w:rFonts w:eastAsia="Times New Roman"/>
          <w:color w:val="000000" w:themeColor="text1"/>
        </w:rPr>
        <w:t xml:space="preserve"> ОВН</w:t>
      </w:r>
      <w:r w:rsidRPr="00635CF7">
        <w:rPr>
          <w:rFonts w:eastAsia="Times New Roman"/>
          <w:color w:val="000000" w:themeColor="text1"/>
        </w:rPr>
        <w:t>: IA 2022-04)</w:t>
      </w:r>
      <w:r w:rsidR="0077039B">
        <w:rPr>
          <w:rFonts w:eastAsia="Times New Roman"/>
          <w:color w:val="000000" w:themeColor="text1"/>
        </w:rPr>
        <w:t>.</w:t>
      </w:r>
    </w:p>
    <w:p w14:paraId="70627652" w14:textId="77777777" w:rsidR="00072954" w:rsidRPr="00635CF7" w:rsidRDefault="00072954" w:rsidP="00072954">
      <w:pPr>
        <w:spacing w:after="0"/>
        <w:ind w:right="32"/>
      </w:pPr>
    </w:p>
    <w:p w14:paraId="0C620C1F" w14:textId="04446632" w:rsidR="00072954" w:rsidRPr="00635CF7" w:rsidRDefault="00072954" w:rsidP="00285EAF">
      <w:pPr>
        <w:pStyle w:val="Heading5"/>
        <w:ind w:left="720" w:firstLine="0"/>
      </w:pPr>
      <w:r w:rsidRPr="00635CF7">
        <w:t>Оценка</w:t>
      </w:r>
    </w:p>
    <w:p w14:paraId="2877BD22" w14:textId="77777777" w:rsidR="00072954" w:rsidRPr="00635CF7" w:rsidRDefault="00072954" w:rsidP="00072954">
      <w:pPr>
        <w:spacing w:after="16"/>
        <w:ind w:left="1" w:right="32" w:firstLine="0"/>
      </w:pPr>
    </w:p>
    <w:p w14:paraId="149F79DA" w14:textId="77777777" w:rsidR="00072954" w:rsidRPr="00635CF7" w:rsidRDefault="00072954" w:rsidP="00072954">
      <w:pPr>
        <w:pStyle w:val="ListParagraph"/>
        <w:numPr>
          <w:ilvl w:val="0"/>
          <w:numId w:val="4"/>
        </w:numPr>
        <w:ind w:left="0" w:right="32"/>
      </w:pPr>
      <w:r w:rsidRPr="00635CF7">
        <w:t>В течение отчетного периода Комитет совместно с ОВН и руководством рассмотрел один отчет об оценке и один консультативный отчет:</w:t>
      </w:r>
    </w:p>
    <w:p w14:paraId="45125206" w14:textId="77777777" w:rsidR="00072954" w:rsidRPr="00635CF7" w:rsidRDefault="00072954" w:rsidP="00072954">
      <w:pPr>
        <w:ind w:right="32"/>
      </w:pPr>
    </w:p>
    <w:p w14:paraId="6AE18200" w14:textId="6E7070A7" w:rsidR="00072954" w:rsidRPr="00635CF7" w:rsidRDefault="00072954" w:rsidP="00072954">
      <w:pPr>
        <w:numPr>
          <w:ilvl w:val="0"/>
          <w:numId w:val="24"/>
        </w:numPr>
        <w:ind w:right="32" w:hanging="427"/>
      </w:pPr>
      <w:r w:rsidRPr="00635CF7">
        <w:rPr>
          <w:bCs/>
        </w:rPr>
        <w:t>Пересмотренная</w:t>
      </w:r>
      <w:r w:rsidRPr="00635CF7">
        <w:t xml:space="preserve"> методология для проверки достоверности информации, представленной в отчете о результатах работы ВОИС, (справочный</w:t>
      </w:r>
      <w:r w:rsidR="007A17D1">
        <w:t> </w:t>
      </w:r>
      <w:r w:rsidRPr="00635CF7">
        <w:t>№</w:t>
      </w:r>
      <w:r w:rsidR="007F6B27">
        <w:t xml:space="preserve"> ОВН</w:t>
      </w:r>
      <w:r w:rsidRPr="00635CF7">
        <w:t>: EVAL</w:t>
      </w:r>
      <w:r w:rsidR="007A17D1">
        <w:t> </w:t>
      </w:r>
      <w:r w:rsidRPr="00635CF7">
        <w:t>2021-06)</w:t>
      </w:r>
      <w:r w:rsidR="007F6B27">
        <w:t>;</w:t>
      </w:r>
    </w:p>
    <w:p w14:paraId="68452153" w14:textId="311DB4F2" w:rsidR="00072954" w:rsidRPr="007A17D1" w:rsidRDefault="00072954" w:rsidP="00072954">
      <w:pPr>
        <w:numPr>
          <w:ilvl w:val="0"/>
          <w:numId w:val="24"/>
        </w:numPr>
        <w:ind w:right="32" w:hanging="427"/>
      </w:pPr>
      <w:r w:rsidRPr="00635CF7">
        <w:rPr>
          <w:rFonts w:eastAsia="Times New Roman"/>
          <w:color w:val="000000" w:themeColor="text1"/>
        </w:rPr>
        <w:lastRenderedPageBreak/>
        <w:t>Консультативный отчет – методики поведенческих наук для расширения использования рекомендаций по оценке в программах по тематике интеллектуальной собственности и развития (справочный №</w:t>
      </w:r>
      <w:r w:rsidR="007F6B27">
        <w:rPr>
          <w:rFonts w:eastAsia="Times New Roman"/>
          <w:color w:val="000000" w:themeColor="text1"/>
        </w:rPr>
        <w:t xml:space="preserve"> ОВН</w:t>
      </w:r>
      <w:r w:rsidRPr="00635CF7">
        <w:rPr>
          <w:rFonts w:eastAsia="Times New Roman"/>
          <w:color w:val="000000" w:themeColor="text1"/>
        </w:rPr>
        <w:t>: EVAL</w:t>
      </w:r>
      <w:r w:rsidR="007A17D1">
        <w:rPr>
          <w:rFonts w:eastAsia="Times New Roman"/>
          <w:color w:val="000000" w:themeColor="text1"/>
        </w:rPr>
        <w:t> </w:t>
      </w:r>
      <w:r w:rsidRPr="00635CF7">
        <w:rPr>
          <w:rFonts w:eastAsia="Times New Roman"/>
          <w:color w:val="000000" w:themeColor="text1"/>
        </w:rPr>
        <w:t>2022-04)</w:t>
      </w:r>
      <w:r w:rsidR="007F6B27">
        <w:rPr>
          <w:rFonts w:eastAsia="Times New Roman"/>
          <w:color w:val="000000" w:themeColor="text1"/>
        </w:rPr>
        <w:t>.</w:t>
      </w:r>
    </w:p>
    <w:p w14:paraId="0D23176B" w14:textId="77777777" w:rsidR="007A17D1" w:rsidRPr="00635CF7" w:rsidRDefault="007A17D1" w:rsidP="007A17D1">
      <w:pPr>
        <w:ind w:right="32"/>
      </w:pPr>
    </w:p>
    <w:p w14:paraId="3DA52FDF" w14:textId="49C76DB1" w:rsidR="00072954" w:rsidRPr="00635CF7" w:rsidRDefault="00072954" w:rsidP="00294E7C">
      <w:pPr>
        <w:pStyle w:val="Heading5"/>
        <w:ind w:left="720" w:right="32" w:firstLine="0"/>
      </w:pPr>
      <w:r w:rsidRPr="00635CF7">
        <w:t>Расследования</w:t>
      </w:r>
    </w:p>
    <w:p w14:paraId="052A6531" w14:textId="77777777" w:rsidR="00072954" w:rsidRPr="00635CF7" w:rsidRDefault="00072954" w:rsidP="00072954">
      <w:pPr>
        <w:spacing w:after="14"/>
        <w:ind w:left="3" w:right="32" w:firstLine="0"/>
      </w:pPr>
    </w:p>
    <w:p w14:paraId="4678C0D9" w14:textId="671594DA" w:rsidR="00072954" w:rsidRPr="00635CF7" w:rsidRDefault="00072954" w:rsidP="00C961D3">
      <w:pPr>
        <w:pStyle w:val="ListParagraph"/>
        <w:numPr>
          <w:ilvl w:val="0"/>
          <w:numId w:val="4"/>
        </w:numPr>
        <w:ind w:left="0" w:right="32" w:firstLine="0"/>
      </w:pPr>
      <w:r w:rsidRPr="00635CF7">
        <w:t xml:space="preserve">В соответствии с Уставом внутреннего надзора </w:t>
      </w:r>
      <w:r w:rsidR="00C961D3">
        <w:t xml:space="preserve">Комитет </w:t>
      </w:r>
      <w:r w:rsidRPr="00635CF7">
        <w:t xml:space="preserve">на каждой сессии </w:t>
      </w:r>
      <w:r w:rsidR="00C961D3">
        <w:t xml:space="preserve">получает </w:t>
      </w:r>
      <w:r w:rsidRPr="00635CF7">
        <w:t>информ</w:t>
      </w:r>
      <w:r w:rsidR="00C961D3">
        <w:t>ацию</w:t>
      </w:r>
      <w:r w:rsidRPr="00635CF7">
        <w:t xml:space="preserve"> о ходе работы по проведению расследований и об изменении количества </w:t>
      </w:r>
      <w:r>
        <w:t>рассматриваемых</w:t>
      </w:r>
      <w:r w:rsidRPr="00635CF7">
        <w:t xml:space="preserve"> дел, представляя данные о полученных и обоснованных жалобах в разбивке по категориям неправомерных действий. Во всех случаях, предполагавших потенциальный конфликт интересов со стороны ОВН, Комитет подробно изучил каждое дело и вынес соответствующие рекомендации.</w:t>
      </w:r>
    </w:p>
    <w:p w14:paraId="218B1994" w14:textId="77777777" w:rsidR="00072954" w:rsidRPr="00635CF7" w:rsidRDefault="00072954" w:rsidP="00072954">
      <w:pPr>
        <w:ind w:right="32"/>
      </w:pPr>
    </w:p>
    <w:p w14:paraId="706106F3" w14:textId="198D871D" w:rsidR="00072954" w:rsidRPr="00635CF7" w:rsidRDefault="00072954" w:rsidP="00C961D3">
      <w:pPr>
        <w:pStyle w:val="ListParagraph"/>
        <w:numPr>
          <w:ilvl w:val="0"/>
          <w:numId w:val="4"/>
        </w:numPr>
        <w:ind w:left="0" w:firstLine="0"/>
        <w:rPr>
          <w:iCs/>
        </w:rPr>
      </w:pPr>
      <w:r w:rsidRPr="00635CF7">
        <w:t>В ходе 68-й сессии Комитета ОВН сообщил, что по состоянию на 9</w:t>
      </w:r>
      <w:r w:rsidR="00C90540">
        <w:t> </w:t>
      </w:r>
      <w:r w:rsidRPr="00635CF7">
        <w:t>марта 2023</w:t>
      </w:r>
      <w:r w:rsidR="00C90540">
        <w:t> </w:t>
      </w:r>
      <w:r w:rsidRPr="00635CF7">
        <w:t>года на рассмотрении находилось 23 дела, при этом 5 из них находились на стадии предварительной оценки, 8 – на стадии всестороннего расследования и рассмотрение еще 10 дел было приостановлено. Комитет принял к сведению, что из этих 23 ожидающих рассмотрения дел 4 было зарегистрировано в 2021</w:t>
      </w:r>
      <w:r w:rsidR="00C90540">
        <w:t> </w:t>
      </w:r>
      <w:r w:rsidRPr="00635CF7">
        <w:t>году, 13 – в 2022</w:t>
      </w:r>
      <w:r w:rsidR="00C90540">
        <w:t> </w:t>
      </w:r>
      <w:r w:rsidRPr="00635CF7">
        <w:t>году и 6 – в 2023 году.</w:t>
      </w:r>
    </w:p>
    <w:p w14:paraId="55547D5B" w14:textId="77777777" w:rsidR="00072954" w:rsidRPr="00C90540" w:rsidRDefault="00072954" w:rsidP="00C90540">
      <w:pPr>
        <w:ind w:left="0" w:firstLine="0"/>
      </w:pPr>
    </w:p>
    <w:p w14:paraId="2559E740" w14:textId="77777777" w:rsidR="00072954" w:rsidRPr="00635CF7" w:rsidRDefault="00072954" w:rsidP="00C90540">
      <w:pPr>
        <w:pStyle w:val="ListParagraph"/>
        <w:numPr>
          <w:ilvl w:val="0"/>
          <w:numId w:val="4"/>
        </w:numPr>
        <w:ind w:left="0" w:firstLine="0"/>
        <w:rPr>
          <w:b/>
        </w:rPr>
      </w:pPr>
      <w:r w:rsidRPr="00635CF7">
        <w:rPr>
          <w:bCs/>
        </w:rPr>
        <w:t xml:space="preserve">Также на 68-й сессии </w:t>
      </w:r>
      <w:r w:rsidRPr="00635CF7">
        <w:rPr>
          <w:bCs/>
          <w:iCs/>
        </w:rPr>
        <w:t>Комитет обсудил целесообразность проведения Секцией расследований одного расследования для базирующейся в Женеве организации ООН ввиду ресурсных последствий для ОВН</w:t>
      </w:r>
      <w:r w:rsidRPr="00635CF7">
        <w:rPr>
          <w:bCs/>
        </w:rPr>
        <w:t>.</w:t>
      </w:r>
    </w:p>
    <w:p w14:paraId="050937E7" w14:textId="77777777" w:rsidR="00072954" w:rsidRPr="00635CF7" w:rsidRDefault="00072954" w:rsidP="00072954">
      <w:pPr>
        <w:spacing w:after="0"/>
        <w:ind w:right="32"/>
      </w:pPr>
    </w:p>
    <w:p w14:paraId="4DB24E7E" w14:textId="131AF3B3" w:rsidR="00072954" w:rsidRPr="00635CF7" w:rsidRDefault="00072954" w:rsidP="00C90540">
      <w:pPr>
        <w:numPr>
          <w:ilvl w:val="0"/>
          <w:numId w:val="4"/>
        </w:numPr>
        <w:shd w:val="clear" w:color="auto" w:fill="FFFFFF" w:themeFill="background1"/>
        <w:ind w:left="0" w:right="32" w:firstLine="0"/>
        <w:rPr>
          <w:b/>
        </w:rPr>
      </w:pPr>
      <w:r w:rsidRPr="00635CF7">
        <w:rPr>
          <w:shd w:val="clear" w:color="auto" w:fill="FFFFFF" w:themeFill="background1"/>
        </w:rPr>
        <w:t xml:space="preserve">В отчетный период был подготовлен один отчет о результатах расследования для руководства, </w:t>
      </w:r>
      <w:r w:rsidR="007F6B27">
        <w:rPr>
          <w:shd w:val="clear" w:color="auto" w:fill="FFFFFF" w:themeFill="background1"/>
        </w:rPr>
        <w:t xml:space="preserve">призванный уточнить </w:t>
      </w:r>
      <w:r w:rsidRPr="00635CF7">
        <w:rPr>
          <w:shd w:val="clear" w:color="auto" w:fill="FFFFFF" w:themeFill="background1"/>
        </w:rPr>
        <w:t>обязанност</w:t>
      </w:r>
      <w:r w:rsidR="007F6B27">
        <w:rPr>
          <w:shd w:val="clear" w:color="auto" w:fill="FFFFFF" w:themeFill="background1"/>
        </w:rPr>
        <w:t>и</w:t>
      </w:r>
      <w:r w:rsidRPr="00635CF7">
        <w:rPr>
          <w:shd w:val="clear" w:color="auto" w:fill="FFFFFF" w:themeFill="background1"/>
        </w:rPr>
        <w:t xml:space="preserve"> сотрудников в отношении проживания в районе места службы</w:t>
      </w:r>
      <w:r w:rsidRPr="00635CF7">
        <w:t>.</w:t>
      </w:r>
    </w:p>
    <w:p w14:paraId="4C7A0CBE" w14:textId="77777777" w:rsidR="00072954" w:rsidRPr="00635CF7" w:rsidRDefault="00072954" w:rsidP="00072954">
      <w:pPr>
        <w:spacing w:after="16"/>
        <w:ind w:right="32"/>
      </w:pPr>
    </w:p>
    <w:p w14:paraId="0147AE1E" w14:textId="77777777" w:rsidR="00072954" w:rsidRPr="00635CF7" w:rsidRDefault="00072954" w:rsidP="00072954">
      <w:pPr>
        <w:pStyle w:val="Heading2"/>
        <w:tabs>
          <w:tab w:val="left" w:pos="720"/>
          <w:tab w:val="center" w:pos="1405"/>
        </w:tabs>
        <w:ind w:left="0" w:right="32" w:firstLine="0"/>
        <w:rPr>
          <w:b/>
        </w:rPr>
      </w:pPr>
      <w:bookmarkStart w:id="16" w:name="_Toc136419481"/>
      <w:bookmarkStart w:id="17" w:name="_Toc136445869"/>
      <w:r w:rsidRPr="00635CF7">
        <w:rPr>
          <w:u w:val="none"/>
        </w:rPr>
        <w:t>B.</w:t>
      </w:r>
      <w:r w:rsidRPr="00635CF7">
        <w:rPr>
          <w:u w:val="none"/>
        </w:rPr>
        <w:tab/>
      </w:r>
      <w:r w:rsidRPr="00635CF7">
        <w:t>Внешний аудит</w:t>
      </w:r>
      <w:bookmarkEnd w:id="16"/>
      <w:bookmarkEnd w:id="17"/>
    </w:p>
    <w:p w14:paraId="35EF6740" w14:textId="77777777" w:rsidR="00072954" w:rsidRPr="00635CF7" w:rsidRDefault="00072954" w:rsidP="00072954">
      <w:pPr>
        <w:spacing w:after="16"/>
        <w:ind w:left="0" w:right="32" w:firstLine="0"/>
      </w:pPr>
    </w:p>
    <w:p w14:paraId="3C58DE7D" w14:textId="5A7F133F" w:rsidR="00072954" w:rsidRPr="00635CF7" w:rsidRDefault="00072954" w:rsidP="00072954">
      <w:pPr>
        <w:pStyle w:val="ListParagraph"/>
        <w:numPr>
          <w:ilvl w:val="0"/>
          <w:numId w:val="4"/>
        </w:numPr>
        <w:spacing w:after="0" w:line="240" w:lineRule="auto"/>
        <w:ind w:left="0" w:right="648" w:firstLine="0"/>
      </w:pPr>
      <w:r w:rsidRPr="00635CF7">
        <w:t>В течение отчетного периода Комитет встречался с представителями Внешнего аудитора</w:t>
      </w:r>
      <w:r w:rsidR="00C90540">
        <w:t>,</w:t>
      </w:r>
      <w:r w:rsidRPr="00635CF7">
        <w:t xml:space="preserve"> Национального ревизионного управления (НРУ)</w:t>
      </w:r>
      <w:r w:rsidR="005223C8">
        <w:t xml:space="preserve"> (</w:t>
      </w:r>
      <w:r w:rsidRPr="00635CF7">
        <w:t>Великобритания</w:t>
      </w:r>
      <w:r w:rsidR="005223C8">
        <w:t>)</w:t>
      </w:r>
      <w:r w:rsidR="00C90540">
        <w:t>, в том числе на закрытых заседаниях</w:t>
      </w:r>
      <w:r w:rsidRPr="00635CF7">
        <w:t xml:space="preserve">. </w:t>
      </w:r>
      <w:r w:rsidR="005223C8">
        <w:t>Комитет</w:t>
      </w:r>
      <w:r w:rsidR="00C90540">
        <w:t xml:space="preserve"> прокомментировал </w:t>
      </w:r>
      <w:r w:rsidRPr="00635CF7">
        <w:t>подход к аудиту финансовых отчетов ВОИС за 2022 год. Комитет вновь поинтересовался, что будет сделано Внешним аудитором в порядке подтверждения заключения о регулярности, поскольку в представленном Комитету документе по планированию этот аспект подробно не рассматривался и основное внимание уделялось только заключению о достоверности представления финансовой отчетности. Представители Внешнего аудитора пояснили, что их подход к аудиту идентичен подходу всех аудиторов в системе ООН. В отношении промежуточных итогов аудиторской проверки за 2022 год Комитет принял к сведению полученный ответ об отсутствии каких-либо существенных вопросов, на которые Внешнему аудитору следовало бы обратить внимани</w:t>
      </w:r>
      <w:r>
        <w:t>е</w:t>
      </w:r>
      <w:r w:rsidRPr="00635CF7">
        <w:t xml:space="preserve"> Комитет</w:t>
      </w:r>
      <w:r>
        <w:t>а</w:t>
      </w:r>
      <w:r w:rsidRPr="00635CF7">
        <w:t>. На своей 68-й сессии Комитет подтвердил сроки представления Внешним аудитором окончательного отчета о выполнении аудиторской проверки и проекта подробного отчета о результатах выполненной аудиторской проверки, чтобы НККН мог в соответствии со своим мандатом проанализировать аудиторские отчеты до их представления</w:t>
      </w:r>
      <w:r w:rsidR="005223C8">
        <w:t xml:space="preserve"> КПБ</w:t>
      </w:r>
      <w:r w:rsidRPr="00635CF7">
        <w:t>.</w:t>
      </w:r>
    </w:p>
    <w:p w14:paraId="385C375B" w14:textId="214E4CD2" w:rsidR="00581B3D" w:rsidRDefault="00581B3D">
      <w:pPr>
        <w:spacing w:after="160"/>
        <w:ind w:left="0" w:right="0" w:firstLine="0"/>
      </w:pPr>
      <w:r>
        <w:br w:type="page"/>
      </w:r>
    </w:p>
    <w:p w14:paraId="44C45EA6" w14:textId="77777777" w:rsidR="00072954" w:rsidRPr="00635CF7" w:rsidRDefault="00072954" w:rsidP="00072954">
      <w:pPr>
        <w:pStyle w:val="Heading2"/>
        <w:tabs>
          <w:tab w:val="left" w:pos="720"/>
          <w:tab w:val="center" w:pos="1668"/>
        </w:tabs>
        <w:ind w:left="0" w:right="32" w:firstLine="0"/>
      </w:pPr>
      <w:bookmarkStart w:id="18" w:name="_Toc136419482"/>
      <w:bookmarkStart w:id="19" w:name="_Toc136445870"/>
      <w:r w:rsidRPr="00635CF7">
        <w:rPr>
          <w:u w:val="none"/>
        </w:rPr>
        <w:lastRenderedPageBreak/>
        <w:t>C.</w:t>
      </w:r>
      <w:r w:rsidRPr="00635CF7">
        <w:rPr>
          <w:u w:val="none"/>
        </w:rPr>
        <w:tab/>
      </w:r>
      <w:r w:rsidRPr="00635CF7">
        <w:rPr>
          <w:u w:val="none"/>
        </w:rPr>
        <w:tab/>
      </w:r>
      <w:r w:rsidRPr="00635CF7">
        <w:t>Финансовая отчетность</w:t>
      </w:r>
      <w:bookmarkEnd w:id="18"/>
      <w:bookmarkEnd w:id="19"/>
    </w:p>
    <w:p w14:paraId="3C6FCFCF" w14:textId="291C34DF" w:rsidR="00072954" w:rsidRPr="00635CF7" w:rsidRDefault="00072954" w:rsidP="00072954">
      <w:pPr>
        <w:spacing w:after="0"/>
        <w:ind w:left="0" w:right="32" w:firstLine="0"/>
      </w:pPr>
    </w:p>
    <w:p w14:paraId="2884194F" w14:textId="32CA2DEA" w:rsidR="00072954" w:rsidRPr="00635CF7" w:rsidRDefault="00072954" w:rsidP="00285EAF">
      <w:pPr>
        <w:pStyle w:val="Heading5"/>
        <w:ind w:left="720" w:firstLine="0"/>
        <w:rPr>
          <w:bCs/>
        </w:rPr>
      </w:pPr>
      <w:r w:rsidRPr="00635CF7">
        <w:t>Финансовые отчеты ВОИС за 2022 год</w:t>
      </w:r>
    </w:p>
    <w:p w14:paraId="6ECBAEC2" w14:textId="77777777" w:rsidR="00072954" w:rsidRPr="00635CF7" w:rsidRDefault="00072954" w:rsidP="00072954">
      <w:pPr>
        <w:spacing w:after="0" w:line="240" w:lineRule="auto"/>
        <w:ind w:right="648"/>
        <w:rPr>
          <w:bCs/>
        </w:rPr>
      </w:pPr>
    </w:p>
    <w:p w14:paraId="16FC381F" w14:textId="76072C0A" w:rsidR="00072954" w:rsidRPr="00635CF7" w:rsidRDefault="00072954" w:rsidP="00642724">
      <w:pPr>
        <w:pStyle w:val="ListParagraph"/>
        <w:numPr>
          <w:ilvl w:val="0"/>
          <w:numId w:val="4"/>
        </w:numPr>
        <w:ind w:left="0" w:firstLine="0"/>
        <w:rPr>
          <w:bCs/>
        </w:rPr>
      </w:pPr>
      <w:r w:rsidRPr="00635CF7">
        <w:rPr>
          <w:bCs/>
        </w:rPr>
        <w:t>В ходе 68-й сессии</w:t>
      </w:r>
      <w:r w:rsidRPr="00635CF7">
        <w:t xml:space="preserve"> </w:t>
      </w:r>
      <w:r>
        <w:rPr>
          <w:bCs/>
        </w:rPr>
        <w:t>д</w:t>
      </w:r>
      <w:r w:rsidRPr="00635CF7">
        <w:rPr>
          <w:bCs/>
        </w:rPr>
        <w:t>иректор Финансового отдела проинформировала членов Комитета о проект</w:t>
      </w:r>
      <w:r>
        <w:rPr>
          <w:bCs/>
        </w:rPr>
        <w:t>е</w:t>
      </w:r>
      <w:r w:rsidRPr="00635CF7">
        <w:rPr>
          <w:bCs/>
        </w:rPr>
        <w:t xml:space="preserve"> отчета о финансовых результатах и отчета о финансовом положении за 2022 год, разъяснив существенные изменения в 2022 году по сравнению с 2021 годом. Комитет также подробно обсудил с Казначеем вопросы инвестиций, принимая во внимание показатели предыдущего года и существующую экономическую ситуацию. Комитет указал, что надеется </w:t>
      </w:r>
      <w:r>
        <w:rPr>
          <w:bCs/>
        </w:rPr>
        <w:t>более подробно</w:t>
      </w:r>
      <w:r w:rsidRPr="00635CF7">
        <w:rPr>
          <w:bCs/>
        </w:rPr>
        <w:t xml:space="preserve"> обсудить вопросы инвестиций ВОИС, включая систему управления инвестиционной деятельностью. Комитет высказал ряд предложений, весьма актуальных в связи с пр</w:t>
      </w:r>
      <w:r>
        <w:rPr>
          <w:bCs/>
        </w:rPr>
        <w:t>едстоящей внутренней проверкой</w:t>
      </w:r>
      <w:r w:rsidR="00642724">
        <w:rPr>
          <w:bCs/>
        </w:rPr>
        <w:t xml:space="preserve"> практики управления инвестиционной деятельностью</w:t>
      </w:r>
      <w:r>
        <w:rPr>
          <w:bCs/>
        </w:rPr>
        <w:t>.</w:t>
      </w:r>
    </w:p>
    <w:p w14:paraId="6501C99D" w14:textId="77777777" w:rsidR="00072954" w:rsidRPr="00635CF7" w:rsidRDefault="00072954" w:rsidP="00072954">
      <w:pPr>
        <w:pStyle w:val="ListParagraph"/>
        <w:spacing w:after="0" w:line="240" w:lineRule="auto"/>
        <w:ind w:left="0" w:right="648" w:firstLine="0"/>
        <w:rPr>
          <w:bCs/>
        </w:rPr>
      </w:pPr>
    </w:p>
    <w:p w14:paraId="10A06966" w14:textId="77777777" w:rsidR="00072954" w:rsidRPr="00635CF7" w:rsidRDefault="00072954" w:rsidP="00072954">
      <w:pPr>
        <w:pStyle w:val="Heading2"/>
        <w:tabs>
          <w:tab w:val="left" w:pos="720"/>
          <w:tab w:val="center" w:pos="2659"/>
        </w:tabs>
        <w:ind w:left="0" w:right="32" w:firstLine="0"/>
      </w:pPr>
      <w:bookmarkStart w:id="20" w:name="_Toc136419483"/>
      <w:bookmarkStart w:id="21" w:name="_Toc136445871"/>
      <w:r w:rsidRPr="00635CF7">
        <w:rPr>
          <w:u w:val="none"/>
        </w:rPr>
        <w:t>D.</w:t>
      </w:r>
      <w:r w:rsidRPr="00635CF7">
        <w:rPr>
          <w:u w:val="none"/>
        </w:rPr>
        <w:tab/>
      </w:r>
      <w:r w:rsidRPr="00635CF7">
        <w:rPr>
          <w:u w:val="none"/>
        </w:rPr>
        <w:tab/>
      </w:r>
      <w:r w:rsidRPr="00635CF7">
        <w:t>Управление рисками и внутренний контроль</w:t>
      </w:r>
      <w:bookmarkEnd w:id="20"/>
      <w:bookmarkEnd w:id="21"/>
    </w:p>
    <w:p w14:paraId="74F82DF7" w14:textId="77777777" w:rsidR="00072954" w:rsidRPr="00635CF7" w:rsidRDefault="00072954" w:rsidP="00072954">
      <w:pPr>
        <w:spacing w:after="0"/>
        <w:ind w:right="32"/>
      </w:pPr>
    </w:p>
    <w:p w14:paraId="70085A9B" w14:textId="7CE80189" w:rsidR="00072954" w:rsidRPr="00635CF7" w:rsidRDefault="00072954" w:rsidP="001B2CE1">
      <w:pPr>
        <w:pStyle w:val="ListParagraph"/>
        <w:numPr>
          <w:ilvl w:val="0"/>
          <w:numId w:val="4"/>
        </w:numPr>
        <w:ind w:left="0" w:firstLine="0"/>
      </w:pPr>
      <w:r w:rsidRPr="00635CF7">
        <w:rPr>
          <w:bCs/>
        </w:rPr>
        <w:t xml:space="preserve">В ходе 66-й и </w:t>
      </w:r>
      <w:r>
        <w:rPr>
          <w:bCs/>
        </w:rPr>
        <w:t>6</w:t>
      </w:r>
      <w:r w:rsidRPr="00635CF7">
        <w:rPr>
          <w:bCs/>
        </w:rPr>
        <w:t>7-й сесси</w:t>
      </w:r>
      <w:r w:rsidR="001B2CE1">
        <w:rPr>
          <w:bCs/>
        </w:rPr>
        <w:t>й</w:t>
      </w:r>
      <w:r w:rsidRPr="00635CF7">
        <w:rPr>
          <w:bCs/>
        </w:rPr>
        <w:t xml:space="preserve"> руководство представляло Комитету обновленную информацию о процедурах управления рисками</w:t>
      </w:r>
      <w:r w:rsidR="001B2CE1">
        <w:rPr>
          <w:bCs/>
        </w:rPr>
        <w:t xml:space="preserve"> и внутреннего контроля</w:t>
      </w:r>
      <w:r w:rsidRPr="00635CF7">
        <w:rPr>
          <w:bCs/>
        </w:rPr>
        <w:t xml:space="preserve"> в ВОИС. На 66-й сессии руководство обрисовало процесс эволюции системы управления рисками и контроля с 2008 года, когда существовало лишь собственное неформальное представление о рисках, до настоящего времени, когда официальное управление организационными рисками (УОР) стало неотъемлемой частью повседневной деятельности ВОИС и постоянно совершенствуется. Была представлена полная система подотчетности, начиная с контроля на общеорганизационном уровне и заканчивая контролем на уровне процедур и операций. Кроме того, представители руководства рассказали о постепенном изменении процесса подготовки заявления ВОИС о состоянии системы внутреннего контроля.</w:t>
      </w:r>
      <w:r w:rsidR="001B2CE1">
        <w:rPr>
          <w:bCs/>
        </w:rPr>
        <w:t xml:space="preserve"> </w:t>
      </w:r>
      <w:r w:rsidR="00B92DB0">
        <w:rPr>
          <w:bCs/>
        </w:rPr>
        <w:t>Комитет принял к сведению работу, проделанную в области управления рисками, и приветствовал ее продолжение.</w:t>
      </w:r>
    </w:p>
    <w:p w14:paraId="0B88F282" w14:textId="77777777" w:rsidR="00072954" w:rsidRPr="00635CF7" w:rsidRDefault="00072954" w:rsidP="00072954"/>
    <w:p w14:paraId="1FCC24FE" w14:textId="4B3647B8" w:rsidR="00072954" w:rsidRPr="00635CF7" w:rsidRDefault="000A2EF1" w:rsidP="00D3163D">
      <w:pPr>
        <w:pStyle w:val="ListParagraph"/>
        <w:numPr>
          <w:ilvl w:val="0"/>
          <w:numId w:val="4"/>
        </w:numPr>
        <w:ind w:left="0" w:firstLine="0"/>
      </w:pPr>
      <w:r>
        <w:rPr>
          <w:bCs/>
        </w:rPr>
        <w:t xml:space="preserve">С учетом </w:t>
      </w:r>
      <w:r w:rsidR="00072954" w:rsidRPr="00635CF7">
        <w:rPr>
          <w:bCs/>
        </w:rPr>
        <w:t xml:space="preserve">всесторонней информации, представленной группой руководства, Комитет </w:t>
      </w:r>
      <w:r>
        <w:rPr>
          <w:bCs/>
        </w:rPr>
        <w:t>принял к сведению</w:t>
      </w:r>
      <w:r w:rsidR="00072954" w:rsidRPr="00635CF7">
        <w:rPr>
          <w:bCs/>
        </w:rPr>
        <w:t xml:space="preserve">, что системы внутреннего контроля в ВОИС </w:t>
      </w:r>
      <w:r>
        <w:rPr>
          <w:bCs/>
        </w:rPr>
        <w:t xml:space="preserve">были оценены как </w:t>
      </w:r>
      <w:r w:rsidR="00072954" w:rsidRPr="00635CF7">
        <w:rPr>
          <w:bCs/>
        </w:rPr>
        <w:t>находя</w:t>
      </w:r>
      <w:r>
        <w:rPr>
          <w:bCs/>
        </w:rPr>
        <w:t>щиеся</w:t>
      </w:r>
      <w:r w:rsidR="00072954" w:rsidRPr="00635CF7">
        <w:rPr>
          <w:bCs/>
        </w:rPr>
        <w:t xml:space="preserve"> на зрелом уровне. Кроме того, Комитет пришел к выводу, что документация по внутреннему контролю находится на продвинутой стадии и должным образом контролируется Секретариатом (Департамент планирования и финансирования программы) с соблюдением принятой методологии в соответствии с системой COSO и все более широким использованием аналитики данных.</w:t>
      </w:r>
    </w:p>
    <w:p w14:paraId="75B3EDDA" w14:textId="77777777" w:rsidR="00072954" w:rsidRPr="00635CF7" w:rsidRDefault="00072954" w:rsidP="00072954"/>
    <w:p w14:paraId="12B8AC46" w14:textId="62355115" w:rsidR="00072954" w:rsidRPr="00635CF7" w:rsidRDefault="00072954" w:rsidP="000A2EF1">
      <w:pPr>
        <w:pStyle w:val="ListParagraph"/>
        <w:numPr>
          <w:ilvl w:val="0"/>
          <w:numId w:val="4"/>
        </w:numPr>
        <w:ind w:left="0" w:firstLine="0"/>
      </w:pPr>
      <w:r w:rsidRPr="00635CF7">
        <w:rPr>
          <w:bCs/>
        </w:rPr>
        <w:t xml:space="preserve">На 67-й сессии Комитет принял к сведению переоценку, проведенную Группой по управлению рисками, в результате которой одни общеорганизационные риски были понижены, а другие повышены. Комитет </w:t>
      </w:r>
      <w:r w:rsidR="000A2EF1">
        <w:rPr>
          <w:bCs/>
        </w:rPr>
        <w:t>высоко оцен</w:t>
      </w:r>
      <w:r w:rsidRPr="00635CF7">
        <w:rPr>
          <w:bCs/>
        </w:rPr>
        <w:t>ил систему и комплекс процедур общеорганизационного управления рисками в ВОИС. Комитет напомнил руководству о необходимости тщательного отслеживания репутационного риска и рисков для Организации, связанных с кибербезопасностью.</w:t>
      </w:r>
    </w:p>
    <w:p w14:paraId="51B5B872" w14:textId="77777777" w:rsidR="00072954" w:rsidRPr="00C240E2" w:rsidRDefault="00072954" w:rsidP="00C240E2">
      <w:pPr>
        <w:ind w:left="0" w:firstLine="0"/>
        <w:rPr>
          <w:bCs/>
        </w:rPr>
      </w:pPr>
    </w:p>
    <w:p w14:paraId="4371BE09" w14:textId="77777777" w:rsidR="00072954" w:rsidRPr="00635CF7" w:rsidRDefault="00072954" w:rsidP="00285EAF">
      <w:pPr>
        <w:pStyle w:val="Heading5"/>
        <w:ind w:left="720" w:firstLine="0"/>
      </w:pPr>
      <w:r w:rsidRPr="00635CF7">
        <w:t>Обеспечение безопасности и достоверности информации</w:t>
      </w:r>
    </w:p>
    <w:p w14:paraId="7D944A30" w14:textId="77777777" w:rsidR="00072954" w:rsidRPr="00635CF7" w:rsidRDefault="00072954" w:rsidP="00072954"/>
    <w:p w14:paraId="3CEF1B5C" w14:textId="135C4773" w:rsidR="00072954" w:rsidRPr="00635CF7" w:rsidRDefault="00072954" w:rsidP="00C240E2">
      <w:pPr>
        <w:pStyle w:val="ListParagraph"/>
        <w:numPr>
          <w:ilvl w:val="0"/>
          <w:numId w:val="4"/>
        </w:numPr>
        <w:ind w:left="0" w:firstLine="0"/>
      </w:pPr>
      <w:r w:rsidRPr="00635CF7">
        <w:t>На 66-й сессии Главный сотрудник по вопросам безопасности</w:t>
      </w:r>
      <w:r>
        <w:t xml:space="preserve"> (</w:t>
      </w:r>
      <w:r w:rsidRPr="00635CF7">
        <w:t>Отдел безопасности и защиты информации</w:t>
      </w:r>
      <w:r>
        <w:t>)</w:t>
      </w:r>
      <w:r w:rsidRPr="00635CF7">
        <w:t xml:space="preserve"> представил Комитету обновленную информацию, отметив, что</w:t>
      </w:r>
      <w:r>
        <w:t xml:space="preserve"> в</w:t>
      </w:r>
      <w:r w:rsidRPr="00635CF7">
        <w:t xml:space="preserve"> </w:t>
      </w:r>
      <w:r>
        <w:t>прошлый</w:t>
      </w:r>
      <w:r w:rsidRPr="00635CF7">
        <w:t xml:space="preserve"> раз обновленная информация представлялась на 58-й сессии Комитета в 2020</w:t>
      </w:r>
      <w:r w:rsidR="00C240E2">
        <w:t> </w:t>
      </w:r>
      <w:r w:rsidRPr="00635CF7">
        <w:t xml:space="preserve">году. Главный сотрудник по вопросам безопасности подчеркнул, что в Организации проходит ряд преобразований и что риски терроризма и утечки данных </w:t>
      </w:r>
      <w:r w:rsidRPr="00635CF7">
        <w:lastRenderedPageBreak/>
        <w:t>по-прежнему занимают высокое место на тепловой карте общеорганизационных рисков ВОИС.</w:t>
      </w:r>
    </w:p>
    <w:p w14:paraId="3BF95F14" w14:textId="77777777" w:rsidR="00072954" w:rsidRPr="00635CF7" w:rsidRDefault="00072954" w:rsidP="00072954"/>
    <w:p w14:paraId="68C1671E" w14:textId="6258A3CE" w:rsidR="00072954" w:rsidRPr="00635CF7" w:rsidRDefault="00072954" w:rsidP="00C240E2">
      <w:pPr>
        <w:pStyle w:val="ListParagraph"/>
        <w:numPr>
          <w:ilvl w:val="0"/>
          <w:numId w:val="4"/>
        </w:numPr>
        <w:ind w:left="0" w:firstLine="0"/>
      </w:pPr>
      <w:r w:rsidRPr="00635CF7">
        <w:t>Комитет поинтересовался ролью Главного сотрудника по вопросам безопасности в Группе управления рисками, характером и количеством фактических инцидентов, долгосрочным стратегическим планом (физической) безопасности и стратегией информационной безопасности следующего поколения. Комитет принял к сведению стратегию обеспечения информационной безопасности и возможности в области информационной безопасности, реализованные к настоящему времени. В заключение Комитет сделал вывод, что система обеспечения безопасности и достоверности информации</w:t>
      </w:r>
      <w:r w:rsidR="00C240E2">
        <w:t>, как представляется,</w:t>
      </w:r>
      <w:r w:rsidRPr="00635CF7">
        <w:t xml:space="preserve"> работает эффективно, соответствует своему назначению</w:t>
      </w:r>
      <w:r w:rsidR="00C240E2">
        <w:t>,</w:t>
      </w:r>
      <w:r w:rsidRPr="00635CF7">
        <w:t xml:space="preserve"> находится на высоком уровне зрелости</w:t>
      </w:r>
      <w:r w:rsidR="00C240E2">
        <w:t xml:space="preserve"> и</w:t>
      </w:r>
      <w:r w:rsidRPr="00635CF7">
        <w:t xml:space="preserve"> соответствует </w:t>
      </w:r>
      <w:r w:rsidR="00C240E2">
        <w:t xml:space="preserve">наиболее распространенным </w:t>
      </w:r>
      <w:r w:rsidRPr="00635CF7">
        <w:t xml:space="preserve">стандартам. Комитет счел, что разделение функций обеспечения безопасности и достоверности информации и информационных технологий является целесообразным и должно соблюдаться ВОИС во избежание конфликта интересов. </w:t>
      </w:r>
      <w:r>
        <w:t>Объем</w:t>
      </w:r>
      <w:r w:rsidRPr="00635CF7">
        <w:t xml:space="preserve"> полномочий главного сотрудника по вопросам безопасности также должен сохраняться для обеспечения эффективности это</w:t>
      </w:r>
      <w:r>
        <w:t>го подразделения</w:t>
      </w:r>
      <w:r w:rsidRPr="00635CF7">
        <w:t>.</w:t>
      </w:r>
    </w:p>
    <w:p w14:paraId="5E9DD678" w14:textId="77777777" w:rsidR="00072954" w:rsidRPr="00635CF7" w:rsidRDefault="00072954" w:rsidP="00072954"/>
    <w:p w14:paraId="68399B00" w14:textId="77777777" w:rsidR="00072954" w:rsidRPr="00635CF7" w:rsidRDefault="00072954" w:rsidP="00285EAF">
      <w:pPr>
        <w:pStyle w:val="Heading5"/>
        <w:ind w:left="720" w:firstLine="0"/>
      </w:pPr>
      <w:r w:rsidRPr="0050354B">
        <w:t>Закупки</w:t>
      </w:r>
    </w:p>
    <w:p w14:paraId="04FC2DF0" w14:textId="77777777" w:rsidR="00072954" w:rsidRPr="00635CF7" w:rsidRDefault="00072954" w:rsidP="00072954">
      <w:pPr>
        <w:rPr>
          <w:bCs/>
        </w:rPr>
      </w:pPr>
    </w:p>
    <w:p w14:paraId="597B08FB" w14:textId="43E88298" w:rsidR="00072954" w:rsidRPr="00635CF7" w:rsidRDefault="00072954" w:rsidP="0050354B">
      <w:pPr>
        <w:pStyle w:val="ListParagraph"/>
        <w:numPr>
          <w:ilvl w:val="0"/>
          <w:numId w:val="4"/>
        </w:numPr>
        <w:ind w:left="0" w:firstLine="0"/>
      </w:pPr>
      <w:r w:rsidRPr="00635CF7">
        <w:rPr>
          <w:bCs/>
        </w:rPr>
        <w:t xml:space="preserve">В ходе 66-й сессии </w:t>
      </w:r>
      <w:r>
        <w:rPr>
          <w:bCs/>
        </w:rPr>
        <w:t>д</w:t>
      </w:r>
      <w:r w:rsidRPr="00635CF7">
        <w:rPr>
          <w:bCs/>
        </w:rPr>
        <w:t>иректор Отдела закупок и поездок представил</w:t>
      </w:r>
      <w:r w:rsidR="0050354B">
        <w:rPr>
          <w:bCs/>
        </w:rPr>
        <w:t>а</w:t>
      </w:r>
      <w:r w:rsidRPr="00635CF7">
        <w:rPr>
          <w:bCs/>
        </w:rPr>
        <w:t xml:space="preserve"> Комитету обновленную информацию по вопросам закупок, отметив, что </w:t>
      </w:r>
      <w:r>
        <w:rPr>
          <w:bCs/>
        </w:rPr>
        <w:t xml:space="preserve">в </w:t>
      </w:r>
      <w:r w:rsidRPr="00635CF7">
        <w:rPr>
          <w:bCs/>
        </w:rPr>
        <w:t>последний раз обновленная информация была представлена Комитету на его 58-й сессии в 2020</w:t>
      </w:r>
      <w:r w:rsidR="0050354B">
        <w:rPr>
          <w:bCs/>
        </w:rPr>
        <w:t> </w:t>
      </w:r>
      <w:r w:rsidRPr="00635CF7">
        <w:rPr>
          <w:bCs/>
        </w:rPr>
        <w:t>году. Директор отметил</w:t>
      </w:r>
      <w:r w:rsidR="0050354B">
        <w:rPr>
          <w:bCs/>
        </w:rPr>
        <w:t>а</w:t>
      </w:r>
      <w:r w:rsidRPr="00635CF7">
        <w:rPr>
          <w:bCs/>
        </w:rPr>
        <w:t xml:space="preserve"> меры, пр</w:t>
      </w:r>
      <w:r w:rsidR="0050354B">
        <w:rPr>
          <w:bCs/>
        </w:rPr>
        <w:t>инятые</w:t>
      </w:r>
      <w:r w:rsidRPr="00635CF7">
        <w:rPr>
          <w:bCs/>
        </w:rPr>
        <w:t xml:space="preserve"> с 2020 года для повышения эффективности закупочной деятельности. Комитету также были представлены изменения в общей структуре закупочной деятельности. Кроме того, были представлены некоторые статистические данные по закупкам, такие как количество и объем ручных и автоматических заказ-нарядов на закупку и сроки обработки заявок на закупку. Директор подчеркнул</w:t>
      </w:r>
      <w:r w:rsidR="0050354B">
        <w:rPr>
          <w:bCs/>
        </w:rPr>
        <w:t>а</w:t>
      </w:r>
      <w:r w:rsidRPr="00635CF7">
        <w:rPr>
          <w:bCs/>
        </w:rPr>
        <w:t xml:space="preserve"> экономию средств, полученную в результате переговоров и совместных закупок, а также основные достижения в период с 2020</w:t>
      </w:r>
      <w:r w:rsidR="0050354B">
        <w:rPr>
          <w:bCs/>
        </w:rPr>
        <w:t> </w:t>
      </w:r>
      <w:r w:rsidRPr="00635CF7">
        <w:rPr>
          <w:bCs/>
        </w:rPr>
        <w:t>года</w:t>
      </w:r>
      <w:r w:rsidRPr="00635CF7">
        <w:t>.</w:t>
      </w:r>
    </w:p>
    <w:p w14:paraId="6014793F" w14:textId="77777777" w:rsidR="00072954" w:rsidRPr="00635CF7" w:rsidRDefault="00072954" w:rsidP="00072954"/>
    <w:p w14:paraId="0C7C4D97" w14:textId="236C465A" w:rsidR="00072954" w:rsidRPr="00635CF7" w:rsidRDefault="00072954" w:rsidP="00065F75">
      <w:pPr>
        <w:pStyle w:val="ListParagraph"/>
        <w:numPr>
          <w:ilvl w:val="0"/>
          <w:numId w:val="4"/>
        </w:numPr>
        <w:ind w:left="0" w:firstLine="0"/>
      </w:pPr>
      <w:r w:rsidRPr="00635CF7">
        <w:t xml:space="preserve">Комитет рассмотрел политику одобрения поставщиков, вопросы устойчивых закупок, совместных закупок, стандартизации, увеличения числа контрактов, связанных с ИТ, и вопрос электронных подписей. Комитет </w:t>
      </w:r>
      <w:r w:rsidR="00781672">
        <w:t xml:space="preserve">принял к сведению </w:t>
      </w:r>
      <w:r w:rsidRPr="00635CF7">
        <w:t>отсутствие невыполненных аудиторских рекомендаций, касающихся закупочной деятельности</w:t>
      </w:r>
      <w:r>
        <w:t>.</w:t>
      </w:r>
    </w:p>
    <w:p w14:paraId="17B95C52" w14:textId="77777777" w:rsidR="00072954" w:rsidRPr="00635CF7" w:rsidRDefault="00072954" w:rsidP="00072954">
      <w:pPr>
        <w:spacing w:after="0"/>
        <w:ind w:right="32"/>
      </w:pPr>
    </w:p>
    <w:p w14:paraId="3D176DB0" w14:textId="77777777" w:rsidR="00072954" w:rsidRPr="000C50D8" w:rsidRDefault="00072954" w:rsidP="00072954">
      <w:pPr>
        <w:pStyle w:val="Heading2"/>
        <w:tabs>
          <w:tab w:val="left" w:pos="720"/>
          <w:tab w:val="center" w:pos="2659"/>
        </w:tabs>
        <w:ind w:left="0" w:right="32" w:firstLine="0"/>
        <w:rPr>
          <w:u w:val="none"/>
        </w:rPr>
      </w:pPr>
      <w:bookmarkStart w:id="22" w:name="_Toc136445872"/>
      <w:r w:rsidRPr="000C50D8">
        <w:rPr>
          <w:u w:val="none"/>
        </w:rPr>
        <w:t>E.</w:t>
      </w:r>
      <w:r w:rsidRPr="000C50D8">
        <w:rPr>
          <w:u w:val="none"/>
        </w:rPr>
        <w:tab/>
      </w:r>
      <w:r w:rsidRPr="000C50D8">
        <w:t>Осуществление рекомендаций надзорных органов</w:t>
      </w:r>
      <w:bookmarkEnd w:id="22"/>
    </w:p>
    <w:p w14:paraId="46D7BFBF" w14:textId="77777777" w:rsidR="00072954" w:rsidRPr="00224620" w:rsidRDefault="00072954" w:rsidP="00072954">
      <w:pPr>
        <w:spacing w:after="0"/>
        <w:ind w:right="32"/>
      </w:pPr>
    </w:p>
    <w:p w14:paraId="5DE3CED0" w14:textId="13DF595B" w:rsidR="00072954" w:rsidRPr="00635CF7" w:rsidRDefault="00072954" w:rsidP="0042651C">
      <w:pPr>
        <w:pStyle w:val="ListParagraph"/>
        <w:numPr>
          <w:ilvl w:val="0"/>
          <w:numId w:val="4"/>
        </w:numPr>
        <w:spacing w:after="0" w:line="240" w:lineRule="auto"/>
        <w:ind w:left="0" w:right="29"/>
      </w:pPr>
      <w:r w:rsidRPr="0042651C">
        <w:t>В ходе всех сессий, состоявшихся в течение отчетного периода, Комитет совместно с ОВН рассматривал вопрос</w:t>
      </w:r>
      <w:r w:rsidRPr="00635CF7">
        <w:t xml:space="preserve"> о ходе осуществления</w:t>
      </w:r>
      <w:r w:rsidR="0042651C">
        <w:t xml:space="preserve"> всех</w:t>
      </w:r>
      <w:r w:rsidRPr="00635CF7">
        <w:t xml:space="preserve"> надзорных рекомендаций. Комитет принимал к сведению прогресс в осуществлении рекомендаций и их закрытие, уделяя особое внимание рекомендациям с высокой степенью приоритетности, а также тем рекомендациям, которые оставались незакрытыми в течение долгого времени.</w:t>
      </w:r>
    </w:p>
    <w:p w14:paraId="0781E5E5" w14:textId="77777777" w:rsidR="00072954" w:rsidRPr="00635CF7" w:rsidRDefault="00072954" w:rsidP="00072954">
      <w:pPr>
        <w:spacing w:after="16"/>
        <w:ind w:left="0" w:right="32" w:firstLine="0"/>
      </w:pPr>
    </w:p>
    <w:p w14:paraId="1D5D3DFD" w14:textId="0E68FC57" w:rsidR="00072954" w:rsidRPr="00635CF7" w:rsidRDefault="00072954" w:rsidP="0042651C">
      <w:pPr>
        <w:pStyle w:val="ListParagraph"/>
        <w:numPr>
          <w:ilvl w:val="0"/>
          <w:numId w:val="4"/>
        </w:numPr>
        <w:spacing w:after="0" w:line="240" w:lineRule="auto"/>
        <w:ind w:left="0" w:right="29" w:firstLine="0"/>
      </w:pPr>
      <w:r w:rsidRPr="00635CF7">
        <w:t xml:space="preserve">На своей 66-й сессии Комитет еще раз указал на необходимость выполнения рекомендаций, длительное время остающихся невыполненными. Комитет далее подчеркнул, что озабоченность в связи с этим выражали и некоторые государства-члены. </w:t>
      </w:r>
      <w:r w:rsidR="001A49C1">
        <w:t>К</w:t>
      </w:r>
      <w:r w:rsidR="00F34DA5">
        <w:t>омитет</w:t>
      </w:r>
      <w:r w:rsidR="001A49C1">
        <w:t xml:space="preserve"> указал на</w:t>
      </w:r>
      <w:r w:rsidRPr="00635CF7">
        <w:t xml:space="preserve"> риск задержки выполнения рекомендаций, необходимост</w:t>
      </w:r>
      <w:r w:rsidR="001A49C1">
        <w:t>ь</w:t>
      </w:r>
      <w:r w:rsidRPr="00635CF7">
        <w:t xml:space="preserve"> уточнения критериев для закрытия рекомендаций и методик</w:t>
      </w:r>
      <w:r w:rsidR="001A49C1">
        <w:t>у</w:t>
      </w:r>
      <w:r w:rsidRPr="00635CF7">
        <w:t xml:space="preserve"> контроля выполнения рекомендаций. </w:t>
      </w:r>
      <w:r w:rsidR="001A49C1">
        <w:t>Секретариат</w:t>
      </w:r>
      <w:r w:rsidRPr="00635CF7">
        <w:t xml:space="preserve"> подтвердил готовность проработать до конца года все невыполненные рекомендации в соответствующих областях. Комитет также высоко оценил личное участие Генерального директора в этом вопросе.</w:t>
      </w:r>
    </w:p>
    <w:p w14:paraId="1D1FC471" w14:textId="77777777" w:rsidR="00072954" w:rsidRPr="00635CF7" w:rsidRDefault="00072954" w:rsidP="006D572F">
      <w:pPr>
        <w:ind w:left="0" w:firstLine="0"/>
      </w:pPr>
    </w:p>
    <w:p w14:paraId="66BFD8FF" w14:textId="5BE527C5" w:rsidR="00072954" w:rsidRPr="00635CF7" w:rsidRDefault="00072954" w:rsidP="00EA55DA">
      <w:pPr>
        <w:pStyle w:val="ListParagraph"/>
        <w:numPr>
          <w:ilvl w:val="0"/>
          <w:numId w:val="4"/>
        </w:numPr>
        <w:spacing w:after="0" w:line="240" w:lineRule="auto"/>
        <w:ind w:left="0" w:right="29" w:firstLine="0"/>
      </w:pPr>
      <w:r w:rsidRPr="00635CF7">
        <w:lastRenderedPageBreak/>
        <w:t>Для решения проблемы большого количества давно невыполненных рекомендаций аудит</w:t>
      </w:r>
      <w:r>
        <w:t>оров</w:t>
      </w:r>
      <w:r w:rsidRPr="00635CF7">
        <w:t xml:space="preserve"> </w:t>
      </w:r>
      <w:r w:rsidR="00213BEF">
        <w:t>Бюро Контролера</w:t>
      </w:r>
      <w:r w:rsidRPr="00635CF7">
        <w:t xml:space="preserve"> разработало учебный модуль для повышения осведомленности руководителей о процессе аудита</w:t>
      </w:r>
      <w:r w:rsidR="00213BEF">
        <w:t xml:space="preserve"> и</w:t>
      </w:r>
      <w:r w:rsidRPr="00635CF7">
        <w:t xml:space="preserve"> поощрения более активного взаимодействия с аудиторами. </w:t>
      </w:r>
      <w:r w:rsidR="00213BEF">
        <w:t xml:space="preserve">Бюро Контролера </w:t>
      </w:r>
      <w:r w:rsidRPr="00635CF7">
        <w:t>организовал</w:t>
      </w:r>
      <w:r w:rsidR="00213BEF">
        <w:t>о</w:t>
      </w:r>
      <w:r w:rsidRPr="00635CF7">
        <w:t xml:space="preserve"> для Комитета подробную презентацию предлагаемого содержания учебного модуля, инициатив</w:t>
      </w:r>
      <w:r w:rsidR="00213BEF">
        <w:t>ы</w:t>
      </w:r>
      <w:r w:rsidRPr="00635CF7">
        <w:t>, которая будет полезна для Организации.</w:t>
      </w:r>
    </w:p>
    <w:p w14:paraId="68F4A672" w14:textId="77777777" w:rsidR="00072954" w:rsidRPr="00635CF7" w:rsidRDefault="00072954" w:rsidP="006D572F">
      <w:pPr>
        <w:ind w:left="0" w:firstLine="0"/>
      </w:pPr>
    </w:p>
    <w:p w14:paraId="0CA24E44" w14:textId="2E1D5DCB" w:rsidR="00072954" w:rsidRPr="00635CF7" w:rsidRDefault="00072954" w:rsidP="00EA55DA">
      <w:pPr>
        <w:pStyle w:val="ListParagraph"/>
        <w:numPr>
          <w:ilvl w:val="0"/>
          <w:numId w:val="4"/>
        </w:numPr>
        <w:spacing w:after="0" w:line="240" w:lineRule="auto"/>
        <w:ind w:left="0" w:right="29" w:firstLine="0"/>
        <w:rPr>
          <w:bCs/>
          <w:iCs/>
        </w:rPr>
      </w:pPr>
      <w:r w:rsidRPr="00635CF7">
        <w:t>На 67-й сессии Комитет отметил достигнутый прогресс, а также прилагаемые дальнейшие усилия по выполнению давних рекомендаций в рамках сотрудничества между ОВН и руководителями целого ряда соответствующих секторов. Этому также способствовали собрания сотрудников Организации и обязательны</w:t>
      </w:r>
      <w:r w:rsidR="008741BF">
        <w:t>й</w:t>
      </w:r>
      <w:r w:rsidRPr="00635CF7">
        <w:t xml:space="preserve"> учебны</w:t>
      </w:r>
      <w:r w:rsidR="008741BF">
        <w:t>й</w:t>
      </w:r>
      <w:r w:rsidRPr="00635CF7">
        <w:t xml:space="preserve"> курс, организованны</w:t>
      </w:r>
      <w:r w:rsidR="008741BF">
        <w:t>й</w:t>
      </w:r>
      <w:r w:rsidRPr="00635CF7">
        <w:t xml:space="preserve"> по инициативе Бюро Контролера. На 68-й сессии Комитет вновь отметил существенный прогресс в деле выполнения рекомендаций. В целом Комитет с удовлетворением отметил ход осуществления контроля выполнени</w:t>
      </w:r>
      <w:r>
        <w:t>я</w:t>
      </w:r>
      <w:r w:rsidRPr="00635CF7">
        <w:t xml:space="preserve"> рекомендаций</w:t>
      </w:r>
      <w:r>
        <w:t>.</w:t>
      </w:r>
    </w:p>
    <w:p w14:paraId="49A13AEE" w14:textId="77777777" w:rsidR="00072954" w:rsidRPr="00635CF7" w:rsidRDefault="00072954" w:rsidP="006D572F">
      <w:pPr>
        <w:ind w:left="0" w:firstLine="0"/>
      </w:pPr>
    </w:p>
    <w:p w14:paraId="495E8717" w14:textId="0589F1BA" w:rsidR="00072954" w:rsidRPr="00635CF7" w:rsidRDefault="00072954" w:rsidP="00472D76">
      <w:pPr>
        <w:pStyle w:val="ListParagraph"/>
        <w:numPr>
          <w:ilvl w:val="0"/>
          <w:numId w:val="4"/>
        </w:numPr>
        <w:spacing w:after="0" w:line="240" w:lineRule="auto"/>
        <w:ind w:left="0" w:right="29" w:firstLine="0"/>
        <w:rPr>
          <w:bCs/>
          <w:iCs/>
        </w:rPr>
      </w:pPr>
      <w:r w:rsidRPr="00635CF7">
        <w:rPr>
          <w:bCs/>
          <w:iCs/>
        </w:rPr>
        <w:t>Для обеспечения прозрачности отчетности и более эффективного управления процессом контроля за выполнением рекомендаций Комитет в ходе 68-й сессии предложил документально фиксировать</w:t>
      </w:r>
      <w:r w:rsidR="00472D76">
        <w:rPr>
          <w:bCs/>
          <w:iCs/>
        </w:rPr>
        <w:t xml:space="preserve"> и дополнительно указывать исходную дату выполнения в тех случаях</w:t>
      </w:r>
      <w:r w:rsidRPr="00635CF7">
        <w:rPr>
          <w:bCs/>
          <w:iCs/>
        </w:rPr>
        <w:t xml:space="preserve">, </w:t>
      </w:r>
      <w:r w:rsidR="00472D76">
        <w:rPr>
          <w:bCs/>
          <w:iCs/>
        </w:rPr>
        <w:t>когда эта</w:t>
      </w:r>
      <w:r w:rsidRPr="00635CF7">
        <w:rPr>
          <w:bCs/>
          <w:iCs/>
        </w:rPr>
        <w:t xml:space="preserve"> дата </w:t>
      </w:r>
      <w:r w:rsidR="00472D76">
        <w:rPr>
          <w:bCs/>
          <w:iCs/>
        </w:rPr>
        <w:t>пересматривалась</w:t>
      </w:r>
      <w:r w:rsidRPr="00635CF7">
        <w:rPr>
          <w:bCs/>
          <w:iCs/>
        </w:rPr>
        <w:t>. Поскольку аудиторские программы показывают только последнюю пересмотренную дату выполнения, Комитет предложил включить дополнительную информацию в ежеквартальную записку ОВН по незакрытым рекомендациям.</w:t>
      </w:r>
    </w:p>
    <w:p w14:paraId="7B9B36BA" w14:textId="77777777" w:rsidR="00072954" w:rsidRPr="00635CF7" w:rsidRDefault="00072954" w:rsidP="00072954">
      <w:pPr>
        <w:spacing w:after="16"/>
        <w:ind w:right="32"/>
      </w:pPr>
    </w:p>
    <w:p w14:paraId="0C8F7828" w14:textId="403CB819" w:rsidR="00072954" w:rsidRPr="00635CF7" w:rsidRDefault="00072954" w:rsidP="00274585">
      <w:pPr>
        <w:pStyle w:val="ListParagraph"/>
        <w:numPr>
          <w:ilvl w:val="0"/>
          <w:numId w:val="4"/>
        </w:numPr>
        <w:spacing w:after="0" w:line="240" w:lineRule="auto"/>
        <w:ind w:left="0" w:right="29" w:firstLine="0"/>
      </w:pPr>
      <w:r w:rsidRPr="00635CF7">
        <w:t>На 66-й сессии Комитет предложил пр</w:t>
      </w:r>
      <w:r w:rsidR="001D2AD4">
        <w:t>едставить</w:t>
      </w:r>
      <w:r w:rsidRPr="00635CF7">
        <w:t xml:space="preserve"> консолидированн</w:t>
      </w:r>
      <w:r w:rsidR="001D2AD4">
        <w:t>ую презентацию</w:t>
      </w:r>
      <w:r w:rsidRPr="00635CF7">
        <w:t xml:space="preserve"> всех рекомендаций</w:t>
      </w:r>
      <w:r w:rsidR="001D2AD4">
        <w:t xml:space="preserve"> по надзору</w:t>
      </w:r>
      <w:r w:rsidRPr="00635CF7">
        <w:t>, в том числе рекомендации Объединенной инспекционной группы</w:t>
      </w:r>
      <w:r w:rsidR="00813121">
        <w:t xml:space="preserve"> и</w:t>
      </w:r>
      <w:r w:rsidRPr="00635CF7">
        <w:t xml:space="preserve"> Омбудсмена. На следующей, 67-й сес</w:t>
      </w:r>
      <w:r w:rsidR="001D2AD4">
        <w:t>сии ОВН включил в свой отчет 18 </w:t>
      </w:r>
      <w:r w:rsidRPr="00635CF7">
        <w:t xml:space="preserve">рекомендаций ОИГ, за выполнением которых следит </w:t>
      </w:r>
      <w:r w:rsidR="001D2AD4">
        <w:t xml:space="preserve">Бюро </w:t>
      </w:r>
      <w:r w:rsidRPr="00635CF7">
        <w:t>Контролер</w:t>
      </w:r>
      <w:r w:rsidR="001D2AD4">
        <w:t>а</w:t>
      </w:r>
      <w:r w:rsidRPr="00635CF7">
        <w:t>.</w:t>
      </w:r>
    </w:p>
    <w:p w14:paraId="0872758A" w14:textId="77777777" w:rsidR="00072954" w:rsidRPr="00635CF7" w:rsidRDefault="00072954" w:rsidP="00072954">
      <w:pPr>
        <w:pStyle w:val="ListParagraph"/>
        <w:spacing w:line="249" w:lineRule="auto"/>
        <w:ind w:left="0" w:right="32" w:firstLine="0"/>
      </w:pPr>
    </w:p>
    <w:p w14:paraId="2A13E169" w14:textId="77777777" w:rsidR="00072954" w:rsidRPr="00635CF7" w:rsidRDefault="00072954" w:rsidP="00072954">
      <w:pPr>
        <w:pStyle w:val="Heading2"/>
        <w:tabs>
          <w:tab w:val="center" w:pos="2004"/>
        </w:tabs>
        <w:ind w:left="0" w:right="32" w:firstLine="0"/>
      </w:pPr>
      <w:bookmarkStart w:id="23" w:name="_Toc136419484"/>
      <w:bookmarkStart w:id="24" w:name="_Toc136445873"/>
      <w:r w:rsidRPr="00635CF7">
        <w:rPr>
          <w:u w:val="none"/>
        </w:rPr>
        <w:t>F.</w:t>
      </w:r>
      <w:r w:rsidRPr="00635CF7">
        <w:rPr>
          <w:u w:val="none"/>
        </w:rPr>
        <w:tab/>
      </w:r>
      <w:r w:rsidRPr="00635CF7">
        <w:t>Вопросы этики и Омбудсмен</w:t>
      </w:r>
      <w:bookmarkEnd w:id="23"/>
      <w:bookmarkEnd w:id="24"/>
    </w:p>
    <w:p w14:paraId="57BB4E69" w14:textId="77777777" w:rsidR="00072954" w:rsidRPr="00635CF7" w:rsidRDefault="00072954" w:rsidP="00072954">
      <w:pPr>
        <w:spacing w:after="0"/>
        <w:ind w:right="32"/>
      </w:pPr>
    </w:p>
    <w:p w14:paraId="47BC071C" w14:textId="2394AD11" w:rsidR="00072954" w:rsidRPr="009E7277" w:rsidRDefault="00072954" w:rsidP="009E7277">
      <w:pPr>
        <w:pStyle w:val="Heading5"/>
        <w:ind w:left="720" w:firstLine="0"/>
      </w:pPr>
      <w:bookmarkStart w:id="25" w:name="_Toc136355729"/>
      <w:bookmarkStart w:id="26" w:name="_Toc136419485"/>
      <w:bookmarkStart w:id="27" w:name="_Toc136420257"/>
      <w:r w:rsidRPr="00635CF7">
        <w:t xml:space="preserve">Бюро по вопросам </w:t>
      </w:r>
      <w:r w:rsidRPr="009E7277">
        <w:t>этики</w:t>
      </w:r>
      <w:bookmarkEnd w:id="25"/>
      <w:bookmarkEnd w:id="26"/>
      <w:bookmarkEnd w:id="27"/>
    </w:p>
    <w:p w14:paraId="13698568" w14:textId="77777777" w:rsidR="00072954" w:rsidRPr="00635CF7" w:rsidRDefault="00072954" w:rsidP="00072954">
      <w:pPr>
        <w:spacing w:after="0" w:line="240" w:lineRule="auto"/>
        <w:ind w:right="32"/>
      </w:pPr>
    </w:p>
    <w:p w14:paraId="522F9E27" w14:textId="77777777" w:rsidR="00072954" w:rsidRPr="00635CF7" w:rsidRDefault="00072954" w:rsidP="00274585">
      <w:pPr>
        <w:pStyle w:val="ListParagraph"/>
        <w:numPr>
          <w:ilvl w:val="0"/>
          <w:numId w:val="4"/>
        </w:numPr>
        <w:spacing w:after="0" w:line="240" w:lineRule="auto"/>
        <w:ind w:left="0" w:right="29" w:firstLine="0"/>
      </w:pPr>
      <w:r w:rsidRPr="00635CF7">
        <w:t xml:space="preserve">Комитет рассмотрел обновленную информацию о выполнении плана работы Бюро по вопросам этики на 2022 год, отметив, что из-за значительного непредвиденного объема некоторых мероприятий у Главного сотрудника по вопросам этики было меньше времени заниматься другими запланированными мероприятиями. Также увеличилось число консультаций по вопросам внешней деятельности. Комитет рекомендовал Главному сотруднику по вопросам этики продолжать выполнение плана работы, сосредоточившись на мероприятиях, дающих наибольшую отдачу. В отношении кадровых ресурсов Комитет предложил изучить </w:t>
      </w:r>
      <w:r>
        <w:t>совместно</w:t>
      </w:r>
      <w:r w:rsidRPr="00635CF7">
        <w:t xml:space="preserve"> с Департаментом управления людскими ресурсами возможности использования имеющихся сотрудников c необходимой квалификацией, желающих получить временное назначение для работы в Бюро по вопросам этики.</w:t>
      </w:r>
    </w:p>
    <w:p w14:paraId="07D320ED" w14:textId="77777777" w:rsidR="00072954" w:rsidRPr="00635CF7" w:rsidRDefault="00072954" w:rsidP="00072954">
      <w:pPr>
        <w:spacing w:after="0" w:line="240" w:lineRule="auto"/>
        <w:ind w:left="0" w:right="0" w:firstLine="0"/>
      </w:pPr>
    </w:p>
    <w:p w14:paraId="49A2E702" w14:textId="30AD3E6A" w:rsidR="00072954" w:rsidRPr="00635CF7" w:rsidRDefault="00072954" w:rsidP="00274585">
      <w:pPr>
        <w:pStyle w:val="ListParagraph"/>
        <w:numPr>
          <w:ilvl w:val="0"/>
          <w:numId w:val="4"/>
        </w:numPr>
        <w:spacing w:after="0" w:line="240" w:lineRule="auto"/>
        <w:ind w:left="0" w:right="29" w:firstLine="0"/>
      </w:pPr>
      <w:r w:rsidRPr="00635CF7">
        <w:t xml:space="preserve">В ходе 67-й сессии </w:t>
      </w:r>
      <w:r w:rsidR="00274585">
        <w:t xml:space="preserve">Комитет проанализировал обновленную информацию, представленную его вниманию </w:t>
      </w:r>
      <w:r w:rsidRPr="00635CF7">
        <w:t>Главны</w:t>
      </w:r>
      <w:r w:rsidR="00274585">
        <w:t>м</w:t>
      </w:r>
      <w:r w:rsidRPr="00635CF7">
        <w:t xml:space="preserve"> сотрудник</w:t>
      </w:r>
      <w:r w:rsidR="00274585">
        <w:t>ом</w:t>
      </w:r>
      <w:r w:rsidRPr="00635CF7">
        <w:t xml:space="preserve"> по вопросам этики: (i) организации работы по обязательному прохождению сотрудниками ВОИС курса по вопросам этики, которая выполнена на 70%; (ii) прекращении договора со сторонним подрядчиком, который занимался вопросами раскрытия финансовой информации, и вводе в эксплуатацию в 2023</w:t>
      </w:r>
      <w:r w:rsidR="00274585">
        <w:t> </w:t>
      </w:r>
      <w:r w:rsidRPr="00635CF7">
        <w:t>году ПО, разработанного ВОИС и предназначенного для этих целей; и (iii) неожиданно возросшей востребованности консультационных услуг, что сказалось на реализации плана работы на 2022</w:t>
      </w:r>
      <w:r w:rsidR="00274585">
        <w:t> </w:t>
      </w:r>
      <w:r w:rsidRPr="00635CF7">
        <w:t xml:space="preserve">год. </w:t>
      </w:r>
      <w:r w:rsidR="00274585">
        <w:t>Высоко оценив</w:t>
      </w:r>
      <w:r w:rsidRPr="00635CF7">
        <w:t xml:space="preserve"> успешную работу Главного сотрудника по вопросам этики, Комитет вместе с тем рекомендовал пристально следить за выполнением плана работы на 2023 год с учетом возможностей данного бюро. Комитет рекомендовал Главному сотруднику изучить вопросы, связанные с внеслужебной деятельностью, и выработать применимую для ВОИС процедуру рассмотрения. Комитет высоко оценил отчет Главного сотрудника по вопросам этики, выразив при этом обеспокоенность </w:t>
      </w:r>
      <w:r>
        <w:t xml:space="preserve">в связи с возросшей </w:t>
      </w:r>
      <w:r>
        <w:lastRenderedPageBreak/>
        <w:t>нагрузкой</w:t>
      </w:r>
      <w:r w:rsidRPr="00635CF7">
        <w:t xml:space="preserve"> с учетом возложенных на Бюро дополнительных задач</w:t>
      </w:r>
      <w:r w:rsidR="00274585">
        <w:t>, обусл</w:t>
      </w:r>
      <w:r w:rsidR="00703990">
        <w:t>овл</w:t>
      </w:r>
      <w:r w:rsidR="00274585">
        <w:t>енных</w:t>
      </w:r>
      <w:r w:rsidRPr="00635CF7">
        <w:t xml:space="preserve"> консультировани</w:t>
      </w:r>
      <w:r w:rsidR="00274585">
        <w:t>ем</w:t>
      </w:r>
      <w:r w:rsidRPr="00635CF7">
        <w:t xml:space="preserve"> персонала по тематике внеслужебной деятельности. Что касается ресурсов, Комитет с удовлетворением отметил, что Бюро по вопросам этики получит возможность привлечь консультанта для оказания помощи в выработке политики, касающейся конфликта интересов, получения подарков и внеслужебной деятельности.</w:t>
      </w:r>
    </w:p>
    <w:p w14:paraId="09851970" w14:textId="77777777" w:rsidR="00072954" w:rsidRPr="00635CF7" w:rsidRDefault="00072954" w:rsidP="00274585">
      <w:pPr>
        <w:spacing w:after="0" w:line="240" w:lineRule="auto"/>
        <w:ind w:right="0"/>
      </w:pPr>
    </w:p>
    <w:p w14:paraId="522D8BC5" w14:textId="2702480A" w:rsidR="00072954" w:rsidRPr="00635CF7" w:rsidRDefault="00072954" w:rsidP="00C07C7C">
      <w:pPr>
        <w:pStyle w:val="ListParagraph"/>
        <w:numPr>
          <w:ilvl w:val="0"/>
          <w:numId w:val="4"/>
        </w:numPr>
        <w:spacing w:after="0" w:line="240" w:lineRule="auto"/>
        <w:ind w:left="0" w:right="29" w:firstLine="0"/>
      </w:pPr>
      <w:r w:rsidRPr="00635CF7">
        <w:t>На 68-й сессии Главный сотрудник по вопросам этики представила обновленную информацию о выполнении плана работы на 2023 год. Комитет поинтересовался политикой защиты от преследования и тем, как она реализуется в ВОИС. Комитет также вернулся к вопросу об обязательных курсах по вопросам этики и рекомендовал Главному сотруднику по вопросам этики координировать свои действия с Внешним аудитором в связи с вопросом последнего об уровне соблюдения требований. Комитет принял к сведению, что разрабатывается политика в отношении подарков и работы по совместительству.</w:t>
      </w:r>
    </w:p>
    <w:p w14:paraId="3857D33E" w14:textId="77777777" w:rsidR="00072954" w:rsidRPr="00635CF7" w:rsidRDefault="00072954" w:rsidP="00072954">
      <w:pPr>
        <w:spacing w:after="0"/>
        <w:ind w:right="32"/>
      </w:pPr>
    </w:p>
    <w:p w14:paraId="1C4FC0BA" w14:textId="05DD9901" w:rsidR="00072954" w:rsidRPr="00635CF7" w:rsidRDefault="00072954" w:rsidP="0082210E">
      <w:pPr>
        <w:pStyle w:val="Heading5"/>
        <w:ind w:left="720" w:right="32" w:firstLine="0"/>
      </w:pPr>
      <w:r w:rsidRPr="00635CF7">
        <w:t>Омбудсмен</w:t>
      </w:r>
    </w:p>
    <w:p w14:paraId="3AA152D2" w14:textId="77777777" w:rsidR="00072954" w:rsidRPr="00635CF7" w:rsidRDefault="00072954" w:rsidP="00072954">
      <w:pPr>
        <w:spacing w:after="16"/>
        <w:ind w:right="32"/>
      </w:pPr>
    </w:p>
    <w:p w14:paraId="59F3256B" w14:textId="3046905E" w:rsidR="00072954" w:rsidRPr="00635CF7" w:rsidRDefault="00072954" w:rsidP="00476EED">
      <w:pPr>
        <w:pStyle w:val="ListParagraph"/>
        <w:numPr>
          <w:ilvl w:val="0"/>
          <w:numId w:val="4"/>
        </w:numPr>
        <w:spacing w:after="0" w:line="240" w:lineRule="auto"/>
        <w:ind w:left="0" w:right="29" w:firstLine="0"/>
      </w:pPr>
      <w:r w:rsidRPr="00635CF7">
        <w:t>В ходе 66-й сессии Омбудсмен представил Комитету отчет о деятельности за 2021</w:t>
      </w:r>
      <w:r>
        <w:t> </w:t>
      </w:r>
      <w:r w:rsidRPr="00635CF7">
        <w:t xml:space="preserve">год и </w:t>
      </w:r>
      <w:r>
        <w:t>ряд уточнений</w:t>
      </w:r>
      <w:r w:rsidRPr="00635CF7">
        <w:t xml:space="preserve"> за 2022 год. В соответствии с рекомендацией Комитета отчеты теперь</w:t>
      </w:r>
      <w:r w:rsidR="006875D0">
        <w:t xml:space="preserve"> обще</w:t>
      </w:r>
      <w:r w:rsidRPr="00635CF7">
        <w:t xml:space="preserve">доступны на веб-сайте ВОИС. Комитет обсудил необходимость продолжения информирования об изменениях в Организации в направлении формирования организационной культуры, ориентированной на человека, учитывающей эффективность и результативность. Комитет был проинформирован о том, что должность Омбудсмена станет вакантной после выхода на пенсию занимающего ее лица в </w:t>
      </w:r>
      <w:r w:rsidR="006875D0">
        <w:t>конце февраля</w:t>
      </w:r>
      <w:r w:rsidRPr="00635CF7">
        <w:t xml:space="preserve"> 2023 года.</w:t>
      </w:r>
    </w:p>
    <w:p w14:paraId="5FEF5F9F" w14:textId="77777777" w:rsidR="00072954" w:rsidRPr="00635CF7" w:rsidRDefault="00072954" w:rsidP="00072954">
      <w:pPr>
        <w:pStyle w:val="ListParagraph"/>
        <w:ind w:left="1" w:firstLine="0"/>
      </w:pPr>
    </w:p>
    <w:p w14:paraId="7D344A39" w14:textId="77777777" w:rsidR="00072954" w:rsidRPr="00635CF7" w:rsidRDefault="00072954" w:rsidP="00072954">
      <w:pPr>
        <w:pStyle w:val="Heading2"/>
        <w:tabs>
          <w:tab w:val="center" w:pos="1382"/>
        </w:tabs>
        <w:ind w:left="0" w:right="32" w:firstLine="0"/>
      </w:pPr>
      <w:bookmarkStart w:id="28" w:name="_Toc136419486"/>
      <w:bookmarkStart w:id="29" w:name="_Toc136445874"/>
      <w:r w:rsidRPr="00635CF7">
        <w:rPr>
          <w:u w:val="none"/>
        </w:rPr>
        <w:t>G.</w:t>
      </w:r>
      <w:r w:rsidRPr="00635CF7">
        <w:rPr>
          <w:u w:val="none"/>
        </w:rPr>
        <w:tab/>
      </w:r>
      <w:r w:rsidRPr="00635CF7">
        <w:t>Прочие вопросы</w:t>
      </w:r>
      <w:bookmarkEnd w:id="28"/>
      <w:bookmarkEnd w:id="29"/>
    </w:p>
    <w:p w14:paraId="5A106963" w14:textId="77777777" w:rsidR="00072954" w:rsidRPr="00635CF7" w:rsidRDefault="00072954" w:rsidP="00072954"/>
    <w:p w14:paraId="42A7DE65" w14:textId="5EB4CD17" w:rsidR="00072954" w:rsidRPr="00635CF7" w:rsidRDefault="00072954" w:rsidP="00476EED">
      <w:pPr>
        <w:pStyle w:val="Heading5"/>
        <w:ind w:left="720" w:right="32" w:firstLine="0"/>
      </w:pPr>
      <w:r w:rsidRPr="00635CF7">
        <w:t>Отчеты об инвестициях ВОИС</w:t>
      </w:r>
    </w:p>
    <w:p w14:paraId="3D0BA3F4" w14:textId="77777777" w:rsidR="00072954" w:rsidRPr="00635CF7" w:rsidRDefault="00072954" w:rsidP="00072954">
      <w:pPr>
        <w:spacing w:after="16"/>
        <w:ind w:right="32"/>
      </w:pPr>
    </w:p>
    <w:p w14:paraId="029DAAA0" w14:textId="4025A1FA" w:rsidR="00072954" w:rsidRPr="00635CF7" w:rsidRDefault="00072954" w:rsidP="00072954">
      <w:pPr>
        <w:pStyle w:val="ListParagraph"/>
        <w:numPr>
          <w:ilvl w:val="0"/>
          <w:numId w:val="4"/>
        </w:numPr>
        <w:tabs>
          <w:tab w:val="left" w:pos="720"/>
        </w:tabs>
        <w:spacing w:after="0" w:line="240" w:lineRule="auto"/>
        <w:ind w:left="0" w:right="29"/>
      </w:pPr>
      <w:r w:rsidRPr="00635CF7">
        <w:t xml:space="preserve">По просьбе государств-членов на каждой сессии Комитета руководство представляет ему имеющиеся ежемесячные отчеты о результатах инвестиционной деятельности и ежемесячные отчеты о мониторинге инвестиционной деятельности, которые составляются соответственно консультантами по инвестиционным вопросам и Депозитарием. Комитет пояснил, что его функции ограничиваются препровождением </w:t>
      </w:r>
      <w:r w:rsidR="00015C36">
        <w:t xml:space="preserve">государствам-членам </w:t>
      </w:r>
      <w:r w:rsidRPr="00635CF7">
        <w:t>информации, содержащейся в отчетах о результатах инвестиционной деятельности и отчетах о мониторинге инвестиционной деятельности, без предоставления каких-либо гарантий на этот счет.</w:t>
      </w:r>
      <w:r w:rsidR="004744E0">
        <w:t xml:space="preserve"> Как указано в пункте 21, Комитет также рекомендовал провести проверку системы</w:t>
      </w:r>
      <w:r w:rsidR="004744E0" w:rsidRPr="004744E0">
        <w:rPr>
          <w:bCs/>
        </w:rPr>
        <w:t xml:space="preserve"> управления</w:t>
      </w:r>
      <w:r w:rsidR="004744E0">
        <w:rPr>
          <w:bCs/>
        </w:rPr>
        <w:t xml:space="preserve"> применительно к управлению инвестиционными портфелями ВОИС.</w:t>
      </w:r>
    </w:p>
    <w:p w14:paraId="75A76D93" w14:textId="77777777" w:rsidR="00072954" w:rsidRPr="00635CF7" w:rsidRDefault="00072954" w:rsidP="00072954">
      <w:pPr>
        <w:ind w:left="0" w:right="32" w:firstLine="0"/>
      </w:pPr>
    </w:p>
    <w:p w14:paraId="33239C1D" w14:textId="6316E0FA" w:rsidR="00072954" w:rsidRPr="00635CF7" w:rsidRDefault="00072954" w:rsidP="004744E0">
      <w:pPr>
        <w:pStyle w:val="ListParagraph"/>
        <w:numPr>
          <w:ilvl w:val="0"/>
          <w:numId w:val="4"/>
        </w:numPr>
        <w:spacing w:after="0" w:line="240" w:lineRule="auto"/>
        <w:ind w:left="0" w:right="29" w:firstLine="0"/>
      </w:pPr>
      <w:r w:rsidRPr="00635CF7">
        <w:t>В отношении периодического рассмотрения ежемесячных инвестиционных отчетов за период с мая 2022 г</w:t>
      </w:r>
      <w:r w:rsidR="004744E0">
        <w:t>ода</w:t>
      </w:r>
      <w:r w:rsidRPr="00635CF7">
        <w:t xml:space="preserve"> по январь 2023 г</w:t>
      </w:r>
      <w:r w:rsidR="004744E0">
        <w:t>ода</w:t>
      </w:r>
      <w:r w:rsidRPr="00635CF7">
        <w:t xml:space="preserve"> Комитет подтвердил, что как свидетельствует информация, представленная за отчетный период, судя по контрольным инвестиционным показателям, </w:t>
      </w:r>
      <w:r w:rsidR="00650871">
        <w:t>управление</w:t>
      </w:r>
      <w:r>
        <w:t xml:space="preserve"> </w:t>
      </w:r>
      <w:r w:rsidRPr="00635CF7">
        <w:t>все</w:t>
      </w:r>
      <w:r w:rsidR="00650871">
        <w:t>ми</w:t>
      </w:r>
      <w:r w:rsidRPr="00635CF7">
        <w:t xml:space="preserve"> финансовы</w:t>
      </w:r>
      <w:r w:rsidR="00650871">
        <w:t>ми</w:t>
      </w:r>
      <w:r w:rsidRPr="00635CF7">
        <w:t xml:space="preserve"> инструмент</w:t>
      </w:r>
      <w:r w:rsidR="00650871">
        <w:t>ами</w:t>
      </w:r>
      <w:r w:rsidRPr="00635CF7">
        <w:t xml:space="preserve"> в инвестиционн</w:t>
      </w:r>
      <w:r w:rsidR="00650871">
        <w:t>ых</w:t>
      </w:r>
      <w:r w:rsidRPr="00635CF7">
        <w:t xml:space="preserve"> портфел</w:t>
      </w:r>
      <w:r w:rsidR="00650871">
        <w:t>ях</w:t>
      </w:r>
      <w:r w:rsidRPr="00635CF7">
        <w:t xml:space="preserve"> ВОИС </w:t>
      </w:r>
      <w:r>
        <w:t>осуществлялось</w:t>
      </w:r>
      <w:r w:rsidRPr="00635CF7">
        <w:t xml:space="preserve"> согласно </w:t>
      </w:r>
      <w:r>
        <w:t>заявленной</w:t>
      </w:r>
      <w:r w:rsidRPr="00635CF7">
        <w:t xml:space="preserve"> стратегии инвестиционной деятельности. Кроме того, Комитет </w:t>
      </w:r>
      <w:r>
        <w:t>подтвердил</w:t>
      </w:r>
      <w:r w:rsidRPr="00635CF7">
        <w:t>, что Депозитарий не сообщал о каких-либо преднамеренных или непреднамеренных нарушениях или обоснованных исключениях.</w:t>
      </w:r>
    </w:p>
    <w:p w14:paraId="7828CABD" w14:textId="77777777" w:rsidR="00072954" w:rsidRPr="00635CF7" w:rsidRDefault="00072954" w:rsidP="00650871">
      <w:pPr>
        <w:ind w:left="0" w:firstLine="0"/>
      </w:pPr>
    </w:p>
    <w:p w14:paraId="2AA13D43" w14:textId="77777777" w:rsidR="00320D49" w:rsidRDefault="00320D49">
      <w:pPr>
        <w:spacing w:after="160"/>
        <w:ind w:left="0" w:right="0" w:firstLine="0"/>
        <w:rPr>
          <w:b/>
        </w:rPr>
      </w:pPr>
      <w:bookmarkStart w:id="30" w:name="_Toc136419487"/>
      <w:bookmarkStart w:id="31" w:name="_Toc136445875"/>
      <w:r>
        <w:br w:type="page"/>
      </w:r>
    </w:p>
    <w:p w14:paraId="4FF6BC6E" w14:textId="594E445B" w:rsidR="00072954" w:rsidRPr="00635CF7" w:rsidRDefault="009A47EB" w:rsidP="009A47EB">
      <w:pPr>
        <w:pStyle w:val="Heading1"/>
        <w:spacing w:after="0" w:line="240" w:lineRule="auto"/>
        <w:ind w:left="0" w:right="32" w:firstLine="0"/>
      </w:pPr>
      <w:r>
        <w:lastRenderedPageBreak/>
        <w:t>IV.</w:t>
      </w:r>
      <w:r w:rsidR="00072954" w:rsidRPr="00635CF7">
        <w:tab/>
        <w:t>ЗАКЛЮЧИТЕЛЬНЫЕ ЗАМЕЧАНИЯ</w:t>
      </w:r>
      <w:bookmarkEnd w:id="30"/>
      <w:bookmarkEnd w:id="31"/>
    </w:p>
    <w:p w14:paraId="47A7A6E5" w14:textId="77777777" w:rsidR="00072954" w:rsidRPr="00635CF7" w:rsidRDefault="00072954" w:rsidP="00072954">
      <w:pPr>
        <w:spacing w:after="0" w:line="240" w:lineRule="auto"/>
        <w:ind w:right="32"/>
      </w:pPr>
    </w:p>
    <w:p w14:paraId="05BA7E5B" w14:textId="7BE99CC7" w:rsidR="00072954" w:rsidRPr="00635CF7" w:rsidRDefault="00015C36" w:rsidP="00CA7133">
      <w:pPr>
        <w:pStyle w:val="ListParagraph"/>
        <w:numPr>
          <w:ilvl w:val="0"/>
          <w:numId w:val="4"/>
        </w:numPr>
        <w:spacing w:after="0" w:line="240" w:lineRule="auto"/>
        <w:ind w:left="0" w:right="29" w:firstLine="0"/>
      </w:pPr>
      <w:r>
        <w:t xml:space="preserve">Комитет </w:t>
      </w:r>
      <w:r w:rsidR="00072954" w:rsidRPr="00635CF7">
        <w:t xml:space="preserve">хотел бы выразить признательность Генеральному директору, </w:t>
      </w:r>
      <w:r w:rsidR="00AE35A2">
        <w:t>сотрудникам Секретариата и</w:t>
      </w:r>
      <w:r w:rsidR="00072954" w:rsidRPr="00635CF7">
        <w:t xml:space="preserve"> Внешнему аудитору за доступность, четкость и открытость в рамках их регулярного взаимодействия с Комитетом, а также за предоставленную ими информацию. В заключение </w:t>
      </w:r>
      <w:r>
        <w:t>он также</w:t>
      </w:r>
      <w:r w:rsidR="00072954" w:rsidRPr="00635CF7">
        <w:t xml:space="preserve"> выражает признательность председателям Генеральной Ассамблеи и Координационного комитета ВОИС</w:t>
      </w:r>
      <w:r w:rsidR="00072954">
        <w:t>, нашедшим</w:t>
      </w:r>
      <w:r w:rsidR="00072954" w:rsidRPr="00635CF7">
        <w:rPr>
          <w:bCs/>
        </w:rPr>
        <w:t xml:space="preserve"> время для встречи с членами Комитета</w:t>
      </w:r>
      <w:r w:rsidR="00072954" w:rsidRPr="00635CF7">
        <w:t xml:space="preserve"> в ходе 68-й сессии НККН.</w:t>
      </w:r>
    </w:p>
    <w:p w14:paraId="5E8E1065" w14:textId="77777777" w:rsidR="00072954" w:rsidRPr="00635CF7" w:rsidRDefault="00072954" w:rsidP="00072954">
      <w:pPr>
        <w:spacing w:after="0"/>
        <w:ind w:left="1" w:right="32" w:firstLine="0"/>
      </w:pPr>
    </w:p>
    <w:p w14:paraId="0B17DA65" w14:textId="104063CE" w:rsidR="00072954" w:rsidRDefault="00072954" w:rsidP="00072954">
      <w:pPr>
        <w:ind w:left="5730" w:right="32"/>
      </w:pPr>
      <w:r w:rsidRPr="00635CF7">
        <w:t>[Конец документа</w:t>
      </w:r>
      <w:r>
        <w:t>]</w:t>
      </w:r>
    </w:p>
    <w:p w14:paraId="392CB857" w14:textId="084BE7C3" w:rsidR="000F075B" w:rsidRDefault="000F075B" w:rsidP="00072954">
      <w:pPr>
        <w:spacing w:after="160"/>
        <w:ind w:left="0" w:right="0" w:firstLine="0"/>
      </w:pPr>
    </w:p>
    <w:sectPr w:rsidR="000F075B" w:rsidSect="005F78D9">
      <w:headerReference w:type="even" r:id="rId17"/>
      <w:headerReference w:type="default" r:id="rId18"/>
      <w:footerReference w:type="even" r:id="rId19"/>
      <w:footerReference w:type="default" r:id="rId20"/>
      <w:headerReference w:type="first" r:id="rId21"/>
      <w:footerReference w:type="first" r:id="rId22"/>
      <w:pgSz w:w="11906" w:h="16841"/>
      <w:pgMar w:top="763" w:right="848" w:bottom="325" w:left="1294" w:header="720" w:footer="720" w:gutter="0"/>
      <w:pgNumType w:start="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EE594" w14:textId="77777777" w:rsidR="004E21D8" w:rsidRDefault="004E21D8">
      <w:pPr>
        <w:spacing w:after="0" w:line="240" w:lineRule="auto"/>
      </w:pPr>
      <w:r>
        <w:separator/>
      </w:r>
    </w:p>
  </w:endnote>
  <w:endnote w:type="continuationSeparator" w:id="0">
    <w:p w14:paraId="78D5E376" w14:textId="77777777" w:rsidR="004E21D8" w:rsidRDefault="004E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F96E7" w14:textId="77777777" w:rsidR="009A47EB" w:rsidRDefault="009A4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5A2D" w14:textId="77777777" w:rsidR="009A47EB" w:rsidRDefault="009A4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B2542" w14:textId="77777777" w:rsidR="009A47EB" w:rsidRDefault="009A47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465E" w14:textId="69BAA983" w:rsidR="00BE54F5" w:rsidRDefault="00BE54F5" w:rsidP="00BE54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EED61" w14:textId="64963635" w:rsidR="00BE54F5" w:rsidRDefault="00BE54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4C79" w14:textId="20CDAE03" w:rsidR="00BE54F5" w:rsidRDefault="00BE54F5" w:rsidP="00BE5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5C839" w14:textId="77777777" w:rsidR="004E21D8" w:rsidRDefault="004E21D8">
      <w:pPr>
        <w:spacing w:after="0" w:line="240" w:lineRule="auto"/>
      </w:pPr>
      <w:r>
        <w:separator/>
      </w:r>
    </w:p>
  </w:footnote>
  <w:footnote w:type="continuationSeparator" w:id="0">
    <w:p w14:paraId="61CF9E96" w14:textId="77777777" w:rsidR="004E21D8" w:rsidRDefault="004E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24889" w14:textId="77777777" w:rsidR="009A47EB" w:rsidRDefault="009A4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98AD0" w14:textId="77777777" w:rsidR="00072954" w:rsidRDefault="00072954" w:rsidP="00623835">
    <w:pPr>
      <w:spacing w:after="5" w:line="238" w:lineRule="auto"/>
      <w:ind w:left="7200" w:right="-16" w:firstLine="0"/>
      <w:jc w:val="right"/>
    </w:pPr>
    <w:r>
      <w:t>WO/PBC/36/2</w:t>
    </w:r>
  </w:p>
  <w:p w14:paraId="03FF392A" w14:textId="77777777" w:rsidR="00072954" w:rsidRDefault="00072954" w:rsidP="00623835">
    <w:pPr>
      <w:spacing w:after="5" w:line="238" w:lineRule="auto"/>
      <w:ind w:left="7200" w:right="-16" w:firstLine="0"/>
      <w:jc w:val="right"/>
    </w:pPr>
    <w:r>
      <w:t>стр</w:t>
    </w:r>
    <w:r w:rsidRPr="00375783">
      <w:t>.</w:t>
    </w:r>
    <w:r>
      <w:t xml:space="preserve"> 2</w:t>
    </w:r>
  </w:p>
  <w:p w14:paraId="7140AD70" w14:textId="77777777" w:rsidR="00072954" w:rsidRDefault="00072954" w:rsidP="00623835">
    <w:pPr>
      <w:spacing w:after="0"/>
      <w:ind w:left="142" w:righ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CB8D2" w14:textId="77777777" w:rsidR="00072954" w:rsidRDefault="00072954" w:rsidP="004F5A85">
    <w:pPr>
      <w:spacing w:after="5" w:line="238" w:lineRule="auto"/>
      <w:ind w:left="0" w:right="-16"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486C" w14:textId="76AE5BD6" w:rsidR="00BE54F5" w:rsidRDefault="00BE54F5" w:rsidP="00BE54F5">
    <w:pPr>
      <w:spacing w:after="5" w:line="238" w:lineRule="auto"/>
      <w:ind w:left="7200" w:right="-16" w:firstLine="0"/>
      <w:jc w:val="right"/>
    </w:pPr>
    <w:r>
      <w:t>WO/PBC/36/2</w:t>
    </w:r>
  </w:p>
  <w:p w14:paraId="16E622EA" w14:textId="193F2DDF" w:rsidR="00BE54F5" w:rsidRDefault="00BE54F5" w:rsidP="00BE54F5">
    <w:pPr>
      <w:spacing w:after="5" w:line="238" w:lineRule="auto"/>
      <w:ind w:left="7200" w:right="-16" w:firstLine="0"/>
      <w:jc w:val="right"/>
    </w:pPr>
    <w:r>
      <w:t>стр.</w:t>
    </w:r>
    <w:r w:rsidR="00CC546E">
      <w:t xml:space="preserve"> </w:t>
    </w:r>
    <w:r>
      <w:fldChar w:fldCharType="begin"/>
    </w:r>
    <w:r>
      <w:instrText xml:space="preserve"> PAGE   \* MERGEFORMAT </w:instrText>
    </w:r>
    <w:r>
      <w:fldChar w:fldCharType="separate"/>
    </w:r>
    <w:r w:rsidR="00320D49">
      <w:rPr>
        <w:noProof/>
      </w:rPr>
      <w:t>12</w:t>
    </w:r>
    <w:r>
      <w:fldChar w:fldCharType="end"/>
    </w:r>
  </w:p>
  <w:p w14:paraId="15D63005" w14:textId="77777777" w:rsidR="00BE54F5" w:rsidRDefault="00BE54F5" w:rsidP="00BE54F5">
    <w:pPr>
      <w:spacing w:after="0"/>
      <w:ind w:left="142" w:right="0" w:firstLine="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4D2A7" w14:textId="79AF26D7" w:rsidR="00B40017" w:rsidRDefault="00B40017">
    <w:pPr>
      <w:spacing w:after="5" w:line="238" w:lineRule="auto"/>
      <w:ind w:left="7200" w:right="-16" w:firstLine="0"/>
      <w:jc w:val="right"/>
    </w:pPr>
    <w:r>
      <w:t>WO/PBC/36/2</w:t>
    </w:r>
  </w:p>
  <w:p w14:paraId="7F220377" w14:textId="0FFF0DE8" w:rsidR="00B40017" w:rsidRDefault="00B40017">
    <w:pPr>
      <w:spacing w:after="5" w:line="238" w:lineRule="auto"/>
      <w:ind w:left="7200" w:right="-16" w:firstLine="0"/>
      <w:jc w:val="right"/>
    </w:pPr>
    <w:r>
      <w:t>стр.</w:t>
    </w:r>
    <w:r w:rsidR="004F5A85">
      <w:rPr>
        <w:lang w:val="en-US"/>
      </w:rPr>
      <w:t xml:space="preserve"> </w:t>
    </w:r>
    <w:r>
      <w:fldChar w:fldCharType="begin"/>
    </w:r>
    <w:r>
      <w:instrText xml:space="preserve"> PAGE   \* MERGEFORMAT </w:instrText>
    </w:r>
    <w:r>
      <w:fldChar w:fldCharType="separate"/>
    </w:r>
    <w:r w:rsidR="00320D49">
      <w:rPr>
        <w:noProof/>
      </w:rPr>
      <w:t>11</w:t>
    </w:r>
    <w:r>
      <w:fldChar w:fldCharType="end"/>
    </w:r>
  </w:p>
  <w:p w14:paraId="56EBF247" w14:textId="77777777" w:rsidR="00B40017" w:rsidRDefault="00B40017" w:rsidP="00623835">
    <w:pPr>
      <w:spacing w:after="0"/>
      <w:ind w:left="142" w:right="0"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87EE" w14:textId="69335068" w:rsidR="00BE54F5" w:rsidRDefault="00BE54F5" w:rsidP="00BE54F5">
    <w:pPr>
      <w:spacing w:after="5" w:line="238" w:lineRule="auto"/>
      <w:ind w:left="7200" w:right="-16" w:firstLine="0"/>
      <w:jc w:val="right"/>
    </w:pPr>
    <w:r>
      <w:t>WO/PBC/36/2</w:t>
    </w:r>
  </w:p>
  <w:p w14:paraId="24E893DF" w14:textId="258DF726" w:rsidR="00BE54F5" w:rsidRDefault="00BE54F5" w:rsidP="00BE54F5">
    <w:pPr>
      <w:spacing w:after="5" w:line="238" w:lineRule="auto"/>
      <w:ind w:left="7200" w:right="-16" w:firstLine="0"/>
      <w:jc w:val="right"/>
    </w:pPr>
    <w:r>
      <w:t>стр.</w:t>
    </w:r>
    <w:r w:rsidR="004F5A85">
      <w:t xml:space="preserve"> </w:t>
    </w:r>
    <w:r>
      <w:fldChar w:fldCharType="begin"/>
    </w:r>
    <w:r>
      <w:instrText xml:space="preserve"> PAGE   \* MERGEFORMAT </w:instrText>
    </w:r>
    <w:r>
      <w:fldChar w:fldCharType="separate"/>
    </w:r>
    <w:r w:rsidR="00320D49">
      <w:rPr>
        <w:noProof/>
      </w:rPr>
      <w:t>4</w:t>
    </w:r>
    <w:r>
      <w:fldChar w:fldCharType="end"/>
    </w:r>
  </w:p>
  <w:p w14:paraId="097DA6C2" w14:textId="77777777" w:rsidR="00BE54F5" w:rsidRDefault="00BE54F5" w:rsidP="00BE54F5">
    <w:pPr>
      <w:spacing w:after="0"/>
      <w:ind w:left="142" w:right="0"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E9CDACA"/>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7049BF"/>
    <w:multiLevelType w:val="hybridMultilevel"/>
    <w:tmpl w:val="B91C1B44"/>
    <w:lvl w:ilvl="0" w:tplc="31BEA9D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D3BB4"/>
    <w:multiLevelType w:val="hybridMultilevel"/>
    <w:tmpl w:val="6E16C312"/>
    <w:lvl w:ilvl="0" w:tplc="1818D338">
      <w:start w:val="1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E6B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3A9B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D0E9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EB4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68B8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6467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863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65D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F10E0F"/>
    <w:multiLevelType w:val="hybridMultilevel"/>
    <w:tmpl w:val="B54A7858"/>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E24310"/>
    <w:multiLevelType w:val="hybridMultilevel"/>
    <w:tmpl w:val="FBEC3A50"/>
    <w:lvl w:ilvl="0" w:tplc="78642F42">
      <w:start w:val="53"/>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834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8C7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8A858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6B4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EB6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8A2E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C98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BC52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CE21F3"/>
    <w:multiLevelType w:val="hybridMultilevel"/>
    <w:tmpl w:val="4AA2ADDE"/>
    <w:lvl w:ilvl="0" w:tplc="9E5C97D4">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A5EAA"/>
    <w:multiLevelType w:val="hybridMultilevel"/>
    <w:tmpl w:val="B9184FC6"/>
    <w:lvl w:ilvl="0" w:tplc="D6D2DFF2">
      <w:start w:val="14"/>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868342">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8DF6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2A55E">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A2D30">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C6974">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C66B58">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4C7AE">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64D88">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3B19FF"/>
    <w:multiLevelType w:val="hybridMultilevel"/>
    <w:tmpl w:val="F62A35A0"/>
    <w:lvl w:ilvl="0" w:tplc="B7FE277A">
      <w:start w:val="1"/>
      <w:numFmt w:val="decimal"/>
      <w:lvlText w:val="%1."/>
      <w:lvlJc w:val="left"/>
      <w:pPr>
        <w:ind w:left="1495" w:hanging="360"/>
      </w:pPr>
      <w:rPr>
        <w:rFonts w:hint="default"/>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7C6ADB"/>
    <w:multiLevelType w:val="hybridMultilevel"/>
    <w:tmpl w:val="5FA4A152"/>
    <w:lvl w:ilvl="0" w:tplc="6200EF2C">
      <w:start w:val="20"/>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B6D7F6">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02C22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74BCFA">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075D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DE62E2">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D6ED5E">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3CC87C">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A415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CB5A99"/>
    <w:multiLevelType w:val="hybridMultilevel"/>
    <w:tmpl w:val="D6E6D6B4"/>
    <w:lvl w:ilvl="0" w:tplc="3F4A77BA">
      <w:start w:val="24"/>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49E2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62BC5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4EBDB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4B1C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BC4A2A">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A37F6">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E788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AF10C">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B306D1"/>
    <w:multiLevelType w:val="hybridMultilevel"/>
    <w:tmpl w:val="617EAED0"/>
    <w:lvl w:ilvl="0" w:tplc="0EFAC94E">
      <w:start w:val="4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C4E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64E6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CC77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67C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8A2C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49E9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460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66C8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227EDE"/>
    <w:multiLevelType w:val="hybridMultilevel"/>
    <w:tmpl w:val="B54A7858"/>
    <w:lvl w:ilvl="0" w:tplc="5A888962">
      <w:start w:val="8"/>
      <w:numFmt w:val="decimal"/>
      <w:lvlText w:val="%1."/>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25041D"/>
    <w:multiLevelType w:val="hybridMultilevel"/>
    <w:tmpl w:val="56C8B67A"/>
    <w:lvl w:ilvl="0" w:tplc="2FEE2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7B5D30"/>
    <w:multiLevelType w:val="hybridMultilevel"/>
    <w:tmpl w:val="AA202E98"/>
    <w:lvl w:ilvl="0" w:tplc="ED9E7BF4">
      <w:start w:val="26"/>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47558">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9A69D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74567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68F2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6BA6C">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BAB2">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49E08">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C8329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0A64C6"/>
    <w:multiLevelType w:val="hybridMultilevel"/>
    <w:tmpl w:val="7BD0672A"/>
    <w:lvl w:ilvl="0" w:tplc="0C6AA820">
      <w:start w:val="6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00CBF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A60A78">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448E6C">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AE1CA">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E42656">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482100">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0F786">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AA452">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7B707C"/>
    <w:multiLevelType w:val="hybridMultilevel"/>
    <w:tmpl w:val="03D0A2F8"/>
    <w:lvl w:ilvl="0" w:tplc="C242127E">
      <w:start w:val="1"/>
      <w:numFmt w:val="decimal"/>
      <w:lvlText w:val="(%1)"/>
      <w:lvlJc w:val="left"/>
      <w:pPr>
        <w:ind w:left="1740" w:hanging="57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4E235CA0"/>
    <w:multiLevelType w:val="hybridMultilevel"/>
    <w:tmpl w:val="6A9EB6FA"/>
    <w:lvl w:ilvl="0" w:tplc="0FB27EDA">
      <w:start w:val="30"/>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807A0">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69232">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8CA212">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AFFCA">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22CA8">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90DBC8">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4B45E">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CCD98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8B7084"/>
    <w:multiLevelType w:val="hybridMultilevel"/>
    <w:tmpl w:val="93B65B30"/>
    <w:lvl w:ilvl="0" w:tplc="D584C604">
      <w:start w:val="37"/>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01C36">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506674">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49C5A">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305F02">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B8A672">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03A1A">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7C900A">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E9740">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DC4162"/>
    <w:multiLevelType w:val="hybridMultilevel"/>
    <w:tmpl w:val="27CAF5CA"/>
    <w:lvl w:ilvl="0" w:tplc="6C520FA2">
      <w:start w:val="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9456633"/>
    <w:multiLevelType w:val="hybridMultilevel"/>
    <w:tmpl w:val="F3AA6080"/>
    <w:lvl w:ilvl="0" w:tplc="6F989C0E">
      <w:start w:val="19"/>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CA9EA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2674CC">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68DA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6E0DA">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48370">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74FD5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1CB956">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56B78C">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CA02A54"/>
    <w:multiLevelType w:val="hybridMultilevel"/>
    <w:tmpl w:val="E3721360"/>
    <w:lvl w:ilvl="0" w:tplc="31BEA9DC">
      <w:start w:val="2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3" w15:restartNumberingAfterBreak="0">
    <w:nsid w:val="5DBB2C4D"/>
    <w:multiLevelType w:val="hybridMultilevel"/>
    <w:tmpl w:val="7D908414"/>
    <w:lvl w:ilvl="0" w:tplc="660A17D6">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E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96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E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57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A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6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E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2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335F47"/>
    <w:multiLevelType w:val="hybridMultilevel"/>
    <w:tmpl w:val="E208FD62"/>
    <w:lvl w:ilvl="0" w:tplc="4AA29EFA">
      <w:start w:val="33"/>
      <w:numFmt w:val="decimal"/>
      <w:lvlText w:val="%1."/>
      <w:lvlJc w:val="left"/>
      <w:pPr>
        <w:ind w:left="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AEE89A">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8A9EF6">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966FE4">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6A7BB8">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4A4BFC">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013F8">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80208">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0AA9C">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6CD21558"/>
    <w:multiLevelType w:val="hybridMultilevel"/>
    <w:tmpl w:val="4FA4C2F6"/>
    <w:lvl w:ilvl="0" w:tplc="7CC4E254">
      <w:start w:val="33"/>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27" w15:restartNumberingAfterBreak="0">
    <w:nsid w:val="6DF75AA2"/>
    <w:multiLevelType w:val="hybridMultilevel"/>
    <w:tmpl w:val="A3EC3398"/>
    <w:lvl w:ilvl="0" w:tplc="A09AA214">
      <w:start w:val="13"/>
      <w:numFmt w:val="decimal"/>
      <w:lvlText w:val="%1."/>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C08F59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9707EE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C4EA14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6C8C95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2D2BD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BE85A5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BD882E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ABC434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E0F7EDE"/>
    <w:multiLevelType w:val="hybridMultilevel"/>
    <w:tmpl w:val="A43888A8"/>
    <w:lvl w:ilvl="0" w:tplc="0422FCF4">
      <w:start w:val="5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AC104">
      <w:start w:val="1"/>
      <w:numFmt w:val="lowerLetter"/>
      <w:lvlText w:val="%2"/>
      <w:lvlJc w:val="left"/>
      <w:pPr>
        <w:ind w:left="1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74DD10">
      <w:start w:val="1"/>
      <w:numFmt w:val="lowerRoman"/>
      <w:lvlText w:val="%3"/>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A4836">
      <w:start w:val="1"/>
      <w:numFmt w:val="decimal"/>
      <w:lvlText w:val="%4"/>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D22C3E">
      <w:start w:val="1"/>
      <w:numFmt w:val="lowerLetter"/>
      <w:lvlText w:val="%5"/>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D64FAE">
      <w:start w:val="1"/>
      <w:numFmt w:val="lowerRoman"/>
      <w:lvlText w:val="%6"/>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CEA364">
      <w:start w:val="1"/>
      <w:numFmt w:val="decimal"/>
      <w:lvlText w:val="%7"/>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32F87C">
      <w:start w:val="1"/>
      <w:numFmt w:val="lowerLetter"/>
      <w:lvlText w:val="%8"/>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E5D2A">
      <w:start w:val="1"/>
      <w:numFmt w:val="lowerRoman"/>
      <w:lvlText w:val="%9"/>
      <w:lvlJc w:val="left"/>
      <w:pPr>
        <w:ind w:left="6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FAE3436"/>
    <w:multiLevelType w:val="hybridMultilevel"/>
    <w:tmpl w:val="48FECF0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32D3F"/>
    <w:multiLevelType w:val="hybridMultilevel"/>
    <w:tmpl w:val="13086356"/>
    <w:lvl w:ilvl="0" w:tplc="59D4745A">
      <w:start w:val="22"/>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A6232">
      <w:start w:val="1"/>
      <w:numFmt w:val="lowerLetter"/>
      <w:lvlText w:val="%2"/>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788B0A">
      <w:start w:val="1"/>
      <w:numFmt w:val="lowerRoman"/>
      <w:lvlText w:val="%3"/>
      <w:lvlJc w:val="left"/>
      <w:pPr>
        <w:ind w:left="1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4D86A">
      <w:start w:val="1"/>
      <w:numFmt w:val="decimal"/>
      <w:lvlText w:val="%4"/>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873E2">
      <w:start w:val="1"/>
      <w:numFmt w:val="lowerLetter"/>
      <w:lvlText w:val="%5"/>
      <w:lvlJc w:val="left"/>
      <w:pPr>
        <w:ind w:left="3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4F81E">
      <w:start w:val="1"/>
      <w:numFmt w:val="lowerRoman"/>
      <w:lvlText w:val="%6"/>
      <w:lvlJc w:val="left"/>
      <w:pPr>
        <w:ind w:left="4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36E00E">
      <w:start w:val="1"/>
      <w:numFmt w:val="decimal"/>
      <w:lvlText w:val="%7"/>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09FDE">
      <w:start w:val="1"/>
      <w:numFmt w:val="lowerLetter"/>
      <w:lvlText w:val="%8"/>
      <w:lvlJc w:val="left"/>
      <w:pPr>
        <w:ind w:left="5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AAD504">
      <w:start w:val="1"/>
      <w:numFmt w:val="lowerRoman"/>
      <w:lvlText w:val="%9"/>
      <w:lvlJc w:val="left"/>
      <w:pPr>
        <w:ind w:left="6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0BD52AB"/>
    <w:multiLevelType w:val="hybridMultilevel"/>
    <w:tmpl w:val="6FE66288"/>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E8126">
      <w:start w:val="1"/>
      <w:numFmt w:val="bullet"/>
      <w:lvlText w:val="-"/>
      <w:lvlJc w:val="left"/>
      <w:pPr>
        <w:ind w:left="1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5674004"/>
    <w:multiLevelType w:val="hybridMultilevel"/>
    <w:tmpl w:val="308CCA64"/>
    <w:lvl w:ilvl="0" w:tplc="F3AE0E46">
      <w:start w:val="4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CC60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6433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629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BA63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4457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602E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4AA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EE000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EDB6B42"/>
    <w:multiLevelType w:val="hybridMultilevel"/>
    <w:tmpl w:val="2460C0B0"/>
    <w:lvl w:ilvl="0" w:tplc="C598FB08">
      <w:start w:val="49"/>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01E64">
      <w:start w:val="1"/>
      <w:numFmt w:val="lowerLetter"/>
      <w:lvlText w:val="%2"/>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16643C">
      <w:start w:val="1"/>
      <w:numFmt w:val="lowerRoman"/>
      <w:lvlText w:val="%3"/>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EAF404">
      <w:start w:val="1"/>
      <w:numFmt w:val="decimal"/>
      <w:lvlText w:val="%4"/>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70F31A">
      <w:start w:val="1"/>
      <w:numFmt w:val="lowerLetter"/>
      <w:lvlText w:val="%5"/>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A9084">
      <w:start w:val="1"/>
      <w:numFmt w:val="lowerRoman"/>
      <w:lvlText w:val="%6"/>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C8F7DC">
      <w:start w:val="1"/>
      <w:numFmt w:val="decimal"/>
      <w:lvlText w:val="%7"/>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7CBC">
      <w:start w:val="1"/>
      <w:numFmt w:val="lowerLetter"/>
      <w:lvlText w:val="%8"/>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2CB1D0">
      <w:start w:val="1"/>
      <w:numFmt w:val="lowerRoman"/>
      <w:lvlText w:val="%9"/>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19"/>
  </w:num>
  <w:num w:numId="3">
    <w:abstractNumId w:val="31"/>
  </w:num>
  <w:num w:numId="4">
    <w:abstractNumId w:val="12"/>
  </w:num>
  <w:num w:numId="5">
    <w:abstractNumId w:val="6"/>
  </w:num>
  <w:num w:numId="6">
    <w:abstractNumId w:val="20"/>
  </w:num>
  <w:num w:numId="7">
    <w:abstractNumId w:val="5"/>
  </w:num>
  <w:num w:numId="8">
    <w:abstractNumId w:val="30"/>
  </w:num>
  <w:num w:numId="9">
    <w:abstractNumId w:val="14"/>
  </w:num>
  <w:num w:numId="10">
    <w:abstractNumId w:val="17"/>
  </w:num>
  <w:num w:numId="11">
    <w:abstractNumId w:val="24"/>
  </w:num>
  <w:num w:numId="12">
    <w:abstractNumId w:val="18"/>
  </w:num>
  <w:num w:numId="13">
    <w:abstractNumId w:val="32"/>
  </w:num>
  <w:num w:numId="14">
    <w:abstractNumId w:val="11"/>
  </w:num>
  <w:num w:numId="15">
    <w:abstractNumId w:val="33"/>
  </w:num>
  <w:num w:numId="16">
    <w:abstractNumId w:val="4"/>
  </w:num>
  <w:num w:numId="17">
    <w:abstractNumId w:val="28"/>
  </w:num>
  <w:num w:numId="18">
    <w:abstractNumId w:val="15"/>
  </w:num>
  <w:num w:numId="19">
    <w:abstractNumId w:val="9"/>
  </w:num>
  <w:num w:numId="20">
    <w:abstractNumId w:val="3"/>
  </w:num>
  <w:num w:numId="21">
    <w:abstractNumId w:val="2"/>
  </w:num>
  <w:num w:numId="22">
    <w:abstractNumId w:val="27"/>
  </w:num>
  <w:num w:numId="23">
    <w:abstractNumId w:val="7"/>
  </w:num>
  <w:num w:numId="24">
    <w:abstractNumId w:val="21"/>
  </w:num>
  <w:num w:numId="25">
    <w:abstractNumId w:val="22"/>
  </w:num>
  <w:num w:numId="26">
    <w:abstractNumId w:val="26"/>
  </w:num>
  <w:num w:numId="27">
    <w:abstractNumId w:val="10"/>
  </w:num>
  <w:num w:numId="28">
    <w:abstractNumId w:val="13"/>
  </w:num>
  <w:num w:numId="29">
    <w:abstractNumId w:val="1"/>
  </w:num>
  <w:num w:numId="30">
    <w:abstractNumId w:val="16"/>
  </w:num>
  <w:num w:numId="31">
    <w:abstractNumId w:val="8"/>
  </w:num>
  <w:num w:numId="32">
    <w:abstractNumId w:val="0"/>
  </w:num>
  <w:num w:numId="33">
    <w:abstractNumId w:val="2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en-US" w:vendorID="64" w:dllVersion="131078" w:nlCheck="1" w:checkStyle="1"/>
  <w:activeWritingStyle w:appName="MSWord" w:lang="fr-CH" w:vendorID="64" w:dllVersion="131078" w:nlCheck="1" w:checkStyle="0"/>
  <w:activeWritingStyle w:appName="MSWord" w:lang="ru-RU" w:vendorID="64" w:dllVersion="131078" w:nlCheck="1" w:checkStyle="0"/>
  <w:proofState w:spelling="clean" w:grammar="clean"/>
  <w:defaultTabStop w:val="720"/>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5B"/>
    <w:rsid w:val="00015C36"/>
    <w:rsid w:val="000175D5"/>
    <w:rsid w:val="00026191"/>
    <w:rsid w:val="00030613"/>
    <w:rsid w:val="000309B5"/>
    <w:rsid w:val="00035F6A"/>
    <w:rsid w:val="00036D6A"/>
    <w:rsid w:val="0003781D"/>
    <w:rsid w:val="00041D10"/>
    <w:rsid w:val="00046A56"/>
    <w:rsid w:val="00064643"/>
    <w:rsid w:val="00065F75"/>
    <w:rsid w:val="00072954"/>
    <w:rsid w:val="000802D3"/>
    <w:rsid w:val="000A2EF1"/>
    <w:rsid w:val="000C1ED3"/>
    <w:rsid w:val="000C24B0"/>
    <w:rsid w:val="000D198F"/>
    <w:rsid w:val="000D4AE4"/>
    <w:rsid w:val="000D71B7"/>
    <w:rsid w:val="000E02AD"/>
    <w:rsid w:val="000F075B"/>
    <w:rsid w:val="0010023E"/>
    <w:rsid w:val="00131A64"/>
    <w:rsid w:val="001726DC"/>
    <w:rsid w:val="001758F9"/>
    <w:rsid w:val="001830F0"/>
    <w:rsid w:val="00185413"/>
    <w:rsid w:val="001936DD"/>
    <w:rsid w:val="001A49C1"/>
    <w:rsid w:val="001A6EF6"/>
    <w:rsid w:val="001B0DEA"/>
    <w:rsid w:val="001B2CE1"/>
    <w:rsid w:val="001B5C16"/>
    <w:rsid w:val="001C0ED6"/>
    <w:rsid w:val="001C6B99"/>
    <w:rsid w:val="001C7BFD"/>
    <w:rsid w:val="001D2AD4"/>
    <w:rsid w:val="001F695A"/>
    <w:rsid w:val="00213BEF"/>
    <w:rsid w:val="00242600"/>
    <w:rsid w:val="00245610"/>
    <w:rsid w:val="00247E35"/>
    <w:rsid w:val="002510C8"/>
    <w:rsid w:val="00251C89"/>
    <w:rsid w:val="00254E4A"/>
    <w:rsid w:val="002611F2"/>
    <w:rsid w:val="00263E38"/>
    <w:rsid w:val="00264A24"/>
    <w:rsid w:val="00274585"/>
    <w:rsid w:val="00285EAF"/>
    <w:rsid w:val="00294E7C"/>
    <w:rsid w:val="00296B57"/>
    <w:rsid w:val="002B1DE8"/>
    <w:rsid w:val="002F2BE2"/>
    <w:rsid w:val="002F432F"/>
    <w:rsid w:val="003116DD"/>
    <w:rsid w:val="00314C9D"/>
    <w:rsid w:val="003159DC"/>
    <w:rsid w:val="003200C9"/>
    <w:rsid w:val="00320D49"/>
    <w:rsid w:val="00323AF0"/>
    <w:rsid w:val="00341E59"/>
    <w:rsid w:val="00350409"/>
    <w:rsid w:val="003545B0"/>
    <w:rsid w:val="00361584"/>
    <w:rsid w:val="003621AE"/>
    <w:rsid w:val="00372262"/>
    <w:rsid w:val="00377434"/>
    <w:rsid w:val="00383B3C"/>
    <w:rsid w:val="00383D39"/>
    <w:rsid w:val="00385E95"/>
    <w:rsid w:val="003945C2"/>
    <w:rsid w:val="00395748"/>
    <w:rsid w:val="003B18E4"/>
    <w:rsid w:val="003B6FB7"/>
    <w:rsid w:val="003B71EC"/>
    <w:rsid w:val="003D04E7"/>
    <w:rsid w:val="003D1ADF"/>
    <w:rsid w:val="003D6209"/>
    <w:rsid w:val="003E29D4"/>
    <w:rsid w:val="003F37C9"/>
    <w:rsid w:val="0040096A"/>
    <w:rsid w:val="004103E0"/>
    <w:rsid w:val="00417815"/>
    <w:rsid w:val="00422777"/>
    <w:rsid w:val="0042651C"/>
    <w:rsid w:val="00427F2B"/>
    <w:rsid w:val="004312AF"/>
    <w:rsid w:val="00434FBE"/>
    <w:rsid w:val="00435B30"/>
    <w:rsid w:val="0043785A"/>
    <w:rsid w:val="004507BB"/>
    <w:rsid w:val="00456810"/>
    <w:rsid w:val="00472D76"/>
    <w:rsid w:val="004744E0"/>
    <w:rsid w:val="00476EED"/>
    <w:rsid w:val="00483112"/>
    <w:rsid w:val="00484E97"/>
    <w:rsid w:val="00490007"/>
    <w:rsid w:val="004956BE"/>
    <w:rsid w:val="004B346A"/>
    <w:rsid w:val="004B78DB"/>
    <w:rsid w:val="004D153C"/>
    <w:rsid w:val="004D6C2F"/>
    <w:rsid w:val="004E21D8"/>
    <w:rsid w:val="004E25BC"/>
    <w:rsid w:val="004E7270"/>
    <w:rsid w:val="004F5A85"/>
    <w:rsid w:val="005000D0"/>
    <w:rsid w:val="0050354B"/>
    <w:rsid w:val="00504269"/>
    <w:rsid w:val="005223C8"/>
    <w:rsid w:val="005256FE"/>
    <w:rsid w:val="00531F44"/>
    <w:rsid w:val="00542022"/>
    <w:rsid w:val="005447AC"/>
    <w:rsid w:val="00544BEC"/>
    <w:rsid w:val="005518B5"/>
    <w:rsid w:val="00557C0C"/>
    <w:rsid w:val="00561CC3"/>
    <w:rsid w:val="00574D8D"/>
    <w:rsid w:val="00581B3D"/>
    <w:rsid w:val="00584C15"/>
    <w:rsid w:val="005A149F"/>
    <w:rsid w:val="005A6E54"/>
    <w:rsid w:val="005C1392"/>
    <w:rsid w:val="005C2B55"/>
    <w:rsid w:val="005D6390"/>
    <w:rsid w:val="005D7D6D"/>
    <w:rsid w:val="005F1C4B"/>
    <w:rsid w:val="005F78D9"/>
    <w:rsid w:val="0062256C"/>
    <w:rsid w:val="00623835"/>
    <w:rsid w:val="00626020"/>
    <w:rsid w:val="0062730A"/>
    <w:rsid w:val="00631F02"/>
    <w:rsid w:val="00635B2A"/>
    <w:rsid w:val="00637B13"/>
    <w:rsid w:val="00642724"/>
    <w:rsid w:val="00644C65"/>
    <w:rsid w:val="00650871"/>
    <w:rsid w:val="00667E88"/>
    <w:rsid w:val="00676199"/>
    <w:rsid w:val="006845F7"/>
    <w:rsid w:val="006875D0"/>
    <w:rsid w:val="006A0335"/>
    <w:rsid w:val="006D238C"/>
    <w:rsid w:val="006D572F"/>
    <w:rsid w:val="006E3436"/>
    <w:rsid w:val="006E5961"/>
    <w:rsid w:val="006E6C68"/>
    <w:rsid w:val="006E7F12"/>
    <w:rsid w:val="00701DE5"/>
    <w:rsid w:val="0070269A"/>
    <w:rsid w:val="0070328D"/>
    <w:rsid w:val="00703990"/>
    <w:rsid w:val="00706319"/>
    <w:rsid w:val="00716863"/>
    <w:rsid w:val="00716ACB"/>
    <w:rsid w:val="007273A2"/>
    <w:rsid w:val="0077039B"/>
    <w:rsid w:val="00777BDF"/>
    <w:rsid w:val="00777ECA"/>
    <w:rsid w:val="00781672"/>
    <w:rsid w:val="00787699"/>
    <w:rsid w:val="00790CC5"/>
    <w:rsid w:val="0079292C"/>
    <w:rsid w:val="007A17D1"/>
    <w:rsid w:val="007A323A"/>
    <w:rsid w:val="007C609B"/>
    <w:rsid w:val="007D1886"/>
    <w:rsid w:val="007D4197"/>
    <w:rsid w:val="007D7500"/>
    <w:rsid w:val="007E1306"/>
    <w:rsid w:val="007F3E6C"/>
    <w:rsid w:val="007F6B27"/>
    <w:rsid w:val="00813121"/>
    <w:rsid w:val="00816199"/>
    <w:rsid w:val="0082210E"/>
    <w:rsid w:val="00822964"/>
    <w:rsid w:val="0082379F"/>
    <w:rsid w:val="0083016A"/>
    <w:rsid w:val="00844D67"/>
    <w:rsid w:val="0085480A"/>
    <w:rsid w:val="00872DE8"/>
    <w:rsid w:val="008741BF"/>
    <w:rsid w:val="00875232"/>
    <w:rsid w:val="00885A5B"/>
    <w:rsid w:val="008918A1"/>
    <w:rsid w:val="00892B14"/>
    <w:rsid w:val="00894CBD"/>
    <w:rsid w:val="008C4D3A"/>
    <w:rsid w:val="008D6351"/>
    <w:rsid w:val="008E2102"/>
    <w:rsid w:val="008F51F7"/>
    <w:rsid w:val="00900936"/>
    <w:rsid w:val="00906265"/>
    <w:rsid w:val="00916C26"/>
    <w:rsid w:val="009209E5"/>
    <w:rsid w:val="009328BB"/>
    <w:rsid w:val="00940AF8"/>
    <w:rsid w:val="0094423F"/>
    <w:rsid w:val="009461AC"/>
    <w:rsid w:val="009575A2"/>
    <w:rsid w:val="009610F6"/>
    <w:rsid w:val="009827D7"/>
    <w:rsid w:val="0098295D"/>
    <w:rsid w:val="0098602B"/>
    <w:rsid w:val="009860E2"/>
    <w:rsid w:val="009945E9"/>
    <w:rsid w:val="0099686D"/>
    <w:rsid w:val="009A47EB"/>
    <w:rsid w:val="009B2976"/>
    <w:rsid w:val="009D0A40"/>
    <w:rsid w:val="009E506A"/>
    <w:rsid w:val="009E7277"/>
    <w:rsid w:val="009F4AB0"/>
    <w:rsid w:val="00A1014E"/>
    <w:rsid w:val="00A40D56"/>
    <w:rsid w:val="00A6250B"/>
    <w:rsid w:val="00AA1ED7"/>
    <w:rsid w:val="00AA5E58"/>
    <w:rsid w:val="00AA78CE"/>
    <w:rsid w:val="00AC6BDC"/>
    <w:rsid w:val="00AE2F84"/>
    <w:rsid w:val="00AE35A2"/>
    <w:rsid w:val="00AE3767"/>
    <w:rsid w:val="00AE4C2D"/>
    <w:rsid w:val="00B01E7A"/>
    <w:rsid w:val="00B1596E"/>
    <w:rsid w:val="00B27F82"/>
    <w:rsid w:val="00B3233C"/>
    <w:rsid w:val="00B36C10"/>
    <w:rsid w:val="00B40017"/>
    <w:rsid w:val="00B4322D"/>
    <w:rsid w:val="00B53262"/>
    <w:rsid w:val="00B56BCC"/>
    <w:rsid w:val="00B76B44"/>
    <w:rsid w:val="00B84C7F"/>
    <w:rsid w:val="00B92DB0"/>
    <w:rsid w:val="00B94B24"/>
    <w:rsid w:val="00BA4775"/>
    <w:rsid w:val="00BB6E25"/>
    <w:rsid w:val="00BE54F5"/>
    <w:rsid w:val="00BF403D"/>
    <w:rsid w:val="00C07C7C"/>
    <w:rsid w:val="00C17C27"/>
    <w:rsid w:val="00C240E2"/>
    <w:rsid w:val="00C35D52"/>
    <w:rsid w:val="00C36096"/>
    <w:rsid w:val="00C45BF8"/>
    <w:rsid w:val="00C729FF"/>
    <w:rsid w:val="00C87529"/>
    <w:rsid w:val="00C90540"/>
    <w:rsid w:val="00C947AF"/>
    <w:rsid w:val="00C961D3"/>
    <w:rsid w:val="00CA7133"/>
    <w:rsid w:val="00CB328E"/>
    <w:rsid w:val="00CC546E"/>
    <w:rsid w:val="00CC5530"/>
    <w:rsid w:val="00CC659B"/>
    <w:rsid w:val="00CD2931"/>
    <w:rsid w:val="00CD3B90"/>
    <w:rsid w:val="00D06C44"/>
    <w:rsid w:val="00D3163D"/>
    <w:rsid w:val="00D407D2"/>
    <w:rsid w:val="00D411F2"/>
    <w:rsid w:val="00D47068"/>
    <w:rsid w:val="00D50995"/>
    <w:rsid w:val="00D6324E"/>
    <w:rsid w:val="00D91C15"/>
    <w:rsid w:val="00DA7F4A"/>
    <w:rsid w:val="00DB5A8E"/>
    <w:rsid w:val="00DE31B1"/>
    <w:rsid w:val="00DE4648"/>
    <w:rsid w:val="00DF073B"/>
    <w:rsid w:val="00DF6725"/>
    <w:rsid w:val="00E03FD7"/>
    <w:rsid w:val="00E16036"/>
    <w:rsid w:val="00E21736"/>
    <w:rsid w:val="00E300EB"/>
    <w:rsid w:val="00E32D85"/>
    <w:rsid w:val="00E34D65"/>
    <w:rsid w:val="00E45DEA"/>
    <w:rsid w:val="00E55BDF"/>
    <w:rsid w:val="00E719D1"/>
    <w:rsid w:val="00E769E4"/>
    <w:rsid w:val="00E85D6C"/>
    <w:rsid w:val="00EA55DA"/>
    <w:rsid w:val="00EA6290"/>
    <w:rsid w:val="00EA64A9"/>
    <w:rsid w:val="00EA6A25"/>
    <w:rsid w:val="00EB1764"/>
    <w:rsid w:val="00EC0FA4"/>
    <w:rsid w:val="00EC19BC"/>
    <w:rsid w:val="00ED76CF"/>
    <w:rsid w:val="00EF23ED"/>
    <w:rsid w:val="00F25597"/>
    <w:rsid w:val="00F2582C"/>
    <w:rsid w:val="00F2740A"/>
    <w:rsid w:val="00F34DA5"/>
    <w:rsid w:val="00F37A3F"/>
    <w:rsid w:val="00F37CC4"/>
    <w:rsid w:val="00F41787"/>
    <w:rsid w:val="00F5263E"/>
    <w:rsid w:val="00F6212B"/>
    <w:rsid w:val="00F66FC0"/>
    <w:rsid w:val="00F751FA"/>
    <w:rsid w:val="00F84CA5"/>
    <w:rsid w:val="00F94289"/>
    <w:rsid w:val="00F9791B"/>
    <w:rsid w:val="00FA0CF4"/>
    <w:rsid w:val="00FA1B29"/>
    <w:rsid w:val="00FA2F70"/>
    <w:rsid w:val="00FA7546"/>
    <w:rsid w:val="00FD56FC"/>
    <w:rsid w:val="00FE57CF"/>
    <w:rsid w:val="00FF11AA"/>
    <w:rsid w:val="00FF6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2A272D"/>
  <w15:docId w15:val="{4DBEDC6A-8D9B-4A8A-9BF8-DB06E04E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2" w:right="65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7"/>
      <w:ind w:left="102"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ind w:left="101" w:hanging="10"/>
      <w:outlineLvl w:val="1"/>
    </w:pPr>
    <w:rPr>
      <w:rFonts w:ascii="Arial" w:eastAsia="Arial" w:hAnsi="Arial" w:cs="Arial"/>
      <w:color w:val="000000"/>
      <w:u w:val="single" w:color="000000"/>
    </w:rPr>
  </w:style>
  <w:style w:type="paragraph" w:styleId="Heading3">
    <w:name w:val="heading 3"/>
    <w:next w:val="Normal"/>
    <w:link w:val="Heading3Char"/>
    <w:uiPriority w:val="9"/>
    <w:unhideWhenUsed/>
    <w:qFormat/>
    <w:pPr>
      <w:keepNext/>
      <w:keepLines/>
      <w:spacing w:after="7"/>
      <w:ind w:left="102"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5"/>
      <w:ind w:left="101" w:hanging="10"/>
      <w:outlineLvl w:val="3"/>
    </w:pPr>
    <w:rPr>
      <w:rFonts w:ascii="Arial" w:eastAsia="Arial" w:hAnsi="Arial" w:cs="Arial"/>
      <w:color w:val="000000"/>
      <w:u w:val="single" w:color="000000"/>
    </w:rPr>
  </w:style>
  <w:style w:type="paragraph" w:styleId="Heading5">
    <w:name w:val="heading 5"/>
    <w:next w:val="Normal"/>
    <w:link w:val="Heading5Char"/>
    <w:uiPriority w:val="9"/>
    <w:unhideWhenUsed/>
    <w:qFormat/>
    <w:pPr>
      <w:keepNext/>
      <w:keepLines/>
      <w:spacing w:after="3"/>
      <w:ind w:left="12" w:hanging="10"/>
      <w:outlineLvl w:val="4"/>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3Char">
    <w:name w:val="Heading 3 Char"/>
    <w:link w:val="Heading3"/>
    <w:rPr>
      <w:rFonts w:ascii="Arial" w:eastAsia="Arial" w:hAnsi="Arial" w:cs="Arial"/>
      <w:b/>
      <w:color w:val="000000"/>
      <w:sz w:val="22"/>
    </w:rPr>
  </w:style>
  <w:style w:type="character" w:customStyle="1" w:styleId="Heading5Char">
    <w:name w:val="Heading 5 Char"/>
    <w:link w:val="Heading5"/>
    <w:rPr>
      <w:rFonts w:ascii="Arial" w:eastAsia="Arial" w:hAnsi="Arial" w:cs="Arial"/>
      <w:i/>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paragraph" w:styleId="TOC1">
    <w:name w:val="toc 1"/>
    <w:hidden/>
    <w:uiPriority w:val="39"/>
    <w:pPr>
      <w:spacing w:after="108"/>
      <w:ind w:left="39" w:right="136" w:hanging="10"/>
    </w:pPr>
    <w:rPr>
      <w:rFonts w:ascii="Arial" w:eastAsia="Arial" w:hAnsi="Arial" w:cs="Arial"/>
      <w:color w:val="000000"/>
    </w:rPr>
  </w:style>
  <w:style w:type="paragraph" w:styleId="TOC2">
    <w:name w:val="toc 2"/>
    <w:hidden/>
    <w:uiPriority w:val="39"/>
    <w:pPr>
      <w:spacing w:after="108"/>
      <w:ind w:left="605" w:right="136" w:hanging="10"/>
    </w:pPr>
    <w:rPr>
      <w:rFonts w:ascii="Arial" w:eastAsia="Arial" w:hAnsi="Arial" w:cs="Arial"/>
      <w:color w:val="000000"/>
    </w:rPr>
  </w:style>
  <w:style w:type="character" w:styleId="Hyperlink">
    <w:name w:val="Hyperlink"/>
    <w:basedOn w:val="DefaultParagraphFont"/>
    <w:uiPriority w:val="99"/>
    <w:unhideWhenUsed/>
    <w:rsid w:val="00777BDF"/>
    <w:rPr>
      <w:color w:val="0563C1" w:themeColor="hyperlink"/>
      <w:u w:val="single"/>
    </w:rPr>
  </w:style>
  <w:style w:type="paragraph" w:styleId="ListParagraph">
    <w:name w:val="List Paragraph"/>
    <w:basedOn w:val="Normal"/>
    <w:uiPriority w:val="34"/>
    <w:qFormat/>
    <w:rsid w:val="00FE57CF"/>
    <w:pPr>
      <w:ind w:left="720"/>
      <w:contextualSpacing/>
    </w:pPr>
  </w:style>
  <w:style w:type="paragraph" w:styleId="BalloonText">
    <w:name w:val="Balloon Text"/>
    <w:basedOn w:val="Normal"/>
    <w:link w:val="BalloonTextChar"/>
    <w:uiPriority w:val="99"/>
    <w:semiHidden/>
    <w:unhideWhenUsed/>
    <w:rsid w:val="00FE5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7CF"/>
    <w:rPr>
      <w:rFonts w:ascii="Segoe UI" w:eastAsia="Arial" w:hAnsi="Segoe UI" w:cs="Segoe UI"/>
      <w:color w:val="000000"/>
      <w:sz w:val="18"/>
      <w:szCs w:val="18"/>
    </w:rPr>
  </w:style>
  <w:style w:type="paragraph" w:styleId="Footer">
    <w:name w:val="footer"/>
    <w:basedOn w:val="Normal"/>
    <w:link w:val="FooterChar"/>
    <w:uiPriority w:val="99"/>
    <w:unhideWhenUsed/>
    <w:rsid w:val="00557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0C"/>
    <w:rPr>
      <w:rFonts w:ascii="Arial" w:eastAsia="Arial" w:hAnsi="Arial" w:cs="Arial"/>
      <w:color w:val="000000"/>
    </w:rPr>
  </w:style>
  <w:style w:type="character" w:styleId="CommentReference">
    <w:name w:val="annotation reference"/>
    <w:basedOn w:val="DefaultParagraphFont"/>
    <w:uiPriority w:val="99"/>
    <w:semiHidden/>
    <w:unhideWhenUsed/>
    <w:rsid w:val="00483112"/>
    <w:rPr>
      <w:sz w:val="16"/>
      <w:szCs w:val="16"/>
    </w:rPr>
  </w:style>
  <w:style w:type="paragraph" w:styleId="CommentText">
    <w:name w:val="annotation text"/>
    <w:basedOn w:val="Normal"/>
    <w:link w:val="CommentTextChar"/>
    <w:uiPriority w:val="99"/>
    <w:semiHidden/>
    <w:unhideWhenUsed/>
    <w:rsid w:val="00483112"/>
    <w:pPr>
      <w:spacing w:line="240" w:lineRule="auto"/>
    </w:pPr>
    <w:rPr>
      <w:sz w:val="20"/>
      <w:szCs w:val="20"/>
    </w:rPr>
  </w:style>
  <w:style w:type="character" w:customStyle="1" w:styleId="CommentTextChar">
    <w:name w:val="Comment Text Char"/>
    <w:basedOn w:val="DefaultParagraphFont"/>
    <w:link w:val="CommentText"/>
    <w:uiPriority w:val="99"/>
    <w:semiHidden/>
    <w:rsid w:val="0048311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83112"/>
    <w:rPr>
      <w:b/>
      <w:bCs/>
    </w:rPr>
  </w:style>
  <w:style w:type="character" w:customStyle="1" w:styleId="CommentSubjectChar">
    <w:name w:val="Comment Subject Char"/>
    <w:basedOn w:val="CommentTextChar"/>
    <w:link w:val="CommentSubject"/>
    <w:uiPriority w:val="99"/>
    <w:semiHidden/>
    <w:rsid w:val="00483112"/>
    <w:rPr>
      <w:rFonts w:ascii="Arial" w:eastAsia="Arial" w:hAnsi="Arial" w:cs="Arial"/>
      <w:b/>
      <w:bCs/>
      <w:color w:val="000000"/>
      <w:sz w:val="20"/>
      <w:szCs w:val="20"/>
    </w:rPr>
  </w:style>
  <w:style w:type="paragraph" w:styleId="Revision">
    <w:name w:val="Revision"/>
    <w:hidden/>
    <w:uiPriority w:val="99"/>
    <w:semiHidden/>
    <w:rsid w:val="00483112"/>
    <w:pPr>
      <w:spacing w:after="0" w:line="240" w:lineRule="auto"/>
    </w:pPr>
    <w:rPr>
      <w:rFonts w:ascii="Arial" w:eastAsia="Arial" w:hAnsi="Arial" w:cs="Arial"/>
      <w:color w:val="000000"/>
    </w:rPr>
  </w:style>
  <w:style w:type="paragraph" w:styleId="BodyText">
    <w:name w:val="Body Text"/>
    <w:basedOn w:val="Normal"/>
    <w:link w:val="BodyTextChar"/>
    <w:uiPriority w:val="99"/>
    <w:semiHidden/>
    <w:unhideWhenUsed/>
    <w:rsid w:val="009F4AB0"/>
    <w:pPr>
      <w:spacing w:after="120" w:line="240" w:lineRule="auto"/>
      <w:ind w:left="0" w:right="0" w:firstLine="0"/>
    </w:pPr>
    <w:rPr>
      <w:rFonts w:eastAsia="SimSun"/>
      <w:color w:val="auto"/>
      <w:szCs w:val="20"/>
      <w:lang w:eastAsia="zh-CN"/>
    </w:rPr>
  </w:style>
  <w:style w:type="character" w:customStyle="1" w:styleId="BodyTextChar">
    <w:name w:val="Body Text Char"/>
    <w:basedOn w:val="DefaultParagraphFont"/>
    <w:link w:val="BodyText"/>
    <w:uiPriority w:val="99"/>
    <w:semiHidden/>
    <w:rsid w:val="009F4AB0"/>
    <w:rPr>
      <w:rFonts w:ascii="Arial" w:eastAsia="SimSun" w:hAnsi="Arial" w:cs="Arial"/>
      <w:szCs w:val="20"/>
      <w:lang w:eastAsia="zh-CN"/>
    </w:rPr>
  </w:style>
  <w:style w:type="paragraph" w:styleId="Header">
    <w:name w:val="header"/>
    <w:basedOn w:val="Normal"/>
    <w:link w:val="HeaderChar"/>
    <w:uiPriority w:val="99"/>
    <w:rsid w:val="002B1DE8"/>
    <w:pPr>
      <w:tabs>
        <w:tab w:val="center" w:pos="4536"/>
        <w:tab w:val="right" w:pos="9072"/>
      </w:tabs>
      <w:spacing w:after="0" w:line="240" w:lineRule="auto"/>
      <w:ind w:left="0" w:right="0" w:firstLine="0"/>
    </w:pPr>
    <w:rPr>
      <w:rFonts w:eastAsia="SimSun"/>
      <w:color w:val="auto"/>
      <w:szCs w:val="20"/>
      <w:lang w:eastAsia="zh-CN"/>
    </w:rPr>
  </w:style>
  <w:style w:type="character" w:customStyle="1" w:styleId="HeaderChar">
    <w:name w:val="Header Char"/>
    <w:basedOn w:val="DefaultParagraphFont"/>
    <w:link w:val="Header"/>
    <w:uiPriority w:val="99"/>
    <w:rsid w:val="002B1DE8"/>
    <w:rPr>
      <w:rFonts w:ascii="Arial" w:eastAsia="SimSun" w:hAnsi="Arial" w:cs="Arial"/>
      <w:szCs w:val="20"/>
      <w:lang w:eastAsia="zh-CN"/>
    </w:rPr>
  </w:style>
  <w:style w:type="paragraph" w:customStyle="1" w:styleId="ONUME">
    <w:name w:val="ONUM E"/>
    <w:basedOn w:val="BodyText"/>
    <w:link w:val="ONUMEChar"/>
    <w:qFormat/>
    <w:rsid w:val="007F3E6C"/>
    <w:pPr>
      <w:numPr>
        <w:numId w:val="32"/>
      </w:numPr>
      <w:spacing w:after="220"/>
    </w:pPr>
  </w:style>
  <w:style w:type="character" w:customStyle="1" w:styleId="ONUMEChar">
    <w:name w:val="ONUM E Char"/>
    <w:link w:val="ONUME"/>
    <w:locked/>
    <w:rsid w:val="007F3E6C"/>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682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cid:image001.jpg@01D78201.F16A1B40"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F6C9-592F-4BC1-ACCF-3F1AEE26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14</Pages>
  <Words>3445</Words>
  <Characters>23186</Characters>
  <Application>Microsoft Office Word</Application>
  <DocSecurity>0</DocSecurity>
  <Lines>526</Lines>
  <Paragraphs>143</Paragraphs>
  <ScaleCrop>false</ScaleCrop>
  <HeadingPairs>
    <vt:vector size="2" baseType="variant">
      <vt:variant>
        <vt:lpstr>Title</vt:lpstr>
      </vt:variant>
      <vt:variant>
        <vt:i4>1</vt:i4>
      </vt:variant>
    </vt:vector>
  </HeadingPairs>
  <TitlesOfParts>
    <vt:vector size="1" baseType="lpstr">
      <vt:lpstr>WO/GA/54/2</vt:lpstr>
    </vt:vector>
  </TitlesOfParts>
  <Company>UNDP OAI</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WO/GA/56/2</dc:title>
  <dc:subject>Report by the WIPO Independent Advisory Oversight Committee (IAOC)</dc:subject>
  <dc:creator>IAOC;WIPO</dc:creator>
  <cp:keywords>FOR OFFICIAL USE ONLY</cp:keywords>
  <dc:description/>
  <cp:lastModifiedBy>HÄFLIGER Patience</cp:lastModifiedBy>
  <cp:revision>66</cp:revision>
  <cp:lastPrinted>2022-06-01T06:10:00Z</cp:lastPrinted>
  <dcterms:created xsi:type="dcterms:W3CDTF">2023-06-01T07:38:00Z</dcterms:created>
  <dcterms:modified xsi:type="dcterms:W3CDTF">2023-06-20T14:12:00Z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4794668c-5ee5-4686-9c2b-73efeeb4c774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2023-05-16T09:42:44Z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c5e77c18-2fb2-4dc1-9818-4ada6967a230</vt:lpwstr>
  </property>
  <property fmtid="{D5CDD505-2E9C-101B-9397-08002B2CF9AE}" pid="14" name="MSIP_Label_20773ee6-353b-4fb9-a59d-0b94c8c67bea_ContentBits">
    <vt:lpwstr>0</vt:lpwstr>
  </property>
</Properties>
</file>