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2DB5E" w14:textId="5600FF14" w:rsidR="008B2CC1" w:rsidRPr="000B79EF" w:rsidRDefault="007404D5" w:rsidP="00805BD5">
      <w:pPr>
        <w:spacing w:before="360" w:after="240"/>
        <w:jc w:val="right"/>
        <w:rPr>
          <w:b/>
          <w:sz w:val="32"/>
          <w:szCs w:val="40"/>
          <w:lang w:val="ru-RU"/>
        </w:rPr>
      </w:pPr>
      <w:r w:rsidRPr="000B79EF">
        <w:rPr>
          <w:noProof/>
          <w:lang w:eastAsia="en-US"/>
        </w:rPr>
        <w:drawing>
          <wp:inline distT="0" distB="0" distL="0" distR="0" wp14:anchorId="38EAA090" wp14:editId="1C1E76C7">
            <wp:extent cx="3246120" cy="1630680"/>
            <wp:effectExtent l="0" t="0" r="0" b="7620"/>
            <wp:docPr id="1" name="Picture 1" descr="1"/>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33E65BEC" w14:textId="00AC64A5" w:rsidR="008B2CC1" w:rsidRPr="000D2F2A" w:rsidRDefault="006961B9" w:rsidP="00F84B14">
      <w:pPr>
        <w:pBdr>
          <w:top w:val="single" w:sz="4" w:space="16" w:color="auto"/>
        </w:pBdr>
        <w:jc w:val="right"/>
        <w:rPr>
          <w:rFonts w:ascii="Arial Black" w:hAnsi="Arial Black"/>
          <w:caps/>
          <w:sz w:val="15"/>
          <w:szCs w:val="15"/>
        </w:rPr>
      </w:pPr>
      <w:r w:rsidRPr="000B79EF">
        <w:rPr>
          <w:rFonts w:ascii="Arial Black" w:hAnsi="Arial Black"/>
          <w:caps/>
          <w:sz w:val="15"/>
          <w:szCs w:val="15"/>
          <w:lang w:val="ru-RU"/>
        </w:rPr>
        <w:t>WO/GA/5</w:t>
      </w:r>
      <w:r w:rsidR="000D2F2A">
        <w:rPr>
          <w:rFonts w:ascii="Arial Black" w:hAnsi="Arial Black"/>
          <w:caps/>
          <w:sz w:val="15"/>
          <w:szCs w:val="15"/>
        </w:rPr>
        <w:t>5</w:t>
      </w:r>
      <w:r w:rsidR="0054689B" w:rsidRPr="000B79EF">
        <w:rPr>
          <w:rFonts w:ascii="Arial Black" w:hAnsi="Arial Black"/>
          <w:caps/>
          <w:sz w:val="15"/>
          <w:szCs w:val="15"/>
          <w:lang w:val="ru-RU"/>
        </w:rPr>
        <w:t>/</w:t>
      </w:r>
      <w:bookmarkStart w:id="0" w:name="Code"/>
      <w:bookmarkEnd w:id="0"/>
      <w:r w:rsidR="00110FCD" w:rsidRPr="000B79EF">
        <w:rPr>
          <w:rFonts w:ascii="Arial Black" w:hAnsi="Arial Black"/>
          <w:caps/>
          <w:sz w:val="15"/>
          <w:szCs w:val="15"/>
          <w:lang w:val="ru-RU"/>
        </w:rPr>
        <w:t>1</w:t>
      </w:r>
      <w:r w:rsidR="000D2F2A">
        <w:rPr>
          <w:rFonts w:ascii="Arial Black" w:hAnsi="Arial Black"/>
          <w:caps/>
          <w:sz w:val="15"/>
          <w:szCs w:val="15"/>
        </w:rPr>
        <w:t>0</w:t>
      </w:r>
    </w:p>
    <w:p w14:paraId="2B4769DD" w14:textId="77777777" w:rsidR="007404D5" w:rsidRPr="000B79EF" w:rsidRDefault="007404D5" w:rsidP="007404D5">
      <w:pPr>
        <w:jc w:val="right"/>
        <w:rPr>
          <w:rFonts w:ascii="Arial Black" w:hAnsi="Arial Black"/>
          <w:caps/>
          <w:sz w:val="15"/>
          <w:szCs w:val="15"/>
          <w:lang w:val="ru-RU"/>
        </w:rPr>
      </w:pPr>
      <w:r w:rsidRPr="000B79EF">
        <w:rPr>
          <w:rFonts w:ascii="Arial Black" w:hAnsi="Arial Black"/>
          <w:caps/>
          <w:sz w:val="15"/>
          <w:szCs w:val="15"/>
          <w:lang w:val="ru-RU"/>
        </w:rPr>
        <w:t xml:space="preserve">ОРИГИНАЛ: </w:t>
      </w:r>
      <w:bookmarkStart w:id="1" w:name="Original"/>
      <w:r w:rsidRPr="000B79EF">
        <w:rPr>
          <w:rFonts w:ascii="Arial Black" w:hAnsi="Arial Black"/>
          <w:caps/>
          <w:sz w:val="15"/>
          <w:szCs w:val="15"/>
          <w:lang w:val="ru-RU"/>
        </w:rPr>
        <w:t>английский</w:t>
      </w:r>
    </w:p>
    <w:p w14:paraId="589875B0" w14:textId="5DFEC48E" w:rsidR="008B2CC1" w:rsidRPr="000B79EF" w:rsidRDefault="007404D5" w:rsidP="000A3D97">
      <w:pPr>
        <w:spacing w:after="1200"/>
        <w:jc w:val="right"/>
        <w:rPr>
          <w:rFonts w:ascii="Arial Black" w:hAnsi="Arial Black"/>
          <w:caps/>
          <w:sz w:val="15"/>
          <w:szCs w:val="15"/>
          <w:lang w:val="ru-RU"/>
        </w:rPr>
      </w:pPr>
      <w:bookmarkStart w:id="2" w:name="_GoBack"/>
      <w:bookmarkEnd w:id="1"/>
      <w:bookmarkEnd w:id="2"/>
      <w:r w:rsidRPr="000B79EF">
        <w:rPr>
          <w:rFonts w:ascii="Arial Black" w:hAnsi="Arial Black"/>
          <w:caps/>
          <w:sz w:val="15"/>
          <w:szCs w:val="15"/>
          <w:lang w:val="ru-RU"/>
        </w:rPr>
        <w:t>дата</w:t>
      </w:r>
      <w:r w:rsidR="00EB2F76" w:rsidRPr="000B79EF">
        <w:rPr>
          <w:rFonts w:ascii="Arial Black" w:hAnsi="Arial Black"/>
          <w:caps/>
          <w:sz w:val="15"/>
          <w:szCs w:val="15"/>
          <w:lang w:val="ru-RU"/>
        </w:rPr>
        <w:t>:</w:t>
      </w:r>
      <w:r w:rsidR="009C11A2" w:rsidRPr="000B79EF">
        <w:rPr>
          <w:rFonts w:ascii="Arial Black" w:hAnsi="Arial Black"/>
          <w:caps/>
          <w:sz w:val="15"/>
          <w:szCs w:val="15"/>
          <w:lang w:val="ru-RU"/>
        </w:rPr>
        <w:t xml:space="preserve"> </w:t>
      </w:r>
      <w:bookmarkStart w:id="3" w:name="Date"/>
      <w:r w:rsidR="000D2F2A">
        <w:rPr>
          <w:rFonts w:ascii="Arial Black" w:hAnsi="Arial Black"/>
          <w:caps/>
          <w:sz w:val="15"/>
          <w:szCs w:val="15"/>
        </w:rPr>
        <w:t>1</w:t>
      </w:r>
      <w:r w:rsidRPr="000B79EF">
        <w:rPr>
          <w:rFonts w:ascii="Arial Black" w:hAnsi="Arial Black"/>
          <w:caps/>
          <w:sz w:val="15"/>
          <w:szCs w:val="15"/>
          <w:lang w:val="ru-RU"/>
        </w:rPr>
        <w:t xml:space="preserve">3 </w:t>
      </w:r>
      <w:r w:rsidR="000D2F2A">
        <w:rPr>
          <w:rFonts w:ascii="Arial Black" w:hAnsi="Arial Black"/>
          <w:caps/>
          <w:sz w:val="15"/>
          <w:szCs w:val="15"/>
          <w:lang w:val="ru-RU"/>
        </w:rPr>
        <w:t>мая</w:t>
      </w:r>
      <w:r w:rsidR="00110FCD" w:rsidRPr="000B79EF">
        <w:rPr>
          <w:rFonts w:ascii="Arial Black" w:hAnsi="Arial Black"/>
          <w:caps/>
          <w:sz w:val="15"/>
          <w:szCs w:val="15"/>
          <w:lang w:val="ru-RU"/>
        </w:rPr>
        <w:t xml:space="preserve"> 202</w:t>
      </w:r>
      <w:r w:rsidR="000D2F2A">
        <w:rPr>
          <w:rFonts w:ascii="Arial Black" w:hAnsi="Arial Black"/>
          <w:caps/>
          <w:sz w:val="15"/>
          <w:szCs w:val="15"/>
          <w:lang w:val="ru-RU"/>
        </w:rPr>
        <w:t>2</w:t>
      </w:r>
      <w:r w:rsidRPr="000B79EF">
        <w:rPr>
          <w:rFonts w:ascii="Arial Black" w:hAnsi="Arial Black"/>
          <w:caps/>
          <w:sz w:val="15"/>
          <w:szCs w:val="15"/>
          <w:lang w:val="ru-RU"/>
        </w:rPr>
        <w:t xml:space="preserve"> г.</w:t>
      </w:r>
    </w:p>
    <w:bookmarkEnd w:id="3"/>
    <w:p w14:paraId="6BE7BFA5" w14:textId="24911589" w:rsidR="008B2CC1" w:rsidRPr="000B79EF" w:rsidRDefault="007404D5" w:rsidP="00217391">
      <w:pPr>
        <w:pStyle w:val="Heading1"/>
        <w:spacing w:before="0" w:after="600"/>
        <w:rPr>
          <w:sz w:val="28"/>
          <w:szCs w:val="28"/>
          <w:lang w:val="ru-RU"/>
        </w:rPr>
      </w:pPr>
      <w:r w:rsidRPr="000B79EF">
        <w:rPr>
          <w:caps w:val="0"/>
          <w:sz w:val="28"/>
          <w:szCs w:val="28"/>
          <w:lang w:val="ru-RU"/>
        </w:rPr>
        <w:t>Генеральная Ассамблея ВОИС</w:t>
      </w:r>
    </w:p>
    <w:p w14:paraId="34B00D8F" w14:textId="08D703FB" w:rsidR="008B2CC1" w:rsidRPr="000B79EF" w:rsidRDefault="007404D5" w:rsidP="004D0364">
      <w:pPr>
        <w:spacing w:after="720"/>
        <w:outlineLvl w:val="1"/>
        <w:rPr>
          <w:b/>
          <w:sz w:val="24"/>
          <w:szCs w:val="24"/>
          <w:lang w:val="ru-RU"/>
        </w:rPr>
      </w:pPr>
      <w:r w:rsidRPr="000B79EF">
        <w:rPr>
          <w:b/>
          <w:sz w:val="24"/>
          <w:szCs w:val="24"/>
          <w:lang w:val="ru-RU"/>
        </w:rPr>
        <w:t xml:space="preserve">Пятьдесят </w:t>
      </w:r>
      <w:r w:rsidR="000D2F2A">
        <w:rPr>
          <w:b/>
          <w:sz w:val="24"/>
          <w:szCs w:val="24"/>
          <w:lang w:val="ru-RU"/>
        </w:rPr>
        <w:t>пятая</w:t>
      </w:r>
      <w:r w:rsidRPr="000B79EF">
        <w:rPr>
          <w:b/>
          <w:sz w:val="24"/>
          <w:szCs w:val="24"/>
          <w:lang w:val="ru-RU"/>
        </w:rPr>
        <w:t xml:space="preserve"> (</w:t>
      </w:r>
      <w:r w:rsidR="000D2F2A">
        <w:rPr>
          <w:b/>
          <w:sz w:val="24"/>
          <w:szCs w:val="24"/>
          <w:lang w:val="ru-RU"/>
        </w:rPr>
        <w:t>30</w:t>
      </w:r>
      <w:r w:rsidRPr="000B79EF">
        <w:rPr>
          <w:b/>
          <w:sz w:val="24"/>
          <w:szCs w:val="24"/>
          <w:lang w:val="ru-RU"/>
        </w:rPr>
        <w:t xml:space="preserve">-я </w:t>
      </w:r>
      <w:r w:rsidR="000D2F2A">
        <w:rPr>
          <w:b/>
          <w:sz w:val="24"/>
          <w:szCs w:val="24"/>
          <w:lang w:val="ru-RU"/>
        </w:rPr>
        <w:t>вне</w:t>
      </w:r>
      <w:r w:rsidRPr="000B79EF">
        <w:rPr>
          <w:b/>
          <w:sz w:val="24"/>
          <w:szCs w:val="24"/>
          <w:lang w:val="ru-RU"/>
        </w:rPr>
        <w:t>очередная) сессия</w:t>
      </w:r>
      <w:r w:rsidR="00912860" w:rsidRPr="000B79EF">
        <w:rPr>
          <w:b/>
          <w:sz w:val="24"/>
          <w:szCs w:val="24"/>
          <w:lang w:val="ru-RU"/>
        </w:rPr>
        <w:t xml:space="preserve"> </w:t>
      </w:r>
      <w:r w:rsidR="004D0364" w:rsidRPr="000B79EF">
        <w:rPr>
          <w:b/>
          <w:sz w:val="24"/>
          <w:szCs w:val="24"/>
          <w:lang w:val="ru-RU"/>
        </w:rPr>
        <w:br/>
      </w:r>
      <w:r w:rsidRPr="000B79EF">
        <w:rPr>
          <w:b/>
          <w:sz w:val="24"/>
          <w:lang w:val="ru-RU"/>
        </w:rPr>
        <w:t xml:space="preserve">Женева, </w:t>
      </w:r>
      <w:r w:rsidR="000D2F2A">
        <w:rPr>
          <w:b/>
          <w:sz w:val="24"/>
          <w:lang w:val="ru-RU"/>
        </w:rPr>
        <w:t xml:space="preserve">14–22 июля </w:t>
      </w:r>
      <w:r w:rsidRPr="000B79EF">
        <w:rPr>
          <w:b/>
          <w:sz w:val="24"/>
          <w:lang w:val="ru-RU"/>
        </w:rPr>
        <w:t>202</w:t>
      </w:r>
      <w:r w:rsidR="000D2F2A">
        <w:rPr>
          <w:b/>
          <w:sz w:val="24"/>
          <w:lang w:val="ru-RU"/>
        </w:rPr>
        <w:t>2</w:t>
      </w:r>
      <w:r w:rsidRPr="000B79EF">
        <w:rPr>
          <w:b/>
          <w:sz w:val="24"/>
          <w:lang w:val="ru-RU"/>
        </w:rPr>
        <w:t xml:space="preserve"> г. </w:t>
      </w:r>
    </w:p>
    <w:p w14:paraId="61050116" w14:textId="07491671" w:rsidR="008B2CC1" w:rsidRPr="000B79EF" w:rsidRDefault="007404D5" w:rsidP="00DD7B7F">
      <w:pPr>
        <w:spacing w:after="360"/>
        <w:outlineLvl w:val="0"/>
        <w:rPr>
          <w:caps/>
          <w:sz w:val="24"/>
          <w:lang w:val="ru-RU"/>
        </w:rPr>
      </w:pPr>
      <w:bookmarkStart w:id="4" w:name="TitleOfDoc"/>
      <w:r w:rsidRPr="000B79EF">
        <w:rPr>
          <w:caps/>
          <w:sz w:val="24"/>
          <w:lang w:val="ru-RU"/>
        </w:rPr>
        <w:t>Центр ВОИС по арбитражу и посредничеству, включая доменные имена</w:t>
      </w:r>
    </w:p>
    <w:bookmarkEnd w:id="4"/>
    <w:p w14:paraId="1807968A" w14:textId="6FECD799" w:rsidR="00110FCD" w:rsidRPr="000B79EF" w:rsidRDefault="007404D5" w:rsidP="00110FCD">
      <w:pPr>
        <w:spacing w:after="960"/>
        <w:rPr>
          <w:i/>
          <w:lang w:val="ru-RU"/>
        </w:rPr>
      </w:pPr>
      <w:r w:rsidRPr="000B79EF">
        <w:rPr>
          <w:i/>
          <w:lang w:val="ru-RU"/>
        </w:rPr>
        <w:t>Документ подготовлен Секретариатом</w:t>
      </w:r>
    </w:p>
    <w:p w14:paraId="7626F509" w14:textId="5D8D7452" w:rsidR="00DF58F7" w:rsidRPr="000B79EF" w:rsidRDefault="007404D5" w:rsidP="00110FCD">
      <w:pPr>
        <w:pStyle w:val="ListParagraph"/>
        <w:numPr>
          <w:ilvl w:val="0"/>
          <w:numId w:val="7"/>
        </w:numPr>
        <w:spacing w:after="240"/>
        <w:ind w:left="0" w:firstLine="0"/>
        <w:contextualSpacing w:val="0"/>
        <w:rPr>
          <w:rFonts w:eastAsia="SimSun"/>
          <w:lang w:val="ru-RU"/>
        </w:rPr>
      </w:pPr>
      <w:r w:rsidRPr="000B79EF">
        <w:rPr>
          <w:snapToGrid w:val="0"/>
          <w:szCs w:val="22"/>
          <w:lang w:val="ru-RU"/>
        </w:rPr>
        <w:t xml:space="preserve">Центр ВОИС по арбитражу и посредничеству («Центр») является частью Сектора экосистем ИС и инноваций (IES). Координирующий свою работу с другими ВОИС IES отвечает за </w:t>
      </w:r>
      <w:r w:rsidR="00C651D3" w:rsidRPr="000B79EF">
        <w:rPr>
          <w:snapToGrid w:val="0"/>
          <w:szCs w:val="22"/>
          <w:lang w:val="ru-RU"/>
        </w:rPr>
        <w:t xml:space="preserve">оказание </w:t>
      </w:r>
      <w:r w:rsidRPr="000B79EF">
        <w:rPr>
          <w:snapToGrid w:val="0"/>
          <w:szCs w:val="22"/>
          <w:lang w:val="ru-RU"/>
        </w:rPr>
        <w:t xml:space="preserve">государствам-членам </w:t>
      </w:r>
      <w:r w:rsidR="00C651D3" w:rsidRPr="000B79EF">
        <w:rPr>
          <w:snapToGrid w:val="0"/>
          <w:szCs w:val="22"/>
          <w:lang w:val="ru-RU"/>
        </w:rPr>
        <w:t xml:space="preserve">содействия </w:t>
      </w:r>
      <w:r w:rsidRPr="000B79EF">
        <w:rPr>
          <w:snapToGrid w:val="0"/>
          <w:szCs w:val="22"/>
          <w:lang w:val="ru-RU"/>
        </w:rPr>
        <w:t xml:space="preserve">в развитии их </w:t>
      </w:r>
      <w:r w:rsidR="00C651D3" w:rsidRPr="000B79EF">
        <w:rPr>
          <w:snapToGrid w:val="0"/>
          <w:szCs w:val="22"/>
          <w:lang w:val="ru-RU"/>
        </w:rPr>
        <w:t xml:space="preserve">экосистем </w:t>
      </w:r>
      <w:r w:rsidRPr="000B79EF">
        <w:rPr>
          <w:snapToGrid w:val="0"/>
          <w:szCs w:val="22"/>
          <w:lang w:val="ru-RU"/>
        </w:rPr>
        <w:t xml:space="preserve">интеллектуальной собственности (ИС) и </w:t>
      </w:r>
      <w:r w:rsidR="00C651D3" w:rsidRPr="000B79EF">
        <w:rPr>
          <w:snapToGrid w:val="0"/>
          <w:szCs w:val="22"/>
          <w:lang w:val="ru-RU"/>
        </w:rPr>
        <w:t xml:space="preserve">инноваций </w:t>
      </w:r>
      <w:r w:rsidRPr="000B79EF">
        <w:rPr>
          <w:snapToGrid w:val="0"/>
          <w:szCs w:val="22"/>
          <w:lang w:val="ru-RU"/>
        </w:rPr>
        <w:t xml:space="preserve">для стимулирования предпринимательства и экономического роста. Помимо прочего, IES оказывает поддержку предприятиям в коммерциализации ИС и использовании ИС в других целях для </w:t>
      </w:r>
      <w:r w:rsidR="00C651D3" w:rsidRPr="000B79EF">
        <w:rPr>
          <w:snapToGrid w:val="0"/>
          <w:szCs w:val="22"/>
          <w:lang w:val="ru-RU"/>
        </w:rPr>
        <w:t xml:space="preserve">стимулирования </w:t>
      </w:r>
      <w:r w:rsidRPr="000B79EF">
        <w:rPr>
          <w:snapToGrid w:val="0"/>
          <w:szCs w:val="22"/>
          <w:lang w:val="ru-RU"/>
        </w:rPr>
        <w:t>роста бизнеса.</w:t>
      </w:r>
    </w:p>
    <w:p w14:paraId="4F93505B" w14:textId="34648571" w:rsidR="00110FCD" w:rsidRPr="000B79EF" w:rsidRDefault="00C651D3" w:rsidP="00110FCD">
      <w:pPr>
        <w:pStyle w:val="ListParagraph"/>
        <w:numPr>
          <w:ilvl w:val="0"/>
          <w:numId w:val="7"/>
        </w:numPr>
        <w:spacing w:after="240"/>
        <w:ind w:left="0" w:firstLine="0"/>
        <w:contextualSpacing w:val="0"/>
        <w:rPr>
          <w:snapToGrid w:val="0"/>
          <w:szCs w:val="22"/>
          <w:lang w:val="ru-RU"/>
        </w:rPr>
      </w:pPr>
      <w:r w:rsidRPr="000B79EF">
        <w:rPr>
          <w:snapToGrid w:val="0"/>
          <w:szCs w:val="22"/>
          <w:lang w:val="ru-RU"/>
        </w:rPr>
        <w:t xml:space="preserve">В этой связи в </w:t>
      </w:r>
      <w:r w:rsidRPr="000B79EF">
        <w:rPr>
          <w:rStyle w:val="ONUMEChar"/>
          <w:szCs w:val="22"/>
          <w:lang w:val="ru-RU"/>
        </w:rPr>
        <w:t xml:space="preserve">настоящем документе содержится обновленная информация о деятельности Центра как международного ресурса, </w:t>
      </w:r>
      <w:r w:rsidRPr="000B79EF">
        <w:rPr>
          <w:szCs w:val="22"/>
          <w:lang w:val="ru-RU"/>
        </w:rPr>
        <w:t>обеспечивающего функционирование оперативных и экономичных альтернативных механизмов внесудебного урегулирования споров, касающихся ИС, и выступающего не только в качестве инстанции рассмотрения споров, но и органа, предоставляющего экспертные консультации по правовым и организационным вопросам в области альтернативного урегулирования споров (АУС)</w:t>
      </w:r>
      <w:r w:rsidRPr="000B79EF">
        <w:rPr>
          <w:snapToGrid w:val="0"/>
          <w:szCs w:val="22"/>
          <w:lang w:val="ru-RU"/>
        </w:rPr>
        <w:t>.</w:t>
      </w:r>
    </w:p>
    <w:p w14:paraId="617E9716" w14:textId="2CDDA478" w:rsidR="00110FCD" w:rsidRPr="000B79EF" w:rsidRDefault="00C651D3" w:rsidP="006942C5">
      <w:pPr>
        <w:pStyle w:val="ListParagraph"/>
        <w:numPr>
          <w:ilvl w:val="0"/>
          <w:numId w:val="7"/>
        </w:numPr>
        <w:spacing w:after="240"/>
        <w:ind w:left="0" w:firstLine="0"/>
        <w:contextualSpacing w:val="0"/>
        <w:rPr>
          <w:b/>
          <w:bCs/>
          <w:iCs/>
          <w:caps/>
          <w:szCs w:val="28"/>
          <w:lang w:val="ru-RU"/>
        </w:rPr>
      </w:pPr>
      <w:r w:rsidRPr="000B79EF">
        <w:rPr>
          <w:rStyle w:val="ONUMEChar"/>
          <w:szCs w:val="22"/>
          <w:lang w:val="ru-RU"/>
        </w:rPr>
        <w:t xml:space="preserve">Кроме того, в документе приводится обновленная информация о деятельности ВОИС в области доменных имен, о которой ранее сообщалось в документе </w:t>
      </w:r>
      <w:r w:rsidR="00110FCD" w:rsidRPr="000B79EF">
        <w:rPr>
          <w:rFonts w:eastAsia="SimSun" w:cs="Arial"/>
          <w:szCs w:val="22"/>
          <w:shd w:val="clear" w:color="auto" w:fill="FFFFFF" w:themeFill="background1"/>
          <w:lang w:val="ru-RU" w:eastAsia="zh-CN"/>
        </w:rPr>
        <w:t>WO/GA/5</w:t>
      </w:r>
      <w:r w:rsidR="000D2F2A">
        <w:rPr>
          <w:rFonts w:eastAsia="SimSun" w:cs="Arial"/>
          <w:szCs w:val="22"/>
          <w:shd w:val="clear" w:color="auto" w:fill="FFFFFF" w:themeFill="background1"/>
          <w:lang w:val="ru-RU" w:eastAsia="zh-CN"/>
        </w:rPr>
        <w:t>4</w:t>
      </w:r>
      <w:r w:rsidR="00110FCD" w:rsidRPr="000B79EF">
        <w:rPr>
          <w:rFonts w:eastAsia="SimSun" w:cs="Arial"/>
          <w:szCs w:val="22"/>
          <w:shd w:val="clear" w:color="auto" w:fill="FFFFFF" w:themeFill="background1"/>
          <w:lang w:val="ru-RU" w:eastAsia="zh-CN"/>
        </w:rPr>
        <w:t>/</w:t>
      </w:r>
      <w:r w:rsidR="000D2F2A">
        <w:rPr>
          <w:rFonts w:eastAsia="SimSun" w:cs="Arial"/>
          <w:szCs w:val="22"/>
          <w:shd w:val="clear" w:color="auto" w:fill="FFFFFF" w:themeFill="background1"/>
          <w:lang w:val="ru-RU" w:eastAsia="zh-CN"/>
        </w:rPr>
        <w:t>13</w:t>
      </w:r>
      <w:r w:rsidR="00110FCD" w:rsidRPr="000B79EF">
        <w:rPr>
          <w:rStyle w:val="ONUMEChar"/>
          <w:szCs w:val="22"/>
          <w:shd w:val="clear" w:color="auto" w:fill="FFFFFF" w:themeFill="background1"/>
          <w:vertAlign w:val="superscript"/>
          <w:lang w:val="ru-RU"/>
        </w:rPr>
        <w:footnoteReference w:id="2"/>
      </w:r>
      <w:r w:rsidRPr="000B79EF">
        <w:rPr>
          <w:rFonts w:eastAsia="SimSun" w:cs="Arial"/>
          <w:szCs w:val="22"/>
          <w:shd w:val="clear" w:color="auto" w:fill="FFFFFF" w:themeFill="background1"/>
          <w:lang w:val="ru-RU" w:eastAsia="zh-CN"/>
        </w:rPr>
        <w:t>.</w:t>
      </w:r>
      <w:r w:rsidR="00110FCD" w:rsidRPr="000B79EF">
        <w:rPr>
          <w:rStyle w:val="ONUMEChar"/>
          <w:szCs w:val="22"/>
          <w:lang w:val="ru-RU"/>
        </w:rPr>
        <w:t xml:space="preserve"> </w:t>
      </w:r>
      <w:r w:rsidRPr="000B79EF">
        <w:rPr>
          <w:rStyle w:val="ONUMEChar"/>
          <w:lang w:val="ru-RU"/>
        </w:rPr>
        <w:t xml:space="preserve">Он касается рассмотрения Центром споров в области доменных имен на основании различных стратегий и в отношении различных аспектов системы доменных </w:t>
      </w:r>
      <w:r w:rsidRPr="000B79EF">
        <w:rPr>
          <w:rStyle w:val="ONUMEChar"/>
          <w:lang w:val="ru-RU"/>
        </w:rPr>
        <w:lastRenderedPageBreak/>
        <w:t xml:space="preserve">имен в интернете (DNS), а также некоторых изменений в подходах – в частности, применения механизмов охраны прав (МОП) при введении новых родовых доменов верхнего уровня (рДВУ), планируемого будущего пересмотра </w:t>
      </w:r>
      <w:r w:rsidRPr="000B79EF">
        <w:rPr>
          <w:lang w:val="ru-RU"/>
        </w:rPr>
        <w:t xml:space="preserve">Корпорацией по распределению имен и номеров в интернете (ICANN) Единой политики урегулирования споров в области доменных имен (ЕПУС) и других МОП, </w:t>
      </w:r>
      <w:r w:rsidRPr="000B79EF">
        <w:rPr>
          <w:rStyle w:val="ONUMEChar"/>
          <w:lang w:val="ru-RU"/>
        </w:rPr>
        <w:t>а также хода выполнения рекомендаций государств-членов ВОИС, сформулированных в рамках Второго процесса ВОИС по доменным именам в интернете</w:t>
      </w:r>
      <w:r w:rsidRPr="000B79EF">
        <w:rPr>
          <w:rStyle w:val="ONUMEChar"/>
          <w:szCs w:val="22"/>
          <w:lang w:val="ru-RU"/>
        </w:rPr>
        <w:t>.</w:t>
      </w:r>
    </w:p>
    <w:p w14:paraId="507713A3" w14:textId="3BAE9C0F" w:rsidR="00110FCD" w:rsidRPr="000B79EF" w:rsidRDefault="00110FCD" w:rsidP="0082563A">
      <w:pPr>
        <w:pStyle w:val="Heading2"/>
        <w:keepNext w:val="0"/>
        <w:widowControl w:val="0"/>
        <w:spacing w:after="220"/>
        <w:ind w:left="540" w:hanging="540"/>
        <w:rPr>
          <w:lang w:val="ru-RU"/>
        </w:rPr>
      </w:pPr>
      <w:r w:rsidRPr="000B79EF">
        <w:rPr>
          <w:lang w:val="ru-RU"/>
        </w:rPr>
        <w:t>I.</w:t>
      </w:r>
      <w:r w:rsidRPr="000B79EF">
        <w:rPr>
          <w:lang w:val="ru-RU"/>
        </w:rPr>
        <w:tab/>
      </w:r>
      <w:r w:rsidR="00C651D3" w:rsidRPr="000B79EF">
        <w:rPr>
          <w:lang w:val="ru-RU"/>
        </w:rPr>
        <w:t>АРБИТРАЖ И ПОСРЕДНИЧЕСТВО ПРИ УРЕГУЛИРОВАНИИ СПОРОВ, КАСАЮЩИХСЯ ИС</w:t>
      </w:r>
    </w:p>
    <w:p w14:paraId="03393C98" w14:textId="4519F62F" w:rsidR="00110FCD" w:rsidRPr="000B79EF" w:rsidRDefault="005F63C4" w:rsidP="00110FCD">
      <w:pPr>
        <w:pStyle w:val="ListParagraph"/>
        <w:widowControl w:val="0"/>
        <w:spacing w:after="240"/>
        <w:ind w:left="0" w:firstLine="562"/>
        <w:contextualSpacing w:val="0"/>
        <w:rPr>
          <w:lang w:val="ru-RU"/>
        </w:rPr>
      </w:pPr>
      <w:r w:rsidRPr="000B79EF">
        <w:rPr>
          <w:lang w:val="ru-RU"/>
        </w:rPr>
        <w:t>A.</w:t>
      </w:r>
      <w:r w:rsidRPr="000B79EF">
        <w:rPr>
          <w:lang w:val="ru-RU"/>
        </w:rPr>
        <w:tab/>
      </w:r>
      <w:r w:rsidR="00C651D3" w:rsidRPr="000B79EF">
        <w:rPr>
          <w:lang w:val="ru-RU"/>
        </w:rPr>
        <w:t>РАССМОТРЕНИЕ СПОРОВ</w:t>
      </w:r>
    </w:p>
    <w:p w14:paraId="45D647AB" w14:textId="21AB4B25" w:rsidR="00110FCD" w:rsidRPr="000B79EF" w:rsidRDefault="00C651D3" w:rsidP="00B2364E">
      <w:pPr>
        <w:pStyle w:val="ListParagraph"/>
        <w:widowControl w:val="0"/>
        <w:numPr>
          <w:ilvl w:val="0"/>
          <w:numId w:val="7"/>
        </w:numPr>
        <w:shd w:val="clear" w:color="auto" w:fill="FFFFFF" w:themeFill="background1"/>
        <w:spacing w:after="240"/>
        <w:ind w:left="0" w:firstLine="0"/>
        <w:contextualSpacing w:val="0"/>
        <w:rPr>
          <w:szCs w:val="22"/>
          <w:lang w:val="ru-RU"/>
        </w:rPr>
      </w:pPr>
      <w:r w:rsidRPr="000B79EF">
        <w:rPr>
          <w:lang w:val="ru-RU"/>
        </w:rPr>
        <w:t xml:space="preserve">Предлагаемые Центром процедуры посредничества и арбитража имеют целью удовлетворение потребностей сторон в оперативном и экономичном урегулировании споров </w:t>
      </w:r>
      <w:r w:rsidR="006942C5">
        <w:rPr>
          <w:lang w:val="ru-RU"/>
        </w:rPr>
        <w:t>по вопросам</w:t>
      </w:r>
      <w:r w:rsidRPr="000B79EF">
        <w:rPr>
          <w:lang w:val="ru-RU"/>
        </w:rPr>
        <w:t xml:space="preserve"> ИС</w:t>
      </w:r>
      <w:r w:rsidR="006942C5">
        <w:rPr>
          <w:lang w:val="ru-RU"/>
        </w:rPr>
        <w:t xml:space="preserve"> и технологий</w:t>
      </w:r>
      <w:r w:rsidRPr="000B79EF">
        <w:rPr>
          <w:lang w:val="ru-RU"/>
        </w:rPr>
        <w:t xml:space="preserve">. Центр занимается рассмотрением и урегулированием споров с применением указанных процедур, включающих </w:t>
      </w:r>
      <w:r w:rsidR="009C0E4C">
        <w:rPr>
          <w:lang w:val="ru-RU"/>
        </w:rPr>
        <w:t>процедурные рекомендации</w:t>
      </w:r>
      <w:r w:rsidR="006942C5" w:rsidRPr="006942C5">
        <w:rPr>
          <w:vertAlign w:val="superscript"/>
        </w:rPr>
        <w:footnoteReference w:id="3"/>
      </w:r>
      <w:r w:rsidR="006942C5">
        <w:rPr>
          <w:lang w:val="ru-RU"/>
        </w:rPr>
        <w:t xml:space="preserve">, </w:t>
      </w:r>
      <w:r w:rsidR="0051423F">
        <w:rPr>
          <w:lang w:val="ru-RU"/>
        </w:rPr>
        <w:t>организацию мероприятий по</w:t>
      </w:r>
      <w:r w:rsidRPr="000B79EF">
        <w:rPr>
          <w:lang w:val="ru-RU"/>
        </w:rPr>
        <w:t xml:space="preserve"> подготовк</w:t>
      </w:r>
      <w:r w:rsidR="0051423F">
        <w:rPr>
          <w:lang w:val="ru-RU"/>
        </w:rPr>
        <w:t>е кадров</w:t>
      </w:r>
      <w:r w:rsidR="00110FCD" w:rsidRPr="000B79EF">
        <w:rPr>
          <w:rStyle w:val="FootnoteReference"/>
          <w:rFonts w:eastAsia="SimSun"/>
          <w:lang w:val="ru-RU"/>
        </w:rPr>
        <w:footnoteReference w:id="4"/>
      </w:r>
      <w:r w:rsidRPr="000B79EF">
        <w:rPr>
          <w:lang w:val="ru-RU"/>
        </w:rPr>
        <w:t>,</w:t>
      </w:r>
      <w:r w:rsidR="00110FCD" w:rsidRPr="000B79EF">
        <w:rPr>
          <w:lang w:val="ru-RU"/>
        </w:rPr>
        <w:t xml:space="preserve"> </w:t>
      </w:r>
      <w:r w:rsidR="00153DC9" w:rsidRPr="000B79EF">
        <w:rPr>
          <w:lang w:val="ru-RU"/>
        </w:rPr>
        <w:t xml:space="preserve">назначение квалифицированных арбитров и посредников и обеспечение их работы, а также </w:t>
      </w:r>
      <w:r w:rsidR="0051423F">
        <w:rPr>
          <w:lang w:val="ru-RU"/>
        </w:rPr>
        <w:t>постоянное обновление</w:t>
      </w:r>
      <w:r w:rsidR="00153DC9" w:rsidRPr="000B79EF">
        <w:rPr>
          <w:lang w:val="ru-RU"/>
        </w:rPr>
        <w:t xml:space="preserve"> инфраструктуры рассмотрения споров</w:t>
      </w:r>
      <w:r w:rsidR="00110FCD" w:rsidRPr="000B79EF">
        <w:rPr>
          <w:lang w:val="ru-RU"/>
        </w:rPr>
        <w:t xml:space="preserve">. </w:t>
      </w:r>
      <w:r w:rsidR="00153DC9" w:rsidRPr="000B79EF">
        <w:rPr>
          <w:lang w:val="ru-RU"/>
        </w:rPr>
        <w:t>Споры направляются на рассмотрение в Центр на основании условий предварительно заключенного контракта или</w:t>
      </w:r>
      <w:r w:rsidR="001B168E">
        <w:rPr>
          <w:lang w:val="ru-RU"/>
        </w:rPr>
        <w:t xml:space="preserve">, все чаще, </w:t>
      </w:r>
      <w:r w:rsidR="00153DC9" w:rsidRPr="000B79EF">
        <w:rPr>
          <w:lang w:val="ru-RU"/>
        </w:rPr>
        <w:t>соглашения о передаче спора в арбитраж после его предварительного рассмотрения (включая передачу на рассмотрение в суд), а также на основании односторонней просьбы в соответствии со статьей 4 Правил ВОИС в области посредничества</w:t>
      </w:r>
      <w:r w:rsidR="008A58A9" w:rsidRPr="000B79EF">
        <w:rPr>
          <w:rStyle w:val="FootnoteReference"/>
          <w:lang w:val="ru-RU"/>
        </w:rPr>
        <w:footnoteReference w:id="5"/>
      </w:r>
      <w:r w:rsidR="00153DC9" w:rsidRPr="000B79EF">
        <w:rPr>
          <w:lang w:val="ru-RU"/>
        </w:rPr>
        <w:t>.</w:t>
      </w:r>
    </w:p>
    <w:p w14:paraId="48884AA8" w14:textId="53DDD4D8" w:rsidR="002F322A" w:rsidRPr="005365C7" w:rsidRDefault="00153DC9" w:rsidP="005365C7">
      <w:pPr>
        <w:pStyle w:val="ListParagraph"/>
        <w:widowControl w:val="0"/>
        <w:numPr>
          <w:ilvl w:val="0"/>
          <w:numId w:val="7"/>
        </w:numPr>
        <w:shd w:val="clear" w:color="auto" w:fill="FFFFFF" w:themeFill="background1"/>
        <w:spacing w:after="240"/>
        <w:ind w:left="0" w:firstLine="0"/>
        <w:contextualSpacing w:val="0"/>
        <w:rPr>
          <w:lang w:val="ru-RU"/>
        </w:rPr>
      </w:pPr>
      <w:r w:rsidRPr="000B79EF">
        <w:rPr>
          <w:lang w:val="ru-RU"/>
        </w:rPr>
        <w:t xml:space="preserve">В течение этого периода </w:t>
      </w:r>
      <w:r w:rsidR="008D3AD6" w:rsidRPr="000B79EF">
        <w:rPr>
          <w:lang w:val="ru-RU"/>
        </w:rPr>
        <w:t>крупны</w:t>
      </w:r>
      <w:r w:rsidR="001B168E">
        <w:rPr>
          <w:lang w:val="ru-RU"/>
        </w:rPr>
        <w:t>е</w:t>
      </w:r>
      <w:r w:rsidR="008D3AD6" w:rsidRPr="000B79EF">
        <w:rPr>
          <w:lang w:val="ru-RU"/>
        </w:rPr>
        <w:t xml:space="preserve"> компани</w:t>
      </w:r>
      <w:r w:rsidR="001B168E">
        <w:rPr>
          <w:lang w:val="ru-RU"/>
        </w:rPr>
        <w:t>и</w:t>
      </w:r>
      <w:r w:rsidR="008D3AD6" w:rsidRPr="000B79EF">
        <w:rPr>
          <w:lang w:val="ru-RU"/>
        </w:rPr>
        <w:t xml:space="preserve"> (в том числе компании из сферы биотехнологий и фармацевтики, а также онлайновые платформы), малые и средние предприятия (МСП)</w:t>
      </w:r>
      <w:r w:rsidR="008D3AD6" w:rsidRPr="000B79EF">
        <w:rPr>
          <w:rStyle w:val="FootnoteReference"/>
          <w:lang w:val="ru-RU"/>
        </w:rPr>
        <w:footnoteReference w:id="6"/>
      </w:r>
      <w:r w:rsidR="008D3AD6" w:rsidRPr="000B79EF">
        <w:rPr>
          <w:lang w:val="ru-RU"/>
        </w:rPr>
        <w:t>, университеты, исследовательские организации</w:t>
      </w:r>
      <w:r w:rsidR="001B168E">
        <w:rPr>
          <w:lang w:val="ru-RU"/>
        </w:rPr>
        <w:t>, организации коллективного управления (ОКУ)</w:t>
      </w:r>
      <w:r w:rsidR="008D3AD6" w:rsidRPr="000B79EF">
        <w:rPr>
          <w:lang w:val="ru-RU"/>
        </w:rPr>
        <w:t xml:space="preserve"> и отдельные лица</w:t>
      </w:r>
      <w:r w:rsidR="008D3AD6" w:rsidRPr="000B79EF">
        <w:rPr>
          <w:shd w:val="clear" w:color="auto" w:fill="FFFFFF" w:themeFill="background1"/>
          <w:lang w:val="ru-RU"/>
        </w:rPr>
        <w:t xml:space="preserve"> из </w:t>
      </w:r>
      <w:r w:rsidR="001B168E">
        <w:rPr>
          <w:shd w:val="clear" w:color="auto" w:fill="FFFFFF" w:themeFill="background1"/>
          <w:lang w:val="ru-RU"/>
        </w:rPr>
        <w:t>39</w:t>
      </w:r>
      <w:r w:rsidR="008D3AD6" w:rsidRPr="000B79EF">
        <w:rPr>
          <w:shd w:val="clear" w:color="auto" w:fill="FFFFFF" w:themeFill="background1"/>
          <w:lang w:val="ru-RU"/>
        </w:rPr>
        <w:t xml:space="preserve"> стран </w:t>
      </w:r>
      <w:r w:rsidR="008D3AD6" w:rsidRPr="000B79EF">
        <w:rPr>
          <w:lang w:val="ru-RU"/>
        </w:rPr>
        <w:t xml:space="preserve">пользовались </w:t>
      </w:r>
      <w:r w:rsidR="00500759">
        <w:rPr>
          <w:lang w:val="ru-RU"/>
        </w:rPr>
        <w:t xml:space="preserve">посредническими и арбитражными </w:t>
      </w:r>
      <w:r w:rsidRPr="000B79EF">
        <w:rPr>
          <w:lang w:val="ru-RU"/>
        </w:rPr>
        <w:t>процедурами Центра</w:t>
      </w:r>
      <w:r w:rsidRPr="000B79EF">
        <w:rPr>
          <w:shd w:val="clear" w:color="auto" w:fill="FFFFFF" w:themeFill="background1"/>
          <w:lang w:val="ru-RU"/>
        </w:rPr>
        <w:t xml:space="preserve">. </w:t>
      </w:r>
      <w:r w:rsidR="009941AE" w:rsidRPr="000B79EF">
        <w:rPr>
          <w:shd w:val="clear" w:color="auto" w:fill="FFFFFF" w:themeFill="background1"/>
          <w:lang w:val="ru-RU"/>
        </w:rPr>
        <w:t xml:space="preserve">Центр отметил увеличение количества дел по </w:t>
      </w:r>
      <w:r w:rsidR="00C10A8E" w:rsidRPr="000B79EF">
        <w:rPr>
          <w:shd w:val="clear" w:color="auto" w:fill="FFFFFF" w:themeFill="background1"/>
          <w:lang w:val="ru-RU"/>
        </w:rPr>
        <w:t xml:space="preserve">посредничеству </w:t>
      </w:r>
      <w:r w:rsidR="009941AE" w:rsidRPr="000B79EF">
        <w:rPr>
          <w:shd w:val="clear" w:color="auto" w:fill="FFFFFF" w:themeFill="background1"/>
          <w:lang w:val="ru-RU"/>
        </w:rPr>
        <w:t xml:space="preserve">и арбитражу </w:t>
      </w:r>
      <w:r w:rsidR="00C10A8E" w:rsidRPr="000B79EF">
        <w:rPr>
          <w:shd w:val="clear" w:color="auto" w:fill="FFFFFF" w:themeFill="background1"/>
          <w:lang w:val="ru-RU"/>
        </w:rPr>
        <w:t xml:space="preserve">на </w:t>
      </w:r>
      <w:r w:rsidR="00500759">
        <w:rPr>
          <w:shd w:val="clear" w:color="auto" w:fill="FFFFFF" w:themeFill="background1"/>
          <w:lang w:val="ru-RU"/>
        </w:rPr>
        <w:t>4</w:t>
      </w:r>
      <w:r w:rsidR="00C10A8E" w:rsidRPr="000B79EF">
        <w:rPr>
          <w:shd w:val="clear" w:color="auto" w:fill="FFFFFF" w:themeFill="background1"/>
          <w:lang w:val="ru-RU"/>
        </w:rPr>
        <w:t xml:space="preserve">4 процента </w:t>
      </w:r>
      <w:r w:rsidR="009941AE" w:rsidRPr="000B79EF">
        <w:rPr>
          <w:shd w:val="clear" w:color="auto" w:fill="FFFFFF" w:themeFill="background1"/>
          <w:lang w:val="ru-RU"/>
        </w:rPr>
        <w:t>в 202</w:t>
      </w:r>
      <w:r w:rsidR="00500759">
        <w:rPr>
          <w:shd w:val="clear" w:color="auto" w:fill="FFFFFF" w:themeFill="background1"/>
          <w:lang w:val="ru-RU"/>
        </w:rPr>
        <w:t>1</w:t>
      </w:r>
      <w:r w:rsidR="009941AE" w:rsidRPr="000B79EF">
        <w:rPr>
          <w:shd w:val="clear" w:color="auto" w:fill="FFFFFF" w:themeFill="background1"/>
          <w:lang w:val="ru-RU"/>
        </w:rPr>
        <w:t xml:space="preserve"> </w:t>
      </w:r>
      <w:r w:rsidR="00C10A8E" w:rsidRPr="000B79EF">
        <w:rPr>
          <w:shd w:val="clear" w:color="auto" w:fill="FFFFFF" w:themeFill="background1"/>
          <w:lang w:val="ru-RU"/>
        </w:rPr>
        <w:t xml:space="preserve">г. </w:t>
      </w:r>
      <w:r w:rsidR="009941AE" w:rsidRPr="000B79EF">
        <w:rPr>
          <w:shd w:val="clear" w:color="auto" w:fill="FFFFFF" w:themeFill="background1"/>
          <w:lang w:val="ru-RU"/>
        </w:rPr>
        <w:t>и дальнейший рост в перво</w:t>
      </w:r>
      <w:r w:rsidR="00500759">
        <w:rPr>
          <w:shd w:val="clear" w:color="auto" w:fill="FFFFFF" w:themeFill="background1"/>
          <w:lang w:val="ru-RU"/>
        </w:rPr>
        <w:t>м</w:t>
      </w:r>
      <w:r w:rsidR="009941AE" w:rsidRPr="000B79EF">
        <w:rPr>
          <w:shd w:val="clear" w:color="auto" w:fill="FFFFFF" w:themeFill="background1"/>
          <w:lang w:val="ru-RU"/>
        </w:rPr>
        <w:t xml:space="preserve"> </w:t>
      </w:r>
      <w:r w:rsidR="00500759">
        <w:rPr>
          <w:shd w:val="clear" w:color="auto" w:fill="FFFFFF" w:themeFill="background1"/>
          <w:lang w:val="ru-RU"/>
        </w:rPr>
        <w:t>квартале</w:t>
      </w:r>
      <w:r w:rsidR="009941AE" w:rsidRPr="000B79EF">
        <w:rPr>
          <w:shd w:val="clear" w:color="auto" w:fill="FFFFFF" w:themeFill="background1"/>
          <w:lang w:val="ru-RU"/>
        </w:rPr>
        <w:t xml:space="preserve"> 202</w:t>
      </w:r>
      <w:r w:rsidR="00500759">
        <w:rPr>
          <w:shd w:val="clear" w:color="auto" w:fill="FFFFFF" w:themeFill="background1"/>
          <w:lang w:val="ru-RU"/>
        </w:rPr>
        <w:t>2</w:t>
      </w:r>
      <w:r w:rsidR="009941AE" w:rsidRPr="000B79EF">
        <w:rPr>
          <w:shd w:val="clear" w:color="auto" w:fill="FFFFFF" w:themeFill="background1"/>
          <w:lang w:val="ru-RU"/>
        </w:rPr>
        <w:t xml:space="preserve"> г</w:t>
      </w:r>
      <w:r w:rsidR="00C10A8E" w:rsidRPr="000B79EF">
        <w:rPr>
          <w:shd w:val="clear" w:color="auto" w:fill="FFFFFF" w:themeFill="background1"/>
          <w:lang w:val="ru-RU"/>
        </w:rPr>
        <w:t xml:space="preserve">. Новые дела в рамках Правил ВОИС по посредничеству, арбитражу и ускоренному арбитражу (Правил ВОИС) имели отношение к соглашениям в области научно-исследовательских и опытно-конструкторских разработок (НИОКР), включая соглашения о создании консорциумов, </w:t>
      </w:r>
      <w:r w:rsidR="00B0241B" w:rsidRPr="000B79EF">
        <w:rPr>
          <w:shd w:val="clear" w:color="auto" w:fill="FFFFFF" w:themeFill="background1"/>
          <w:lang w:val="ru-RU"/>
        </w:rPr>
        <w:t xml:space="preserve">патентам, товарным знакам и лицензированию </w:t>
      </w:r>
      <w:r w:rsidR="00C10A8E" w:rsidRPr="000B79EF">
        <w:rPr>
          <w:shd w:val="clear" w:color="auto" w:fill="FFFFFF" w:themeFill="background1"/>
          <w:lang w:val="ru-RU"/>
        </w:rPr>
        <w:t>авторских прав, коллективно</w:t>
      </w:r>
      <w:r w:rsidR="00B0241B" w:rsidRPr="000B79EF">
        <w:rPr>
          <w:shd w:val="clear" w:color="auto" w:fill="FFFFFF" w:themeFill="background1"/>
          <w:lang w:val="ru-RU"/>
        </w:rPr>
        <w:t>му управлению</w:t>
      </w:r>
      <w:r w:rsidR="00C10A8E" w:rsidRPr="000B79EF">
        <w:rPr>
          <w:shd w:val="clear" w:color="auto" w:fill="FFFFFF" w:themeFill="background1"/>
          <w:lang w:val="ru-RU"/>
        </w:rPr>
        <w:t xml:space="preserve"> авторскими правами, разработк</w:t>
      </w:r>
      <w:r w:rsidR="00B0241B" w:rsidRPr="000B79EF">
        <w:rPr>
          <w:shd w:val="clear" w:color="auto" w:fill="FFFFFF" w:themeFill="background1"/>
          <w:lang w:val="ru-RU"/>
        </w:rPr>
        <w:t>е</w:t>
      </w:r>
      <w:r w:rsidR="00C10A8E" w:rsidRPr="000B79EF">
        <w:rPr>
          <w:shd w:val="clear" w:color="auto" w:fill="FFFFFF" w:themeFill="background1"/>
          <w:lang w:val="ru-RU"/>
        </w:rPr>
        <w:t xml:space="preserve"> и лицензировани</w:t>
      </w:r>
      <w:r w:rsidR="00B0241B" w:rsidRPr="000B79EF">
        <w:rPr>
          <w:shd w:val="clear" w:color="auto" w:fill="FFFFFF" w:themeFill="background1"/>
          <w:lang w:val="ru-RU"/>
        </w:rPr>
        <w:t>ю программного обеспечения</w:t>
      </w:r>
      <w:r w:rsidR="00500759">
        <w:rPr>
          <w:shd w:val="clear" w:color="auto" w:fill="FFFFFF" w:themeFill="background1"/>
          <w:lang w:val="ru-RU"/>
        </w:rPr>
        <w:t xml:space="preserve"> и </w:t>
      </w:r>
      <w:r w:rsidR="005365C7">
        <w:rPr>
          <w:shd w:val="clear" w:color="auto" w:fill="FFFFFF" w:themeFill="background1"/>
          <w:lang w:val="ru-RU"/>
        </w:rPr>
        <w:t>акционерным соглашениям</w:t>
      </w:r>
      <w:r w:rsidR="00500759" w:rsidRPr="00500759">
        <w:rPr>
          <w:shd w:val="clear" w:color="auto" w:fill="FFFFFF" w:themeFill="background1"/>
          <w:vertAlign w:val="superscript"/>
        </w:rPr>
        <w:footnoteReference w:id="7"/>
      </w:r>
      <w:r w:rsidR="005365C7">
        <w:rPr>
          <w:shd w:val="clear" w:color="auto" w:fill="FFFFFF" w:themeFill="background1"/>
          <w:lang w:val="ru-RU"/>
        </w:rPr>
        <w:t>.</w:t>
      </w:r>
      <w:r w:rsidR="00500759" w:rsidRPr="00500759">
        <w:rPr>
          <w:shd w:val="clear" w:color="auto" w:fill="FFFFFF" w:themeFill="background1"/>
          <w:lang w:val="ru-RU"/>
        </w:rPr>
        <w:t xml:space="preserve"> </w:t>
      </w:r>
      <w:r w:rsidR="005365C7" w:rsidRPr="005365C7">
        <w:rPr>
          <w:shd w:val="clear" w:color="auto" w:fill="FFFFFF" w:themeFill="background1"/>
          <w:lang w:val="ru-RU"/>
        </w:rPr>
        <w:lastRenderedPageBreak/>
        <w:t xml:space="preserve">Доля споров, урегулированных </w:t>
      </w:r>
      <w:r w:rsidR="0051423F">
        <w:rPr>
          <w:shd w:val="clear" w:color="auto" w:fill="FFFFFF" w:themeFill="background1"/>
          <w:lang w:val="ru-RU"/>
        </w:rPr>
        <w:t>в рамках процедуры</w:t>
      </w:r>
      <w:r w:rsidR="005365C7" w:rsidRPr="005365C7">
        <w:rPr>
          <w:shd w:val="clear" w:color="auto" w:fill="FFFFFF" w:themeFill="background1"/>
          <w:lang w:val="ru-RU"/>
        </w:rPr>
        <w:t xml:space="preserve"> посредничества </w:t>
      </w:r>
      <w:r w:rsidR="005365C7">
        <w:rPr>
          <w:shd w:val="clear" w:color="auto" w:fill="FFFFFF" w:themeFill="background1"/>
          <w:lang w:val="ru-RU"/>
        </w:rPr>
        <w:t>ВОИС</w:t>
      </w:r>
      <w:r w:rsidR="005365C7" w:rsidRPr="005365C7">
        <w:rPr>
          <w:shd w:val="clear" w:color="auto" w:fill="FFFFFF" w:themeFill="background1"/>
          <w:lang w:val="ru-RU"/>
        </w:rPr>
        <w:t>, достигла в 2021 г. 75</w:t>
      </w:r>
      <w:r w:rsidR="005365C7">
        <w:rPr>
          <w:shd w:val="clear" w:color="auto" w:fill="FFFFFF" w:themeFill="background1"/>
          <w:lang w:val="ru-RU"/>
        </w:rPr>
        <w:t xml:space="preserve"> процентов против </w:t>
      </w:r>
      <w:r w:rsidR="00500759" w:rsidRPr="005365C7">
        <w:rPr>
          <w:shd w:val="clear" w:color="auto" w:fill="FFFFFF" w:themeFill="background1"/>
          <w:lang w:val="ru-RU"/>
        </w:rPr>
        <w:t>70</w:t>
      </w:r>
      <w:r w:rsidR="00500759" w:rsidRPr="00500759">
        <w:rPr>
          <w:shd w:val="clear" w:color="auto" w:fill="FFFFFF" w:themeFill="background1"/>
        </w:rPr>
        <w:t> </w:t>
      </w:r>
      <w:r w:rsidR="005365C7">
        <w:rPr>
          <w:shd w:val="clear" w:color="auto" w:fill="FFFFFF" w:themeFill="background1"/>
          <w:lang w:val="ru-RU"/>
        </w:rPr>
        <w:t>процентов за все годы</w:t>
      </w:r>
      <w:r w:rsidR="00500759" w:rsidRPr="005365C7">
        <w:rPr>
          <w:shd w:val="clear" w:color="auto" w:fill="FFFFFF" w:themeFill="background1"/>
          <w:lang w:val="ru-RU"/>
        </w:rPr>
        <w:t>.</w:t>
      </w:r>
      <w:r w:rsidR="00161E2F" w:rsidRPr="005365C7">
        <w:rPr>
          <w:shd w:val="clear" w:color="auto" w:fill="FFFFFF" w:themeFill="background1"/>
          <w:lang w:val="ru-RU"/>
        </w:rPr>
        <w:t xml:space="preserve"> </w:t>
      </w:r>
    </w:p>
    <w:p w14:paraId="2FA4F037" w14:textId="2F447783" w:rsidR="00053A12" w:rsidRPr="000B79EF" w:rsidRDefault="00B0241B" w:rsidP="00FD3A9C">
      <w:pPr>
        <w:pStyle w:val="ListParagraph"/>
        <w:widowControl w:val="0"/>
        <w:numPr>
          <w:ilvl w:val="0"/>
          <w:numId w:val="7"/>
        </w:numPr>
        <w:spacing w:after="240"/>
        <w:ind w:left="0" w:firstLine="0"/>
        <w:contextualSpacing w:val="0"/>
        <w:rPr>
          <w:szCs w:val="22"/>
          <w:shd w:val="clear" w:color="auto" w:fill="FFFFFF" w:themeFill="background1"/>
          <w:lang w:val="ru-RU"/>
        </w:rPr>
      </w:pPr>
      <w:r w:rsidRPr="000B79EF">
        <w:rPr>
          <w:lang w:val="ru-RU"/>
        </w:rPr>
        <w:t xml:space="preserve">Центр продолжал реализацию различных инициатив </w:t>
      </w:r>
      <w:r w:rsidR="00FD3A9C" w:rsidRPr="00FD3A9C">
        <w:rPr>
          <w:lang w:val="ru-RU"/>
        </w:rPr>
        <w:t>для облегчения проведения процедур АУС ВОИС</w:t>
      </w:r>
      <w:r w:rsidRPr="000B79EF">
        <w:rPr>
          <w:lang w:val="ru-RU"/>
        </w:rPr>
        <w:t>. Центр модернизировал Электронный модуль ВОИС для рассмотрения споров</w:t>
      </w:r>
      <w:r w:rsidR="00110FCD" w:rsidRPr="000B79EF">
        <w:rPr>
          <w:vertAlign w:val="superscript"/>
          <w:lang w:val="ru-RU"/>
        </w:rPr>
        <w:footnoteReference w:id="8"/>
      </w:r>
      <w:r w:rsidRPr="000B79EF">
        <w:rPr>
          <w:lang w:val="ru-RU"/>
        </w:rPr>
        <w:t>,</w:t>
      </w:r>
      <w:r w:rsidR="00110FCD" w:rsidRPr="000B79EF">
        <w:rPr>
          <w:lang w:val="ru-RU"/>
        </w:rPr>
        <w:t xml:space="preserve"> </w:t>
      </w:r>
      <w:r w:rsidRPr="000B79EF">
        <w:rPr>
          <w:lang w:val="ru-RU"/>
        </w:rPr>
        <w:t>которым пользуются многие стороны, что позволило им повысить эффективность проводимых арбитражных процедур.</w:t>
      </w:r>
      <w:r w:rsidR="00161E2F" w:rsidRPr="000B79EF">
        <w:rPr>
          <w:lang w:val="ru-RU"/>
        </w:rPr>
        <w:t xml:space="preserve"> </w:t>
      </w:r>
      <w:r w:rsidRPr="000B79EF">
        <w:rPr>
          <w:lang w:val="ru-RU"/>
        </w:rPr>
        <w:t xml:space="preserve">Кроме того, </w:t>
      </w:r>
      <w:r w:rsidR="00FD3A9C">
        <w:rPr>
          <w:lang w:val="ru-RU"/>
        </w:rPr>
        <w:t>с учетом создавшейся глобальной ситуации</w:t>
      </w:r>
      <w:r w:rsidRPr="000B79EF">
        <w:rPr>
          <w:lang w:val="ru-RU"/>
        </w:rPr>
        <w:t xml:space="preserve"> </w:t>
      </w:r>
      <w:r w:rsidR="00FD3A9C">
        <w:rPr>
          <w:lang w:val="ru-RU"/>
        </w:rPr>
        <w:t xml:space="preserve">в области здравоохранения </w:t>
      </w:r>
      <w:r w:rsidRPr="000B79EF">
        <w:rPr>
          <w:lang w:val="ru-RU"/>
        </w:rPr>
        <w:t xml:space="preserve">подавляющее большинство </w:t>
      </w:r>
      <w:r w:rsidR="00BA0A40" w:rsidRPr="000B79EF">
        <w:rPr>
          <w:lang w:val="ru-RU"/>
        </w:rPr>
        <w:t xml:space="preserve">совещаний </w:t>
      </w:r>
      <w:r w:rsidRPr="000B79EF">
        <w:rPr>
          <w:lang w:val="ru-RU"/>
        </w:rPr>
        <w:t>в порядке посредничества и арбитражных слушаний проводилось удаленно с использова</w:t>
      </w:r>
      <w:r w:rsidR="00FD3A9C">
        <w:rPr>
          <w:lang w:val="ru-RU"/>
        </w:rPr>
        <w:t>нием технических сервисов ВОИС</w:t>
      </w:r>
      <w:r w:rsidR="00E32D34" w:rsidRPr="00E32D34">
        <w:rPr>
          <w:vertAlign w:val="superscript"/>
        </w:rPr>
        <w:footnoteReference w:id="9"/>
      </w:r>
      <w:r w:rsidR="00FD3A9C">
        <w:rPr>
          <w:lang w:val="ru-RU"/>
        </w:rPr>
        <w:t>.</w:t>
      </w:r>
      <w:r w:rsidR="00E32D34">
        <w:rPr>
          <w:lang w:val="ru-RU"/>
        </w:rPr>
        <w:t xml:space="preserve"> </w:t>
      </w:r>
    </w:p>
    <w:p w14:paraId="548369AB" w14:textId="21F7D82B" w:rsidR="0042665F" w:rsidRDefault="00C0602A" w:rsidP="00630C1D">
      <w:pPr>
        <w:pStyle w:val="ListParagraph"/>
        <w:widowControl w:val="0"/>
        <w:numPr>
          <w:ilvl w:val="0"/>
          <w:numId w:val="7"/>
        </w:numPr>
        <w:spacing w:after="240"/>
        <w:ind w:left="0" w:firstLine="0"/>
        <w:contextualSpacing w:val="0"/>
        <w:rPr>
          <w:lang w:val="ru-RU"/>
        </w:rPr>
      </w:pPr>
      <w:r w:rsidRPr="000B79EF">
        <w:rPr>
          <w:lang w:val="ru-RU"/>
        </w:rPr>
        <w:t>Центр также предоставляет специализированные услуги по АУС для конкретных секторов</w:t>
      </w:r>
      <w:r w:rsidR="00630C1D" w:rsidRPr="000B79EF">
        <w:rPr>
          <w:rStyle w:val="FootnoteReference"/>
          <w:szCs w:val="22"/>
          <w:lang w:val="ru-RU"/>
        </w:rPr>
        <w:footnoteReference w:id="10"/>
      </w:r>
      <w:r w:rsidRPr="000B79EF">
        <w:rPr>
          <w:lang w:val="ru-RU"/>
        </w:rPr>
        <w:t>.</w:t>
      </w:r>
      <w:r w:rsidR="00630C1D" w:rsidRPr="000B79EF">
        <w:rPr>
          <w:szCs w:val="22"/>
          <w:lang w:val="ru-RU"/>
        </w:rPr>
        <w:t xml:space="preserve"> </w:t>
      </w:r>
      <w:r w:rsidRPr="000B79EF">
        <w:rPr>
          <w:lang w:val="ru-RU"/>
        </w:rPr>
        <w:t>Один из примеров — предоставление Центром услуг в отношении споров о справедливых, обоснованных и недискриминационных (FRAND) условиях применительно к стандартообразующим патентам (SEP)</w:t>
      </w:r>
      <w:r w:rsidR="00630C1D" w:rsidRPr="000B79EF">
        <w:rPr>
          <w:rStyle w:val="FootnoteReference"/>
          <w:lang w:val="ru-RU"/>
        </w:rPr>
        <w:footnoteReference w:id="11"/>
      </w:r>
      <w:r w:rsidRPr="000B79EF">
        <w:rPr>
          <w:lang w:val="ru-RU"/>
        </w:rPr>
        <w:t>.</w:t>
      </w:r>
      <w:r w:rsidR="002B3170" w:rsidRPr="000B79EF">
        <w:rPr>
          <w:lang w:val="ru-RU"/>
        </w:rPr>
        <w:t xml:space="preserve"> </w:t>
      </w:r>
      <w:r w:rsidR="00A8042E">
        <w:rPr>
          <w:lang w:val="ru-RU"/>
        </w:rPr>
        <w:t>Ввиду</w:t>
      </w:r>
      <w:r w:rsidRPr="000B79EF">
        <w:rPr>
          <w:lang w:val="ru-RU"/>
        </w:rPr>
        <w:t xml:space="preserve"> </w:t>
      </w:r>
      <w:r w:rsidR="00A8042E">
        <w:rPr>
          <w:lang w:val="ru-RU"/>
        </w:rPr>
        <w:t>расширения практики</w:t>
      </w:r>
      <w:r w:rsidRPr="000B79EF">
        <w:rPr>
          <w:lang w:val="ru-RU"/>
        </w:rPr>
        <w:t xml:space="preserve"> </w:t>
      </w:r>
      <w:r w:rsidR="0042665F">
        <w:rPr>
          <w:lang w:val="ru-RU"/>
        </w:rPr>
        <w:t>урегулирования споров по условиям</w:t>
      </w:r>
      <w:r w:rsidR="00A8042E" w:rsidRPr="00A8042E">
        <w:rPr>
          <w:lang w:val="ru-RU"/>
        </w:rPr>
        <w:t xml:space="preserve"> </w:t>
      </w:r>
      <w:r w:rsidR="0042665F" w:rsidRPr="00A8042E">
        <w:rPr>
          <w:lang w:val="ru-RU"/>
        </w:rPr>
        <w:t xml:space="preserve">FRAND </w:t>
      </w:r>
      <w:r w:rsidR="0042665F">
        <w:rPr>
          <w:lang w:val="ru-RU"/>
        </w:rPr>
        <w:t>согласно процедурам</w:t>
      </w:r>
      <w:r w:rsidR="00A8042E" w:rsidRPr="00A8042E">
        <w:rPr>
          <w:lang w:val="ru-RU"/>
        </w:rPr>
        <w:t xml:space="preserve"> АУС ВОИС</w:t>
      </w:r>
      <w:r w:rsidRPr="000B79EF">
        <w:rPr>
          <w:lang w:val="ru-RU"/>
        </w:rPr>
        <w:t xml:space="preserve">, включая дела, находящиеся на рассмотрении в судах, Центр </w:t>
      </w:r>
      <w:r w:rsidR="00A8042E">
        <w:rPr>
          <w:lang w:val="ru-RU"/>
        </w:rPr>
        <w:t>предлагает</w:t>
      </w:r>
      <w:r w:rsidRPr="000B79EF">
        <w:rPr>
          <w:lang w:val="ru-RU"/>
        </w:rPr>
        <w:t xml:space="preserve"> </w:t>
      </w:r>
      <w:r w:rsidR="00DF39ED" w:rsidRPr="000B79EF">
        <w:rPr>
          <w:lang w:val="ru-RU"/>
        </w:rPr>
        <w:t>Руководство по использованию механизмов АУС ВОИС для определения условий FRAND</w:t>
      </w:r>
      <w:r w:rsidR="0042665F" w:rsidRPr="0042665F">
        <w:rPr>
          <w:rFonts w:eastAsia="SimSun" w:cs="Arial"/>
          <w:lang w:val="ru-RU" w:eastAsia="zh-CN"/>
        </w:rPr>
        <w:t xml:space="preserve"> </w:t>
      </w:r>
      <w:r w:rsidR="0042665F">
        <w:rPr>
          <w:rFonts w:eastAsia="SimSun" w:cs="Arial"/>
          <w:lang w:val="ru-RU" w:eastAsia="zh-CN"/>
        </w:rPr>
        <w:t xml:space="preserve">и недавно опубликовал анонимизированное резюме примеров </w:t>
      </w:r>
      <w:r w:rsidR="00304719">
        <w:rPr>
          <w:rFonts w:eastAsia="SimSun" w:cs="Arial"/>
          <w:lang w:val="ru-RU" w:eastAsia="zh-CN"/>
        </w:rPr>
        <w:t>рассмотрения</w:t>
      </w:r>
      <w:r w:rsidR="0042665F">
        <w:rPr>
          <w:rFonts w:eastAsia="SimSun" w:cs="Arial"/>
          <w:lang w:val="ru-RU" w:eastAsia="zh-CN"/>
        </w:rPr>
        <w:t xml:space="preserve"> </w:t>
      </w:r>
      <w:r w:rsidR="00304719" w:rsidRPr="00304719">
        <w:rPr>
          <w:rFonts w:eastAsia="SimSun" w:cs="Arial"/>
          <w:lang w:val="ru-RU" w:eastAsia="zh-CN"/>
        </w:rPr>
        <w:t>споров по условиям FRAND согласно процедурам АУС ВОИС</w:t>
      </w:r>
      <w:r w:rsidR="00630C1D" w:rsidRPr="000B79EF">
        <w:rPr>
          <w:rStyle w:val="FootnoteReference"/>
          <w:lang w:val="ru-RU"/>
        </w:rPr>
        <w:footnoteReference w:id="12"/>
      </w:r>
      <w:r w:rsidR="0042665F">
        <w:rPr>
          <w:lang w:val="ru-RU"/>
        </w:rPr>
        <w:t>.</w:t>
      </w:r>
    </w:p>
    <w:p w14:paraId="0D61AD16" w14:textId="56BC8869" w:rsidR="00304719" w:rsidRPr="00CC1705" w:rsidRDefault="00304719" w:rsidP="00304719">
      <w:pPr>
        <w:pStyle w:val="ListParagraph"/>
        <w:widowControl w:val="0"/>
        <w:numPr>
          <w:ilvl w:val="0"/>
          <w:numId w:val="7"/>
        </w:numPr>
        <w:spacing w:after="240"/>
        <w:ind w:left="0" w:firstLine="0"/>
        <w:contextualSpacing w:val="0"/>
        <w:rPr>
          <w:lang w:val="ru-RU"/>
        </w:rPr>
      </w:pPr>
      <w:r w:rsidRPr="00304719">
        <w:rPr>
          <w:lang w:val="ru-RU"/>
        </w:rPr>
        <w:t xml:space="preserve">Пятнадцать процентов дел, поданных в Центр </w:t>
      </w:r>
      <w:r>
        <w:rPr>
          <w:lang w:val="ru-RU"/>
        </w:rPr>
        <w:t xml:space="preserve">по процедуре </w:t>
      </w:r>
      <w:r w:rsidRPr="00304719">
        <w:rPr>
          <w:lang w:val="ru-RU"/>
        </w:rPr>
        <w:t>посредничес</w:t>
      </w:r>
      <w:r>
        <w:rPr>
          <w:lang w:val="ru-RU"/>
        </w:rPr>
        <w:t>тва</w:t>
      </w:r>
      <w:r w:rsidRPr="00304719">
        <w:rPr>
          <w:lang w:val="ru-RU"/>
        </w:rPr>
        <w:t xml:space="preserve"> и арбитраж</w:t>
      </w:r>
      <w:r>
        <w:rPr>
          <w:lang w:val="ru-RU"/>
        </w:rPr>
        <w:t>а</w:t>
      </w:r>
      <w:r w:rsidRPr="00304719">
        <w:rPr>
          <w:lang w:val="ru-RU"/>
        </w:rPr>
        <w:t xml:space="preserve">, связаны с науками о жизни. В </w:t>
      </w:r>
      <w:r>
        <w:rPr>
          <w:lang w:val="ru-RU"/>
        </w:rPr>
        <w:t>рассматриваемый</w:t>
      </w:r>
      <w:r w:rsidRPr="00304719">
        <w:rPr>
          <w:lang w:val="ru-RU"/>
        </w:rPr>
        <w:t xml:space="preserve"> период в рамках программы </w:t>
      </w:r>
      <w:r>
        <w:rPr>
          <w:lang w:val="ru-RU"/>
        </w:rPr>
        <w:t>«</w:t>
      </w:r>
      <w:r w:rsidRPr="00304719">
        <w:rPr>
          <w:lang w:val="ru-RU"/>
        </w:rPr>
        <w:t>Услуги и поддержка ВОИС в связи с COVID-19</w:t>
      </w:r>
      <w:r>
        <w:rPr>
          <w:lang w:val="ru-RU"/>
        </w:rPr>
        <w:t>»</w:t>
      </w:r>
      <w:r w:rsidRPr="00304719">
        <w:rPr>
          <w:lang w:val="ru-RU"/>
        </w:rPr>
        <w:t xml:space="preserve"> Центр разработал и </w:t>
      </w:r>
      <w:r>
        <w:rPr>
          <w:lang w:val="ru-RU"/>
        </w:rPr>
        <w:t>задействовал</w:t>
      </w:r>
      <w:r w:rsidRPr="00304719">
        <w:rPr>
          <w:lang w:val="ru-RU"/>
        </w:rPr>
        <w:t xml:space="preserve"> новые варианты </w:t>
      </w:r>
      <w:r>
        <w:rPr>
          <w:lang w:val="ru-RU"/>
        </w:rPr>
        <w:t>АУС</w:t>
      </w:r>
      <w:r w:rsidRPr="00304719">
        <w:rPr>
          <w:lang w:val="ru-RU"/>
        </w:rPr>
        <w:t xml:space="preserve"> ВОИС для облегчения </w:t>
      </w:r>
      <w:r>
        <w:rPr>
          <w:lang w:val="ru-RU"/>
        </w:rPr>
        <w:t>согласования договорных условий</w:t>
      </w:r>
      <w:r w:rsidRPr="00304719">
        <w:rPr>
          <w:lang w:val="ru-RU"/>
        </w:rPr>
        <w:t xml:space="preserve"> </w:t>
      </w:r>
      <w:r w:rsidR="00CC1705" w:rsidRPr="00304719">
        <w:rPr>
          <w:lang w:val="ru-RU"/>
        </w:rPr>
        <w:t xml:space="preserve">и урегулирования споров </w:t>
      </w:r>
      <w:r w:rsidRPr="00304719">
        <w:rPr>
          <w:lang w:val="ru-RU"/>
        </w:rPr>
        <w:t>в области наук о жизни</w:t>
      </w:r>
      <w:r w:rsidRPr="000667E7">
        <w:rPr>
          <w:rStyle w:val="FootnoteReference"/>
          <w:rFonts w:eastAsia="SimSun"/>
        </w:rPr>
        <w:footnoteReference w:id="13"/>
      </w:r>
      <w:r w:rsidR="00CC1705">
        <w:rPr>
          <w:lang w:val="ru-RU"/>
        </w:rPr>
        <w:t>.</w:t>
      </w:r>
    </w:p>
    <w:p w14:paraId="4157B3D4" w14:textId="29650B17" w:rsidR="00630C1D" w:rsidRPr="00DD1CEF" w:rsidRDefault="00CC1705" w:rsidP="00DD1CEF">
      <w:pPr>
        <w:pStyle w:val="ListParagraph"/>
        <w:widowControl w:val="0"/>
        <w:numPr>
          <w:ilvl w:val="0"/>
          <w:numId w:val="7"/>
        </w:numPr>
        <w:spacing w:after="240"/>
        <w:ind w:left="0" w:firstLine="0"/>
        <w:contextualSpacing w:val="0"/>
        <w:rPr>
          <w:lang w:val="ru-RU"/>
        </w:rPr>
      </w:pPr>
      <w:r>
        <w:rPr>
          <w:szCs w:val="22"/>
          <w:lang w:val="ru-RU"/>
        </w:rPr>
        <w:t>Ввиду роста числа</w:t>
      </w:r>
      <w:r w:rsidRPr="00CC1705">
        <w:rPr>
          <w:szCs w:val="22"/>
          <w:lang w:val="ru-RU"/>
        </w:rPr>
        <w:t xml:space="preserve"> </w:t>
      </w:r>
      <w:r>
        <w:rPr>
          <w:szCs w:val="22"/>
          <w:lang w:val="ru-RU"/>
        </w:rPr>
        <w:t xml:space="preserve">передаваемых в Центр </w:t>
      </w:r>
      <w:r w:rsidRPr="00CC1705">
        <w:rPr>
          <w:szCs w:val="22"/>
          <w:lang w:val="ru-RU"/>
        </w:rPr>
        <w:t xml:space="preserve">споров </w:t>
      </w:r>
      <w:r>
        <w:rPr>
          <w:szCs w:val="22"/>
          <w:lang w:val="ru-RU"/>
        </w:rPr>
        <w:t>в связи с</w:t>
      </w:r>
      <w:r w:rsidRPr="00CC1705">
        <w:rPr>
          <w:szCs w:val="22"/>
          <w:lang w:val="ru-RU"/>
        </w:rPr>
        <w:t xml:space="preserve"> цифровым</w:t>
      </w:r>
      <w:r>
        <w:rPr>
          <w:szCs w:val="22"/>
          <w:lang w:val="ru-RU"/>
        </w:rPr>
        <w:t>и</w:t>
      </w:r>
      <w:r w:rsidRPr="00CC1705">
        <w:rPr>
          <w:szCs w:val="22"/>
          <w:lang w:val="ru-RU"/>
        </w:rPr>
        <w:t xml:space="preserve"> авторским</w:t>
      </w:r>
      <w:r>
        <w:rPr>
          <w:szCs w:val="22"/>
          <w:lang w:val="ru-RU"/>
        </w:rPr>
        <w:t>и</w:t>
      </w:r>
      <w:r w:rsidRPr="00CC1705">
        <w:rPr>
          <w:szCs w:val="22"/>
          <w:lang w:val="ru-RU"/>
        </w:rPr>
        <w:t xml:space="preserve"> правам</w:t>
      </w:r>
      <w:r>
        <w:rPr>
          <w:szCs w:val="22"/>
          <w:lang w:val="ru-RU"/>
        </w:rPr>
        <w:t>и</w:t>
      </w:r>
      <w:r w:rsidRPr="00CC1705">
        <w:rPr>
          <w:szCs w:val="22"/>
          <w:lang w:val="ru-RU"/>
        </w:rPr>
        <w:t xml:space="preserve"> (24</w:t>
      </w:r>
      <w:r>
        <w:rPr>
          <w:szCs w:val="22"/>
          <w:lang w:val="ru-RU"/>
        </w:rPr>
        <w:t xml:space="preserve"> процента</w:t>
      </w:r>
      <w:r w:rsidRPr="00CC1705">
        <w:rPr>
          <w:szCs w:val="22"/>
          <w:lang w:val="ru-RU"/>
        </w:rPr>
        <w:t xml:space="preserve"> дел, рассматриваемых в рамках </w:t>
      </w:r>
      <w:r>
        <w:rPr>
          <w:szCs w:val="22"/>
          <w:lang w:val="ru-RU"/>
        </w:rPr>
        <w:t>процедур посредничества</w:t>
      </w:r>
      <w:r w:rsidRPr="00CC1705">
        <w:rPr>
          <w:szCs w:val="22"/>
          <w:lang w:val="ru-RU"/>
        </w:rPr>
        <w:t xml:space="preserve"> и арбитража), Центр провел Опрос ВОИС-MCST об использовании механизмов АУС для урегулирования споров, связанных с авторским правом и контентом в цифровой среде, между коммерческими предприятиями (B2B)</w:t>
      </w:r>
      <w:r>
        <w:rPr>
          <w:szCs w:val="22"/>
          <w:lang w:val="ru-RU"/>
        </w:rPr>
        <w:t>,</w:t>
      </w:r>
      <w:r w:rsidRPr="00CC1705">
        <w:rPr>
          <w:szCs w:val="22"/>
          <w:lang w:val="ru-RU"/>
        </w:rPr>
        <w:t xml:space="preserve"> в </w:t>
      </w:r>
      <w:r>
        <w:rPr>
          <w:szCs w:val="22"/>
          <w:lang w:val="ru-RU"/>
        </w:rPr>
        <w:t>котором приняли участие более 1</w:t>
      </w:r>
      <w:r w:rsidRPr="00CC1705">
        <w:rPr>
          <w:szCs w:val="22"/>
          <w:lang w:val="ru-RU"/>
        </w:rPr>
        <w:t xml:space="preserve">000 человек. Отчет Центра о проведенном опросе дает представление о таких спорах в различных отраслях на международном уровне, включая использование </w:t>
      </w:r>
      <w:r w:rsidR="00DD1CEF">
        <w:rPr>
          <w:szCs w:val="22"/>
          <w:lang w:val="ru-RU"/>
        </w:rPr>
        <w:t xml:space="preserve">в настоящее </w:t>
      </w:r>
      <w:r w:rsidR="00DD1CEF">
        <w:rPr>
          <w:szCs w:val="22"/>
          <w:lang w:val="ru-RU"/>
        </w:rPr>
        <w:lastRenderedPageBreak/>
        <w:t xml:space="preserve">время процедур </w:t>
      </w:r>
      <w:r w:rsidRPr="00CC1705">
        <w:rPr>
          <w:szCs w:val="22"/>
          <w:lang w:val="ru-RU"/>
        </w:rPr>
        <w:t>посредничества и арбитража вместо судебного разбирательства для разрешения таких споров</w:t>
      </w:r>
      <w:r w:rsidR="00304719">
        <w:rPr>
          <w:rStyle w:val="FootnoteReference"/>
          <w:rFonts w:eastAsia="SimSun"/>
          <w:szCs w:val="22"/>
        </w:rPr>
        <w:footnoteReference w:id="14"/>
      </w:r>
      <w:r w:rsidR="00DD1CEF">
        <w:rPr>
          <w:szCs w:val="22"/>
          <w:lang w:val="ru-RU"/>
        </w:rPr>
        <w:t>.</w:t>
      </w:r>
      <w:r w:rsidR="00304719" w:rsidRPr="00DD1CEF">
        <w:rPr>
          <w:szCs w:val="22"/>
          <w:lang w:val="ru-RU"/>
        </w:rPr>
        <w:t xml:space="preserve"> </w:t>
      </w:r>
      <w:r w:rsidR="00DD1CEF" w:rsidRPr="00DD1CEF">
        <w:rPr>
          <w:szCs w:val="22"/>
          <w:lang w:val="ru-RU"/>
        </w:rPr>
        <w:t xml:space="preserve">Опрос и отчет </w:t>
      </w:r>
      <w:r w:rsidR="0051423F">
        <w:rPr>
          <w:szCs w:val="22"/>
          <w:lang w:val="ru-RU"/>
        </w:rPr>
        <w:t>послужили подспорьем в</w:t>
      </w:r>
      <w:r w:rsidR="00DD1CEF" w:rsidRPr="00DD1CEF">
        <w:rPr>
          <w:szCs w:val="22"/>
          <w:lang w:val="ru-RU"/>
        </w:rPr>
        <w:t xml:space="preserve"> </w:t>
      </w:r>
      <w:r w:rsidR="00DD1CEF">
        <w:rPr>
          <w:szCs w:val="22"/>
          <w:lang w:val="ru-RU"/>
        </w:rPr>
        <w:t>про</w:t>
      </w:r>
      <w:r w:rsidR="00DD1CEF" w:rsidRPr="00DD1CEF">
        <w:rPr>
          <w:szCs w:val="22"/>
          <w:lang w:val="ru-RU"/>
        </w:rPr>
        <w:t>работ</w:t>
      </w:r>
      <w:r w:rsidR="0051423F">
        <w:rPr>
          <w:szCs w:val="22"/>
          <w:lang w:val="ru-RU"/>
        </w:rPr>
        <w:t>ке</w:t>
      </w:r>
      <w:r w:rsidR="00DD1CEF" w:rsidRPr="00DD1CEF">
        <w:rPr>
          <w:szCs w:val="22"/>
          <w:lang w:val="ru-RU"/>
        </w:rPr>
        <w:t xml:space="preserve"> оптимальн</w:t>
      </w:r>
      <w:r w:rsidR="0051423F">
        <w:rPr>
          <w:szCs w:val="22"/>
          <w:lang w:val="ru-RU"/>
        </w:rPr>
        <w:t>ой</w:t>
      </w:r>
      <w:r w:rsidR="00DD1CEF" w:rsidRPr="00DD1CEF">
        <w:rPr>
          <w:szCs w:val="22"/>
          <w:lang w:val="ru-RU"/>
        </w:rPr>
        <w:t xml:space="preserve"> практик</w:t>
      </w:r>
      <w:r w:rsidR="0051423F">
        <w:rPr>
          <w:szCs w:val="22"/>
          <w:lang w:val="ru-RU"/>
        </w:rPr>
        <w:t>и</w:t>
      </w:r>
      <w:r w:rsidR="00DD1CEF" w:rsidRPr="00DD1CEF">
        <w:rPr>
          <w:szCs w:val="22"/>
          <w:lang w:val="ru-RU"/>
        </w:rPr>
        <w:t xml:space="preserve"> </w:t>
      </w:r>
      <w:r w:rsidR="00DD1CEF">
        <w:rPr>
          <w:szCs w:val="22"/>
          <w:lang w:val="ru-RU"/>
        </w:rPr>
        <w:t>АУС</w:t>
      </w:r>
      <w:r w:rsidR="00DD1CEF" w:rsidRPr="00DD1CEF">
        <w:rPr>
          <w:szCs w:val="22"/>
          <w:lang w:val="ru-RU"/>
        </w:rPr>
        <w:t xml:space="preserve"> для споров, связанных с авторским правом и контентом в цифровой среде, с учетом соответствующего законодательства и существую</w:t>
      </w:r>
      <w:r w:rsidR="00DD1CEF">
        <w:rPr>
          <w:szCs w:val="22"/>
          <w:lang w:val="ru-RU"/>
        </w:rPr>
        <w:t>щей договорной практики</w:t>
      </w:r>
      <w:r w:rsidR="00304719" w:rsidRPr="00C829C7">
        <w:rPr>
          <w:rStyle w:val="FootnoteReference"/>
          <w:rFonts w:eastAsia="SimSun"/>
          <w:szCs w:val="22"/>
        </w:rPr>
        <w:footnoteReference w:id="15"/>
      </w:r>
      <w:r w:rsidR="00DD1CEF">
        <w:rPr>
          <w:szCs w:val="22"/>
          <w:lang w:val="ru-RU"/>
        </w:rPr>
        <w:t>.</w:t>
      </w:r>
      <w:r w:rsidR="00304719" w:rsidRPr="00DD1CEF">
        <w:rPr>
          <w:szCs w:val="22"/>
          <w:lang w:val="ru-RU"/>
        </w:rPr>
        <w:t xml:space="preserve"> </w:t>
      </w:r>
      <w:r w:rsidR="00630C1D" w:rsidRPr="00DD1CEF">
        <w:rPr>
          <w:lang w:val="ru-RU"/>
        </w:rPr>
        <w:t xml:space="preserve"> </w:t>
      </w:r>
    </w:p>
    <w:p w14:paraId="5C9A97EB" w14:textId="4B88F538" w:rsidR="00110FCD" w:rsidRPr="000B79EF" w:rsidRDefault="00110FCD" w:rsidP="00CA1DB0">
      <w:pPr>
        <w:pStyle w:val="ListParagraph"/>
        <w:widowControl w:val="0"/>
        <w:spacing w:after="240"/>
        <w:ind w:left="1131" w:hanging="564"/>
        <w:contextualSpacing w:val="0"/>
        <w:rPr>
          <w:lang w:val="ru-RU"/>
        </w:rPr>
      </w:pPr>
      <w:r w:rsidRPr="000B79EF">
        <w:rPr>
          <w:lang w:val="ru-RU"/>
        </w:rPr>
        <w:t>B.</w:t>
      </w:r>
      <w:r w:rsidRPr="000B79EF">
        <w:rPr>
          <w:lang w:val="ru-RU"/>
        </w:rPr>
        <w:tab/>
      </w:r>
      <w:r w:rsidR="00CA1DB0" w:rsidRPr="000B79EF">
        <w:rPr>
          <w:lang w:val="ru-RU"/>
        </w:rPr>
        <w:t>СОТРУДНИЧЕСТВО С ВЕДОМСТВАМИ ИНТЕЛЛЕКТУАЛЬНОЙ СОБСТВЕННОСТИ</w:t>
      </w:r>
    </w:p>
    <w:p w14:paraId="31C2EC49" w14:textId="5B15FB1D" w:rsidR="00053A12" w:rsidRPr="000B79EF" w:rsidRDefault="00CA1DB0" w:rsidP="006942C5">
      <w:pPr>
        <w:pStyle w:val="ListParagraph"/>
        <w:widowControl w:val="0"/>
        <w:numPr>
          <w:ilvl w:val="0"/>
          <w:numId w:val="7"/>
        </w:numPr>
        <w:spacing w:after="240"/>
        <w:ind w:left="0" w:firstLine="0"/>
        <w:contextualSpacing w:val="0"/>
        <w:rPr>
          <w:szCs w:val="22"/>
          <w:lang w:val="ru-RU"/>
        </w:rPr>
      </w:pPr>
      <w:r w:rsidRPr="000B79EF">
        <w:rPr>
          <w:lang w:val="ru-RU"/>
        </w:rPr>
        <w:t>Еще одна ключевая сфера деятельности Центра — это взаимодействие с ведомствами ИС и авторского права (ВИС) и судами</w:t>
      </w:r>
      <w:r w:rsidR="0084406A" w:rsidRPr="0084406A">
        <w:rPr>
          <w:vertAlign w:val="superscript"/>
        </w:rPr>
        <w:footnoteReference w:id="16"/>
      </w:r>
      <w:r w:rsidR="006858F8" w:rsidRPr="000B79EF">
        <w:rPr>
          <w:lang w:val="ru-RU"/>
        </w:rPr>
        <w:t xml:space="preserve">. </w:t>
      </w:r>
      <w:r w:rsidRPr="000B79EF">
        <w:rPr>
          <w:lang w:val="ru-RU"/>
        </w:rPr>
        <w:t>За время, прошедшее после Ассамблей 202</w:t>
      </w:r>
      <w:r w:rsidR="00B1685E">
        <w:rPr>
          <w:lang w:val="ru-RU"/>
        </w:rPr>
        <w:t>1</w:t>
      </w:r>
      <w:r w:rsidRPr="000B79EF">
        <w:rPr>
          <w:lang w:val="ru-RU"/>
        </w:rPr>
        <w:t xml:space="preserve"> г., Центр наладил сотрудничество </w:t>
      </w:r>
      <w:r w:rsidR="00B1685E">
        <w:rPr>
          <w:lang w:val="ru-RU"/>
        </w:rPr>
        <w:t xml:space="preserve">в рамках четырех новых проектов </w:t>
      </w:r>
      <w:r w:rsidRPr="000B79EF">
        <w:rPr>
          <w:lang w:val="ru-RU"/>
        </w:rPr>
        <w:t xml:space="preserve">с ведомствами ИС </w:t>
      </w:r>
      <w:r w:rsidR="00B1685E">
        <w:rPr>
          <w:lang w:val="ru-RU"/>
        </w:rPr>
        <w:t>в</w:t>
      </w:r>
      <w:r w:rsidRPr="000B79EF">
        <w:rPr>
          <w:lang w:val="ru-RU"/>
        </w:rPr>
        <w:t xml:space="preserve"> государств</w:t>
      </w:r>
      <w:r w:rsidR="00B1685E">
        <w:rPr>
          <w:lang w:val="ru-RU"/>
        </w:rPr>
        <w:t>ах</w:t>
      </w:r>
      <w:r w:rsidRPr="000B79EF">
        <w:rPr>
          <w:lang w:val="ru-RU"/>
        </w:rPr>
        <w:t>-член</w:t>
      </w:r>
      <w:r w:rsidR="00B1685E">
        <w:rPr>
          <w:lang w:val="ru-RU"/>
        </w:rPr>
        <w:t>ах</w:t>
      </w:r>
      <w:r w:rsidR="00B1685E" w:rsidRPr="00076231">
        <w:rPr>
          <w:rStyle w:val="FootnoteReference"/>
          <w:rFonts w:eastAsia="SimSun"/>
          <w:szCs w:val="22"/>
          <w:shd w:val="clear" w:color="auto" w:fill="FFFFFF" w:themeFill="background1"/>
        </w:rPr>
        <w:footnoteReference w:id="17"/>
      </w:r>
      <w:r w:rsidRPr="000B79EF">
        <w:rPr>
          <w:lang w:val="ru-RU"/>
        </w:rPr>
        <w:t>.</w:t>
      </w:r>
      <w:r w:rsidR="006858F8" w:rsidRPr="000B79EF">
        <w:rPr>
          <w:lang w:val="ru-RU"/>
        </w:rPr>
        <w:t xml:space="preserve"> </w:t>
      </w:r>
      <w:r w:rsidRPr="000B79EF">
        <w:rPr>
          <w:lang w:val="ru-RU"/>
        </w:rPr>
        <w:t xml:space="preserve">Цель такого сотрудничества — способствовать более широкому использованию </w:t>
      </w:r>
      <w:r w:rsidR="00AA60E3">
        <w:rPr>
          <w:lang w:val="ru-RU"/>
        </w:rPr>
        <w:t xml:space="preserve">позволяющих снижать затраты времени и средств </w:t>
      </w:r>
      <w:r w:rsidRPr="000B79EF">
        <w:rPr>
          <w:lang w:val="ru-RU"/>
        </w:rPr>
        <w:t xml:space="preserve">механизмов АУС для </w:t>
      </w:r>
      <w:r w:rsidR="00947E24">
        <w:rPr>
          <w:lang w:val="ru-RU"/>
        </w:rPr>
        <w:t>урегулирования</w:t>
      </w:r>
      <w:r w:rsidRPr="000B79EF">
        <w:rPr>
          <w:lang w:val="ru-RU"/>
        </w:rPr>
        <w:t xml:space="preserve"> споров, связанных с технологиями и ИС, во внесудебном порядке или при участии других учреждений, занимающихся разрешением споров</w:t>
      </w:r>
      <w:r w:rsidR="00110FCD" w:rsidRPr="000B79EF">
        <w:rPr>
          <w:szCs w:val="22"/>
          <w:lang w:val="ru-RU"/>
        </w:rPr>
        <w:t xml:space="preserve">. </w:t>
      </w:r>
      <w:r w:rsidRPr="000B79EF">
        <w:rPr>
          <w:lang w:val="ru-RU"/>
        </w:rPr>
        <w:t>На протяжении этого периода такое сотрудничество включало подготовку для заинтересованных сторон информационных материалов о вариантах АУС, в частности о рассмотрении споров в онлайновом режиме, с учетом потребностей стран</w:t>
      </w:r>
      <w:r w:rsidR="00947E24">
        <w:rPr>
          <w:lang w:val="ru-RU"/>
        </w:rPr>
        <w:t xml:space="preserve"> и</w:t>
      </w:r>
      <w:r w:rsidRPr="000B79EF">
        <w:rPr>
          <w:lang w:val="ru-RU"/>
        </w:rPr>
        <w:t xml:space="preserve"> организацию обучения и совместных мероприятий для заинтересованных сторон</w:t>
      </w:r>
      <w:r w:rsidR="00110FCD" w:rsidRPr="000B79EF">
        <w:rPr>
          <w:rStyle w:val="FootnoteReference"/>
          <w:szCs w:val="22"/>
          <w:lang w:val="ru-RU"/>
        </w:rPr>
        <w:footnoteReference w:id="18"/>
      </w:r>
      <w:r w:rsidR="00110FCD" w:rsidRPr="000B79EF">
        <w:rPr>
          <w:szCs w:val="22"/>
          <w:lang w:val="ru-RU"/>
        </w:rPr>
        <w:t>.</w:t>
      </w:r>
    </w:p>
    <w:p w14:paraId="1DEF8529" w14:textId="62E3DA63" w:rsidR="00110FCD" w:rsidRPr="000B79EF" w:rsidRDefault="00F23268" w:rsidP="00110FCD">
      <w:pPr>
        <w:pStyle w:val="ListParagraph"/>
        <w:widowControl w:val="0"/>
        <w:numPr>
          <w:ilvl w:val="0"/>
          <w:numId w:val="7"/>
        </w:numPr>
        <w:shd w:val="clear" w:color="auto" w:fill="FFFFFF" w:themeFill="background1"/>
        <w:spacing w:after="240"/>
        <w:ind w:left="0" w:firstLine="0"/>
        <w:contextualSpacing w:val="0"/>
        <w:rPr>
          <w:szCs w:val="22"/>
          <w:lang w:val="ru-RU"/>
        </w:rPr>
      </w:pPr>
      <w:r w:rsidRPr="000B79EF">
        <w:rPr>
          <w:lang w:val="ru-RU"/>
        </w:rPr>
        <w:t>Некоторые ведомства ИС разработали процедуры АУС или рекомендуют сторонам использовать подобные процедуры</w:t>
      </w:r>
      <w:r w:rsidR="00110FCD" w:rsidRPr="000B79EF">
        <w:rPr>
          <w:szCs w:val="22"/>
          <w:lang w:val="ru-RU"/>
        </w:rPr>
        <w:t xml:space="preserve"> </w:t>
      </w:r>
      <w:r w:rsidRPr="000B79EF">
        <w:rPr>
          <w:lang w:val="ru-RU"/>
        </w:rPr>
        <w:t>для тех разбирательств, которые они ведут, в частности связанны</w:t>
      </w:r>
      <w:r w:rsidR="00E93F65">
        <w:rPr>
          <w:lang w:val="ru-RU"/>
        </w:rPr>
        <w:t>х</w:t>
      </w:r>
      <w:r w:rsidRPr="000B79EF">
        <w:rPr>
          <w:lang w:val="ru-RU"/>
        </w:rPr>
        <w:t xml:space="preserve"> с возражениями в отношении патентов и товарных знаков</w:t>
      </w:r>
      <w:r w:rsidR="00110FCD" w:rsidRPr="000B79EF">
        <w:rPr>
          <w:szCs w:val="22"/>
          <w:lang w:val="ru-RU"/>
        </w:rPr>
        <w:t xml:space="preserve">. </w:t>
      </w:r>
      <w:r w:rsidRPr="000B79EF">
        <w:rPr>
          <w:lang w:val="ru-RU"/>
        </w:rPr>
        <w:t xml:space="preserve">Центр сотрудничал с ВИС в </w:t>
      </w:r>
      <w:r w:rsidR="000F67E9">
        <w:rPr>
          <w:lang w:val="ru-RU"/>
        </w:rPr>
        <w:t xml:space="preserve">вопросах </w:t>
      </w:r>
      <w:r w:rsidRPr="000B79EF">
        <w:rPr>
          <w:lang w:val="ru-RU"/>
        </w:rPr>
        <w:t>разработк</w:t>
      </w:r>
      <w:r w:rsidR="000F67E9">
        <w:rPr>
          <w:lang w:val="ru-RU"/>
        </w:rPr>
        <w:t>и</w:t>
      </w:r>
      <w:r w:rsidRPr="000B79EF">
        <w:rPr>
          <w:lang w:val="ru-RU"/>
        </w:rPr>
        <w:t xml:space="preserve"> механизмов посредничеств</w:t>
      </w:r>
      <w:r w:rsidR="00947E24">
        <w:rPr>
          <w:lang w:val="ru-RU"/>
        </w:rPr>
        <w:t>а</w:t>
      </w:r>
      <w:r w:rsidRPr="000B79EF">
        <w:rPr>
          <w:lang w:val="ru-RU"/>
        </w:rPr>
        <w:t xml:space="preserve"> </w:t>
      </w:r>
      <w:r w:rsidR="000F67E9">
        <w:rPr>
          <w:lang w:val="ru-RU"/>
        </w:rPr>
        <w:t>для</w:t>
      </w:r>
      <w:r w:rsidR="00947E24">
        <w:rPr>
          <w:lang w:val="ru-RU"/>
        </w:rPr>
        <w:t xml:space="preserve"> таких процедур</w:t>
      </w:r>
      <w:r w:rsidR="00110FCD" w:rsidRPr="000B79EF">
        <w:rPr>
          <w:szCs w:val="22"/>
          <w:lang w:val="ru-RU"/>
        </w:rPr>
        <w:t xml:space="preserve"> </w:t>
      </w:r>
      <w:r w:rsidR="00947E24">
        <w:rPr>
          <w:lang w:val="ru-RU"/>
        </w:rPr>
        <w:t>и при</w:t>
      </w:r>
      <w:r w:rsidRPr="000B79EF">
        <w:rPr>
          <w:lang w:val="ru-RU"/>
        </w:rPr>
        <w:t xml:space="preserve"> рассмотрении исков, подаваемых сторонами в рамках таких механизмов</w:t>
      </w:r>
      <w:r w:rsidR="00110FCD" w:rsidRPr="000B79EF">
        <w:rPr>
          <w:rStyle w:val="FootnoteReference"/>
          <w:szCs w:val="22"/>
          <w:lang w:val="ru-RU"/>
        </w:rPr>
        <w:footnoteReference w:id="19"/>
      </w:r>
      <w:r w:rsidRPr="000B79EF">
        <w:rPr>
          <w:lang w:val="ru-RU"/>
        </w:rPr>
        <w:t>.</w:t>
      </w:r>
      <w:r w:rsidR="00110FCD" w:rsidRPr="000B79EF">
        <w:rPr>
          <w:szCs w:val="22"/>
          <w:lang w:val="ru-RU"/>
        </w:rPr>
        <w:t xml:space="preserve"> </w:t>
      </w:r>
      <w:r w:rsidRPr="000B79EF">
        <w:rPr>
          <w:szCs w:val="22"/>
          <w:lang w:val="ru-RU"/>
        </w:rPr>
        <w:t xml:space="preserve">В области авторского права некоторые ВИС используют процедуры АУС </w:t>
      </w:r>
      <w:r w:rsidRPr="000B79EF">
        <w:rPr>
          <w:szCs w:val="22"/>
          <w:lang w:val="ru-RU"/>
        </w:rPr>
        <w:lastRenderedPageBreak/>
        <w:t>для урегулирования споров и назначают Центр в качестве администратора</w:t>
      </w:r>
      <w:r w:rsidR="009B5DD7">
        <w:rPr>
          <w:szCs w:val="22"/>
          <w:lang w:val="ru-RU"/>
        </w:rPr>
        <w:t xml:space="preserve"> или одного из администраторов</w:t>
      </w:r>
      <w:r w:rsidRPr="000B79EF">
        <w:rPr>
          <w:szCs w:val="22"/>
          <w:lang w:val="ru-RU"/>
        </w:rPr>
        <w:t xml:space="preserve"> при урегулировании споров</w:t>
      </w:r>
      <w:r w:rsidR="009B5DD7">
        <w:rPr>
          <w:szCs w:val="22"/>
          <w:lang w:val="ru-RU"/>
        </w:rPr>
        <w:t xml:space="preserve"> между ОКУ или другими владельцами авторских прав и пользователями</w:t>
      </w:r>
      <w:r w:rsidR="00110FCD" w:rsidRPr="000B79EF">
        <w:rPr>
          <w:rStyle w:val="FootnoteReference"/>
          <w:szCs w:val="22"/>
          <w:lang w:val="ru-RU"/>
        </w:rPr>
        <w:footnoteReference w:id="20"/>
      </w:r>
      <w:r w:rsidRPr="000B79EF">
        <w:rPr>
          <w:szCs w:val="22"/>
          <w:lang w:val="ru-RU"/>
        </w:rPr>
        <w:t>.</w:t>
      </w:r>
      <w:r w:rsidR="00110FCD" w:rsidRPr="000B79EF">
        <w:rPr>
          <w:szCs w:val="22"/>
          <w:lang w:val="ru-RU"/>
        </w:rPr>
        <w:t xml:space="preserve">  </w:t>
      </w:r>
    </w:p>
    <w:p w14:paraId="08D44B2B" w14:textId="5B7321D7" w:rsidR="00110FCD" w:rsidRPr="000B79EF" w:rsidRDefault="00F960F7" w:rsidP="00110FCD">
      <w:pPr>
        <w:pStyle w:val="ListParagraph"/>
        <w:widowControl w:val="0"/>
        <w:numPr>
          <w:ilvl w:val="0"/>
          <w:numId w:val="7"/>
        </w:numPr>
        <w:spacing w:after="240"/>
        <w:ind w:left="0" w:firstLine="0"/>
        <w:contextualSpacing w:val="0"/>
        <w:rPr>
          <w:szCs w:val="22"/>
          <w:lang w:val="ru-RU"/>
        </w:rPr>
      </w:pPr>
      <w:r w:rsidRPr="000B79EF">
        <w:rPr>
          <w:szCs w:val="22"/>
          <w:lang w:val="ru-RU"/>
        </w:rPr>
        <w:t xml:space="preserve">Кроме того, Центр сотрудничает с ВИС, участвуя в </w:t>
      </w:r>
      <w:r w:rsidRPr="000B79EF">
        <w:rPr>
          <w:lang w:val="ru-RU"/>
        </w:rPr>
        <w:t>разработке типовых соглашений в области НИОКР, содержащих положения об урегулировании споров с применением механизмов посредничества и ускоренного арбитража ВОИС</w:t>
      </w:r>
      <w:r w:rsidR="00110FCD" w:rsidRPr="000B79EF">
        <w:rPr>
          <w:rStyle w:val="FootnoteReference"/>
          <w:lang w:val="ru-RU"/>
        </w:rPr>
        <w:footnoteReference w:id="21"/>
      </w:r>
      <w:r w:rsidRPr="000B79EF">
        <w:rPr>
          <w:lang w:val="ru-RU"/>
        </w:rPr>
        <w:t>.</w:t>
      </w:r>
    </w:p>
    <w:p w14:paraId="535458DB" w14:textId="4CF7A11E" w:rsidR="00630C1D" w:rsidRPr="000B79EF" w:rsidRDefault="00F960F7" w:rsidP="00630C1D">
      <w:pPr>
        <w:pStyle w:val="ListParagraph"/>
        <w:numPr>
          <w:ilvl w:val="0"/>
          <w:numId w:val="7"/>
        </w:numPr>
        <w:spacing w:after="240"/>
        <w:ind w:left="0" w:firstLine="0"/>
        <w:contextualSpacing w:val="0"/>
        <w:rPr>
          <w:szCs w:val="22"/>
          <w:lang w:val="ru-RU"/>
        </w:rPr>
      </w:pPr>
      <w:r w:rsidRPr="000B79EF">
        <w:rPr>
          <w:szCs w:val="22"/>
          <w:lang w:val="ru-RU"/>
        </w:rPr>
        <w:t>Центр также сотрудничает с растущим числом судов, чтобы облегчить передачу ВОИС споров, которые стороны хотят урегулировать в порядке посредничества</w:t>
      </w:r>
      <w:r w:rsidR="00630C1D" w:rsidRPr="000B79EF">
        <w:rPr>
          <w:rStyle w:val="FootnoteReference"/>
          <w:szCs w:val="22"/>
          <w:lang w:val="ru-RU"/>
        </w:rPr>
        <w:footnoteReference w:id="22"/>
      </w:r>
      <w:r w:rsidRPr="000B79EF">
        <w:rPr>
          <w:szCs w:val="22"/>
          <w:lang w:val="ru-RU"/>
        </w:rPr>
        <w:t>.</w:t>
      </w:r>
      <w:r w:rsidR="00630C1D" w:rsidRPr="000B79EF">
        <w:rPr>
          <w:szCs w:val="22"/>
          <w:lang w:val="ru-RU"/>
        </w:rPr>
        <w:t xml:space="preserve">  </w:t>
      </w:r>
    </w:p>
    <w:p w14:paraId="65E1B827" w14:textId="39DD0DA3" w:rsidR="00110FCD" w:rsidRPr="000B79EF" w:rsidRDefault="00266018" w:rsidP="00110FCD">
      <w:pPr>
        <w:pStyle w:val="ListParagraph"/>
        <w:numPr>
          <w:ilvl w:val="0"/>
          <w:numId w:val="7"/>
        </w:numPr>
        <w:spacing w:after="240"/>
        <w:ind w:left="0" w:firstLine="0"/>
        <w:contextualSpacing w:val="0"/>
        <w:rPr>
          <w:szCs w:val="22"/>
          <w:lang w:val="ru-RU"/>
        </w:rPr>
      </w:pPr>
      <w:r>
        <w:rPr>
          <w:lang w:val="ru-RU"/>
        </w:rPr>
        <w:t>С учетом такого увеличения объема накопленного опыта Центр опубликовал о</w:t>
      </w:r>
      <w:r w:rsidR="00D7472E" w:rsidRPr="000B79EF">
        <w:rPr>
          <w:lang w:val="ru-RU"/>
        </w:rPr>
        <w:t>бновленн</w:t>
      </w:r>
      <w:r>
        <w:rPr>
          <w:lang w:val="ru-RU"/>
        </w:rPr>
        <w:t>ый вариант</w:t>
      </w:r>
      <w:r w:rsidR="00D7472E" w:rsidRPr="000B79EF">
        <w:rPr>
          <w:lang w:val="ru-RU"/>
        </w:rPr>
        <w:t xml:space="preserve"> Руководство ВОИС по альтернативному урегулированию споров для ВИС и судебных органов</w:t>
      </w:r>
      <w:r>
        <w:rPr>
          <w:lang w:val="ru-RU"/>
        </w:rPr>
        <w:t>. В данном третьем издании Руководства</w:t>
      </w:r>
      <w:r w:rsidR="00D7472E" w:rsidRPr="000B79EF">
        <w:rPr>
          <w:lang w:val="ru-RU"/>
        </w:rPr>
        <w:t xml:space="preserve"> содержит</w:t>
      </w:r>
      <w:r>
        <w:rPr>
          <w:lang w:val="ru-RU"/>
        </w:rPr>
        <w:t>ся</w:t>
      </w:r>
      <w:r w:rsidR="00D7472E" w:rsidRPr="000B79EF">
        <w:rPr>
          <w:lang w:val="ru-RU"/>
        </w:rPr>
        <w:t xml:space="preserve"> общее описание механизмов АУС применительно к спорам, связанным с ИС, и заинтересованным ВИС и судебным органам </w:t>
      </w:r>
      <w:r w:rsidRPr="000B79EF">
        <w:rPr>
          <w:lang w:val="ru-RU"/>
        </w:rPr>
        <w:t>предлага</w:t>
      </w:r>
      <w:r>
        <w:rPr>
          <w:lang w:val="ru-RU"/>
        </w:rPr>
        <w:t>ются</w:t>
      </w:r>
      <w:r w:rsidRPr="000B79EF">
        <w:rPr>
          <w:lang w:val="ru-RU"/>
        </w:rPr>
        <w:t xml:space="preserve"> </w:t>
      </w:r>
      <w:r w:rsidR="00D7472E" w:rsidRPr="000B79EF">
        <w:rPr>
          <w:lang w:val="ru-RU"/>
        </w:rPr>
        <w:t xml:space="preserve">варианты интеграции АУС в </w:t>
      </w:r>
      <w:r>
        <w:rPr>
          <w:lang w:val="ru-RU"/>
        </w:rPr>
        <w:t>применяемые ими</w:t>
      </w:r>
      <w:r w:rsidR="00D7472E" w:rsidRPr="000B79EF">
        <w:rPr>
          <w:lang w:val="ru-RU"/>
        </w:rPr>
        <w:t xml:space="preserve"> процедуры</w:t>
      </w:r>
      <w:r w:rsidR="00110FCD" w:rsidRPr="000B79EF">
        <w:rPr>
          <w:rStyle w:val="FootnoteReference"/>
          <w:rFonts w:eastAsia="SimSun" w:cs="Arial"/>
          <w:iCs/>
          <w:lang w:val="ru-RU" w:eastAsia="ja-JP"/>
        </w:rPr>
        <w:footnoteReference w:id="23"/>
      </w:r>
      <w:r w:rsidR="00D7472E" w:rsidRPr="000B79EF">
        <w:rPr>
          <w:lang w:val="ru-RU"/>
        </w:rPr>
        <w:t>.</w:t>
      </w:r>
      <w:r w:rsidR="00110FCD" w:rsidRPr="000B79EF">
        <w:rPr>
          <w:szCs w:val="22"/>
          <w:lang w:val="ru-RU"/>
        </w:rPr>
        <w:t xml:space="preserve"> </w:t>
      </w:r>
      <w:r w:rsidR="00D7472E" w:rsidRPr="000B79EF">
        <w:rPr>
          <w:lang w:val="ru-RU"/>
        </w:rPr>
        <w:t>В Руководстве также описаны поддерживаемые Центром отношения сотрудничества и представлены примеры соответствующих типовых документов</w:t>
      </w:r>
      <w:r w:rsidR="00110FCD" w:rsidRPr="000B79EF">
        <w:rPr>
          <w:szCs w:val="22"/>
          <w:lang w:val="ru-RU"/>
        </w:rPr>
        <w:t>.</w:t>
      </w:r>
    </w:p>
    <w:p w14:paraId="1F628DE8" w14:textId="60AD1663" w:rsidR="00110FCD" w:rsidRPr="000B79EF" w:rsidRDefault="00110FCD" w:rsidP="00110FCD">
      <w:pPr>
        <w:pStyle w:val="ListParagraph"/>
        <w:widowControl w:val="0"/>
        <w:spacing w:after="240"/>
        <w:ind w:left="567"/>
        <w:contextualSpacing w:val="0"/>
        <w:rPr>
          <w:lang w:val="ru-RU"/>
        </w:rPr>
      </w:pPr>
      <w:r w:rsidRPr="000B79EF">
        <w:rPr>
          <w:lang w:val="ru-RU"/>
        </w:rPr>
        <w:t>C.</w:t>
      </w:r>
      <w:r w:rsidRPr="000B79EF">
        <w:rPr>
          <w:lang w:val="ru-RU"/>
        </w:rPr>
        <w:tab/>
      </w:r>
      <w:r w:rsidR="00D7472E" w:rsidRPr="000B79EF">
        <w:rPr>
          <w:lang w:val="ru-RU"/>
        </w:rPr>
        <w:t>ИНФОРМАЦИОННЫЕ РЕСУРСЫ ПО АУС</w:t>
      </w:r>
    </w:p>
    <w:p w14:paraId="57DB7E20" w14:textId="446A844B" w:rsidR="00AA35C4" w:rsidRPr="00AA35C4" w:rsidRDefault="00D7472E" w:rsidP="00AA35C4">
      <w:pPr>
        <w:pStyle w:val="ListParagraph"/>
        <w:widowControl w:val="0"/>
        <w:numPr>
          <w:ilvl w:val="0"/>
          <w:numId w:val="7"/>
        </w:numPr>
        <w:spacing w:after="240"/>
        <w:ind w:left="0" w:firstLine="0"/>
        <w:contextualSpacing w:val="0"/>
        <w:rPr>
          <w:szCs w:val="22"/>
          <w:lang w:val="ru-RU"/>
        </w:rPr>
      </w:pPr>
      <w:r w:rsidRPr="000B79EF">
        <w:rPr>
          <w:szCs w:val="22"/>
          <w:lang w:val="ru-RU"/>
        </w:rPr>
        <w:t xml:space="preserve">В течение </w:t>
      </w:r>
      <w:r w:rsidRPr="000B79EF">
        <w:rPr>
          <w:lang w:val="ru-RU"/>
        </w:rPr>
        <w:t xml:space="preserve">рассматриваемого периода в целях удовлетворения возросшего спроса на онлайновые ресурсы и обучение в области АУС Центр продолжал использовать имеющиеся информационные каналы, такие как ежеквартальная рассылка «Новости </w:t>
      </w:r>
      <w:r w:rsidRPr="000B79EF">
        <w:rPr>
          <w:lang w:val="ru-RU"/>
        </w:rPr>
        <w:lastRenderedPageBreak/>
        <w:t>АУС»</w:t>
      </w:r>
      <w:r w:rsidR="00CE4A30" w:rsidRPr="00CE4A30">
        <w:rPr>
          <w:rFonts w:eastAsia="SimSun" w:cs="Arial"/>
          <w:szCs w:val="22"/>
          <w:lang w:val="ru-RU" w:eastAsia="zh-CN"/>
        </w:rPr>
        <w:t xml:space="preserve"> </w:t>
      </w:r>
      <w:r w:rsidR="00CE4A30">
        <w:rPr>
          <w:rFonts w:eastAsia="SimSun" w:cs="Arial"/>
          <w:szCs w:val="22"/>
          <w:lang w:val="ru-RU" w:eastAsia="zh-CN"/>
        </w:rPr>
        <w:t>и с</w:t>
      </w:r>
      <w:r w:rsidR="00CE4A30" w:rsidRPr="00CE4A30">
        <w:rPr>
          <w:lang w:val="ru-RU"/>
        </w:rPr>
        <w:t>траница Центра в LinkedIn</w:t>
      </w:r>
      <w:r w:rsidR="00CE4A30" w:rsidRPr="00CE4A30">
        <w:rPr>
          <w:vertAlign w:val="superscript"/>
          <w:lang w:val="ru-RU"/>
        </w:rPr>
        <w:t xml:space="preserve"> </w:t>
      </w:r>
      <w:r w:rsidR="00110FCD" w:rsidRPr="000B79EF">
        <w:rPr>
          <w:vertAlign w:val="superscript"/>
          <w:lang w:val="ru-RU"/>
        </w:rPr>
        <w:footnoteReference w:id="24"/>
      </w:r>
      <w:r w:rsidR="00E93F65">
        <w:rPr>
          <w:lang w:val="ru-RU"/>
        </w:rPr>
        <w:t>,</w:t>
      </w:r>
      <w:r w:rsidR="00110FCD" w:rsidRPr="000B79EF">
        <w:rPr>
          <w:szCs w:val="22"/>
          <w:lang w:val="ru-RU"/>
        </w:rPr>
        <w:t xml:space="preserve"> </w:t>
      </w:r>
      <w:r w:rsidRPr="000B79EF">
        <w:rPr>
          <w:lang w:val="ru-RU"/>
        </w:rPr>
        <w:t>при этом развивая существующие и создавая социальные и иные СМИ для пользователей и потенциальных пользователей услуг АУС ВОИС</w:t>
      </w:r>
      <w:r w:rsidR="00447185" w:rsidRPr="000B79EF">
        <w:rPr>
          <w:szCs w:val="22"/>
          <w:lang w:val="ru-RU"/>
        </w:rPr>
        <w:t xml:space="preserve">. </w:t>
      </w:r>
      <w:r w:rsidR="00AA35C4">
        <w:rPr>
          <w:szCs w:val="22"/>
          <w:lang w:val="ru-RU"/>
        </w:rPr>
        <w:t>Например</w:t>
      </w:r>
      <w:r w:rsidR="00AA35C4" w:rsidRPr="00AA35C4">
        <w:rPr>
          <w:szCs w:val="22"/>
          <w:lang w:val="ru-RU"/>
        </w:rPr>
        <w:t xml:space="preserve">, </w:t>
      </w:r>
      <w:r w:rsidR="00AA35C4">
        <w:rPr>
          <w:szCs w:val="22"/>
          <w:lang w:val="ru-RU"/>
        </w:rPr>
        <w:t>организованная</w:t>
      </w:r>
      <w:r w:rsidR="00AA35C4" w:rsidRPr="00AA35C4">
        <w:rPr>
          <w:szCs w:val="22"/>
          <w:lang w:val="ru-RU"/>
        </w:rPr>
        <w:t xml:space="preserve"> </w:t>
      </w:r>
      <w:r w:rsidR="00AA35C4">
        <w:rPr>
          <w:szCs w:val="22"/>
          <w:lang w:val="ru-RU"/>
        </w:rPr>
        <w:t>Центром</w:t>
      </w:r>
      <w:r w:rsidR="00AA35C4" w:rsidRPr="00AA35C4">
        <w:rPr>
          <w:szCs w:val="22"/>
          <w:lang w:val="ru-RU"/>
        </w:rPr>
        <w:t xml:space="preserve"> </w:t>
      </w:r>
      <w:r w:rsidR="00AA35C4">
        <w:rPr>
          <w:szCs w:val="22"/>
          <w:lang w:val="ru-RU"/>
        </w:rPr>
        <w:t>в</w:t>
      </w:r>
      <w:r w:rsidR="00AA35C4" w:rsidRPr="00AA35C4">
        <w:rPr>
          <w:szCs w:val="22"/>
          <w:lang w:val="ru-RU"/>
        </w:rPr>
        <w:t xml:space="preserve"> 2021 </w:t>
      </w:r>
      <w:r w:rsidR="00AA35C4">
        <w:rPr>
          <w:szCs w:val="22"/>
          <w:lang w:val="ru-RU"/>
        </w:rPr>
        <w:t>г</w:t>
      </w:r>
      <w:r w:rsidR="00AA35C4" w:rsidRPr="00AA35C4">
        <w:rPr>
          <w:szCs w:val="22"/>
          <w:lang w:val="ru-RU"/>
        </w:rPr>
        <w:t xml:space="preserve">. Молодежная группа ВОИС по АУС </w:t>
      </w:r>
      <w:r w:rsidR="00AA35C4">
        <w:rPr>
          <w:szCs w:val="22"/>
          <w:lang w:val="ru-RU"/>
        </w:rPr>
        <w:t>представляет</w:t>
      </w:r>
      <w:r w:rsidR="00AA35C4" w:rsidRPr="00AA35C4">
        <w:rPr>
          <w:szCs w:val="22"/>
          <w:lang w:val="ru-RU"/>
        </w:rPr>
        <w:t xml:space="preserve"> </w:t>
      </w:r>
      <w:r w:rsidR="00AA35C4">
        <w:rPr>
          <w:szCs w:val="22"/>
          <w:lang w:val="ru-RU"/>
        </w:rPr>
        <w:t>собой</w:t>
      </w:r>
      <w:r w:rsidR="00AA35C4" w:rsidRPr="00AA35C4">
        <w:rPr>
          <w:szCs w:val="22"/>
          <w:lang w:val="ru-RU"/>
        </w:rPr>
        <w:t xml:space="preserve"> сетевой и учебный форум для молодых специалистов, которых интересуют </w:t>
      </w:r>
      <w:r w:rsidR="00AA35C4">
        <w:rPr>
          <w:szCs w:val="22"/>
          <w:lang w:val="ru-RU"/>
        </w:rPr>
        <w:t xml:space="preserve">вопросы ИС и </w:t>
      </w:r>
      <w:r w:rsidR="00AA35C4" w:rsidRPr="00AA35C4">
        <w:rPr>
          <w:szCs w:val="22"/>
          <w:lang w:val="ru-RU"/>
        </w:rPr>
        <w:t xml:space="preserve">способы урегулирования споров; </w:t>
      </w:r>
      <w:r w:rsidR="00AA35C4">
        <w:rPr>
          <w:szCs w:val="22"/>
          <w:lang w:val="ru-RU"/>
        </w:rPr>
        <w:t>на данный момент в нем участвуют более 650 членов примерно из 80 стран</w:t>
      </w:r>
      <w:r w:rsidR="00AA35C4" w:rsidRPr="00AA35C4">
        <w:rPr>
          <w:szCs w:val="22"/>
          <w:vertAlign w:val="superscript"/>
        </w:rPr>
        <w:footnoteReference w:id="25"/>
      </w:r>
      <w:r w:rsidR="00AA35C4">
        <w:rPr>
          <w:szCs w:val="22"/>
          <w:lang w:val="ru-RU"/>
        </w:rPr>
        <w:t>.</w:t>
      </w:r>
    </w:p>
    <w:p w14:paraId="22EAB9AD" w14:textId="3A7A8C4F" w:rsidR="006858F8" w:rsidRPr="001F5B9C" w:rsidRDefault="00D7472E" w:rsidP="001F5B9C">
      <w:pPr>
        <w:pStyle w:val="ListParagraph"/>
        <w:widowControl w:val="0"/>
        <w:numPr>
          <w:ilvl w:val="0"/>
          <w:numId w:val="7"/>
        </w:numPr>
        <w:spacing w:after="240"/>
        <w:ind w:left="0" w:firstLine="0"/>
        <w:contextualSpacing w:val="0"/>
        <w:rPr>
          <w:szCs w:val="22"/>
          <w:lang w:val="ru-RU"/>
        </w:rPr>
      </w:pPr>
      <w:r w:rsidRPr="000B79EF">
        <w:rPr>
          <w:szCs w:val="22"/>
          <w:lang w:val="ru-RU"/>
        </w:rPr>
        <w:t>Страница Центра</w:t>
      </w:r>
      <w:r w:rsidR="008207DB" w:rsidRPr="000B79EF">
        <w:rPr>
          <w:szCs w:val="22"/>
          <w:lang w:val="ru-RU"/>
        </w:rPr>
        <w:t xml:space="preserve"> </w:t>
      </w:r>
      <w:r w:rsidRPr="000B79EF">
        <w:rPr>
          <w:szCs w:val="22"/>
          <w:lang w:val="ru-RU"/>
        </w:rPr>
        <w:t xml:space="preserve">в </w:t>
      </w:r>
      <w:r w:rsidR="006E45C5" w:rsidRPr="000B79EF">
        <w:rPr>
          <w:szCs w:val="22"/>
          <w:lang w:val="ru-RU"/>
        </w:rPr>
        <w:t xml:space="preserve">LinkedIn </w:t>
      </w:r>
      <w:r w:rsidR="008207DB" w:rsidRPr="000B79EF">
        <w:rPr>
          <w:lang w:val="ru-RU"/>
        </w:rPr>
        <w:t>является платформой, на которой сообщество пользователей, связанных с ИС, технологиями и АУС, может получать актуальную информацию об АУС ВОИС, соответствующих мероприятиях и публикациях</w:t>
      </w:r>
      <w:r w:rsidR="004D3759" w:rsidRPr="000B79EF">
        <w:rPr>
          <w:szCs w:val="22"/>
          <w:lang w:val="ru-RU"/>
        </w:rPr>
        <w:t xml:space="preserve">; </w:t>
      </w:r>
      <w:r w:rsidR="00AA35C4">
        <w:rPr>
          <w:szCs w:val="22"/>
          <w:lang w:val="ru-RU"/>
        </w:rPr>
        <w:t xml:space="preserve">этим </w:t>
      </w:r>
      <w:r w:rsidR="00AA35C4" w:rsidRPr="000B79EF">
        <w:rPr>
          <w:lang w:val="ru-RU"/>
        </w:rPr>
        <w:t>ресурсом по АУС в области ИС</w:t>
      </w:r>
      <w:r w:rsidR="00AA35C4" w:rsidRPr="000B79EF">
        <w:rPr>
          <w:szCs w:val="22"/>
          <w:lang w:val="ru-RU"/>
        </w:rPr>
        <w:t xml:space="preserve"> </w:t>
      </w:r>
      <w:r w:rsidR="00AA35C4">
        <w:rPr>
          <w:szCs w:val="22"/>
          <w:lang w:val="ru-RU"/>
        </w:rPr>
        <w:t>активно пользуются</w:t>
      </w:r>
      <w:r w:rsidR="008207DB" w:rsidRPr="000B79EF">
        <w:rPr>
          <w:szCs w:val="22"/>
          <w:lang w:val="ru-RU"/>
        </w:rPr>
        <w:t xml:space="preserve"> более </w:t>
      </w:r>
      <w:r w:rsidR="00AA35C4">
        <w:rPr>
          <w:szCs w:val="22"/>
          <w:lang w:val="ru-RU"/>
        </w:rPr>
        <w:t>11</w:t>
      </w:r>
      <w:r w:rsidR="008207DB" w:rsidRPr="000B79EF">
        <w:rPr>
          <w:szCs w:val="22"/>
          <w:lang w:val="ru-RU"/>
        </w:rPr>
        <w:t> </w:t>
      </w:r>
      <w:r w:rsidR="006E45C5" w:rsidRPr="000B79EF">
        <w:rPr>
          <w:szCs w:val="22"/>
          <w:lang w:val="ru-RU"/>
        </w:rPr>
        <w:t>000</w:t>
      </w:r>
      <w:r w:rsidR="008207DB" w:rsidRPr="000B79EF">
        <w:rPr>
          <w:szCs w:val="22"/>
          <w:lang w:val="ru-RU"/>
        </w:rPr>
        <w:t> подписчиков</w:t>
      </w:r>
      <w:r w:rsidR="006E45C5" w:rsidRPr="000B79EF">
        <w:rPr>
          <w:szCs w:val="22"/>
          <w:lang w:val="ru-RU"/>
        </w:rPr>
        <w:t xml:space="preserve">, </w:t>
      </w:r>
      <w:r w:rsidR="001F5B9C">
        <w:rPr>
          <w:szCs w:val="22"/>
          <w:lang w:val="ru-RU"/>
        </w:rPr>
        <w:t>причем 3000 из них подписались уже после окончания прошлой серии заседаний Ассамблей</w:t>
      </w:r>
      <w:r w:rsidR="006E45C5" w:rsidRPr="000B79EF">
        <w:rPr>
          <w:rStyle w:val="FootnoteReference"/>
          <w:szCs w:val="22"/>
          <w:lang w:val="ru-RU"/>
        </w:rPr>
        <w:footnoteReference w:id="26"/>
      </w:r>
      <w:r w:rsidR="008207DB" w:rsidRPr="000B79EF">
        <w:rPr>
          <w:lang w:val="ru-RU"/>
        </w:rPr>
        <w:t>.</w:t>
      </w:r>
      <w:r w:rsidR="001F5B9C" w:rsidRPr="001F5B9C">
        <w:rPr>
          <w:rFonts w:eastAsia="SimSun" w:cs="Arial"/>
          <w:szCs w:val="22"/>
          <w:lang w:val="ru-RU" w:eastAsia="zh-CN"/>
        </w:rPr>
        <w:t xml:space="preserve"> </w:t>
      </w:r>
      <w:r w:rsidR="001F5B9C" w:rsidRPr="001F5B9C">
        <w:rPr>
          <w:lang w:val="ru-RU"/>
        </w:rPr>
        <w:t>Кроме того, в декабре 2021 г</w:t>
      </w:r>
      <w:r w:rsidR="001F5B9C">
        <w:rPr>
          <w:lang w:val="ru-RU"/>
        </w:rPr>
        <w:t>.</w:t>
      </w:r>
      <w:r w:rsidR="001F5B9C" w:rsidRPr="001F5B9C">
        <w:rPr>
          <w:lang w:val="ru-RU"/>
        </w:rPr>
        <w:t xml:space="preserve"> Центр запустил подкаст-программу </w:t>
      </w:r>
      <w:r w:rsidR="001F5B9C">
        <w:rPr>
          <w:lang w:val="ru-RU"/>
        </w:rPr>
        <w:t>«</w:t>
      </w:r>
      <w:r w:rsidR="001F5B9C" w:rsidRPr="001F5B9C">
        <w:t>WIPOD</w:t>
      </w:r>
      <w:r w:rsidR="001F5B9C" w:rsidRPr="001F5B9C">
        <w:rPr>
          <w:lang w:val="ru-RU"/>
        </w:rPr>
        <w:t xml:space="preserve"> - вопросы арбитража и </w:t>
      </w:r>
      <w:r w:rsidR="001F5B9C">
        <w:rPr>
          <w:lang w:val="ru-RU"/>
        </w:rPr>
        <w:t>посредничества»</w:t>
      </w:r>
      <w:r w:rsidR="001F5B9C" w:rsidRPr="001F5B9C">
        <w:rPr>
          <w:lang w:val="ru-RU"/>
        </w:rPr>
        <w:t xml:space="preserve">, </w:t>
      </w:r>
      <w:r w:rsidR="001F5B9C">
        <w:rPr>
          <w:lang w:val="ru-RU"/>
        </w:rPr>
        <w:t>где</w:t>
      </w:r>
      <w:r w:rsidR="001F5B9C" w:rsidRPr="001F5B9C">
        <w:rPr>
          <w:lang w:val="ru-RU"/>
        </w:rPr>
        <w:t xml:space="preserve"> представлены интервью со специалистами-практиками в области ИС и </w:t>
      </w:r>
      <w:r w:rsidR="001F5B9C">
        <w:rPr>
          <w:lang w:val="ru-RU"/>
        </w:rPr>
        <w:t>АУС</w:t>
      </w:r>
      <w:r w:rsidR="001F5B9C" w:rsidRPr="001F5B9C">
        <w:rPr>
          <w:lang w:val="ru-RU"/>
        </w:rPr>
        <w:t xml:space="preserve"> </w:t>
      </w:r>
      <w:r w:rsidR="001F5B9C" w:rsidRPr="001F5B9C">
        <w:rPr>
          <w:bCs/>
          <w:vertAlign w:val="superscript"/>
        </w:rPr>
        <w:footnoteReference w:id="27"/>
      </w:r>
      <w:r w:rsidR="001F5B9C" w:rsidRPr="001F5B9C">
        <w:rPr>
          <w:bCs/>
          <w:lang w:val="ru-RU"/>
        </w:rPr>
        <w:t>.</w:t>
      </w:r>
    </w:p>
    <w:p w14:paraId="21E1E4C3" w14:textId="59E85109" w:rsidR="006858F8" w:rsidRPr="000B79EF" w:rsidRDefault="008207DB" w:rsidP="006858F8">
      <w:pPr>
        <w:pStyle w:val="ListParagraph"/>
        <w:widowControl w:val="0"/>
        <w:numPr>
          <w:ilvl w:val="0"/>
          <w:numId w:val="7"/>
        </w:numPr>
        <w:spacing w:after="240"/>
        <w:ind w:left="0" w:firstLine="0"/>
        <w:contextualSpacing w:val="0"/>
        <w:rPr>
          <w:szCs w:val="22"/>
          <w:lang w:val="ru-RU"/>
        </w:rPr>
      </w:pPr>
      <w:r w:rsidRPr="000B79EF">
        <w:rPr>
          <w:lang w:val="ru-RU"/>
        </w:rPr>
        <w:t xml:space="preserve">Центр </w:t>
      </w:r>
      <w:r w:rsidR="0001230C">
        <w:rPr>
          <w:lang w:val="ru-RU"/>
        </w:rPr>
        <w:t>продолжает</w:t>
      </w:r>
      <w:r w:rsidRPr="000B79EF">
        <w:rPr>
          <w:lang w:val="ru-RU"/>
        </w:rPr>
        <w:t xml:space="preserve"> организ</w:t>
      </w:r>
      <w:r w:rsidR="0001230C">
        <w:rPr>
          <w:lang w:val="ru-RU"/>
        </w:rPr>
        <w:t>овывать для</w:t>
      </w:r>
      <w:r w:rsidRPr="000B79EF">
        <w:rPr>
          <w:lang w:val="ru-RU"/>
        </w:rPr>
        <w:t xml:space="preserve"> заинтересованных сторон по интересующей их тематике </w:t>
      </w:r>
      <w:r w:rsidR="00B317E6" w:rsidRPr="000B79EF">
        <w:rPr>
          <w:lang w:val="ru-RU"/>
        </w:rPr>
        <w:t xml:space="preserve">на </w:t>
      </w:r>
      <w:r w:rsidR="00B317E6">
        <w:rPr>
          <w:lang w:val="ru-RU"/>
        </w:rPr>
        <w:t xml:space="preserve">нескольких языках </w:t>
      </w:r>
      <w:r w:rsidR="0001230C">
        <w:rPr>
          <w:lang w:val="ru-RU"/>
        </w:rPr>
        <w:t xml:space="preserve">вебинары и онлайновые семинары </w:t>
      </w:r>
      <w:r w:rsidR="00B317E6">
        <w:rPr>
          <w:lang w:val="ru-RU"/>
        </w:rPr>
        <w:t>по вопросам использования процедур посредничества и арбитража для урегулирования споров в области ИС, и принимает в них участие</w:t>
      </w:r>
      <w:r w:rsidR="00110FCD" w:rsidRPr="000B79EF">
        <w:rPr>
          <w:szCs w:val="22"/>
          <w:vertAlign w:val="superscript"/>
          <w:lang w:val="ru-RU"/>
        </w:rPr>
        <w:footnoteReference w:id="28"/>
      </w:r>
      <w:r w:rsidRPr="000B79EF">
        <w:rPr>
          <w:lang w:val="ru-RU"/>
        </w:rPr>
        <w:t>.</w:t>
      </w:r>
      <w:r w:rsidR="005E2CAB" w:rsidRPr="000B79EF">
        <w:rPr>
          <w:szCs w:val="22"/>
          <w:lang w:val="ru-RU"/>
        </w:rPr>
        <w:t xml:space="preserve"> </w:t>
      </w:r>
      <w:r w:rsidRPr="000B79EF">
        <w:rPr>
          <w:lang w:val="ru-RU"/>
        </w:rPr>
        <w:t>За время, прошедшее после Ассамблей 202</w:t>
      </w:r>
      <w:r w:rsidR="00B317E6">
        <w:rPr>
          <w:lang w:val="ru-RU"/>
        </w:rPr>
        <w:t>1</w:t>
      </w:r>
      <w:r w:rsidRPr="000B79EF">
        <w:rPr>
          <w:lang w:val="ru-RU"/>
        </w:rPr>
        <w:t> г., Центр организ</w:t>
      </w:r>
      <w:r w:rsidR="00B317E6">
        <w:rPr>
          <w:lang w:val="ru-RU"/>
        </w:rPr>
        <w:t>овал</w:t>
      </w:r>
      <w:r w:rsidRPr="000B79EF">
        <w:rPr>
          <w:lang w:val="ru-RU"/>
        </w:rPr>
        <w:t xml:space="preserve"> примерно </w:t>
      </w:r>
      <w:r w:rsidR="00B317E6">
        <w:rPr>
          <w:lang w:val="ru-RU"/>
        </w:rPr>
        <w:t>5</w:t>
      </w:r>
      <w:r w:rsidRPr="000B79EF">
        <w:rPr>
          <w:lang w:val="ru-RU"/>
        </w:rPr>
        <w:t xml:space="preserve">0 вебинаров, для участия в которых зарегистрировались более </w:t>
      </w:r>
      <w:r w:rsidR="00B317E6">
        <w:rPr>
          <w:lang w:val="ru-RU"/>
        </w:rPr>
        <w:t>8</w:t>
      </w:r>
      <w:r w:rsidRPr="000B79EF">
        <w:rPr>
          <w:lang w:val="ru-RU"/>
        </w:rPr>
        <w:t>000 человек из 1</w:t>
      </w:r>
      <w:r w:rsidR="00B317E6">
        <w:rPr>
          <w:lang w:val="ru-RU"/>
        </w:rPr>
        <w:t>37</w:t>
      </w:r>
      <w:r w:rsidRPr="000B79EF">
        <w:rPr>
          <w:lang w:val="ru-RU"/>
        </w:rPr>
        <w:t xml:space="preserve"> стран</w:t>
      </w:r>
      <w:r w:rsidR="00B317E6">
        <w:rPr>
          <w:lang w:val="ru-RU"/>
        </w:rPr>
        <w:t xml:space="preserve"> (или принял участие в этих вебинарах)</w:t>
      </w:r>
      <w:r w:rsidRPr="000B79EF">
        <w:rPr>
          <w:szCs w:val="22"/>
          <w:lang w:val="ru-RU"/>
        </w:rPr>
        <w:t>.</w:t>
      </w:r>
    </w:p>
    <w:p w14:paraId="4D10C811" w14:textId="0379DD3D" w:rsidR="00110FCD" w:rsidRPr="000B79EF" w:rsidRDefault="00816FED" w:rsidP="00110FCD">
      <w:pPr>
        <w:pStyle w:val="ListParagraph"/>
        <w:widowControl w:val="0"/>
        <w:numPr>
          <w:ilvl w:val="0"/>
          <w:numId w:val="7"/>
        </w:numPr>
        <w:spacing w:after="240"/>
        <w:ind w:left="0" w:firstLine="0"/>
        <w:contextualSpacing w:val="0"/>
        <w:rPr>
          <w:szCs w:val="22"/>
          <w:lang w:val="ru-RU"/>
        </w:rPr>
      </w:pPr>
      <w:r w:rsidRPr="000B79EF">
        <w:rPr>
          <w:szCs w:val="22"/>
          <w:lang w:val="ru-RU"/>
        </w:rPr>
        <w:t xml:space="preserve">В рамках системы </w:t>
      </w:r>
      <w:r w:rsidRPr="000B79EF">
        <w:rPr>
          <w:lang w:val="ru-RU"/>
        </w:rPr>
        <w:t>Обязательства ВОИС о посредничестве в урегулировании споров в области ИС и технологий</w:t>
      </w:r>
      <w:r w:rsidRPr="000B79EF">
        <w:rPr>
          <w:szCs w:val="22"/>
          <w:lang w:val="ru-RU"/>
        </w:rPr>
        <w:t xml:space="preserve"> подписавшие </w:t>
      </w:r>
      <w:r w:rsidRPr="000B79EF">
        <w:rPr>
          <w:lang w:val="ru-RU"/>
        </w:rPr>
        <w:t>и сотрудничающие стороны обязуются развивать посредничество в качестве альтернативы судебному разбирательству, с тем чтобы снизить влияние споров на инновационные и творческие процессы. Число участников уже превышает </w:t>
      </w:r>
      <w:r w:rsidR="00A40E60">
        <w:rPr>
          <w:lang w:val="ru-RU"/>
        </w:rPr>
        <w:t>72</w:t>
      </w:r>
      <w:r w:rsidRPr="000B79EF">
        <w:rPr>
          <w:lang w:val="ru-RU"/>
        </w:rPr>
        <w:t>0; среди них — около 20 ВИС государств-членов и 10 отраслевых ассоциаций, связанных с ИС и АУС</w:t>
      </w:r>
      <w:r w:rsidR="00110FCD" w:rsidRPr="000B79EF">
        <w:rPr>
          <w:szCs w:val="22"/>
          <w:vertAlign w:val="superscript"/>
          <w:lang w:val="ru-RU"/>
        </w:rPr>
        <w:footnoteReference w:id="29"/>
      </w:r>
      <w:r w:rsidRPr="000B79EF">
        <w:rPr>
          <w:lang w:val="ru-RU"/>
        </w:rPr>
        <w:t>.</w:t>
      </w:r>
    </w:p>
    <w:p w14:paraId="17D80A59" w14:textId="612AC472" w:rsidR="00110FCD" w:rsidRPr="000B79EF" w:rsidRDefault="00110FCD" w:rsidP="00110FCD">
      <w:pPr>
        <w:pStyle w:val="Heading2"/>
        <w:keepNext w:val="0"/>
        <w:widowControl w:val="0"/>
        <w:spacing w:after="220"/>
        <w:rPr>
          <w:lang w:val="ru-RU"/>
        </w:rPr>
      </w:pPr>
      <w:r w:rsidRPr="000B79EF">
        <w:rPr>
          <w:lang w:val="ru-RU"/>
        </w:rPr>
        <w:t>II.</w:t>
      </w:r>
      <w:r w:rsidRPr="000B79EF">
        <w:rPr>
          <w:lang w:val="ru-RU"/>
        </w:rPr>
        <w:tab/>
      </w:r>
      <w:r w:rsidR="00816FED" w:rsidRPr="000B79EF">
        <w:rPr>
          <w:lang w:val="ru-RU"/>
        </w:rPr>
        <w:t>РАССМОТРЕНИЕ СПОРОВ, СВЯЗАННЫХ С ДОМЕННЫМИ ИМЕНАМИ</w:t>
      </w:r>
    </w:p>
    <w:p w14:paraId="5611A776" w14:textId="2CDC9B32" w:rsidR="00110FCD" w:rsidRPr="000B79EF" w:rsidRDefault="00110FCD" w:rsidP="00110FCD">
      <w:pPr>
        <w:pStyle w:val="Heading3"/>
        <w:keepNext w:val="0"/>
        <w:widowControl w:val="0"/>
        <w:spacing w:after="220"/>
        <w:ind w:firstLine="567"/>
        <w:rPr>
          <w:u w:val="none"/>
          <w:lang w:val="ru-RU"/>
        </w:rPr>
      </w:pPr>
      <w:r w:rsidRPr="000B79EF">
        <w:rPr>
          <w:u w:val="none"/>
          <w:lang w:val="ru-RU"/>
        </w:rPr>
        <w:t>A.</w:t>
      </w:r>
      <w:r w:rsidRPr="000B79EF">
        <w:rPr>
          <w:u w:val="none"/>
          <w:lang w:val="ru-RU"/>
        </w:rPr>
        <w:tab/>
      </w:r>
      <w:r w:rsidR="00816FED" w:rsidRPr="000B79EF">
        <w:rPr>
          <w:u w:val="none"/>
          <w:lang w:val="ru-RU"/>
        </w:rPr>
        <w:t>ЕПУС</w:t>
      </w:r>
    </w:p>
    <w:p w14:paraId="7E523D5E" w14:textId="3A4E9EBB" w:rsidR="00110FCD" w:rsidRPr="000B79EF" w:rsidRDefault="00816FED" w:rsidP="00110FCD">
      <w:pPr>
        <w:pStyle w:val="ListParagraph"/>
        <w:numPr>
          <w:ilvl w:val="0"/>
          <w:numId w:val="7"/>
        </w:numPr>
        <w:spacing w:before="240" w:after="240"/>
        <w:ind w:left="0" w:firstLine="0"/>
        <w:contextualSpacing w:val="0"/>
        <w:rPr>
          <w:szCs w:val="24"/>
          <w:lang w:val="ru-RU"/>
        </w:rPr>
      </w:pPr>
      <w:r w:rsidRPr="000B79EF">
        <w:rPr>
          <w:lang w:val="ru-RU"/>
        </w:rPr>
        <w:t xml:space="preserve">Существование системы доменных имен (DNS) создает ряд проблем, связанных с охраной ИС, решение которых, в силу глобальной природы интернета, требует международного подхода. ВОИС занимается решением этих проблем с 1998 г., разрабатывая конкретные </w:t>
      </w:r>
      <w:r w:rsidR="00091AE5">
        <w:rPr>
          <w:lang w:val="ru-RU"/>
        </w:rPr>
        <w:t>варианты решений</w:t>
      </w:r>
      <w:r w:rsidRPr="000B79EF">
        <w:rPr>
          <w:lang w:val="ru-RU"/>
        </w:rPr>
        <w:t>, из которых особого упоминания заслуживают Первый</w:t>
      </w:r>
      <w:r w:rsidRPr="000B79EF">
        <w:rPr>
          <w:rStyle w:val="FootnoteReference"/>
          <w:rFonts w:eastAsia="SimSun"/>
          <w:szCs w:val="24"/>
          <w:lang w:val="ru-RU"/>
        </w:rPr>
        <w:footnoteReference w:id="30"/>
      </w:r>
      <w:r w:rsidRPr="000B79EF">
        <w:rPr>
          <w:lang w:val="ru-RU"/>
        </w:rPr>
        <w:t xml:space="preserve"> и Второй</w:t>
      </w:r>
      <w:r w:rsidRPr="000B79EF">
        <w:rPr>
          <w:rStyle w:val="FootnoteReference"/>
          <w:rFonts w:eastAsia="SimSun"/>
          <w:szCs w:val="24"/>
          <w:lang w:val="ru-RU"/>
        </w:rPr>
        <w:footnoteReference w:id="31"/>
      </w:r>
      <w:r w:rsidRPr="000B79EF">
        <w:rPr>
          <w:lang w:val="ru-RU"/>
        </w:rPr>
        <w:t xml:space="preserve"> процессы ВОИС по доменным именам в интернете</w:t>
      </w:r>
      <w:r w:rsidR="00110FCD" w:rsidRPr="000B79EF">
        <w:rPr>
          <w:szCs w:val="24"/>
          <w:lang w:val="ru-RU"/>
        </w:rPr>
        <w:t xml:space="preserve">. </w:t>
      </w:r>
      <w:r w:rsidRPr="000B79EF">
        <w:rPr>
          <w:lang w:val="ru-RU"/>
        </w:rPr>
        <w:t xml:space="preserve">Действуя через Центр, ВОИС предлагает владельцам товарных знаков эффективные </w:t>
      </w:r>
      <w:r w:rsidRPr="000B79EF">
        <w:rPr>
          <w:lang w:val="ru-RU"/>
        </w:rPr>
        <w:lastRenderedPageBreak/>
        <w:t>международные механизмы противодействия недобросовестной регистрации и использованию доменных имен, соответствующие их правам на товарные знаки. Главный из таких механизмов, применяемых Центром, ЕПУС, была принята ICANN на основе рекомендаций, вынесенных ВОИС в рамках Первого процесса ВОИС по доменным именам в интернете</w:t>
      </w:r>
      <w:r w:rsidR="00110FCD" w:rsidRPr="000B79EF">
        <w:rPr>
          <w:szCs w:val="24"/>
          <w:lang w:val="ru-RU"/>
        </w:rPr>
        <w:t>.</w:t>
      </w:r>
    </w:p>
    <w:p w14:paraId="340947BE" w14:textId="2E4571E9" w:rsidR="00110FCD" w:rsidRPr="000B79EF" w:rsidRDefault="00830213" w:rsidP="00DA2871">
      <w:pPr>
        <w:pStyle w:val="ListParagraph"/>
        <w:numPr>
          <w:ilvl w:val="0"/>
          <w:numId w:val="7"/>
        </w:numPr>
        <w:spacing w:after="240"/>
        <w:ind w:left="0" w:firstLine="0"/>
        <w:contextualSpacing w:val="0"/>
        <w:rPr>
          <w:szCs w:val="24"/>
          <w:lang w:val="ru-RU"/>
        </w:rPr>
      </w:pPr>
      <w:r w:rsidRPr="000B79EF">
        <w:rPr>
          <w:szCs w:val="24"/>
          <w:lang w:val="ru-RU"/>
        </w:rPr>
        <w:t>Поскольку во время пандемии все больше людей проводят больше времени в сети, нарушители обнаруживают, что в этих условиях у них появляется все больше возможностей для незаконной деятельности. Владельцы товарных знаков усилили защиту своих брендов в онлайн-среде, поскольку они все более активно продают свои товары и услуги через интернет.</w:t>
      </w:r>
      <w:r w:rsidR="000667E7" w:rsidRPr="000B79EF">
        <w:rPr>
          <w:szCs w:val="24"/>
          <w:lang w:val="ru-RU"/>
        </w:rPr>
        <w:t xml:space="preserve"> </w:t>
      </w:r>
      <w:r w:rsidR="00816FED" w:rsidRPr="000B79EF">
        <w:rPr>
          <w:lang w:val="ru-RU"/>
        </w:rPr>
        <w:t>Ограниченная по своему охвату случаями явно недобросовестного использования доменных имен, ЕПУС подтвердила свою востребованность для владельцев товарных знаков</w:t>
      </w:r>
      <w:r w:rsidR="00110FCD" w:rsidRPr="000B79EF">
        <w:rPr>
          <w:rStyle w:val="FootnoteReference"/>
          <w:rFonts w:eastAsia="SimSun"/>
          <w:szCs w:val="24"/>
          <w:lang w:val="ru-RU"/>
        </w:rPr>
        <w:footnoteReference w:id="32"/>
      </w:r>
      <w:r w:rsidR="00816FED" w:rsidRPr="000B79EF">
        <w:rPr>
          <w:szCs w:val="24"/>
          <w:lang w:val="ru-RU"/>
        </w:rPr>
        <w:t xml:space="preserve">. </w:t>
      </w:r>
      <w:r w:rsidRPr="000B79EF">
        <w:rPr>
          <w:szCs w:val="24"/>
          <w:lang w:val="ru-RU"/>
        </w:rPr>
        <w:t>С декабря 1999 г. Центр рассмотрел с применением ЕПУС более 5</w:t>
      </w:r>
      <w:r w:rsidR="00C703F1">
        <w:rPr>
          <w:szCs w:val="24"/>
          <w:lang w:val="ru-RU"/>
        </w:rPr>
        <w:t>7</w:t>
      </w:r>
      <w:r w:rsidRPr="000B79EF">
        <w:rPr>
          <w:szCs w:val="24"/>
          <w:lang w:val="ru-RU"/>
        </w:rPr>
        <w:t xml:space="preserve"> 000 споров</w:t>
      </w:r>
      <w:r w:rsidR="00110FCD" w:rsidRPr="000B79EF">
        <w:rPr>
          <w:vertAlign w:val="superscript"/>
          <w:lang w:val="ru-RU"/>
        </w:rPr>
        <w:footnoteReference w:id="33"/>
      </w:r>
      <w:r w:rsidRPr="000B79EF">
        <w:rPr>
          <w:szCs w:val="24"/>
          <w:lang w:val="ru-RU"/>
        </w:rPr>
        <w:t>.</w:t>
      </w:r>
      <w:r w:rsidR="00110FCD" w:rsidRPr="000B79EF">
        <w:rPr>
          <w:szCs w:val="24"/>
          <w:lang w:val="ru-RU"/>
        </w:rPr>
        <w:t xml:space="preserve"> </w:t>
      </w:r>
      <w:r w:rsidRPr="000B79EF">
        <w:rPr>
          <w:szCs w:val="24"/>
          <w:lang w:val="ru-RU"/>
        </w:rPr>
        <w:t>В 202</w:t>
      </w:r>
      <w:r w:rsidR="00C703F1">
        <w:rPr>
          <w:szCs w:val="24"/>
          <w:lang w:val="ru-RU"/>
        </w:rPr>
        <w:t>1</w:t>
      </w:r>
      <w:r w:rsidRPr="000B79EF">
        <w:rPr>
          <w:szCs w:val="24"/>
          <w:lang w:val="ru-RU"/>
        </w:rPr>
        <w:t xml:space="preserve"> г. правообладатели подали в центр рекордное число жалоб – </w:t>
      </w:r>
      <w:r w:rsidR="00C703F1">
        <w:rPr>
          <w:szCs w:val="24"/>
          <w:lang w:val="ru-RU"/>
        </w:rPr>
        <w:t>5128</w:t>
      </w:r>
      <w:r w:rsidRPr="000B79EF">
        <w:rPr>
          <w:szCs w:val="24"/>
          <w:lang w:val="ru-RU"/>
        </w:rPr>
        <w:t xml:space="preserve"> – </w:t>
      </w:r>
      <w:r w:rsidR="00C703F1">
        <w:rPr>
          <w:szCs w:val="24"/>
          <w:lang w:val="ru-RU"/>
        </w:rPr>
        <w:t>на основе</w:t>
      </w:r>
      <w:r w:rsidRPr="000B79EF">
        <w:rPr>
          <w:szCs w:val="24"/>
          <w:lang w:val="ru-RU"/>
        </w:rPr>
        <w:t xml:space="preserve"> положени</w:t>
      </w:r>
      <w:r w:rsidR="00C703F1">
        <w:rPr>
          <w:szCs w:val="24"/>
          <w:lang w:val="ru-RU"/>
        </w:rPr>
        <w:t>й</w:t>
      </w:r>
      <w:r w:rsidRPr="000B79EF">
        <w:rPr>
          <w:szCs w:val="24"/>
          <w:lang w:val="ru-RU"/>
        </w:rPr>
        <w:t xml:space="preserve"> ЕПУС, что стало ответной реакцией деловых кругов на распространение веб-сайтов, используемых для продажи контрафактных товаров, мошенничества, «фишинга» и других форм злоупотребления товарными знаками в интернете. В </w:t>
      </w:r>
      <w:r w:rsidR="00DA2871">
        <w:rPr>
          <w:szCs w:val="24"/>
          <w:lang w:val="ru-RU"/>
        </w:rPr>
        <w:t>ноябре</w:t>
      </w:r>
      <w:r w:rsidRPr="000B79EF">
        <w:rPr>
          <w:szCs w:val="24"/>
          <w:lang w:val="ru-RU"/>
        </w:rPr>
        <w:t xml:space="preserve"> 202</w:t>
      </w:r>
      <w:r w:rsidR="00DA2871">
        <w:rPr>
          <w:szCs w:val="24"/>
          <w:lang w:val="ru-RU"/>
        </w:rPr>
        <w:t>1</w:t>
      </w:r>
      <w:r w:rsidRPr="000B79EF">
        <w:rPr>
          <w:szCs w:val="24"/>
          <w:lang w:val="ru-RU"/>
        </w:rPr>
        <w:t xml:space="preserve"> г. общее число доменных имен, ставших предметом споров, урегулированных на основе ЕПУС ВОИС, превысило </w:t>
      </w:r>
      <w:r w:rsidR="00DA2871">
        <w:rPr>
          <w:szCs w:val="24"/>
          <w:lang w:val="ru-RU"/>
        </w:rPr>
        <w:t>100</w:t>
      </w:r>
      <w:r w:rsidRPr="000B79EF">
        <w:rPr>
          <w:szCs w:val="24"/>
          <w:lang w:val="ru-RU"/>
        </w:rPr>
        <w:t xml:space="preserve"> 000</w:t>
      </w:r>
      <w:r w:rsidR="00110FCD" w:rsidRPr="000B79EF">
        <w:rPr>
          <w:szCs w:val="24"/>
          <w:lang w:val="ru-RU"/>
        </w:rPr>
        <w:t>.</w:t>
      </w:r>
      <w:r w:rsidR="00960227" w:rsidRPr="000B79EF">
        <w:rPr>
          <w:szCs w:val="24"/>
          <w:lang w:val="ru-RU"/>
        </w:rPr>
        <w:t xml:space="preserve"> </w:t>
      </w:r>
      <w:r w:rsidR="003D56CC" w:rsidRPr="000B79EF">
        <w:rPr>
          <w:szCs w:val="24"/>
          <w:lang w:val="ru-RU"/>
        </w:rPr>
        <w:t xml:space="preserve">То, насколько уязвимыми стали потребители, также можно проследить в основных секторах деловой активности заявителей, включая банковское дело и финансы, интернет и информационные технологии, </w:t>
      </w:r>
      <w:r w:rsidR="00DA2871" w:rsidRPr="000B79EF">
        <w:rPr>
          <w:szCs w:val="24"/>
          <w:lang w:val="ru-RU"/>
        </w:rPr>
        <w:t>биотехнологии и фармацевтику,</w:t>
      </w:r>
      <w:r w:rsidR="00DA2871">
        <w:rPr>
          <w:szCs w:val="24"/>
          <w:lang w:val="ru-RU"/>
        </w:rPr>
        <w:t xml:space="preserve"> </w:t>
      </w:r>
      <w:r w:rsidR="003D56CC" w:rsidRPr="000B79EF">
        <w:rPr>
          <w:szCs w:val="24"/>
          <w:lang w:val="ru-RU"/>
        </w:rPr>
        <w:t xml:space="preserve">розничную торговлю, индустрию моды </w:t>
      </w:r>
      <w:r w:rsidR="00DA2871">
        <w:rPr>
          <w:szCs w:val="24"/>
          <w:lang w:val="ru-RU"/>
        </w:rPr>
        <w:t xml:space="preserve">и </w:t>
      </w:r>
      <w:r w:rsidR="00DA2871" w:rsidRPr="00DA2871">
        <w:rPr>
          <w:szCs w:val="24"/>
          <w:lang w:val="ru-RU"/>
        </w:rPr>
        <w:t>сектор продовольствия, напитков и общественного питания</w:t>
      </w:r>
      <w:r w:rsidR="003D56CC" w:rsidRPr="000B79EF">
        <w:rPr>
          <w:szCs w:val="24"/>
          <w:lang w:val="ru-RU"/>
        </w:rPr>
        <w:t>.</w:t>
      </w:r>
      <w:r w:rsidR="00110FCD" w:rsidRPr="000B79EF">
        <w:rPr>
          <w:szCs w:val="24"/>
          <w:lang w:val="ru-RU"/>
        </w:rPr>
        <w:t xml:space="preserve"> </w:t>
      </w:r>
    </w:p>
    <w:p w14:paraId="631222F5" w14:textId="36F25FFB" w:rsidR="00110FCD" w:rsidRPr="000B79EF" w:rsidRDefault="00110FCD" w:rsidP="00110FCD">
      <w:pPr>
        <w:pStyle w:val="ListParagraph"/>
        <w:numPr>
          <w:ilvl w:val="0"/>
          <w:numId w:val="7"/>
        </w:numPr>
        <w:spacing w:after="240"/>
        <w:ind w:left="0" w:firstLine="0"/>
        <w:contextualSpacing w:val="0"/>
        <w:rPr>
          <w:szCs w:val="24"/>
          <w:lang w:val="ru-RU"/>
        </w:rPr>
      </w:pPr>
      <w:r w:rsidRPr="000B79EF">
        <w:rPr>
          <w:szCs w:val="24"/>
          <w:lang w:val="ru-RU"/>
        </w:rPr>
        <w:t xml:space="preserve"> </w:t>
      </w:r>
      <w:r w:rsidR="00285971" w:rsidRPr="000B79EF">
        <w:rPr>
          <w:szCs w:val="24"/>
          <w:lang w:val="ru-RU"/>
        </w:rPr>
        <w:t>Киберсквоттинг – неправомерное включение товарного знака в доменное имя – является глобальной проблемой. В 202</w:t>
      </w:r>
      <w:r w:rsidR="00DA2871">
        <w:rPr>
          <w:szCs w:val="24"/>
          <w:lang w:val="ru-RU"/>
        </w:rPr>
        <w:t>1</w:t>
      </w:r>
      <w:r w:rsidR="00285971" w:rsidRPr="000B79EF">
        <w:rPr>
          <w:szCs w:val="24"/>
          <w:lang w:val="ru-RU"/>
        </w:rPr>
        <w:t xml:space="preserve"> г. поименованными сторонами споров, рассматриваемых ВОИС, были представители 1</w:t>
      </w:r>
      <w:r w:rsidR="00DA2871">
        <w:rPr>
          <w:szCs w:val="24"/>
          <w:lang w:val="ru-RU"/>
        </w:rPr>
        <w:t>32</w:t>
      </w:r>
      <w:r w:rsidR="00285971" w:rsidRPr="000B79EF">
        <w:rPr>
          <w:szCs w:val="24"/>
          <w:lang w:val="ru-RU"/>
        </w:rPr>
        <w:t xml:space="preserve"> стран, а с момента внедрения ЕПУС – в общей сложности 18</w:t>
      </w:r>
      <w:r w:rsidR="00DA2871">
        <w:rPr>
          <w:szCs w:val="24"/>
          <w:lang w:val="ru-RU"/>
        </w:rPr>
        <w:t>3</w:t>
      </w:r>
      <w:r w:rsidR="00285971" w:rsidRPr="000B79EF">
        <w:rPr>
          <w:szCs w:val="24"/>
          <w:lang w:val="ru-RU"/>
        </w:rPr>
        <w:t xml:space="preserve"> стран</w:t>
      </w:r>
      <w:r w:rsidRPr="000B79EF">
        <w:rPr>
          <w:szCs w:val="24"/>
          <w:lang w:val="ru-RU"/>
        </w:rPr>
        <w:t xml:space="preserve">. </w:t>
      </w:r>
      <w:r w:rsidR="003D56CC" w:rsidRPr="000B79EF">
        <w:rPr>
          <w:szCs w:val="24"/>
          <w:lang w:val="ru-RU"/>
        </w:rPr>
        <w:t>Что касается языка соглашений о регистрации оспариваемых доменных имен, то процедуры ВОИС на основе ЕПУС проводились на 23</w:t>
      </w:r>
      <w:r w:rsidR="00285971" w:rsidRPr="000B79EF">
        <w:rPr>
          <w:szCs w:val="24"/>
          <w:lang w:val="ru-RU"/>
        </w:rPr>
        <w:t> </w:t>
      </w:r>
      <w:r w:rsidR="003D56CC" w:rsidRPr="000B79EF">
        <w:rPr>
          <w:szCs w:val="24"/>
          <w:lang w:val="ru-RU"/>
        </w:rPr>
        <w:t>языках</w:t>
      </w:r>
      <w:r w:rsidRPr="000B79EF">
        <w:rPr>
          <w:rStyle w:val="FootnoteReference"/>
          <w:rFonts w:eastAsia="SimSun"/>
          <w:szCs w:val="24"/>
          <w:lang w:val="ru-RU"/>
        </w:rPr>
        <w:footnoteReference w:id="34"/>
      </w:r>
      <w:r w:rsidR="00285971" w:rsidRPr="000B79EF">
        <w:rPr>
          <w:szCs w:val="24"/>
          <w:lang w:val="ru-RU"/>
        </w:rPr>
        <w:t>.</w:t>
      </w:r>
    </w:p>
    <w:p w14:paraId="49D3F02A" w14:textId="776E664A" w:rsidR="00110FCD" w:rsidRPr="000B79EF" w:rsidRDefault="005632EA" w:rsidP="00110FCD">
      <w:pPr>
        <w:pStyle w:val="ListParagraph"/>
        <w:numPr>
          <w:ilvl w:val="0"/>
          <w:numId w:val="7"/>
        </w:numPr>
        <w:spacing w:after="240"/>
        <w:ind w:left="0" w:firstLine="0"/>
        <w:contextualSpacing w:val="0"/>
        <w:rPr>
          <w:szCs w:val="24"/>
          <w:lang w:val="ru-RU"/>
        </w:rPr>
      </w:pPr>
      <w:r w:rsidRPr="000B79EF">
        <w:rPr>
          <w:lang w:val="ru-RU"/>
        </w:rPr>
        <w:t>Все решения экспертных комиссий ЕПУС ВОИС публикуются на веб-сайте Центра. Онлайновое издание Центра «Обзор мнений экспертных комиссий ВОИС по отдельным вопросам, рассмотренным на основе ЕПУС», по-прежнему является ключевым глобальным обзором общих тенденций принятия решений по важным спорам, охватывает более 100 тем и содержит ссылки на почти 1 000 типовых решений, принятых более чем 265 экспертами ВОИС</w:t>
      </w:r>
      <w:r w:rsidR="00110FCD" w:rsidRPr="000B79EF">
        <w:rPr>
          <w:rStyle w:val="FootnoteReference"/>
          <w:szCs w:val="24"/>
          <w:lang w:val="ru-RU"/>
        </w:rPr>
        <w:footnoteReference w:id="35"/>
      </w:r>
      <w:r w:rsidRPr="000B79EF">
        <w:rPr>
          <w:lang w:val="ru-RU"/>
        </w:rPr>
        <w:t>.</w:t>
      </w:r>
      <w:r w:rsidR="00110FCD" w:rsidRPr="000B79EF">
        <w:rPr>
          <w:szCs w:val="24"/>
          <w:lang w:val="ru-RU"/>
        </w:rPr>
        <w:t xml:space="preserve"> </w:t>
      </w:r>
      <w:r w:rsidR="009E6341" w:rsidRPr="000B79EF">
        <w:rPr>
          <w:lang w:val="ru-RU"/>
        </w:rPr>
        <w:t xml:space="preserve">Для облегчения доступа к этим решениям по тематическим </w:t>
      </w:r>
      <w:r w:rsidR="009E6341" w:rsidRPr="000B79EF">
        <w:rPr>
          <w:lang w:val="ru-RU"/>
        </w:rPr>
        <w:lastRenderedPageBreak/>
        <w:t>рубрикам Центр также публикует «Юридический справочник решений ВОИС по процедуре ЕПУС» с возможностью онлайнового контекстного поиска</w:t>
      </w:r>
      <w:r w:rsidR="00110FCD" w:rsidRPr="000B79EF">
        <w:rPr>
          <w:vertAlign w:val="superscript"/>
          <w:lang w:val="ru-RU"/>
        </w:rPr>
        <w:footnoteReference w:id="36"/>
      </w:r>
      <w:r w:rsidR="009E6341" w:rsidRPr="000B79EF">
        <w:rPr>
          <w:szCs w:val="24"/>
          <w:lang w:val="ru-RU"/>
        </w:rPr>
        <w:t>.</w:t>
      </w:r>
    </w:p>
    <w:p w14:paraId="62B148F5" w14:textId="5C246CBC" w:rsidR="00110FCD" w:rsidRPr="000B79EF" w:rsidRDefault="009E6341" w:rsidP="00110FCD">
      <w:pPr>
        <w:pStyle w:val="ListParagraph"/>
        <w:numPr>
          <w:ilvl w:val="0"/>
          <w:numId w:val="7"/>
        </w:numPr>
        <w:spacing w:after="240"/>
        <w:ind w:left="0" w:firstLine="0"/>
        <w:contextualSpacing w:val="0"/>
        <w:rPr>
          <w:szCs w:val="24"/>
          <w:lang w:val="ru-RU"/>
        </w:rPr>
      </w:pPr>
      <w:r w:rsidRPr="000B79EF">
        <w:rPr>
          <w:lang w:val="ru-RU"/>
        </w:rPr>
        <w:t>Учитывая ключевую роль ВОИС в разработке ЕПУС, Центр следит за развитием процессов в DNS, стремясь адаптировать к нему свои ресурсы и методы своей работы</w:t>
      </w:r>
      <w:r w:rsidRPr="000B79EF">
        <w:rPr>
          <w:rStyle w:val="FootnoteReference"/>
          <w:rFonts w:eastAsia="SimSun"/>
          <w:szCs w:val="24"/>
          <w:lang w:val="ru-RU"/>
        </w:rPr>
        <w:footnoteReference w:id="37"/>
      </w:r>
      <w:r w:rsidRPr="000B79EF">
        <w:rPr>
          <w:lang w:val="ru-RU"/>
        </w:rPr>
        <w:t>. Центр регулярно организует семинары-практикумы по вопросам урегулирования споров в области доменных имен для информирования заинтересованных сторон</w:t>
      </w:r>
      <w:r w:rsidRPr="000B79EF">
        <w:rPr>
          <w:rStyle w:val="FootnoteReference"/>
          <w:rFonts w:eastAsia="SimSun"/>
          <w:lang w:val="ru-RU"/>
        </w:rPr>
        <w:footnoteReference w:id="38"/>
      </w:r>
      <w:r w:rsidRPr="000B79EF">
        <w:rPr>
          <w:lang w:val="ru-RU"/>
        </w:rPr>
        <w:t>, о последних тенденциях, а также совещания членов комиссий по рассмотрению споров о доменных именах</w:t>
      </w:r>
      <w:r w:rsidR="00092559" w:rsidRPr="000B79EF">
        <w:rPr>
          <w:lang w:val="ru-RU"/>
        </w:rPr>
        <w:t>.</w:t>
      </w:r>
    </w:p>
    <w:p w14:paraId="4648C6B4" w14:textId="1886C0A4" w:rsidR="00110FCD" w:rsidRPr="000B79EF" w:rsidRDefault="00110FCD" w:rsidP="00110FCD">
      <w:pPr>
        <w:pStyle w:val="Heading3"/>
        <w:spacing w:after="240"/>
        <w:ind w:firstLine="562"/>
        <w:rPr>
          <w:u w:val="none"/>
          <w:lang w:val="ru-RU"/>
        </w:rPr>
      </w:pPr>
      <w:r w:rsidRPr="000B79EF">
        <w:rPr>
          <w:u w:val="none"/>
          <w:lang w:val="ru-RU"/>
        </w:rPr>
        <w:t>B.</w:t>
      </w:r>
      <w:r w:rsidRPr="000B79EF">
        <w:rPr>
          <w:u w:val="none"/>
          <w:lang w:val="ru-RU"/>
        </w:rPr>
        <w:tab/>
      </w:r>
      <w:r w:rsidR="00D71F86" w:rsidRPr="000B79EF">
        <w:rPr>
          <w:u w:val="none"/>
          <w:lang w:val="ru-RU"/>
        </w:rPr>
        <w:t>НАЦИОНАЛЬНЫЕ ДОМЕНЫ ВЕРХНЕГО УРОВНЯ (НДВУ</w:t>
      </w:r>
      <w:r w:rsidRPr="000B79EF">
        <w:rPr>
          <w:u w:val="none"/>
          <w:lang w:val="ru-RU"/>
        </w:rPr>
        <w:t>)</w:t>
      </w:r>
    </w:p>
    <w:p w14:paraId="70FBD036" w14:textId="7F1E1CDD" w:rsidR="00110FCD" w:rsidRPr="008F7C92" w:rsidRDefault="00013DFA" w:rsidP="00110FCD">
      <w:pPr>
        <w:pStyle w:val="ListParagraph"/>
        <w:numPr>
          <w:ilvl w:val="0"/>
          <w:numId w:val="7"/>
        </w:numPr>
        <w:spacing w:after="240"/>
        <w:ind w:left="0" w:firstLine="0"/>
        <w:contextualSpacing w:val="0"/>
        <w:rPr>
          <w:lang w:val="ru-RU"/>
        </w:rPr>
      </w:pPr>
      <w:r w:rsidRPr="000B79EF">
        <w:rPr>
          <w:lang w:val="ru-RU"/>
        </w:rPr>
        <w:t>Хотя обязательное применение ЕПУС ограничивается доменными именами, зарегистрированными в таких рДВУ, как .com, а также в недавно созданных новых рДВУ, Центр также оказывает регистраторам нДВУ помощь в разработке условий регистрации и процедур разрешения споров, соответствующих передовому регистрационному опыту и нормам охраны прав ИС</w:t>
      </w:r>
      <w:r w:rsidRPr="000B79EF">
        <w:rPr>
          <w:vertAlign w:val="superscript"/>
          <w:lang w:val="ru-RU"/>
        </w:rPr>
        <w:footnoteReference w:id="39"/>
      </w:r>
      <w:r w:rsidRPr="000B79EF">
        <w:rPr>
          <w:lang w:val="ru-RU"/>
        </w:rPr>
        <w:t>.</w:t>
      </w:r>
      <w:r w:rsidRPr="000B79EF">
        <w:rPr>
          <w:vertAlign w:val="superscript"/>
          <w:lang w:val="ru-RU"/>
        </w:rPr>
        <w:t xml:space="preserve"> </w:t>
      </w:r>
      <w:r w:rsidRPr="000B79EF">
        <w:rPr>
          <w:lang w:val="ru-RU"/>
        </w:rPr>
        <w:t>Некоторые регистраторы нДВУ приняли ЕПУС полностью, в то время как другие взяли на вооружение основанные на ЕПУС процедуры, учитывающие конкретные обстоятельства и потребности нДВУ</w:t>
      </w:r>
      <w:r w:rsidR="00110FCD" w:rsidRPr="000B79EF">
        <w:rPr>
          <w:lang w:val="ru-RU"/>
        </w:rPr>
        <w:t xml:space="preserve">. </w:t>
      </w:r>
      <w:r w:rsidRPr="000B79EF">
        <w:rPr>
          <w:lang w:val="ru-RU"/>
        </w:rPr>
        <w:t xml:space="preserve">Центр также оказывает услуги по рассмотрению споров о доменных именах более чем </w:t>
      </w:r>
      <w:r w:rsidR="008F7C92">
        <w:rPr>
          <w:lang w:val="ru-RU"/>
        </w:rPr>
        <w:t>80</w:t>
      </w:r>
      <w:r w:rsidRPr="000B79EF">
        <w:rPr>
          <w:lang w:val="ru-RU"/>
        </w:rPr>
        <w:t> регистраторам нДВУ, в том числе доменам</w:t>
      </w:r>
      <w:r w:rsidR="005F580A" w:rsidRPr="000B79EF">
        <w:rPr>
          <w:lang w:val="ru-RU"/>
        </w:rPr>
        <w:t xml:space="preserve"> </w:t>
      </w:r>
      <w:r w:rsidR="008F7C92" w:rsidRPr="008F7C92">
        <w:rPr>
          <w:lang w:val="ru-RU"/>
        </w:rPr>
        <w:t>.</w:t>
      </w:r>
      <w:r w:rsidR="008F7C92" w:rsidRPr="008F7C92">
        <w:t>BH</w:t>
      </w:r>
      <w:r w:rsidR="008F7C92" w:rsidRPr="008F7C92">
        <w:rPr>
          <w:lang w:val="ru-RU"/>
        </w:rPr>
        <w:t xml:space="preserve"> </w:t>
      </w:r>
      <w:r w:rsidR="008F7C92">
        <w:rPr>
          <w:lang w:val="ru-RU"/>
        </w:rPr>
        <w:t>и</w:t>
      </w:r>
      <w:r w:rsidR="008F7C92" w:rsidRPr="008F7C92">
        <w:rPr>
          <w:lang w:val="ru-RU"/>
        </w:rPr>
        <w:t xml:space="preserve"> </w:t>
      </w:r>
      <w:r w:rsidR="008F7C92" w:rsidRPr="008F7C92">
        <w:t>البحرين</w:t>
      </w:r>
      <w:r w:rsidR="008F7C92" w:rsidRPr="008F7C92">
        <w:rPr>
          <w:lang w:val="ru-RU"/>
        </w:rPr>
        <w:t>. (</w:t>
      </w:r>
      <w:r w:rsidR="008F7C92">
        <w:rPr>
          <w:lang w:val="ru-RU"/>
        </w:rPr>
        <w:t>Бахрейн</w:t>
      </w:r>
      <w:r w:rsidR="008F7C92" w:rsidRPr="008F7C92">
        <w:rPr>
          <w:lang w:val="ru-RU"/>
        </w:rPr>
        <w:t xml:space="preserve">) </w:t>
      </w:r>
      <w:r w:rsidR="008F7C92">
        <w:rPr>
          <w:lang w:val="ru-RU"/>
        </w:rPr>
        <w:t>и</w:t>
      </w:r>
      <w:r w:rsidR="008F7C92" w:rsidRPr="008F7C92">
        <w:rPr>
          <w:lang w:val="ru-RU"/>
        </w:rPr>
        <w:t xml:space="preserve"> .</w:t>
      </w:r>
      <w:r w:rsidR="008F7C92" w:rsidRPr="008F7C92">
        <w:t>SN</w:t>
      </w:r>
      <w:r w:rsidR="008F7C92" w:rsidRPr="008F7C92">
        <w:rPr>
          <w:lang w:val="ru-RU"/>
        </w:rPr>
        <w:t xml:space="preserve"> (</w:t>
      </w:r>
      <w:r w:rsidR="008F7C92">
        <w:rPr>
          <w:lang w:val="ru-RU"/>
        </w:rPr>
        <w:t xml:space="preserve">Сенегал), </w:t>
      </w:r>
      <w:r w:rsidRPr="000B79EF">
        <w:rPr>
          <w:lang w:val="ru-RU"/>
        </w:rPr>
        <w:t>добавленным</w:t>
      </w:r>
      <w:r w:rsidRPr="008F7C92">
        <w:rPr>
          <w:lang w:val="ru-RU"/>
        </w:rPr>
        <w:t xml:space="preserve"> </w:t>
      </w:r>
      <w:r w:rsidR="008F7C92">
        <w:rPr>
          <w:lang w:val="ru-RU"/>
        </w:rPr>
        <w:t>после</w:t>
      </w:r>
      <w:r w:rsidR="008F7C92" w:rsidRPr="008F7C92">
        <w:rPr>
          <w:lang w:val="ru-RU"/>
        </w:rPr>
        <w:t xml:space="preserve"> </w:t>
      </w:r>
      <w:r w:rsidR="008F7C92">
        <w:rPr>
          <w:lang w:val="ru-RU"/>
        </w:rPr>
        <w:t>завершения прошлой серии заседаний Ассамблей</w:t>
      </w:r>
      <w:r w:rsidR="00110FCD" w:rsidRPr="000B79EF">
        <w:rPr>
          <w:vertAlign w:val="superscript"/>
          <w:lang w:val="ru-RU"/>
        </w:rPr>
        <w:footnoteReference w:id="40"/>
      </w:r>
      <w:r w:rsidR="008F7C92">
        <w:rPr>
          <w:lang w:val="ru-RU"/>
        </w:rPr>
        <w:t>.</w:t>
      </w:r>
      <w:r w:rsidR="00B75DBA" w:rsidRPr="008F7C92">
        <w:rPr>
          <w:lang w:val="ru-RU"/>
        </w:rPr>
        <w:t xml:space="preserve"> </w:t>
      </w:r>
      <w:r w:rsidR="009559E2" w:rsidRPr="008F7C92">
        <w:rPr>
          <w:lang w:val="ru-RU"/>
        </w:rPr>
        <w:t xml:space="preserve"> </w:t>
      </w:r>
    </w:p>
    <w:p w14:paraId="076FAC3E" w14:textId="05931134" w:rsidR="00110FCD" w:rsidRPr="000B79EF" w:rsidRDefault="00325B0C" w:rsidP="00110FCD">
      <w:pPr>
        <w:pStyle w:val="ListParagraph"/>
        <w:numPr>
          <w:ilvl w:val="0"/>
          <w:numId w:val="7"/>
        </w:numPr>
        <w:spacing w:after="240"/>
        <w:ind w:left="0" w:firstLine="0"/>
        <w:contextualSpacing w:val="0"/>
        <w:rPr>
          <w:lang w:val="ru-RU"/>
        </w:rPr>
      </w:pPr>
      <w:r w:rsidRPr="000B79EF">
        <w:rPr>
          <w:lang w:val="ru-RU"/>
        </w:rPr>
        <w:t>Для всех нДВУ Центр предлагает увеличенный объем онлайновой информации, в том числе критерии приемлемости для регистрации, поддерживаемые наборы символов, а также типовые состязательные документы и заявления на многих языках</w:t>
      </w:r>
      <w:r w:rsidRPr="000B79EF">
        <w:rPr>
          <w:rStyle w:val="FootnoteReference"/>
          <w:lang w:val="ru-RU"/>
        </w:rPr>
        <w:footnoteReference w:id="41"/>
      </w:r>
      <w:r w:rsidRPr="000B79EF">
        <w:rPr>
          <w:lang w:val="ru-RU"/>
        </w:rPr>
        <w:t>, и краткую информацию о важных различиях между основанными на ЕПУС процедурами, применяемыми нДВУ, и непосредственно ЕПУС</w:t>
      </w:r>
      <w:r w:rsidRPr="000B79EF">
        <w:rPr>
          <w:rStyle w:val="FootnoteReference"/>
          <w:lang w:val="ru-RU"/>
        </w:rPr>
        <w:footnoteReference w:id="42"/>
      </w:r>
      <w:r w:rsidRPr="000B79EF">
        <w:rPr>
          <w:lang w:val="ru-RU"/>
        </w:rPr>
        <w:t>. Эта информация обобщена в Руководстве по услугам ВОИС для регистраторов национальных доменов верхнего уровня</w:t>
      </w:r>
      <w:r w:rsidRPr="000B79EF">
        <w:rPr>
          <w:rStyle w:val="FootnoteReference"/>
          <w:shd w:val="clear" w:color="auto" w:fill="FFFFFF" w:themeFill="background1"/>
          <w:lang w:val="ru-RU"/>
        </w:rPr>
        <w:footnoteReference w:id="43"/>
      </w:r>
      <w:r w:rsidRPr="000B79EF">
        <w:rPr>
          <w:shd w:val="clear" w:color="auto" w:fill="FFFFFF" w:themeFill="background1"/>
          <w:lang w:val="ru-RU"/>
        </w:rPr>
        <w:t>.</w:t>
      </w:r>
    </w:p>
    <w:p w14:paraId="622F8D7B" w14:textId="0B359EE4" w:rsidR="00110FCD" w:rsidRPr="000B79EF" w:rsidRDefault="00110FCD" w:rsidP="00110FCD">
      <w:pPr>
        <w:pStyle w:val="Heading2"/>
        <w:rPr>
          <w:lang w:val="ru-RU"/>
        </w:rPr>
      </w:pPr>
      <w:r w:rsidRPr="000B79EF">
        <w:rPr>
          <w:lang w:val="ru-RU"/>
        </w:rPr>
        <w:t>III.</w:t>
      </w:r>
      <w:r w:rsidRPr="000B79EF">
        <w:rPr>
          <w:lang w:val="ru-RU"/>
        </w:rPr>
        <w:tab/>
      </w:r>
      <w:r w:rsidR="00325B0C" w:rsidRPr="000B79EF">
        <w:rPr>
          <w:lang w:val="ru-RU"/>
        </w:rPr>
        <w:t>ИЗМЕНЕНИЯ В ПОЛИТИКЕ В ОТНОШЕНИИ DNS</w:t>
      </w:r>
      <w:r w:rsidRPr="000B79EF">
        <w:rPr>
          <w:lang w:val="ru-RU"/>
        </w:rPr>
        <w:t xml:space="preserve"> </w:t>
      </w:r>
    </w:p>
    <w:p w14:paraId="5553820C" w14:textId="279CD759" w:rsidR="00110FCD" w:rsidRPr="000B79EF" w:rsidRDefault="00110FCD" w:rsidP="00110FCD">
      <w:pPr>
        <w:pStyle w:val="ListParagraph"/>
        <w:widowControl w:val="0"/>
        <w:numPr>
          <w:ilvl w:val="0"/>
          <w:numId w:val="7"/>
        </w:numPr>
        <w:spacing w:before="240" w:after="240"/>
        <w:ind w:left="0" w:firstLine="0"/>
        <w:contextualSpacing w:val="0"/>
        <w:rPr>
          <w:lang w:val="ru-RU"/>
        </w:rPr>
      </w:pPr>
      <w:r w:rsidRPr="000B79EF">
        <w:rPr>
          <w:lang w:val="ru-RU"/>
        </w:rPr>
        <w:t xml:space="preserve">A </w:t>
      </w:r>
      <w:r w:rsidR="004D4CBB" w:rsidRPr="000B79EF">
        <w:rPr>
          <w:lang w:val="ru-RU"/>
        </w:rPr>
        <w:t>Ряд изменений в политике ICANN создает не только возможности, но и проблемы для обладателей и пользователей прав ИС</w:t>
      </w:r>
      <w:r w:rsidRPr="000B79EF">
        <w:rPr>
          <w:lang w:val="ru-RU"/>
        </w:rPr>
        <w:t xml:space="preserve">. </w:t>
      </w:r>
      <w:r w:rsidR="004D4CBB" w:rsidRPr="000B79EF">
        <w:rPr>
          <w:lang w:val="ru-RU"/>
        </w:rPr>
        <w:t xml:space="preserve">Одна из таких проблем связана с введением ICANN значительного числа новых рДВУ. Такие новые рДВУ могут быть как «открытыми» по своему характеру (аналогично .com), так и приобретать более специализированный или ограничительный характер, принимая такую форму, как .[бренд], .[город], .[сообщество], .[культура], .[отрасль] или .[язык]. Еще одним заслуживающим внимания элементом такого роста системы DNS стало появление интернационализированных доменных имен (ИДИ) верхнего уровня, т. е. расширение языковых возможностей DNS. </w:t>
      </w:r>
      <w:r w:rsidR="004D4CBB" w:rsidRPr="000B79EF">
        <w:rPr>
          <w:lang w:val="ru-RU"/>
        </w:rPr>
        <w:lastRenderedPageBreak/>
        <w:t xml:space="preserve">Кроме того, планируемое ICANN расширение DNS вызывает вопросы охраны прав с точки зрения Второго процесса ВОИС по доменным именам в </w:t>
      </w:r>
      <w:r w:rsidR="00091AE5">
        <w:rPr>
          <w:lang w:val="ru-RU"/>
        </w:rPr>
        <w:t>и</w:t>
      </w:r>
      <w:r w:rsidR="004D4CBB" w:rsidRPr="000B79EF">
        <w:rPr>
          <w:lang w:val="ru-RU"/>
        </w:rPr>
        <w:t>нтернете.</w:t>
      </w:r>
    </w:p>
    <w:p w14:paraId="7FB0E271" w14:textId="2FAEB009" w:rsidR="00110FCD" w:rsidRPr="000B79EF" w:rsidRDefault="00110FCD" w:rsidP="00110FCD">
      <w:pPr>
        <w:pStyle w:val="Heading3"/>
        <w:ind w:firstLine="567"/>
        <w:rPr>
          <w:u w:val="none"/>
          <w:lang w:val="ru-RU"/>
        </w:rPr>
      </w:pPr>
      <w:r w:rsidRPr="000B79EF">
        <w:rPr>
          <w:u w:val="none"/>
          <w:lang w:val="ru-RU"/>
        </w:rPr>
        <w:t>A.</w:t>
      </w:r>
      <w:r w:rsidRPr="000B79EF">
        <w:rPr>
          <w:u w:val="none"/>
          <w:lang w:val="ru-RU"/>
        </w:rPr>
        <w:tab/>
      </w:r>
      <w:r w:rsidR="004D4CBB" w:rsidRPr="000B79EF">
        <w:rPr>
          <w:u w:val="none"/>
          <w:lang w:val="ru-RU"/>
        </w:rPr>
        <w:t>НОВЫЕ РДВУ</w:t>
      </w:r>
    </w:p>
    <w:p w14:paraId="3FEC1252" w14:textId="512A22DA" w:rsidR="00110FCD" w:rsidRPr="000B79EF" w:rsidRDefault="004D4CBB" w:rsidP="00110FCD">
      <w:pPr>
        <w:pStyle w:val="ListParagraph"/>
        <w:numPr>
          <w:ilvl w:val="0"/>
          <w:numId w:val="7"/>
        </w:numPr>
        <w:spacing w:before="240" w:after="240"/>
        <w:ind w:left="0" w:firstLine="0"/>
        <w:contextualSpacing w:val="0"/>
        <w:rPr>
          <w:szCs w:val="22"/>
          <w:lang w:val="ru-RU"/>
        </w:rPr>
      </w:pPr>
      <w:r w:rsidRPr="000B79EF">
        <w:rPr>
          <w:lang w:val="ru-RU"/>
        </w:rPr>
        <w:t>Подробная информация, касающаяся реализации программы введения новых рДВУ, официально одобренной ICANN в июне 2011 г.</w:t>
      </w:r>
      <w:r w:rsidRPr="000B79EF">
        <w:rPr>
          <w:rStyle w:val="FootnoteReference"/>
          <w:rFonts w:eastAsia="SimSun"/>
          <w:szCs w:val="22"/>
          <w:lang w:val="ru-RU"/>
        </w:rPr>
        <w:footnoteReference w:id="44"/>
      </w:r>
      <w:r w:rsidRPr="000B79EF">
        <w:rPr>
          <w:lang w:val="ru-RU"/>
        </w:rPr>
        <w:t>, публикуется в постоянно переиздаваемом «Руководстве для заявителя»</w:t>
      </w:r>
      <w:r w:rsidRPr="000B79EF">
        <w:rPr>
          <w:vertAlign w:val="superscript"/>
          <w:lang w:val="ru-RU"/>
        </w:rPr>
        <w:footnoteReference w:id="45"/>
      </w:r>
      <w:r w:rsidRPr="000B79EF">
        <w:rPr>
          <w:lang w:val="ru-RU"/>
        </w:rPr>
        <w:t>. Первые новые рДВУ в корневой зоне интернета были делегированы в октябре 2013 г., а к июню 2019 г. было делегировано еще свыше 1200 рДВУ, почти все из которых были с уникальными именами</w:t>
      </w:r>
      <w:r w:rsidRPr="000B79EF">
        <w:rPr>
          <w:rStyle w:val="FootnoteReference"/>
          <w:rFonts w:eastAsia="SimSun"/>
          <w:szCs w:val="22"/>
          <w:shd w:val="clear" w:color="auto" w:fill="FFFFFF" w:themeFill="background1"/>
          <w:lang w:val="ru-RU"/>
        </w:rPr>
        <w:footnoteReference w:id="46"/>
      </w:r>
      <w:r w:rsidRPr="000B79EF">
        <w:rPr>
          <w:lang w:val="ru-RU"/>
        </w:rPr>
        <w:t>.</w:t>
      </w:r>
      <w:r w:rsidRPr="000B79EF">
        <w:rPr>
          <w:szCs w:val="22"/>
          <w:shd w:val="clear" w:color="auto" w:fill="FFFFFF" w:themeFill="background1"/>
          <w:lang w:val="ru-RU"/>
        </w:rPr>
        <w:t xml:space="preserve"> Вероятно, в ближайшие годы ICANN планирует провести еще один раунд приема заявок на новые рДВУ</w:t>
      </w:r>
      <w:r w:rsidR="006703D7" w:rsidRPr="000B79EF">
        <w:rPr>
          <w:rStyle w:val="FootnoteReference"/>
          <w:szCs w:val="22"/>
          <w:shd w:val="clear" w:color="auto" w:fill="FFFFFF" w:themeFill="background1"/>
          <w:lang w:val="ru-RU"/>
        </w:rPr>
        <w:footnoteReference w:id="47"/>
      </w:r>
      <w:r w:rsidRPr="000B79EF">
        <w:rPr>
          <w:szCs w:val="22"/>
          <w:shd w:val="clear" w:color="auto" w:fill="FFFFFF" w:themeFill="background1"/>
          <w:lang w:val="ru-RU"/>
        </w:rPr>
        <w:t>.</w:t>
      </w:r>
    </w:p>
    <w:p w14:paraId="5E87A4A3" w14:textId="3A0B23E4" w:rsidR="00110FCD" w:rsidRPr="000B79EF" w:rsidRDefault="004D4CBB" w:rsidP="00110FCD">
      <w:pPr>
        <w:pStyle w:val="ListParagraph"/>
        <w:keepNext/>
        <w:keepLines/>
        <w:numPr>
          <w:ilvl w:val="0"/>
          <w:numId w:val="7"/>
        </w:numPr>
        <w:spacing w:after="240"/>
        <w:ind w:left="0" w:firstLine="0"/>
        <w:contextualSpacing w:val="0"/>
        <w:rPr>
          <w:szCs w:val="22"/>
          <w:lang w:val="ru-RU"/>
        </w:rPr>
      </w:pPr>
      <w:r w:rsidRPr="000B79EF">
        <w:rPr>
          <w:lang w:val="ru-RU"/>
        </w:rPr>
        <w:t>Центр по-прежнему стремится сотрудничать с заинтересованными сторонами, стараясь обеспечить соблюдение общих принципов охраны ИС в новых рДВУ. В результате нескольких заседаний комитетов ICANN и процедур создания новых рДВУ был выработан ряд МОП</w:t>
      </w:r>
      <w:r w:rsidRPr="000B79EF">
        <w:rPr>
          <w:rStyle w:val="FootnoteReference"/>
          <w:rFonts w:eastAsia="SimSun"/>
          <w:szCs w:val="22"/>
          <w:lang w:val="ru-RU"/>
        </w:rPr>
        <w:footnoteReference w:id="48"/>
      </w:r>
      <w:r w:rsidRPr="000B79EF">
        <w:rPr>
          <w:lang w:val="ru-RU"/>
        </w:rPr>
        <w:t>. Ниже приводится общее описание таких МОП, одобренных ICANN для доменов верхнего и второго уровней, соответственно</w:t>
      </w:r>
      <w:r w:rsidR="00110FCD" w:rsidRPr="000B79EF">
        <w:rPr>
          <w:szCs w:val="22"/>
          <w:lang w:val="ru-RU"/>
        </w:rPr>
        <w:t>.</w:t>
      </w:r>
    </w:p>
    <w:p w14:paraId="14C3DAAF" w14:textId="0AC19F2D" w:rsidR="00110FCD" w:rsidRPr="000B79EF" w:rsidRDefault="00110FCD" w:rsidP="00110FCD">
      <w:pPr>
        <w:pStyle w:val="Heading3"/>
        <w:ind w:firstLine="567"/>
        <w:rPr>
          <w:lang w:val="ru-RU"/>
        </w:rPr>
      </w:pPr>
      <w:r w:rsidRPr="000B79EF">
        <w:rPr>
          <w:u w:val="none"/>
          <w:lang w:val="ru-RU"/>
        </w:rPr>
        <w:t>(a)</w:t>
      </w:r>
      <w:r w:rsidRPr="000B79EF">
        <w:rPr>
          <w:u w:val="none"/>
          <w:lang w:val="ru-RU"/>
        </w:rPr>
        <w:tab/>
      </w:r>
      <w:r w:rsidR="004D4CBB" w:rsidRPr="000B79EF">
        <w:rPr>
          <w:lang w:val="ru-RU"/>
        </w:rPr>
        <w:t>МОП для доменов верхнего уровня</w:t>
      </w:r>
    </w:p>
    <w:p w14:paraId="38A91A68" w14:textId="47730A79" w:rsidR="00110FCD" w:rsidRPr="000B79EF" w:rsidRDefault="00110FCD" w:rsidP="004D4CBB">
      <w:pPr>
        <w:pStyle w:val="Heading4"/>
        <w:ind w:left="1701" w:hanging="567"/>
        <w:rPr>
          <w:lang w:val="ru-RU"/>
        </w:rPr>
      </w:pPr>
      <w:r w:rsidRPr="000B79EF">
        <w:rPr>
          <w:i w:val="0"/>
          <w:lang w:val="ru-RU"/>
        </w:rPr>
        <w:t>(i)</w:t>
      </w:r>
      <w:r w:rsidRPr="000B79EF">
        <w:rPr>
          <w:lang w:val="ru-RU"/>
        </w:rPr>
        <w:tab/>
      </w:r>
      <w:r w:rsidR="004D4CBB" w:rsidRPr="000B79EF">
        <w:rPr>
          <w:i w:val="0"/>
          <w:u w:val="single"/>
          <w:lang w:val="ru-RU"/>
        </w:rPr>
        <w:t>Процедура урегулирования споров, предшествующая делегированию (ДВУ)</w:t>
      </w:r>
    </w:p>
    <w:p w14:paraId="4A66CF6A" w14:textId="41F9C22B" w:rsidR="00110FCD" w:rsidRPr="000B79EF" w:rsidRDefault="004D4CBB" w:rsidP="006942C5">
      <w:pPr>
        <w:pStyle w:val="ListParagraph"/>
        <w:numPr>
          <w:ilvl w:val="0"/>
          <w:numId w:val="7"/>
        </w:numPr>
        <w:spacing w:before="240" w:after="240"/>
        <w:ind w:left="0" w:firstLine="0"/>
        <w:contextualSpacing w:val="0"/>
        <w:rPr>
          <w:szCs w:val="22"/>
          <w:lang w:val="ru-RU"/>
        </w:rPr>
      </w:pPr>
      <w:r w:rsidRPr="000B79EF">
        <w:rPr>
          <w:lang w:val="ru-RU"/>
        </w:rPr>
        <w:t>Данный механизм дал владельцам товарных знаков возможность направлять в связи с заявками на создание новых рДВУ «возражения на основании юридических прав» (LRO) при условии соблюдения некоторых основных критериев</w:t>
      </w:r>
      <w:r w:rsidRPr="000B79EF">
        <w:rPr>
          <w:rStyle w:val="FootnoteReference"/>
          <w:rFonts w:eastAsia="SimSun"/>
          <w:szCs w:val="22"/>
          <w:lang w:val="ru-RU"/>
        </w:rPr>
        <w:footnoteReference w:id="49"/>
      </w:r>
      <w:r w:rsidRPr="000B79EF">
        <w:rPr>
          <w:lang w:val="ru-RU"/>
        </w:rPr>
        <w:t>. Центр оказал ICANN помощь в разработке таких критериев на основе «Совместной рекомендации ВОИС в отношении норм, касающихся охраны знаков и других прав промышленной собственности на обозначения, используемые в сети Интернет»</w:t>
      </w:r>
      <w:r w:rsidRPr="000B79EF">
        <w:rPr>
          <w:vertAlign w:val="superscript"/>
          <w:lang w:val="ru-RU"/>
        </w:rPr>
        <w:footnoteReference w:id="50"/>
      </w:r>
      <w:r w:rsidRPr="000B79EF">
        <w:rPr>
          <w:lang w:val="ru-RU"/>
        </w:rPr>
        <w:t xml:space="preserve">. Назначенный </w:t>
      </w:r>
      <w:r w:rsidR="00110FCD" w:rsidRPr="000B79EF">
        <w:rPr>
          <w:szCs w:val="22"/>
          <w:lang w:val="ru-RU"/>
        </w:rPr>
        <w:t xml:space="preserve">ICANN </w:t>
      </w:r>
      <w:r w:rsidRPr="000B79EF">
        <w:rPr>
          <w:lang w:val="ru-RU"/>
        </w:rPr>
        <w:t>эксклюзивным органом рассмотрения споров, возбуждаемых путем подачи LRO</w:t>
      </w:r>
      <w:r w:rsidRPr="000B79EF">
        <w:rPr>
          <w:rStyle w:val="FootnoteReference"/>
          <w:rFonts w:eastAsia="SimSun"/>
          <w:szCs w:val="22"/>
          <w:lang w:val="ru-RU"/>
        </w:rPr>
        <w:footnoteReference w:id="51"/>
      </w:r>
      <w:r w:rsidRPr="000B79EF">
        <w:rPr>
          <w:lang w:val="ru-RU"/>
        </w:rPr>
        <w:t>,</w:t>
      </w:r>
      <w:r w:rsidR="00110FCD" w:rsidRPr="000B79EF">
        <w:rPr>
          <w:bCs/>
          <w:szCs w:val="22"/>
          <w:lang w:val="ru-RU"/>
        </w:rPr>
        <w:t xml:space="preserve"> </w:t>
      </w:r>
      <w:r w:rsidRPr="000B79EF">
        <w:rPr>
          <w:bCs/>
          <w:szCs w:val="22"/>
          <w:lang w:val="ru-RU"/>
        </w:rPr>
        <w:t xml:space="preserve">в 2013 г. Центр рассмотрел 69 </w:t>
      </w:r>
      <w:r w:rsidR="00110FCD" w:rsidRPr="000B79EF">
        <w:rPr>
          <w:szCs w:val="22"/>
          <w:lang w:val="ru-RU"/>
        </w:rPr>
        <w:t>LRO</w:t>
      </w:r>
      <w:r w:rsidRPr="000B79EF">
        <w:rPr>
          <w:szCs w:val="22"/>
          <w:lang w:val="ru-RU"/>
        </w:rPr>
        <w:t xml:space="preserve">, соответствующих </w:t>
      </w:r>
      <w:r w:rsidRPr="000B79EF">
        <w:rPr>
          <w:lang w:val="ru-RU"/>
        </w:rPr>
        <w:t>установленным процедурным требованиям</w:t>
      </w:r>
      <w:r w:rsidR="00110FCD" w:rsidRPr="000B79EF">
        <w:rPr>
          <w:rStyle w:val="FootnoteReference"/>
          <w:rFonts w:eastAsia="SimSun"/>
          <w:szCs w:val="22"/>
          <w:lang w:val="ru-RU"/>
        </w:rPr>
        <w:footnoteReference w:id="52"/>
      </w:r>
      <w:r w:rsidR="00355BAC" w:rsidRPr="000B79EF">
        <w:rPr>
          <w:lang w:val="ru-RU"/>
        </w:rPr>
        <w:t>.</w:t>
      </w:r>
      <w:r w:rsidR="00110FCD" w:rsidRPr="000B79EF">
        <w:rPr>
          <w:szCs w:val="22"/>
          <w:lang w:val="ru-RU"/>
        </w:rPr>
        <w:t xml:space="preserve"> </w:t>
      </w:r>
    </w:p>
    <w:p w14:paraId="652FE1DC" w14:textId="54F7CDB9" w:rsidR="00110FCD" w:rsidRPr="000B79EF" w:rsidRDefault="00110FCD" w:rsidP="00110FCD">
      <w:pPr>
        <w:pStyle w:val="Heading4"/>
        <w:ind w:left="567" w:firstLine="567"/>
        <w:rPr>
          <w:i w:val="0"/>
          <w:u w:val="single"/>
          <w:lang w:val="ru-RU"/>
        </w:rPr>
      </w:pPr>
      <w:r w:rsidRPr="000B79EF">
        <w:rPr>
          <w:i w:val="0"/>
          <w:lang w:val="ru-RU"/>
        </w:rPr>
        <w:lastRenderedPageBreak/>
        <w:t>(ii)</w:t>
      </w:r>
      <w:r w:rsidRPr="000B79EF">
        <w:rPr>
          <w:i w:val="0"/>
          <w:lang w:val="ru-RU"/>
        </w:rPr>
        <w:tab/>
      </w:r>
      <w:r w:rsidR="00355BAC" w:rsidRPr="000B79EF">
        <w:rPr>
          <w:i w:val="0"/>
          <w:u w:val="single"/>
          <w:lang w:val="ru-RU"/>
        </w:rPr>
        <w:t>Процедура урегулирования споров после делегирования (ДВУ) (PDDRP</w:t>
      </w:r>
      <w:r w:rsidRPr="000B79EF">
        <w:rPr>
          <w:i w:val="0"/>
          <w:u w:val="single"/>
          <w:lang w:val="ru-RU"/>
        </w:rPr>
        <w:t xml:space="preserve">) </w:t>
      </w:r>
    </w:p>
    <w:p w14:paraId="78F89248" w14:textId="082AAD57" w:rsidR="00110FCD" w:rsidRPr="000B79EF" w:rsidRDefault="00355BAC" w:rsidP="00110FCD">
      <w:pPr>
        <w:pStyle w:val="ListParagraph"/>
        <w:numPr>
          <w:ilvl w:val="0"/>
          <w:numId w:val="7"/>
        </w:numPr>
        <w:spacing w:before="240" w:after="240"/>
        <w:ind w:left="0" w:firstLine="0"/>
        <w:contextualSpacing w:val="0"/>
        <w:rPr>
          <w:szCs w:val="22"/>
          <w:lang w:val="ru-RU"/>
        </w:rPr>
      </w:pPr>
      <w:r w:rsidRPr="000B79EF">
        <w:rPr>
          <w:lang w:val="ru-RU"/>
        </w:rPr>
        <w:t>В начале 2009 г. Центр направил в ICANN конкретное содержательное предложение в отношении введения постоянного административного механизма, позволяющего подавать жалобы на регистраторов вновь делегированных рДВУ, чьи действия по управлению реестром предположительно привели к злоупотреблениям товарными знаками или в значительной мере способствовали таким злоупотреблениям</w:t>
      </w:r>
      <w:r w:rsidRPr="000B79EF">
        <w:rPr>
          <w:vertAlign w:val="superscript"/>
          <w:lang w:val="ru-RU"/>
        </w:rPr>
        <w:footnoteReference w:id="53"/>
      </w:r>
      <w:r w:rsidRPr="000B79EF">
        <w:rPr>
          <w:lang w:val="ru-RU"/>
        </w:rPr>
        <w:t>. Цель данного предложения заключалась в том, чтобы поддержать собственные функции ICANN по надзору за соблюдением законодательства стандартизированной процедурой, основанной на административной альтернативе судебному разбирательству, обеспечивающей ответственное поведение соответствующих сторон и предусматривающей соответствующие «зоны безопасности»</w:t>
      </w:r>
      <w:r w:rsidRPr="000B79EF">
        <w:rPr>
          <w:rStyle w:val="FootnoteReference"/>
          <w:rFonts w:eastAsia="SimSun"/>
          <w:szCs w:val="22"/>
          <w:lang w:val="ru-RU"/>
        </w:rPr>
        <w:footnoteReference w:id="54"/>
      </w:r>
      <w:r w:rsidRPr="000B79EF">
        <w:rPr>
          <w:lang w:val="ru-RU"/>
        </w:rPr>
        <w:t>.</w:t>
      </w:r>
      <w:r w:rsidR="00110FCD" w:rsidRPr="000B79EF">
        <w:rPr>
          <w:szCs w:val="22"/>
          <w:lang w:val="ru-RU"/>
        </w:rPr>
        <w:t xml:space="preserve"> </w:t>
      </w:r>
    </w:p>
    <w:p w14:paraId="7310BA6E" w14:textId="61188298" w:rsidR="00110FCD" w:rsidRPr="000B79EF" w:rsidRDefault="00355BAC" w:rsidP="00110FCD">
      <w:pPr>
        <w:pStyle w:val="ListParagraph"/>
        <w:numPr>
          <w:ilvl w:val="0"/>
          <w:numId w:val="7"/>
        </w:numPr>
        <w:spacing w:after="240"/>
        <w:ind w:left="0" w:firstLine="0"/>
        <w:contextualSpacing w:val="0"/>
        <w:rPr>
          <w:szCs w:val="22"/>
          <w:lang w:val="ru-RU"/>
        </w:rPr>
      </w:pPr>
      <w:r w:rsidRPr="000B79EF">
        <w:rPr>
          <w:lang w:val="ru-RU"/>
        </w:rPr>
        <w:t>После различных процессов ICANN, включая консультации с регистраторами, эффективность этой процедуры PDDRP в том виде, в каком она принята ICANN, по-прежнему вызывает сомнения, в частности в связи с добавлением дублирующих друг друга процедурных слоев и вопросов, касающихся планируемого фактического объема применения этого механизма, таких как предусмотренное исключение «умышленного неведения» в качестве правового основания</w:t>
      </w:r>
      <w:r w:rsidR="00563BC2" w:rsidRPr="000B79EF">
        <w:rPr>
          <w:rStyle w:val="FootnoteReference"/>
          <w:szCs w:val="22"/>
          <w:lang w:val="ru-RU"/>
        </w:rPr>
        <w:footnoteReference w:id="55"/>
      </w:r>
      <w:r w:rsidRPr="000B79EF">
        <w:rPr>
          <w:lang w:val="ru-RU"/>
        </w:rPr>
        <w:t>.</w:t>
      </w:r>
      <w:r w:rsidR="00110FCD" w:rsidRPr="000B79EF">
        <w:rPr>
          <w:szCs w:val="22"/>
          <w:lang w:val="ru-RU"/>
        </w:rPr>
        <w:t xml:space="preserve"> </w:t>
      </w:r>
    </w:p>
    <w:p w14:paraId="63CD0BEA" w14:textId="60814309" w:rsidR="00110FCD" w:rsidRPr="000B79EF" w:rsidRDefault="00110FCD" w:rsidP="00110FCD">
      <w:pPr>
        <w:pStyle w:val="Heading3"/>
        <w:ind w:firstLine="567"/>
        <w:rPr>
          <w:lang w:val="ru-RU"/>
        </w:rPr>
      </w:pPr>
      <w:r w:rsidRPr="000B79EF">
        <w:rPr>
          <w:u w:val="none"/>
          <w:lang w:val="ru-RU"/>
        </w:rPr>
        <w:t>(b)</w:t>
      </w:r>
      <w:r w:rsidRPr="000B79EF">
        <w:rPr>
          <w:u w:val="none"/>
          <w:lang w:val="ru-RU"/>
        </w:rPr>
        <w:tab/>
      </w:r>
      <w:r w:rsidR="00355BAC" w:rsidRPr="000B79EF">
        <w:rPr>
          <w:lang w:val="ru-RU"/>
        </w:rPr>
        <w:t>МОП для доменов второго уровня</w:t>
      </w:r>
    </w:p>
    <w:p w14:paraId="4C4EF6E2" w14:textId="1CF2C104" w:rsidR="00110FCD" w:rsidRPr="000B79EF" w:rsidRDefault="00110FCD" w:rsidP="00110FCD">
      <w:pPr>
        <w:pStyle w:val="Heading4"/>
        <w:ind w:left="567" w:firstLine="567"/>
        <w:rPr>
          <w:i w:val="0"/>
          <w:lang w:val="ru-RU"/>
        </w:rPr>
      </w:pPr>
      <w:r w:rsidRPr="000B79EF">
        <w:rPr>
          <w:i w:val="0"/>
          <w:lang w:val="ru-RU"/>
        </w:rPr>
        <w:t>(i)</w:t>
      </w:r>
      <w:r w:rsidRPr="000B79EF">
        <w:rPr>
          <w:i w:val="0"/>
          <w:lang w:val="ru-RU"/>
        </w:rPr>
        <w:tab/>
      </w:r>
      <w:r w:rsidR="00355BAC" w:rsidRPr="000B79EF">
        <w:rPr>
          <w:i w:val="0"/>
          <w:u w:val="single"/>
          <w:lang w:val="ru-RU"/>
        </w:rPr>
        <w:t>Центр обмена информацией о товарных знаках (ЦОИТЗ</w:t>
      </w:r>
      <w:r w:rsidRPr="000B79EF">
        <w:rPr>
          <w:i w:val="0"/>
          <w:u w:val="single"/>
          <w:lang w:val="ru-RU"/>
        </w:rPr>
        <w:t>)</w:t>
      </w:r>
    </w:p>
    <w:p w14:paraId="0C622501" w14:textId="03E63B42" w:rsidR="00110FCD" w:rsidRPr="000B79EF" w:rsidRDefault="00355BAC" w:rsidP="00110FCD">
      <w:pPr>
        <w:pStyle w:val="ListParagraph"/>
        <w:numPr>
          <w:ilvl w:val="0"/>
          <w:numId w:val="7"/>
        </w:numPr>
        <w:spacing w:before="240" w:after="240"/>
        <w:ind w:left="0" w:firstLine="0"/>
        <w:contextualSpacing w:val="0"/>
        <w:rPr>
          <w:lang w:val="ru-RU"/>
        </w:rPr>
      </w:pPr>
      <w:r w:rsidRPr="000B79EF">
        <w:rPr>
          <w:lang w:val="ru-RU"/>
        </w:rPr>
        <w:t>Программа ICANN по введению новых рДВУ предусматривает создание Центра обмена информацией о товарных знаках (ЦОИТЗ) – централизованного хранилища проверенных данных о товарных знаках, которые могут использоваться в качестве оснований для подачи жалоб на основании МОП, предусмотренных для новых рДВУ</w:t>
      </w:r>
      <w:r w:rsidRPr="000B79EF">
        <w:rPr>
          <w:rStyle w:val="FootnoteReference"/>
          <w:rFonts w:eastAsia="SimSun"/>
          <w:lang w:val="ru-RU"/>
        </w:rPr>
        <w:footnoteReference w:id="56"/>
      </w:r>
      <w:r w:rsidRPr="000B79EF">
        <w:rPr>
          <w:lang w:val="ru-RU"/>
        </w:rPr>
        <w:t xml:space="preserve">.Центр отметил, что ЦОИТЗ не должен создавать неоправданных проблем для </w:t>
      </w:r>
      <w:r w:rsidRPr="000B79EF">
        <w:rPr>
          <w:lang w:val="ru-RU"/>
        </w:rPr>
        <w:lastRenderedPageBreak/>
        <w:t>правообладателей в подходе к их правам на товарные знаки, правомерно зарегистрированным путем использования экспертных и регистрационных систем, применяемых во многих странах мира, и в соответствующих случаях могут быть предусмотрены практические меры для выявления каких-то предположительно неправомерных ссылок на наличие прав в конкретных ситуациях</w:t>
      </w:r>
      <w:r w:rsidR="00110FCD" w:rsidRPr="000B79EF">
        <w:rPr>
          <w:lang w:val="ru-RU"/>
        </w:rPr>
        <w:t xml:space="preserve">. </w:t>
      </w:r>
      <w:r w:rsidR="00163857">
        <w:rPr>
          <w:lang w:val="ru-RU"/>
        </w:rPr>
        <w:t>Ч</w:t>
      </w:r>
      <w:r w:rsidR="00F508DB" w:rsidRPr="000B79EF">
        <w:rPr>
          <w:shd w:val="clear" w:color="auto" w:fill="FFFFFF" w:themeFill="background1"/>
          <w:lang w:val="ru-RU"/>
        </w:rPr>
        <w:t>исло товарных знаков, данные о которых получены ЦОИТЗ, превысило 4</w:t>
      </w:r>
      <w:r w:rsidR="00163857">
        <w:rPr>
          <w:shd w:val="clear" w:color="auto" w:fill="FFFFFF" w:themeFill="background1"/>
          <w:lang w:val="ru-RU"/>
        </w:rPr>
        <w:t>7</w:t>
      </w:r>
      <w:r w:rsidR="00F508DB" w:rsidRPr="000B79EF">
        <w:rPr>
          <w:shd w:val="clear" w:color="auto" w:fill="FFFFFF" w:themeFill="background1"/>
          <w:lang w:val="ru-RU"/>
        </w:rPr>
        <w:t> </w:t>
      </w:r>
      <w:r w:rsidR="00163857">
        <w:rPr>
          <w:shd w:val="clear" w:color="auto" w:fill="FFFFFF" w:themeFill="background1"/>
          <w:lang w:val="ru-RU"/>
        </w:rPr>
        <w:t>0</w:t>
      </w:r>
      <w:r w:rsidR="00F508DB" w:rsidRPr="000B79EF">
        <w:rPr>
          <w:shd w:val="clear" w:color="auto" w:fill="FFFFFF" w:themeFill="background1"/>
          <w:lang w:val="ru-RU"/>
        </w:rPr>
        <w:t>00</w:t>
      </w:r>
      <w:r w:rsidR="00F508DB" w:rsidRPr="000B79EF">
        <w:rPr>
          <w:rStyle w:val="FootnoteReference"/>
          <w:rFonts w:eastAsia="SimSun"/>
          <w:szCs w:val="22"/>
          <w:shd w:val="clear" w:color="auto" w:fill="FFFFFF" w:themeFill="background1"/>
          <w:lang w:val="ru-RU"/>
        </w:rPr>
        <w:footnoteReference w:id="57"/>
      </w:r>
      <w:r w:rsidR="00F508DB" w:rsidRPr="000B79EF">
        <w:rPr>
          <w:shd w:val="clear" w:color="auto" w:fill="FFFFFF" w:themeFill="background1"/>
          <w:lang w:val="ru-RU"/>
        </w:rPr>
        <w:t>.</w:t>
      </w:r>
    </w:p>
    <w:p w14:paraId="2C32563B" w14:textId="170DA382" w:rsidR="00110FCD" w:rsidRPr="000B79EF" w:rsidRDefault="00110FCD" w:rsidP="00110FCD">
      <w:pPr>
        <w:pStyle w:val="Heading4"/>
        <w:ind w:left="567" w:firstLine="567"/>
        <w:rPr>
          <w:i w:val="0"/>
          <w:color w:val="000000"/>
          <w:lang w:val="ru-RU"/>
        </w:rPr>
      </w:pPr>
      <w:r w:rsidRPr="000B79EF">
        <w:rPr>
          <w:i w:val="0"/>
          <w:lang w:val="ru-RU"/>
        </w:rPr>
        <w:t>(ii)</w:t>
      </w:r>
      <w:r w:rsidRPr="000B79EF">
        <w:rPr>
          <w:i w:val="0"/>
          <w:lang w:val="ru-RU"/>
        </w:rPr>
        <w:tab/>
      </w:r>
      <w:r w:rsidR="00F508DB" w:rsidRPr="000B79EF">
        <w:rPr>
          <w:i w:val="0"/>
          <w:u w:val="single"/>
          <w:lang w:val="ru-RU"/>
        </w:rPr>
        <w:t>Единая система быстрого приостановления действия (URS)</w:t>
      </w:r>
    </w:p>
    <w:p w14:paraId="2222D81F" w14:textId="5DC3C5D3" w:rsidR="00110FCD" w:rsidRPr="000B79EF" w:rsidRDefault="00F508DB" w:rsidP="006942C5">
      <w:pPr>
        <w:pStyle w:val="ListParagraph"/>
        <w:numPr>
          <w:ilvl w:val="0"/>
          <w:numId w:val="7"/>
        </w:numPr>
        <w:spacing w:before="240" w:after="240"/>
        <w:ind w:left="0" w:firstLine="0"/>
        <w:contextualSpacing w:val="0"/>
        <w:rPr>
          <w:lang w:val="ru-RU"/>
        </w:rPr>
      </w:pPr>
      <w:r w:rsidRPr="000B79EF">
        <w:rPr>
          <w:lang w:val="ru-RU"/>
        </w:rPr>
        <w:t xml:space="preserve">Хотя ЕПУС остается </w:t>
      </w:r>
      <w:r w:rsidR="00091AE5">
        <w:rPr>
          <w:lang w:val="ru-RU"/>
        </w:rPr>
        <w:t xml:space="preserve">инструментом </w:t>
      </w:r>
      <w:r w:rsidRPr="000B79EF">
        <w:rPr>
          <w:lang w:val="ru-RU"/>
        </w:rPr>
        <w:t>исправления нарушений в рамках споров по поводу новых рДВУ, связанных с рассматриваемой передачей оспариваемого доменного имени владельцу товарного знака, ICANN внедрила процедуру, которая должна служить более простым механизмом охраны прав на домены второго уровня при возникновении соответствующих споров</w:t>
      </w:r>
      <w:r w:rsidRPr="000B79EF">
        <w:rPr>
          <w:rStyle w:val="FootnoteReference"/>
          <w:rFonts w:eastAsia="SimSun"/>
          <w:lang w:val="ru-RU"/>
        </w:rPr>
        <w:footnoteReference w:id="58"/>
      </w:r>
      <w:r w:rsidRPr="000B79EF">
        <w:rPr>
          <w:lang w:val="ru-RU"/>
        </w:rPr>
        <w:t>. Система URS, разработанная в результате целого ряда процедур и заседаний комитетов в рамках ICANN, по-прежнему вызывает ряд вопросов, включая вопрос о ее взаимосвязи с ЕПУС</w:t>
      </w:r>
      <w:r w:rsidRPr="000B79EF">
        <w:rPr>
          <w:rStyle w:val="FootnoteReference"/>
          <w:rFonts w:eastAsia="SimSun"/>
          <w:szCs w:val="22"/>
          <w:lang w:val="ru-RU"/>
        </w:rPr>
        <w:footnoteReference w:id="59"/>
      </w:r>
      <w:r w:rsidRPr="000B79EF">
        <w:rPr>
          <w:lang w:val="ru-RU"/>
        </w:rPr>
        <w:t>. ICANN предложила потенциальным провайдерам услуг, связанных с URS, подать конкурсные заявки, однако Центр, после тщательного рассмотрения принятой ICANN модели URS и соответствующих вопросов ресурсного обеспечения, пришел к выводу о том, что он не имеет возможности подать такую заявку</w:t>
      </w:r>
      <w:r w:rsidRPr="000B79EF">
        <w:rPr>
          <w:rStyle w:val="FootnoteReference"/>
          <w:rFonts w:eastAsia="SimSun"/>
          <w:lang w:val="ru-RU"/>
        </w:rPr>
        <w:footnoteReference w:id="60"/>
      </w:r>
      <w:r w:rsidRPr="000B79EF">
        <w:rPr>
          <w:lang w:val="ru-RU"/>
        </w:rPr>
        <w:t>. Центр продолжает внимательно следить за развитием ситуации</w:t>
      </w:r>
      <w:r w:rsidR="00110FCD" w:rsidRPr="000B79EF">
        <w:rPr>
          <w:lang w:val="ru-RU"/>
        </w:rPr>
        <w:t xml:space="preserve">. </w:t>
      </w:r>
    </w:p>
    <w:p w14:paraId="2DC9EA11" w14:textId="3635BB6B" w:rsidR="00110FCD" w:rsidRPr="000B79EF" w:rsidRDefault="00110FCD" w:rsidP="00110FCD">
      <w:pPr>
        <w:pStyle w:val="Heading3"/>
        <w:ind w:left="1134" w:hanging="567"/>
        <w:rPr>
          <w:u w:val="none"/>
          <w:lang w:val="ru-RU"/>
        </w:rPr>
      </w:pPr>
      <w:r w:rsidRPr="000B79EF">
        <w:rPr>
          <w:u w:val="none"/>
          <w:lang w:val="ru-RU"/>
        </w:rPr>
        <w:t>B.</w:t>
      </w:r>
      <w:r w:rsidRPr="000B79EF">
        <w:rPr>
          <w:u w:val="none"/>
          <w:lang w:val="ru-RU"/>
        </w:rPr>
        <w:tab/>
      </w:r>
      <w:r w:rsidR="00F508DB" w:rsidRPr="000B79EF">
        <w:rPr>
          <w:u w:val="none"/>
          <w:lang w:val="ru-RU"/>
        </w:rPr>
        <w:t>ПЛАНИРУЕМЫЙ ICANN ПЕРЕСМОТР ЕПУС, РАЗРАБОТАННОЙ ВОИС, И ДРУГИХ МОП</w:t>
      </w:r>
    </w:p>
    <w:p w14:paraId="3625489F" w14:textId="2020B646" w:rsidR="00110FCD" w:rsidRPr="000B79EF" w:rsidRDefault="00F508DB" w:rsidP="00110FCD">
      <w:pPr>
        <w:pStyle w:val="ListParagraph"/>
        <w:widowControl w:val="0"/>
        <w:numPr>
          <w:ilvl w:val="0"/>
          <w:numId w:val="7"/>
        </w:numPr>
        <w:spacing w:before="240" w:after="240"/>
        <w:ind w:left="0" w:firstLine="0"/>
        <w:contextualSpacing w:val="0"/>
        <w:rPr>
          <w:szCs w:val="22"/>
          <w:lang w:val="ru-RU"/>
        </w:rPr>
      </w:pPr>
      <w:r w:rsidRPr="000B79EF">
        <w:rPr>
          <w:lang w:val="ru-RU"/>
        </w:rPr>
        <w:t>В условиях динамичного развития DNS ЕПУС обеспечивает владельцам товарных знаков, регистрантам доменных имен и регистрационным органам эффективную альтернативу судебному разбирательству</w:t>
      </w:r>
      <w:r w:rsidR="00110FCD" w:rsidRPr="000B79EF">
        <w:rPr>
          <w:szCs w:val="22"/>
          <w:lang w:val="ru-RU"/>
        </w:rPr>
        <w:t>.</w:t>
      </w:r>
      <w:r w:rsidR="009F18DB" w:rsidRPr="000B79EF">
        <w:rPr>
          <w:szCs w:val="22"/>
          <w:lang w:val="ru-RU"/>
        </w:rPr>
        <w:t xml:space="preserve"> </w:t>
      </w:r>
      <w:r w:rsidRPr="000B79EF">
        <w:rPr>
          <w:lang w:val="ru-RU"/>
        </w:rPr>
        <w:t>Организация поддержки родовых имен (GNSO) ICANN приняла решение о пересмотре ЕПУС после введения в действие новых рДВУ</w:t>
      </w:r>
      <w:r w:rsidR="009F18DB" w:rsidRPr="000B79EF">
        <w:rPr>
          <w:vertAlign w:val="superscript"/>
          <w:lang w:val="ru-RU"/>
        </w:rPr>
        <w:footnoteReference w:id="61"/>
      </w:r>
      <w:r w:rsidRPr="000B79EF">
        <w:rPr>
          <w:lang w:val="ru-RU"/>
        </w:rPr>
        <w:t>.</w:t>
      </w:r>
      <w:r w:rsidR="009F18DB" w:rsidRPr="000B79EF">
        <w:rPr>
          <w:szCs w:val="22"/>
          <w:lang w:val="ru-RU"/>
        </w:rPr>
        <w:t xml:space="preserve"> </w:t>
      </w:r>
      <w:r w:rsidRPr="000B79EF">
        <w:rPr>
          <w:lang w:val="ru-RU"/>
        </w:rPr>
        <w:t xml:space="preserve">В октябре 2015 г. был опубликован предварительный тематический доклад </w:t>
      </w:r>
      <w:r w:rsidRPr="000B79EF">
        <w:rPr>
          <w:lang w:val="ru-RU"/>
        </w:rPr>
        <w:lastRenderedPageBreak/>
        <w:t>ICANN, в котором излагается целый ряд сложных вопросов, касающихся существа и процедуры</w:t>
      </w:r>
      <w:r w:rsidRPr="000B79EF">
        <w:rPr>
          <w:szCs w:val="22"/>
          <w:vertAlign w:val="superscript"/>
          <w:lang w:val="ru-RU"/>
        </w:rPr>
        <w:footnoteReference w:id="62"/>
      </w:r>
      <w:r w:rsidRPr="000B79EF">
        <w:rPr>
          <w:lang w:val="ru-RU"/>
        </w:rPr>
        <w:t xml:space="preserve">. </w:t>
      </w:r>
      <w:r w:rsidR="006D6F73" w:rsidRPr="000B79EF">
        <w:rPr>
          <w:lang w:val="ru-RU"/>
        </w:rPr>
        <w:t>В этой связи Центр высказал ряд замечаний, отметив не только факт длительного успешного применения ЕПУС, но и риски, которыми чреваты любые попытки ее пересмотра со стороны ICANN</w:t>
      </w:r>
      <w:r w:rsidR="00110FCD" w:rsidRPr="000B79EF">
        <w:rPr>
          <w:szCs w:val="22"/>
          <w:lang w:val="ru-RU"/>
        </w:rPr>
        <w:t xml:space="preserve">. </w:t>
      </w:r>
      <w:r w:rsidR="006D6F73" w:rsidRPr="000B79EF">
        <w:rPr>
          <w:lang w:val="ru-RU"/>
        </w:rPr>
        <w:t>После периода общественного обсуждения ICANN опубликовала в январе 2016 г. заключительный тематический доклад</w:t>
      </w:r>
      <w:r w:rsidR="00B555E8" w:rsidRPr="000B79EF">
        <w:rPr>
          <w:rStyle w:val="FootnoteReference"/>
          <w:szCs w:val="22"/>
          <w:lang w:val="ru-RU"/>
        </w:rPr>
        <w:footnoteReference w:id="63"/>
      </w:r>
      <w:r w:rsidR="006D6F73" w:rsidRPr="000B79EF">
        <w:rPr>
          <w:lang w:val="ru-RU"/>
        </w:rPr>
        <w:t>,</w:t>
      </w:r>
      <w:r w:rsidR="00B555E8" w:rsidRPr="000B79EF">
        <w:rPr>
          <w:szCs w:val="22"/>
          <w:lang w:val="ru-RU"/>
        </w:rPr>
        <w:t xml:space="preserve"> </w:t>
      </w:r>
      <w:r w:rsidR="00801618" w:rsidRPr="000B79EF">
        <w:rPr>
          <w:szCs w:val="22"/>
          <w:lang w:val="ru-RU"/>
        </w:rPr>
        <w:t xml:space="preserve">в котором были описаны МОП, разработанные для новой программы рДВУ, в частности </w:t>
      </w:r>
      <w:r w:rsidR="00801618" w:rsidRPr="000B79EF">
        <w:rPr>
          <w:lang w:val="ru-RU"/>
        </w:rPr>
        <w:t xml:space="preserve">ЦОИТЗ (включая услуги «Sunrise» и «Claims») </w:t>
      </w:r>
      <w:r w:rsidR="00801618" w:rsidRPr="000B79EF">
        <w:rPr>
          <w:szCs w:val="22"/>
          <w:lang w:val="ru-RU"/>
        </w:rPr>
        <w:t xml:space="preserve">и </w:t>
      </w:r>
      <w:r w:rsidR="00110FCD" w:rsidRPr="000B79EF">
        <w:rPr>
          <w:szCs w:val="22"/>
          <w:lang w:val="ru-RU"/>
        </w:rPr>
        <w:t>URS</w:t>
      </w:r>
      <w:r w:rsidR="00801618" w:rsidRPr="000B79EF">
        <w:rPr>
          <w:szCs w:val="22"/>
          <w:lang w:val="ru-RU"/>
        </w:rPr>
        <w:t>, и предложены незначительные изменения в таких МОП</w:t>
      </w:r>
      <w:r w:rsidR="00B555E8" w:rsidRPr="000B79EF">
        <w:rPr>
          <w:rStyle w:val="FootnoteReference"/>
          <w:szCs w:val="22"/>
          <w:lang w:val="ru-RU"/>
        </w:rPr>
        <w:footnoteReference w:id="64"/>
      </w:r>
      <w:r w:rsidR="00801618" w:rsidRPr="000B79EF">
        <w:rPr>
          <w:szCs w:val="22"/>
          <w:lang w:val="ru-RU"/>
        </w:rPr>
        <w:t>, в то время как на втором запланированном этапе внимание будет сосредоточено на ЕПУС</w:t>
      </w:r>
      <w:r w:rsidR="00110FCD" w:rsidRPr="000B79EF">
        <w:rPr>
          <w:szCs w:val="22"/>
          <w:vertAlign w:val="superscript"/>
          <w:lang w:val="ru-RU"/>
        </w:rPr>
        <w:footnoteReference w:id="65"/>
      </w:r>
      <w:r w:rsidR="00801618" w:rsidRPr="000B79EF">
        <w:rPr>
          <w:szCs w:val="22"/>
          <w:lang w:val="ru-RU"/>
        </w:rPr>
        <w:t>.</w:t>
      </w:r>
      <w:r w:rsidR="00110FCD" w:rsidRPr="000B79EF">
        <w:rPr>
          <w:szCs w:val="22"/>
          <w:lang w:val="ru-RU"/>
        </w:rPr>
        <w:t xml:space="preserve"> </w:t>
      </w:r>
      <w:r w:rsidR="00801618" w:rsidRPr="000B79EF">
        <w:rPr>
          <w:szCs w:val="22"/>
          <w:lang w:val="ru-RU"/>
        </w:rPr>
        <w:t xml:space="preserve">Этот второй этап </w:t>
      </w:r>
      <w:r w:rsidR="00801618" w:rsidRPr="000B79EF">
        <w:rPr>
          <w:lang w:val="ru-RU"/>
        </w:rPr>
        <w:t>вызывает серьезную обеспокоенность, и Центр продолжает внимательно следить за намерениями партнеров ICANN в отношении ЕПУС и МОП, используемых для товарных знаков, в целом</w:t>
      </w:r>
      <w:r w:rsidR="00110FCD" w:rsidRPr="000B79EF">
        <w:rPr>
          <w:szCs w:val="22"/>
          <w:lang w:val="ru-RU"/>
        </w:rPr>
        <w:t xml:space="preserve">. </w:t>
      </w:r>
      <w:r w:rsidR="00CC65E6" w:rsidRPr="000B79EF">
        <w:rPr>
          <w:lang w:val="ru-RU"/>
        </w:rPr>
        <w:t xml:space="preserve">В рамках данных усилий Центр находится в контакте с партнерами, занимающимися товарными знаками, такими как </w:t>
      </w:r>
      <w:r w:rsidR="00163857" w:rsidRPr="00163857">
        <w:t>ECTA</w:t>
      </w:r>
      <w:r w:rsidR="00163857" w:rsidRPr="00797ADA">
        <w:rPr>
          <w:lang w:val="ru-RU"/>
        </w:rPr>
        <w:t xml:space="preserve">, </w:t>
      </w:r>
      <w:r w:rsidR="00163857" w:rsidRPr="00163857">
        <w:t>INTA</w:t>
      </w:r>
      <w:r w:rsidR="00163857">
        <w:rPr>
          <w:lang w:val="ru-RU"/>
        </w:rPr>
        <w:t xml:space="preserve"> и </w:t>
      </w:r>
      <w:r w:rsidR="00CC65E6" w:rsidRPr="000B79EF">
        <w:rPr>
          <w:lang w:val="ru-RU"/>
        </w:rPr>
        <w:t>MARQUES</w:t>
      </w:r>
      <w:r w:rsidR="00110FCD" w:rsidRPr="000B79EF">
        <w:rPr>
          <w:szCs w:val="22"/>
          <w:lang w:val="ru-RU"/>
        </w:rPr>
        <w:t>.</w:t>
      </w:r>
    </w:p>
    <w:p w14:paraId="4F5FC950" w14:textId="352B3BD8" w:rsidR="00110FCD" w:rsidRPr="000B79EF" w:rsidRDefault="00110FCD" w:rsidP="00110FCD">
      <w:pPr>
        <w:pStyle w:val="Heading3"/>
        <w:ind w:firstLine="567"/>
        <w:rPr>
          <w:u w:val="none"/>
          <w:lang w:val="ru-RU"/>
        </w:rPr>
      </w:pPr>
      <w:r w:rsidRPr="000B79EF">
        <w:rPr>
          <w:u w:val="none"/>
          <w:lang w:val="ru-RU"/>
        </w:rPr>
        <w:t>C.</w:t>
      </w:r>
      <w:r w:rsidRPr="000B79EF">
        <w:rPr>
          <w:u w:val="none"/>
          <w:lang w:val="ru-RU"/>
        </w:rPr>
        <w:tab/>
      </w:r>
      <w:r w:rsidR="00CC65E6" w:rsidRPr="000B79EF">
        <w:rPr>
          <w:u w:val="none"/>
          <w:lang w:val="ru-RU"/>
        </w:rPr>
        <w:t>GDPR И БАЗА ДАННЫХ WHOIS</w:t>
      </w:r>
    </w:p>
    <w:p w14:paraId="28BADBD4" w14:textId="02AFB7AB" w:rsidR="00110FCD" w:rsidRPr="000B79EF" w:rsidRDefault="00A1595B" w:rsidP="00110FCD">
      <w:pPr>
        <w:pStyle w:val="ListParagraph"/>
        <w:widowControl w:val="0"/>
        <w:numPr>
          <w:ilvl w:val="0"/>
          <w:numId w:val="7"/>
        </w:numPr>
        <w:spacing w:before="240"/>
        <w:ind w:left="0" w:firstLine="0"/>
        <w:contextualSpacing w:val="0"/>
        <w:rPr>
          <w:szCs w:val="22"/>
          <w:lang w:val="ru-RU"/>
        </w:rPr>
      </w:pPr>
      <w:r w:rsidRPr="000B79EF">
        <w:rPr>
          <w:lang w:val="ru-RU"/>
        </w:rPr>
        <w:t>Общий регламент Европейского союза по защите данных (GDPR) вступил в силу 25 мая 2018 г. Как было заявлено Европейской комиссией, главной целью GDPR является решение проблем, связанных с соблюдением конфиденциальности информации и защитой персональных данных, но с учетом того, что при достижении этих целей необходимо учитывать законные интересы третьих сторон, например, зафиксированные в договорах и судебных решениях</w:t>
      </w:r>
      <w:r w:rsidR="00110FCD" w:rsidRPr="000B79EF">
        <w:rPr>
          <w:szCs w:val="22"/>
          <w:lang w:val="ru-RU"/>
        </w:rPr>
        <w:t xml:space="preserve">. </w:t>
      </w:r>
    </w:p>
    <w:p w14:paraId="23901EB9" w14:textId="43CF570E" w:rsidR="00110FCD" w:rsidRPr="000B79EF" w:rsidRDefault="00A1595B" w:rsidP="00110FCD">
      <w:pPr>
        <w:pStyle w:val="ListParagraph"/>
        <w:widowControl w:val="0"/>
        <w:numPr>
          <w:ilvl w:val="0"/>
          <w:numId w:val="7"/>
        </w:numPr>
        <w:spacing w:before="240" w:after="240"/>
        <w:ind w:left="0" w:firstLine="0"/>
        <w:contextualSpacing w:val="0"/>
        <w:rPr>
          <w:szCs w:val="22"/>
          <w:lang w:val="ru-RU"/>
        </w:rPr>
      </w:pPr>
      <w:r w:rsidRPr="000B79EF">
        <w:rPr>
          <w:lang w:val="ru-RU"/>
        </w:rPr>
        <w:t>Начиная с 25 мая 2018 г. открытая база данных WhoIs более не содержит полную контактную информацию о регистрантах доменных имен</w:t>
      </w:r>
      <w:r w:rsidR="00110FCD" w:rsidRPr="000B79EF">
        <w:rPr>
          <w:szCs w:val="22"/>
          <w:lang w:val="ru-RU"/>
        </w:rPr>
        <w:t xml:space="preserve">. </w:t>
      </w:r>
      <w:r w:rsidR="006323C9" w:rsidRPr="000B79EF">
        <w:rPr>
          <w:szCs w:val="22"/>
          <w:lang w:val="ru-RU"/>
        </w:rPr>
        <w:t xml:space="preserve">Такие данные, как правило, </w:t>
      </w:r>
      <w:r w:rsidR="006323C9" w:rsidRPr="000B79EF">
        <w:rPr>
          <w:lang w:val="ru-RU"/>
        </w:rPr>
        <w:t>ограничиваются информацией об организации и стране регистранта</w:t>
      </w:r>
      <w:r w:rsidR="00263E73" w:rsidRPr="000B79EF">
        <w:rPr>
          <w:rStyle w:val="FootnoteReference"/>
          <w:szCs w:val="22"/>
          <w:lang w:val="ru-RU"/>
        </w:rPr>
        <w:footnoteReference w:id="66"/>
      </w:r>
      <w:r w:rsidR="006323C9" w:rsidRPr="000B79EF">
        <w:rPr>
          <w:lang w:val="ru-RU"/>
        </w:rPr>
        <w:t>.</w:t>
      </w:r>
      <w:r w:rsidR="00263E73" w:rsidRPr="000B79EF">
        <w:rPr>
          <w:szCs w:val="22"/>
          <w:lang w:val="ru-RU"/>
        </w:rPr>
        <w:t xml:space="preserve"> </w:t>
      </w:r>
      <w:r w:rsidR="006323C9" w:rsidRPr="000B79EF">
        <w:rPr>
          <w:lang w:val="ru-RU"/>
        </w:rPr>
        <w:t>Несмотря на эти ограничения, в тех случаях, когда поданная по процедуре ЕПУС жалоба передается провайдеру ЕПУС, соответствующие требованиям ICANN регистраторы обычно предоставляют информацию из базы данных WhoIs по запросу такого провайдера (в то же время, «запирая» регистрацию доменного имени и подробную информацию о регистраторе) в соответствии с надлежащими процедурами, предусмотренными правилами ЕПУС</w:t>
      </w:r>
      <w:r w:rsidR="00263E73" w:rsidRPr="000B79EF">
        <w:rPr>
          <w:rStyle w:val="FootnoteReference"/>
          <w:szCs w:val="22"/>
          <w:lang w:val="ru-RU"/>
        </w:rPr>
        <w:footnoteReference w:id="67"/>
      </w:r>
      <w:r w:rsidR="006323C9" w:rsidRPr="000B79EF">
        <w:rPr>
          <w:lang w:val="ru-RU"/>
        </w:rPr>
        <w:t>.</w:t>
      </w:r>
      <w:r w:rsidR="00110FCD" w:rsidRPr="000B79EF">
        <w:rPr>
          <w:szCs w:val="22"/>
          <w:lang w:val="ru-RU"/>
        </w:rPr>
        <w:t xml:space="preserve"> </w:t>
      </w:r>
    </w:p>
    <w:p w14:paraId="6AF7565A" w14:textId="6088A744" w:rsidR="00110FCD" w:rsidRPr="000B79EF" w:rsidRDefault="006323C9" w:rsidP="00110FCD">
      <w:pPr>
        <w:pStyle w:val="ListParagraph"/>
        <w:widowControl w:val="0"/>
        <w:numPr>
          <w:ilvl w:val="0"/>
          <w:numId w:val="7"/>
        </w:numPr>
        <w:spacing w:after="240"/>
        <w:ind w:left="0" w:firstLine="0"/>
        <w:contextualSpacing w:val="0"/>
        <w:rPr>
          <w:szCs w:val="22"/>
          <w:lang w:val="ru-RU"/>
        </w:rPr>
      </w:pPr>
      <w:r w:rsidRPr="000B79EF">
        <w:rPr>
          <w:lang w:val="ru-RU"/>
        </w:rPr>
        <w:t>Центр продолжает внимательно наблюдать за тем, как GDPR влияют на рассмотрение споров по процедуре ЕПУС</w:t>
      </w:r>
      <w:r w:rsidR="00110FCD" w:rsidRPr="000B79EF">
        <w:rPr>
          <w:szCs w:val="22"/>
          <w:lang w:val="ru-RU"/>
        </w:rPr>
        <w:t xml:space="preserve">. </w:t>
      </w:r>
      <w:r w:rsidRPr="000B79EF">
        <w:rPr>
          <w:lang w:val="ru-RU"/>
        </w:rPr>
        <w:t xml:space="preserve">Помимо выполняемых Центром функций по решению более широких задач защиты прав ИС в связи с введением GDPR, заинтересованные стороны активно обсуждают возможную модель «аккредитации и доступа» применительно к WhoIs, в том числе потенциальную роль ВОИС в </w:t>
      </w:r>
      <w:r w:rsidRPr="000B79EF">
        <w:rPr>
          <w:lang w:val="ru-RU"/>
        </w:rPr>
        <w:lastRenderedPageBreak/>
        <w:t>сертификации правообладателей для получения такого доступа</w:t>
      </w:r>
      <w:r w:rsidRPr="000B79EF">
        <w:rPr>
          <w:rStyle w:val="FootnoteReference"/>
          <w:szCs w:val="22"/>
          <w:lang w:val="ru-RU"/>
        </w:rPr>
        <w:footnoteReference w:id="68"/>
      </w:r>
      <w:r w:rsidRPr="000B79EF">
        <w:rPr>
          <w:lang w:val="ru-RU"/>
        </w:rPr>
        <w:t>. В ICANN продолжает обсуждение конкретных деталей того, что также называют Системой стандартизированного доступа/раскрытия непубличных регистрационных данных для рДВУ (SSAD)</w:t>
      </w:r>
      <w:r w:rsidRPr="000B79EF">
        <w:rPr>
          <w:rStyle w:val="FootnoteReference"/>
          <w:szCs w:val="22"/>
          <w:lang w:val="ru-RU"/>
        </w:rPr>
        <w:footnoteReference w:id="69"/>
      </w:r>
      <w:r w:rsidRPr="000B79EF">
        <w:rPr>
          <w:lang w:val="ru-RU"/>
        </w:rPr>
        <w:t>.</w:t>
      </w:r>
      <w:r w:rsidR="00110FCD" w:rsidRPr="000B79EF">
        <w:rPr>
          <w:szCs w:val="22"/>
          <w:lang w:val="ru-RU"/>
        </w:rPr>
        <w:t xml:space="preserve"> </w:t>
      </w:r>
    </w:p>
    <w:p w14:paraId="2DB8AEE9" w14:textId="1D7A6CD9" w:rsidR="00110FCD" w:rsidRPr="000B79EF" w:rsidRDefault="00110FCD" w:rsidP="00110FCD">
      <w:pPr>
        <w:pStyle w:val="Heading3"/>
        <w:ind w:firstLine="567"/>
        <w:rPr>
          <w:u w:val="none"/>
          <w:lang w:val="ru-RU"/>
        </w:rPr>
      </w:pPr>
      <w:r w:rsidRPr="000B79EF">
        <w:rPr>
          <w:u w:val="none"/>
          <w:lang w:val="ru-RU"/>
        </w:rPr>
        <w:t>D.</w:t>
      </w:r>
      <w:r w:rsidRPr="000B79EF">
        <w:rPr>
          <w:u w:val="none"/>
          <w:lang w:val="ru-RU"/>
        </w:rPr>
        <w:tab/>
      </w:r>
      <w:r w:rsidR="006323C9" w:rsidRPr="000B79EF">
        <w:rPr>
          <w:u w:val="none"/>
          <w:lang w:val="ru-RU"/>
        </w:rPr>
        <w:t>ИДИ</w:t>
      </w:r>
    </w:p>
    <w:p w14:paraId="211AEFFF" w14:textId="502B045E" w:rsidR="00110FCD" w:rsidRPr="000B79EF" w:rsidRDefault="006323C9" w:rsidP="00960E58">
      <w:pPr>
        <w:pStyle w:val="ListParagraph"/>
        <w:keepNext/>
        <w:keepLines/>
        <w:numPr>
          <w:ilvl w:val="0"/>
          <w:numId w:val="7"/>
        </w:numPr>
        <w:spacing w:before="240" w:after="240"/>
        <w:ind w:left="0" w:firstLine="0"/>
        <w:contextualSpacing w:val="0"/>
        <w:rPr>
          <w:szCs w:val="22"/>
          <w:lang w:val="ru-RU"/>
        </w:rPr>
      </w:pPr>
      <w:r w:rsidRPr="000B79EF">
        <w:rPr>
          <w:lang w:val="ru-RU"/>
        </w:rPr>
        <w:t>Как отмечено в пункте </w:t>
      </w:r>
      <w:r w:rsidR="00BD20FA" w:rsidRPr="000B79EF">
        <w:rPr>
          <w:szCs w:val="22"/>
          <w:lang w:val="ru-RU"/>
        </w:rPr>
        <w:t>2</w:t>
      </w:r>
      <w:r w:rsidR="00175B1E" w:rsidRPr="000B79EF">
        <w:rPr>
          <w:szCs w:val="22"/>
          <w:lang w:val="ru-RU"/>
        </w:rPr>
        <w:t>6</w:t>
      </w:r>
      <w:r w:rsidR="00110FCD" w:rsidRPr="000B79EF">
        <w:rPr>
          <w:szCs w:val="22"/>
          <w:lang w:val="ru-RU"/>
        </w:rPr>
        <w:t xml:space="preserve">, </w:t>
      </w:r>
      <w:r w:rsidRPr="000B79EF">
        <w:rPr>
          <w:lang w:val="ru-RU"/>
        </w:rPr>
        <w:t>еще одним важным новым явлением в политике в отношении DNS стало введение на верхнем уровне системы интернационализированных доменных имен (ИДИ) (нелатинский шрифт)</w:t>
      </w:r>
      <w:r w:rsidRPr="000B79EF">
        <w:rPr>
          <w:rStyle w:val="FootnoteReference"/>
          <w:rFonts w:eastAsia="SimSun"/>
          <w:szCs w:val="22"/>
          <w:lang w:val="ru-RU"/>
        </w:rPr>
        <w:footnoteReference w:id="70"/>
      </w:r>
      <w:r w:rsidRPr="000B79EF">
        <w:rPr>
          <w:lang w:val="ru-RU"/>
        </w:rPr>
        <w:t>.</w:t>
      </w:r>
      <w:r w:rsidR="00110FCD" w:rsidRPr="000B79EF">
        <w:rPr>
          <w:szCs w:val="22"/>
          <w:lang w:val="ru-RU"/>
        </w:rPr>
        <w:t xml:space="preserve"> </w:t>
      </w:r>
      <w:r w:rsidRPr="000B79EF">
        <w:rPr>
          <w:lang w:val="ru-RU"/>
        </w:rPr>
        <w:t>Многие из таких имен вошли в число первых новых рДВУ, которые, по информации ICANN, будут делегироваться в корневой зоне DNS</w:t>
      </w:r>
      <w:r w:rsidR="00110FCD" w:rsidRPr="000B79EF">
        <w:rPr>
          <w:szCs w:val="22"/>
          <w:lang w:val="ru-RU"/>
        </w:rPr>
        <w:t xml:space="preserve">. </w:t>
      </w:r>
    </w:p>
    <w:p w14:paraId="2175CAD4" w14:textId="2714C654" w:rsidR="00110FCD" w:rsidRPr="000B79EF" w:rsidRDefault="00110FCD" w:rsidP="00110FCD">
      <w:pPr>
        <w:pStyle w:val="Heading3"/>
        <w:ind w:firstLine="567"/>
        <w:rPr>
          <w:u w:val="none"/>
          <w:lang w:val="ru-RU"/>
        </w:rPr>
      </w:pPr>
      <w:r w:rsidRPr="000B79EF">
        <w:rPr>
          <w:u w:val="none"/>
          <w:lang w:val="ru-RU"/>
        </w:rPr>
        <w:t>E.</w:t>
      </w:r>
      <w:r w:rsidRPr="000B79EF">
        <w:rPr>
          <w:u w:val="none"/>
          <w:lang w:val="ru-RU"/>
        </w:rPr>
        <w:tab/>
      </w:r>
      <w:r w:rsidR="006323C9" w:rsidRPr="000B79EF">
        <w:rPr>
          <w:u w:val="none"/>
          <w:lang w:val="ru-RU"/>
        </w:rPr>
        <w:t>ДРУГИЕ ИДЕНТИФИКАТОРЫ</w:t>
      </w:r>
    </w:p>
    <w:p w14:paraId="3EF2DB8A" w14:textId="1532D73F" w:rsidR="00260798" w:rsidRPr="000B79EF" w:rsidRDefault="006323C9" w:rsidP="00260798">
      <w:pPr>
        <w:pStyle w:val="ListParagraph"/>
        <w:numPr>
          <w:ilvl w:val="0"/>
          <w:numId w:val="7"/>
        </w:numPr>
        <w:spacing w:before="240" w:after="240"/>
        <w:ind w:left="0" w:firstLine="0"/>
        <w:contextualSpacing w:val="0"/>
        <w:rPr>
          <w:szCs w:val="22"/>
          <w:lang w:val="ru-RU"/>
        </w:rPr>
      </w:pPr>
      <w:r w:rsidRPr="000B79EF">
        <w:rPr>
          <w:lang w:val="ru-RU"/>
        </w:rPr>
        <w:t>Помимо упомянутых выше инициатив, а также в связи с ними, в ICANN имеют место и другие новые события в области охраны идентификаторов, не связанных с товарными знаками</w:t>
      </w:r>
      <w:r w:rsidR="00260798" w:rsidRPr="000B79EF">
        <w:rPr>
          <w:szCs w:val="22"/>
          <w:lang w:val="ru-RU"/>
        </w:rPr>
        <w:t>.</w:t>
      </w:r>
    </w:p>
    <w:p w14:paraId="05DD23A3" w14:textId="3FEABFF5" w:rsidR="00260798" w:rsidRPr="000B79EF" w:rsidRDefault="00260798" w:rsidP="0082563A">
      <w:pPr>
        <w:pStyle w:val="Heading3"/>
        <w:ind w:left="567" w:firstLine="567"/>
        <w:rPr>
          <w:lang w:val="ru-RU"/>
        </w:rPr>
      </w:pPr>
      <w:r w:rsidRPr="000B79EF">
        <w:rPr>
          <w:u w:val="none"/>
          <w:lang w:val="ru-RU"/>
        </w:rPr>
        <w:t>(a)</w:t>
      </w:r>
      <w:r w:rsidRPr="000B79EF">
        <w:rPr>
          <w:u w:val="none"/>
          <w:lang w:val="ru-RU"/>
        </w:rPr>
        <w:tab/>
      </w:r>
      <w:r w:rsidR="006323C9" w:rsidRPr="000B79EF">
        <w:rPr>
          <w:lang w:val="ru-RU"/>
        </w:rPr>
        <w:t>Международные правительственные организации (МПО</w:t>
      </w:r>
      <w:r w:rsidRPr="000B79EF">
        <w:rPr>
          <w:szCs w:val="22"/>
          <w:lang w:val="ru-RU"/>
        </w:rPr>
        <w:t>)</w:t>
      </w:r>
    </w:p>
    <w:p w14:paraId="0FACEA47" w14:textId="23C4D219" w:rsidR="00260798" w:rsidRPr="000B79EF" w:rsidRDefault="006323C9" w:rsidP="0082563A">
      <w:pPr>
        <w:pStyle w:val="ListParagraph"/>
        <w:widowControl w:val="0"/>
        <w:numPr>
          <w:ilvl w:val="0"/>
          <w:numId w:val="7"/>
        </w:numPr>
        <w:spacing w:before="240" w:after="240"/>
        <w:ind w:left="0" w:firstLine="0"/>
        <w:contextualSpacing w:val="0"/>
        <w:rPr>
          <w:szCs w:val="22"/>
          <w:lang w:val="ru-RU"/>
        </w:rPr>
      </w:pPr>
      <w:r w:rsidRPr="000B79EF">
        <w:rPr>
          <w:lang w:val="ru-RU"/>
        </w:rPr>
        <w:t xml:space="preserve">Следует напомнить, что Первый процесс ВОИС по доменным именам в Интернете касался взаимосвязи между доменными именами и товарными знаками. Второй процесс в рамках ВОИС по доменным именам в </w:t>
      </w:r>
      <w:r w:rsidR="00091AE5">
        <w:rPr>
          <w:lang w:val="ru-RU"/>
        </w:rPr>
        <w:t>и</w:t>
      </w:r>
      <w:r w:rsidRPr="000B79EF">
        <w:rPr>
          <w:lang w:val="ru-RU"/>
        </w:rPr>
        <w:t>нтернете был посвящен связи между доменными именами и другими идентификаторами, которые до этого не рассматривались, включая названия стран и полные и сокращенные наименования МПО</w:t>
      </w:r>
      <w:r w:rsidR="00260798" w:rsidRPr="000B79EF">
        <w:rPr>
          <w:vertAlign w:val="superscript"/>
          <w:lang w:val="ru-RU"/>
        </w:rPr>
        <w:footnoteReference w:id="71"/>
      </w:r>
      <w:r w:rsidRPr="000B79EF">
        <w:rPr>
          <w:lang w:val="ru-RU"/>
        </w:rPr>
        <w:t>.</w:t>
      </w:r>
      <w:r w:rsidR="00260798" w:rsidRPr="000B79EF">
        <w:rPr>
          <w:szCs w:val="22"/>
          <w:lang w:val="ru-RU"/>
        </w:rPr>
        <w:t xml:space="preserve"> </w:t>
      </w:r>
    </w:p>
    <w:p w14:paraId="77A452E6" w14:textId="631CBE9C" w:rsidR="00260798" w:rsidRPr="000B79EF" w:rsidRDefault="007F1CF0" w:rsidP="0082563A">
      <w:pPr>
        <w:pStyle w:val="ListParagraph"/>
        <w:widowControl w:val="0"/>
        <w:numPr>
          <w:ilvl w:val="0"/>
          <w:numId w:val="7"/>
        </w:numPr>
        <w:spacing w:before="240" w:after="240"/>
        <w:ind w:left="0" w:firstLine="0"/>
        <w:contextualSpacing w:val="0"/>
        <w:rPr>
          <w:szCs w:val="22"/>
          <w:lang w:val="ru-RU"/>
        </w:rPr>
      </w:pPr>
      <w:r w:rsidRPr="000B79EF">
        <w:rPr>
          <w:szCs w:val="22"/>
          <w:lang w:val="ru-RU"/>
        </w:rPr>
        <w:t>Эти рекомендации были предоставлены в ходе продолжительных и сложных обсуждений в рамках многоуровневой структуры разработки политики ICANN, особенно в отношении условий подачи заявок на новые рДВУ. В предыдущих документах Генеральной Ассамблеи ВОИС более подробно отслеживаются процесс и суть этих продолжающихся обсуждений, в которых, в частности в рамках экосистемы ICANN, участвуют Правительственный консультативный комитет (ПКК), Совет, Программный комитет ICANN по новым рДВУ (NGPC) и Совет GNSO</w:t>
      </w:r>
      <w:r w:rsidR="00260798" w:rsidRPr="000B79EF">
        <w:rPr>
          <w:rStyle w:val="FootnoteReference"/>
          <w:szCs w:val="22"/>
          <w:lang w:val="ru-RU"/>
        </w:rPr>
        <w:footnoteReference w:id="72"/>
      </w:r>
      <w:r w:rsidRPr="000B79EF">
        <w:rPr>
          <w:szCs w:val="22"/>
          <w:lang w:val="ru-RU"/>
        </w:rPr>
        <w:t>.</w:t>
      </w:r>
    </w:p>
    <w:p w14:paraId="760D28BA" w14:textId="3085CD46" w:rsidR="00260798" w:rsidRPr="000B79EF" w:rsidRDefault="007A3AB4" w:rsidP="00365255">
      <w:pPr>
        <w:pStyle w:val="ListParagraph"/>
        <w:keepNext/>
        <w:keepLines/>
        <w:numPr>
          <w:ilvl w:val="0"/>
          <w:numId w:val="7"/>
        </w:numPr>
        <w:spacing w:before="240" w:after="240"/>
        <w:ind w:left="0" w:firstLine="0"/>
        <w:contextualSpacing w:val="0"/>
        <w:rPr>
          <w:lang w:val="ru-RU"/>
        </w:rPr>
      </w:pPr>
      <w:r w:rsidRPr="000B79EF">
        <w:rPr>
          <w:szCs w:val="22"/>
          <w:lang w:val="ru-RU"/>
        </w:rPr>
        <w:lastRenderedPageBreak/>
        <w:t xml:space="preserve">Что касается текущего статуса вопроса о защите названий и сокращений МПО в DNS, то по рекомендации ПКК Совет ICANN временно зарезервировал полные наименования МПО </w:t>
      </w:r>
      <w:r w:rsidR="007F1CF0" w:rsidRPr="000B79EF">
        <w:rPr>
          <w:szCs w:val="22"/>
          <w:lang w:val="ru-RU"/>
        </w:rPr>
        <w:t>на двух языках на верхнем и втором уровнях DNS</w:t>
      </w:r>
      <w:r w:rsidRPr="000B79EF">
        <w:rPr>
          <w:szCs w:val="22"/>
          <w:lang w:val="ru-RU"/>
        </w:rPr>
        <w:t xml:space="preserve">, исключив их регистрацию в рДВУ третьими сторонами. Тем не менее, несмотря </w:t>
      </w:r>
      <w:r w:rsidR="00960E58">
        <w:rPr>
          <w:szCs w:val="22"/>
          <w:lang w:val="ru-RU"/>
        </w:rPr>
        <w:t xml:space="preserve">на </w:t>
      </w:r>
      <w:r w:rsidRPr="000B79EF">
        <w:rPr>
          <w:lang w:val="ru-RU"/>
        </w:rPr>
        <w:t>рекомендацию ПКК и мнение МПО, считавшего целесообразной превентивную охрану, в июне 2014 г. Совет GNSO принял решение об инициировании второго ПРП, посвященного целесообразности и формах предоставления в распоряжение МПО корректирующих МОП (таких как ЕПУС или URS) для решения вопроса о неправомерной регистрации сокращенных наименований МПО или полных наименований МПО, на которые не распространяются вышеуказанные исключения. Принятая в результате Рабочей группой окончательная рекомендация вызвала озабоченность МПО и ПКК</w:t>
      </w:r>
      <w:r w:rsidR="008D66B5" w:rsidRPr="000B79EF">
        <w:rPr>
          <w:lang w:val="ru-RU"/>
        </w:rPr>
        <w:t xml:space="preserve">, что означало необходимость дальнейшей политической работы по одной из основных рекомендаций, которую Совет GNSO должен был переформулировать и вернуть на первый этап ПРП, упомянутый в пункте </w:t>
      </w:r>
      <w:r w:rsidR="000620AF" w:rsidRPr="000B79EF">
        <w:rPr>
          <w:szCs w:val="22"/>
          <w:lang w:val="ru-RU"/>
        </w:rPr>
        <w:t>34</w:t>
      </w:r>
      <w:r w:rsidR="00260798" w:rsidRPr="000B79EF">
        <w:rPr>
          <w:rStyle w:val="FootnoteReference"/>
          <w:szCs w:val="22"/>
          <w:lang w:val="ru-RU"/>
        </w:rPr>
        <w:footnoteReference w:id="73"/>
      </w:r>
      <w:r w:rsidR="008D66B5" w:rsidRPr="000B79EF">
        <w:rPr>
          <w:szCs w:val="22"/>
          <w:lang w:val="ru-RU"/>
        </w:rPr>
        <w:t>.</w:t>
      </w:r>
      <w:r w:rsidR="00260798" w:rsidRPr="000B79EF">
        <w:rPr>
          <w:szCs w:val="22"/>
          <w:lang w:val="ru-RU"/>
        </w:rPr>
        <w:t xml:space="preserve"> </w:t>
      </w:r>
      <w:r w:rsidR="008D66B5" w:rsidRPr="000B79EF">
        <w:rPr>
          <w:lang w:val="ru-RU"/>
        </w:rPr>
        <w:t>ПКК еще раз подтвердил, что любой механизм по МПО</w:t>
      </w:r>
      <w:r w:rsidR="008D66B5" w:rsidRPr="000B79EF">
        <w:rPr>
          <w:szCs w:val="22"/>
          <w:lang w:val="ru-RU"/>
        </w:rPr>
        <w:t xml:space="preserve"> </w:t>
      </w:r>
      <w:r w:rsidR="008D66B5" w:rsidRPr="000B79EF">
        <w:rPr>
          <w:lang w:val="ru-RU"/>
        </w:rPr>
        <w:t xml:space="preserve">должен уважать статус МПО в соответствии с международным правом, но не должен менять существующую ЕПУС. Со своей стороны, </w:t>
      </w:r>
      <w:r w:rsidR="006057F9" w:rsidRPr="000B79EF">
        <w:rPr>
          <w:lang w:val="ru-RU"/>
        </w:rPr>
        <w:t xml:space="preserve">Совет </w:t>
      </w:r>
      <w:r w:rsidR="008D66B5" w:rsidRPr="000B79EF">
        <w:rPr>
          <w:lang w:val="ru-RU"/>
        </w:rPr>
        <w:t xml:space="preserve">ICANN </w:t>
      </w:r>
      <w:r w:rsidR="006057F9" w:rsidRPr="000B79EF">
        <w:rPr>
          <w:lang w:val="ru-RU"/>
        </w:rPr>
        <w:t xml:space="preserve">хотя и </w:t>
      </w:r>
      <w:r w:rsidR="008D66B5" w:rsidRPr="000B79EF">
        <w:rPr>
          <w:lang w:val="ru-RU"/>
        </w:rPr>
        <w:t>принял к сведению рекомендацию</w:t>
      </w:r>
      <w:r w:rsidR="006057F9" w:rsidRPr="000B79EF">
        <w:rPr>
          <w:lang w:val="ru-RU"/>
        </w:rPr>
        <w:t xml:space="preserve"> ПКК </w:t>
      </w:r>
      <w:r w:rsidR="008D66B5" w:rsidRPr="000B79EF">
        <w:rPr>
          <w:lang w:val="ru-RU"/>
        </w:rPr>
        <w:t xml:space="preserve">о необходимости </w:t>
      </w:r>
      <w:r w:rsidR="006057F9" w:rsidRPr="000B79EF">
        <w:rPr>
          <w:lang w:val="ru-RU"/>
        </w:rPr>
        <w:t xml:space="preserve">охраны </w:t>
      </w:r>
      <w:r w:rsidR="008D66B5" w:rsidRPr="000B79EF">
        <w:rPr>
          <w:lang w:val="ru-RU"/>
        </w:rPr>
        <w:t xml:space="preserve">сокращений МПО, он впоследствии сигнализировал о намерении </w:t>
      </w:r>
      <w:r w:rsidR="006057F9" w:rsidRPr="000B79EF">
        <w:rPr>
          <w:lang w:val="ru-RU"/>
        </w:rPr>
        <w:t xml:space="preserve">отменить </w:t>
      </w:r>
      <w:r w:rsidR="008D66B5" w:rsidRPr="000B79EF">
        <w:rPr>
          <w:lang w:val="ru-RU"/>
        </w:rPr>
        <w:t xml:space="preserve">вышеупомянутое резервирование сокращений МПО в новых рДВУ </w:t>
      </w:r>
      <w:r w:rsidR="006057F9" w:rsidRPr="000B79EF">
        <w:rPr>
          <w:lang w:val="ru-RU"/>
        </w:rPr>
        <w:t xml:space="preserve">в рамках </w:t>
      </w:r>
      <w:r w:rsidR="008D66B5" w:rsidRPr="000B79EF">
        <w:rPr>
          <w:lang w:val="ru-RU"/>
        </w:rPr>
        <w:t xml:space="preserve">системы уведомления МПО о </w:t>
      </w:r>
      <w:r w:rsidR="006057F9" w:rsidRPr="000B79EF">
        <w:rPr>
          <w:lang w:val="ru-RU"/>
        </w:rPr>
        <w:t>регистрации третьими сторонами в соответствии с их идентификатором</w:t>
      </w:r>
      <w:r w:rsidR="009558F1" w:rsidRPr="000B79EF">
        <w:rPr>
          <w:rStyle w:val="FootnoteReference"/>
          <w:szCs w:val="22"/>
          <w:lang w:val="ru-RU"/>
        </w:rPr>
        <w:footnoteReference w:id="74"/>
      </w:r>
      <w:r w:rsidR="006057F9" w:rsidRPr="000B79EF">
        <w:rPr>
          <w:lang w:val="ru-RU"/>
        </w:rPr>
        <w:t>;</w:t>
      </w:r>
      <w:r w:rsidR="00F009F1" w:rsidRPr="000B79EF">
        <w:rPr>
          <w:szCs w:val="22"/>
          <w:lang w:val="ru-RU"/>
        </w:rPr>
        <w:t xml:space="preserve"> </w:t>
      </w:r>
      <w:r w:rsidR="006057F9" w:rsidRPr="000B79EF">
        <w:rPr>
          <w:szCs w:val="22"/>
          <w:lang w:val="ru-RU"/>
        </w:rPr>
        <w:t>в этой связи ПКК подтвердил свою рекомендацию для Совета ICANN «сохранить действующий мораторий на регистрацию сокращений МПО до завершения текущей программы исправления нарушений в связи с МПО»</w:t>
      </w:r>
      <w:r w:rsidR="00260798" w:rsidRPr="000B79EF">
        <w:rPr>
          <w:szCs w:val="22"/>
          <w:vertAlign w:val="superscript"/>
          <w:lang w:val="ru-RU"/>
        </w:rPr>
        <w:footnoteReference w:id="75"/>
      </w:r>
      <w:r w:rsidR="006057F9" w:rsidRPr="000B79EF">
        <w:rPr>
          <w:szCs w:val="22"/>
          <w:lang w:val="ru-RU"/>
        </w:rPr>
        <w:t>.</w:t>
      </w:r>
      <w:r w:rsidR="00365255">
        <w:rPr>
          <w:szCs w:val="22"/>
          <w:lang w:val="ru-RU"/>
        </w:rPr>
        <w:t xml:space="preserve"> </w:t>
      </w:r>
      <w:r w:rsidR="00365255" w:rsidRPr="00365255">
        <w:rPr>
          <w:szCs w:val="22"/>
          <w:lang w:val="ru-RU"/>
        </w:rPr>
        <w:t>После этого в течение 2021 г</w:t>
      </w:r>
      <w:r w:rsidR="007507C6">
        <w:rPr>
          <w:szCs w:val="22"/>
          <w:lang w:val="ru-RU"/>
        </w:rPr>
        <w:t>.</w:t>
      </w:r>
      <w:r w:rsidR="00365255" w:rsidRPr="00365255">
        <w:rPr>
          <w:szCs w:val="22"/>
          <w:lang w:val="ru-RU"/>
        </w:rPr>
        <w:t xml:space="preserve"> был</w:t>
      </w:r>
      <w:r w:rsidR="00365255">
        <w:rPr>
          <w:szCs w:val="22"/>
          <w:lang w:val="ru-RU"/>
        </w:rPr>
        <w:t>а использована</w:t>
      </w:r>
      <w:r w:rsidR="00365255" w:rsidRPr="00365255">
        <w:rPr>
          <w:szCs w:val="22"/>
          <w:lang w:val="ru-RU"/>
        </w:rPr>
        <w:t xml:space="preserve"> ускоренн</w:t>
      </w:r>
      <w:r w:rsidR="00365255">
        <w:rPr>
          <w:szCs w:val="22"/>
          <w:lang w:val="ru-RU"/>
        </w:rPr>
        <w:t>ая</w:t>
      </w:r>
      <w:r w:rsidR="00365255" w:rsidRPr="00365255">
        <w:rPr>
          <w:szCs w:val="22"/>
          <w:lang w:val="ru-RU"/>
        </w:rPr>
        <w:t xml:space="preserve"> рабоч</w:t>
      </w:r>
      <w:r w:rsidR="00365255">
        <w:rPr>
          <w:szCs w:val="22"/>
          <w:lang w:val="ru-RU"/>
        </w:rPr>
        <w:t>ая процедура</w:t>
      </w:r>
      <w:r w:rsidR="00365255" w:rsidRPr="00365255">
        <w:rPr>
          <w:szCs w:val="22"/>
          <w:lang w:val="ru-RU"/>
        </w:rPr>
        <w:t xml:space="preserve"> для решения вопроса о доступе МПО к механизмам </w:t>
      </w:r>
      <w:r w:rsidR="007507C6">
        <w:rPr>
          <w:szCs w:val="22"/>
          <w:lang w:val="ru-RU"/>
        </w:rPr>
        <w:t>исправления нарушений прав</w:t>
      </w:r>
      <w:r w:rsidR="00365255" w:rsidRPr="00365255">
        <w:rPr>
          <w:szCs w:val="22"/>
          <w:lang w:val="ru-RU"/>
        </w:rPr>
        <w:t>, таким как ЕПУС и URS. Эта работа завершилась в марте 2022 г</w:t>
      </w:r>
      <w:r w:rsidR="007507C6">
        <w:rPr>
          <w:szCs w:val="22"/>
          <w:lang w:val="ru-RU"/>
        </w:rPr>
        <w:t>.</w:t>
      </w:r>
      <w:r w:rsidR="00365255" w:rsidRPr="00365255">
        <w:rPr>
          <w:szCs w:val="22"/>
          <w:lang w:val="ru-RU"/>
        </w:rPr>
        <w:t xml:space="preserve"> предложениями ICANN по адаптации ЕПУС для учета статуса МПО </w:t>
      </w:r>
      <w:r w:rsidR="007507C6">
        <w:rPr>
          <w:szCs w:val="22"/>
          <w:lang w:val="ru-RU"/>
        </w:rPr>
        <w:t>согласно</w:t>
      </w:r>
      <w:r w:rsidR="00365255" w:rsidRPr="00365255">
        <w:rPr>
          <w:szCs w:val="22"/>
          <w:lang w:val="ru-RU"/>
        </w:rPr>
        <w:t xml:space="preserve"> международно</w:t>
      </w:r>
      <w:r w:rsidR="007507C6">
        <w:rPr>
          <w:szCs w:val="22"/>
          <w:lang w:val="ru-RU"/>
        </w:rPr>
        <w:t>му праву</w:t>
      </w:r>
      <w:r w:rsidR="00365255" w:rsidRPr="00365255">
        <w:rPr>
          <w:szCs w:val="22"/>
          <w:lang w:val="ru-RU"/>
        </w:rPr>
        <w:t xml:space="preserve"> с точки зрения Парижской конвенции и признанных привилегий и иммунитетов</w:t>
      </w:r>
      <w:r w:rsidR="007507C6" w:rsidRPr="007507C6">
        <w:rPr>
          <w:szCs w:val="22"/>
          <w:vertAlign w:val="superscript"/>
        </w:rPr>
        <w:footnoteReference w:id="76"/>
      </w:r>
      <w:r w:rsidR="00365255" w:rsidRPr="00365255">
        <w:rPr>
          <w:szCs w:val="22"/>
          <w:lang w:val="ru-RU"/>
        </w:rPr>
        <w:t>.</w:t>
      </w:r>
      <w:r w:rsidR="00260798" w:rsidRPr="000B79EF">
        <w:rPr>
          <w:szCs w:val="22"/>
          <w:vertAlign w:val="superscript"/>
          <w:lang w:val="ru-RU"/>
        </w:rPr>
        <w:t xml:space="preserve"> </w:t>
      </w:r>
    </w:p>
    <w:p w14:paraId="71E06C6A" w14:textId="6FC4D1FE" w:rsidR="00110FCD" w:rsidRPr="000B79EF" w:rsidRDefault="006057F9" w:rsidP="00260798">
      <w:pPr>
        <w:pStyle w:val="ListParagraph"/>
        <w:numPr>
          <w:ilvl w:val="0"/>
          <w:numId w:val="7"/>
        </w:numPr>
        <w:spacing w:before="240" w:after="240"/>
        <w:ind w:left="0" w:firstLine="0"/>
        <w:contextualSpacing w:val="0"/>
        <w:rPr>
          <w:szCs w:val="22"/>
          <w:lang w:val="ru-RU"/>
        </w:rPr>
      </w:pPr>
      <w:r w:rsidRPr="000B79EF">
        <w:rPr>
          <w:lang w:val="ru-RU"/>
        </w:rPr>
        <w:t xml:space="preserve">Совместно с другими заинтересованными МПО Центр продолжает внимательно следить за ходом работы </w:t>
      </w:r>
      <w:r w:rsidR="00E93F65">
        <w:rPr>
          <w:lang w:val="ru-RU"/>
        </w:rPr>
        <w:t xml:space="preserve">в рамках этого уже давно существующего проекта </w:t>
      </w:r>
      <w:r w:rsidRPr="000B79EF">
        <w:rPr>
          <w:lang w:val="ru-RU"/>
        </w:rPr>
        <w:t>ICANN</w:t>
      </w:r>
      <w:r w:rsidR="00260798" w:rsidRPr="000B79EF">
        <w:rPr>
          <w:szCs w:val="22"/>
          <w:vertAlign w:val="superscript"/>
          <w:lang w:val="ru-RU"/>
        </w:rPr>
        <w:footnoteReference w:id="77"/>
      </w:r>
      <w:r w:rsidRPr="000B79EF">
        <w:rPr>
          <w:lang w:val="ru-RU"/>
        </w:rPr>
        <w:t>.</w:t>
      </w:r>
    </w:p>
    <w:p w14:paraId="49AC20A8" w14:textId="03DD60B1" w:rsidR="00110FCD" w:rsidRPr="000B79EF" w:rsidRDefault="00110FCD" w:rsidP="00110FCD">
      <w:pPr>
        <w:pStyle w:val="Heading3"/>
        <w:ind w:left="567" w:firstLine="567"/>
        <w:rPr>
          <w:u w:val="none"/>
          <w:lang w:val="ru-RU"/>
        </w:rPr>
      </w:pPr>
      <w:r w:rsidRPr="000B79EF">
        <w:rPr>
          <w:u w:val="none"/>
          <w:lang w:val="ru-RU"/>
        </w:rPr>
        <w:t>(b)</w:t>
      </w:r>
      <w:r w:rsidRPr="000B79EF">
        <w:rPr>
          <w:u w:val="none"/>
          <w:lang w:val="ru-RU"/>
        </w:rPr>
        <w:tab/>
      </w:r>
      <w:r w:rsidR="009618BA" w:rsidRPr="000B79EF">
        <w:rPr>
          <w:lang w:val="ru-RU"/>
        </w:rPr>
        <w:t>Географические термины</w:t>
      </w:r>
    </w:p>
    <w:p w14:paraId="6B6DBA80" w14:textId="71684E74" w:rsidR="00864152" w:rsidRPr="000B79EF" w:rsidRDefault="001E65DF" w:rsidP="006942C5">
      <w:pPr>
        <w:pStyle w:val="ListParagraph"/>
        <w:numPr>
          <w:ilvl w:val="0"/>
          <w:numId w:val="7"/>
        </w:numPr>
        <w:spacing w:before="240" w:after="240"/>
        <w:ind w:left="0" w:right="-143" w:firstLine="0"/>
        <w:contextualSpacing w:val="0"/>
        <w:rPr>
          <w:szCs w:val="22"/>
          <w:lang w:val="ru-RU"/>
        </w:rPr>
      </w:pPr>
      <w:r w:rsidRPr="000B79EF">
        <w:rPr>
          <w:lang w:val="ru-RU"/>
        </w:rPr>
        <w:t>В области охраны географических терминов ПКК, в частности, выразил обеспокоенность по вопросу об их использовании в новых рДВУ и достаточности их охраны в этой связи</w:t>
      </w:r>
      <w:r w:rsidR="00864152" w:rsidRPr="000B79EF">
        <w:rPr>
          <w:vertAlign w:val="superscript"/>
          <w:lang w:val="ru-RU"/>
        </w:rPr>
        <w:footnoteReference w:id="78"/>
      </w:r>
      <w:r w:rsidRPr="000B79EF">
        <w:rPr>
          <w:lang w:val="ru-RU"/>
        </w:rPr>
        <w:t>.</w:t>
      </w:r>
      <w:r w:rsidR="00864152" w:rsidRPr="000B79EF">
        <w:rPr>
          <w:szCs w:val="22"/>
          <w:lang w:val="ru-RU"/>
        </w:rPr>
        <w:t xml:space="preserve"> </w:t>
      </w:r>
      <w:r w:rsidRPr="000B79EF">
        <w:rPr>
          <w:szCs w:val="22"/>
          <w:lang w:val="ru-RU"/>
        </w:rPr>
        <w:t>В 2007 г. ПКК выпустил «Принципы ПКК, касающиеся новых рДВУ», которые, среди прочего, предусматривают, что ICANN следует избегать присвоения новых рДВУ, касающихся названий стран, территорий или мест, а также описаний региональных языков или народов, если это не предусмотрено соглашением с соответствующими правительствами или государственными властями</w:t>
      </w:r>
      <w:r w:rsidR="00864152" w:rsidRPr="000B79EF">
        <w:rPr>
          <w:szCs w:val="22"/>
          <w:lang w:val="ru-RU"/>
        </w:rPr>
        <w:t xml:space="preserve">. </w:t>
      </w:r>
      <w:r w:rsidRPr="000B79EF">
        <w:rPr>
          <w:szCs w:val="22"/>
          <w:lang w:val="ru-RU"/>
        </w:rPr>
        <w:t xml:space="preserve">Далее в этих «Принципах ПКК» говорится, что в рамках осуществления новых регистраций следует ввести процедуры для </w:t>
      </w:r>
      <w:r w:rsidRPr="000B79EF">
        <w:rPr>
          <w:szCs w:val="22"/>
          <w:lang w:val="ru-RU"/>
        </w:rPr>
        <w:lastRenderedPageBreak/>
        <w:t>блокирования/оспаривания на втором уровне названий, имеющих национальное или географическое значение, по требованию правительств</w:t>
      </w:r>
      <w:r w:rsidR="00864152" w:rsidRPr="000B79EF">
        <w:rPr>
          <w:iCs/>
          <w:szCs w:val="22"/>
          <w:lang w:val="ru-RU"/>
        </w:rPr>
        <w:t>.</w:t>
      </w:r>
      <w:r w:rsidR="00110FCD" w:rsidRPr="000B79EF">
        <w:rPr>
          <w:szCs w:val="22"/>
          <w:lang w:val="ru-RU"/>
        </w:rPr>
        <w:t xml:space="preserve"> </w:t>
      </w:r>
      <w:r w:rsidRPr="000B79EF">
        <w:rPr>
          <w:szCs w:val="22"/>
          <w:lang w:val="ru-RU"/>
        </w:rPr>
        <w:t>Что касается рДВУ верхнего уровня</w:t>
      </w:r>
      <w:r w:rsidR="00110FCD" w:rsidRPr="000B79EF">
        <w:rPr>
          <w:rStyle w:val="FootnoteReference"/>
          <w:rFonts w:eastAsia="SimSun"/>
          <w:szCs w:val="22"/>
          <w:lang w:val="ru-RU"/>
        </w:rPr>
        <w:footnoteReference w:id="79"/>
      </w:r>
      <w:r w:rsidRPr="000B79EF">
        <w:rPr>
          <w:rStyle w:val="FootnoteReference"/>
          <w:rFonts w:eastAsia="SimSun"/>
          <w:szCs w:val="22"/>
          <w:vertAlign w:val="baseline"/>
          <w:lang w:val="ru-RU"/>
        </w:rPr>
        <w:t>,</w:t>
      </w:r>
      <w:r w:rsidR="00110FCD" w:rsidRPr="000B79EF">
        <w:rPr>
          <w:szCs w:val="22"/>
          <w:lang w:val="ru-RU"/>
        </w:rPr>
        <w:t xml:space="preserve"> </w:t>
      </w:r>
      <w:r w:rsidR="00960E58">
        <w:rPr>
          <w:szCs w:val="22"/>
          <w:lang w:val="ru-RU"/>
        </w:rPr>
        <w:t xml:space="preserve">то </w:t>
      </w:r>
      <w:r w:rsidR="000B79EF" w:rsidRPr="000B79EF">
        <w:rPr>
          <w:lang w:val="ru-RU"/>
        </w:rPr>
        <w:t>«Руководство ICANN для заявителя» предусматривает, что «заявки на регистрацию доменных строк, представляющих собой названия стран или территорий, не будут утверждаться, поскольку в соответствии с программой ввода новых рДВУ они не предоставляются в ходе данного раунда приема заявок»</w:t>
      </w:r>
      <w:r w:rsidR="00110FCD" w:rsidRPr="000B79EF">
        <w:rPr>
          <w:rStyle w:val="FootnoteReference"/>
          <w:rFonts w:eastAsia="SimSun"/>
          <w:szCs w:val="22"/>
          <w:lang w:val="ru-RU"/>
        </w:rPr>
        <w:footnoteReference w:id="80"/>
      </w:r>
      <w:r w:rsidR="000B79EF" w:rsidRPr="000B79EF">
        <w:rPr>
          <w:szCs w:val="22"/>
          <w:lang w:val="ru-RU"/>
        </w:rPr>
        <w:t>.</w:t>
      </w:r>
      <w:r w:rsidR="00110FCD" w:rsidRPr="000B79EF">
        <w:rPr>
          <w:szCs w:val="22"/>
          <w:lang w:val="ru-RU"/>
        </w:rPr>
        <w:t xml:space="preserve"> </w:t>
      </w:r>
      <w:r w:rsidR="000B79EF" w:rsidRPr="000B79EF">
        <w:rPr>
          <w:lang w:val="ru-RU"/>
        </w:rPr>
        <w:t>К заявкам на регистрацию доменных строк, которые ICANN относит к группе «некоторых иных географических наименований», например названия столиц стран мира, должны прилагаться документы, подтверждающие, что правительства или государственные органы соответствующих стран поддерживают такие заявки или не имеют возражений против использования таких наименований</w:t>
      </w:r>
      <w:r w:rsidR="00110FCD" w:rsidRPr="000B79EF">
        <w:rPr>
          <w:rStyle w:val="FootnoteReference"/>
          <w:rFonts w:eastAsia="SimSun"/>
          <w:szCs w:val="22"/>
          <w:lang w:val="ru-RU"/>
        </w:rPr>
        <w:footnoteReference w:id="81"/>
      </w:r>
      <w:r w:rsidR="000B79EF" w:rsidRPr="000B79EF">
        <w:rPr>
          <w:lang w:val="ru-RU"/>
        </w:rPr>
        <w:t>.</w:t>
      </w:r>
      <w:r w:rsidR="00864152" w:rsidRPr="000B79EF">
        <w:rPr>
          <w:szCs w:val="22"/>
          <w:lang w:val="ru-RU"/>
        </w:rPr>
        <w:t xml:space="preserve"> </w:t>
      </w:r>
      <w:r w:rsidR="000B79EF" w:rsidRPr="000B79EF">
        <w:rPr>
          <w:lang w:val="ru-RU"/>
        </w:rPr>
        <w:t>Члены ПКК высказали дополнительные оговорки относительно некоторых заявок на создание новых рДВУ по основаниям их близости или совпадения с географическими наименованиями или иными наименованиями, требующими «особого подхода», рекомендовав Совету ICANN не принимать по ним никаких решений помимо проведения первоначальной экспертизы, и запросили у Совета дальнейших разъяснений по поводу возможности исправления заявителями поданных ими заявок на создание новых рДВУ для учета конкретных вопросов, вызывающих озабоченность ПКК</w:t>
      </w:r>
      <w:r w:rsidR="00110FCD" w:rsidRPr="000B79EF">
        <w:rPr>
          <w:rStyle w:val="FootnoteReference"/>
          <w:rFonts w:eastAsia="SimSun"/>
          <w:iCs/>
          <w:szCs w:val="22"/>
          <w:lang w:val="ru-RU"/>
        </w:rPr>
        <w:footnoteReference w:id="82"/>
      </w:r>
      <w:r w:rsidR="000B79EF" w:rsidRPr="000B79EF">
        <w:rPr>
          <w:lang w:val="ru-RU"/>
        </w:rPr>
        <w:t>.</w:t>
      </w:r>
    </w:p>
    <w:p w14:paraId="6B98A8CC" w14:textId="786034A8" w:rsidR="00110FCD" w:rsidRPr="000B79EF" w:rsidRDefault="000B79EF" w:rsidP="006942C5">
      <w:pPr>
        <w:pStyle w:val="ListParagraph"/>
        <w:numPr>
          <w:ilvl w:val="0"/>
          <w:numId w:val="7"/>
        </w:numPr>
        <w:spacing w:before="240" w:after="240"/>
        <w:ind w:left="0" w:right="-143" w:firstLine="0"/>
        <w:contextualSpacing w:val="0"/>
        <w:rPr>
          <w:szCs w:val="22"/>
          <w:lang w:val="ru-RU"/>
        </w:rPr>
      </w:pPr>
      <w:r w:rsidRPr="000B79EF">
        <w:rPr>
          <w:lang w:val="ru-RU"/>
        </w:rPr>
        <w:t>В декабре 2016 г. ICANN санкционировал выдачу всех ранее зарезервированных двухсимвольных доменных имен на втором уровне в новых рДВУ при условии, что операторы реестров установят 30-дневный срок для выкупа соответствующими правительствами таких доменных имен, потребуют от регистрантов взять обязательства не создавать в результате использования таких двухсимвольных доменных имен ошибочного впечатления, что они связны с государственными органами, и обеспечат процедуру рассмотрения жалоб после регистрации</w:t>
      </w:r>
      <w:r w:rsidR="00110FCD" w:rsidRPr="000B79EF">
        <w:rPr>
          <w:rStyle w:val="FootnoteReference"/>
          <w:rFonts w:eastAsia="SimSun"/>
          <w:szCs w:val="22"/>
          <w:lang w:val="ru-RU"/>
        </w:rPr>
        <w:footnoteReference w:id="83"/>
      </w:r>
      <w:r w:rsidRPr="000B79EF">
        <w:rPr>
          <w:lang w:val="ru-RU"/>
        </w:rPr>
        <w:t>.</w:t>
      </w:r>
      <w:r w:rsidR="00110FCD" w:rsidRPr="000B79EF">
        <w:rPr>
          <w:szCs w:val="22"/>
          <w:lang w:val="ru-RU"/>
        </w:rPr>
        <w:t xml:space="preserve"> </w:t>
      </w:r>
      <w:r w:rsidRPr="000B79EF">
        <w:rPr>
          <w:lang w:val="ru-RU"/>
        </w:rPr>
        <w:t xml:space="preserve">В этой связи Центр представил комментарии ICANN, отметив, что Второй процесс в рамках ВОИС по доменным именам в </w:t>
      </w:r>
      <w:r w:rsidR="00091AE5">
        <w:rPr>
          <w:lang w:val="ru-RU"/>
        </w:rPr>
        <w:t>и</w:t>
      </w:r>
      <w:r w:rsidRPr="000B79EF">
        <w:rPr>
          <w:lang w:val="ru-RU"/>
        </w:rPr>
        <w:t>нтернете рассмотрел возможность изучения мер для применения ЕПУС к регистрациям на третьем уровне с целью уменьшить вероятность злоупотреблений в отношении товарных знаков</w:t>
      </w:r>
      <w:r w:rsidR="00110FCD" w:rsidRPr="000B79EF">
        <w:rPr>
          <w:rStyle w:val="FootnoteReference"/>
          <w:rFonts w:eastAsia="SimSun"/>
          <w:szCs w:val="22"/>
          <w:lang w:val="ru-RU"/>
        </w:rPr>
        <w:footnoteReference w:id="84"/>
      </w:r>
      <w:r w:rsidRPr="000B79EF">
        <w:rPr>
          <w:lang w:val="ru-RU"/>
        </w:rPr>
        <w:t>.</w:t>
      </w:r>
      <w:r w:rsidR="00110FCD" w:rsidRPr="000B79EF">
        <w:rPr>
          <w:szCs w:val="22"/>
          <w:lang w:val="ru-RU"/>
        </w:rPr>
        <w:t xml:space="preserve"> </w:t>
      </w:r>
      <w:r w:rsidR="006B1754" w:rsidRPr="000B79EF">
        <w:rPr>
          <w:szCs w:val="22"/>
          <w:lang w:val="ru-RU"/>
        </w:rPr>
        <w:t xml:space="preserve">ICANN </w:t>
      </w:r>
      <w:r w:rsidRPr="000B79EF">
        <w:rPr>
          <w:szCs w:val="22"/>
          <w:lang w:val="ru-RU"/>
        </w:rPr>
        <w:t>никак не отреагировал на эти комментарии Центра</w:t>
      </w:r>
      <w:r w:rsidR="006B1754" w:rsidRPr="000B79EF">
        <w:rPr>
          <w:szCs w:val="22"/>
          <w:lang w:val="ru-RU"/>
        </w:rPr>
        <w:t xml:space="preserve">. </w:t>
      </w:r>
      <w:r w:rsidRPr="000B79EF">
        <w:rPr>
          <w:lang w:val="ru-RU"/>
        </w:rPr>
        <w:t>Члены ПКК обратились к ICANN с просьбой предоставить согласованную информацию о соответствующих запросах и делегированиях</w:t>
      </w:r>
      <w:r w:rsidR="00110FCD" w:rsidRPr="000B79EF">
        <w:rPr>
          <w:rStyle w:val="FootnoteReference"/>
          <w:szCs w:val="22"/>
          <w:lang w:val="ru-RU"/>
        </w:rPr>
        <w:footnoteReference w:id="85"/>
      </w:r>
      <w:r w:rsidRPr="000B79EF">
        <w:rPr>
          <w:lang w:val="ru-RU"/>
        </w:rPr>
        <w:t>.</w:t>
      </w:r>
      <w:r w:rsidR="00110FCD" w:rsidRPr="000B79EF">
        <w:rPr>
          <w:szCs w:val="22"/>
          <w:lang w:val="ru-RU"/>
        </w:rPr>
        <w:t xml:space="preserve"> </w:t>
      </w:r>
    </w:p>
    <w:p w14:paraId="5A909451" w14:textId="48CB2318" w:rsidR="00110FCD" w:rsidRPr="0082563A" w:rsidRDefault="000B79EF" w:rsidP="00110FCD">
      <w:pPr>
        <w:pStyle w:val="ListParagraph"/>
        <w:numPr>
          <w:ilvl w:val="0"/>
          <w:numId w:val="7"/>
        </w:numPr>
        <w:spacing w:before="240" w:after="240"/>
        <w:ind w:left="0" w:firstLine="0"/>
        <w:contextualSpacing w:val="0"/>
        <w:rPr>
          <w:szCs w:val="24"/>
          <w:lang w:val="ru-RU"/>
        </w:rPr>
      </w:pPr>
      <w:r w:rsidRPr="000B79EF">
        <w:rPr>
          <w:lang w:val="ru-RU"/>
        </w:rPr>
        <w:lastRenderedPageBreak/>
        <w:t>По этим и другим относящимся к DNS вопросам Центр стремится информировать соответствующие отделы Секретариата, в том числе в порядке обеспечения работы Постоянного комитета по законодательству в области товарных знаков, промышленных образцов и географических указаний (ПКТЗ)</w:t>
      </w:r>
      <w:r w:rsidR="00110FCD" w:rsidRPr="000B79EF">
        <w:rPr>
          <w:rStyle w:val="FootnoteReference"/>
          <w:rFonts w:eastAsia="SimSun"/>
          <w:szCs w:val="22"/>
          <w:lang w:val="ru-RU"/>
        </w:rPr>
        <w:footnoteReference w:id="86"/>
      </w:r>
      <w:r w:rsidRPr="000B79EF">
        <w:rPr>
          <w:lang w:val="ru-RU"/>
        </w:rPr>
        <w:t>.</w:t>
      </w:r>
      <w:r w:rsidR="00110FCD" w:rsidRPr="000B79EF">
        <w:rPr>
          <w:szCs w:val="22"/>
          <w:lang w:val="ru-RU"/>
        </w:rPr>
        <w:t xml:space="preserve"> </w:t>
      </w:r>
      <w:r w:rsidRPr="000B79EF">
        <w:rPr>
          <w:lang w:val="ru-RU"/>
        </w:rPr>
        <w:t>Секретариат будет продолжать следить за развитием ситуации в этой области и высказывать свои соображения по мере возможности</w:t>
      </w:r>
      <w:r w:rsidR="00110FCD" w:rsidRPr="000B79EF">
        <w:rPr>
          <w:color w:val="000000"/>
          <w:szCs w:val="22"/>
          <w:lang w:val="ru-RU"/>
        </w:rPr>
        <w:t>.</w:t>
      </w:r>
    </w:p>
    <w:p w14:paraId="340E1866" w14:textId="4850BC93" w:rsidR="0082563A" w:rsidRPr="0082563A" w:rsidRDefault="0082563A" w:rsidP="0082563A">
      <w:pPr>
        <w:pStyle w:val="ListParagraph"/>
        <w:numPr>
          <w:ilvl w:val="0"/>
          <w:numId w:val="7"/>
        </w:numPr>
        <w:spacing w:before="240" w:after="240"/>
        <w:ind w:left="5533" w:firstLine="0"/>
        <w:contextualSpacing w:val="0"/>
        <w:rPr>
          <w:i/>
          <w:szCs w:val="24"/>
          <w:lang w:val="ru-RU"/>
        </w:rPr>
      </w:pPr>
      <w:r w:rsidRPr="0082563A">
        <w:rPr>
          <w:i/>
          <w:lang w:val="ru-RU"/>
        </w:rPr>
        <w:t>Генеральной Ассамблее ВОИС предлагается принять к сведению содержание документа «Центр ВОИС по арбитражу и посредничеству, включая доменные имена» (документ WO/GA/55/10).</w:t>
      </w:r>
    </w:p>
    <w:p w14:paraId="69EC18FB" w14:textId="77777777" w:rsidR="00462AF4" w:rsidRPr="000B79EF" w:rsidRDefault="00462AF4" w:rsidP="00666DCD">
      <w:pPr>
        <w:pStyle w:val="DecisionInvitingPara"/>
        <w:rPr>
          <w:sz w:val="22"/>
          <w:lang w:val="ru-RU"/>
        </w:rPr>
      </w:pPr>
    </w:p>
    <w:p w14:paraId="21873C83" w14:textId="77777777" w:rsidR="00462AF4" w:rsidRPr="000B79EF" w:rsidRDefault="00462AF4" w:rsidP="00666DCD">
      <w:pPr>
        <w:pStyle w:val="DecisionInvitingPara"/>
        <w:rPr>
          <w:sz w:val="22"/>
          <w:lang w:val="ru-RU"/>
        </w:rPr>
      </w:pPr>
    </w:p>
    <w:p w14:paraId="5C293392" w14:textId="48AFE9A6" w:rsidR="00462AF4" w:rsidRPr="000B79EF" w:rsidRDefault="00462AF4" w:rsidP="00666DCD">
      <w:pPr>
        <w:pStyle w:val="DecisionInvitingPara"/>
        <w:rPr>
          <w:i w:val="0"/>
          <w:sz w:val="22"/>
          <w:lang w:val="ru-RU"/>
        </w:rPr>
      </w:pPr>
      <w:r w:rsidRPr="000B79EF">
        <w:rPr>
          <w:i w:val="0"/>
          <w:sz w:val="22"/>
          <w:lang w:val="ru-RU"/>
        </w:rPr>
        <w:t>[</w:t>
      </w:r>
      <w:r w:rsidR="000B79EF" w:rsidRPr="000B79EF">
        <w:rPr>
          <w:i w:val="0"/>
          <w:iCs/>
          <w:sz w:val="22"/>
          <w:szCs w:val="22"/>
          <w:lang w:val="ru-RU"/>
        </w:rPr>
        <w:t>Конец документа</w:t>
      </w:r>
      <w:r w:rsidRPr="000B79EF">
        <w:rPr>
          <w:i w:val="0"/>
          <w:sz w:val="22"/>
          <w:lang w:val="ru-RU"/>
        </w:rPr>
        <w:t>]</w:t>
      </w:r>
    </w:p>
    <w:p w14:paraId="33AC5AE8" w14:textId="77777777" w:rsidR="00462AF4" w:rsidRPr="000B79EF" w:rsidRDefault="00462AF4" w:rsidP="00666DCD">
      <w:pPr>
        <w:pStyle w:val="DecisionInvitingPara"/>
        <w:rPr>
          <w:lang w:val="ru-RU"/>
        </w:rPr>
      </w:pPr>
    </w:p>
    <w:sectPr w:rsidR="00462AF4" w:rsidRPr="000B79EF" w:rsidSect="000B79EF">
      <w:headerReference w:type="default" r:id="rId9"/>
      <w:endnotePr>
        <w:numFmt w:val="decimal"/>
      </w:endnotePr>
      <w:pgSz w:w="11907" w:h="16840" w:code="9"/>
      <w:pgMar w:top="567" w:right="1134" w:bottom="1260"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E8BF8" w14:textId="77777777" w:rsidR="00FE0379" w:rsidRDefault="00FE0379">
      <w:r>
        <w:separator/>
      </w:r>
    </w:p>
  </w:endnote>
  <w:endnote w:type="continuationSeparator" w:id="0">
    <w:p w14:paraId="6031D209" w14:textId="77777777" w:rsidR="00FE0379" w:rsidRDefault="00FE0379" w:rsidP="003B38C1">
      <w:r>
        <w:separator/>
      </w:r>
    </w:p>
    <w:p w14:paraId="72538ECA" w14:textId="77777777" w:rsidR="00FE0379" w:rsidRPr="003B38C1" w:rsidRDefault="00FE0379" w:rsidP="003B38C1">
      <w:pPr>
        <w:spacing w:after="60"/>
        <w:rPr>
          <w:sz w:val="17"/>
        </w:rPr>
      </w:pPr>
      <w:r>
        <w:rPr>
          <w:sz w:val="17"/>
        </w:rPr>
        <w:t>[Endnote continued from previous page]</w:t>
      </w:r>
    </w:p>
  </w:endnote>
  <w:endnote w:type="continuationNotice" w:id="1">
    <w:p w14:paraId="498D1234" w14:textId="77777777" w:rsidR="00FE0379" w:rsidRPr="003B38C1" w:rsidRDefault="00FE037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1830D" w14:textId="77777777" w:rsidR="00FE0379" w:rsidRDefault="00FE0379">
      <w:r>
        <w:separator/>
      </w:r>
    </w:p>
  </w:footnote>
  <w:footnote w:type="continuationSeparator" w:id="0">
    <w:p w14:paraId="0697B411" w14:textId="77777777" w:rsidR="00FE0379" w:rsidRDefault="00FE0379" w:rsidP="008B60B2">
      <w:r>
        <w:separator/>
      </w:r>
    </w:p>
    <w:p w14:paraId="04E39365" w14:textId="77777777" w:rsidR="00FE0379" w:rsidRPr="00ED77FB" w:rsidRDefault="00FE0379" w:rsidP="008B60B2">
      <w:pPr>
        <w:spacing w:after="60"/>
        <w:rPr>
          <w:sz w:val="17"/>
          <w:szCs w:val="17"/>
        </w:rPr>
      </w:pPr>
      <w:r w:rsidRPr="00ED77FB">
        <w:rPr>
          <w:sz w:val="17"/>
          <w:szCs w:val="17"/>
        </w:rPr>
        <w:t>[Footnote continued from previous page]</w:t>
      </w:r>
    </w:p>
  </w:footnote>
  <w:footnote w:type="continuationNotice" w:id="1">
    <w:p w14:paraId="1F4B93B9" w14:textId="77777777" w:rsidR="00FE0379" w:rsidRPr="00ED77FB" w:rsidRDefault="00FE0379" w:rsidP="008B60B2">
      <w:pPr>
        <w:spacing w:before="60"/>
        <w:jc w:val="right"/>
        <w:rPr>
          <w:sz w:val="17"/>
          <w:szCs w:val="17"/>
        </w:rPr>
      </w:pPr>
      <w:r w:rsidRPr="00ED77FB">
        <w:rPr>
          <w:sz w:val="17"/>
          <w:szCs w:val="17"/>
        </w:rPr>
        <w:t>[Footnote continued on next page]</w:t>
      </w:r>
    </w:p>
  </w:footnote>
  <w:footnote w:id="2">
    <w:p w14:paraId="11343C10" w14:textId="08ED31D7" w:rsidR="007507C6" w:rsidRPr="006942C5" w:rsidRDefault="007507C6" w:rsidP="00110FCD">
      <w:pPr>
        <w:pStyle w:val="FootnoteText"/>
        <w:tabs>
          <w:tab w:val="left" w:pos="567"/>
        </w:tabs>
        <w:rPr>
          <w:rFonts w:asciiTheme="minorBidi" w:hAnsiTheme="minorBidi" w:cstheme="minorBidi"/>
          <w:szCs w:val="18"/>
          <w:u w:val="single"/>
          <w:lang w:val="ru-RU"/>
        </w:rPr>
      </w:pPr>
      <w:r w:rsidRPr="000B79EF">
        <w:rPr>
          <w:rStyle w:val="FootnoteReference"/>
          <w:rFonts w:asciiTheme="minorBidi" w:hAnsiTheme="minorBidi" w:cstheme="minorBidi"/>
          <w:szCs w:val="18"/>
          <w:lang w:val="ru-RU"/>
        </w:rPr>
        <w:footnoteRef/>
      </w:r>
      <w:r w:rsidRPr="006942C5">
        <w:rPr>
          <w:rFonts w:asciiTheme="minorBidi" w:hAnsiTheme="minorBidi" w:cstheme="minorBidi"/>
          <w:szCs w:val="18"/>
          <w:lang w:val="ru-RU"/>
        </w:rPr>
        <w:tab/>
      </w:r>
      <w:r w:rsidRPr="000B79EF">
        <w:rPr>
          <w:rFonts w:asciiTheme="minorBidi" w:hAnsiTheme="minorBidi" w:cstheme="minorBidi"/>
          <w:szCs w:val="18"/>
          <w:lang w:val="ru-RU"/>
        </w:rPr>
        <w:t>См</w:t>
      </w:r>
      <w:r w:rsidRPr="006942C5">
        <w:rPr>
          <w:rFonts w:asciiTheme="minorBidi" w:hAnsiTheme="minorBidi" w:cstheme="minorBidi"/>
          <w:szCs w:val="18"/>
          <w:lang w:val="ru-RU"/>
        </w:rPr>
        <w:t xml:space="preserve">. </w:t>
      </w:r>
      <w:r w:rsidRPr="000D2F2A">
        <w:rPr>
          <w:rFonts w:asciiTheme="minorBidi" w:hAnsiTheme="minorBidi" w:cstheme="minorBidi"/>
          <w:szCs w:val="18"/>
        </w:rPr>
        <w:t>https</w:t>
      </w:r>
      <w:r w:rsidRPr="006942C5">
        <w:rPr>
          <w:rFonts w:asciiTheme="minorBidi" w:hAnsiTheme="minorBidi" w:cstheme="minorBidi"/>
          <w:szCs w:val="18"/>
          <w:lang w:val="ru-RU"/>
        </w:rPr>
        <w:t>://</w:t>
      </w:r>
      <w:r w:rsidRPr="000D2F2A">
        <w:rPr>
          <w:rFonts w:asciiTheme="minorBidi" w:hAnsiTheme="minorBidi" w:cstheme="minorBidi"/>
          <w:szCs w:val="18"/>
        </w:rPr>
        <w:t>www</w:t>
      </w:r>
      <w:r w:rsidRPr="006942C5">
        <w:rPr>
          <w:rFonts w:asciiTheme="minorBidi" w:hAnsiTheme="minorBidi" w:cstheme="minorBidi"/>
          <w:szCs w:val="18"/>
          <w:lang w:val="ru-RU"/>
        </w:rPr>
        <w:t>.</w:t>
      </w:r>
      <w:r w:rsidRPr="000D2F2A">
        <w:rPr>
          <w:rFonts w:asciiTheme="minorBidi" w:hAnsiTheme="minorBidi" w:cstheme="minorBidi"/>
          <w:szCs w:val="18"/>
        </w:rPr>
        <w:t>wipo</w:t>
      </w:r>
      <w:r w:rsidRPr="006942C5">
        <w:rPr>
          <w:rFonts w:asciiTheme="minorBidi" w:hAnsiTheme="minorBidi" w:cstheme="minorBidi"/>
          <w:szCs w:val="18"/>
          <w:lang w:val="ru-RU"/>
        </w:rPr>
        <w:t>.</w:t>
      </w:r>
      <w:r w:rsidRPr="000D2F2A">
        <w:rPr>
          <w:rFonts w:asciiTheme="minorBidi" w:hAnsiTheme="minorBidi" w:cstheme="minorBidi"/>
          <w:szCs w:val="18"/>
        </w:rPr>
        <w:t>int</w:t>
      </w:r>
      <w:r w:rsidRPr="006942C5">
        <w:rPr>
          <w:rFonts w:asciiTheme="minorBidi" w:hAnsiTheme="minorBidi" w:cstheme="minorBidi"/>
          <w:szCs w:val="18"/>
          <w:lang w:val="ru-RU"/>
        </w:rPr>
        <w:t>/</w:t>
      </w:r>
      <w:r w:rsidRPr="000D2F2A">
        <w:rPr>
          <w:rFonts w:asciiTheme="minorBidi" w:hAnsiTheme="minorBidi" w:cstheme="minorBidi"/>
          <w:szCs w:val="18"/>
        </w:rPr>
        <w:t>about</w:t>
      </w:r>
      <w:r w:rsidRPr="006942C5">
        <w:rPr>
          <w:rFonts w:asciiTheme="minorBidi" w:hAnsiTheme="minorBidi" w:cstheme="minorBidi"/>
          <w:szCs w:val="18"/>
          <w:lang w:val="ru-RU"/>
        </w:rPr>
        <w:t>-</w:t>
      </w:r>
      <w:r w:rsidRPr="000D2F2A">
        <w:rPr>
          <w:rFonts w:asciiTheme="minorBidi" w:hAnsiTheme="minorBidi" w:cstheme="minorBidi"/>
          <w:szCs w:val="18"/>
        </w:rPr>
        <w:t>wipo</w:t>
      </w:r>
      <w:r w:rsidRPr="006942C5">
        <w:rPr>
          <w:rFonts w:asciiTheme="minorBidi" w:hAnsiTheme="minorBidi" w:cstheme="minorBidi"/>
          <w:szCs w:val="18"/>
          <w:lang w:val="ru-RU"/>
        </w:rPr>
        <w:t>/</w:t>
      </w:r>
      <w:r w:rsidRPr="000D2F2A">
        <w:rPr>
          <w:rFonts w:asciiTheme="minorBidi" w:hAnsiTheme="minorBidi" w:cstheme="minorBidi"/>
          <w:szCs w:val="18"/>
        </w:rPr>
        <w:t>en</w:t>
      </w:r>
      <w:r w:rsidRPr="006942C5">
        <w:rPr>
          <w:rFonts w:asciiTheme="minorBidi" w:hAnsiTheme="minorBidi" w:cstheme="minorBidi"/>
          <w:szCs w:val="18"/>
          <w:lang w:val="ru-RU"/>
        </w:rPr>
        <w:t>/</w:t>
      </w:r>
      <w:r w:rsidRPr="000D2F2A">
        <w:rPr>
          <w:rFonts w:asciiTheme="minorBidi" w:hAnsiTheme="minorBidi" w:cstheme="minorBidi"/>
          <w:szCs w:val="18"/>
        </w:rPr>
        <w:t>assemblies</w:t>
      </w:r>
      <w:r w:rsidRPr="006942C5">
        <w:rPr>
          <w:rFonts w:asciiTheme="minorBidi" w:hAnsiTheme="minorBidi" w:cstheme="minorBidi"/>
          <w:szCs w:val="18"/>
          <w:lang w:val="ru-RU"/>
        </w:rPr>
        <w:t>/2021/</w:t>
      </w:r>
      <w:r w:rsidRPr="000D2F2A">
        <w:rPr>
          <w:rFonts w:asciiTheme="minorBidi" w:hAnsiTheme="minorBidi" w:cstheme="minorBidi"/>
          <w:szCs w:val="18"/>
        </w:rPr>
        <w:t>a</w:t>
      </w:r>
      <w:r w:rsidRPr="006942C5">
        <w:rPr>
          <w:rFonts w:asciiTheme="minorBidi" w:hAnsiTheme="minorBidi" w:cstheme="minorBidi"/>
          <w:szCs w:val="18"/>
          <w:lang w:val="ru-RU"/>
        </w:rPr>
        <w:t>_62/</w:t>
      </w:r>
      <w:r w:rsidRPr="000D2F2A">
        <w:rPr>
          <w:rFonts w:asciiTheme="minorBidi" w:hAnsiTheme="minorBidi" w:cstheme="minorBidi"/>
          <w:szCs w:val="18"/>
        </w:rPr>
        <w:t>doc</w:t>
      </w:r>
      <w:r w:rsidRPr="006942C5">
        <w:rPr>
          <w:rFonts w:asciiTheme="minorBidi" w:hAnsiTheme="minorBidi" w:cstheme="minorBidi"/>
          <w:szCs w:val="18"/>
          <w:lang w:val="ru-RU"/>
        </w:rPr>
        <w:t>_</w:t>
      </w:r>
      <w:r w:rsidRPr="000D2F2A">
        <w:rPr>
          <w:rFonts w:asciiTheme="minorBidi" w:hAnsiTheme="minorBidi" w:cstheme="minorBidi"/>
          <w:szCs w:val="18"/>
        </w:rPr>
        <w:t>details</w:t>
      </w:r>
      <w:r w:rsidRPr="006942C5">
        <w:rPr>
          <w:rFonts w:asciiTheme="minorBidi" w:hAnsiTheme="minorBidi" w:cstheme="minorBidi"/>
          <w:szCs w:val="18"/>
          <w:lang w:val="ru-RU"/>
        </w:rPr>
        <w:t>.</w:t>
      </w:r>
      <w:r w:rsidRPr="000D2F2A">
        <w:rPr>
          <w:rFonts w:asciiTheme="minorBidi" w:hAnsiTheme="minorBidi" w:cstheme="minorBidi"/>
          <w:szCs w:val="18"/>
        </w:rPr>
        <w:t>jsp</w:t>
      </w:r>
      <w:r w:rsidRPr="006942C5">
        <w:rPr>
          <w:rFonts w:asciiTheme="minorBidi" w:hAnsiTheme="minorBidi" w:cstheme="minorBidi"/>
          <w:szCs w:val="18"/>
          <w:lang w:val="ru-RU"/>
        </w:rPr>
        <w:t>?</w:t>
      </w:r>
      <w:r w:rsidRPr="000D2F2A">
        <w:rPr>
          <w:rFonts w:asciiTheme="minorBidi" w:hAnsiTheme="minorBidi" w:cstheme="minorBidi"/>
          <w:szCs w:val="18"/>
        </w:rPr>
        <w:t>doc</w:t>
      </w:r>
      <w:r w:rsidRPr="006942C5">
        <w:rPr>
          <w:rFonts w:asciiTheme="minorBidi" w:hAnsiTheme="minorBidi" w:cstheme="minorBidi"/>
          <w:szCs w:val="18"/>
          <w:lang w:val="ru-RU"/>
        </w:rPr>
        <w:t>_</w:t>
      </w:r>
      <w:r w:rsidRPr="000D2F2A">
        <w:rPr>
          <w:rFonts w:asciiTheme="minorBidi" w:hAnsiTheme="minorBidi" w:cstheme="minorBidi"/>
          <w:szCs w:val="18"/>
        </w:rPr>
        <w:t>id</w:t>
      </w:r>
      <w:r w:rsidRPr="006942C5">
        <w:rPr>
          <w:rFonts w:asciiTheme="minorBidi" w:hAnsiTheme="minorBidi" w:cstheme="minorBidi"/>
          <w:szCs w:val="18"/>
          <w:lang w:val="ru-RU"/>
        </w:rPr>
        <w:t>=547756.</w:t>
      </w:r>
    </w:p>
  </w:footnote>
  <w:footnote w:id="3">
    <w:p w14:paraId="0309CBCD" w14:textId="190B0209" w:rsidR="007507C6" w:rsidRPr="006942C5" w:rsidRDefault="007507C6" w:rsidP="006942C5">
      <w:pPr>
        <w:pStyle w:val="FootnoteText"/>
        <w:rPr>
          <w:lang w:val="ru-RU"/>
        </w:rPr>
      </w:pPr>
      <w:r w:rsidRPr="003A3A65">
        <w:rPr>
          <w:rStyle w:val="FootnoteReference"/>
        </w:rPr>
        <w:footnoteRef/>
      </w:r>
      <w:r w:rsidRPr="006942C5">
        <w:rPr>
          <w:lang w:val="ru-RU"/>
        </w:rPr>
        <w:t xml:space="preserve"> </w:t>
      </w:r>
      <w:r w:rsidRPr="006942C5">
        <w:rPr>
          <w:lang w:val="ru-RU"/>
        </w:rPr>
        <w:tab/>
        <w:t>Центр оказывает проце</w:t>
      </w:r>
      <w:r>
        <w:rPr>
          <w:lang w:val="ru-RU"/>
        </w:rPr>
        <w:t>дур</w:t>
      </w:r>
      <w:r w:rsidRPr="006942C5">
        <w:rPr>
          <w:lang w:val="ru-RU"/>
        </w:rPr>
        <w:t>ную помощь (</w:t>
      </w:r>
      <w:r>
        <w:rPr>
          <w:lang w:val="ru-RU"/>
        </w:rPr>
        <w:t>«</w:t>
      </w:r>
      <w:r w:rsidRPr="006942C5">
        <w:rPr>
          <w:lang w:val="ru-RU"/>
        </w:rPr>
        <w:t>добрые услуги</w:t>
      </w:r>
      <w:r>
        <w:rPr>
          <w:lang w:val="ru-RU"/>
        </w:rPr>
        <w:t>»</w:t>
      </w:r>
      <w:r w:rsidRPr="006942C5">
        <w:rPr>
          <w:lang w:val="ru-RU"/>
        </w:rPr>
        <w:t>) сторонам спор</w:t>
      </w:r>
      <w:r>
        <w:rPr>
          <w:lang w:val="ru-RU"/>
        </w:rPr>
        <w:t>ов по вопросам</w:t>
      </w:r>
      <w:r w:rsidRPr="006942C5">
        <w:rPr>
          <w:lang w:val="ru-RU"/>
        </w:rPr>
        <w:t xml:space="preserve"> ИС или технологи</w:t>
      </w:r>
      <w:r>
        <w:rPr>
          <w:lang w:val="ru-RU"/>
        </w:rPr>
        <w:t>й в целях</w:t>
      </w:r>
      <w:r w:rsidRPr="006942C5">
        <w:rPr>
          <w:lang w:val="ru-RU"/>
        </w:rPr>
        <w:t xml:space="preserve"> содействия прямому урегулированию </w:t>
      </w:r>
      <w:r>
        <w:rPr>
          <w:lang w:val="ru-RU"/>
        </w:rPr>
        <w:t xml:space="preserve">спора </w:t>
      </w:r>
      <w:r w:rsidRPr="006942C5">
        <w:rPr>
          <w:lang w:val="ru-RU"/>
        </w:rPr>
        <w:t xml:space="preserve">между ними или </w:t>
      </w:r>
      <w:r>
        <w:rPr>
          <w:lang w:val="ru-RU"/>
        </w:rPr>
        <w:t xml:space="preserve">его </w:t>
      </w:r>
      <w:r w:rsidRPr="006942C5">
        <w:rPr>
          <w:lang w:val="ru-RU"/>
        </w:rPr>
        <w:t xml:space="preserve">передаче </w:t>
      </w:r>
      <w:r>
        <w:rPr>
          <w:lang w:val="ru-RU"/>
        </w:rPr>
        <w:t xml:space="preserve">в ВОИС </w:t>
      </w:r>
      <w:r w:rsidRPr="001B168E">
        <w:rPr>
          <w:lang w:val="ru-RU"/>
        </w:rPr>
        <w:t xml:space="preserve">для урегулирования путем посредничества </w:t>
      </w:r>
      <w:r w:rsidRPr="006942C5">
        <w:rPr>
          <w:lang w:val="ru-RU"/>
        </w:rPr>
        <w:t>или арбитраж</w:t>
      </w:r>
      <w:r>
        <w:rPr>
          <w:lang w:val="ru-RU"/>
        </w:rPr>
        <w:t xml:space="preserve">а </w:t>
      </w:r>
      <w:r w:rsidRPr="006942C5">
        <w:rPr>
          <w:lang w:val="ru-RU"/>
        </w:rPr>
        <w:t>в качестве альтернативы судебному разбирательству</w:t>
      </w:r>
      <w:r>
        <w:rPr>
          <w:lang w:val="ru-RU"/>
        </w:rPr>
        <w:t xml:space="preserve">. См. </w:t>
      </w:r>
      <w:r w:rsidRPr="003A3A65">
        <w:t>https</w:t>
      </w:r>
      <w:r w:rsidRPr="006942C5">
        <w:rPr>
          <w:lang w:val="ru-RU"/>
        </w:rPr>
        <w:t>://</w:t>
      </w:r>
      <w:r w:rsidRPr="003A3A65">
        <w:t>www</w:t>
      </w:r>
      <w:r w:rsidRPr="006942C5">
        <w:rPr>
          <w:lang w:val="ru-RU"/>
        </w:rPr>
        <w:t>.</w:t>
      </w:r>
      <w:r w:rsidRPr="003A3A65">
        <w:t>wipo</w:t>
      </w:r>
      <w:r w:rsidRPr="006942C5">
        <w:rPr>
          <w:lang w:val="ru-RU"/>
        </w:rPr>
        <w:t>.</w:t>
      </w:r>
      <w:r w:rsidRPr="003A3A65">
        <w:t>int</w:t>
      </w:r>
      <w:r w:rsidRPr="006942C5">
        <w:rPr>
          <w:lang w:val="ru-RU"/>
        </w:rPr>
        <w:t>/</w:t>
      </w:r>
      <w:r w:rsidRPr="003A3A65">
        <w:t>amc</w:t>
      </w:r>
      <w:r w:rsidRPr="006942C5">
        <w:rPr>
          <w:lang w:val="ru-RU"/>
        </w:rPr>
        <w:t>/</w:t>
      </w:r>
      <w:r w:rsidRPr="003A3A65">
        <w:t>en</w:t>
      </w:r>
      <w:r w:rsidRPr="006942C5">
        <w:rPr>
          <w:lang w:val="ru-RU"/>
        </w:rPr>
        <w:t>/</w:t>
      </w:r>
      <w:r w:rsidRPr="003A3A65">
        <w:t>goodoffices</w:t>
      </w:r>
      <w:r w:rsidRPr="006942C5">
        <w:rPr>
          <w:lang w:val="ru-RU"/>
        </w:rPr>
        <w:t>/.</w:t>
      </w:r>
    </w:p>
  </w:footnote>
  <w:footnote w:id="4">
    <w:p w14:paraId="1BF0E777" w14:textId="28EAB959"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С перечнем всех проводимых Центром семинаров и других мероприятий можно ознакомиться по адресу: </w:t>
      </w:r>
      <w:hyperlink r:id="rId1" w:history="1">
        <w:r>
          <w:rPr>
            <w:rStyle w:val="Hyperlink"/>
            <w:lang w:val="ru-RU"/>
          </w:rPr>
          <w:t>https://www.wipo.int/amc/en/events</w:t>
        </w:r>
      </w:hyperlink>
      <w:r w:rsidRPr="000B79EF">
        <w:rPr>
          <w:lang w:val="ru-RU"/>
        </w:rPr>
        <w:t>.</w:t>
      </w:r>
    </w:p>
  </w:footnote>
  <w:footnote w:id="5">
    <w:p w14:paraId="03EC8CD0" w14:textId="3718970E" w:rsidR="007507C6" w:rsidRPr="001B168E" w:rsidRDefault="007507C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00D72C9D">
        <w:rPr>
          <w:rFonts w:asciiTheme="minorBidi" w:hAnsiTheme="minorBidi" w:cstheme="minorBidi"/>
          <w:szCs w:val="18"/>
          <w:lang w:val="ru-RU"/>
        </w:rPr>
        <w:t>В</w:t>
      </w:r>
      <w:r w:rsidRPr="000B79EF">
        <w:rPr>
          <w:rFonts w:asciiTheme="minorBidi" w:hAnsiTheme="minorBidi" w:cstheme="minorBidi"/>
          <w:szCs w:val="18"/>
          <w:lang w:val="ru-RU"/>
        </w:rPr>
        <w:t xml:space="preserve"> Центр</w:t>
      </w:r>
      <w:r w:rsidR="00D72C9D">
        <w:rPr>
          <w:rFonts w:asciiTheme="minorBidi" w:hAnsiTheme="minorBidi" w:cstheme="minorBidi"/>
          <w:szCs w:val="18"/>
          <w:lang w:val="ru-RU"/>
        </w:rPr>
        <w:t>е имеются</w:t>
      </w:r>
      <w:r w:rsidRPr="000B79EF">
        <w:rPr>
          <w:rFonts w:asciiTheme="minorBidi" w:hAnsiTheme="minorBidi" w:cstheme="minorBidi"/>
          <w:szCs w:val="18"/>
          <w:lang w:val="ru-RU"/>
        </w:rPr>
        <w:t xml:space="preserve"> </w:t>
      </w:r>
      <w:r>
        <w:rPr>
          <w:rFonts w:asciiTheme="minorBidi" w:hAnsiTheme="minorBidi" w:cstheme="minorBidi"/>
          <w:szCs w:val="18"/>
          <w:lang w:val="ru-RU"/>
        </w:rPr>
        <w:t xml:space="preserve">рекомендованные типовые положения и соглашения о передаче, а также </w:t>
      </w:r>
      <w:r w:rsidRPr="000B79EF">
        <w:rPr>
          <w:rFonts w:asciiTheme="minorBidi" w:hAnsiTheme="minorBidi" w:cstheme="minorBidi"/>
          <w:szCs w:val="18"/>
          <w:lang w:val="ru-RU"/>
        </w:rPr>
        <w:t>онлайновая программа, которая позволяет сторонам формулировать основные статьи и положения соглашений о передаче споров на урегулирование. См</w:t>
      </w:r>
      <w:r w:rsidRPr="001B168E">
        <w:rPr>
          <w:rFonts w:asciiTheme="minorBidi" w:hAnsiTheme="minorBidi" w:cstheme="minorBidi"/>
          <w:szCs w:val="18"/>
          <w:lang w:val="ru-RU"/>
        </w:rPr>
        <w:t xml:space="preserve">. </w:t>
      </w:r>
      <w:r w:rsidRPr="001B168E">
        <w:rPr>
          <w:rFonts w:asciiTheme="minorBidi" w:hAnsiTheme="minorBidi" w:cstheme="minorBidi"/>
          <w:szCs w:val="18"/>
        </w:rPr>
        <w:t>https</w:t>
      </w:r>
      <w:r w:rsidRPr="001B168E">
        <w:rPr>
          <w:rFonts w:asciiTheme="minorBidi" w:hAnsiTheme="minorBidi" w:cstheme="minorBidi"/>
          <w:szCs w:val="18"/>
          <w:lang w:val="ru-RU"/>
        </w:rPr>
        <w:t>://</w:t>
      </w:r>
      <w:r w:rsidRPr="001B168E">
        <w:rPr>
          <w:rFonts w:asciiTheme="minorBidi" w:hAnsiTheme="minorBidi" w:cstheme="minorBidi"/>
          <w:szCs w:val="18"/>
        </w:rPr>
        <w:t>www</w:t>
      </w:r>
      <w:r w:rsidRPr="001B168E">
        <w:rPr>
          <w:rFonts w:asciiTheme="minorBidi" w:hAnsiTheme="minorBidi" w:cstheme="minorBidi"/>
          <w:szCs w:val="18"/>
          <w:lang w:val="ru-RU"/>
        </w:rPr>
        <w:t>.</w:t>
      </w:r>
      <w:r w:rsidRPr="001B168E">
        <w:rPr>
          <w:rFonts w:asciiTheme="minorBidi" w:hAnsiTheme="minorBidi" w:cstheme="minorBidi"/>
          <w:szCs w:val="18"/>
        </w:rPr>
        <w:t>wipo</w:t>
      </w:r>
      <w:r w:rsidRPr="001B168E">
        <w:rPr>
          <w:rFonts w:asciiTheme="minorBidi" w:hAnsiTheme="minorBidi" w:cstheme="minorBidi"/>
          <w:szCs w:val="18"/>
          <w:lang w:val="ru-RU"/>
        </w:rPr>
        <w:t>.</w:t>
      </w:r>
      <w:r w:rsidRPr="001B168E">
        <w:rPr>
          <w:rFonts w:asciiTheme="minorBidi" w:hAnsiTheme="minorBidi" w:cstheme="minorBidi"/>
          <w:szCs w:val="18"/>
        </w:rPr>
        <w:t>int</w:t>
      </w:r>
      <w:r w:rsidRPr="001B168E">
        <w:rPr>
          <w:rFonts w:asciiTheme="minorBidi" w:hAnsiTheme="minorBidi" w:cstheme="minorBidi"/>
          <w:szCs w:val="18"/>
          <w:lang w:val="ru-RU"/>
        </w:rPr>
        <w:t>/</w:t>
      </w:r>
      <w:r w:rsidRPr="001B168E">
        <w:rPr>
          <w:rFonts w:asciiTheme="minorBidi" w:hAnsiTheme="minorBidi" w:cstheme="minorBidi"/>
          <w:szCs w:val="18"/>
        </w:rPr>
        <w:t>amc</w:t>
      </w:r>
      <w:r w:rsidRPr="001B168E">
        <w:rPr>
          <w:rFonts w:asciiTheme="minorBidi" w:hAnsiTheme="minorBidi" w:cstheme="minorBidi"/>
          <w:szCs w:val="18"/>
          <w:lang w:val="ru-RU"/>
        </w:rPr>
        <w:t>/</w:t>
      </w:r>
      <w:r w:rsidRPr="001B168E">
        <w:rPr>
          <w:rFonts w:asciiTheme="minorBidi" w:hAnsiTheme="minorBidi" w:cstheme="minorBidi"/>
          <w:szCs w:val="18"/>
        </w:rPr>
        <w:t>en</w:t>
      </w:r>
      <w:r w:rsidRPr="001B168E">
        <w:rPr>
          <w:rFonts w:asciiTheme="minorBidi" w:hAnsiTheme="minorBidi" w:cstheme="minorBidi"/>
          <w:szCs w:val="18"/>
          <w:lang w:val="ru-RU"/>
        </w:rPr>
        <w:t>/</w:t>
      </w:r>
      <w:r w:rsidRPr="001B168E">
        <w:rPr>
          <w:rFonts w:asciiTheme="minorBidi" w:hAnsiTheme="minorBidi" w:cstheme="minorBidi"/>
          <w:szCs w:val="18"/>
        </w:rPr>
        <w:t>clauses</w:t>
      </w:r>
      <w:r w:rsidRPr="001B168E">
        <w:rPr>
          <w:rFonts w:asciiTheme="minorBidi" w:hAnsiTheme="minorBidi" w:cstheme="minorBidi"/>
          <w:szCs w:val="18"/>
          <w:lang w:val="ru-RU"/>
        </w:rPr>
        <w:t>/</w:t>
      </w:r>
      <w:r w:rsidRPr="001B168E">
        <w:rPr>
          <w:rFonts w:asciiTheme="minorBidi" w:hAnsiTheme="minorBidi" w:cstheme="minorBidi"/>
          <w:szCs w:val="18"/>
        </w:rPr>
        <w:t>index</w:t>
      </w:r>
      <w:r w:rsidRPr="001B168E">
        <w:rPr>
          <w:rFonts w:asciiTheme="minorBidi" w:hAnsiTheme="minorBidi" w:cstheme="minorBidi"/>
          <w:szCs w:val="18"/>
          <w:lang w:val="ru-RU"/>
        </w:rPr>
        <w:t>.</w:t>
      </w:r>
      <w:r w:rsidRPr="001B168E">
        <w:rPr>
          <w:rFonts w:asciiTheme="minorBidi" w:hAnsiTheme="minorBidi" w:cstheme="minorBidi"/>
          <w:szCs w:val="18"/>
        </w:rPr>
        <w:t>html</w:t>
      </w:r>
      <w:r w:rsidRPr="001B168E">
        <w:rPr>
          <w:rFonts w:asciiTheme="minorBidi" w:hAnsiTheme="minorBidi" w:cstheme="minorBidi"/>
          <w:szCs w:val="18"/>
          <w:lang w:val="ru-RU"/>
        </w:rPr>
        <w:t xml:space="preserve"> </w:t>
      </w:r>
      <w:r>
        <w:rPr>
          <w:rFonts w:asciiTheme="minorBidi" w:hAnsiTheme="minorBidi" w:cstheme="minorBidi"/>
          <w:szCs w:val="18"/>
          <w:lang w:val="ru-RU"/>
        </w:rPr>
        <w:t>и</w:t>
      </w:r>
      <w:r w:rsidRPr="001B168E">
        <w:rPr>
          <w:rFonts w:asciiTheme="minorBidi" w:hAnsiTheme="minorBidi" w:cstheme="minorBidi"/>
          <w:szCs w:val="18"/>
          <w:lang w:val="ru-RU"/>
        </w:rPr>
        <w:t xml:space="preserve"> </w:t>
      </w:r>
      <w:r w:rsidRPr="001B168E">
        <w:rPr>
          <w:rFonts w:asciiTheme="minorBidi" w:hAnsiTheme="minorBidi" w:cstheme="minorBidi"/>
          <w:szCs w:val="18"/>
        </w:rPr>
        <w:t>https</w:t>
      </w:r>
      <w:r w:rsidRPr="001B168E">
        <w:rPr>
          <w:rFonts w:asciiTheme="minorBidi" w:hAnsiTheme="minorBidi" w:cstheme="minorBidi"/>
          <w:szCs w:val="18"/>
          <w:lang w:val="ru-RU"/>
        </w:rPr>
        <w:t>://</w:t>
      </w:r>
      <w:r w:rsidRPr="001B168E">
        <w:rPr>
          <w:rFonts w:asciiTheme="minorBidi" w:hAnsiTheme="minorBidi" w:cstheme="minorBidi"/>
          <w:szCs w:val="18"/>
        </w:rPr>
        <w:t>amc</w:t>
      </w:r>
      <w:r w:rsidRPr="001B168E">
        <w:rPr>
          <w:rFonts w:asciiTheme="minorBidi" w:hAnsiTheme="minorBidi" w:cstheme="minorBidi"/>
          <w:szCs w:val="18"/>
          <w:lang w:val="ru-RU"/>
        </w:rPr>
        <w:t>.</w:t>
      </w:r>
      <w:r w:rsidRPr="001B168E">
        <w:rPr>
          <w:rFonts w:asciiTheme="minorBidi" w:hAnsiTheme="minorBidi" w:cstheme="minorBidi"/>
          <w:szCs w:val="18"/>
        </w:rPr>
        <w:t>wipo</w:t>
      </w:r>
      <w:r w:rsidRPr="001B168E">
        <w:rPr>
          <w:rFonts w:asciiTheme="minorBidi" w:hAnsiTheme="minorBidi" w:cstheme="minorBidi"/>
          <w:szCs w:val="18"/>
          <w:lang w:val="ru-RU"/>
        </w:rPr>
        <w:t>.</w:t>
      </w:r>
      <w:r w:rsidRPr="001B168E">
        <w:rPr>
          <w:rFonts w:asciiTheme="minorBidi" w:hAnsiTheme="minorBidi" w:cstheme="minorBidi"/>
          <w:szCs w:val="18"/>
        </w:rPr>
        <w:t>int</w:t>
      </w:r>
      <w:r w:rsidRPr="001B168E">
        <w:rPr>
          <w:rFonts w:asciiTheme="minorBidi" w:hAnsiTheme="minorBidi" w:cstheme="minorBidi"/>
          <w:szCs w:val="18"/>
          <w:lang w:val="ru-RU"/>
        </w:rPr>
        <w:t>/</w:t>
      </w:r>
      <w:r w:rsidRPr="001B168E">
        <w:rPr>
          <w:rFonts w:asciiTheme="minorBidi" w:hAnsiTheme="minorBidi" w:cstheme="minorBidi"/>
          <w:szCs w:val="18"/>
        </w:rPr>
        <w:t>clause</w:t>
      </w:r>
      <w:r w:rsidRPr="001B168E">
        <w:rPr>
          <w:rFonts w:asciiTheme="minorBidi" w:hAnsiTheme="minorBidi" w:cstheme="minorBidi"/>
          <w:szCs w:val="18"/>
          <w:lang w:val="ru-RU"/>
        </w:rPr>
        <w:t>-</w:t>
      </w:r>
      <w:r w:rsidRPr="001B168E">
        <w:rPr>
          <w:rFonts w:asciiTheme="minorBidi" w:hAnsiTheme="minorBidi" w:cstheme="minorBidi"/>
          <w:szCs w:val="18"/>
        </w:rPr>
        <w:t>generator</w:t>
      </w:r>
      <w:r w:rsidRPr="001B168E">
        <w:rPr>
          <w:rFonts w:asciiTheme="minorBidi" w:hAnsiTheme="minorBidi" w:cstheme="minorBidi"/>
          <w:szCs w:val="18"/>
          <w:lang w:val="ru-RU"/>
        </w:rPr>
        <w:t>/.</w:t>
      </w:r>
    </w:p>
  </w:footnote>
  <w:footnote w:id="6">
    <w:p w14:paraId="3C551EB5" w14:textId="1D92A1A6" w:rsidR="007507C6" w:rsidRPr="005365C7" w:rsidRDefault="007507C6" w:rsidP="008D3AD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500759">
        <w:rPr>
          <w:rFonts w:asciiTheme="minorBidi" w:hAnsiTheme="minorBidi" w:cstheme="minorBidi"/>
          <w:szCs w:val="18"/>
          <w:lang w:val="ru-RU"/>
        </w:rPr>
        <w:t xml:space="preserve"> </w:t>
      </w:r>
      <w:r w:rsidRPr="00500759">
        <w:rPr>
          <w:rFonts w:asciiTheme="minorBidi" w:hAnsiTheme="minorBidi" w:cstheme="minorBidi"/>
          <w:szCs w:val="18"/>
          <w:lang w:val="ru-RU"/>
        </w:rPr>
        <w:tab/>
      </w:r>
      <w:r>
        <w:rPr>
          <w:rFonts w:asciiTheme="minorBidi" w:hAnsiTheme="minorBidi" w:cstheme="minorBidi"/>
          <w:szCs w:val="18"/>
          <w:lang w:val="ru-RU"/>
        </w:rPr>
        <w:t>В целом, о</w:t>
      </w:r>
      <w:r w:rsidRPr="00500759">
        <w:rPr>
          <w:rFonts w:asciiTheme="minorBidi" w:hAnsiTheme="minorBidi" w:cstheme="minorBidi"/>
          <w:szCs w:val="18"/>
          <w:lang w:val="ru-RU"/>
        </w:rPr>
        <w:t>коло половины сторон</w:t>
      </w:r>
      <w:r>
        <w:rPr>
          <w:rFonts w:asciiTheme="minorBidi" w:hAnsiTheme="minorBidi" w:cstheme="minorBidi"/>
          <w:szCs w:val="18"/>
          <w:lang w:val="ru-RU"/>
        </w:rPr>
        <w:t xml:space="preserve"> разбирательств согласно</w:t>
      </w:r>
      <w:r w:rsidRPr="00500759">
        <w:rPr>
          <w:rFonts w:asciiTheme="minorBidi" w:hAnsiTheme="minorBidi" w:cstheme="minorBidi"/>
          <w:szCs w:val="18"/>
          <w:lang w:val="ru-RU"/>
        </w:rPr>
        <w:t xml:space="preserve"> посреднически</w:t>
      </w:r>
      <w:r>
        <w:rPr>
          <w:rFonts w:asciiTheme="minorBidi" w:hAnsiTheme="minorBidi" w:cstheme="minorBidi"/>
          <w:szCs w:val="18"/>
          <w:lang w:val="ru-RU"/>
        </w:rPr>
        <w:t>м</w:t>
      </w:r>
      <w:r w:rsidRPr="00500759">
        <w:rPr>
          <w:rFonts w:asciiTheme="minorBidi" w:hAnsiTheme="minorBidi" w:cstheme="minorBidi"/>
          <w:szCs w:val="18"/>
          <w:lang w:val="ru-RU"/>
        </w:rPr>
        <w:t xml:space="preserve"> и арбитражны</w:t>
      </w:r>
      <w:r>
        <w:rPr>
          <w:rFonts w:asciiTheme="minorBidi" w:hAnsiTheme="minorBidi" w:cstheme="minorBidi"/>
          <w:szCs w:val="18"/>
          <w:lang w:val="ru-RU"/>
        </w:rPr>
        <w:t>м</w:t>
      </w:r>
      <w:r w:rsidRPr="00500759">
        <w:rPr>
          <w:rFonts w:asciiTheme="minorBidi" w:hAnsiTheme="minorBidi" w:cstheme="minorBidi"/>
          <w:szCs w:val="18"/>
          <w:lang w:val="ru-RU"/>
        </w:rPr>
        <w:t xml:space="preserve"> </w:t>
      </w:r>
      <w:r>
        <w:rPr>
          <w:rFonts w:asciiTheme="minorBidi" w:hAnsiTheme="minorBidi" w:cstheme="minorBidi"/>
          <w:szCs w:val="18"/>
          <w:lang w:val="ru-RU"/>
        </w:rPr>
        <w:t>процедурам</w:t>
      </w:r>
      <w:r w:rsidRPr="00500759">
        <w:rPr>
          <w:rFonts w:asciiTheme="minorBidi" w:hAnsiTheme="minorBidi" w:cstheme="minorBidi"/>
          <w:szCs w:val="18"/>
          <w:lang w:val="ru-RU"/>
        </w:rPr>
        <w:t xml:space="preserve"> ВОИС </w:t>
      </w:r>
      <w:r>
        <w:rPr>
          <w:rFonts w:asciiTheme="minorBidi" w:hAnsiTheme="minorBidi" w:cstheme="minorBidi"/>
          <w:szCs w:val="18"/>
          <w:lang w:val="ru-RU"/>
        </w:rPr>
        <w:t xml:space="preserve">составляют </w:t>
      </w:r>
      <w:r w:rsidRPr="00500759">
        <w:rPr>
          <w:rFonts w:asciiTheme="minorBidi" w:hAnsiTheme="minorBidi" w:cstheme="minorBidi"/>
          <w:szCs w:val="18"/>
          <w:lang w:val="ru-RU"/>
        </w:rPr>
        <w:t xml:space="preserve">МСП, включая </w:t>
      </w:r>
      <w:r>
        <w:rPr>
          <w:rFonts w:asciiTheme="minorBidi" w:hAnsiTheme="minorBidi" w:cstheme="minorBidi"/>
          <w:szCs w:val="18"/>
          <w:lang w:val="ru-RU"/>
        </w:rPr>
        <w:t>стартапы</w:t>
      </w:r>
      <w:r w:rsidRPr="00500759">
        <w:rPr>
          <w:rFonts w:asciiTheme="minorBidi" w:hAnsiTheme="minorBidi" w:cstheme="minorBidi"/>
          <w:szCs w:val="18"/>
          <w:lang w:val="ru-RU"/>
        </w:rPr>
        <w:t xml:space="preserve">, </w:t>
      </w:r>
      <w:r>
        <w:rPr>
          <w:rFonts w:asciiTheme="minorBidi" w:hAnsiTheme="minorBidi" w:cstheme="minorBidi"/>
          <w:szCs w:val="18"/>
          <w:lang w:val="ru-RU"/>
        </w:rPr>
        <w:t>авторов</w:t>
      </w:r>
      <w:r w:rsidRPr="00500759">
        <w:rPr>
          <w:rFonts w:asciiTheme="minorBidi" w:hAnsiTheme="minorBidi" w:cstheme="minorBidi"/>
          <w:szCs w:val="18"/>
          <w:lang w:val="ru-RU"/>
        </w:rPr>
        <w:t xml:space="preserve"> и новаторов</w:t>
      </w:r>
      <w:r>
        <w:rPr>
          <w:rFonts w:asciiTheme="minorBidi" w:hAnsiTheme="minorBidi" w:cstheme="minorBidi"/>
          <w:szCs w:val="18"/>
          <w:lang w:val="ru-RU"/>
        </w:rPr>
        <w:t xml:space="preserve">. См. </w:t>
      </w:r>
      <w:r w:rsidRPr="00500759">
        <w:rPr>
          <w:rFonts w:asciiTheme="minorBidi" w:hAnsiTheme="minorBidi" w:cstheme="minorBidi"/>
          <w:szCs w:val="18"/>
        </w:rPr>
        <w:t>https</w:t>
      </w:r>
      <w:r w:rsidRPr="005365C7">
        <w:rPr>
          <w:rFonts w:asciiTheme="minorBidi" w:hAnsiTheme="minorBidi" w:cstheme="minorBidi"/>
          <w:szCs w:val="18"/>
          <w:lang w:val="ru-RU"/>
        </w:rPr>
        <w:t>://</w:t>
      </w:r>
      <w:r w:rsidRPr="00500759">
        <w:rPr>
          <w:rFonts w:asciiTheme="minorBidi" w:hAnsiTheme="minorBidi" w:cstheme="minorBidi"/>
          <w:szCs w:val="18"/>
        </w:rPr>
        <w:t>www</w:t>
      </w:r>
      <w:r w:rsidRPr="005365C7">
        <w:rPr>
          <w:rFonts w:asciiTheme="minorBidi" w:hAnsiTheme="minorBidi" w:cstheme="minorBidi"/>
          <w:szCs w:val="18"/>
          <w:lang w:val="ru-RU"/>
        </w:rPr>
        <w:t>.</w:t>
      </w:r>
      <w:r w:rsidRPr="00500759">
        <w:rPr>
          <w:rFonts w:asciiTheme="minorBidi" w:hAnsiTheme="minorBidi" w:cstheme="minorBidi"/>
          <w:szCs w:val="18"/>
        </w:rPr>
        <w:t>wipo</w:t>
      </w:r>
      <w:r w:rsidRPr="005365C7">
        <w:rPr>
          <w:rFonts w:asciiTheme="minorBidi" w:hAnsiTheme="minorBidi" w:cstheme="minorBidi"/>
          <w:szCs w:val="18"/>
          <w:lang w:val="ru-RU"/>
        </w:rPr>
        <w:t>.</w:t>
      </w:r>
      <w:r w:rsidRPr="00500759">
        <w:rPr>
          <w:rFonts w:asciiTheme="minorBidi" w:hAnsiTheme="minorBidi" w:cstheme="minorBidi"/>
          <w:szCs w:val="18"/>
        </w:rPr>
        <w:t>int</w:t>
      </w:r>
      <w:r w:rsidRPr="005365C7">
        <w:rPr>
          <w:rFonts w:asciiTheme="minorBidi" w:hAnsiTheme="minorBidi" w:cstheme="minorBidi"/>
          <w:szCs w:val="18"/>
          <w:lang w:val="ru-RU"/>
        </w:rPr>
        <w:t>/</w:t>
      </w:r>
      <w:r w:rsidRPr="00500759">
        <w:rPr>
          <w:rFonts w:asciiTheme="minorBidi" w:hAnsiTheme="minorBidi" w:cstheme="minorBidi"/>
          <w:szCs w:val="18"/>
        </w:rPr>
        <w:t>amc</w:t>
      </w:r>
      <w:r w:rsidRPr="005365C7">
        <w:rPr>
          <w:rFonts w:asciiTheme="minorBidi" w:hAnsiTheme="minorBidi" w:cstheme="minorBidi"/>
          <w:szCs w:val="18"/>
          <w:lang w:val="ru-RU"/>
        </w:rPr>
        <w:t>/</w:t>
      </w:r>
      <w:r w:rsidRPr="00500759">
        <w:rPr>
          <w:rFonts w:asciiTheme="minorBidi" w:hAnsiTheme="minorBidi" w:cstheme="minorBidi"/>
          <w:szCs w:val="18"/>
        </w:rPr>
        <w:t>en</w:t>
      </w:r>
      <w:r w:rsidRPr="005365C7">
        <w:rPr>
          <w:rFonts w:asciiTheme="minorBidi" w:hAnsiTheme="minorBidi" w:cstheme="minorBidi"/>
          <w:szCs w:val="18"/>
          <w:lang w:val="ru-RU"/>
        </w:rPr>
        <w:t>/</w:t>
      </w:r>
      <w:r w:rsidRPr="00500759">
        <w:rPr>
          <w:rFonts w:asciiTheme="minorBidi" w:hAnsiTheme="minorBidi" w:cstheme="minorBidi"/>
          <w:szCs w:val="18"/>
        </w:rPr>
        <w:t>center</w:t>
      </w:r>
      <w:r w:rsidRPr="005365C7">
        <w:rPr>
          <w:rFonts w:asciiTheme="minorBidi" w:hAnsiTheme="minorBidi" w:cstheme="minorBidi"/>
          <w:szCs w:val="18"/>
          <w:lang w:val="ru-RU"/>
        </w:rPr>
        <w:t>/</w:t>
      </w:r>
      <w:r w:rsidRPr="00500759">
        <w:rPr>
          <w:rFonts w:asciiTheme="minorBidi" w:hAnsiTheme="minorBidi" w:cstheme="minorBidi"/>
          <w:szCs w:val="18"/>
        </w:rPr>
        <w:t>specific</w:t>
      </w:r>
      <w:r w:rsidRPr="005365C7">
        <w:rPr>
          <w:rFonts w:asciiTheme="minorBidi" w:hAnsiTheme="minorBidi" w:cstheme="minorBidi"/>
          <w:szCs w:val="18"/>
          <w:lang w:val="ru-RU"/>
        </w:rPr>
        <w:t>-</w:t>
      </w:r>
      <w:r w:rsidRPr="00500759">
        <w:rPr>
          <w:rFonts w:asciiTheme="minorBidi" w:hAnsiTheme="minorBidi" w:cstheme="minorBidi"/>
          <w:szCs w:val="18"/>
        </w:rPr>
        <w:t>sectors</w:t>
      </w:r>
      <w:r w:rsidRPr="005365C7">
        <w:rPr>
          <w:rFonts w:asciiTheme="minorBidi" w:hAnsiTheme="minorBidi" w:cstheme="minorBidi"/>
          <w:szCs w:val="18"/>
          <w:lang w:val="ru-RU"/>
        </w:rPr>
        <w:t>/</w:t>
      </w:r>
      <w:r w:rsidRPr="00500759">
        <w:rPr>
          <w:rFonts w:asciiTheme="minorBidi" w:hAnsiTheme="minorBidi" w:cstheme="minorBidi"/>
          <w:szCs w:val="18"/>
        </w:rPr>
        <w:t>smes</w:t>
      </w:r>
      <w:r w:rsidRPr="005365C7">
        <w:rPr>
          <w:rFonts w:asciiTheme="minorBidi" w:hAnsiTheme="minorBidi" w:cstheme="minorBidi"/>
          <w:szCs w:val="18"/>
          <w:lang w:val="ru-RU"/>
        </w:rPr>
        <w:t>/.</w:t>
      </w:r>
    </w:p>
  </w:footnote>
  <w:footnote w:id="7">
    <w:p w14:paraId="40DE295E" w14:textId="089E682A" w:rsidR="007507C6" w:rsidRPr="005365C7" w:rsidRDefault="007507C6" w:rsidP="00500759">
      <w:pPr>
        <w:pStyle w:val="FootnoteText"/>
        <w:rPr>
          <w:szCs w:val="18"/>
          <w:lang w:val="ru-RU"/>
        </w:rPr>
      </w:pPr>
      <w:r w:rsidRPr="003A3A65">
        <w:rPr>
          <w:rStyle w:val="FootnoteReference"/>
          <w:szCs w:val="18"/>
        </w:rPr>
        <w:footnoteRef/>
      </w:r>
      <w:r w:rsidRPr="005365C7">
        <w:rPr>
          <w:szCs w:val="18"/>
          <w:lang w:val="ru-RU"/>
        </w:rPr>
        <w:t xml:space="preserve"> </w:t>
      </w:r>
      <w:r w:rsidRPr="005365C7">
        <w:rPr>
          <w:szCs w:val="18"/>
          <w:lang w:val="ru-RU"/>
        </w:rPr>
        <w:tab/>
      </w:r>
      <w:r>
        <w:rPr>
          <w:szCs w:val="18"/>
          <w:lang w:val="ru-RU"/>
        </w:rPr>
        <w:t xml:space="preserve">Юридические вопросы </w:t>
      </w:r>
      <w:r w:rsidRPr="003A1E09">
        <w:rPr>
          <w:szCs w:val="18"/>
          <w:lang w:val="ru-RU"/>
        </w:rPr>
        <w:t xml:space="preserve">касались нарушений патентных и авторских прав и прав на товарные знаки, исчерпания патентных прав, совместного владения патентами, </w:t>
      </w:r>
      <w:r>
        <w:rPr>
          <w:szCs w:val="18"/>
          <w:lang w:val="ru-RU"/>
        </w:rPr>
        <w:t>патентных пулов, надлежащих</w:t>
      </w:r>
      <w:r w:rsidRPr="003A1E09">
        <w:rPr>
          <w:szCs w:val="18"/>
          <w:lang w:val="ru-RU"/>
        </w:rPr>
        <w:t xml:space="preserve"> условий лицензирования </w:t>
      </w:r>
      <w:r>
        <w:rPr>
          <w:szCs w:val="18"/>
          <w:lang w:val="ru-RU"/>
        </w:rPr>
        <w:t>патентных</w:t>
      </w:r>
      <w:r w:rsidRPr="003A1E09">
        <w:rPr>
          <w:szCs w:val="18"/>
          <w:lang w:val="ru-RU"/>
        </w:rPr>
        <w:t xml:space="preserve"> прав</w:t>
      </w:r>
      <w:r>
        <w:rPr>
          <w:szCs w:val="18"/>
          <w:lang w:val="ru-RU"/>
        </w:rPr>
        <w:t>,</w:t>
      </w:r>
      <w:r w:rsidRPr="003A1E09">
        <w:rPr>
          <w:szCs w:val="18"/>
          <w:lang w:val="ru-RU"/>
        </w:rPr>
        <w:t xml:space="preserve"> нарушений договорных обязательств, платежей роялти, повторного включения в консорциум по НИОКР, удаления контента с онлайновых платформ, исполнения обязательств в натуре, включая отозвание судебного иска, и возражений в отношении товарных знаков, находящихся на рассмотрении в ведомстве </w:t>
      </w:r>
      <w:r>
        <w:rPr>
          <w:szCs w:val="18"/>
          <w:lang w:val="ru-RU"/>
        </w:rPr>
        <w:t>ИС.</w:t>
      </w:r>
    </w:p>
  </w:footnote>
  <w:footnote w:id="8">
    <w:p w14:paraId="7C138D3A" w14:textId="30C5FC16" w:rsidR="007507C6" w:rsidRPr="00E32D34"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541F43">
        <w:rPr>
          <w:rFonts w:asciiTheme="minorBidi" w:hAnsiTheme="minorBidi" w:cstheme="minorBidi"/>
          <w:szCs w:val="18"/>
          <w:lang w:val="ru-RU"/>
        </w:rPr>
        <w:t xml:space="preserve"> </w:t>
      </w:r>
      <w:r w:rsidRPr="00541F43">
        <w:rPr>
          <w:rFonts w:asciiTheme="minorBidi" w:hAnsiTheme="minorBidi" w:cstheme="minorBidi"/>
          <w:szCs w:val="18"/>
          <w:lang w:val="ru-RU"/>
        </w:rPr>
        <w:tab/>
      </w:r>
      <w:r w:rsidRPr="000B79EF">
        <w:rPr>
          <w:lang w:val="ru-RU"/>
        </w:rPr>
        <w:t>Электронный</w:t>
      </w:r>
      <w:r w:rsidRPr="00541F43">
        <w:rPr>
          <w:lang w:val="ru-RU"/>
        </w:rPr>
        <w:t xml:space="preserve"> </w:t>
      </w:r>
      <w:r w:rsidRPr="000B79EF">
        <w:rPr>
          <w:lang w:val="ru-RU"/>
        </w:rPr>
        <w:t>мод</w:t>
      </w:r>
      <w:r>
        <w:rPr>
          <w:lang w:val="ru-RU"/>
        </w:rPr>
        <w:t>у</w:t>
      </w:r>
      <w:r w:rsidRPr="000B79EF">
        <w:rPr>
          <w:lang w:val="ru-RU"/>
        </w:rPr>
        <w:t>ль</w:t>
      </w:r>
      <w:r w:rsidRPr="00541F43">
        <w:rPr>
          <w:lang w:val="ru-RU"/>
        </w:rPr>
        <w:t xml:space="preserve"> </w:t>
      </w:r>
      <w:r w:rsidRPr="00FD3A9C">
        <w:t>eADR</w:t>
      </w:r>
      <w:r w:rsidRPr="00541F43">
        <w:rPr>
          <w:lang w:val="ru-RU"/>
        </w:rPr>
        <w:t xml:space="preserve"> </w:t>
      </w:r>
      <w:r w:rsidRPr="000B79EF">
        <w:rPr>
          <w:lang w:val="ru-RU"/>
        </w:rPr>
        <w:t>ВОИС</w:t>
      </w:r>
      <w:r w:rsidRPr="00541F43">
        <w:rPr>
          <w:lang w:val="ru-RU"/>
        </w:rPr>
        <w:t xml:space="preserve"> </w:t>
      </w:r>
      <w:r>
        <w:rPr>
          <w:lang w:val="ru-RU"/>
        </w:rPr>
        <w:t>позволяет</w:t>
      </w:r>
      <w:r w:rsidRPr="00541F43">
        <w:rPr>
          <w:lang w:val="ru-RU"/>
        </w:rPr>
        <w:t xml:space="preserve"> </w:t>
      </w:r>
      <w:r>
        <w:rPr>
          <w:lang w:val="ru-RU"/>
        </w:rPr>
        <w:t>сторона</w:t>
      </w:r>
      <w:r w:rsidR="00721124">
        <w:rPr>
          <w:lang w:val="ru-RU"/>
        </w:rPr>
        <w:t>м</w:t>
      </w:r>
      <w:r w:rsidRPr="00541F43">
        <w:rPr>
          <w:lang w:val="ru-RU"/>
        </w:rPr>
        <w:t xml:space="preserve"> </w:t>
      </w:r>
      <w:r>
        <w:rPr>
          <w:lang w:val="ru-RU"/>
        </w:rPr>
        <w:t>спора</w:t>
      </w:r>
      <w:r w:rsidRPr="00541F43">
        <w:rPr>
          <w:lang w:val="ru-RU"/>
        </w:rPr>
        <w:t xml:space="preserve"> </w:t>
      </w:r>
      <w:r>
        <w:rPr>
          <w:lang w:val="ru-RU"/>
        </w:rPr>
        <w:t>и</w:t>
      </w:r>
      <w:r w:rsidRPr="00541F43">
        <w:rPr>
          <w:lang w:val="ru-RU"/>
        </w:rPr>
        <w:t xml:space="preserve"> </w:t>
      </w:r>
      <w:r>
        <w:rPr>
          <w:lang w:val="ru-RU"/>
        </w:rPr>
        <w:t>нейтральным</w:t>
      </w:r>
      <w:r w:rsidRPr="00541F43">
        <w:rPr>
          <w:lang w:val="ru-RU"/>
        </w:rPr>
        <w:t xml:space="preserve"> </w:t>
      </w:r>
      <w:r>
        <w:rPr>
          <w:lang w:val="ru-RU"/>
        </w:rPr>
        <w:t>сторонам</w:t>
      </w:r>
      <w:r w:rsidRPr="00541F43">
        <w:rPr>
          <w:lang w:val="ru-RU"/>
        </w:rPr>
        <w:t xml:space="preserve"> </w:t>
      </w:r>
      <w:r>
        <w:rPr>
          <w:lang w:val="ru-RU"/>
        </w:rPr>
        <w:t>обмениваться</w:t>
      </w:r>
      <w:r w:rsidRPr="00541F43">
        <w:rPr>
          <w:lang w:val="ru-RU"/>
        </w:rPr>
        <w:t xml:space="preserve"> </w:t>
      </w:r>
      <w:r>
        <w:rPr>
          <w:lang w:val="ru-RU"/>
        </w:rPr>
        <w:t>всеми</w:t>
      </w:r>
      <w:r w:rsidRPr="00541F43">
        <w:rPr>
          <w:lang w:val="ru-RU"/>
        </w:rPr>
        <w:t xml:space="preserve"> относящи</w:t>
      </w:r>
      <w:r w:rsidR="00721124">
        <w:rPr>
          <w:lang w:val="ru-RU"/>
        </w:rPr>
        <w:t>ми</w:t>
      </w:r>
      <w:r w:rsidRPr="00541F43">
        <w:rPr>
          <w:lang w:val="ru-RU"/>
        </w:rPr>
        <w:t>ся к предмету разбирательства</w:t>
      </w:r>
      <w:r>
        <w:rPr>
          <w:lang w:val="ru-RU"/>
        </w:rPr>
        <w:t xml:space="preserve"> материалами и получать доступ к ним через единый защищенный портал. См.</w:t>
      </w:r>
      <w:r w:rsidRPr="00721124">
        <w:rPr>
          <w:lang w:val="ru-RU"/>
        </w:rPr>
        <w:t xml:space="preserve"> </w:t>
      </w:r>
      <w:hyperlink r:id="rId2" w:history="1">
        <w:r w:rsidRPr="00EF1A4F">
          <w:rPr>
            <w:rStyle w:val="Hyperlink"/>
          </w:rPr>
          <w:t>https://www.wipo.int/amc/en/eadr/</w:t>
        </w:r>
      </w:hyperlink>
      <w:r w:rsidRPr="00FD3A9C">
        <w:t>.</w:t>
      </w:r>
      <w:r w:rsidRPr="00E32D34">
        <w:t xml:space="preserve"> </w:t>
      </w:r>
      <w:r>
        <w:rPr>
          <w:lang w:val="ru-RU"/>
        </w:rPr>
        <w:t>За</w:t>
      </w:r>
      <w:r w:rsidRPr="00E32D34">
        <w:rPr>
          <w:lang w:val="ru-RU"/>
        </w:rPr>
        <w:t xml:space="preserve"> </w:t>
      </w:r>
      <w:r>
        <w:rPr>
          <w:lang w:val="ru-RU"/>
        </w:rPr>
        <w:t>этот</w:t>
      </w:r>
      <w:r w:rsidRPr="00E32D34">
        <w:rPr>
          <w:lang w:val="ru-RU"/>
        </w:rPr>
        <w:t xml:space="preserve"> </w:t>
      </w:r>
      <w:r>
        <w:rPr>
          <w:lang w:val="ru-RU"/>
        </w:rPr>
        <w:t>период</w:t>
      </w:r>
      <w:r w:rsidRPr="00E32D34">
        <w:rPr>
          <w:rFonts w:ascii="Verdana" w:hAnsi="Verdana"/>
          <w:color w:val="424242"/>
          <w:sz w:val="22"/>
          <w:shd w:val="clear" w:color="auto" w:fill="FFFFEE"/>
          <w:lang w:val="ru-RU"/>
        </w:rPr>
        <w:t xml:space="preserve"> </w:t>
      </w:r>
      <w:r w:rsidRPr="00E32D34">
        <w:rPr>
          <w:lang w:val="ru-RU"/>
        </w:rPr>
        <w:t>арбитраж</w:t>
      </w:r>
      <w:r>
        <w:rPr>
          <w:lang w:val="ru-RU"/>
        </w:rPr>
        <w:t>ная</w:t>
      </w:r>
      <w:r w:rsidRPr="00E32D34">
        <w:rPr>
          <w:lang w:val="ru-RU"/>
        </w:rPr>
        <w:t xml:space="preserve"> </w:t>
      </w:r>
      <w:r>
        <w:rPr>
          <w:lang w:val="ru-RU"/>
        </w:rPr>
        <w:t>комиссия</w:t>
      </w:r>
      <w:r w:rsidRPr="00E32D34">
        <w:rPr>
          <w:lang w:val="ru-RU"/>
        </w:rPr>
        <w:t xml:space="preserve"> для парусной регаты «Кубок Америки» </w:t>
      </w:r>
      <w:r>
        <w:rPr>
          <w:lang w:val="ru-RU"/>
        </w:rPr>
        <w:t>с</w:t>
      </w:r>
      <w:r w:rsidRPr="00E32D34">
        <w:rPr>
          <w:lang w:val="ru-RU"/>
        </w:rPr>
        <w:t xml:space="preserve"> </w:t>
      </w:r>
      <w:r>
        <w:rPr>
          <w:lang w:val="ru-RU"/>
        </w:rPr>
        <w:t>помощью</w:t>
      </w:r>
      <w:r w:rsidRPr="00E32D34">
        <w:rPr>
          <w:lang w:val="ru-RU"/>
        </w:rPr>
        <w:t xml:space="preserve"> модул</w:t>
      </w:r>
      <w:r>
        <w:rPr>
          <w:lang w:val="ru-RU"/>
        </w:rPr>
        <w:t>я</w:t>
      </w:r>
      <w:r w:rsidRPr="00E32D34">
        <w:rPr>
          <w:lang w:val="ru-RU"/>
        </w:rPr>
        <w:t xml:space="preserve"> </w:t>
      </w:r>
      <w:r w:rsidRPr="00E32D34">
        <w:t>eADR</w:t>
      </w:r>
      <w:r w:rsidRPr="00E32D34">
        <w:rPr>
          <w:lang w:val="ru-RU"/>
        </w:rPr>
        <w:t xml:space="preserve"> ВОИС </w:t>
      </w:r>
      <w:r>
        <w:rPr>
          <w:lang w:val="ru-RU"/>
        </w:rPr>
        <w:t>завершила</w:t>
      </w:r>
      <w:r w:rsidRPr="00E32D34">
        <w:rPr>
          <w:lang w:val="ru-RU"/>
        </w:rPr>
        <w:t xml:space="preserve"> </w:t>
      </w:r>
      <w:r>
        <w:rPr>
          <w:lang w:val="ru-RU"/>
        </w:rPr>
        <w:t>рассмотрение</w:t>
      </w:r>
      <w:r w:rsidRPr="00E32D34">
        <w:rPr>
          <w:lang w:val="ru-RU"/>
        </w:rPr>
        <w:t xml:space="preserve"> 19 </w:t>
      </w:r>
      <w:r>
        <w:rPr>
          <w:lang w:val="ru-RU"/>
        </w:rPr>
        <w:t>споров</w:t>
      </w:r>
      <w:r w:rsidRPr="00E32D34">
        <w:rPr>
          <w:lang w:val="ru-RU"/>
        </w:rPr>
        <w:t xml:space="preserve">, </w:t>
      </w:r>
      <w:r>
        <w:rPr>
          <w:lang w:val="ru-RU"/>
        </w:rPr>
        <w:t>возникших</w:t>
      </w:r>
      <w:r w:rsidRPr="00E32D34">
        <w:rPr>
          <w:lang w:val="ru-RU"/>
        </w:rPr>
        <w:t xml:space="preserve"> </w:t>
      </w:r>
      <w:r>
        <w:rPr>
          <w:lang w:val="ru-RU"/>
        </w:rPr>
        <w:t>в</w:t>
      </w:r>
      <w:r w:rsidRPr="00E32D34">
        <w:rPr>
          <w:lang w:val="ru-RU"/>
        </w:rPr>
        <w:t xml:space="preserve"> </w:t>
      </w:r>
      <w:r>
        <w:rPr>
          <w:lang w:val="ru-RU"/>
        </w:rPr>
        <w:t>ходе</w:t>
      </w:r>
      <w:r w:rsidRPr="00E32D34">
        <w:rPr>
          <w:lang w:val="ru-RU"/>
        </w:rPr>
        <w:t xml:space="preserve"> 36-</w:t>
      </w:r>
      <w:r>
        <w:rPr>
          <w:lang w:val="ru-RU"/>
        </w:rPr>
        <w:t>й</w:t>
      </w:r>
      <w:r w:rsidRPr="00E32D34">
        <w:rPr>
          <w:lang w:val="ru-RU"/>
        </w:rPr>
        <w:t xml:space="preserve"> </w:t>
      </w:r>
      <w:r>
        <w:rPr>
          <w:lang w:val="ru-RU"/>
        </w:rPr>
        <w:t>регаты «Кубка Америки». См</w:t>
      </w:r>
      <w:r w:rsidRPr="00E32D34">
        <w:rPr>
          <w:lang w:val="ru-RU"/>
        </w:rPr>
        <w:t xml:space="preserve">. </w:t>
      </w:r>
      <w:r w:rsidRPr="00FD3A9C">
        <w:t>https</w:t>
      </w:r>
      <w:r w:rsidRPr="00E32D34">
        <w:rPr>
          <w:lang w:val="ru-RU"/>
        </w:rPr>
        <w:t>://</w:t>
      </w:r>
      <w:r w:rsidRPr="00FD3A9C">
        <w:t>www</w:t>
      </w:r>
      <w:r w:rsidRPr="00E32D34">
        <w:rPr>
          <w:lang w:val="ru-RU"/>
        </w:rPr>
        <w:t>.</w:t>
      </w:r>
      <w:r w:rsidRPr="00FD3A9C">
        <w:t>wipo</w:t>
      </w:r>
      <w:r w:rsidRPr="00E32D34">
        <w:rPr>
          <w:lang w:val="ru-RU"/>
        </w:rPr>
        <w:t>.</w:t>
      </w:r>
      <w:r w:rsidRPr="00FD3A9C">
        <w:t>int</w:t>
      </w:r>
      <w:r w:rsidRPr="00E32D34">
        <w:rPr>
          <w:lang w:val="ru-RU"/>
        </w:rPr>
        <w:t>/</w:t>
      </w:r>
      <w:r w:rsidRPr="00FD3A9C">
        <w:t>amc</w:t>
      </w:r>
      <w:r w:rsidRPr="00E32D34">
        <w:rPr>
          <w:lang w:val="ru-RU"/>
        </w:rPr>
        <w:t>/</w:t>
      </w:r>
      <w:r w:rsidRPr="00FD3A9C">
        <w:t>en</w:t>
      </w:r>
      <w:r w:rsidRPr="00E32D34">
        <w:rPr>
          <w:lang w:val="ru-RU"/>
        </w:rPr>
        <w:t>/</w:t>
      </w:r>
      <w:r w:rsidRPr="00FD3A9C">
        <w:t>center</w:t>
      </w:r>
      <w:r w:rsidRPr="00E32D34">
        <w:rPr>
          <w:lang w:val="ru-RU"/>
        </w:rPr>
        <w:t>/</w:t>
      </w:r>
      <w:r w:rsidRPr="00FD3A9C">
        <w:t>background</w:t>
      </w:r>
      <w:r w:rsidRPr="00E32D34">
        <w:rPr>
          <w:lang w:val="ru-RU"/>
        </w:rPr>
        <w:t>.</w:t>
      </w:r>
      <w:r w:rsidRPr="00FD3A9C">
        <w:t>html</w:t>
      </w:r>
      <w:r w:rsidRPr="00E32D34">
        <w:rPr>
          <w:lang w:val="ru-RU"/>
        </w:rPr>
        <w:t>.</w:t>
      </w:r>
    </w:p>
  </w:footnote>
  <w:footnote w:id="9">
    <w:p w14:paraId="39DDA3FA" w14:textId="5F691821" w:rsidR="007507C6" w:rsidRPr="00DB323F" w:rsidRDefault="007507C6" w:rsidP="00E32D34">
      <w:pPr>
        <w:pStyle w:val="FootnoteText"/>
        <w:rPr>
          <w:lang w:val="ru-RU"/>
        </w:rPr>
      </w:pPr>
      <w:r>
        <w:rPr>
          <w:rStyle w:val="FootnoteReference"/>
        </w:rPr>
        <w:footnoteRef/>
      </w:r>
      <w:r w:rsidRPr="00DB323F">
        <w:rPr>
          <w:lang w:val="ru-RU"/>
        </w:rPr>
        <w:t xml:space="preserve"> </w:t>
      </w:r>
      <w:r w:rsidRPr="00DB323F">
        <w:rPr>
          <w:lang w:val="ru-RU"/>
        </w:rPr>
        <w:tab/>
        <w:t xml:space="preserve">Чтобы помочь участвующим в спорах и нейтральным сторонам готовиться к таким удаленным совещаниям и слушаниям, Центр составил Контрольный список ВОИС для посреднических услуг и арбитражных разбирательств в режиме онлайн. </w:t>
      </w:r>
      <w:r>
        <w:rPr>
          <w:lang w:val="ru-RU"/>
        </w:rPr>
        <w:t>См.</w:t>
      </w:r>
      <w:r w:rsidRPr="00DB323F">
        <w:rPr>
          <w:lang w:val="ru-RU"/>
        </w:rPr>
        <w:t xml:space="preserve"> </w:t>
      </w:r>
      <w:r>
        <w:rPr>
          <w:szCs w:val="18"/>
        </w:rPr>
        <w:t>h</w:t>
      </w:r>
      <w:r w:rsidRPr="003A3A65">
        <w:rPr>
          <w:szCs w:val="18"/>
        </w:rPr>
        <w:t>ttps</w:t>
      </w:r>
      <w:r w:rsidRPr="00DB323F">
        <w:rPr>
          <w:szCs w:val="18"/>
          <w:lang w:val="ru-RU"/>
        </w:rPr>
        <w:t>://</w:t>
      </w:r>
      <w:r w:rsidRPr="003A3A65">
        <w:rPr>
          <w:szCs w:val="18"/>
        </w:rPr>
        <w:t>www</w:t>
      </w:r>
      <w:r w:rsidRPr="00DB323F">
        <w:rPr>
          <w:szCs w:val="18"/>
          <w:lang w:val="ru-RU"/>
        </w:rPr>
        <w:t>.</w:t>
      </w:r>
      <w:r w:rsidRPr="003A3A65">
        <w:rPr>
          <w:szCs w:val="18"/>
        </w:rPr>
        <w:t>wipo</w:t>
      </w:r>
      <w:r w:rsidRPr="00DB323F">
        <w:rPr>
          <w:szCs w:val="18"/>
          <w:lang w:val="ru-RU"/>
        </w:rPr>
        <w:t>.</w:t>
      </w:r>
      <w:r w:rsidRPr="003A3A65">
        <w:rPr>
          <w:szCs w:val="18"/>
        </w:rPr>
        <w:t>int</w:t>
      </w:r>
      <w:r w:rsidRPr="00DB323F">
        <w:rPr>
          <w:szCs w:val="18"/>
          <w:lang w:val="ru-RU"/>
        </w:rPr>
        <w:t>/</w:t>
      </w:r>
      <w:r w:rsidRPr="003A3A65">
        <w:rPr>
          <w:szCs w:val="18"/>
        </w:rPr>
        <w:t>amc</w:t>
      </w:r>
      <w:r w:rsidRPr="00DB323F">
        <w:rPr>
          <w:szCs w:val="18"/>
          <w:lang w:val="ru-RU"/>
        </w:rPr>
        <w:t>/</w:t>
      </w:r>
      <w:r w:rsidRPr="003A3A65">
        <w:rPr>
          <w:szCs w:val="18"/>
        </w:rPr>
        <w:t>en</w:t>
      </w:r>
      <w:r w:rsidRPr="00DB323F">
        <w:rPr>
          <w:szCs w:val="18"/>
          <w:lang w:val="ru-RU"/>
        </w:rPr>
        <w:t>/</w:t>
      </w:r>
      <w:r w:rsidRPr="003A3A65">
        <w:rPr>
          <w:szCs w:val="18"/>
        </w:rPr>
        <w:t>eadr</w:t>
      </w:r>
      <w:r w:rsidRPr="00DB323F">
        <w:rPr>
          <w:szCs w:val="18"/>
          <w:lang w:val="ru-RU"/>
        </w:rPr>
        <w:t>/</w:t>
      </w:r>
      <w:r w:rsidRPr="003A3A65">
        <w:rPr>
          <w:szCs w:val="18"/>
        </w:rPr>
        <w:t>checklist</w:t>
      </w:r>
      <w:r w:rsidRPr="00DB323F">
        <w:rPr>
          <w:szCs w:val="18"/>
          <w:lang w:val="ru-RU"/>
        </w:rPr>
        <w:t>/</w:t>
      </w:r>
      <w:r w:rsidRPr="003A3A65">
        <w:rPr>
          <w:szCs w:val="18"/>
        </w:rPr>
        <w:t>index</w:t>
      </w:r>
      <w:r w:rsidRPr="00DB323F">
        <w:rPr>
          <w:szCs w:val="18"/>
          <w:lang w:val="ru-RU"/>
        </w:rPr>
        <w:t>.</w:t>
      </w:r>
      <w:r w:rsidRPr="003A3A65">
        <w:rPr>
          <w:szCs w:val="18"/>
        </w:rPr>
        <w:t>html</w:t>
      </w:r>
      <w:r w:rsidRPr="00DB323F">
        <w:rPr>
          <w:szCs w:val="18"/>
          <w:lang w:val="ru-RU"/>
        </w:rPr>
        <w:t>.</w:t>
      </w:r>
    </w:p>
  </w:footnote>
  <w:footnote w:id="10">
    <w:p w14:paraId="3CD4EF12" w14:textId="17199AC3" w:rsidR="007507C6" w:rsidRPr="000B79EF" w:rsidRDefault="007507C6"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Веб-сайт Центра содержит полное описание всего ассортимента этих услуг. См.</w:t>
      </w:r>
      <w:r>
        <w:rPr>
          <w:rFonts w:asciiTheme="minorBidi" w:hAnsiTheme="minorBidi" w:cstheme="minorBidi"/>
          <w:szCs w:val="18"/>
          <w:lang w:val="ru-RU"/>
        </w:rPr>
        <w:t> </w:t>
      </w:r>
      <w:r w:rsidRPr="000B79EF">
        <w:rPr>
          <w:rFonts w:asciiTheme="minorBidi" w:hAnsiTheme="minorBidi" w:cstheme="minorBidi"/>
          <w:szCs w:val="18"/>
          <w:lang w:val="ru-RU"/>
        </w:rPr>
        <w:t>https://www.wipo.int/amc/en/center/specific-sectors/.</w:t>
      </w:r>
    </w:p>
  </w:footnote>
  <w:footnote w:id="11">
    <w:p w14:paraId="4FE467D8" w14:textId="0A2D1326" w:rsidR="007507C6" w:rsidRPr="000B79EF" w:rsidRDefault="007507C6"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https://www.wipo.int/amc/en/center/specific-sectors/ict/frand/.</w:t>
      </w:r>
    </w:p>
  </w:footnote>
  <w:footnote w:id="12">
    <w:p w14:paraId="0870AF4D" w14:textId="2A232B59" w:rsidR="007507C6" w:rsidRPr="000B79EF" w:rsidRDefault="007507C6"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42665F">
        <w:rPr>
          <w:rFonts w:asciiTheme="minorBidi" w:hAnsiTheme="minorBidi" w:cstheme="minorBidi"/>
          <w:szCs w:val="18"/>
          <w:lang w:val="ru-RU"/>
        </w:rPr>
        <w:t xml:space="preserve"> </w:t>
      </w:r>
      <w:r w:rsidRPr="0042665F">
        <w:rPr>
          <w:rFonts w:asciiTheme="minorBidi" w:hAnsiTheme="minorBidi" w:cstheme="minorBidi"/>
          <w:szCs w:val="18"/>
          <w:lang w:val="ru-RU"/>
        </w:rPr>
        <w:tab/>
      </w:r>
      <w:r w:rsidRPr="000B79EF">
        <w:rPr>
          <w:rFonts w:asciiTheme="minorBidi" w:hAnsiTheme="minorBidi" w:cstheme="minorBidi"/>
          <w:szCs w:val="18"/>
          <w:lang w:val="ru-RU"/>
        </w:rPr>
        <w:t>См</w:t>
      </w:r>
      <w:r w:rsidRPr="0042665F">
        <w:rPr>
          <w:rFonts w:asciiTheme="minorBidi" w:hAnsiTheme="minorBidi" w:cstheme="minorBidi"/>
          <w:szCs w:val="18"/>
          <w:lang w:val="ru-RU"/>
        </w:rPr>
        <w:t xml:space="preserve">. </w:t>
      </w:r>
      <w:r w:rsidRPr="0042665F">
        <w:rPr>
          <w:rFonts w:asciiTheme="minorBidi" w:hAnsiTheme="minorBidi" w:cstheme="minorBidi"/>
          <w:szCs w:val="18"/>
        </w:rPr>
        <w:t>https</w:t>
      </w:r>
      <w:r w:rsidRPr="0042665F">
        <w:rPr>
          <w:rFonts w:asciiTheme="minorBidi" w:hAnsiTheme="minorBidi" w:cstheme="minorBidi"/>
          <w:szCs w:val="18"/>
          <w:lang w:val="ru-RU"/>
        </w:rPr>
        <w:t>://</w:t>
      </w:r>
      <w:r w:rsidRPr="0042665F">
        <w:rPr>
          <w:rFonts w:asciiTheme="minorBidi" w:hAnsiTheme="minorBidi" w:cstheme="minorBidi"/>
          <w:szCs w:val="18"/>
        </w:rPr>
        <w:t>www</w:t>
      </w:r>
      <w:r w:rsidRPr="0042665F">
        <w:rPr>
          <w:rFonts w:asciiTheme="minorBidi" w:hAnsiTheme="minorBidi" w:cstheme="minorBidi"/>
          <w:szCs w:val="18"/>
          <w:lang w:val="ru-RU"/>
        </w:rPr>
        <w:t>.</w:t>
      </w:r>
      <w:r w:rsidRPr="0042665F">
        <w:rPr>
          <w:rFonts w:asciiTheme="minorBidi" w:hAnsiTheme="minorBidi" w:cstheme="minorBidi"/>
          <w:szCs w:val="18"/>
        </w:rPr>
        <w:t>wipo</w:t>
      </w:r>
      <w:r w:rsidRPr="0042665F">
        <w:rPr>
          <w:rFonts w:asciiTheme="minorBidi" w:hAnsiTheme="minorBidi" w:cstheme="minorBidi"/>
          <w:szCs w:val="18"/>
          <w:lang w:val="ru-RU"/>
        </w:rPr>
        <w:t>.</w:t>
      </w:r>
      <w:r w:rsidRPr="0042665F">
        <w:rPr>
          <w:rFonts w:asciiTheme="minorBidi" w:hAnsiTheme="minorBidi" w:cstheme="minorBidi"/>
          <w:szCs w:val="18"/>
        </w:rPr>
        <w:t>int</w:t>
      </w:r>
      <w:r w:rsidRPr="0042665F">
        <w:rPr>
          <w:rFonts w:asciiTheme="minorBidi" w:hAnsiTheme="minorBidi" w:cstheme="minorBidi"/>
          <w:szCs w:val="18"/>
          <w:lang w:val="ru-RU"/>
        </w:rPr>
        <w:t>/</w:t>
      </w:r>
      <w:r w:rsidRPr="0042665F">
        <w:rPr>
          <w:rFonts w:asciiTheme="minorBidi" w:hAnsiTheme="minorBidi" w:cstheme="minorBidi"/>
          <w:szCs w:val="18"/>
        </w:rPr>
        <w:t>amc</w:t>
      </w:r>
      <w:r w:rsidRPr="0042665F">
        <w:rPr>
          <w:rFonts w:asciiTheme="minorBidi" w:hAnsiTheme="minorBidi" w:cstheme="minorBidi"/>
          <w:szCs w:val="18"/>
          <w:lang w:val="ru-RU"/>
        </w:rPr>
        <w:t>/</w:t>
      </w:r>
      <w:r w:rsidRPr="0042665F">
        <w:rPr>
          <w:rFonts w:asciiTheme="minorBidi" w:hAnsiTheme="minorBidi" w:cstheme="minorBidi"/>
          <w:szCs w:val="18"/>
        </w:rPr>
        <w:t>en</w:t>
      </w:r>
      <w:r w:rsidRPr="0042665F">
        <w:rPr>
          <w:rFonts w:asciiTheme="minorBidi" w:hAnsiTheme="minorBidi" w:cstheme="minorBidi"/>
          <w:szCs w:val="18"/>
          <w:lang w:val="ru-RU"/>
        </w:rPr>
        <w:t>/</w:t>
      </w:r>
      <w:r w:rsidRPr="0042665F">
        <w:rPr>
          <w:rFonts w:asciiTheme="minorBidi" w:hAnsiTheme="minorBidi" w:cstheme="minorBidi"/>
          <w:szCs w:val="18"/>
        </w:rPr>
        <w:t>center</w:t>
      </w:r>
      <w:r w:rsidRPr="0042665F">
        <w:rPr>
          <w:rFonts w:asciiTheme="minorBidi" w:hAnsiTheme="minorBidi" w:cstheme="minorBidi"/>
          <w:szCs w:val="18"/>
          <w:lang w:val="ru-RU"/>
        </w:rPr>
        <w:t>/</w:t>
      </w:r>
      <w:r w:rsidRPr="0042665F">
        <w:rPr>
          <w:rFonts w:asciiTheme="minorBidi" w:hAnsiTheme="minorBidi" w:cstheme="minorBidi"/>
          <w:szCs w:val="18"/>
        </w:rPr>
        <w:t>specific</w:t>
      </w:r>
      <w:r w:rsidRPr="0042665F">
        <w:rPr>
          <w:rFonts w:asciiTheme="minorBidi" w:hAnsiTheme="minorBidi" w:cstheme="minorBidi"/>
          <w:szCs w:val="18"/>
          <w:lang w:val="ru-RU"/>
        </w:rPr>
        <w:t>-</w:t>
      </w:r>
      <w:r w:rsidRPr="0042665F">
        <w:rPr>
          <w:rFonts w:asciiTheme="minorBidi" w:hAnsiTheme="minorBidi" w:cstheme="minorBidi"/>
          <w:szCs w:val="18"/>
        </w:rPr>
        <w:t>sectors</w:t>
      </w:r>
      <w:r w:rsidRPr="0042665F">
        <w:rPr>
          <w:rFonts w:asciiTheme="minorBidi" w:hAnsiTheme="minorBidi" w:cstheme="minorBidi"/>
          <w:szCs w:val="18"/>
          <w:lang w:val="ru-RU"/>
        </w:rPr>
        <w:t>/</w:t>
      </w:r>
      <w:r w:rsidRPr="0042665F">
        <w:rPr>
          <w:rFonts w:asciiTheme="minorBidi" w:hAnsiTheme="minorBidi" w:cstheme="minorBidi"/>
          <w:szCs w:val="18"/>
        </w:rPr>
        <w:t>ict</w:t>
      </w:r>
      <w:r w:rsidRPr="0042665F">
        <w:rPr>
          <w:rFonts w:asciiTheme="minorBidi" w:hAnsiTheme="minorBidi" w:cstheme="minorBidi"/>
          <w:szCs w:val="18"/>
          <w:lang w:val="ru-RU"/>
        </w:rPr>
        <w:t>/</w:t>
      </w:r>
      <w:r w:rsidRPr="0042665F">
        <w:rPr>
          <w:rFonts w:asciiTheme="minorBidi" w:hAnsiTheme="minorBidi" w:cstheme="minorBidi"/>
          <w:szCs w:val="18"/>
        </w:rPr>
        <w:t>frand</w:t>
      </w:r>
      <w:r w:rsidRPr="0042665F">
        <w:rPr>
          <w:rFonts w:asciiTheme="minorBidi" w:hAnsiTheme="minorBidi" w:cstheme="minorBidi"/>
          <w:szCs w:val="18"/>
          <w:lang w:val="ru-RU"/>
        </w:rPr>
        <w:t xml:space="preserve">/ </w:t>
      </w:r>
      <w:r>
        <w:rPr>
          <w:rFonts w:asciiTheme="minorBidi" w:hAnsiTheme="minorBidi" w:cstheme="minorBidi"/>
          <w:szCs w:val="18"/>
          <w:lang w:val="ru-RU"/>
        </w:rPr>
        <w:t xml:space="preserve">и </w:t>
      </w:r>
      <w:r w:rsidRPr="0042665F">
        <w:rPr>
          <w:rFonts w:asciiTheme="minorBidi" w:hAnsiTheme="minorBidi" w:cstheme="minorBidi"/>
          <w:szCs w:val="18"/>
        </w:rPr>
        <w:t>https</w:t>
      </w:r>
      <w:r w:rsidRPr="0042665F">
        <w:rPr>
          <w:rFonts w:asciiTheme="minorBidi" w:hAnsiTheme="minorBidi" w:cstheme="minorBidi"/>
          <w:szCs w:val="18"/>
          <w:lang w:val="ru-RU"/>
        </w:rPr>
        <w:t>://</w:t>
      </w:r>
      <w:r w:rsidRPr="0042665F">
        <w:rPr>
          <w:rFonts w:asciiTheme="minorBidi" w:hAnsiTheme="minorBidi" w:cstheme="minorBidi"/>
          <w:szCs w:val="18"/>
        </w:rPr>
        <w:t>www</w:t>
      </w:r>
      <w:r w:rsidRPr="0042665F">
        <w:rPr>
          <w:rFonts w:asciiTheme="minorBidi" w:hAnsiTheme="minorBidi" w:cstheme="minorBidi"/>
          <w:szCs w:val="18"/>
          <w:lang w:val="ru-RU"/>
        </w:rPr>
        <w:t>.</w:t>
      </w:r>
      <w:r w:rsidRPr="0042665F">
        <w:rPr>
          <w:rFonts w:asciiTheme="minorBidi" w:hAnsiTheme="minorBidi" w:cstheme="minorBidi"/>
          <w:szCs w:val="18"/>
        </w:rPr>
        <w:t>wipo</w:t>
      </w:r>
      <w:r w:rsidRPr="0042665F">
        <w:rPr>
          <w:rFonts w:asciiTheme="minorBidi" w:hAnsiTheme="minorBidi" w:cstheme="minorBidi"/>
          <w:szCs w:val="18"/>
          <w:lang w:val="ru-RU"/>
        </w:rPr>
        <w:t>.</w:t>
      </w:r>
      <w:r w:rsidRPr="0042665F">
        <w:rPr>
          <w:rFonts w:asciiTheme="minorBidi" w:hAnsiTheme="minorBidi" w:cstheme="minorBidi"/>
          <w:szCs w:val="18"/>
        </w:rPr>
        <w:t>int</w:t>
      </w:r>
      <w:r w:rsidRPr="0042665F">
        <w:rPr>
          <w:rFonts w:asciiTheme="minorBidi" w:hAnsiTheme="minorBidi" w:cstheme="minorBidi"/>
          <w:szCs w:val="18"/>
          <w:lang w:val="ru-RU"/>
        </w:rPr>
        <w:t>/</w:t>
      </w:r>
      <w:r w:rsidRPr="0042665F">
        <w:rPr>
          <w:rFonts w:asciiTheme="minorBidi" w:hAnsiTheme="minorBidi" w:cstheme="minorBidi"/>
          <w:szCs w:val="18"/>
        </w:rPr>
        <w:t>export</w:t>
      </w:r>
      <w:r w:rsidRPr="0042665F">
        <w:rPr>
          <w:rFonts w:asciiTheme="minorBidi" w:hAnsiTheme="minorBidi" w:cstheme="minorBidi"/>
          <w:szCs w:val="18"/>
          <w:lang w:val="ru-RU"/>
        </w:rPr>
        <w:t>/</w:t>
      </w:r>
      <w:r w:rsidRPr="0042665F">
        <w:rPr>
          <w:rFonts w:asciiTheme="minorBidi" w:hAnsiTheme="minorBidi" w:cstheme="minorBidi"/>
          <w:szCs w:val="18"/>
        </w:rPr>
        <w:t>sites</w:t>
      </w:r>
      <w:r w:rsidRPr="0042665F">
        <w:rPr>
          <w:rFonts w:asciiTheme="minorBidi" w:hAnsiTheme="minorBidi" w:cstheme="minorBidi"/>
          <w:szCs w:val="18"/>
          <w:lang w:val="ru-RU"/>
        </w:rPr>
        <w:t>/</w:t>
      </w:r>
      <w:r w:rsidRPr="0042665F">
        <w:rPr>
          <w:rFonts w:asciiTheme="minorBidi" w:hAnsiTheme="minorBidi" w:cstheme="minorBidi"/>
          <w:szCs w:val="18"/>
        </w:rPr>
        <w:t>www</w:t>
      </w:r>
      <w:r w:rsidRPr="0042665F">
        <w:rPr>
          <w:rFonts w:asciiTheme="minorBidi" w:hAnsiTheme="minorBidi" w:cstheme="minorBidi"/>
          <w:szCs w:val="18"/>
          <w:lang w:val="ru-RU"/>
        </w:rPr>
        <w:t>/</w:t>
      </w:r>
      <w:r w:rsidRPr="0042665F">
        <w:rPr>
          <w:rFonts w:asciiTheme="minorBidi" w:hAnsiTheme="minorBidi" w:cstheme="minorBidi"/>
          <w:szCs w:val="18"/>
        </w:rPr>
        <w:t>amc</w:t>
      </w:r>
      <w:r w:rsidRPr="0042665F">
        <w:rPr>
          <w:rFonts w:asciiTheme="minorBidi" w:hAnsiTheme="minorBidi" w:cstheme="minorBidi"/>
          <w:szCs w:val="18"/>
          <w:lang w:val="ru-RU"/>
        </w:rPr>
        <w:t>/</w:t>
      </w:r>
      <w:r w:rsidRPr="0042665F">
        <w:rPr>
          <w:rFonts w:asciiTheme="minorBidi" w:hAnsiTheme="minorBidi" w:cstheme="minorBidi"/>
          <w:szCs w:val="18"/>
        </w:rPr>
        <w:t>en</w:t>
      </w:r>
      <w:r w:rsidRPr="0042665F">
        <w:rPr>
          <w:rFonts w:asciiTheme="minorBidi" w:hAnsiTheme="minorBidi" w:cstheme="minorBidi"/>
          <w:szCs w:val="18"/>
          <w:lang w:val="ru-RU"/>
        </w:rPr>
        <w:t>/</w:t>
      </w:r>
      <w:r w:rsidRPr="0042665F">
        <w:rPr>
          <w:rFonts w:asciiTheme="minorBidi" w:hAnsiTheme="minorBidi" w:cstheme="minorBidi"/>
          <w:szCs w:val="18"/>
        </w:rPr>
        <w:t>docs</w:t>
      </w:r>
      <w:r w:rsidRPr="0042665F">
        <w:rPr>
          <w:rFonts w:asciiTheme="minorBidi" w:hAnsiTheme="minorBidi" w:cstheme="minorBidi"/>
          <w:szCs w:val="18"/>
          <w:lang w:val="ru-RU"/>
        </w:rPr>
        <w:t>/</w:t>
      </w:r>
      <w:r w:rsidRPr="0042665F">
        <w:rPr>
          <w:rFonts w:asciiTheme="minorBidi" w:hAnsiTheme="minorBidi" w:cstheme="minorBidi"/>
          <w:szCs w:val="18"/>
        </w:rPr>
        <w:t>wipofrandadrguidance</w:t>
      </w:r>
      <w:r w:rsidRPr="0042665F">
        <w:rPr>
          <w:rFonts w:asciiTheme="minorBidi" w:hAnsiTheme="minorBidi" w:cstheme="minorBidi"/>
          <w:szCs w:val="18"/>
          <w:lang w:val="ru-RU"/>
        </w:rPr>
        <w:t>.</w:t>
      </w:r>
      <w:r w:rsidRPr="0042665F">
        <w:rPr>
          <w:rFonts w:asciiTheme="minorBidi" w:hAnsiTheme="minorBidi" w:cstheme="minorBidi"/>
          <w:szCs w:val="18"/>
        </w:rPr>
        <w:t>pdf</w:t>
      </w:r>
      <w:r w:rsidRPr="0042665F">
        <w:rPr>
          <w:rFonts w:asciiTheme="minorBidi" w:hAnsiTheme="minorBidi" w:cstheme="minorBidi"/>
          <w:szCs w:val="18"/>
          <w:lang w:val="ru-RU"/>
        </w:rPr>
        <w:t xml:space="preserve">. </w:t>
      </w:r>
      <w:r w:rsidRPr="000B79EF">
        <w:rPr>
          <w:shd w:val="clear" w:color="auto" w:fill="FFFFFF" w:themeFill="background1"/>
          <w:lang w:val="ru-RU"/>
        </w:rPr>
        <w:t>Совместно с партнерами в сфере телекоммуникаций и экспертами по патентному арбитражу Центр разработал Руководство по использованию механизмов АУС ВОИС для определения условий FRAND</w:t>
      </w:r>
      <w:r w:rsidRPr="000B79EF">
        <w:rPr>
          <w:rFonts w:asciiTheme="minorBidi" w:hAnsiTheme="minorBidi" w:cstheme="minorBidi"/>
          <w:szCs w:val="18"/>
          <w:shd w:val="clear" w:color="auto" w:fill="FFFFFF" w:themeFill="background1"/>
          <w:lang w:val="ru-RU"/>
        </w:rPr>
        <w:t xml:space="preserve">, впервые опубликованное в 2017 г. и обновленное в 2021 г. Этот документ призван </w:t>
      </w:r>
      <w:r w:rsidRPr="000B79EF">
        <w:rPr>
          <w:shd w:val="clear" w:color="auto" w:fill="FFFFFF" w:themeFill="background1"/>
          <w:lang w:val="ru-RU"/>
        </w:rPr>
        <w:t>помочь сторонам споров и нейтральным сторонам лучше понять и использовать имеющиеся варианты урегулирования споров при ведении переговоров и заключении лицензионных соглашений на условиях FRAND</w:t>
      </w:r>
      <w:r w:rsidRPr="000B79EF">
        <w:rPr>
          <w:rFonts w:asciiTheme="minorBidi" w:hAnsiTheme="minorBidi" w:cstheme="minorBidi"/>
          <w:szCs w:val="18"/>
          <w:shd w:val="clear" w:color="auto" w:fill="FFFFFF" w:themeFill="background1"/>
          <w:lang w:val="ru-RU"/>
        </w:rPr>
        <w:t xml:space="preserve">. Он </w:t>
      </w:r>
      <w:r w:rsidRPr="000B79EF">
        <w:rPr>
          <w:shd w:val="clear" w:color="auto" w:fill="FFFFFF" w:themeFill="background1"/>
          <w:lang w:val="ru-RU"/>
        </w:rPr>
        <w:t xml:space="preserve">содержит ключевые элементы, которые стороны могут использовать для построения процесса АУС, особенно когда речь идет о крупных портфелях SEP в секторах телекоммуникаций, </w:t>
      </w:r>
      <w:r>
        <w:rPr>
          <w:shd w:val="clear" w:color="auto" w:fill="FFFFFF" w:themeFill="background1"/>
          <w:lang w:val="ru-RU"/>
        </w:rPr>
        <w:t>и</w:t>
      </w:r>
      <w:r w:rsidRPr="000B79EF">
        <w:rPr>
          <w:shd w:val="clear" w:color="auto" w:fill="FFFFFF" w:themeFill="background1"/>
          <w:lang w:val="ru-RU"/>
        </w:rPr>
        <w:t>нтернета вещей и интеллектуальной мобильности, а также для оптимизации времени и затрат, связанных с рассмотрением споров</w:t>
      </w:r>
      <w:r w:rsidRPr="000B79EF">
        <w:rPr>
          <w:rFonts w:asciiTheme="minorBidi" w:hAnsiTheme="minorBidi" w:cstheme="minorBidi"/>
          <w:szCs w:val="18"/>
          <w:shd w:val="clear" w:color="auto" w:fill="FFFFFF" w:themeFill="background1"/>
          <w:lang w:val="ru-RU"/>
        </w:rPr>
        <w:t xml:space="preserve">. </w:t>
      </w:r>
      <w:r w:rsidRPr="000B79EF">
        <w:rPr>
          <w:shd w:val="clear" w:color="auto" w:fill="FFFFFF" w:themeFill="background1"/>
          <w:lang w:val="ru-RU"/>
        </w:rPr>
        <w:t>В него также включены специализированные типовые соглашения для передачи споров о FRAND в ВОИС для их рассмотрения в порядке посредничества или арбитража</w:t>
      </w:r>
      <w:r w:rsidRPr="000B79EF">
        <w:rPr>
          <w:rFonts w:asciiTheme="minorBidi" w:hAnsiTheme="minorBidi" w:cstheme="minorBidi"/>
          <w:szCs w:val="18"/>
          <w:shd w:val="clear" w:color="auto" w:fill="FFFFFF" w:themeFill="background1"/>
          <w:lang w:val="ru-RU"/>
        </w:rPr>
        <w:t>.</w:t>
      </w:r>
      <w:r w:rsidRPr="000B79EF">
        <w:rPr>
          <w:rFonts w:asciiTheme="minorBidi" w:hAnsiTheme="minorBidi" w:cstheme="minorBidi"/>
          <w:szCs w:val="18"/>
          <w:lang w:val="ru-RU"/>
        </w:rPr>
        <w:t xml:space="preserve">  </w:t>
      </w:r>
    </w:p>
  </w:footnote>
  <w:footnote w:id="13">
    <w:p w14:paraId="02FE3094" w14:textId="77777777" w:rsidR="007507C6" w:rsidRPr="003A3A65" w:rsidRDefault="007507C6" w:rsidP="00304719">
      <w:pPr>
        <w:pStyle w:val="FootnoteText"/>
        <w:rPr>
          <w:szCs w:val="18"/>
        </w:rPr>
      </w:pPr>
      <w:r w:rsidRPr="003A3A65">
        <w:rPr>
          <w:rStyle w:val="FootnoteReference"/>
          <w:szCs w:val="18"/>
        </w:rPr>
        <w:footnoteRef/>
      </w:r>
      <w:r w:rsidRPr="003A3A65">
        <w:rPr>
          <w:szCs w:val="18"/>
        </w:rPr>
        <w:t xml:space="preserve"> </w:t>
      </w:r>
      <w:r w:rsidRPr="003A3A65">
        <w:rPr>
          <w:szCs w:val="18"/>
        </w:rPr>
        <w:tab/>
        <w:t>See https://www.wipo.int/amc/en/center/specific-sectors/lifesciences/.</w:t>
      </w:r>
    </w:p>
  </w:footnote>
  <w:footnote w:id="14">
    <w:p w14:paraId="6C9A49BF" w14:textId="632EC914" w:rsidR="007507C6" w:rsidRPr="00DD1CEF" w:rsidRDefault="007507C6" w:rsidP="00304719">
      <w:pPr>
        <w:pStyle w:val="FootnoteText"/>
        <w:rPr>
          <w:lang w:val="ru-RU"/>
        </w:rPr>
      </w:pPr>
      <w:r w:rsidRPr="003A3A65">
        <w:rPr>
          <w:rStyle w:val="FootnoteReference"/>
        </w:rPr>
        <w:footnoteRef/>
      </w:r>
      <w:r w:rsidRPr="00DD1CEF">
        <w:rPr>
          <w:lang w:val="ru-RU"/>
        </w:rPr>
        <w:t xml:space="preserve"> </w:t>
      </w:r>
      <w:r w:rsidRPr="00DD1CEF">
        <w:rPr>
          <w:lang w:val="ru-RU"/>
        </w:rPr>
        <w:tab/>
      </w:r>
      <w:r>
        <w:rPr>
          <w:lang w:val="ru-RU"/>
        </w:rPr>
        <w:t>См</w:t>
      </w:r>
      <w:r w:rsidRPr="00DD1CEF">
        <w:rPr>
          <w:lang w:val="ru-RU"/>
        </w:rPr>
        <w:t xml:space="preserve"> </w:t>
      </w:r>
      <w:r w:rsidRPr="003A3A65">
        <w:t>https</w:t>
      </w:r>
      <w:r w:rsidRPr="00DD1CEF">
        <w:rPr>
          <w:lang w:val="ru-RU"/>
        </w:rPr>
        <w:t>://</w:t>
      </w:r>
      <w:r w:rsidRPr="003A3A65">
        <w:t>www</w:t>
      </w:r>
      <w:r w:rsidRPr="00DD1CEF">
        <w:rPr>
          <w:lang w:val="ru-RU"/>
        </w:rPr>
        <w:t>.</w:t>
      </w:r>
      <w:r w:rsidRPr="003A3A65">
        <w:t>wipo</w:t>
      </w:r>
      <w:r w:rsidRPr="00DD1CEF">
        <w:rPr>
          <w:lang w:val="ru-RU"/>
        </w:rPr>
        <w:t>.</w:t>
      </w:r>
      <w:r w:rsidRPr="003A3A65">
        <w:t>int</w:t>
      </w:r>
      <w:r w:rsidRPr="00DD1CEF">
        <w:rPr>
          <w:lang w:val="ru-RU"/>
        </w:rPr>
        <w:t>/</w:t>
      </w:r>
      <w:r w:rsidRPr="003A3A65">
        <w:t>publications</w:t>
      </w:r>
      <w:r w:rsidRPr="00DD1CEF">
        <w:rPr>
          <w:lang w:val="ru-RU"/>
        </w:rPr>
        <w:t>/</w:t>
      </w:r>
      <w:r w:rsidRPr="003A3A65">
        <w:t>en</w:t>
      </w:r>
      <w:r w:rsidRPr="00DD1CEF">
        <w:rPr>
          <w:lang w:val="ru-RU"/>
        </w:rPr>
        <w:t>/</w:t>
      </w:r>
      <w:r w:rsidRPr="003A3A65">
        <w:t>details</w:t>
      </w:r>
      <w:r w:rsidRPr="00DD1CEF">
        <w:rPr>
          <w:lang w:val="ru-RU"/>
        </w:rPr>
        <w:t>.</w:t>
      </w:r>
      <w:r w:rsidRPr="003A3A65">
        <w:t>jsp</w:t>
      </w:r>
      <w:r w:rsidRPr="00DD1CEF">
        <w:rPr>
          <w:lang w:val="ru-RU"/>
        </w:rPr>
        <w:t>?</w:t>
      </w:r>
      <w:r w:rsidRPr="003A3A65">
        <w:t>id</w:t>
      </w:r>
      <w:r w:rsidRPr="00DD1CEF">
        <w:rPr>
          <w:lang w:val="ru-RU"/>
        </w:rPr>
        <w:t>=4558.</w:t>
      </w:r>
    </w:p>
  </w:footnote>
  <w:footnote w:id="15">
    <w:p w14:paraId="760C1621" w14:textId="47726ADD" w:rsidR="007507C6" w:rsidRPr="00DD1CEF" w:rsidRDefault="007507C6" w:rsidP="00304719">
      <w:pPr>
        <w:pStyle w:val="FootnoteText"/>
        <w:rPr>
          <w:szCs w:val="18"/>
          <w:lang w:val="ru-RU"/>
        </w:rPr>
      </w:pPr>
      <w:r w:rsidRPr="003A3A65">
        <w:rPr>
          <w:rStyle w:val="FootnoteReference"/>
          <w:szCs w:val="18"/>
        </w:rPr>
        <w:footnoteRef/>
      </w:r>
      <w:r w:rsidRPr="00DD1CEF">
        <w:rPr>
          <w:szCs w:val="18"/>
          <w:lang w:val="ru-RU"/>
        </w:rPr>
        <w:t xml:space="preserve"> </w:t>
      </w:r>
      <w:r w:rsidRPr="00DD1CEF">
        <w:rPr>
          <w:szCs w:val="18"/>
          <w:lang w:val="ru-RU"/>
        </w:rPr>
        <w:tab/>
      </w:r>
      <w:r>
        <w:rPr>
          <w:szCs w:val="18"/>
          <w:lang w:val="ru-RU"/>
        </w:rPr>
        <w:t>См</w:t>
      </w:r>
      <w:r w:rsidRPr="00DD1CEF">
        <w:rPr>
          <w:szCs w:val="18"/>
          <w:lang w:val="ru-RU"/>
        </w:rPr>
        <w:t xml:space="preserve"> </w:t>
      </w:r>
      <w:r w:rsidRPr="003A3A65">
        <w:rPr>
          <w:szCs w:val="18"/>
        </w:rPr>
        <w:t>https</w:t>
      </w:r>
      <w:r w:rsidRPr="00DD1CEF">
        <w:rPr>
          <w:szCs w:val="18"/>
          <w:lang w:val="ru-RU"/>
        </w:rPr>
        <w:t>://</w:t>
      </w:r>
      <w:r w:rsidRPr="003A3A65">
        <w:rPr>
          <w:szCs w:val="18"/>
        </w:rPr>
        <w:t>www</w:t>
      </w:r>
      <w:r w:rsidRPr="00DD1CEF">
        <w:rPr>
          <w:szCs w:val="18"/>
          <w:lang w:val="ru-RU"/>
        </w:rPr>
        <w:t>.</w:t>
      </w:r>
      <w:r w:rsidRPr="003A3A65">
        <w:rPr>
          <w:szCs w:val="18"/>
        </w:rPr>
        <w:t>wipo</w:t>
      </w:r>
      <w:r w:rsidRPr="00DD1CEF">
        <w:rPr>
          <w:szCs w:val="18"/>
          <w:lang w:val="ru-RU"/>
        </w:rPr>
        <w:t>.</w:t>
      </w:r>
      <w:r w:rsidRPr="003A3A65">
        <w:rPr>
          <w:szCs w:val="18"/>
        </w:rPr>
        <w:t>int</w:t>
      </w:r>
      <w:r w:rsidRPr="00DD1CEF">
        <w:rPr>
          <w:szCs w:val="18"/>
          <w:lang w:val="ru-RU"/>
        </w:rPr>
        <w:t>/</w:t>
      </w:r>
      <w:r w:rsidRPr="003A3A65">
        <w:rPr>
          <w:szCs w:val="18"/>
        </w:rPr>
        <w:t>amc</w:t>
      </w:r>
      <w:r w:rsidRPr="00DD1CEF">
        <w:rPr>
          <w:szCs w:val="18"/>
          <w:lang w:val="ru-RU"/>
        </w:rPr>
        <w:t>/</w:t>
      </w:r>
      <w:r w:rsidRPr="003A3A65">
        <w:rPr>
          <w:szCs w:val="18"/>
        </w:rPr>
        <w:t>en</w:t>
      </w:r>
      <w:r w:rsidRPr="00DD1CEF">
        <w:rPr>
          <w:szCs w:val="18"/>
          <w:lang w:val="ru-RU"/>
        </w:rPr>
        <w:t>/</w:t>
      </w:r>
      <w:r w:rsidRPr="003A3A65">
        <w:rPr>
          <w:szCs w:val="18"/>
        </w:rPr>
        <w:t>center</w:t>
      </w:r>
      <w:r w:rsidRPr="00DD1CEF">
        <w:rPr>
          <w:szCs w:val="18"/>
          <w:lang w:val="ru-RU"/>
        </w:rPr>
        <w:t>/</w:t>
      </w:r>
      <w:r w:rsidRPr="003A3A65">
        <w:rPr>
          <w:szCs w:val="18"/>
        </w:rPr>
        <w:t>copyright</w:t>
      </w:r>
      <w:r w:rsidRPr="00DD1CEF">
        <w:rPr>
          <w:szCs w:val="18"/>
          <w:lang w:val="ru-RU"/>
        </w:rPr>
        <w:t>/</w:t>
      </w:r>
      <w:r w:rsidRPr="003A3A65">
        <w:rPr>
          <w:szCs w:val="18"/>
        </w:rPr>
        <w:t>digitalcopyright</w:t>
      </w:r>
      <w:r w:rsidRPr="00DD1CEF">
        <w:rPr>
          <w:szCs w:val="18"/>
          <w:lang w:val="ru-RU"/>
        </w:rPr>
        <w:t xml:space="preserve">. Центр в сотрудничестве с соответствующими заинтересованными сторонами адаптировал Правила ВОИС о вынесении экспертных заключений в качестве глобальной процедуры, отражающей передовую международную практику разрешения споров </w:t>
      </w:r>
      <w:r>
        <w:rPr>
          <w:szCs w:val="18"/>
          <w:lang w:val="ru-RU"/>
        </w:rPr>
        <w:t>в отношении</w:t>
      </w:r>
      <w:r w:rsidRPr="00DD1CEF">
        <w:rPr>
          <w:szCs w:val="18"/>
          <w:lang w:val="ru-RU"/>
        </w:rPr>
        <w:t xml:space="preserve"> загруженно</w:t>
      </w:r>
      <w:r>
        <w:rPr>
          <w:szCs w:val="18"/>
          <w:lang w:val="ru-RU"/>
        </w:rPr>
        <w:t>го</w:t>
      </w:r>
      <w:r w:rsidRPr="00DD1CEF">
        <w:rPr>
          <w:szCs w:val="18"/>
          <w:lang w:val="ru-RU"/>
        </w:rPr>
        <w:t xml:space="preserve"> пользователем контент</w:t>
      </w:r>
      <w:r>
        <w:rPr>
          <w:szCs w:val="18"/>
          <w:lang w:val="ru-RU"/>
        </w:rPr>
        <w:t>а</w:t>
      </w:r>
      <w:r w:rsidRPr="00DD1CEF">
        <w:rPr>
          <w:szCs w:val="18"/>
          <w:lang w:val="ru-RU"/>
        </w:rPr>
        <w:t xml:space="preserve"> </w:t>
      </w:r>
      <w:r w:rsidRPr="002B3B08">
        <w:rPr>
          <w:szCs w:val="18"/>
          <w:lang w:val="ru-RU"/>
        </w:rPr>
        <w:t>провайдер</w:t>
      </w:r>
      <w:r>
        <w:rPr>
          <w:szCs w:val="18"/>
          <w:lang w:val="ru-RU"/>
        </w:rPr>
        <w:t>ами</w:t>
      </w:r>
      <w:r w:rsidRPr="002B3B08">
        <w:rPr>
          <w:szCs w:val="18"/>
          <w:lang w:val="ru-RU"/>
        </w:rPr>
        <w:t xml:space="preserve"> услуг по совместному использованию онлайн-контента </w:t>
      </w:r>
      <w:r w:rsidRPr="00DD1CEF">
        <w:rPr>
          <w:szCs w:val="18"/>
          <w:lang w:val="ru-RU"/>
        </w:rPr>
        <w:t>(</w:t>
      </w:r>
      <w:r w:rsidRPr="00DD1CEF">
        <w:rPr>
          <w:szCs w:val="18"/>
        </w:rPr>
        <w:t>OCSSP</w:t>
      </w:r>
      <w:r w:rsidRPr="00DD1CEF">
        <w:rPr>
          <w:szCs w:val="18"/>
          <w:lang w:val="ru-RU"/>
        </w:rPr>
        <w:t xml:space="preserve">). Стороны также могут </w:t>
      </w:r>
      <w:r>
        <w:rPr>
          <w:szCs w:val="18"/>
          <w:lang w:val="ru-RU"/>
        </w:rPr>
        <w:t>использовать</w:t>
      </w:r>
      <w:r w:rsidRPr="00DD1CEF">
        <w:rPr>
          <w:szCs w:val="18"/>
          <w:lang w:val="ru-RU"/>
        </w:rPr>
        <w:t xml:space="preserve"> типовы</w:t>
      </w:r>
      <w:r>
        <w:rPr>
          <w:szCs w:val="18"/>
          <w:lang w:val="ru-RU"/>
        </w:rPr>
        <w:t>е</w:t>
      </w:r>
      <w:r w:rsidRPr="00DD1CEF">
        <w:rPr>
          <w:szCs w:val="18"/>
          <w:lang w:val="ru-RU"/>
        </w:rPr>
        <w:t xml:space="preserve"> соглашения ВОИС о </w:t>
      </w:r>
      <w:r>
        <w:rPr>
          <w:szCs w:val="18"/>
          <w:lang w:val="ru-RU"/>
        </w:rPr>
        <w:t>передаче споров на рассмотрение в соответствии с процедурами</w:t>
      </w:r>
      <w:r w:rsidRPr="00DD1CEF">
        <w:rPr>
          <w:szCs w:val="18"/>
          <w:lang w:val="ru-RU"/>
        </w:rPr>
        <w:t xml:space="preserve"> АУС, адаптированны</w:t>
      </w:r>
      <w:r>
        <w:rPr>
          <w:szCs w:val="18"/>
          <w:lang w:val="ru-RU"/>
        </w:rPr>
        <w:t>е с учетом обстоятельств</w:t>
      </w:r>
      <w:r w:rsidRPr="00DD1CEF">
        <w:rPr>
          <w:szCs w:val="18"/>
          <w:lang w:val="ru-RU"/>
        </w:rPr>
        <w:t xml:space="preserve"> их спор</w:t>
      </w:r>
      <w:r>
        <w:rPr>
          <w:szCs w:val="18"/>
          <w:lang w:val="ru-RU"/>
        </w:rPr>
        <w:t>ов</w:t>
      </w:r>
      <w:r w:rsidRPr="00DD1CEF">
        <w:rPr>
          <w:szCs w:val="18"/>
          <w:lang w:val="ru-RU"/>
        </w:rPr>
        <w:t>, связанны</w:t>
      </w:r>
      <w:r>
        <w:rPr>
          <w:szCs w:val="18"/>
          <w:lang w:val="ru-RU"/>
        </w:rPr>
        <w:t>х</w:t>
      </w:r>
      <w:r w:rsidRPr="00DD1CEF">
        <w:rPr>
          <w:szCs w:val="18"/>
          <w:lang w:val="ru-RU"/>
        </w:rPr>
        <w:t xml:space="preserve"> с цифровым</w:t>
      </w:r>
      <w:r>
        <w:rPr>
          <w:szCs w:val="18"/>
          <w:lang w:val="ru-RU"/>
        </w:rPr>
        <w:t>и</w:t>
      </w:r>
      <w:r w:rsidRPr="00DD1CEF">
        <w:rPr>
          <w:szCs w:val="18"/>
          <w:lang w:val="ru-RU"/>
        </w:rPr>
        <w:t xml:space="preserve"> авторским</w:t>
      </w:r>
      <w:r>
        <w:rPr>
          <w:szCs w:val="18"/>
          <w:lang w:val="ru-RU"/>
        </w:rPr>
        <w:t>и</w:t>
      </w:r>
      <w:r w:rsidRPr="00DD1CEF">
        <w:rPr>
          <w:szCs w:val="18"/>
          <w:lang w:val="ru-RU"/>
        </w:rPr>
        <w:t xml:space="preserve"> прав</w:t>
      </w:r>
      <w:r>
        <w:rPr>
          <w:szCs w:val="18"/>
          <w:lang w:val="ru-RU"/>
        </w:rPr>
        <w:t>ами</w:t>
      </w:r>
      <w:r w:rsidRPr="00DD1CEF">
        <w:rPr>
          <w:szCs w:val="18"/>
          <w:lang w:val="ru-RU"/>
        </w:rPr>
        <w:t xml:space="preserve"> и контентом.</w:t>
      </w:r>
    </w:p>
  </w:footnote>
  <w:footnote w:id="16">
    <w:p w14:paraId="09360A9B" w14:textId="12928BE0" w:rsidR="007507C6" w:rsidRPr="003D0F2A" w:rsidRDefault="007507C6" w:rsidP="0084406A">
      <w:pPr>
        <w:pStyle w:val="FootnoteText"/>
        <w:rPr>
          <w:szCs w:val="18"/>
          <w:lang w:val="ru-RU"/>
        </w:rPr>
      </w:pPr>
      <w:r w:rsidRPr="003A3A65">
        <w:rPr>
          <w:rStyle w:val="FootnoteReference"/>
          <w:szCs w:val="18"/>
        </w:rPr>
        <w:footnoteRef/>
      </w:r>
      <w:r w:rsidRPr="0049050D">
        <w:rPr>
          <w:szCs w:val="18"/>
          <w:lang w:val="ru-RU"/>
        </w:rPr>
        <w:t xml:space="preserve"> </w:t>
      </w:r>
      <w:r w:rsidRPr="0049050D">
        <w:rPr>
          <w:szCs w:val="18"/>
          <w:lang w:val="ru-RU"/>
        </w:rPr>
        <w:tab/>
      </w:r>
      <w:r w:rsidRPr="000B79EF">
        <w:rPr>
          <w:rFonts w:asciiTheme="minorBidi" w:hAnsiTheme="minorBidi" w:cstheme="minorBidi"/>
          <w:szCs w:val="18"/>
          <w:lang w:val="ru-RU"/>
        </w:rPr>
        <w:t>К</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их</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числу</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относятся</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ВИС</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и</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суды</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представляющие</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следующие</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страны</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и</w:t>
      </w:r>
      <w:r w:rsidRPr="0049050D">
        <w:rPr>
          <w:rFonts w:asciiTheme="minorBidi" w:hAnsiTheme="minorBidi" w:cstheme="minorBidi"/>
          <w:szCs w:val="18"/>
          <w:lang w:val="ru-RU"/>
        </w:rPr>
        <w:t xml:space="preserve"> </w:t>
      </w:r>
      <w:r w:rsidRPr="000B79EF">
        <w:rPr>
          <w:rFonts w:asciiTheme="minorBidi" w:hAnsiTheme="minorBidi" w:cstheme="minorBidi"/>
          <w:szCs w:val="18"/>
          <w:lang w:val="ru-RU"/>
        </w:rPr>
        <w:t>организации</w:t>
      </w:r>
      <w:r>
        <w:rPr>
          <w:rFonts w:asciiTheme="minorBidi" w:hAnsiTheme="minorBidi" w:cstheme="minorBidi"/>
          <w:szCs w:val="18"/>
          <w:lang w:val="ru-RU"/>
        </w:rPr>
        <w:t>:</w:t>
      </w:r>
      <w:r w:rsidRPr="0049050D">
        <w:rPr>
          <w:lang w:val="ru-RU"/>
        </w:rPr>
        <w:t xml:space="preserve"> </w:t>
      </w:r>
      <w:r w:rsidRPr="0049050D">
        <w:rPr>
          <w:rFonts w:asciiTheme="minorBidi" w:hAnsiTheme="minorBidi" w:cstheme="minorBidi"/>
          <w:szCs w:val="18"/>
          <w:lang w:val="ru-RU"/>
        </w:rPr>
        <w:t>Австрали</w:t>
      </w:r>
      <w:r w:rsidR="009056B5">
        <w:rPr>
          <w:rFonts w:asciiTheme="minorBidi" w:hAnsiTheme="minorBidi" w:cstheme="minorBidi"/>
          <w:szCs w:val="18"/>
          <w:lang w:val="ru-RU"/>
        </w:rPr>
        <w:t>ю</w:t>
      </w:r>
      <w:r w:rsidRPr="0049050D">
        <w:rPr>
          <w:rFonts w:asciiTheme="minorBidi" w:hAnsiTheme="minorBidi" w:cstheme="minorBidi"/>
          <w:szCs w:val="18"/>
          <w:lang w:val="ru-RU"/>
        </w:rPr>
        <w:t>, Алжир, Аргентин</w:t>
      </w:r>
      <w:r w:rsidR="009056B5">
        <w:rPr>
          <w:rFonts w:asciiTheme="minorBidi" w:hAnsiTheme="minorBidi" w:cstheme="minorBidi"/>
          <w:szCs w:val="18"/>
          <w:lang w:val="ru-RU"/>
        </w:rPr>
        <w:t>у</w:t>
      </w:r>
      <w:r w:rsidRPr="0049050D">
        <w:rPr>
          <w:rFonts w:asciiTheme="minorBidi" w:hAnsiTheme="minorBidi" w:cstheme="minorBidi"/>
          <w:szCs w:val="18"/>
          <w:lang w:val="ru-RU"/>
        </w:rPr>
        <w:t>, Беларусь, Ботсван</w:t>
      </w:r>
      <w:r w:rsidR="009056B5">
        <w:rPr>
          <w:rFonts w:asciiTheme="minorBidi" w:hAnsiTheme="minorBidi" w:cstheme="minorBidi"/>
          <w:szCs w:val="18"/>
          <w:lang w:val="ru-RU"/>
        </w:rPr>
        <w:t>у</w:t>
      </w:r>
      <w:r w:rsidRPr="0049050D">
        <w:rPr>
          <w:rFonts w:asciiTheme="minorBidi" w:hAnsiTheme="minorBidi" w:cstheme="minorBidi"/>
          <w:szCs w:val="18"/>
          <w:lang w:val="ru-RU"/>
        </w:rPr>
        <w:t>, Болгари</w:t>
      </w:r>
      <w:r w:rsidR="009056B5">
        <w:rPr>
          <w:rFonts w:asciiTheme="minorBidi" w:hAnsiTheme="minorBidi" w:cstheme="minorBidi"/>
          <w:szCs w:val="18"/>
          <w:lang w:val="ru-RU"/>
        </w:rPr>
        <w:t>ю</w:t>
      </w:r>
      <w:r w:rsidRPr="0049050D">
        <w:rPr>
          <w:rFonts w:asciiTheme="minorBidi" w:hAnsiTheme="minorBidi" w:cstheme="minorBidi"/>
          <w:szCs w:val="18"/>
          <w:lang w:val="ru-RU"/>
        </w:rPr>
        <w:t>, Бразили</w:t>
      </w:r>
      <w:r w:rsidR="009056B5">
        <w:rPr>
          <w:rFonts w:asciiTheme="minorBidi" w:hAnsiTheme="minorBidi" w:cstheme="minorBidi"/>
          <w:szCs w:val="18"/>
          <w:lang w:val="ru-RU"/>
        </w:rPr>
        <w:t>ю</w:t>
      </w:r>
      <w:r w:rsidRPr="0049050D">
        <w:rPr>
          <w:rFonts w:asciiTheme="minorBidi" w:hAnsiTheme="minorBidi" w:cstheme="minorBidi"/>
          <w:szCs w:val="18"/>
          <w:lang w:val="ru-RU"/>
        </w:rPr>
        <w:t>, Венгри</w:t>
      </w:r>
      <w:r w:rsidR="009056B5">
        <w:rPr>
          <w:rFonts w:asciiTheme="minorBidi" w:hAnsiTheme="minorBidi" w:cstheme="minorBidi"/>
          <w:szCs w:val="18"/>
          <w:lang w:val="ru-RU"/>
        </w:rPr>
        <w:t>ю</w:t>
      </w:r>
      <w:r w:rsidRPr="0049050D">
        <w:rPr>
          <w:rFonts w:asciiTheme="minorBidi" w:hAnsiTheme="minorBidi" w:cstheme="minorBidi"/>
          <w:szCs w:val="18"/>
          <w:lang w:val="ru-RU"/>
        </w:rPr>
        <w:t>, Доминиканск</w:t>
      </w:r>
      <w:r w:rsidR="009056B5">
        <w:rPr>
          <w:rFonts w:asciiTheme="minorBidi" w:hAnsiTheme="minorBidi" w:cstheme="minorBidi"/>
          <w:szCs w:val="18"/>
          <w:lang w:val="ru-RU"/>
        </w:rPr>
        <w:t>ую</w:t>
      </w:r>
      <w:r w:rsidRPr="0049050D">
        <w:rPr>
          <w:rFonts w:asciiTheme="minorBidi" w:hAnsiTheme="minorBidi" w:cstheme="minorBidi"/>
          <w:szCs w:val="18"/>
          <w:lang w:val="ru-RU"/>
        </w:rPr>
        <w:t xml:space="preserve"> Республик</w:t>
      </w:r>
      <w:r w:rsidR="009056B5">
        <w:rPr>
          <w:rFonts w:asciiTheme="minorBidi" w:hAnsiTheme="minorBidi" w:cstheme="minorBidi"/>
          <w:szCs w:val="18"/>
          <w:lang w:val="ru-RU"/>
        </w:rPr>
        <w:t>у</w:t>
      </w:r>
      <w:r w:rsidRPr="0049050D">
        <w:rPr>
          <w:rFonts w:asciiTheme="minorBidi" w:hAnsiTheme="minorBidi" w:cstheme="minorBidi"/>
          <w:szCs w:val="18"/>
          <w:lang w:val="ru-RU"/>
        </w:rPr>
        <w:t>, Израиль, Индонези</w:t>
      </w:r>
      <w:r w:rsidR="009056B5">
        <w:rPr>
          <w:rFonts w:asciiTheme="minorBidi" w:hAnsiTheme="minorBidi" w:cstheme="minorBidi"/>
          <w:szCs w:val="18"/>
          <w:lang w:val="ru-RU"/>
        </w:rPr>
        <w:t>ю</w:t>
      </w:r>
      <w:r w:rsidRPr="0049050D">
        <w:rPr>
          <w:rFonts w:asciiTheme="minorBidi" w:hAnsiTheme="minorBidi" w:cstheme="minorBidi"/>
          <w:szCs w:val="18"/>
          <w:lang w:val="ru-RU"/>
        </w:rPr>
        <w:t>, Итали</w:t>
      </w:r>
      <w:r w:rsidR="009056B5">
        <w:rPr>
          <w:rFonts w:asciiTheme="minorBidi" w:hAnsiTheme="minorBidi" w:cstheme="minorBidi"/>
          <w:szCs w:val="18"/>
          <w:lang w:val="ru-RU"/>
        </w:rPr>
        <w:t>ю</w:t>
      </w:r>
      <w:r w:rsidRPr="0049050D">
        <w:rPr>
          <w:rFonts w:asciiTheme="minorBidi" w:hAnsiTheme="minorBidi" w:cstheme="minorBidi"/>
          <w:szCs w:val="18"/>
          <w:lang w:val="ru-RU"/>
        </w:rPr>
        <w:t>, Казахстан, Кени</w:t>
      </w:r>
      <w:r w:rsidR="009056B5">
        <w:rPr>
          <w:rFonts w:asciiTheme="minorBidi" w:hAnsiTheme="minorBidi" w:cstheme="minorBidi"/>
          <w:szCs w:val="18"/>
          <w:lang w:val="ru-RU"/>
        </w:rPr>
        <w:t>ю</w:t>
      </w:r>
      <w:r w:rsidRPr="0049050D">
        <w:rPr>
          <w:rFonts w:asciiTheme="minorBidi" w:hAnsiTheme="minorBidi" w:cstheme="minorBidi"/>
          <w:szCs w:val="18"/>
          <w:lang w:val="ru-RU"/>
        </w:rPr>
        <w:t>, Китай, Колумби</w:t>
      </w:r>
      <w:r w:rsidR="009056B5">
        <w:rPr>
          <w:rFonts w:asciiTheme="minorBidi" w:hAnsiTheme="minorBidi" w:cstheme="minorBidi"/>
          <w:szCs w:val="18"/>
          <w:lang w:val="ru-RU"/>
        </w:rPr>
        <w:t>ю</w:t>
      </w:r>
      <w:r w:rsidRPr="0049050D">
        <w:rPr>
          <w:rFonts w:asciiTheme="minorBidi" w:hAnsiTheme="minorBidi" w:cstheme="minorBidi"/>
          <w:szCs w:val="18"/>
          <w:lang w:val="ru-RU"/>
        </w:rPr>
        <w:t>, Коста-Рик</w:t>
      </w:r>
      <w:r w:rsidR="009056B5">
        <w:rPr>
          <w:rFonts w:asciiTheme="minorBidi" w:hAnsiTheme="minorBidi" w:cstheme="minorBidi"/>
          <w:szCs w:val="18"/>
          <w:lang w:val="ru-RU"/>
        </w:rPr>
        <w:t>у</w:t>
      </w:r>
      <w:r w:rsidRPr="0049050D">
        <w:rPr>
          <w:rFonts w:asciiTheme="minorBidi" w:hAnsiTheme="minorBidi" w:cstheme="minorBidi"/>
          <w:szCs w:val="18"/>
          <w:lang w:val="ru-RU"/>
        </w:rPr>
        <w:t>, Куб</w:t>
      </w:r>
      <w:r w:rsidR="009056B5">
        <w:rPr>
          <w:rFonts w:asciiTheme="minorBidi" w:hAnsiTheme="minorBidi" w:cstheme="minorBidi"/>
          <w:szCs w:val="18"/>
          <w:lang w:val="ru-RU"/>
        </w:rPr>
        <w:t>у</w:t>
      </w:r>
      <w:r w:rsidRPr="0049050D">
        <w:rPr>
          <w:rFonts w:asciiTheme="minorBidi" w:hAnsiTheme="minorBidi" w:cstheme="minorBidi"/>
          <w:szCs w:val="18"/>
          <w:lang w:val="ru-RU"/>
        </w:rPr>
        <w:t>, Евразийск</w:t>
      </w:r>
      <w:r w:rsidR="009056B5">
        <w:rPr>
          <w:rFonts w:asciiTheme="minorBidi" w:hAnsiTheme="minorBidi" w:cstheme="minorBidi"/>
          <w:szCs w:val="18"/>
          <w:lang w:val="ru-RU"/>
        </w:rPr>
        <w:t>ую</w:t>
      </w:r>
      <w:r w:rsidRPr="0049050D">
        <w:rPr>
          <w:rFonts w:asciiTheme="minorBidi" w:hAnsiTheme="minorBidi" w:cstheme="minorBidi"/>
          <w:szCs w:val="18"/>
          <w:lang w:val="ru-RU"/>
        </w:rPr>
        <w:t xml:space="preserve"> патентн</w:t>
      </w:r>
      <w:r w:rsidR="009056B5">
        <w:rPr>
          <w:rFonts w:asciiTheme="minorBidi" w:hAnsiTheme="minorBidi" w:cstheme="minorBidi"/>
          <w:szCs w:val="18"/>
          <w:lang w:val="ru-RU"/>
        </w:rPr>
        <w:t>ую</w:t>
      </w:r>
      <w:r w:rsidRPr="0049050D">
        <w:rPr>
          <w:rFonts w:asciiTheme="minorBidi" w:hAnsiTheme="minorBidi" w:cstheme="minorBidi"/>
          <w:szCs w:val="18"/>
          <w:lang w:val="ru-RU"/>
        </w:rPr>
        <w:t xml:space="preserve"> организаци</w:t>
      </w:r>
      <w:r w:rsidR="009056B5">
        <w:rPr>
          <w:rFonts w:asciiTheme="minorBidi" w:hAnsiTheme="minorBidi" w:cstheme="minorBidi"/>
          <w:szCs w:val="18"/>
          <w:lang w:val="ru-RU"/>
        </w:rPr>
        <w:t>ю</w:t>
      </w:r>
      <w:r w:rsidRPr="0049050D">
        <w:rPr>
          <w:rFonts w:asciiTheme="minorBidi" w:hAnsiTheme="minorBidi" w:cstheme="minorBidi"/>
          <w:szCs w:val="18"/>
          <w:lang w:val="ru-RU"/>
        </w:rPr>
        <w:t>, Республик</w:t>
      </w:r>
      <w:r w:rsidR="009056B5">
        <w:rPr>
          <w:rFonts w:asciiTheme="minorBidi" w:hAnsiTheme="minorBidi" w:cstheme="minorBidi"/>
          <w:szCs w:val="18"/>
          <w:lang w:val="ru-RU"/>
        </w:rPr>
        <w:t>у</w:t>
      </w:r>
      <w:r w:rsidRPr="0049050D">
        <w:rPr>
          <w:rFonts w:asciiTheme="minorBidi" w:hAnsiTheme="minorBidi" w:cstheme="minorBidi"/>
          <w:szCs w:val="18"/>
          <w:lang w:val="ru-RU"/>
        </w:rPr>
        <w:t xml:space="preserve"> Коре</w:t>
      </w:r>
      <w:r w:rsidR="009056B5">
        <w:rPr>
          <w:rFonts w:asciiTheme="minorBidi" w:hAnsiTheme="minorBidi" w:cstheme="minorBidi"/>
          <w:szCs w:val="18"/>
          <w:lang w:val="ru-RU"/>
        </w:rPr>
        <w:t>ю</w:t>
      </w:r>
      <w:r w:rsidRPr="0049050D">
        <w:rPr>
          <w:rFonts w:asciiTheme="minorBidi" w:hAnsiTheme="minorBidi" w:cstheme="minorBidi"/>
          <w:szCs w:val="18"/>
          <w:lang w:val="ru-RU"/>
        </w:rPr>
        <w:t>, Чешск</w:t>
      </w:r>
      <w:r w:rsidR="009056B5">
        <w:rPr>
          <w:rFonts w:asciiTheme="minorBidi" w:hAnsiTheme="minorBidi" w:cstheme="minorBidi"/>
          <w:szCs w:val="18"/>
          <w:lang w:val="ru-RU"/>
        </w:rPr>
        <w:t>ую</w:t>
      </w:r>
      <w:r w:rsidRPr="0049050D">
        <w:rPr>
          <w:rFonts w:asciiTheme="minorBidi" w:hAnsiTheme="minorBidi" w:cstheme="minorBidi"/>
          <w:szCs w:val="18"/>
          <w:lang w:val="ru-RU"/>
        </w:rPr>
        <w:t xml:space="preserve"> Республик</w:t>
      </w:r>
      <w:r w:rsidR="009056B5">
        <w:rPr>
          <w:rFonts w:asciiTheme="minorBidi" w:hAnsiTheme="minorBidi" w:cstheme="minorBidi"/>
          <w:szCs w:val="18"/>
          <w:lang w:val="ru-RU"/>
        </w:rPr>
        <w:t>у</w:t>
      </w:r>
      <w:r w:rsidRPr="0049050D">
        <w:rPr>
          <w:rFonts w:asciiTheme="minorBidi" w:hAnsiTheme="minorBidi" w:cstheme="minorBidi"/>
          <w:szCs w:val="18"/>
          <w:lang w:val="ru-RU"/>
        </w:rPr>
        <w:t>, Чили, Эквадор, Сальвадор, Кыргызстан, Литв</w:t>
      </w:r>
      <w:r w:rsidR="009056B5">
        <w:rPr>
          <w:rFonts w:asciiTheme="minorBidi" w:hAnsiTheme="minorBidi" w:cstheme="minorBidi"/>
          <w:szCs w:val="18"/>
          <w:lang w:val="ru-RU"/>
        </w:rPr>
        <w:t>у</w:t>
      </w:r>
      <w:r w:rsidRPr="0049050D">
        <w:rPr>
          <w:rFonts w:asciiTheme="minorBidi" w:hAnsiTheme="minorBidi" w:cstheme="minorBidi"/>
          <w:szCs w:val="18"/>
          <w:lang w:val="ru-RU"/>
        </w:rPr>
        <w:t>, Марокко, Мексик</w:t>
      </w:r>
      <w:r w:rsidR="009056B5">
        <w:rPr>
          <w:rFonts w:asciiTheme="minorBidi" w:hAnsiTheme="minorBidi" w:cstheme="minorBidi"/>
          <w:szCs w:val="18"/>
          <w:lang w:val="ru-RU"/>
        </w:rPr>
        <w:t>у</w:t>
      </w:r>
      <w:r w:rsidRPr="0049050D">
        <w:rPr>
          <w:rFonts w:asciiTheme="minorBidi" w:hAnsiTheme="minorBidi" w:cstheme="minorBidi"/>
          <w:szCs w:val="18"/>
          <w:lang w:val="ru-RU"/>
        </w:rPr>
        <w:t>, Нигери</w:t>
      </w:r>
      <w:r w:rsidR="009056B5">
        <w:rPr>
          <w:rFonts w:asciiTheme="minorBidi" w:hAnsiTheme="minorBidi" w:cstheme="minorBidi"/>
          <w:szCs w:val="18"/>
          <w:lang w:val="ru-RU"/>
        </w:rPr>
        <w:t>ю</w:t>
      </w:r>
      <w:r w:rsidRPr="0049050D">
        <w:rPr>
          <w:rFonts w:asciiTheme="minorBidi" w:hAnsiTheme="minorBidi" w:cstheme="minorBidi"/>
          <w:szCs w:val="18"/>
          <w:lang w:val="ru-RU"/>
        </w:rPr>
        <w:t>, Парагвай, Филиппины, Польш</w:t>
      </w:r>
      <w:r w:rsidR="009056B5">
        <w:rPr>
          <w:rFonts w:asciiTheme="minorBidi" w:hAnsiTheme="minorBidi" w:cstheme="minorBidi"/>
          <w:szCs w:val="18"/>
          <w:lang w:val="ru-RU"/>
        </w:rPr>
        <w:t>у</w:t>
      </w:r>
      <w:r w:rsidRPr="0049050D">
        <w:rPr>
          <w:rFonts w:asciiTheme="minorBidi" w:hAnsiTheme="minorBidi" w:cstheme="minorBidi"/>
          <w:szCs w:val="18"/>
          <w:lang w:val="ru-RU"/>
        </w:rPr>
        <w:t>, Российск</w:t>
      </w:r>
      <w:r w:rsidR="009056B5">
        <w:rPr>
          <w:rFonts w:asciiTheme="minorBidi" w:hAnsiTheme="minorBidi" w:cstheme="minorBidi"/>
          <w:szCs w:val="18"/>
          <w:lang w:val="ru-RU"/>
        </w:rPr>
        <w:t>ую</w:t>
      </w:r>
      <w:r w:rsidRPr="0049050D">
        <w:rPr>
          <w:rFonts w:asciiTheme="minorBidi" w:hAnsiTheme="minorBidi" w:cstheme="minorBidi"/>
          <w:szCs w:val="18"/>
          <w:lang w:val="ru-RU"/>
        </w:rPr>
        <w:t xml:space="preserve"> Федераци</w:t>
      </w:r>
      <w:r w:rsidR="009056B5">
        <w:rPr>
          <w:rFonts w:asciiTheme="minorBidi" w:hAnsiTheme="minorBidi" w:cstheme="minorBidi"/>
          <w:szCs w:val="18"/>
          <w:lang w:val="ru-RU"/>
        </w:rPr>
        <w:t>ю</w:t>
      </w:r>
      <w:r w:rsidRPr="0049050D">
        <w:rPr>
          <w:rFonts w:asciiTheme="minorBidi" w:hAnsiTheme="minorBidi" w:cstheme="minorBidi"/>
          <w:szCs w:val="18"/>
          <w:lang w:val="ru-RU"/>
        </w:rPr>
        <w:t>, Румыни</w:t>
      </w:r>
      <w:r w:rsidR="009056B5">
        <w:rPr>
          <w:rFonts w:asciiTheme="minorBidi" w:hAnsiTheme="minorBidi" w:cstheme="minorBidi"/>
          <w:szCs w:val="18"/>
          <w:lang w:val="ru-RU"/>
        </w:rPr>
        <w:t>ю</w:t>
      </w:r>
      <w:r w:rsidRPr="0049050D">
        <w:rPr>
          <w:rFonts w:asciiTheme="minorBidi" w:hAnsiTheme="minorBidi" w:cstheme="minorBidi"/>
          <w:szCs w:val="18"/>
          <w:lang w:val="ru-RU"/>
        </w:rPr>
        <w:t>, Серби</w:t>
      </w:r>
      <w:r w:rsidR="009056B5">
        <w:rPr>
          <w:rFonts w:asciiTheme="minorBidi" w:hAnsiTheme="minorBidi" w:cstheme="minorBidi"/>
          <w:szCs w:val="18"/>
          <w:lang w:val="ru-RU"/>
        </w:rPr>
        <w:t>ю</w:t>
      </w:r>
      <w:r w:rsidRPr="0049050D">
        <w:rPr>
          <w:rFonts w:asciiTheme="minorBidi" w:hAnsiTheme="minorBidi" w:cstheme="minorBidi"/>
          <w:szCs w:val="18"/>
          <w:lang w:val="ru-RU"/>
        </w:rPr>
        <w:t>, Сингапур, Испания, Швейцари</w:t>
      </w:r>
      <w:r w:rsidR="009056B5">
        <w:rPr>
          <w:rFonts w:asciiTheme="minorBidi" w:hAnsiTheme="minorBidi" w:cstheme="minorBidi"/>
          <w:szCs w:val="18"/>
          <w:lang w:val="ru-RU"/>
        </w:rPr>
        <w:t>ю</w:t>
      </w:r>
      <w:r w:rsidRPr="0049050D">
        <w:rPr>
          <w:rFonts w:asciiTheme="minorBidi" w:hAnsiTheme="minorBidi" w:cstheme="minorBidi"/>
          <w:szCs w:val="18"/>
          <w:lang w:val="ru-RU"/>
        </w:rPr>
        <w:t>, Объединенн</w:t>
      </w:r>
      <w:r w:rsidR="009056B5">
        <w:rPr>
          <w:rFonts w:asciiTheme="minorBidi" w:hAnsiTheme="minorBidi" w:cstheme="minorBidi"/>
          <w:szCs w:val="18"/>
          <w:lang w:val="ru-RU"/>
        </w:rPr>
        <w:t>ую</w:t>
      </w:r>
      <w:r w:rsidRPr="0049050D">
        <w:rPr>
          <w:rFonts w:asciiTheme="minorBidi" w:hAnsiTheme="minorBidi" w:cstheme="minorBidi"/>
          <w:szCs w:val="18"/>
          <w:lang w:val="ru-RU"/>
        </w:rPr>
        <w:t xml:space="preserve"> Республик</w:t>
      </w:r>
      <w:r w:rsidR="009056B5">
        <w:rPr>
          <w:rFonts w:asciiTheme="minorBidi" w:hAnsiTheme="minorBidi" w:cstheme="minorBidi"/>
          <w:szCs w:val="18"/>
          <w:lang w:val="ru-RU"/>
        </w:rPr>
        <w:t>у</w:t>
      </w:r>
      <w:r w:rsidRPr="0049050D">
        <w:rPr>
          <w:rFonts w:asciiTheme="minorBidi" w:hAnsiTheme="minorBidi" w:cstheme="minorBidi"/>
          <w:szCs w:val="18"/>
          <w:lang w:val="ru-RU"/>
        </w:rPr>
        <w:t xml:space="preserve"> Танзания, Таиланд, Тринидад и Тобаго, Украин</w:t>
      </w:r>
      <w:r w:rsidR="009056B5">
        <w:rPr>
          <w:rFonts w:asciiTheme="minorBidi" w:hAnsiTheme="minorBidi" w:cstheme="minorBidi"/>
          <w:szCs w:val="18"/>
          <w:lang w:val="ru-RU"/>
        </w:rPr>
        <w:t>у</w:t>
      </w:r>
      <w:r w:rsidRPr="0049050D">
        <w:rPr>
          <w:rFonts w:asciiTheme="minorBidi" w:hAnsiTheme="minorBidi" w:cstheme="minorBidi"/>
          <w:szCs w:val="18"/>
          <w:lang w:val="ru-RU"/>
        </w:rPr>
        <w:t>, Соединенное Королевство и Соединенные Штаты Америки.</w:t>
      </w:r>
      <w:r w:rsidRPr="0049050D">
        <w:rPr>
          <w:szCs w:val="18"/>
          <w:shd w:val="clear" w:color="auto" w:fill="FFFFFF" w:themeFill="background1"/>
          <w:lang w:val="ru-RU"/>
        </w:rPr>
        <w:t xml:space="preserve"> </w:t>
      </w:r>
      <w:r>
        <w:rPr>
          <w:szCs w:val="18"/>
          <w:shd w:val="clear" w:color="auto" w:fill="FFFFFF" w:themeFill="background1"/>
          <w:lang w:val="ru-RU"/>
        </w:rPr>
        <w:t>См.</w:t>
      </w:r>
      <w:r w:rsidRPr="003D0F2A">
        <w:rPr>
          <w:szCs w:val="18"/>
          <w:shd w:val="clear" w:color="auto" w:fill="FFFFFF" w:themeFill="background1"/>
          <w:lang w:val="ru-RU"/>
        </w:rPr>
        <w:t xml:space="preserve"> </w:t>
      </w:r>
      <w:r w:rsidRPr="003A3A65">
        <w:rPr>
          <w:szCs w:val="18"/>
        </w:rPr>
        <w:t>http</w:t>
      </w:r>
      <w:r w:rsidRPr="003D0F2A">
        <w:rPr>
          <w:szCs w:val="18"/>
          <w:lang w:val="ru-RU"/>
        </w:rPr>
        <w:t>://</w:t>
      </w:r>
      <w:r w:rsidRPr="003A3A65">
        <w:rPr>
          <w:szCs w:val="18"/>
        </w:rPr>
        <w:t>www</w:t>
      </w:r>
      <w:r w:rsidRPr="003D0F2A">
        <w:rPr>
          <w:szCs w:val="18"/>
          <w:lang w:val="ru-RU"/>
        </w:rPr>
        <w:t>.</w:t>
      </w:r>
      <w:r w:rsidRPr="003A3A65">
        <w:rPr>
          <w:szCs w:val="18"/>
        </w:rPr>
        <w:t>wipo</w:t>
      </w:r>
      <w:r w:rsidRPr="003D0F2A">
        <w:rPr>
          <w:szCs w:val="18"/>
          <w:lang w:val="ru-RU"/>
        </w:rPr>
        <w:t>.</w:t>
      </w:r>
      <w:r w:rsidRPr="003A3A65">
        <w:rPr>
          <w:szCs w:val="18"/>
        </w:rPr>
        <w:t>int</w:t>
      </w:r>
      <w:r w:rsidRPr="003D0F2A">
        <w:rPr>
          <w:szCs w:val="18"/>
          <w:lang w:val="ru-RU"/>
        </w:rPr>
        <w:t>/</w:t>
      </w:r>
      <w:r w:rsidRPr="003A3A65">
        <w:rPr>
          <w:szCs w:val="18"/>
        </w:rPr>
        <w:t>amc</w:t>
      </w:r>
      <w:r w:rsidRPr="003D0F2A">
        <w:rPr>
          <w:szCs w:val="18"/>
          <w:lang w:val="ru-RU"/>
        </w:rPr>
        <w:t>/</w:t>
      </w:r>
      <w:r w:rsidRPr="003A3A65">
        <w:rPr>
          <w:szCs w:val="18"/>
        </w:rPr>
        <w:t>en</w:t>
      </w:r>
      <w:r w:rsidRPr="003D0F2A">
        <w:rPr>
          <w:szCs w:val="18"/>
          <w:lang w:val="ru-RU"/>
        </w:rPr>
        <w:t>/</w:t>
      </w:r>
      <w:r w:rsidRPr="003A3A65">
        <w:rPr>
          <w:szCs w:val="18"/>
        </w:rPr>
        <w:t>center</w:t>
      </w:r>
      <w:r w:rsidRPr="003D0F2A">
        <w:rPr>
          <w:szCs w:val="18"/>
          <w:lang w:val="ru-RU"/>
        </w:rPr>
        <w:t>/</w:t>
      </w:r>
      <w:r w:rsidRPr="003A3A65">
        <w:rPr>
          <w:szCs w:val="18"/>
        </w:rPr>
        <w:t>specific</w:t>
      </w:r>
      <w:r w:rsidRPr="003D0F2A">
        <w:rPr>
          <w:szCs w:val="18"/>
          <w:lang w:val="ru-RU"/>
        </w:rPr>
        <w:t>-</w:t>
      </w:r>
      <w:r w:rsidRPr="003A3A65">
        <w:rPr>
          <w:szCs w:val="18"/>
        </w:rPr>
        <w:t>sectors</w:t>
      </w:r>
      <w:r w:rsidRPr="003D0F2A">
        <w:rPr>
          <w:szCs w:val="18"/>
          <w:lang w:val="ru-RU"/>
        </w:rPr>
        <w:t>/</w:t>
      </w:r>
      <w:r w:rsidRPr="003A3A65">
        <w:rPr>
          <w:szCs w:val="18"/>
        </w:rPr>
        <w:t>ipoffices</w:t>
      </w:r>
      <w:r w:rsidRPr="003D0F2A">
        <w:rPr>
          <w:szCs w:val="18"/>
          <w:lang w:val="ru-RU"/>
        </w:rPr>
        <w:t>/</w:t>
      </w:r>
      <w:r w:rsidRPr="003D0F2A">
        <w:rPr>
          <w:szCs w:val="18"/>
          <w:shd w:val="clear" w:color="auto" w:fill="FFFFFF" w:themeFill="background1"/>
          <w:lang w:val="ru-RU"/>
        </w:rPr>
        <w:t>.</w:t>
      </w:r>
    </w:p>
  </w:footnote>
  <w:footnote w:id="17">
    <w:p w14:paraId="53C3298B" w14:textId="5406075F" w:rsidR="007507C6" w:rsidRPr="00B1685E" w:rsidRDefault="007507C6" w:rsidP="00B1685E">
      <w:pPr>
        <w:pStyle w:val="FootnoteText"/>
        <w:rPr>
          <w:szCs w:val="18"/>
          <w:lang w:val="ru-RU"/>
        </w:rPr>
      </w:pPr>
      <w:r w:rsidRPr="003A3A65">
        <w:rPr>
          <w:rStyle w:val="FootnoteReference"/>
          <w:szCs w:val="18"/>
        </w:rPr>
        <w:footnoteRef/>
      </w:r>
      <w:r w:rsidRPr="00B1685E">
        <w:rPr>
          <w:szCs w:val="18"/>
          <w:lang w:val="ru-RU"/>
        </w:rPr>
        <w:t xml:space="preserve"> </w:t>
      </w:r>
      <w:r w:rsidRPr="00B1685E">
        <w:rPr>
          <w:szCs w:val="18"/>
          <w:lang w:val="ru-RU"/>
        </w:rPr>
        <w:tab/>
        <w:t>Управление по делам компаний и интеллектуальной собственности Ботсваны (</w:t>
      </w:r>
      <w:r w:rsidRPr="00B1685E">
        <w:rPr>
          <w:szCs w:val="18"/>
        </w:rPr>
        <w:t>CIPA</w:t>
      </w:r>
      <w:r w:rsidRPr="00B1685E">
        <w:rPr>
          <w:szCs w:val="18"/>
          <w:lang w:val="ru-RU"/>
        </w:rPr>
        <w:t>), Патентное ведомство Республики Болгария (</w:t>
      </w:r>
      <w:r w:rsidRPr="00B1685E">
        <w:rPr>
          <w:szCs w:val="18"/>
        </w:rPr>
        <w:t>BPO</w:t>
      </w:r>
      <w:r w:rsidRPr="00B1685E">
        <w:rPr>
          <w:szCs w:val="18"/>
          <w:lang w:val="ru-RU"/>
        </w:rPr>
        <w:t>), Реестр патентов и промышленных образцов Нигерии</w:t>
      </w:r>
      <w:r>
        <w:rPr>
          <w:szCs w:val="18"/>
          <w:lang w:val="ru-RU"/>
        </w:rPr>
        <w:t xml:space="preserve"> и </w:t>
      </w:r>
      <w:r w:rsidRPr="00B1685E">
        <w:rPr>
          <w:szCs w:val="18"/>
          <w:lang w:val="ru-RU"/>
        </w:rPr>
        <w:t xml:space="preserve">Реестр товарных знаков Нигерии. </w:t>
      </w:r>
    </w:p>
  </w:footnote>
  <w:footnote w:id="18">
    <w:p w14:paraId="73E5063B" w14:textId="5335BE08"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Pr="000B79EF">
        <w:rPr>
          <w:lang w:val="ru-RU"/>
        </w:rPr>
        <w:t xml:space="preserve">Примеры мероприятий, организуемых Центром в сотрудничестве с ВИС, см. на </w:t>
      </w:r>
      <w:r>
        <w:rPr>
          <w:lang w:val="ru-RU"/>
        </w:rPr>
        <w:t xml:space="preserve">следующей странице: </w:t>
      </w:r>
      <w:hyperlink r:id="rId3" w:history="1">
        <w:r w:rsidRPr="00443B4B">
          <w:rPr>
            <w:rStyle w:val="Hyperlink"/>
            <w:lang w:val="ru-RU"/>
          </w:rPr>
          <w:t>http://www.wipo.int/amc/en/center/specific-sectors/ipoffices/</w:t>
        </w:r>
      </w:hyperlink>
      <w:r w:rsidRPr="000B79EF">
        <w:rPr>
          <w:lang w:val="ru-RU"/>
        </w:rPr>
        <w:t xml:space="preserve">. АУС также является частью программ организуемых совместно с ВИС выездных семинаров ВОИС, вебинаров и онлайновых консультационных совещаний. См. </w:t>
      </w:r>
      <w:hyperlink r:id="rId4" w:history="1">
        <w:r w:rsidRPr="000B79EF">
          <w:rPr>
            <w:rStyle w:val="Hyperlink"/>
            <w:lang w:val="ru-RU"/>
          </w:rPr>
          <w:t>http://www.wipo.int/dcea/en/roving_seminars/</w:t>
        </w:r>
      </w:hyperlink>
      <w:r w:rsidRPr="000B79EF">
        <w:rPr>
          <w:lang w:val="ru-RU"/>
        </w:rPr>
        <w:t>.</w:t>
      </w:r>
    </w:p>
  </w:footnote>
  <w:footnote w:id="19">
    <w:p w14:paraId="3C8643D3" w14:textId="7349C9F1"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9B5DD7">
        <w:rPr>
          <w:lang w:val="ru-RU"/>
        </w:rPr>
        <w:t>Например, в рамках сотрудничества с Ведомством интеллектуальной собственности Сингапура (</w:t>
      </w:r>
      <w:r w:rsidRPr="009B5DD7">
        <w:t>IPOS</w:t>
      </w:r>
      <w:r w:rsidRPr="009B5DD7">
        <w:rPr>
          <w:lang w:val="ru-RU"/>
        </w:rPr>
        <w:t xml:space="preserve">) Центр участвовал в разработке посреднической процедуры для урегулирования в IPOS споров, связанных с товарными знаками, и по другим вопросам, и в разработке процедуры вынесения экспертных заключений по патентным спорам, рассматриваемым </w:t>
      </w:r>
      <w:r w:rsidRPr="009B5DD7">
        <w:rPr>
          <w:lang w:val="en-GB"/>
        </w:rPr>
        <w:t>IPOS</w:t>
      </w:r>
      <w:r w:rsidRPr="009B5DD7">
        <w:rPr>
          <w:lang w:val="ru-RU"/>
        </w:rPr>
        <w:t xml:space="preserve">, и ведет подобные дела, в том числе с использованием онлайновых инструментов. Резюме ряда примеров дел см. </w:t>
      </w:r>
      <w:r w:rsidRPr="009B5DD7">
        <w:t>https</w:t>
      </w:r>
      <w:r w:rsidRPr="009B5DD7">
        <w:rPr>
          <w:lang w:val="ru-RU"/>
        </w:rPr>
        <w:t>://</w:t>
      </w:r>
      <w:r w:rsidRPr="009B5DD7">
        <w:t>www</w:t>
      </w:r>
      <w:r w:rsidRPr="009B5DD7">
        <w:rPr>
          <w:lang w:val="ru-RU"/>
        </w:rPr>
        <w:t>.</w:t>
      </w:r>
      <w:r w:rsidRPr="009B5DD7">
        <w:t>ipos</w:t>
      </w:r>
      <w:r w:rsidRPr="009B5DD7">
        <w:rPr>
          <w:lang w:val="ru-RU"/>
        </w:rPr>
        <w:t>.</w:t>
      </w:r>
      <w:r w:rsidRPr="009B5DD7">
        <w:t>gov</w:t>
      </w:r>
      <w:r w:rsidRPr="009B5DD7">
        <w:rPr>
          <w:lang w:val="ru-RU"/>
        </w:rPr>
        <w:t>.</w:t>
      </w:r>
      <w:r w:rsidRPr="009B5DD7">
        <w:t>sg</w:t>
      </w:r>
      <w:r w:rsidRPr="009B5DD7">
        <w:rPr>
          <w:lang w:val="ru-RU"/>
        </w:rPr>
        <w:t>/</w:t>
      </w:r>
      <w:r w:rsidRPr="009B5DD7">
        <w:t>docs</w:t>
      </w:r>
      <w:r w:rsidRPr="009B5DD7">
        <w:rPr>
          <w:lang w:val="ru-RU"/>
        </w:rPr>
        <w:t>/</w:t>
      </w:r>
      <w:r w:rsidRPr="009B5DD7">
        <w:t>default</w:t>
      </w:r>
      <w:r w:rsidRPr="009B5DD7">
        <w:rPr>
          <w:lang w:val="ru-RU"/>
        </w:rPr>
        <w:t>-</w:t>
      </w:r>
      <w:r w:rsidRPr="009B5DD7">
        <w:t>source</w:t>
      </w:r>
      <w:r w:rsidRPr="009B5DD7">
        <w:rPr>
          <w:lang w:val="ru-RU"/>
        </w:rPr>
        <w:t>/</w:t>
      </w:r>
      <w:r w:rsidRPr="009B5DD7">
        <w:t>protecting</w:t>
      </w:r>
      <w:r w:rsidRPr="009B5DD7">
        <w:rPr>
          <w:lang w:val="ru-RU"/>
        </w:rPr>
        <w:t>-</w:t>
      </w:r>
      <w:r w:rsidRPr="009B5DD7">
        <w:t>your</w:t>
      </w:r>
      <w:r w:rsidRPr="009B5DD7">
        <w:rPr>
          <w:lang w:val="ru-RU"/>
        </w:rPr>
        <w:t>-</w:t>
      </w:r>
      <w:r w:rsidRPr="009B5DD7">
        <w:t>ideas</w:t>
      </w:r>
      <w:r w:rsidRPr="009B5DD7">
        <w:rPr>
          <w:lang w:val="ru-RU"/>
        </w:rPr>
        <w:t>/</w:t>
      </w:r>
      <w:r w:rsidRPr="009B5DD7">
        <w:t>hearings</w:t>
      </w:r>
      <w:r w:rsidRPr="009B5DD7">
        <w:rPr>
          <w:lang w:val="ru-RU"/>
        </w:rPr>
        <w:t>-</w:t>
      </w:r>
      <w:r w:rsidRPr="009B5DD7">
        <w:t>mediation</w:t>
      </w:r>
      <w:r w:rsidRPr="009B5DD7">
        <w:rPr>
          <w:lang w:val="ru-RU"/>
        </w:rPr>
        <w:t>/</w:t>
      </w:r>
      <w:r w:rsidRPr="009B5DD7">
        <w:t>mediation</w:t>
      </w:r>
      <w:r w:rsidRPr="009B5DD7">
        <w:rPr>
          <w:lang w:val="ru-RU"/>
        </w:rPr>
        <w:t>-</w:t>
      </w:r>
      <w:r w:rsidRPr="009B5DD7">
        <w:t>at</w:t>
      </w:r>
      <w:r w:rsidRPr="009B5DD7">
        <w:rPr>
          <w:lang w:val="ru-RU"/>
        </w:rPr>
        <w:t>-</w:t>
      </w:r>
      <w:r w:rsidRPr="009B5DD7">
        <w:t>ipos</w:t>
      </w:r>
      <w:r w:rsidRPr="009B5DD7">
        <w:rPr>
          <w:lang w:val="ru-RU"/>
        </w:rPr>
        <w:t>-(</w:t>
      </w:r>
      <w:r w:rsidRPr="009B5DD7">
        <w:t>emps</w:t>
      </w:r>
      <w:r w:rsidRPr="009B5DD7">
        <w:rPr>
          <w:lang w:val="ru-RU"/>
        </w:rPr>
        <w:t>).</w:t>
      </w:r>
      <w:r w:rsidRPr="009B5DD7">
        <w:t>pdf</w:t>
      </w:r>
      <w:r w:rsidRPr="009B5DD7">
        <w:rPr>
          <w:lang w:val="ru-RU"/>
        </w:rPr>
        <w:t>. Центр также сотрудничает с Ведомством интеллектуальной собственности Филиппин (</w:t>
      </w:r>
      <w:r w:rsidRPr="009B5DD7">
        <w:t>IPOPHL</w:t>
      </w:r>
      <w:r w:rsidRPr="009B5DD7">
        <w:rPr>
          <w:lang w:val="ru-RU"/>
        </w:rPr>
        <w:t xml:space="preserve">) по вопросам ведения на Филиппинах посреднических процедур, связанных с правами ИС, в том числе в последнее время в рамках </w:t>
      </w:r>
      <w:r w:rsidRPr="009B5DD7">
        <w:rPr>
          <w:iCs/>
          <w:lang w:val="ru-RU"/>
        </w:rPr>
        <w:t xml:space="preserve">программы внесудебного посредничества </w:t>
      </w:r>
      <w:r w:rsidRPr="009B5DD7">
        <w:rPr>
          <w:lang w:val="en-GB"/>
        </w:rPr>
        <w:t>IPOPHL</w:t>
      </w:r>
      <w:r w:rsidRPr="009B5DD7">
        <w:rPr>
          <w:lang w:val="ru-RU"/>
        </w:rPr>
        <w:t>. Совет по рассмотрению споров и апелляций в связи с товарными знаками (</w:t>
      </w:r>
      <w:r w:rsidRPr="009B5DD7">
        <w:rPr>
          <w:lang w:val="en-GB"/>
        </w:rPr>
        <w:t>TTAB</w:t>
      </w:r>
      <w:r w:rsidRPr="009B5DD7">
        <w:rPr>
          <w:lang w:val="ru-RU"/>
        </w:rPr>
        <w:t>) и Совет по рассмотрению споров и апелляций в связи с патентами (</w:t>
      </w:r>
      <w:r w:rsidRPr="009B5DD7">
        <w:rPr>
          <w:lang w:val="en-GB"/>
        </w:rPr>
        <w:t>PTAB</w:t>
      </w:r>
      <w:r w:rsidRPr="009B5DD7">
        <w:rPr>
          <w:lang w:val="ru-RU"/>
        </w:rPr>
        <w:t>) Ведомства по патентам и товарным знакам США (ВПТЗ) рекомендуют сторонам считать АУС средством урегулирования вопросов, возникающих в ходе таких разбирательств; Центр включен в</w:t>
      </w:r>
      <w:r w:rsidRPr="009B5DD7">
        <w:rPr>
          <w:lang w:val="en-GB"/>
        </w:rPr>
        <w:t> </w:t>
      </w:r>
      <w:r w:rsidRPr="009B5DD7">
        <w:rPr>
          <w:lang w:val="ru-RU"/>
        </w:rPr>
        <w:t>перечень поставщиков услуг в области урегулирования споров. В рамках сотрудничества с Патентным ведомством Польши (PPO) Центр участвовал в разработке посреднической процедуры ВОИС, которая может использоваться для производств по возражениям в отношении товарных знаков. В рамках сотрудничества между Центром и Марокканским ведомством промышленной и коммерческой собственности (</w:t>
      </w:r>
      <w:r w:rsidRPr="009B5DD7">
        <w:t>OMPIC</w:t>
      </w:r>
      <w:r w:rsidRPr="009B5DD7">
        <w:rPr>
          <w:lang w:val="ru-RU"/>
        </w:rPr>
        <w:t xml:space="preserve">) Центр и </w:t>
      </w:r>
      <w:r w:rsidRPr="009B5DD7">
        <w:t>OMPIC</w:t>
      </w:r>
      <w:r w:rsidRPr="009B5DD7">
        <w:rPr>
          <w:lang w:val="ru-RU"/>
        </w:rPr>
        <w:t xml:space="preserve"> недавно разработали процедуру посредничества для споров в отношении ИС и технологий, применяемую совместно Центром и </w:t>
      </w:r>
      <w:r w:rsidRPr="009B5DD7">
        <w:rPr>
          <w:lang w:val="en-GB"/>
        </w:rPr>
        <w:t>OMPIC</w:t>
      </w:r>
      <w:r w:rsidRPr="000B79EF">
        <w:rPr>
          <w:rFonts w:asciiTheme="minorBidi" w:hAnsiTheme="minorBidi" w:cstheme="minorBidi"/>
          <w:szCs w:val="18"/>
          <w:lang w:val="ru-RU"/>
        </w:rPr>
        <w:t xml:space="preserve">.  </w:t>
      </w:r>
    </w:p>
  </w:footnote>
  <w:footnote w:id="20">
    <w:p w14:paraId="05E4C754" w14:textId="07432123" w:rsidR="007507C6" w:rsidRPr="006E4240"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Это касается, в частности, сотрудничества между Центром </w:t>
      </w:r>
      <w:r>
        <w:rPr>
          <w:lang w:val="ru-RU"/>
        </w:rPr>
        <w:t xml:space="preserve">и </w:t>
      </w:r>
      <w:r w:rsidRPr="000B79EF">
        <w:rPr>
          <w:lang w:val="ru-RU"/>
        </w:rPr>
        <w:t xml:space="preserve">Корейской комиссией </w:t>
      </w:r>
      <w:r w:rsidRPr="006E4240">
        <w:rPr>
          <w:lang w:val="ru-RU"/>
        </w:rPr>
        <w:t xml:space="preserve">по авторским правам </w:t>
      </w:r>
      <w:r w:rsidRPr="000B79EF">
        <w:rPr>
          <w:lang w:val="ru-RU"/>
        </w:rPr>
        <w:t xml:space="preserve">(KCC) и </w:t>
      </w:r>
      <w:hyperlink r:id="rId5" w:history="1">
        <w:r w:rsidRPr="000B79EF">
          <w:rPr>
            <w:lang w:val="ru-RU"/>
          </w:rPr>
          <w:t>Корейским агентством по охране результатов творческой деятельности (KOCCA)</w:t>
        </w:r>
      </w:hyperlink>
      <w:r w:rsidRPr="000B79EF">
        <w:rPr>
          <w:lang w:val="ru-RU"/>
        </w:rPr>
        <w:t xml:space="preserve">. </w:t>
      </w:r>
      <w:r w:rsidRPr="006E4240">
        <w:rPr>
          <w:lang w:val="ru-RU"/>
        </w:rPr>
        <w:t xml:space="preserve">Центр ВОИС также оказывает услуги по организации онлайновых видеоконференций </w:t>
      </w:r>
      <w:r>
        <w:rPr>
          <w:lang w:val="ru-RU"/>
        </w:rPr>
        <w:t xml:space="preserve">и обеспечивает механизмы отслеживания </w:t>
      </w:r>
      <w:r w:rsidRPr="006E4240">
        <w:rPr>
          <w:lang w:val="ru-RU"/>
        </w:rPr>
        <w:t>при проведении согласительных совещаний в рамках процедур, осуществляемых в Национальн</w:t>
      </w:r>
      <w:r>
        <w:rPr>
          <w:lang w:val="ru-RU"/>
        </w:rPr>
        <w:t>ом</w:t>
      </w:r>
      <w:r w:rsidRPr="006E4240">
        <w:rPr>
          <w:lang w:val="ru-RU"/>
        </w:rPr>
        <w:t xml:space="preserve"> управлени</w:t>
      </w:r>
      <w:r>
        <w:rPr>
          <w:lang w:val="ru-RU"/>
        </w:rPr>
        <w:t>и</w:t>
      </w:r>
      <w:r w:rsidRPr="006E4240">
        <w:rPr>
          <w:lang w:val="ru-RU"/>
        </w:rPr>
        <w:t xml:space="preserve"> авторского права Колумбии </w:t>
      </w:r>
      <w:r>
        <w:rPr>
          <w:lang w:val="ru-RU"/>
        </w:rPr>
        <w:t xml:space="preserve">и </w:t>
      </w:r>
      <w:r w:rsidRPr="006E4240">
        <w:rPr>
          <w:lang w:val="ru-RU"/>
        </w:rPr>
        <w:t>Национальном институте авторского права Мексики (</w:t>
      </w:r>
      <w:r w:rsidRPr="006E4240">
        <w:rPr>
          <w:lang w:val="en-GB"/>
        </w:rPr>
        <w:t>INDAUTOR</w:t>
      </w:r>
      <w:r w:rsidRPr="006E4240">
        <w:rPr>
          <w:lang w:val="ru-RU"/>
        </w:rPr>
        <w:t>)</w:t>
      </w:r>
      <w:r>
        <w:rPr>
          <w:lang w:val="ru-RU"/>
        </w:rPr>
        <w:t xml:space="preserve"> </w:t>
      </w:r>
      <w:r w:rsidRPr="006E4240">
        <w:rPr>
          <w:lang w:val="ru-RU"/>
        </w:rPr>
        <w:t>(</w:t>
      </w:r>
      <w:r w:rsidRPr="006E4240">
        <w:t>see</w:t>
      </w:r>
      <w:r w:rsidRPr="006E4240">
        <w:rPr>
          <w:lang w:val="ru-RU"/>
        </w:rPr>
        <w:t xml:space="preserve"> </w:t>
      </w:r>
      <w:r w:rsidRPr="006E4240">
        <w:t>https</w:t>
      </w:r>
      <w:r w:rsidRPr="006E4240">
        <w:rPr>
          <w:lang w:val="ru-RU"/>
        </w:rPr>
        <w:t>://</w:t>
      </w:r>
      <w:r w:rsidRPr="006E4240">
        <w:t>www</w:t>
      </w:r>
      <w:r w:rsidRPr="006E4240">
        <w:rPr>
          <w:lang w:val="ru-RU"/>
        </w:rPr>
        <w:t>.</w:t>
      </w:r>
      <w:r w:rsidRPr="006E4240">
        <w:t>wipo</w:t>
      </w:r>
      <w:r w:rsidRPr="006E4240">
        <w:rPr>
          <w:lang w:val="ru-RU"/>
        </w:rPr>
        <w:t>.</w:t>
      </w:r>
      <w:r w:rsidRPr="006E4240">
        <w:t>int</w:t>
      </w:r>
      <w:r w:rsidRPr="006E4240">
        <w:rPr>
          <w:lang w:val="ru-RU"/>
        </w:rPr>
        <w:t>/</w:t>
      </w:r>
      <w:r w:rsidRPr="006E4240">
        <w:t>amc</w:t>
      </w:r>
      <w:r w:rsidRPr="006E4240">
        <w:rPr>
          <w:lang w:val="ru-RU"/>
        </w:rPr>
        <w:t>/</w:t>
      </w:r>
      <w:r w:rsidRPr="006E4240">
        <w:t>en</w:t>
      </w:r>
      <w:r w:rsidRPr="006E4240">
        <w:rPr>
          <w:lang w:val="ru-RU"/>
        </w:rPr>
        <w:t>/</w:t>
      </w:r>
      <w:r w:rsidRPr="006E4240">
        <w:t>center</w:t>
      </w:r>
      <w:r w:rsidRPr="006E4240">
        <w:rPr>
          <w:lang w:val="ru-RU"/>
        </w:rPr>
        <w:t>/</w:t>
      </w:r>
      <w:r w:rsidRPr="006E4240">
        <w:t>specific</w:t>
      </w:r>
      <w:r w:rsidRPr="006E4240">
        <w:rPr>
          <w:lang w:val="ru-RU"/>
        </w:rPr>
        <w:t>-</w:t>
      </w:r>
      <w:r w:rsidRPr="006E4240">
        <w:t>sectors</w:t>
      </w:r>
      <w:r w:rsidRPr="006E4240">
        <w:rPr>
          <w:lang w:val="ru-RU"/>
        </w:rPr>
        <w:t>/</w:t>
      </w:r>
      <w:r w:rsidRPr="006E4240">
        <w:t>ipoffices</w:t>
      </w:r>
      <w:r w:rsidRPr="006E4240">
        <w:rPr>
          <w:lang w:val="ru-RU"/>
        </w:rPr>
        <w:t>/</w:t>
      </w:r>
      <w:r w:rsidRPr="006E4240">
        <w:t>mexico</w:t>
      </w:r>
      <w:r w:rsidRPr="006E4240">
        <w:rPr>
          <w:lang w:val="ru-RU"/>
        </w:rPr>
        <w:t>/</w:t>
      </w:r>
      <w:r w:rsidRPr="006E4240">
        <w:t>indautor</w:t>
      </w:r>
      <w:r w:rsidRPr="006E4240">
        <w:rPr>
          <w:lang w:val="ru-RU"/>
        </w:rPr>
        <w:t>).</w:t>
      </w:r>
    </w:p>
  </w:footnote>
  <w:footnote w:id="21">
    <w:p w14:paraId="34BF948B" w14:textId="64CE7FF8"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Pr="000B79EF">
        <w:rPr>
          <w:szCs w:val="18"/>
          <w:shd w:val="clear" w:color="auto" w:fill="FFFFFF" w:themeFill="background1"/>
          <w:lang w:val="ru-RU"/>
        </w:rPr>
        <w:t xml:space="preserve">Например, Центр разработал такие типовые соглашения совместно с Испанским ведомством по патентам и товарным знакам (OEPM). </w:t>
      </w:r>
      <w:r w:rsidRPr="000B79EF">
        <w:rPr>
          <w:shd w:val="clear" w:color="auto" w:fill="FFFFFF" w:themeFill="background1"/>
          <w:lang w:val="ru-RU"/>
        </w:rPr>
        <w:t xml:space="preserve">К числу других соглашений в области НИОКР, предусматривающих разрешение споров с применением механизмов посредничества и [ускоренного] арбитража ВОИС, относятся Типовое соглашение о создании консорциума DESCA для программы Европейского союза по финансированию НИОКР; Руководство по соглашениям в области интеллектуальной собственности (IPAG) в Австрии; и типовые соглашения о сотрудничестве в области НИОКР в Германии. Дополнительную информацию см. на следующей странице: </w:t>
      </w:r>
      <w:hyperlink r:id="rId6" w:history="1">
        <w:r>
          <w:rPr>
            <w:rStyle w:val="Hyperlink"/>
            <w:shd w:val="clear" w:color="auto" w:fill="FFFFFF" w:themeFill="background1"/>
            <w:lang w:val="ru-RU"/>
          </w:rPr>
          <w:t>https://www.wipo.int/amc/en/center/specific-sectors/rd/</w:t>
        </w:r>
      </w:hyperlink>
      <w:r w:rsidRPr="000B79EF">
        <w:rPr>
          <w:shd w:val="clear" w:color="auto" w:fill="FFFFFF" w:themeFill="background1"/>
          <w:lang w:val="ru-RU"/>
        </w:rPr>
        <w:t>.</w:t>
      </w:r>
    </w:p>
  </w:footnote>
  <w:footnote w:id="22">
    <w:p w14:paraId="34B266B9" w14:textId="77E2F24F" w:rsidR="007507C6" w:rsidRPr="000B79EF" w:rsidRDefault="007507C6" w:rsidP="00630C1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 xml:space="preserve">См. https://www.wipo.int/amc/en/clauses/national_court.html. Например, в соответствии с рамочным соглашением о сотрудничестве между Верховным народным судом Китая (SPC) и ВОИС, SPC и Центр сотрудничают в области посредничества, координируя свою деятельность с Бюро ВОИС в Китае, помогая разрешать международные споры в области интеллектуальной собственности и технологий в Китае. </w:t>
      </w:r>
      <w:r>
        <w:rPr>
          <w:rFonts w:asciiTheme="minorBidi" w:hAnsiTheme="minorBidi" w:cstheme="minorBidi"/>
          <w:szCs w:val="18"/>
          <w:lang w:val="ru-RU"/>
        </w:rPr>
        <w:t>Ввиду этого ряд</w:t>
      </w:r>
      <w:r w:rsidRPr="000B79EF">
        <w:rPr>
          <w:rFonts w:asciiTheme="minorBidi" w:hAnsiTheme="minorBidi" w:cstheme="minorBidi"/>
          <w:szCs w:val="18"/>
          <w:lang w:val="ru-RU"/>
        </w:rPr>
        <w:t xml:space="preserve"> дел, связанных с интеллектуальной собственностью, находящихся </w:t>
      </w:r>
      <w:r>
        <w:rPr>
          <w:rFonts w:asciiTheme="minorBidi" w:hAnsiTheme="minorBidi" w:cstheme="minorBidi"/>
          <w:szCs w:val="18"/>
          <w:lang w:val="ru-RU"/>
        </w:rPr>
        <w:t>в производстве в судах</w:t>
      </w:r>
      <w:r w:rsidRPr="000B79EF">
        <w:rPr>
          <w:rFonts w:asciiTheme="minorBidi" w:hAnsiTheme="minorBidi" w:cstheme="minorBidi"/>
          <w:szCs w:val="18"/>
          <w:lang w:val="ru-RU"/>
        </w:rPr>
        <w:t xml:space="preserve"> в Шанхае</w:t>
      </w:r>
      <w:r>
        <w:rPr>
          <w:rFonts w:asciiTheme="minorBidi" w:hAnsiTheme="minorBidi" w:cstheme="minorBidi"/>
          <w:szCs w:val="18"/>
          <w:lang w:val="ru-RU"/>
        </w:rPr>
        <w:t>, были переданы для рассмотрения по процедуре посредничества ВОИС</w:t>
      </w:r>
      <w:r w:rsidRPr="000B79EF">
        <w:rPr>
          <w:rFonts w:asciiTheme="minorBidi" w:hAnsiTheme="minorBidi" w:cstheme="minorBidi"/>
          <w:szCs w:val="18"/>
          <w:lang w:val="ru-RU"/>
        </w:rPr>
        <w:t xml:space="preserve"> (см. </w:t>
      </w:r>
      <w:hyperlink r:id="rId7" w:history="1">
        <w:r w:rsidRPr="006833BE">
          <w:rPr>
            <w:rStyle w:val="Hyperlink"/>
            <w:rFonts w:asciiTheme="minorBidi" w:hAnsiTheme="minorBidi" w:cstheme="minorBidi"/>
            <w:szCs w:val="18"/>
          </w:rPr>
          <w:t>https://www.wipo.int/amc/en/center/specific-sectors/national-courts/china/spc.html</w:t>
        </w:r>
      </w:hyperlink>
      <w:r w:rsidRPr="006833BE">
        <w:rPr>
          <w:rFonts w:asciiTheme="minorBidi" w:hAnsiTheme="minorBidi" w:cstheme="minorBidi"/>
          <w:szCs w:val="18"/>
        </w:rPr>
        <w:t xml:space="preserve">). </w:t>
      </w:r>
      <w:r>
        <w:rPr>
          <w:rFonts w:asciiTheme="minorBidi" w:hAnsiTheme="minorBidi" w:cstheme="minorBidi"/>
          <w:szCs w:val="18"/>
          <w:lang w:val="ru-RU"/>
        </w:rPr>
        <w:t>Кроме того, началось сотрудничество в рамках МОВ, недавно подписанного между ВОИС и</w:t>
      </w:r>
      <w:r w:rsidRPr="006833BE">
        <w:rPr>
          <w:rFonts w:asciiTheme="minorBidi" w:hAnsiTheme="minorBidi" w:cstheme="minorBidi"/>
          <w:szCs w:val="18"/>
          <w:lang w:val="ru-RU"/>
        </w:rPr>
        <w:t xml:space="preserve"> Высоким народным судом Шанхая</w:t>
      </w:r>
      <w:r w:rsidRPr="000B79EF">
        <w:rPr>
          <w:rFonts w:asciiTheme="minorBidi" w:hAnsiTheme="minorBidi" w:cstheme="minorBidi"/>
          <w:szCs w:val="18"/>
          <w:lang w:val="ru-RU"/>
        </w:rPr>
        <w:t>.</w:t>
      </w:r>
    </w:p>
  </w:footnote>
  <w:footnote w:id="23">
    <w:p w14:paraId="3B1B92F6" w14:textId="7FC9F906" w:rsidR="007507C6" w:rsidRPr="00266018"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Pr>
          <w:lang w:val="ru-RU"/>
        </w:rPr>
        <w:t>Третье</w:t>
      </w:r>
      <w:r w:rsidRPr="000B79EF">
        <w:rPr>
          <w:lang w:val="ru-RU"/>
        </w:rPr>
        <w:t xml:space="preserve"> издание </w:t>
      </w:r>
      <w:r>
        <w:rPr>
          <w:lang w:val="ru-RU"/>
        </w:rPr>
        <w:t>Р</w:t>
      </w:r>
      <w:r w:rsidRPr="000B79EF">
        <w:rPr>
          <w:lang w:val="ru-RU"/>
        </w:rPr>
        <w:t xml:space="preserve">уководства доступно по следующей ссылке: </w:t>
      </w:r>
      <w:r w:rsidRPr="00266018">
        <w:t>https</w:t>
      </w:r>
      <w:r w:rsidRPr="00266018">
        <w:rPr>
          <w:lang w:val="ru-RU"/>
        </w:rPr>
        <w:t>://</w:t>
      </w:r>
      <w:r w:rsidRPr="00266018">
        <w:t>www</w:t>
      </w:r>
      <w:r w:rsidRPr="00266018">
        <w:rPr>
          <w:lang w:val="ru-RU"/>
        </w:rPr>
        <w:t>.</w:t>
      </w:r>
      <w:r w:rsidRPr="00266018">
        <w:t>wipo</w:t>
      </w:r>
      <w:r w:rsidRPr="00266018">
        <w:rPr>
          <w:lang w:val="ru-RU"/>
        </w:rPr>
        <w:t>.</w:t>
      </w:r>
      <w:r w:rsidRPr="00266018">
        <w:t>int</w:t>
      </w:r>
      <w:r w:rsidRPr="00266018">
        <w:rPr>
          <w:lang w:val="ru-RU"/>
        </w:rPr>
        <w:t>/</w:t>
      </w:r>
      <w:r w:rsidRPr="00266018">
        <w:t>edocs</w:t>
      </w:r>
      <w:r w:rsidRPr="00266018">
        <w:rPr>
          <w:lang w:val="ru-RU"/>
        </w:rPr>
        <w:t>/</w:t>
      </w:r>
      <w:r w:rsidRPr="00266018">
        <w:t>pubdocs</w:t>
      </w:r>
      <w:r w:rsidRPr="00266018">
        <w:rPr>
          <w:lang w:val="ru-RU"/>
        </w:rPr>
        <w:t>/</w:t>
      </w:r>
      <w:r w:rsidRPr="00266018">
        <w:t>en</w:t>
      </w:r>
      <w:r w:rsidRPr="00266018">
        <w:rPr>
          <w:lang w:val="ru-RU"/>
        </w:rPr>
        <w:t>/</w:t>
      </w:r>
      <w:r w:rsidRPr="00266018">
        <w:t>wipo</w:t>
      </w:r>
      <w:r w:rsidRPr="00266018">
        <w:rPr>
          <w:lang w:val="ru-RU"/>
        </w:rPr>
        <w:t>_</w:t>
      </w:r>
      <w:r w:rsidRPr="00266018">
        <w:t>pub</w:t>
      </w:r>
      <w:r w:rsidRPr="00266018">
        <w:rPr>
          <w:lang w:val="ru-RU"/>
        </w:rPr>
        <w:t>_</w:t>
      </w:r>
      <w:r w:rsidRPr="00266018">
        <w:t>guide</w:t>
      </w:r>
      <w:r w:rsidRPr="00266018">
        <w:rPr>
          <w:lang w:val="ru-RU"/>
        </w:rPr>
        <w:t>_</w:t>
      </w:r>
      <w:r w:rsidRPr="00266018">
        <w:t>adr</w:t>
      </w:r>
      <w:r w:rsidRPr="00266018">
        <w:rPr>
          <w:lang w:val="ru-RU"/>
        </w:rPr>
        <w:t>.</w:t>
      </w:r>
      <w:r w:rsidRPr="00266018">
        <w:t>pdf</w:t>
      </w:r>
      <w:r>
        <w:rPr>
          <w:lang w:val="ru-RU"/>
        </w:rPr>
        <w:t xml:space="preserve">. </w:t>
      </w:r>
    </w:p>
  </w:footnote>
  <w:footnote w:id="24">
    <w:p w14:paraId="2BE1B359" w14:textId="6BB03296"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В </w:t>
      </w:r>
      <w:r>
        <w:rPr>
          <w:lang w:val="ru-RU"/>
        </w:rPr>
        <w:t>рассматриваемый</w:t>
      </w:r>
      <w:r w:rsidRPr="000B79EF">
        <w:rPr>
          <w:lang w:val="ru-RU"/>
        </w:rPr>
        <w:t xml:space="preserve"> период число подписчиков на «Новости АУС ВОИС» превысило </w:t>
      </w:r>
      <w:r w:rsidRPr="00363DFE">
        <w:rPr>
          <w:lang w:val="ru-RU"/>
        </w:rPr>
        <w:t>82</w:t>
      </w:r>
      <w:r w:rsidRPr="000B79EF">
        <w:rPr>
          <w:lang w:val="ru-RU"/>
        </w:rPr>
        <w:t xml:space="preserve">00. Все </w:t>
      </w:r>
      <w:r>
        <w:rPr>
          <w:lang w:val="ru-RU"/>
        </w:rPr>
        <w:t>выпуски</w:t>
      </w:r>
      <w:r w:rsidRPr="000B79EF">
        <w:rPr>
          <w:lang w:val="ru-RU"/>
        </w:rPr>
        <w:t xml:space="preserve"> размещены на </w:t>
      </w:r>
      <w:hyperlink r:id="rId8" w:history="1">
        <w:r w:rsidRPr="000B79EF">
          <w:rPr>
            <w:rStyle w:val="Hyperlink"/>
            <w:lang w:val="ru-RU"/>
          </w:rPr>
          <w:t>https://www.wipo.int/newsletters-archive/en/adr_highlights.html</w:t>
        </w:r>
      </w:hyperlink>
      <w:r w:rsidRPr="000B79EF">
        <w:rPr>
          <w:lang w:val="ru-RU"/>
        </w:rPr>
        <w:t>.</w:t>
      </w:r>
    </w:p>
  </w:footnote>
  <w:footnote w:id="25">
    <w:p w14:paraId="657C9198" w14:textId="7D6B7C4D" w:rsidR="007507C6" w:rsidRPr="00AA35C4" w:rsidRDefault="007507C6" w:rsidP="00AA35C4">
      <w:pPr>
        <w:pStyle w:val="FootnoteText"/>
        <w:rPr>
          <w:szCs w:val="18"/>
          <w:lang w:val="ru-RU"/>
        </w:rPr>
      </w:pPr>
      <w:r w:rsidRPr="003A3A65">
        <w:rPr>
          <w:rStyle w:val="FootnoteReference"/>
          <w:szCs w:val="18"/>
        </w:rPr>
        <w:footnoteRef/>
      </w:r>
      <w:r w:rsidRPr="00AA35C4">
        <w:rPr>
          <w:szCs w:val="18"/>
          <w:lang w:val="ru-RU"/>
        </w:rPr>
        <w:t xml:space="preserve"> </w:t>
      </w:r>
      <w:r w:rsidRPr="00AA35C4">
        <w:rPr>
          <w:szCs w:val="18"/>
          <w:lang w:val="ru-RU"/>
        </w:rPr>
        <w:tab/>
      </w:r>
      <w:r>
        <w:rPr>
          <w:szCs w:val="18"/>
          <w:lang w:val="ru-RU"/>
        </w:rPr>
        <w:t>См.</w:t>
      </w:r>
      <w:r w:rsidRPr="00AA35C4">
        <w:rPr>
          <w:szCs w:val="18"/>
          <w:lang w:val="ru-RU"/>
        </w:rPr>
        <w:t xml:space="preserve"> </w:t>
      </w:r>
      <w:r w:rsidRPr="003A3A65">
        <w:rPr>
          <w:szCs w:val="18"/>
        </w:rPr>
        <w:t>https</w:t>
      </w:r>
      <w:r w:rsidRPr="00AA35C4">
        <w:rPr>
          <w:szCs w:val="18"/>
          <w:lang w:val="ru-RU"/>
        </w:rPr>
        <w:t>://</w:t>
      </w:r>
      <w:r w:rsidRPr="003A3A65">
        <w:rPr>
          <w:szCs w:val="18"/>
        </w:rPr>
        <w:t>www</w:t>
      </w:r>
      <w:r w:rsidRPr="00AA35C4">
        <w:rPr>
          <w:szCs w:val="18"/>
          <w:lang w:val="ru-RU"/>
        </w:rPr>
        <w:t>.</w:t>
      </w:r>
      <w:r w:rsidRPr="003A3A65">
        <w:rPr>
          <w:szCs w:val="18"/>
        </w:rPr>
        <w:t>wipo</w:t>
      </w:r>
      <w:r w:rsidRPr="00AA35C4">
        <w:rPr>
          <w:szCs w:val="18"/>
          <w:lang w:val="ru-RU"/>
        </w:rPr>
        <w:t>.</w:t>
      </w:r>
      <w:r w:rsidRPr="003A3A65">
        <w:rPr>
          <w:szCs w:val="18"/>
        </w:rPr>
        <w:t>int</w:t>
      </w:r>
      <w:r w:rsidRPr="00AA35C4">
        <w:rPr>
          <w:szCs w:val="18"/>
          <w:lang w:val="ru-RU"/>
        </w:rPr>
        <w:t>/</w:t>
      </w:r>
      <w:r w:rsidRPr="003A3A65">
        <w:rPr>
          <w:szCs w:val="18"/>
        </w:rPr>
        <w:t>amc</w:t>
      </w:r>
      <w:r w:rsidRPr="00AA35C4">
        <w:rPr>
          <w:szCs w:val="18"/>
          <w:lang w:val="ru-RU"/>
        </w:rPr>
        <w:t>/</w:t>
      </w:r>
      <w:r w:rsidRPr="003A3A65">
        <w:rPr>
          <w:szCs w:val="18"/>
        </w:rPr>
        <w:t>en</w:t>
      </w:r>
      <w:r w:rsidRPr="00AA35C4">
        <w:rPr>
          <w:szCs w:val="18"/>
          <w:lang w:val="ru-RU"/>
        </w:rPr>
        <w:t>/</w:t>
      </w:r>
      <w:r w:rsidRPr="003A3A65">
        <w:rPr>
          <w:szCs w:val="18"/>
        </w:rPr>
        <w:t>center</w:t>
      </w:r>
      <w:r w:rsidRPr="00AA35C4">
        <w:rPr>
          <w:szCs w:val="18"/>
          <w:lang w:val="ru-RU"/>
        </w:rPr>
        <w:t>/</w:t>
      </w:r>
      <w:r w:rsidRPr="003A3A65">
        <w:rPr>
          <w:szCs w:val="18"/>
        </w:rPr>
        <w:t>wipoadryoung</w:t>
      </w:r>
      <w:r w:rsidRPr="00AA35C4">
        <w:rPr>
          <w:szCs w:val="18"/>
          <w:lang w:val="ru-RU"/>
        </w:rPr>
        <w:t>.</w:t>
      </w:r>
    </w:p>
  </w:footnote>
  <w:footnote w:id="26">
    <w:p w14:paraId="0CAA17DB" w14:textId="75408885" w:rsidR="007507C6" w:rsidRPr="000B79EF" w:rsidRDefault="007507C6" w:rsidP="006E45C5">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https://www.linkedin.com/showcase/wipo-arbitration-and-mediation-center/?viewAsMember=true.</w:t>
      </w:r>
    </w:p>
  </w:footnote>
  <w:footnote w:id="27">
    <w:p w14:paraId="42DA0229" w14:textId="1740B23D" w:rsidR="007507C6" w:rsidRPr="001F5B9C" w:rsidRDefault="007507C6" w:rsidP="001F5B9C">
      <w:pPr>
        <w:pStyle w:val="FootnoteText"/>
        <w:rPr>
          <w:lang w:val="ru-RU"/>
        </w:rPr>
      </w:pPr>
      <w:r w:rsidRPr="003A3A65">
        <w:rPr>
          <w:rStyle w:val="FootnoteReference"/>
        </w:rPr>
        <w:footnoteRef/>
      </w:r>
      <w:r w:rsidRPr="001F5B9C">
        <w:rPr>
          <w:lang w:val="ru-RU"/>
        </w:rPr>
        <w:t xml:space="preserve"> </w:t>
      </w:r>
      <w:r w:rsidRPr="001F5B9C">
        <w:rPr>
          <w:lang w:val="ru-RU"/>
        </w:rPr>
        <w:tab/>
      </w:r>
      <w:r>
        <w:rPr>
          <w:lang w:val="ru-RU"/>
        </w:rPr>
        <w:t>См.</w:t>
      </w:r>
      <w:r w:rsidRPr="001F5B9C">
        <w:rPr>
          <w:lang w:val="ru-RU"/>
        </w:rPr>
        <w:t xml:space="preserve"> </w:t>
      </w:r>
      <w:r w:rsidRPr="003A3A65">
        <w:t>https</w:t>
      </w:r>
      <w:r w:rsidRPr="001F5B9C">
        <w:rPr>
          <w:lang w:val="ru-RU"/>
        </w:rPr>
        <w:t>://</w:t>
      </w:r>
      <w:r w:rsidRPr="003A3A65">
        <w:t>www</w:t>
      </w:r>
      <w:r w:rsidRPr="001F5B9C">
        <w:rPr>
          <w:lang w:val="ru-RU"/>
        </w:rPr>
        <w:t>.</w:t>
      </w:r>
      <w:r w:rsidRPr="003A3A65">
        <w:t>wipo</w:t>
      </w:r>
      <w:r w:rsidRPr="001F5B9C">
        <w:rPr>
          <w:lang w:val="ru-RU"/>
        </w:rPr>
        <w:t>.</w:t>
      </w:r>
      <w:r w:rsidRPr="003A3A65">
        <w:t>int</w:t>
      </w:r>
      <w:r w:rsidRPr="001F5B9C">
        <w:rPr>
          <w:lang w:val="ru-RU"/>
        </w:rPr>
        <w:t>/</w:t>
      </w:r>
      <w:r w:rsidRPr="003A3A65">
        <w:t>podcasts</w:t>
      </w:r>
      <w:r w:rsidRPr="001F5B9C">
        <w:rPr>
          <w:lang w:val="ru-RU"/>
        </w:rPr>
        <w:t>/</w:t>
      </w:r>
      <w:r w:rsidRPr="003A3A65">
        <w:t>en</w:t>
      </w:r>
      <w:r w:rsidRPr="001F5B9C">
        <w:rPr>
          <w:lang w:val="ru-RU"/>
        </w:rPr>
        <w:t>/</w:t>
      </w:r>
      <w:r w:rsidRPr="003A3A65">
        <w:t>amc</w:t>
      </w:r>
      <w:r w:rsidRPr="001F5B9C">
        <w:rPr>
          <w:lang w:val="ru-RU"/>
        </w:rPr>
        <w:t>.</w:t>
      </w:r>
    </w:p>
  </w:footnote>
  <w:footnote w:id="28">
    <w:p w14:paraId="7461DAB6" w14:textId="7BCAB1DA"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На данный момент Центр проводит вебинары на </w:t>
      </w:r>
      <w:r w:rsidRPr="009B3D6B">
        <w:rPr>
          <w:lang w:val="ru-RU"/>
        </w:rPr>
        <w:t>английском,</w:t>
      </w:r>
      <w:r>
        <w:rPr>
          <w:lang w:val="ru-RU"/>
        </w:rPr>
        <w:t xml:space="preserve"> </w:t>
      </w:r>
      <w:r w:rsidRPr="009B3D6B">
        <w:rPr>
          <w:lang w:val="ru-RU"/>
        </w:rPr>
        <w:t>испанском</w:t>
      </w:r>
      <w:r>
        <w:rPr>
          <w:lang w:val="ru-RU"/>
        </w:rPr>
        <w:t>,</w:t>
      </w:r>
      <w:r w:rsidRPr="009B3D6B">
        <w:rPr>
          <w:lang w:val="ru-RU"/>
        </w:rPr>
        <w:t xml:space="preserve"> итальянском,</w:t>
      </w:r>
      <w:r>
        <w:rPr>
          <w:lang w:val="ru-RU"/>
        </w:rPr>
        <w:t xml:space="preserve"> </w:t>
      </w:r>
      <w:r w:rsidRPr="009B3D6B">
        <w:rPr>
          <w:lang w:val="ru-RU"/>
        </w:rPr>
        <w:t>китайском, корейском, немецком,</w:t>
      </w:r>
      <w:r>
        <w:rPr>
          <w:lang w:val="ru-RU"/>
        </w:rPr>
        <w:t xml:space="preserve"> нидерландском</w:t>
      </w:r>
      <w:r w:rsidRPr="009B3D6B">
        <w:rPr>
          <w:lang w:val="ru-RU"/>
        </w:rPr>
        <w:t>, русском, шведском</w:t>
      </w:r>
      <w:r>
        <w:rPr>
          <w:lang w:val="ru-RU"/>
        </w:rPr>
        <w:t>,</w:t>
      </w:r>
      <w:r w:rsidRPr="009B3D6B">
        <w:rPr>
          <w:lang w:val="ru-RU"/>
        </w:rPr>
        <w:t xml:space="preserve"> французском</w:t>
      </w:r>
      <w:r>
        <w:rPr>
          <w:lang w:val="ru-RU"/>
        </w:rPr>
        <w:t xml:space="preserve"> и</w:t>
      </w:r>
      <w:r w:rsidRPr="009B3D6B">
        <w:rPr>
          <w:lang w:val="ru-RU"/>
        </w:rPr>
        <w:t xml:space="preserve"> японском языках</w:t>
      </w:r>
      <w:r w:rsidRPr="000B79EF">
        <w:rPr>
          <w:lang w:val="ru-RU"/>
        </w:rPr>
        <w:t xml:space="preserve">. Информация о предстоящих вебинарах и записи проведенных вебинаров размещены на </w:t>
      </w:r>
      <w:hyperlink r:id="rId9" w:history="1">
        <w:r w:rsidRPr="000B79EF">
          <w:rPr>
            <w:rStyle w:val="Hyperlink"/>
            <w:lang w:val="ru-RU"/>
          </w:rPr>
          <w:t>https://www.wipo.int/amc/en/events/webinar.html</w:t>
        </w:r>
      </w:hyperlink>
      <w:r w:rsidRPr="000B79EF">
        <w:rPr>
          <w:lang w:val="ru-RU"/>
        </w:rPr>
        <w:t>.</w:t>
      </w:r>
    </w:p>
  </w:footnote>
  <w:footnote w:id="29">
    <w:p w14:paraId="3C614540" w14:textId="4AB7FF04"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https://www.wipo.int/amc/en/mediation/pledge.html.</w:t>
      </w:r>
    </w:p>
  </w:footnote>
  <w:footnote w:id="30">
    <w:p w14:paraId="4E43283E" w14:textId="6CF05CF9" w:rsidR="007507C6" w:rsidRPr="000B79EF" w:rsidRDefault="007507C6" w:rsidP="00816FED">
      <w:pPr>
        <w:pStyle w:val="FootnoteText"/>
        <w:rPr>
          <w:szCs w:val="18"/>
          <w:lang w:val="ru-RU"/>
        </w:rPr>
      </w:pPr>
      <w:r w:rsidRPr="000B79EF">
        <w:rPr>
          <w:rStyle w:val="FootnoteReference"/>
          <w:szCs w:val="18"/>
          <w:lang w:val="ru-RU"/>
        </w:rPr>
        <w:footnoteRef/>
      </w:r>
      <w:r w:rsidRPr="000B79EF">
        <w:rPr>
          <w:lang w:val="ru-RU"/>
        </w:rPr>
        <w:tab/>
        <w:t xml:space="preserve">«Управление именами и адресами в </w:t>
      </w:r>
      <w:r>
        <w:rPr>
          <w:lang w:val="ru-RU"/>
        </w:rPr>
        <w:t>и</w:t>
      </w:r>
      <w:r w:rsidRPr="000B79EF">
        <w:rPr>
          <w:lang w:val="ru-RU"/>
        </w:rPr>
        <w:t xml:space="preserve">нтернете: вопросы интеллектуальной собственности. Итоговый отчет о Первом процессе ВОИС по доменным именам в </w:t>
      </w:r>
      <w:r>
        <w:rPr>
          <w:lang w:val="ru-RU"/>
        </w:rPr>
        <w:t>и</w:t>
      </w:r>
      <w:r w:rsidRPr="000B79EF">
        <w:rPr>
          <w:lang w:val="ru-RU"/>
        </w:rPr>
        <w:t xml:space="preserve">нтернете», публикация ВОИС №439 также размещена по адресу: </w:t>
      </w:r>
      <w:hyperlink r:id="rId10" w:history="1">
        <w:r w:rsidRPr="000B79EF">
          <w:rPr>
            <w:rStyle w:val="Hyperlink"/>
            <w:lang w:val="ru-RU"/>
          </w:rPr>
          <w:t>http://www.wipo.int/amc/en/processes/process1/report</w:t>
        </w:r>
      </w:hyperlink>
      <w:r w:rsidRPr="000B79EF">
        <w:rPr>
          <w:lang w:val="ru-RU"/>
        </w:rPr>
        <w:t>.</w:t>
      </w:r>
    </w:p>
  </w:footnote>
  <w:footnote w:id="31">
    <w:p w14:paraId="016BB74E" w14:textId="491F4CC3" w:rsidR="007507C6" w:rsidRPr="000B79EF" w:rsidRDefault="007507C6" w:rsidP="00816FED">
      <w:pPr>
        <w:pStyle w:val="FootnoteText"/>
        <w:rPr>
          <w:szCs w:val="18"/>
          <w:lang w:val="ru-RU"/>
        </w:rPr>
      </w:pPr>
      <w:r w:rsidRPr="000B79EF">
        <w:rPr>
          <w:rStyle w:val="FootnoteReference"/>
          <w:szCs w:val="18"/>
          <w:lang w:val="ru-RU"/>
        </w:rPr>
        <w:footnoteRef/>
      </w:r>
      <w:r w:rsidRPr="000B79EF">
        <w:rPr>
          <w:lang w:val="ru-RU"/>
        </w:rPr>
        <w:tab/>
        <w:t xml:space="preserve">«Признание прав и использование имен в системе доменных имен в </w:t>
      </w:r>
      <w:r>
        <w:rPr>
          <w:lang w:val="ru-RU"/>
        </w:rPr>
        <w:t>и</w:t>
      </w:r>
      <w:r w:rsidRPr="000B79EF">
        <w:rPr>
          <w:lang w:val="ru-RU"/>
        </w:rPr>
        <w:t xml:space="preserve">нтернете. Отчет о Втором процессе ВОИС по доменным именам в </w:t>
      </w:r>
      <w:r>
        <w:rPr>
          <w:lang w:val="ru-RU"/>
        </w:rPr>
        <w:t>и</w:t>
      </w:r>
      <w:r w:rsidRPr="000B79EF">
        <w:rPr>
          <w:lang w:val="ru-RU"/>
        </w:rPr>
        <w:t xml:space="preserve">нтернете», публикация ВОИС №843 также размещена по адресу: </w:t>
      </w:r>
      <w:hyperlink r:id="rId11" w:history="1">
        <w:r w:rsidRPr="000B79EF">
          <w:rPr>
            <w:rStyle w:val="Hyperlink"/>
            <w:lang w:val="ru-RU"/>
          </w:rPr>
          <w:t>http://www.wipo.int/amc/en/processes/process2/report</w:t>
        </w:r>
      </w:hyperlink>
      <w:r w:rsidRPr="000B79EF">
        <w:rPr>
          <w:lang w:val="ru-RU"/>
        </w:rPr>
        <w:t>.</w:t>
      </w:r>
    </w:p>
  </w:footnote>
  <w:footnote w:id="32">
    <w:p w14:paraId="03F5C588" w14:textId="6EE27D9C"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r>
      <w:r w:rsidRPr="000B79EF">
        <w:rPr>
          <w:lang w:val="ru-RU"/>
        </w:rPr>
        <w:t xml:space="preserve">ЕПУС не лишает ни одну из сторон права передать спор в компетентный суд, однако лишь очень немногие споры, по которым было принято решение на основе ЕПУС, были в дальнейшем переданы в национальные суды. Cм. подборку судебных дел, урегулированных на основе ЕПУС: </w:t>
      </w:r>
      <w:hyperlink r:id="rId12" w:history="1">
        <w:r w:rsidRPr="000B79EF">
          <w:rPr>
            <w:rStyle w:val="Hyperlink"/>
            <w:lang w:val="ru-RU"/>
          </w:rPr>
          <w:t>http://www.wipo.int/amc/en/domains/challenged</w:t>
        </w:r>
      </w:hyperlink>
      <w:r w:rsidRPr="000B79EF">
        <w:rPr>
          <w:lang w:val="ru-RU"/>
        </w:rPr>
        <w:t>.</w:t>
      </w:r>
    </w:p>
  </w:footnote>
  <w:footnote w:id="33">
    <w:p w14:paraId="06A7A297" w14:textId="719BF170" w:rsidR="007507C6" w:rsidRPr="000B79EF" w:rsidRDefault="007507C6" w:rsidP="00110FCD">
      <w:pPr>
        <w:pStyle w:val="FootnoteText"/>
        <w:rPr>
          <w:color w:val="000000"/>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Центр публикует в </w:t>
      </w:r>
      <w:r>
        <w:rPr>
          <w:lang w:val="ru-RU"/>
        </w:rPr>
        <w:t>и</w:t>
      </w:r>
      <w:r w:rsidRPr="000B79EF">
        <w:rPr>
          <w:lang w:val="ru-RU"/>
        </w:rPr>
        <w:t>нтернете статистические данные в режиме реального времени, которыми могут пользоваться стороны споров, рассматриваемых органами ВОИС на базе ЕПУС, нейтральные лица, поверенные по товарным знакам, регистранты доменных имен, директивные органы в области доменных имен, средства массовой информации и ученые</w:t>
      </w:r>
      <w:r w:rsidRPr="000B79EF">
        <w:rPr>
          <w:rFonts w:asciiTheme="minorBidi" w:hAnsiTheme="minorBidi" w:cstheme="minorBidi"/>
          <w:szCs w:val="18"/>
          <w:lang w:val="ru-RU"/>
        </w:rPr>
        <w:t xml:space="preserve">. </w:t>
      </w:r>
      <w:r w:rsidRPr="000B79EF">
        <w:rPr>
          <w:lang w:val="ru-RU"/>
        </w:rPr>
        <w:t xml:space="preserve">См. </w:t>
      </w:r>
      <w:hyperlink r:id="rId13" w:history="1">
        <w:r w:rsidRPr="000B79EF">
          <w:rPr>
            <w:rStyle w:val="Hyperlink"/>
            <w:lang w:val="ru-RU"/>
          </w:rPr>
          <w:t>http://www.wipo.int/amc/en/domains/statistics</w:t>
        </w:r>
      </w:hyperlink>
      <w:r w:rsidRPr="000B79EF">
        <w:rPr>
          <w:lang w:val="ru-RU"/>
        </w:rPr>
        <w:t xml:space="preserve">. </w:t>
      </w:r>
    </w:p>
  </w:footnote>
  <w:footnote w:id="34">
    <w:p w14:paraId="68152676" w14:textId="798D5BCA"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Китайский, чешский, датский, голландский, английский, эстонский, французский, немецкий, иврит, итальянский, японский, корейский, норвежский, польский, португальский, румынский, русский, словацкий, испанский, шведский, турецкий, украинский и вьетнамский (в порядке английского алфавита</w:t>
      </w:r>
      <w:r w:rsidRPr="000B79EF">
        <w:rPr>
          <w:rFonts w:asciiTheme="minorBidi" w:hAnsiTheme="minorBidi" w:cstheme="minorBidi"/>
          <w:szCs w:val="18"/>
          <w:lang w:val="ru-RU"/>
        </w:rPr>
        <w:t>).</w:t>
      </w:r>
    </w:p>
  </w:footnote>
  <w:footnote w:id="35">
    <w:p w14:paraId="0E717222" w14:textId="49EC6DBD"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 xml:space="preserve">См. http://www.wipo.int/amc/en/domains/search/overview3.0/. Расширение охвата WIPO Overview 3.0 </w:t>
      </w:r>
      <w:r w:rsidRPr="000B79EF">
        <w:rPr>
          <w:lang w:val="ru-RU"/>
        </w:rPr>
        <w:t>свидетельствует об изменениях в области DNS и увеличении почти в два раза числа дел, рассмотренных центром за последнее время</w:t>
      </w:r>
      <w:r w:rsidRPr="000B79EF">
        <w:rPr>
          <w:rFonts w:asciiTheme="minorBidi" w:hAnsiTheme="minorBidi" w:cstheme="minorBidi"/>
          <w:szCs w:val="18"/>
          <w:lang w:val="ru-RU"/>
        </w:rPr>
        <w:t xml:space="preserve">. </w:t>
      </w:r>
      <w:r w:rsidRPr="000B79EF">
        <w:rPr>
          <w:lang w:val="ru-RU"/>
        </w:rPr>
        <w:t>Этот обзор играет важную роль в обеспечении и поддержке согласованных решений, принимаемых на основе ЕПУС ВОИС</w:t>
      </w:r>
      <w:r w:rsidRPr="000B79EF">
        <w:rPr>
          <w:rFonts w:asciiTheme="minorBidi" w:hAnsiTheme="minorBidi" w:cstheme="minorBidi"/>
          <w:szCs w:val="18"/>
          <w:lang w:val="ru-RU"/>
        </w:rPr>
        <w:t xml:space="preserve">.  </w:t>
      </w:r>
    </w:p>
  </w:footnote>
  <w:footnote w:id="36">
    <w:p w14:paraId="31344018" w14:textId="2739D1D8"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t>См. http://www.wipo.int/amc/en/domains/search/legalindex/.</w:t>
      </w:r>
    </w:p>
  </w:footnote>
  <w:footnote w:id="37">
    <w:p w14:paraId="7C6C450E" w14:textId="77777777" w:rsidR="007507C6" w:rsidRPr="000B79EF" w:rsidRDefault="007507C6" w:rsidP="009E6341">
      <w:pPr>
        <w:rPr>
          <w:i/>
          <w:lang w:val="ru-RU"/>
        </w:rPr>
      </w:pPr>
      <w:r w:rsidRPr="000B79EF">
        <w:rPr>
          <w:rStyle w:val="FootnoteReference"/>
          <w:sz w:val="18"/>
          <w:szCs w:val="18"/>
          <w:lang w:val="ru-RU"/>
        </w:rPr>
        <w:footnoteRef/>
      </w:r>
      <w:r w:rsidRPr="000B79EF">
        <w:rPr>
          <w:sz w:val="18"/>
          <w:szCs w:val="18"/>
          <w:lang w:val="ru-RU"/>
        </w:rPr>
        <w:t xml:space="preserve"> </w:t>
      </w:r>
      <w:r w:rsidRPr="000B79EF">
        <w:rPr>
          <w:lang w:val="ru-RU"/>
        </w:rPr>
        <w:tab/>
      </w:r>
      <w:r w:rsidRPr="000B79EF">
        <w:rPr>
          <w:sz w:val="18"/>
          <w:lang w:val="ru-RU"/>
        </w:rPr>
        <w:t xml:space="preserve">В 2018 г. Центр опубликовал неофициальные рекомендации ВОИС для сторон относительно практического значения Общего регламента Европейского Союза по защите данных (GDPR) для процедур ЕПУС. См. пункты 39–41 ниже. См. также, WO/GA/47/14, пункт 30, и WO/GA/41/17 Rev.2, пункты 14–16.  </w:t>
      </w:r>
    </w:p>
  </w:footnote>
  <w:footnote w:id="38">
    <w:p w14:paraId="60A22557" w14:textId="77777777" w:rsidR="007507C6" w:rsidRPr="000B79EF" w:rsidRDefault="007507C6" w:rsidP="009E6341">
      <w:pPr>
        <w:pStyle w:val="FootnoteText"/>
        <w:rPr>
          <w:lang w:val="ru-RU"/>
        </w:rPr>
      </w:pPr>
      <w:r w:rsidRPr="000B79EF">
        <w:rPr>
          <w:rStyle w:val="FootnoteReference"/>
          <w:lang w:val="ru-RU"/>
        </w:rPr>
        <w:footnoteRef/>
      </w:r>
      <w:r w:rsidRPr="000B79EF">
        <w:rPr>
          <w:lang w:val="ru-RU"/>
        </w:rPr>
        <w:tab/>
        <w:t>См. сноску 2 выше.</w:t>
      </w:r>
    </w:p>
  </w:footnote>
  <w:footnote w:id="39">
    <w:p w14:paraId="6A226E78" w14:textId="77777777" w:rsidR="007507C6" w:rsidRPr="000B79EF" w:rsidRDefault="007507C6" w:rsidP="00013DFA">
      <w:pPr>
        <w:pStyle w:val="FootnoteText"/>
        <w:rPr>
          <w:lang w:val="ru-RU"/>
        </w:rPr>
      </w:pPr>
      <w:r w:rsidRPr="000B79EF">
        <w:rPr>
          <w:rStyle w:val="FootnoteReference"/>
          <w:lang w:val="ru-RU"/>
        </w:rPr>
        <w:footnoteRef/>
      </w:r>
      <w:r w:rsidRPr="000B79EF">
        <w:rPr>
          <w:lang w:val="ru-RU"/>
        </w:rPr>
        <w:tab/>
        <w:t xml:space="preserve">См. </w:t>
      </w:r>
      <w:hyperlink r:id="rId14" w:history="1">
        <w:r w:rsidRPr="000B79EF">
          <w:rPr>
            <w:rStyle w:val="Hyperlink"/>
            <w:lang w:val="ru-RU"/>
          </w:rPr>
          <w:t>http://www.wipo.int/amc/en/new/eu.html</w:t>
        </w:r>
      </w:hyperlink>
      <w:r w:rsidRPr="000B79EF">
        <w:rPr>
          <w:lang w:val="ru-RU"/>
        </w:rPr>
        <w:t>.</w:t>
      </w:r>
    </w:p>
  </w:footnote>
  <w:footnote w:id="40">
    <w:p w14:paraId="5E2FCE54" w14:textId="61E758A4"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ab/>
        <w:t>К числу других нДВУ, присоединившихся за последние пять лет, относятся.AI (Ангилья), .CN и .</w:t>
      </w:r>
      <w:r w:rsidRPr="000B79EF">
        <w:rPr>
          <w:rFonts w:asciiTheme="minorBidi" w:eastAsia="MS Gothic" w:hAnsiTheme="minorBidi" w:cstheme="minorBidi"/>
          <w:szCs w:val="18"/>
          <w:lang w:val="ru-RU"/>
        </w:rPr>
        <w:t>中国</w:t>
      </w:r>
      <w:r w:rsidRPr="000B79EF">
        <w:rPr>
          <w:rFonts w:asciiTheme="minorBidi" w:hAnsiTheme="minorBidi" w:cstheme="minorBidi"/>
          <w:szCs w:val="18"/>
          <w:lang w:val="ru-RU"/>
        </w:rPr>
        <w:t xml:space="preserve"> (Китай), .EU (Европейский союз), .GE (Грузия), .PY (Парагвай), </w:t>
      </w:r>
      <w:r>
        <w:rPr>
          <w:rFonts w:asciiTheme="minorBidi" w:hAnsiTheme="minorBidi" w:cstheme="minorBidi"/>
          <w:szCs w:val="18"/>
          <w:lang w:val="ru-RU"/>
        </w:rPr>
        <w:t>.</w:t>
      </w:r>
      <w:r w:rsidRPr="006513BB">
        <w:rPr>
          <w:rFonts w:asciiTheme="minorBidi" w:hAnsiTheme="minorBidi" w:cstheme="minorBidi"/>
          <w:szCs w:val="18"/>
        </w:rPr>
        <w:t>SA</w:t>
      </w:r>
      <w:r w:rsidRPr="006513BB">
        <w:rPr>
          <w:rFonts w:asciiTheme="minorBidi" w:hAnsiTheme="minorBidi" w:cstheme="minorBidi"/>
          <w:szCs w:val="18"/>
          <w:lang w:val="ru-RU"/>
        </w:rPr>
        <w:t xml:space="preserve"> </w:t>
      </w:r>
      <w:r>
        <w:rPr>
          <w:rFonts w:asciiTheme="minorBidi" w:hAnsiTheme="minorBidi" w:cstheme="minorBidi"/>
          <w:szCs w:val="18"/>
          <w:lang w:val="ru-RU"/>
        </w:rPr>
        <w:t>и</w:t>
      </w:r>
      <w:r w:rsidRPr="006513BB">
        <w:rPr>
          <w:rFonts w:asciiTheme="minorBidi" w:hAnsiTheme="minorBidi" w:cstheme="minorBidi"/>
          <w:szCs w:val="18"/>
          <w:lang w:val="ru-RU"/>
        </w:rPr>
        <w:t xml:space="preserve"> </w:t>
      </w:r>
      <w:r w:rsidRPr="006513BB">
        <w:rPr>
          <w:rFonts w:asciiTheme="minorBidi" w:hAnsiTheme="minorBidi" w:cstheme="minorBidi"/>
          <w:szCs w:val="18"/>
        </w:rPr>
        <w:t>السعودية</w:t>
      </w:r>
      <w:r w:rsidRPr="006513BB">
        <w:rPr>
          <w:rFonts w:asciiTheme="minorBidi" w:hAnsiTheme="minorBidi" w:cstheme="minorBidi"/>
          <w:szCs w:val="18"/>
          <w:lang w:val="ru-RU"/>
        </w:rPr>
        <w:t>. (</w:t>
      </w:r>
      <w:r>
        <w:rPr>
          <w:rFonts w:asciiTheme="minorBidi" w:hAnsiTheme="minorBidi" w:cstheme="minorBidi"/>
          <w:szCs w:val="18"/>
          <w:lang w:val="ru-RU"/>
        </w:rPr>
        <w:t>Саудовская Аравия</w:t>
      </w:r>
      <w:r w:rsidRPr="006513BB">
        <w:rPr>
          <w:rFonts w:asciiTheme="minorBidi" w:hAnsiTheme="minorBidi" w:cstheme="minorBidi"/>
          <w:szCs w:val="18"/>
          <w:lang w:val="ru-RU"/>
        </w:rPr>
        <w:t>)</w:t>
      </w:r>
      <w:r>
        <w:rPr>
          <w:rFonts w:asciiTheme="minorBidi" w:hAnsiTheme="minorBidi" w:cstheme="minorBidi"/>
          <w:szCs w:val="18"/>
          <w:lang w:val="ru-RU"/>
        </w:rPr>
        <w:t xml:space="preserve">, </w:t>
      </w:r>
      <w:r w:rsidRPr="000B79EF">
        <w:rPr>
          <w:rFonts w:asciiTheme="minorBidi" w:hAnsiTheme="minorBidi" w:cstheme="minorBidi"/>
          <w:szCs w:val="18"/>
          <w:lang w:val="ru-RU"/>
        </w:rPr>
        <w:t>.SE (Швеция) и.UA (Украин</w:t>
      </w:r>
      <w:r>
        <w:rPr>
          <w:rFonts w:asciiTheme="minorBidi" w:hAnsiTheme="minorBidi" w:cstheme="minorBidi"/>
          <w:szCs w:val="18"/>
          <w:lang w:val="ru-RU"/>
        </w:rPr>
        <w:t>а</w:t>
      </w:r>
      <w:r w:rsidRPr="000B79EF">
        <w:rPr>
          <w:rFonts w:asciiTheme="minorBidi" w:hAnsiTheme="minorBidi" w:cstheme="minorBidi"/>
          <w:szCs w:val="18"/>
          <w:lang w:val="ru-RU"/>
        </w:rPr>
        <w:t xml:space="preserve">); реестры .AC, .IO, и .SH используют немного видоизмененную версию ЕПУС. </w:t>
      </w:r>
      <w:r w:rsidRPr="000B79EF">
        <w:rPr>
          <w:lang w:val="ru-RU"/>
        </w:rPr>
        <w:t xml:space="preserve">С полным списком нДВУ, в отношении которых Центр выбран в качестве провайдера услуг по урегулированию споров в области доменных имен, можно ознакомиться по адресу: </w:t>
      </w:r>
      <w:hyperlink r:id="rId15" w:history="1">
        <w:r w:rsidRPr="000B79EF">
          <w:rPr>
            <w:rStyle w:val="Hyperlink"/>
            <w:lang w:val="ru-RU"/>
          </w:rPr>
          <w:t>http://www.wipo.int/amc/en/domains/cctld</w:t>
        </w:r>
      </w:hyperlink>
      <w:r w:rsidRPr="000B79EF">
        <w:rPr>
          <w:lang w:val="ru-RU"/>
        </w:rPr>
        <w:t xml:space="preserve">. </w:t>
      </w:r>
      <w:r w:rsidRPr="000B79EF">
        <w:rPr>
          <w:rFonts w:asciiTheme="minorBidi" w:hAnsiTheme="minorBidi" w:cstheme="minorBidi"/>
          <w:szCs w:val="18"/>
          <w:lang w:val="ru-RU"/>
        </w:rPr>
        <w:t xml:space="preserve"> </w:t>
      </w:r>
    </w:p>
  </w:footnote>
  <w:footnote w:id="41">
    <w:p w14:paraId="7607B9AD" w14:textId="77777777" w:rsidR="007507C6" w:rsidRPr="000B79EF" w:rsidRDefault="007507C6" w:rsidP="00325B0C">
      <w:pPr>
        <w:pStyle w:val="FootnoteText"/>
        <w:rPr>
          <w:lang w:val="ru-RU"/>
        </w:rPr>
      </w:pPr>
      <w:r w:rsidRPr="000B79EF">
        <w:rPr>
          <w:rStyle w:val="FootnoteReference"/>
          <w:lang w:val="ru-RU"/>
        </w:rPr>
        <w:footnoteRef/>
      </w:r>
      <w:r w:rsidRPr="000B79EF">
        <w:rPr>
          <w:lang w:val="ru-RU"/>
        </w:rPr>
        <w:tab/>
        <w:t>Например, страница Центра, посвященная домену .CH (Швейцария), теперь доступна не только на английском, французском и испанском языках, но также на немецком и итальянском.</w:t>
      </w:r>
    </w:p>
  </w:footnote>
  <w:footnote w:id="42">
    <w:p w14:paraId="216B199E" w14:textId="77777777" w:rsidR="007507C6" w:rsidRPr="000B79EF" w:rsidRDefault="007507C6" w:rsidP="00325B0C">
      <w:pPr>
        <w:pStyle w:val="FootnoteText"/>
        <w:rPr>
          <w:lang w:val="ru-RU"/>
        </w:rPr>
      </w:pPr>
      <w:r w:rsidRPr="000B79EF">
        <w:rPr>
          <w:rStyle w:val="FootnoteReference"/>
          <w:lang w:val="ru-RU"/>
        </w:rPr>
        <w:footnoteRef/>
      </w:r>
      <w:r w:rsidRPr="000B79EF">
        <w:rPr>
          <w:lang w:val="ru-RU"/>
        </w:rPr>
        <w:tab/>
        <w:t xml:space="preserve">См. </w:t>
      </w:r>
      <w:hyperlink r:id="rId16" w:history="1">
        <w:r w:rsidRPr="000B79EF">
          <w:rPr>
            <w:rStyle w:val="Hyperlink"/>
            <w:lang w:val="ru-RU"/>
          </w:rPr>
          <w:t>http://www.wipo.int/amc/en/domains/cctld/</w:t>
        </w:r>
      </w:hyperlink>
      <w:r w:rsidRPr="000B79EF">
        <w:rPr>
          <w:lang w:val="ru-RU"/>
        </w:rPr>
        <w:t xml:space="preserve">. </w:t>
      </w:r>
    </w:p>
  </w:footnote>
  <w:footnote w:id="43">
    <w:p w14:paraId="24C28F0D" w14:textId="77777777" w:rsidR="007507C6" w:rsidRPr="000B79EF" w:rsidRDefault="007507C6" w:rsidP="00325B0C">
      <w:pPr>
        <w:pStyle w:val="FootnoteText"/>
        <w:rPr>
          <w:lang w:val="ru-RU"/>
        </w:rPr>
      </w:pPr>
      <w:r w:rsidRPr="000B79EF">
        <w:rPr>
          <w:rStyle w:val="FootnoteReference"/>
          <w:lang w:val="ru-RU"/>
        </w:rPr>
        <w:footnoteRef/>
      </w:r>
      <w:r w:rsidRPr="000B79EF">
        <w:rPr>
          <w:lang w:val="ru-RU"/>
        </w:rPr>
        <w:tab/>
        <w:t xml:space="preserve">См. </w:t>
      </w:r>
      <w:hyperlink r:id="rId17" w:history="1">
        <w:r w:rsidRPr="000B79EF">
          <w:rPr>
            <w:rStyle w:val="Hyperlink"/>
            <w:lang w:val="ru-RU"/>
          </w:rPr>
          <w:t>https://www.wipo.int/edocs/pubdocs/en/wipo_pub_1069.pdf</w:t>
        </w:r>
      </w:hyperlink>
      <w:r w:rsidRPr="000B79EF">
        <w:rPr>
          <w:lang w:val="ru-RU"/>
        </w:rPr>
        <w:t>.</w:t>
      </w:r>
    </w:p>
  </w:footnote>
  <w:footnote w:id="44">
    <w:p w14:paraId="2E12CA70" w14:textId="77777777" w:rsidR="007507C6" w:rsidRPr="000B79EF" w:rsidRDefault="007507C6" w:rsidP="004D4CBB">
      <w:pPr>
        <w:pStyle w:val="FootnoteText"/>
        <w:rPr>
          <w:szCs w:val="18"/>
          <w:lang w:val="ru-RU"/>
        </w:rPr>
      </w:pPr>
      <w:r w:rsidRPr="000B79EF">
        <w:rPr>
          <w:rStyle w:val="FootnoteReference"/>
          <w:szCs w:val="18"/>
          <w:lang w:val="ru-RU"/>
        </w:rPr>
        <w:footnoteRef/>
      </w:r>
      <w:r w:rsidRPr="000B79EF">
        <w:rPr>
          <w:lang w:val="ru-RU"/>
        </w:rPr>
        <w:tab/>
        <w:t xml:space="preserve">См. </w:t>
      </w:r>
      <w:hyperlink r:id="rId18" w:history="1">
        <w:r w:rsidRPr="000B79EF">
          <w:rPr>
            <w:rStyle w:val="Hyperlink"/>
            <w:lang w:val="ru-RU"/>
          </w:rPr>
          <w:t>http://www.icann.org/en/minutes/resolutions-20jun11-en.htm</w:t>
        </w:r>
      </w:hyperlink>
      <w:r w:rsidRPr="000B79EF">
        <w:rPr>
          <w:lang w:val="ru-RU"/>
        </w:rPr>
        <w:t>. Дополнительная справочная информация, включая ссылки, приводится в документе WO/GA/39/10, в частности в пункте 14.</w:t>
      </w:r>
    </w:p>
  </w:footnote>
  <w:footnote w:id="45">
    <w:p w14:paraId="21ECE3EF" w14:textId="77777777" w:rsidR="007507C6" w:rsidRPr="000B79EF" w:rsidRDefault="007507C6" w:rsidP="004D4CBB">
      <w:pPr>
        <w:pStyle w:val="FootnoteText"/>
        <w:rPr>
          <w:szCs w:val="18"/>
          <w:lang w:val="ru-RU"/>
        </w:rPr>
      </w:pPr>
      <w:r w:rsidRPr="000B79EF">
        <w:rPr>
          <w:rStyle w:val="FootnoteReference"/>
          <w:szCs w:val="18"/>
          <w:lang w:val="ru-RU"/>
        </w:rPr>
        <w:footnoteRef/>
      </w:r>
      <w:r w:rsidRPr="000B79EF">
        <w:rPr>
          <w:lang w:val="ru-RU"/>
        </w:rPr>
        <w:tab/>
        <w:t xml:space="preserve">Руководство для заявителя ICANN размещено на странице </w:t>
      </w:r>
      <w:hyperlink r:id="rId19" w:history="1">
        <w:r w:rsidRPr="000B79EF">
          <w:rPr>
            <w:rStyle w:val="Hyperlink"/>
            <w:lang w:val="ru-RU"/>
          </w:rPr>
          <w:t>http://newgtlds.icann.org/en/applicants/agb</w:t>
        </w:r>
      </w:hyperlink>
      <w:r w:rsidRPr="000B79EF">
        <w:rPr>
          <w:lang w:val="ru-RU"/>
        </w:rPr>
        <w:t xml:space="preserve">. </w:t>
      </w:r>
    </w:p>
  </w:footnote>
  <w:footnote w:id="46">
    <w:p w14:paraId="17F118F9" w14:textId="77777777" w:rsidR="007507C6" w:rsidRPr="000B79EF" w:rsidRDefault="007507C6" w:rsidP="004D4CBB">
      <w:pPr>
        <w:pStyle w:val="FootnoteText"/>
        <w:rPr>
          <w:lang w:val="ru-RU"/>
        </w:rPr>
      </w:pPr>
      <w:r w:rsidRPr="000B79EF">
        <w:rPr>
          <w:rStyle w:val="FootnoteReference"/>
          <w:lang w:val="ru-RU"/>
        </w:rPr>
        <w:footnoteRef/>
      </w:r>
      <w:r w:rsidRPr="000B79EF">
        <w:rPr>
          <w:lang w:val="ru-RU"/>
        </w:rPr>
        <w:tab/>
        <w:t xml:space="preserve">Новые делегированные рДВУ перечислены на странице </w:t>
      </w:r>
      <w:hyperlink r:id="rId20" w:history="1">
        <w:r w:rsidRPr="000B79EF">
          <w:rPr>
            <w:rStyle w:val="Hyperlink"/>
            <w:lang w:val="ru-RU"/>
          </w:rPr>
          <w:t>http://newgtlds.icann.org/en/program-status/delegated-strings</w:t>
        </w:r>
      </w:hyperlink>
      <w:r w:rsidRPr="000B79EF">
        <w:rPr>
          <w:lang w:val="ru-RU"/>
        </w:rPr>
        <w:t xml:space="preserve">.  </w:t>
      </w:r>
    </w:p>
  </w:footnote>
  <w:footnote w:id="47">
    <w:p w14:paraId="5DE48A32" w14:textId="311A3FCB" w:rsidR="007507C6" w:rsidRPr="000B79EF" w:rsidRDefault="007507C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https://gnso.icann.org/sites/default/files/file/field-file-attach/final-report-newgtld-subsequent-procedures-pdp-02feb21-en.pdf.</w:t>
      </w:r>
    </w:p>
  </w:footnote>
  <w:footnote w:id="48">
    <w:p w14:paraId="586CA9AF" w14:textId="77777777" w:rsidR="007507C6" w:rsidRPr="000B79EF" w:rsidRDefault="007507C6" w:rsidP="004D4CBB">
      <w:pPr>
        <w:pStyle w:val="FootnoteText"/>
        <w:rPr>
          <w:szCs w:val="18"/>
          <w:lang w:val="ru-RU"/>
        </w:rPr>
      </w:pPr>
      <w:r w:rsidRPr="000B79EF">
        <w:rPr>
          <w:rStyle w:val="FootnoteReference"/>
          <w:szCs w:val="18"/>
          <w:lang w:val="ru-RU"/>
        </w:rPr>
        <w:footnoteRef/>
      </w:r>
      <w:r w:rsidRPr="000B79EF">
        <w:rPr>
          <w:lang w:val="ru-RU"/>
        </w:rPr>
        <w:tab/>
        <w:t>Дополнительная справочная информация, включая ссылки, содержится в документе WO/GA/39/10, в частности в пунктах 23–30. Здесь отмечается, что ICANN отклонила предложение о подготовке «Перечня знаков, пользующихся глобальной охраной».</w:t>
      </w:r>
    </w:p>
  </w:footnote>
  <w:footnote w:id="49">
    <w:p w14:paraId="77C4071B" w14:textId="77777777" w:rsidR="007507C6" w:rsidRPr="000B79EF" w:rsidRDefault="007507C6" w:rsidP="004D4CBB">
      <w:pPr>
        <w:pStyle w:val="FootnoteText"/>
        <w:rPr>
          <w:szCs w:val="18"/>
          <w:lang w:val="ru-RU"/>
        </w:rPr>
      </w:pPr>
      <w:r w:rsidRPr="000B79EF">
        <w:rPr>
          <w:rStyle w:val="FootnoteReference"/>
          <w:szCs w:val="18"/>
          <w:lang w:val="ru-RU"/>
        </w:rPr>
        <w:footnoteRef/>
      </w:r>
      <w:r w:rsidRPr="000B79EF">
        <w:rPr>
          <w:lang w:val="ru-RU"/>
        </w:rPr>
        <w:tab/>
        <w:t>Другими основаниями для подачи возражений, признаваемыми ICANN, являются: «возражения в связи с наличием дезориентирующей информации в доменной строке», «возражения на основании общественных требований» и «возражения, связанные с необходимостью защиты ограниченных интересов общества». «Руководство для заявителя» предусматривает также ряд других процедур, которыми правительства могут пользоваться после того, как ICANN публикует заявки на регистрацию новых рДВУ. В частности, раздел 1.1.2.4 предусматривает «Механизм раннего оповещения ПКК», а раздел 1.1.2.7–«Рекомендации ПКК в отношении новых рДВУ», направляемые на рассмотрение Совета ICANN.</w:t>
      </w:r>
    </w:p>
  </w:footnote>
  <w:footnote w:id="50">
    <w:p w14:paraId="365187A7" w14:textId="77777777" w:rsidR="007507C6" w:rsidRPr="000D2F2A" w:rsidRDefault="007507C6" w:rsidP="004D4CBB">
      <w:pPr>
        <w:pStyle w:val="FootnoteText"/>
        <w:rPr>
          <w:szCs w:val="18"/>
        </w:rPr>
      </w:pPr>
      <w:r w:rsidRPr="000B79EF">
        <w:rPr>
          <w:rStyle w:val="FootnoteReference"/>
          <w:szCs w:val="18"/>
          <w:lang w:val="ru-RU"/>
        </w:rPr>
        <w:footnoteRef/>
      </w:r>
      <w:r w:rsidRPr="000B79EF">
        <w:rPr>
          <w:lang w:val="ru-RU"/>
        </w:rPr>
        <w:tab/>
        <w:t xml:space="preserve">Принята Генеральной ассамблеей ВОИС в сентябре 2001 г., см. </w:t>
      </w:r>
      <w:hyperlink r:id="rId21" w:history="1">
        <w:r w:rsidRPr="000D2F2A">
          <w:rPr>
            <w:rStyle w:val="Hyperlink"/>
          </w:rPr>
          <w:t>http://www.wipo.int/edocs/pubdocs/en/marks/845/pub845.pdf</w:t>
        </w:r>
      </w:hyperlink>
      <w:r w:rsidRPr="000D2F2A">
        <w:t>.</w:t>
      </w:r>
    </w:p>
  </w:footnote>
  <w:footnote w:id="51">
    <w:p w14:paraId="79CF5A27" w14:textId="77777777" w:rsidR="007507C6" w:rsidRPr="000B79EF" w:rsidRDefault="007507C6" w:rsidP="004D4CBB">
      <w:pPr>
        <w:pStyle w:val="FootnoteText"/>
        <w:rPr>
          <w:szCs w:val="18"/>
          <w:lang w:val="ru-RU"/>
        </w:rPr>
      </w:pPr>
      <w:r w:rsidRPr="000B79EF">
        <w:rPr>
          <w:rStyle w:val="FootnoteReference"/>
          <w:lang w:val="ru-RU"/>
        </w:rPr>
        <w:footnoteRef/>
      </w:r>
      <w:r w:rsidRPr="000B79EF">
        <w:rPr>
          <w:lang w:val="ru-RU"/>
        </w:rPr>
        <w:tab/>
        <w:t xml:space="preserve">См. раздел 3.2 Руководства для заявителя ICANN: </w:t>
      </w:r>
      <w:hyperlink r:id="rId22" w:history="1">
        <w:r w:rsidRPr="000B79EF">
          <w:rPr>
            <w:rStyle w:val="Hyperlink"/>
            <w:lang w:val="ru-RU"/>
          </w:rPr>
          <w:t>https://newgtlds.icann.org/en/applicants/agb/objection-procedures-04jun12-en.pdf</w:t>
        </w:r>
      </w:hyperlink>
      <w:r w:rsidRPr="000B79EF">
        <w:rPr>
          <w:lang w:val="ru-RU"/>
        </w:rPr>
        <w:t>.</w:t>
      </w:r>
    </w:p>
  </w:footnote>
  <w:footnote w:id="52">
    <w:p w14:paraId="37288D57" w14:textId="50BB7569"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См. «Правила ВОИС по урегулированию споров, касающихся новых рДВУ» и «Перечень пошлин и сборов»: </w:t>
      </w:r>
      <w:hyperlink r:id="rId23" w:history="1">
        <w:r w:rsidRPr="000B79EF">
          <w:rPr>
            <w:rStyle w:val="Hyperlink"/>
            <w:lang w:val="ru-RU"/>
          </w:rPr>
          <w:t>http://www.wipo.int/amc/en/docs/wipolrorules.pdf</w:t>
        </w:r>
      </w:hyperlink>
      <w:r w:rsidRPr="000B79EF">
        <w:rPr>
          <w:lang w:val="ru-RU"/>
        </w:rPr>
        <w:t xml:space="preserve"> и </w:t>
      </w:r>
      <w:hyperlink r:id="rId24" w:history="1">
        <w:r w:rsidRPr="000B79EF">
          <w:rPr>
            <w:rStyle w:val="Hyperlink"/>
            <w:lang w:val="ru-RU"/>
          </w:rPr>
          <w:t>https://www.wipo.int/amc/en/domains/lro/fees/</w:t>
        </w:r>
      </w:hyperlink>
      <w:r w:rsidRPr="000B79EF">
        <w:rPr>
          <w:lang w:val="ru-RU"/>
        </w:rPr>
        <w:t xml:space="preserve">; см. «Зарегистрированные в ВОИС споры, возбужденные на основании LRO»:  </w:t>
      </w:r>
      <w:hyperlink r:id="rId25" w:history="1">
        <w:r w:rsidRPr="000B79EF">
          <w:rPr>
            <w:rStyle w:val="Hyperlink"/>
            <w:lang w:val="ru-RU"/>
          </w:rPr>
          <w:t>https://www.wipo.int/amc/en/domains/lro/cases/</w:t>
        </w:r>
      </w:hyperlink>
      <w:r w:rsidRPr="000B79EF">
        <w:rPr>
          <w:lang w:val="ru-RU"/>
        </w:rPr>
        <w:t>.</w:t>
      </w:r>
      <w:r w:rsidRPr="000B79EF">
        <w:rPr>
          <w:rFonts w:asciiTheme="minorBidi" w:hAnsiTheme="minorBidi" w:cstheme="minorBidi"/>
          <w:szCs w:val="18"/>
          <w:lang w:val="ru-RU"/>
        </w:rPr>
        <w:t xml:space="preserve"> Все решения экспертных комиссий ВОИС по LRO опубликованы на веб-сайте Центра, а также изложены в отчете Центра по процедурам LRO. </w:t>
      </w:r>
      <w:r w:rsidRPr="000B79EF">
        <w:rPr>
          <w:lang w:val="ru-RU"/>
        </w:rPr>
        <w:t xml:space="preserve">В отчете ВОИС по процедурам LRO отмечается, что подавляющее большинство LRO были поданы против заявок на регистрацию рДВУ, текст которых имеет описательное или словарное значение. Многие экспертные комиссии приходили к выводу о том, что, когда владелец товарного знака регистрировал в качестве товарного знака обычный словарный термин, заявка на регистрацию рДВУ, направленная только на использование такого общего словарного значения, не является, сама по себе, нарушением норм, позволяющим удовлетворить LRO. В некоторых ситуациях экспертные комиссии рассматривали случаи, когда товарные знаки регистрировались в основном для обеспечения успеха заявки на регистрацию нового рДВУ и/или получения юридических прав для подачи LRO и не подтверждались или почти не подтверждались доказательствами их предыдущего использования. См. </w:t>
      </w:r>
      <w:hyperlink r:id="rId26" w:history="1">
        <w:r w:rsidRPr="000B79EF">
          <w:rPr>
            <w:rStyle w:val="Hyperlink"/>
            <w:lang w:val="ru-RU"/>
          </w:rPr>
          <w:t>http://www.wipo.int/amc/en/docs/lroreport.pdf</w:t>
        </w:r>
      </w:hyperlink>
      <w:r w:rsidRPr="000B79EF">
        <w:rPr>
          <w:lang w:val="ru-RU"/>
        </w:rPr>
        <w:t>.</w:t>
      </w:r>
    </w:p>
  </w:footnote>
  <w:footnote w:id="53">
    <w:p w14:paraId="4139D7AC" w14:textId="77777777" w:rsidR="007507C6" w:rsidRPr="000B79EF" w:rsidRDefault="007507C6" w:rsidP="00355BAC">
      <w:pPr>
        <w:pStyle w:val="FootnoteText"/>
        <w:rPr>
          <w:szCs w:val="18"/>
          <w:lang w:val="ru-RU"/>
        </w:rPr>
      </w:pPr>
      <w:r w:rsidRPr="000B79EF">
        <w:rPr>
          <w:rStyle w:val="FootnoteReference"/>
          <w:lang w:val="ru-RU"/>
        </w:rPr>
        <w:footnoteRef/>
      </w:r>
      <w:r w:rsidRPr="000B79EF">
        <w:rPr>
          <w:lang w:val="ru-RU"/>
        </w:rPr>
        <w:tab/>
        <w:t xml:space="preserve">См. </w:t>
      </w:r>
      <w:hyperlink r:id="rId27" w:history="1">
        <w:r w:rsidRPr="000B79EF">
          <w:rPr>
            <w:rStyle w:val="Hyperlink"/>
            <w:lang w:val="ru-RU"/>
          </w:rPr>
          <w:t>http://www.wipo.int/amc/en/docs/icann130309.pdf</w:t>
        </w:r>
      </w:hyperlink>
      <w:r w:rsidRPr="000B79EF">
        <w:rPr>
          <w:lang w:val="ru-RU"/>
        </w:rPr>
        <w:t>.</w:t>
      </w:r>
    </w:p>
  </w:footnote>
  <w:footnote w:id="54">
    <w:p w14:paraId="6313C2F7" w14:textId="77777777" w:rsidR="007507C6" w:rsidRPr="000B79EF" w:rsidRDefault="007507C6" w:rsidP="00355BAC">
      <w:pPr>
        <w:pStyle w:val="FootnoteText"/>
        <w:rPr>
          <w:szCs w:val="18"/>
          <w:lang w:val="ru-RU"/>
        </w:rPr>
      </w:pPr>
      <w:r w:rsidRPr="000B79EF">
        <w:rPr>
          <w:rStyle w:val="FootnoteReference"/>
          <w:lang w:val="ru-RU"/>
        </w:rPr>
        <w:footnoteRef/>
      </w:r>
      <w:r w:rsidRPr="000B79EF">
        <w:rPr>
          <w:lang w:val="ru-RU"/>
        </w:rPr>
        <w:tab/>
        <w:t xml:space="preserve">С учетом наблюдающегося сближения функций реестра, регистратора и регистранта в рамках DNS, Центр также рекомендовал, исходя, в частности, из своего опыта применения ЕПУС и решения ICANN допустить перекрестное владение между регистраторами и реестрами (см. </w:t>
      </w:r>
      <w:hyperlink r:id="rId28" w:history="1">
        <w:r w:rsidRPr="000B79EF">
          <w:rPr>
            <w:rStyle w:val="Hyperlink"/>
            <w:lang w:val="ru-RU"/>
          </w:rPr>
          <w:t>http:www.icann.org/en/minutes/resolutions-05nov10-en.htm</w:t>
        </w:r>
      </w:hyperlink>
      <w:r w:rsidRPr="000B79EF">
        <w:rPr>
          <w:lang w:val="ru-RU"/>
        </w:rPr>
        <w:t xml:space="preserve">), чтобы ICANN рассмотрела возможность распространения процедуры PDDRP, применяемой к реестрам, на действия регистраторов (см., в частности </w:t>
      </w:r>
      <w:hyperlink r:id="rId29" w:history="1">
        <w:r w:rsidRPr="000B79EF">
          <w:rPr>
            <w:rStyle w:val="Hyperlink"/>
            <w:lang w:val="ru-RU"/>
          </w:rPr>
          <w:t>http://www.wipo.int/amc/en/docs/icann260310rap.pdf</w:t>
        </w:r>
      </w:hyperlink>
      <w:r w:rsidRPr="000B79EF">
        <w:rPr>
          <w:lang w:val="ru-RU"/>
        </w:rPr>
        <w:t>).</w:t>
      </w:r>
    </w:p>
  </w:footnote>
  <w:footnote w:id="55">
    <w:p w14:paraId="31693407" w14:textId="509C37DE" w:rsidR="007507C6" w:rsidRPr="000B79EF" w:rsidRDefault="007507C6" w:rsidP="00563BC2">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Стоит отметить, что в конце 2016 г. группа владельцев ряда брендов выбрала Процедуру разрешения споров в области обеспечения общественных интересов вместо использования имеющейся процедуры PDDRP</w:t>
      </w:r>
      <w:r w:rsidRPr="000B79EF">
        <w:rPr>
          <w:rFonts w:asciiTheme="minorBidi" w:hAnsiTheme="minorBidi" w:cstheme="minorBidi"/>
          <w:szCs w:val="18"/>
          <w:lang w:val="ru-RU"/>
        </w:rPr>
        <w:t xml:space="preserve">. </w:t>
      </w:r>
      <w:r w:rsidRPr="000B79EF">
        <w:rPr>
          <w:lang w:val="ru-RU"/>
        </w:rPr>
        <w:t>Учитывая более общие стратегические интересы, в 2013 г. Центр и ICANN договорились о том, что Центр станет органом рассмотрения споров по процедуре PDDRP применительно к товарным знакам</w:t>
      </w:r>
      <w:r w:rsidRPr="000B79EF">
        <w:rPr>
          <w:rFonts w:asciiTheme="minorBidi" w:hAnsiTheme="minorBidi" w:cstheme="minorBidi"/>
          <w:szCs w:val="18"/>
          <w:lang w:val="ru-RU"/>
        </w:rPr>
        <w:t>. https://www.icann.org/en/system/files/files/feedback-picdrp-panel-report-14mar17-en.pdf.</w:t>
      </w:r>
    </w:p>
  </w:footnote>
  <w:footnote w:id="56">
    <w:p w14:paraId="6AB4ED0B" w14:textId="77777777" w:rsidR="007507C6" w:rsidRPr="000B79EF" w:rsidRDefault="007507C6" w:rsidP="00355BAC">
      <w:pPr>
        <w:pStyle w:val="FootnoteText"/>
        <w:rPr>
          <w:lang w:val="ru-RU"/>
        </w:rPr>
      </w:pPr>
      <w:r w:rsidRPr="000B79EF">
        <w:rPr>
          <w:rStyle w:val="FootnoteReference"/>
          <w:lang w:val="ru-RU"/>
        </w:rPr>
        <w:footnoteRef/>
      </w:r>
      <w:r w:rsidRPr="000B79EF">
        <w:rPr>
          <w:lang w:val="ru-RU"/>
        </w:rPr>
        <w:tab/>
        <w:t>ЦОИТЗ дает возможность использования зарегистрированных словесных знаков, словесных знаков, охраняемых в соответствии с законом или договором или на основании судебного решения, и «прочих знаков, представляющих собой интеллектуальную собственность» (последнее понятие не определено). Что касается МОП, основанных на использовании данных ЦОИТЗ, в настоящее время предоставление услуг «Sunrise» (т.е. право владельца товарного знака, при условии оплаты соответствующего сбора, осуществить в качестве превентивной меры регистрацию в качестве доменного имени слова, полностью совпадающего с принадлежащим ему знаком) ограничено теми товарными знаками, текущее использование которых может быть доказано. Независимо от доказанности текущего использования знаков соответствующими данными, владельцы товарных знаков будут также иметь право пользоваться ограниченным по времени действия сервисом «Claims» (возможностью уведомления потенциального регистранта доменного имени о наличии потенциально конфликтующего права на товарный знак, а также уведомления соответствующего владельца (владельцев) товарного знака в случае, если регистрант все же регистрирует доменное имя). Согласно решению ICANN, в настоящее время сервис «Claims» действует не более 90 дней после того, как новый рДВУ становится доступен для общей публичной регистрации, но клиенты ЦОИТЗ вправе подать ходатайство о направлении им соответствующей информации в течение неопределенного времени. Требование наличия доказательств использования знака, необходимое для пользования сервисом «Sunrise», касается также ссылки на существование товарных знаков в качестве основания для подачи иска в соответствии с описанным в настоящем документе механизмов охраны прав «Единая система быстрого приостановления действия».</w:t>
      </w:r>
    </w:p>
  </w:footnote>
  <w:footnote w:id="57">
    <w:p w14:paraId="0C760E0D" w14:textId="77777777" w:rsidR="007507C6" w:rsidRPr="000B79EF" w:rsidRDefault="007507C6" w:rsidP="00F508DB">
      <w:pPr>
        <w:pStyle w:val="FootnoteText"/>
        <w:rPr>
          <w:szCs w:val="18"/>
          <w:lang w:val="ru-RU"/>
        </w:rPr>
      </w:pPr>
      <w:r w:rsidRPr="000B79EF">
        <w:rPr>
          <w:rStyle w:val="FootnoteReference"/>
          <w:lang w:val="ru-RU"/>
        </w:rPr>
        <w:footnoteRef/>
      </w:r>
      <w:r w:rsidRPr="000B79EF">
        <w:rPr>
          <w:lang w:val="ru-RU"/>
        </w:rPr>
        <w:tab/>
        <w:t xml:space="preserve">См. </w:t>
      </w:r>
      <w:hyperlink r:id="rId30" w:history="1">
        <w:r w:rsidRPr="000B79EF">
          <w:rPr>
            <w:rStyle w:val="Hyperlink"/>
            <w:lang w:val="ru-RU"/>
          </w:rPr>
          <w:t>http://trademark-clearinghouse.com/content/tmch-stats</w:t>
        </w:r>
      </w:hyperlink>
      <w:r w:rsidRPr="000B79EF">
        <w:rPr>
          <w:lang w:val="ru-RU"/>
        </w:rPr>
        <w:t>.</w:t>
      </w:r>
    </w:p>
  </w:footnote>
  <w:footnote w:id="58">
    <w:p w14:paraId="26EB9011" w14:textId="77777777" w:rsidR="007507C6" w:rsidRPr="000B79EF" w:rsidRDefault="007507C6" w:rsidP="00F508DB">
      <w:pPr>
        <w:pStyle w:val="FootnoteText"/>
        <w:rPr>
          <w:lang w:val="ru-RU"/>
        </w:rPr>
      </w:pPr>
      <w:r w:rsidRPr="000B79EF">
        <w:rPr>
          <w:rStyle w:val="FootnoteReference"/>
          <w:lang w:val="ru-RU"/>
        </w:rPr>
        <w:footnoteRef/>
      </w:r>
      <w:r w:rsidRPr="000B79EF">
        <w:rPr>
          <w:lang w:val="ru-RU"/>
        </w:rPr>
        <w:tab/>
        <w:t xml:space="preserve">Центр, со своей стороны, направил в ICANN для обсуждения в апреле 2009 г. проект документа «Ускоренный механизм приостановления действия регистрации (доменных имен)» (см. </w:t>
      </w:r>
      <w:hyperlink r:id="rId31" w:history="1">
        <w:r w:rsidRPr="000B79EF">
          <w:rPr>
            <w:rStyle w:val="Hyperlink"/>
            <w:lang w:val="ru-RU"/>
          </w:rPr>
          <w:t>http://www.wipo.int/amc/en/docs/icann030409.pdf</w:t>
        </w:r>
      </w:hyperlink>
      <w:r w:rsidRPr="000B79EF">
        <w:rPr>
          <w:lang w:val="ru-RU"/>
        </w:rPr>
        <w:t xml:space="preserve">) и затем внес на заседаниях ICANN предложения об оптимизации механизма, основанного на этой модели (см. </w:t>
      </w:r>
      <w:hyperlink r:id="rId32" w:history="1">
        <w:r w:rsidRPr="000B79EF">
          <w:rPr>
            <w:rStyle w:val="Hyperlink"/>
            <w:lang w:val="ru-RU"/>
          </w:rPr>
          <w:t>http://prague44.icann.org/node/31773</w:t>
        </w:r>
      </w:hyperlink>
      <w:r w:rsidRPr="000B79EF">
        <w:rPr>
          <w:lang w:val="ru-RU"/>
        </w:rPr>
        <w:t xml:space="preserve"> и </w:t>
      </w:r>
      <w:hyperlink r:id="rId33" w:history="1">
        <w:r w:rsidRPr="000B79EF">
          <w:rPr>
            <w:rStyle w:val="Hyperlink"/>
            <w:lang w:val="ru-RU"/>
          </w:rPr>
          <w:t>http://toronto45.icann.org/node/34325</w:t>
        </w:r>
      </w:hyperlink>
      <w:r w:rsidRPr="000B79EF">
        <w:rPr>
          <w:lang w:val="ru-RU"/>
        </w:rPr>
        <w:t xml:space="preserve">). Эти предложения учитывали необходимость разумного равновесия между охраной признаваемых законом прав на товарный знак, практической заинтересованностью добросовестных регистрационных органов в минимизации их рабочей нагрузки и законными ожиданиями добросовестных регистрантов доменных имен.  </w:t>
      </w:r>
    </w:p>
  </w:footnote>
  <w:footnote w:id="59">
    <w:p w14:paraId="40F94D86" w14:textId="77777777" w:rsidR="007507C6" w:rsidRPr="000B79EF" w:rsidRDefault="007507C6" w:rsidP="00F508DB">
      <w:pPr>
        <w:pStyle w:val="FootnoteText"/>
        <w:rPr>
          <w:szCs w:val="18"/>
          <w:lang w:val="ru-RU"/>
        </w:rPr>
      </w:pPr>
      <w:r w:rsidRPr="000B79EF">
        <w:rPr>
          <w:rStyle w:val="FootnoteReference"/>
          <w:lang w:val="ru-RU"/>
        </w:rPr>
        <w:footnoteRef/>
      </w:r>
      <w:r w:rsidRPr="000B79EF">
        <w:rPr>
          <w:lang w:val="ru-RU"/>
        </w:rPr>
        <w:tab/>
        <w:t xml:space="preserve">Подробный перечень таких вопросов содержится, в частности, в письме Центра от 2 декабря 2010 г., которое можно найти по адресу: </w:t>
      </w:r>
      <w:hyperlink r:id="rId34" w:history="1">
        <w:r w:rsidRPr="000B79EF">
          <w:rPr>
            <w:rStyle w:val="Hyperlink"/>
            <w:lang w:val="ru-RU"/>
          </w:rPr>
          <w:t>www.wipo.int/amc/en/docs/icann021210.pdf</w:t>
        </w:r>
      </w:hyperlink>
      <w:r w:rsidRPr="000B79EF">
        <w:rPr>
          <w:lang w:val="ru-RU"/>
        </w:rPr>
        <w:t xml:space="preserve">. </w:t>
      </w:r>
    </w:p>
  </w:footnote>
  <w:footnote w:id="60">
    <w:p w14:paraId="3562D5E9" w14:textId="77777777" w:rsidR="007507C6" w:rsidRPr="000B79EF" w:rsidRDefault="007507C6" w:rsidP="00F508DB">
      <w:pPr>
        <w:pStyle w:val="FootnoteText"/>
        <w:rPr>
          <w:szCs w:val="18"/>
          <w:lang w:val="ru-RU"/>
        </w:rPr>
      </w:pPr>
      <w:r w:rsidRPr="000B79EF">
        <w:rPr>
          <w:rStyle w:val="FootnoteReference"/>
          <w:lang w:val="ru-RU"/>
        </w:rPr>
        <w:footnoteRef/>
      </w:r>
      <w:r w:rsidRPr="000B79EF">
        <w:rPr>
          <w:lang w:val="ru-RU"/>
        </w:rPr>
        <w:tab/>
        <w:t xml:space="preserve">Вопрос аккредитации провайдеров услуг вызывает обеспокоенность по поводу стабильности МОП; ВОИС поднимала этот вопрос в контексте ЕПУС еще в 2007 г. (см. </w:t>
      </w:r>
      <w:hyperlink r:id="rId35" w:history="1">
        <w:r w:rsidRPr="000B79EF">
          <w:rPr>
            <w:rStyle w:val="Hyperlink"/>
            <w:lang w:val="ru-RU"/>
          </w:rPr>
          <w:t>http://www.wipo.int/amc/en/docs/icann040707.pdf</w:t>
        </w:r>
      </w:hyperlink>
      <w:r w:rsidRPr="000B79EF">
        <w:rPr>
          <w:lang w:val="ru-RU"/>
        </w:rPr>
        <w:t xml:space="preserve">).  </w:t>
      </w:r>
    </w:p>
  </w:footnote>
  <w:footnote w:id="61">
    <w:p w14:paraId="7D153606" w14:textId="354BF11E" w:rsidR="007507C6" w:rsidRPr="000B79EF" w:rsidRDefault="007507C6" w:rsidP="009F18DB">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Несмотря на обсуждения, проведенные в 2011 г., в ходе которых явное большинство участников высказали мнение о том, что любой пересмотр ЕПУС со стороны ICANN как органа, основной функцией которого является обеспечение регистраций, может принести больше вреда, чем пользы.</w:t>
      </w:r>
      <w:r w:rsidRPr="000B79EF">
        <w:rPr>
          <w:rFonts w:asciiTheme="minorBidi" w:hAnsiTheme="minorBidi" w:cstheme="minorBidi"/>
          <w:szCs w:val="18"/>
          <w:lang w:val="ru-RU"/>
        </w:rPr>
        <w:t xml:space="preserve"> См. https://community.icann.org/display/gnsoudrpdt/Webinar+on+the+Current+State+of+the+UDRP; </w:t>
      </w:r>
      <w:r w:rsidRPr="000B79EF">
        <w:rPr>
          <w:lang w:val="ru-RU"/>
        </w:rPr>
        <w:t>более общий контекст см. также в документе WO/GA/39/10, пункт 31</w:t>
      </w:r>
      <w:r w:rsidRPr="000B79EF">
        <w:rPr>
          <w:rFonts w:asciiTheme="minorBidi" w:hAnsiTheme="minorBidi" w:cstheme="minorBidi"/>
          <w:szCs w:val="18"/>
          <w:lang w:val="ru-RU"/>
        </w:rPr>
        <w:t>.</w:t>
      </w:r>
    </w:p>
  </w:footnote>
  <w:footnote w:id="62">
    <w:p w14:paraId="03A69035" w14:textId="77777777" w:rsidR="007507C6" w:rsidRPr="000B79EF" w:rsidRDefault="007507C6" w:rsidP="00F508DB">
      <w:pPr>
        <w:pStyle w:val="FootnoteText"/>
        <w:tabs>
          <w:tab w:val="left" w:pos="567"/>
        </w:tabs>
        <w:rPr>
          <w:lang w:val="ru-RU"/>
        </w:rPr>
      </w:pPr>
      <w:r w:rsidRPr="000B79EF">
        <w:rPr>
          <w:rStyle w:val="FootnoteReference"/>
          <w:lang w:val="ru-RU"/>
        </w:rPr>
        <w:footnoteRef/>
      </w:r>
      <w:r w:rsidRPr="000B79EF">
        <w:rPr>
          <w:lang w:val="ru-RU"/>
        </w:rPr>
        <w:tab/>
        <w:t xml:space="preserve">См. </w:t>
      </w:r>
      <w:hyperlink r:id="rId36" w:history="1">
        <w:r w:rsidRPr="000B79EF">
          <w:rPr>
            <w:rStyle w:val="Hyperlink"/>
            <w:lang w:val="ru-RU"/>
          </w:rPr>
          <w:t>http://gnso.icann.org/en/issues/new-gtlds/rpm-prelim-issue-09oct15-en.pdf</w:t>
        </w:r>
      </w:hyperlink>
      <w:r w:rsidRPr="000B79EF">
        <w:rPr>
          <w:lang w:val="ru-RU"/>
        </w:rPr>
        <w:t>.</w:t>
      </w:r>
    </w:p>
  </w:footnote>
  <w:footnote w:id="63">
    <w:p w14:paraId="27F6D398" w14:textId="2D59A36C" w:rsidR="007507C6" w:rsidRPr="000B79EF" w:rsidRDefault="007507C6" w:rsidP="00B555E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https://gnso.icann.org/sites/default/files/file/field-file-attach/rpm-phase-1-proposed-24nov20-en.pdf.</w:t>
      </w:r>
    </w:p>
  </w:footnote>
  <w:footnote w:id="64">
    <w:p w14:paraId="43203866" w14:textId="3B2785D5" w:rsidR="007507C6" w:rsidRPr="000B79EF" w:rsidRDefault="007507C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 xml:space="preserve">См., в частности, «Раздел I: Описание и объяснение», в том числе три категории изменений, которые предлагается внести в МОП, на следующей странице: https://www.icann.org/public-comments/gnso-rpm-pdp-phase-1-final-recommendations-2021-04-07-en. </w:t>
      </w:r>
    </w:p>
  </w:footnote>
  <w:footnote w:id="65">
    <w:p w14:paraId="46207426" w14:textId="3F7077F5" w:rsidR="007507C6" w:rsidRPr="000B79EF" w:rsidRDefault="007507C6" w:rsidP="00797ADA">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797ADA">
        <w:rPr>
          <w:rFonts w:asciiTheme="minorBidi" w:hAnsiTheme="minorBidi" w:cstheme="minorBidi"/>
          <w:szCs w:val="18"/>
        </w:rPr>
        <w:t xml:space="preserve"> </w:t>
      </w:r>
      <w:r w:rsidRPr="00797ADA">
        <w:rPr>
          <w:rFonts w:asciiTheme="minorBidi" w:hAnsiTheme="minorBidi" w:cstheme="minorBidi"/>
          <w:szCs w:val="18"/>
        </w:rPr>
        <w:tab/>
      </w:r>
      <w:r w:rsidRPr="000B79EF">
        <w:rPr>
          <w:rFonts w:asciiTheme="minorBidi" w:hAnsiTheme="minorBidi" w:cstheme="minorBidi"/>
          <w:szCs w:val="18"/>
          <w:lang w:val="ru-RU"/>
        </w:rPr>
        <w:t>См</w:t>
      </w:r>
      <w:r w:rsidRPr="00797ADA">
        <w:rPr>
          <w:rFonts w:asciiTheme="minorBidi" w:hAnsiTheme="minorBidi" w:cstheme="minorBidi"/>
          <w:szCs w:val="18"/>
        </w:rPr>
        <w:t xml:space="preserve">. </w:t>
      </w:r>
      <w:hyperlink r:id="rId37" w:history="1">
        <w:r w:rsidRPr="005C6113">
          <w:rPr>
            <w:rStyle w:val="Hyperlink"/>
            <w:rFonts w:asciiTheme="minorBidi" w:hAnsiTheme="minorBidi" w:cstheme="minorBidi"/>
            <w:szCs w:val="18"/>
          </w:rPr>
          <w:t>https</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gnso</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icann</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org</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en</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issues</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new</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gtlds</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rpm</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final</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issue</w:t>
        </w:r>
        <w:r w:rsidRPr="00365255">
          <w:rPr>
            <w:rStyle w:val="Hyperlink"/>
            <w:rFonts w:asciiTheme="minorBidi" w:hAnsiTheme="minorBidi" w:cstheme="minorBidi"/>
            <w:szCs w:val="18"/>
            <w:lang w:val="ru-RU"/>
          </w:rPr>
          <w:t>-11</w:t>
        </w:r>
        <w:r w:rsidRPr="005C6113">
          <w:rPr>
            <w:rStyle w:val="Hyperlink"/>
            <w:rFonts w:asciiTheme="minorBidi" w:hAnsiTheme="minorBidi" w:cstheme="minorBidi"/>
            <w:szCs w:val="18"/>
          </w:rPr>
          <w:t>jan</w:t>
        </w:r>
        <w:r w:rsidRPr="00365255">
          <w:rPr>
            <w:rStyle w:val="Hyperlink"/>
            <w:rFonts w:asciiTheme="minorBidi" w:hAnsiTheme="minorBidi" w:cstheme="minorBidi"/>
            <w:szCs w:val="18"/>
            <w:lang w:val="ru-RU"/>
          </w:rPr>
          <w:t>16-</w:t>
        </w:r>
        <w:r w:rsidRPr="005C6113">
          <w:rPr>
            <w:rStyle w:val="Hyperlink"/>
            <w:rFonts w:asciiTheme="minorBidi" w:hAnsiTheme="minorBidi" w:cstheme="minorBidi"/>
            <w:szCs w:val="18"/>
          </w:rPr>
          <w:t>en</w:t>
        </w:r>
        <w:r w:rsidRPr="00365255">
          <w:rPr>
            <w:rStyle w:val="Hyperlink"/>
            <w:rFonts w:asciiTheme="minorBidi" w:hAnsiTheme="minorBidi" w:cstheme="minorBidi"/>
            <w:szCs w:val="18"/>
            <w:lang w:val="ru-RU"/>
          </w:rPr>
          <w:t>.</w:t>
        </w:r>
        <w:r w:rsidRPr="005C6113">
          <w:rPr>
            <w:rStyle w:val="Hyperlink"/>
            <w:rFonts w:asciiTheme="minorBidi" w:hAnsiTheme="minorBidi" w:cstheme="minorBidi"/>
            <w:szCs w:val="18"/>
          </w:rPr>
          <w:t>pdf</w:t>
        </w:r>
      </w:hyperlink>
      <w:r w:rsidRPr="00365255">
        <w:rPr>
          <w:rFonts w:asciiTheme="minorBidi" w:hAnsiTheme="minorBidi" w:cstheme="minorBidi"/>
          <w:szCs w:val="18"/>
          <w:lang w:val="ru-RU"/>
        </w:rPr>
        <w:t xml:space="preserve"> </w:t>
      </w:r>
      <w:r>
        <w:rPr>
          <w:rFonts w:asciiTheme="minorBidi" w:hAnsiTheme="minorBidi" w:cstheme="minorBidi"/>
          <w:szCs w:val="18"/>
          <w:lang w:val="ru-RU"/>
        </w:rPr>
        <w:t>и</w:t>
      </w:r>
      <w:r w:rsidRPr="00365255">
        <w:rPr>
          <w:rFonts w:asciiTheme="minorBidi" w:hAnsiTheme="minorBidi" w:cstheme="minorBidi"/>
          <w:szCs w:val="18"/>
          <w:lang w:val="ru-RU"/>
        </w:rPr>
        <w:t xml:space="preserve"> </w:t>
      </w:r>
      <w:r>
        <w:rPr>
          <w:rFonts w:asciiTheme="minorBidi" w:hAnsiTheme="minorBidi" w:cstheme="minorBidi"/>
          <w:szCs w:val="18"/>
          <w:lang w:val="ru-RU"/>
        </w:rPr>
        <w:t>позже</w:t>
      </w:r>
      <w:r w:rsidRPr="00365255">
        <w:rPr>
          <w:rFonts w:asciiTheme="minorBidi" w:hAnsiTheme="minorBidi" w:cstheme="minorBidi"/>
          <w:szCs w:val="18"/>
          <w:lang w:val="ru-RU"/>
        </w:rPr>
        <w:t xml:space="preserve"> </w:t>
      </w:r>
      <w:r>
        <w:rPr>
          <w:rFonts w:asciiTheme="minorBidi" w:hAnsiTheme="minorBidi" w:cstheme="minorBidi"/>
          <w:szCs w:val="18"/>
          <w:lang w:val="ru-RU"/>
        </w:rPr>
        <w:t>подготовленный</w:t>
      </w:r>
      <w:r w:rsidRPr="00365255">
        <w:rPr>
          <w:rFonts w:asciiTheme="minorBidi" w:hAnsiTheme="minorBidi" w:cstheme="minorBidi"/>
          <w:szCs w:val="18"/>
          <w:lang w:val="ru-RU"/>
        </w:rPr>
        <w:t xml:space="preserve"> </w:t>
      </w:r>
      <w:r>
        <w:rPr>
          <w:rFonts w:asciiTheme="minorBidi" w:hAnsiTheme="minorBidi" w:cstheme="minorBidi"/>
          <w:szCs w:val="18"/>
          <w:lang w:val="ru-RU"/>
        </w:rPr>
        <w:t>сотрудниками</w:t>
      </w:r>
      <w:r w:rsidRPr="00365255">
        <w:rPr>
          <w:rFonts w:asciiTheme="minorBidi" w:hAnsiTheme="minorBidi" w:cstheme="minorBidi"/>
          <w:szCs w:val="18"/>
          <w:lang w:val="ru-RU"/>
        </w:rPr>
        <w:t xml:space="preserve"> </w:t>
      </w:r>
      <w:r w:rsidRPr="00797ADA">
        <w:rPr>
          <w:rFonts w:asciiTheme="minorBidi" w:hAnsiTheme="minorBidi" w:cstheme="minorBidi"/>
          <w:szCs w:val="18"/>
        </w:rPr>
        <w:t>ICANN</w:t>
      </w:r>
      <w:r w:rsidRPr="00365255">
        <w:rPr>
          <w:rFonts w:asciiTheme="minorBidi" w:hAnsiTheme="minorBidi" w:cstheme="minorBidi"/>
          <w:szCs w:val="18"/>
          <w:lang w:val="ru-RU"/>
        </w:rPr>
        <w:t xml:space="preserve"> </w:t>
      </w:r>
      <w:r>
        <w:rPr>
          <w:rFonts w:asciiTheme="minorBidi" w:hAnsiTheme="minorBidi" w:cstheme="minorBidi"/>
          <w:szCs w:val="18"/>
          <w:lang w:val="ru-RU"/>
        </w:rPr>
        <w:t>«Программный отчет о проделанной работе»</w:t>
      </w:r>
      <w:r w:rsidRPr="00365255">
        <w:rPr>
          <w:rFonts w:asciiTheme="minorBidi" w:hAnsiTheme="minorBidi" w:cstheme="minorBidi"/>
          <w:szCs w:val="18"/>
          <w:lang w:val="ru-RU"/>
        </w:rPr>
        <w:t xml:space="preserve"> (</w:t>
      </w:r>
      <w:hyperlink r:id="rId38" w:history="1">
        <w:r w:rsidRPr="005C6113">
          <w:rPr>
            <w:rStyle w:val="Hyperlink"/>
            <w:rFonts w:asciiTheme="minorBidi" w:hAnsiTheme="minorBidi" w:cstheme="minorBidi"/>
            <w:szCs w:val="18"/>
          </w:rPr>
          <w:t>https</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www</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icann</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org</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en</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public</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comment</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proceeding</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policy</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status</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report</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uniform</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domain</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name</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dispute</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resolution</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policy</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udrp</w:t>
        </w:r>
        <w:r w:rsidRPr="005C6113">
          <w:rPr>
            <w:rStyle w:val="Hyperlink"/>
            <w:rFonts w:asciiTheme="minorBidi" w:hAnsiTheme="minorBidi" w:cstheme="minorBidi"/>
            <w:szCs w:val="18"/>
            <w:lang w:val="ru-RU"/>
          </w:rPr>
          <w:t>-03-03-2022</w:t>
        </w:r>
      </w:hyperlink>
      <w:r w:rsidRPr="00365255">
        <w:rPr>
          <w:rFonts w:asciiTheme="minorBidi" w:hAnsiTheme="minorBidi" w:cstheme="minorBidi"/>
          <w:szCs w:val="18"/>
          <w:lang w:val="ru-RU"/>
        </w:rPr>
        <w:t>)</w:t>
      </w:r>
      <w:r>
        <w:rPr>
          <w:rFonts w:asciiTheme="minorBidi" w:hAnsiTheme="minorBidi" w:cstheme="minorBidi"/>
          <w:szCs w:val="18"/>
          <w:lang w:val="ru-RU"/>
        </w:rPr>
        <w:t>, для которого Центр представляет материалы</w:t>
      </w:r>
      <w:r w:rsidRPr="00365255">
        <w:rPr>
          <w:rFonts w:asciiTheme="minorBidi" w:hAnsiTheme="minorBidi" w:cstheme="minorBidi"/>
          <w:szCs w:val="18"/>
          <w:lang w:val="ru-RU"/>
        </w:rPr>
        <w:t>.</w:t>
      </w:r>
    </w:p>
  </w:footnote>
  <w:footnote w:id="66">
    <w:p w14:paraId="6614C080" w14:textId="516147D2" w:rsidR="007507C6" w:rsidRPr="000B79EF" w:rsidRDefault="007507C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В частности, имя и адрес электронной почты регистранта в большинстве случаев не раскрываются</w:t>
      </w:r>
      <w:r w:rsidRPr="000B79EF">
        <w:rPr>
          <w:rFonts w:asciiTheme="minorBidi" w:hAnsiTheme="minorBidi" w:cstheme="minorBidi"/>
          <w:szCs w:val="18"/>
          <w:lang w:val="ru-RU"/>
        </w:rPr>
        <w:t xml:space="preserve">. </w:t>
      </w:r>
      <w:r w:rsidRPr="000B79EF">
        <w:rPr>
          <w:lang w:val="ru-RU"/>
        </w:rPr>
        <w:t>Однако для упрощения контакта с регистрантом доменного имени, регистратор обязан указать обезличенный адрес электронной почты или предоставить форму обратной связи</w:t>
      </w:r>
      <w:r w:rsidRPr="000B79EF">
        <w:rPr>
          <w:rFonts w:asciiTheme="minorBidi" w:hAnsiTheme="minorBidi" w:cstheme="minorBidi"/>
          <w:szCs w:val="18"/>
          <w:lang w:val="ru-RU"/>
        </w:rPr>
        <w:t>.</w:t>
      </w:r>
    </w:p>
  </w:footnote>
  <w:footnote w:id="67">
    <w:p w14:paraId="4529E184" w14:textId="23619704" w:rsidR="007507C6" w:rsidRPr="000B79EF" w:rsidRDefault="007507C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Во «временных условиях [контракта]», установленных ICANN применительно к регистрации данных для рДВУ, было четко прописано, что регистратор должен предоставить полные «данные о регистрации» провайдеру ЕПУС. При этом, судя по всему, исходили из того, что провайдеры ЕПУС соответствуют критериям статьи 6(1)(f) («законные цели») и статьи 6(1)(b) («исполнение контракта») GDRP, в соответствии с которыми регистраторы обязаны предоставлять провайдерами ЕПУС данные WhoIs</w:t>
      </w:r>
      <w:r w:rsidRPr="000B79EF">
        <w:rPr>
          <w:rFonts w:asciiTheme="minorBidi" w:hAnsiTheme="minorBidi" w:cstheme="minorBidi"/>
          <w:szCs w:val="18"/>
          <w:lang w:val="ru-RU"/>
        </w:rPr>
        <w:t>.</w:t>
      </w:r>
    </w:p>
  </w:footnote>
  <w:footnote w:id="68">
    <w:p w14:paraId="784195CF" w14:textId="77777777" w:rsidR="007507C6" w:rsidRPr="000B79EF" w:rsidRDefault="007507C6" w:rsidP="006323C9">
      <w:pPr>
        <w:pStyle w:val="FootnoteText"/>
        <w:rPr>
          <w:lang w:val="ru-RU"/>
        </w:rPr>
      </w:pPr>
      <w:r w:rsidRPr="000B79EF">
        <w:rPr>
          <w:rStyle w:val="FootnoteReference"/>
          <w:lang w:val="ru-RU"/>
        </w:rPr>
        <w:footnoteRef/>
      </w:r>
      <w:r w:rsidRPr="000B79EF">
        <w:rPr>
          <w:lang w:val="ru-RU"/>
        </w:rPr>
        <w:tab/>
        <w:t xml:space="preserve">См. </w:t>
      </w:r>
      <w:hyperlink r:id="rId39" w:history="1">
        <w:r w:rsidRPr="000B79EF">
          <w:rPr>
            <w:rStyle w:val="Hyperlink"/>
            <w:lang w:val="ru-RU"/>
          </w:rPr>
          <w:t>https://www.icann.org/en/system/files/files/framework-elements-unified-access-model-for-discussion-18jun18-en.pdf</w:t>
        </w:r>
      </w:hyperlink>
      <w:r w:rsidRPr="000B79EF">
        <w:rPr>
          <w:lang w:val="ru-RU"/>
        </w:rPr>
        <w:t xml:space="preserve">. </w:t>
      </w:r>
    </w:p>
  </w:footnote>
  <w:footnote w:id="69">
    <w:p w14:paraId="280020A6" w14:textId="77777777" w:rsidR="007507C6" w:rsidRPr="000B79EF" w:rsidRDefault="007507C6" w:rsidP="006323C9">
      <w:pPr>
        <w:pStyle w:val="FootnoteText"/>
        <w:rPr>
          <w:lang w:val="ru-RU"/>
        </w:rPr>
      </w:pPr>
      <w:r w:rsidRPr="000B79EF">
        <w:rPr>
          <w:rStyle w:val="FootnoteReference"/>
          <w:lang w:val="ru-RU"/>
        </w:rPr>
        <w:footnoteRef/>
      </w:r>
      <w:r w:rsidRPr="000B79EF">
        <w:rPr>
          <w:lang w:val="ru-RU"/>
        </w:rPr>
        <w:tab/>
        <w:t xml:space="preserve">См. Первоначальный отчет о ходе Ускоренного процесса разработки политики (УПРП) в отношении временной спецификации для Группы анализа данных о регистрации для рДВУ – ЭТАП 2, включая публичные замечания: </w:t>
      </w:r>
      <w:hyperlink r:id="rId40" w:history="1">
        <w:r w:rsidRPr="000B79EF">
          <w:rPr>
            <w:rStyle w:val="Hyperlink"/>
            <w:lang w:val="ru-RU"/>
          </w:rPr>
          <w:t>https://www.icann.org/public-comments/epdp-phase-2-initial-2020-02-07-en</w:t>
        </w:r>
      </w:hyperlink>
      <w:r w:rsidRPr="000B79EF">
        <w:rPr>
          <w:lang w:val="ru-RU"/>
        </w:rPr>
        <w:t>.</w:t>
      </w:r>
      <w:r w:rsidRPr="000B79EF">
        <w:rPr>
          <w:shd w:val="clear" w:color="auto" w:fill="FFFFFF" w:themeFill="background1"/>
          <w:lang w:val="ru-RU"/>
        </w:rPr>
        <w:t xml:space="preserve"> См. также повестку дня совещания ICANN, состоявшегося в июне 2020 г.: </w:t>
      </w:r>
      <w:hyperlink r:id="rId41" w:history="1">
        <w:r w:rsidRPr="000B79EF">
          <w:rPr>
            <w:rStyle w:val="Hyperlink"/>
            <w:shd w:val="clear" w:color="auto" w:fill="FFFFFF" w:themeFill="background1"/>
            <w:lang w:val="ru-RU"/>
          </w:rPr>
          <w:t>https://68.schedule.icann.org/</w:t>
        </w:r>
      </w:hyperlink>
      <w:r w:rsidRPr="000B79EF">
        <w:rPr>
          <w:shd w:val="clear" w:color="auto" w:fill="FFFFFF" w:themeFill="background1"/>
          <w:lang w:val="ru-RU"/>
        </w:rPr>
        <w:t>.</w:t>
      </w:r>
    </w:p>
  </w:footnote>
  <w:footnote w:id="70">
    <w:p w14:paraId="54A5B9EA" w14:textId="77777777" w:rsidR="007507C6" w:rsidRPr="000D2F2A" w:rsidRDefault="007507C6" w:rsidP="006323C9">
      <w:pPr>
        <w:pStyle w:val="FootnoteText"/>
      </w:pPr>
      <w:r w:rsidRPr="000B79EF">
        <w:rPr>
          <w:rStyle w:val="FootnoteReference"/>
          <w:lang w:val="ru-RU"/>
        </w:rPr>
        <w:footnoteRef/>
      </w:r>
      <w:r w:rsidRPr="000B79EF">
        <w:rPr>
          <w:lang w:val="ru-RU"/>
        </w:rPr>
        <w:tab/>
        <w:t xml:space="preserve">См. также Окончательный план ICANN по реализации ускоренного процесса введения IDN нДВУ, опубликованный в ноябре 2009 г. (см. </w:t>
      </w:r>
      <w:hyperlink r:id="rId42" w:history="1">
        <w:r w:rsidRPr="000D2F2A">
          <w:rPr>
            <w:rStyle w:val="Hyperlink"/>
          </w:rPr>
          <w:t>http://www.icann.org/en/topics/idn/fast-track/idn-cctld-implementation-plan-16nov09-en.pdf</w:t>
        </w:r>
      </w:hyperlink>
      <w:r w:rsidRPr="000D2F2A">
        <w:t xml:space="preserve">). </w:t>
      </w:r>
      <w:r w:rsidRPr="000B79EF">
        <w:rPr>
          <w:lang w:val="ru-RU"/>
        </w:rPr>
        <w:t xml:space="preserve">С этого времени в рамках обозначенного плана уже были введены несколько IDN нДВУ, связанных с двухбуквенными кодами в стандарте ISO 3166-1 (см. </w:t>
      </w:r>
      <w:hyperlink r:id="rId43" w:history="1">
        <w:r w:rsidRPr="000D2F2A">
          <w:rPr>
            <w:rStyle w:val="Hyperlink"/>
          </w:rPr>
          <w:t>http://www.iso.org/iso/english_country_names_and_code_elements</w:t>
        </w:r>
      </w:hyperlink>
      <w:r w:rsidRPr="000D2F2A">
        <w:t xml:space="preserve">).  </w:t>
      </w:r>
    </w:p>
  </w:footnote>
  <w:footnote w:id="71">
    <w:p w14:paraId="78896A93" w14:textId="1E2F7891" w:rsidR="007507C6" w:rsidRPr="000B79EF" w:rsidRDefault="007507C6"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t xml:space="preserve">См. http://www.wipo.int/edocs/mdocs/govbody/en/wo_ga_28/wo_ga_28_3.pdf; см. также документы SCT/9/8, пункты 6-11; и SCT/9/9, пункт 149. </w:t>
      </w:r>
      <w:r w:rsidRPr="000B79EF">
        <w:rPr>
          <w:lang w:val="ru-RU"/>
        </w:rPr>
        <w:t>Секретариат ВОИС передал эти рекомендации ICANN</w:t>
      </w:r>
      <w:r w:rsidRPr="000B79EF">
        <w:rPr>
          <w:rFonts w:asciiTheme="minorBidi" w:hAnsiTheme="minorBidi" w:cstheme="minorBidi"/>
          <w:szCs w:val="18"/>
          <w:lang w:val="ru-RU"/>
        </w:rPr>
        <w:t>. См. http://www.wipo.int/amc/en/docs/wipo.doc.</w:t>
      </w:r>
    </w:p>
  </w:footnote>
  <w:footnote w:id="72">
    <w:p w14:paraId="4ACA8C01" w14:textId="1349D38D" w:rsidR="007507C6" w:rsidRPr="000B79EF" w:rsidRDefault="007507C6"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https://www.wipo.int/about-wipo/en/assemblies/2021/a_62/doc_details.jsp?doc_id=507114, пункты 44</w:t>
      </w:r>
      <w:r w:rsidRPr="000B79EF">
        <w:rPr>
          <w:rFonts w:asciiTheme="minorBidi" w:hAnsiTheme="minorBidi" w:cstheme="minorBidi"/>
          <w:szCs w:val="18"/>
          <w:lang w:val="ru-RU"/>
        </w:rPr>
        <w:noBreakHyphen/>
        <w:t>51.</w:t>
      </w:r>
    </w:p>
  </w:footnote>
  <w:footnote w:id="73">
    <w:p w14:paraId="5769CCEA" w14:textId="4E7284A9" w:rsidR="007507C6" w:rsidRPr="000B79EF" w:rsidRDefault="007507C6"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https://gnso.icann.org/en/council/resolutions#201905.</w:t>
      </w:r>
    </w:p>
  </w:footnote>
  <w:footnote w:id="74">
    <w:p w14:paraId="10E722F3" w14:textId="4033E129" w:rsidR="007507C6" w:rsidRPr="000B79EF" w:rsidRDefault="007507C6">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См. https://www.icann.org/en/system/files/correspondence/botterman-to-ismail-23feb21-en.pdf.</w:t>
      </w:r>
    </w:p>
  </w:footnote>
  <w:footnote w:id="75">
    <w:p w14:paraId="0E347403" w14:textId="589EA154" w:rsidR="007507C6" w:rsidRPr="000D2F2A" w:rsidRDefault="007507C6" w:rsidP="00260798">
      <w:pPr>
        <w:pStyle w:val="FootnoteText"/>
        <w:rPr>
          <w:rFonts w:asciiTheme="minorBidi" w:hAnsiTheme="minorBidi" w:cstheme="minorBidi"/>
          <w:szCs w:val="18"/>
        </w:rPr>
      </w:pPr>
      <w:r w:rsidRPr="000B79EF">
        <w:rPr>
          <w:rStyle w:val="FootnoteReference"/>
          <w:rFonts w:asciiTheme="minorBidi" w:hAnsiTheme="minorBidi" w:cstheme="minorBidi"/>
          <w:szCs w:val="18"/>
          <w:lang w:val="ru-RU"/>
        </w:rPr>
        <w:footnoteRef/>
      </w:r>
      <w:r w:rsidRPr="000D2F2A">
        <w:rPr>
          <w:rFonts w:asciiTheme="minorBidi" w:hAnsiTheme="minorBidi" w:cstheme="minorBidi"/>
          <w:szCs w:val="18"/>
        </w:rPr>
        <w:t xml:space="preserve"> </w:t>
      </w:r>
      <w:r w:rsidRPr="000D2F2A">
        <w:rPr>
          <w:rFonts w:asciiTheme="minorBidi" w:hAnsiTheme="minorBidi" w:cstheme="minorBidi"/>
          <w:szCs w:val="18"/>
        </w:rPr>
        <w:tab/>
      </w:r>
      <w:r w:rsidRPr="000B79EF">
        <w:rPr>
          <w:rFonts w:asciiTheme="minorBidi" w:hAnsiTheme="minorBidi" w:cstheme="minorBidi"/>
          <w:szCs w:val="18"/>
          <w:lang w:val="ru-RU"/>
        </w:rPr>
        <w:t>См</w:t>
      </w:r>
      <w:r w:rsidRPr="000D2F2A">
        <w:rPr>
          <w:rFonts w:asciiTheme="minorBidi" w:hAnsiTheme="minorBidi" w:cstheme="minorBidi"/>
          <w:szCs w:val="18"/>
        </w:rPr>
        <w:t>. https://www.icann.org/en/system/files/files/resolutions-abudhabi60-gac-advice-scorecard-04feb18-en.pdf and https://gac.icann.org/contentMigrated/icann71-gac-communique.</w:t>
      </w:r>
    </w:p>
  </w:footnote>
  <w:footnote w:id="76">
    <w:p w14:paraId="1820CCFA" w14:textId="43B28A18" w:rsidR="007507C6" w:rsidRDefault="007507C6" w:rsidP="007507C6">
      <w:pPr>
        <w:pStyle w:val="FootnoteText"/>
      </w:pPr>
      <w:r>
        <w:rPr>
          <w:rStyle w:val="FootnoteReference"/>
        </w:rPr>
        <w:footnoteRef/>
      </w:r>
      <w:r>
        <w:t xml:space="preserve"> </w:t>
      </w:r>
      <w:r>
        <w:tab/>
      </w:r>
      <w:r>
        <w:rPr>
          <w:lang w:val="ru-RU"/>
        </w:rPr>
        <w:t>См</w:t>
      </w:r>
      <w:r w:rsidRPr="007507C6">
        <w:t>.</w:t>
      </w:r>
      <w:r>
        <w:t xml:space="preserve"> </w:t>
      </w:r>
      <w:r w:rsidRPr="009317BD">
        <w:t>gnso.icann.org/sites/default/files/file/field-file-attach/epdp-specific-crp-igo-final-report-02apr22-en.pdf</w:t>
      </w:r>
      <w:r>
        <w:t xml:space="preserve">. </w:t>
      </w:r>
    </w:p>
  </w:footnote>
  <w:footnote w:id="77">
    <w:p w14:paraId="0D533F41" w14:textId="03782FA4" w:rsidR="007507C6" w:rsidRPr="000B79EF" w:rsidRDefault="007507C6" w:rsidP="00260798">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7507C6">
        <w:rPr>
          <w:rFonts w:asciiTheme="minorBidi" w:hAnsiTheme="minorBidi" w:cstheme="minorBidi"/>
          <w:szCs w:val="18"/>
          <w:lang w:val="ru-RU"/>
        </w:rPr>
        <w:t xml:space="preserve"> </w:t>
      </w:r>
      <w:r w:rsidRPr="007507C6">
        <w:rPr>
          <w:rFonts w:asciiTheme="minorBidi" w:hAnsiTheme="minorBidi" w:cstheme="minorBidi"/>
          <w:szCs w:val="18"/>
          <w:lang w:val="ru-RU"/>
        </w:rPr>
        <w:tab/>
      </w:r>
      <w:r>
        <w:rPr>
          <w:rFonts w:asciiTheme="minorBidi" w:hAnsiTheme="minorBidi" w:cstheme="minorBidi"/>
          <w:szCs w:val="18"/>
          <w:lang w:val="ru-RU"/>
        </w:rPr>
        <w:t>В общем плане см.</w:t>
      </w:r>
      <w:r w:rsidRPr="007507C6">
        <w:rPr>
          <w:rFonts w:asciiTheme="minorBidi" w:hAnsiTheme="minorBidi" w:cstheme="minorBidi"/>
          <w:szCs w:val="18"/>
          <w:lang w:val="ru-RU"/>
        </w:rPr>
        <w:t xml:space="preserve"> </w:t>
      </w:r>
      <w:r w:rsidRPr="007507C6">
        <w:rPr>
          <w:rFonts w:asciiTheme="minorBidi" w:hAnsiTheme="minorBidi" w:cstheme="minorBidi"/>
          <w:szCs w:val="18"/>
        </w:rPr>
        <w:t>www</w:t>
      </w:r>
      <w:r w:rsidRPr="007507C6">
        <w:rPr>
          <w:rFonts w:asciiTheme="minorBidi" w:hAnsiTheme="minorBidi" w:cstheme="minorBidi"/>
          <w:szCs w:val="18"/>
          <w:lang w:val="ru-RU"/>
        </w:rPr>
        <w:t>.</w:t>
      </w:r>
      <w:r w:rsidRPr="007507C6">
        <w:rPr>
          <w:rFonts w:asciiTheme="minorBidi" w:hAnsiTheme="minorBidi" w:cstheme="minorBidi"/>
          <w:szCs w:val="18"/>
        </w:rPr>
        <w:t>icann</w:t>
      </w:r>
      <w:r w:rsidRPr="007507C6">
        <w:rPr>
          <w:rFonts w:asciiTheme="minorBidi" w:hAnsiTheme="minorBidi" w:cstheme="minorBidi"/>
          <w:szCs w:val="18"/>
          <w:lang w:val="ru-RU"/>
        </w:rPr>
        <w:t>.</w:t>
      </w:r>
      <w:r w:rsidRPr="007507C6">
        <w:rPr>
          <w:rFonts w:asciiTheme="minorBidi" w:hAnsiTheme="minorBidi" w:cstheme="minorBidi"/>
          <w:szCs w:val="18"/>
        </w:rPr>
        <w:t>org</w:t>
      </w:r>
      <w:r w:rsidRPr="007507C6">
        <w:rPr>
          <w:rFonts w:asciiTheme="minorBidi" w:hAnsiTheme="minorBidi" w:cstheme="minorBidi"/>
          <w:szCs w:val="18"/>
          <w:lang w:val="ru-RU"/>
        </w:rPr>
        <w:t>/</w:t>
      </w:r>
      <w:r w:rsidRPr="007507C6">
        <w:rPr>
          <w:rFonts w:asciiTheme="minorBidi" w:hAnsiTheme="minorBidi" w:cstheme="minorBidi"/>
          <w:szCs w:val="18"/>
        </w:rPr>
        <w:t>resources</w:t>
      </w:r>
      <w:r w:rsidRPr="007507C6">
        <w:rPr>
          <w:rFonts w:asciiTheme="minorBidi" w:hAnsiTheme="minorBidi" w:cstheme="minorBidi"/>
          <w:szCs w:val="18"/>
          <w:lang w:val="ru-RU"/>
        </w:rPr>
        <w:t>/</w:t>
      </w:r>
      <w:r w:rsidRPr="007507C6">
        <w:rPr>
          <w:rFonts w:asciiTheme="minorBidi" w:hAnsiTheme="minorBidi" w:cstheme="minorBidi"/>
          <w:szCs w:val="18"/>
        </w:rPr>
        <w:t>pages</w:t>
      </w:r>
      <w:r w:rsidRPr="007507C6">
        <w:rPr>
          <w:rFonts w:asciiTheme="minorBidi" w:hAnsiTheme="minorBidi" w:cstheme="minorBidi"/>
          <w:szCs w:val="18"/>
          <w:lang w:val="ru-RU"/>
        </w:rPr>
        <w:t>/</w:t>
      </w:r>
      <w:r w:rsidRPr="007507C6">
        <w:rPr>
          <w:rFonts w:asciiTheme="minorBidi" w:hAnsiTheme="minorBidi" w:cstheme="minorBidi"/>
          <w:szCs w:val="18"/>
        </w:rPr>
        <w:t>igo</w:t>
      </w:r>
      <w:r w:rsidRPr="007507C6">
        <w:rPr>
          <w:rFonts w:asciiTheme="minorBidi" w:hAnsiTheme="minorBidi" w:cstheme="minorBidi"/>
          <w:szCs w:val="18"/>
          <w:lang w:val="ru-RU"/>
        </w:rPr>
        <w:t>-</w:t>
      </w:r>
      <w:r w:rsidRPr="007507C6">
        <w:rPr>
          <w:rFonts w:asciiTheme="minorBidi" w:hAnsiTheme="minorBidi" w:cstheme="minorBidi"/>
          <w:szCs w:val="18"/>
        </w:rPr>
        <w:t>ingo</w:t>
      </w:r>
      <w:r w:rsidRPr="007507C6">
        <w:rPr>
          <w:rFonts w:asciiTheme="minorBidi" w:hAnsiTheme="minorBidi" w:cstheme="minorBidi"/>
          <w:szCs w:val="18"/>
          <w:lang w:val="ru-RU"/>
        </w:rPr>
        <w:t>-</w:t>
      </w:r>
      <w:r w:rsidRPr="007507C6">
        <w:rPr>
          <w:rFonts w:asciiTheme="minorBidi" w:hAnsiTheme="minorBidi" w:cstheme="minorBidi"/>
          <w:szCs w:val="18"/>
        </w:rPr>
        <w:t>protection</w:t>
      </w:r>
      <w:r w:rsidRPr="007507C6">
        <w:rPr>
          <w:rFonts w:asciiTheme="minorBidi" w:hAnsiTheme="minorBidi" w:cstheme="minorBidi"/>
          <w:szCs w:val="18"/>
          <w:lang w:val="ru-RU"/>
        </w:rPr>
        <w:t>-</w:t>
      </w:r>
      <w:r w:rsidRPr="007507C6">
        <w:rPr>
          <w:rFonts w:asciiTheme="minorBidi" w:hAnsiTheme="minorBidi" w:cstheme="minorBidi"/>
          <w:szCs w:val="18"/>
        </w:rPr>
        <w:t>policy</w:t>
      </w:r>
      <w:r w:rsidRPr="007507C6">
        <w:rPr>
          <w:rFonts w:asciiTheme="minorBidi" w:hAnsiTheme="minorBidi" w:cstheme="minorBidi"/>
          <w:szCs w:val="18"/>
          <w:lang w:val="ru-RU"/>
        </w:rPr>
        <w:t>-2018-01-16-</w:t>
      </w:r>
      <w:r w:rsidRPr="007507C6">
        <w:rPr>
          <w:rFonts w:asciiTheme="minorBidi" w:hAnsiTheme="minorBidi" w:cstheme="minorBidi"/>
          <w:szCs w:val="18"/>
        </w:rPr>
        <w:t>en</w:t>
      </w:r>
      <w:r w:rsidRPr="007507C6">
        <w:rPr>
          <w:rFonts w:asciiTheme="minorBidi" w:hAnsiTheme="minorBidi" w:cstheme="minorBidi"/>
          <w:szCs w:val="18"/>
          <w:lang w:val="ru-RU"/>
        </w:rPr>
        <w:t xml:space="preserve">, </w:t>
      </w:r>
      <w:hyperlink r:id="rId44" w:anchor="2.d" w:history="1">
        <w:r w:rsidRPr="005C6113">
          <w:rPr>
            <w:rStyle w:val="Hyperlink"/>
            <w:rFonts w:asciiTheme="minorBidi" w:hAnsiTheme="minorBidi" w:cstheme="minorBidi"/>
            <w:szCs w:val="18"/>
          </w:rPr>
          <w:t>www</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icann</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org</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resources</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board</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material</w:t>
        </w:r>
        <w:r w:rsidRPr="005C6113">
          <w:rPr>
            <w:rStyle w:val="Hyperlink"/>
            <w:rFonts w:asciiTheme="minorBidi" w:hAnsiTheme="minorBidi" w:cstheme="minorBidi"/>
            <w:szCs w:val="18"/>
            <w:lang w:val="ru-RU"/>
          </w:rPr>
          <w:t>/</w:t>
        </w:r>
        <w:r w:rsidRPr="005C6113">
          <w:rPr>
            <w:rStyle w:val="Hyperlink"/>
            <w:rFonts w:asciiTheme="minorBidi" w:hAnsiTheme="minorBidi" w:cstheme="minorBidi"/>
            <w:szCs w:val="18"/>
          </w:rPr>
          <w:t>resolutions</w:t>
        </w:r>
        <w:r w:rsidRPr="005C6113">
          <w:rPr>
            <w:rStyle w:val="Hyperlink"/>
            <w:rFonts w:asciiTheme="minorBidi" w:hAnsiTheme="minorBidi" w:cstheme="minorBidi"/>
            <w:szCs w:val="18"/>
            <w:lang w:val="ru-RU"/>
          </w:rPr>
          <w:t>-2018-02-04-</w:t>
        </w:r>
        <w:r w:rsidRPr="005C6113">
          <w:rPr>
            <w:rStyle w:val="Hyperlink"/>
            <w:rFonts w:asciiTheme="minorBidi" w:hAnsiTheme="minorBidi" w:cstheme="minorBidi"/>
            <w:szCs w:val="18"/>
          </w:rPr>
          <w:t>en</w:t>
        </w:r>
        <w:r w:rsidRPr="005C6113">
          <w:rPr>
            <w:rStyle w:val="Hyperlink"/>
            <w:rFonts w:asciiTheme="minorBidi" w:hAnsiTheme="minorBidi" w:cstheme="minorBidi"/>
            <w:szCs w:val="18"/>
            <w:lang w:val="ru-RU"/>
          </w:rPr>
          <w:t>#2.</w:t>
        </w:r>
        <w:r w:rsidRPr="005C6113">
          <w:rPr>
            <w:rStyle w:val="Hyperlink"/>
            <w:rFonts w:asciiTheme="minorBidi" w:hAnsiTheme="minorBidi" w:cstheme="minorBidi"/>
            <w:szCs w:val="18"/>
          </w:rPr>
          <w:t>d</w:t>
        </w:r>
      </w:hyperlink>
      <w:r>
        <w:rPr>
          <w:rFonts w:asciiTheme="minorBidi" w:hAnsiTheme="minorBidi" w:cstheme="minorBidi"/>
          <w:szCs w:val="18"/>
          <w:lang w:val="ru-RU"/>
        </w:rPr>
        <w:t xml:space="preserve"> и</w:t>
      </w:r>
      <w:r w:rsidRPr="007507C6">
        <w:rPr>
          <w:rFonts w:asciiTheme="minorBidi" w:hAnsiTheme="minorBidi" w:cstheme="minorBidi"/>
          <w:szCs w:val="18"/>
          <w:lang w:val="ru-RU"/>
        </w:rPr>
        <w:t xml:space="preserve"> </w:t>
      </w:r>
      <w:r w:rsidRPr="007507C6">
        <w:rPr>
          <w:rFonts w:asciiTheme="minorBidi" w:hAnsiTheme="minorBidi" w:cstheme="minorBidi"/>
          <w:szCs w:val="18"/>
        </w:rPr>
        <w:t>www</w:t>
      </w:r>
      <w:r w:rsidRPr="007507C6">
        <w:rPr>
          <w:rFonts w:asciiTheme="minorBidi" w:hAnsiTheme="minorBidi" w:cstheme="minorBidi"/>
          <w:szCs w:val="18"/>
          <w:lang w:val="ru-RU"/>
        </w:rPr>
        <w:t>.</w:t>
      </w:r>
      <w:r w:rsidRPr="007507C6">
        <w:rPr>
          <w:rFonts w:asciiTheme="minorBidi" w:hAnsiTheme="minorBidi" w:cstheme="minorBidi"/>
          <w:szCs w:val="18"/>
        </w:rPr>
        <w:t>icann</w:t>
      </w:r>
      <w:r w:rsidRPr="007507C6">
        <w:rPr>
          <w:rFonts w:asciiTheme="minorBidi" w:hAnsiTheme="minorBidi" w:cstheme="minorBidi"/>
          <w:szCs w:val="18"/>
          <w:lang w:val="ru-RU"/>
        </w:rPr>
        <w:t>.</w:t>
      </w:r>
      <w:r w:rsidRPr="007507C6">
        <w:rPr>
          <w:rFonts w:asciiTheme="minorBidi" w:hAnsiTheme="minorBidi" w:cstheme="minorBidi"/>
          <w:szCs w:val="18"/>
        </w:rPr>
        <w:t>org</w:t>
      </w:r>
      <w:r w:rsidRPr="007507C6">
        <w:rPr>
          <w:rFonts w:asciiTheme="minorBidi" w:hAnsiTheme="minorBidi" w:cstheme="minorBidi"/>
          <w:szCs w:val="18"/>
          <w:lang w:val="ru-RU"/>
        </w:rPr>
        <w:t>/</w:t>
      </w:r>
      <w:r w:rsidRPr="007507C6">
        <w:rPr>
          <w:rFonts w:asciiTheme="minorBidi" w:hAnsiTheme="minorBidi" w:cstheme="minorBidi"/>
          <w:szCs w:val="18"/>
        </w:rPr>
        <w:t>en</w:t>
      </w:r>
      <w:r w:rsidRPr="007507C6">
        <w:rPr>
          <w:rFonts w:asciiTheme="minorBidi" w:hAnsiTheme="minorBidi" w:cstheme="minorBidi"/>
          <w:szCs w:val="18"/>
          <w:lang w:val="ru-RU"/>
        </w:rPr>
        <w:t>/</w:t>
      </w:r>
      <w:r w:rsidRPr="007507C6">
        <w:rPr>
          <w:rFonts w:asciiTheme="minorBidi" w:hAnsiTheme="minorBidi" w:cstheme="minorBidi"/>
          <w:szCs w:val="18"/>
        </w:rPr>
        <w:t>system</w:t>
      </w:r>
      <w:r w:rsidRPr="007507C6">
        <w:rPr>
          <w:rFonts w:asciiTheme="minorBidi" w:hAnsiTheme="minorBidi" w:cstheme="minorBidi"/>
          <w:szCs w:val="18"/>
          <w:lang w:val="ru-RU"/>
        </w:rPr>
        <w:t>/</w:t>
      </w:r>
      <w:r w:rsidRPr="007507C6">
        <w:rPr>
          <w:rFonts w:asciiTheme="minorBidi" w:hAnsiTheme="minorBidi" w:cstheme="minorBidi"/>
          <w:szCs w:val="18"/>
        </w:rPr>
        <w:t>files</w:t>
      </w:r>
      <w:r w:rsidRPr="007507C6">
        <w:rPr>
          <w:rFonts w:asciiTheme="minorBidi" w:hAnsiTheme="minorBidi" w:cstheme="minorBidi"/>
          <w:szCs w:val="18"/>
          <w:lang w:val="ru-RU"/>
        </w:rPr>
        <w:t>/</w:t>
      </w:r>
      <w:r w:rsidRPr="007507C6">
        <w:rPr>
          <w:rFonts w:asciiTheme="minorBidi" w:hAnsiTheme="minorBidi" w:cstheme="minorBidi"/>
          <w:szCs w:val="18"/>
        </w:rPr>
        <w:t>files</w:t>
      </w:r>
      <w:r w:rsidRPr="007507C6">
        <w:rPr>
          <w:rFonts w:asciiTheme="minorBidi" w:hAnsiTheme="minorBidi" w:cstheme="minorBidi"/>
          <w:szCs w:val="18"/>
          <w:lang w:val="ru-RU"/>
        </w:rPr>
        <w:t>/</w:t>
      </w:r>
      <w:r w:rsidRPr="007507C6">
        <w:rPr>
          <w:rFonts w:asciiTheme="minorBidi" w:hAnsiTheme="minorBidi" w:cstheme="minorBidi"/>
          <w:szCs w:val="18"/>
        </w:rPr>
        <w:t>resolutions</w:t>
      </w:r>
      <w:r w:rsidRPr="007507C6">
        <w:rPr>
          <w:rFonts w:asciiTheme="minorBidi" w:hAnsiTheme="minorBidi" w:cstheme="minorBidi"/>
          <w:szCs w:val="18"/>
          <w:lang w:val="ru-RU"/>
        </w:rPr>
        <w:t>-</w:t>
      </w:r>
      <w:r w:rsidRPr="007507C6">
        <w:rPr>
          <w:rFonts w:asciiTheme="minorBidi" w:hAnsiTheme="minorBidi" w:cstheme="minorBidi"/>
          <w:szCs w:val="18"/>
        </w:rPr>
        <w:t>abudhabi</w:t>
      </w:r>
      <w:r w:rsidRPr="007507C6">
        <w:rPr>
          <w:rFonts w:asciiTheme="minorBidi" w:hAnsiTheme="minorBidi" w:cstheme="minorBidi"/>
          <w:szCs w:val="18"/>
          <w:lang w:val="ru-RU"/>
        </w:rPr>
        <w:t>60-</w:t>
      </w:r>
      <w:r w:rsidRPr="007507C6">
        <w:rPr>
          <w:rFonts w:asciiTheme="minorBidi" w:hAnsiTheme="minorBidi" w:cstheme="minorBidi"/>
          <w:szCs w:val="18"/>
        </w:rPr>
        <w:t>gac</w:t>
      </w:r>
      <w:r w:rsidRPr="007507C6">
        <w:rPr>
          <w:rFonts w:asciiTheme="minorBidi" w:hAnsiTheme="minorBidi" w:cstheme="minorBidi"/>
          <w:szCs w:val="18"/>
          <w:lang w:val="ru-RU"/>
        </w:rPr>
        <w:t>-</w:t>
      </w:r>
      <w:r w:rsidRPr="007507C6">
        <w:rPr>
          <w:rFonts w:asciiTheme="minorBidi" w:hAnsiTheme="minorBidi" w:cstheme="minorBidi"/>
          <w:szCs w:val="18"/>
        </w:rPr>
        <w:t>advice</w:t>
      </w:r>
      <w:r w:rsidRPr="007507C6">
        <w:rPr>
          <w:rFonts w:asciiTheme="minorBidi" w:hAnsiTheme="minorBidi" w:cstheme="minorBidi"/>
          <w:szCs w:val="18"/>
          <w:lang w:val="ru-RU"/>
        </w:rPr>
        <w:t>-</w:t>
      </w:r>
      <w:r w:rsidRPr="007507C6">
        <w:rPr>
          <w:rFonts w:asciiTheme="minorBidi" w:hAnsiTheme="minorBidi" w:cstheme="minorBidi"/>
          <w:szCs w:val="18"/>
        </w:rPr>
        <w:t>scorecard</w:t>
      </w:r>
      <w:r w:rsidRPr="007507C6">
        <w:rPr>
          <w:rFonts w:asciiTheme="minorBidi" w:hAnsiTheme="minorBidi" w:cstheme="minorBidi"/>
          <w:szCs w:val="18"/>
          <w:lang w:val="ru-RU"/>
        </w:rPr>
        <w:t>-04</w:t>
      </w:r>
      <w:r w:rsidRPr="007507C6">
        <w:rPr>
          <w:rFonts w:asciiTheme="minorBidi" w:hAnsiTheme="minorBidi" w:cstheme="minorBidi"/>
          <w:szCs w:val="18"/>
        </w:rPr>
        <w:t>feb</w:t>
      </w:r>
      <w:r w:rsidRPr="007507C6">
        <w:rPr>
          <w:rFonts w:asciiTheme="minorBidi" w:hAnsiTheme="minorBidi" w:cstheme="minorBidi"/>
          <w:szCs w:val="18"/>
          <w:lang w:val="ru-RU"/>
        </w:rPr>
        <w:t>18-</w:t>
      </w:r>
      <w:r w:rsidRPr="007507C6">
        <w:rPr>
          <w:rFonts w:asciiTheme="minorBidi" w:hAnsiTheme="minorBidi" w:cstheme="minorBidi"/>
          <w:szCs w:val="18"/>
        </w:rPr>
        <w:t>en</w:t>
      </w:r>
      <w:r w:rsidRPr="007507C6">
        <w:rPr>
          <w:rFonts w:asciiTheme="minorBidi" w:hAnsiTheme="minorBidi" w:cstheme="minorBidi"/>
          <w:szCs w:val="18"/>
          <w:lang w:val="ru-RU"/>
        </w:rPr>
        <w:t>.</w:t>
      </w:r>
      <w:r w:rsidRPr="007507C6">
        <w:rPr>
          <w:rFonts w:asciiTheme="minorBidi" w:hAnsiTheme="minorBidi" w:cstheme="minorBidi"/>
          <w:szCs w:val="18"/>
        </w:rPr>
        <w:t>pdf</w:t>
      </w:r>
      <w:r w:rsidRPr="007507C6">
        <w:rPr>
          <w:rFonts w:asciiTheme="minorBidi" w:hAnsiTheme="minorBidi" w:cstheme="minorBidi"/>
          <w:szCs w:val="18"/>
          <w:lang w:val="ru-RU"/>
        </w:rPr>
        <w:t>.</w:t>
      </w:r>
      <w:r w:rsidRPr="007507C6">
        <w:rPr>
          <w:rFonts w:asciiTheme="minorBidi" w:eastAsia="Times New Roman" w:hAnsiTheme="minorBidi" w:cstheme="minorBidi"/>
          <w:szCs w:val="18"/>
          <w:lang w:val="ru-RU" w:eastAsia="fr-CH"/>
        </w:rPr>
        <w:t xml:space="preserve"> </w:t>
      </w:r>
      <w:r w:rsidRPr="000B79EF">
        <w:rPr>
          <w:lang w:val="ru-RU"/>
        </w:rPr>
        <w:t>В июле 2018 г. помощник Генерального секретаря Организации Объединенных Наций, исполняющий обязанности начальника Управления по правовым вопросам</w:t>
      </w:r>
      <w:r w:rsidR="00CB1323">
        <w:rPr>
          <w:lang w:val="ru-RU"/>
        </w:rPr>
        <w:t>,</w:t>
      </w:r>
      <w:r w:rsidRPr="000B79EF">
        <w:rPr>
          <w:lang w:val="ru-RU"/>
        </w:rPr>
        <w:t xml:space="preserve"> от имени ряда МПО (включая ВОИС) направил Совету ICANN письмо, в котором выразил озабоченность после представления окончательного отчета о процессе разработки политики (см. </w:t>
      </w:r>
      <w:r w:rsidR="00CB1323" w:rsidRPr="00CB1323">
        <w:rPr>
          <w:rFonts w:asciiTheme="minorBidi" w:eastAsia="Times New Roman" w:hAnsiTheme="minorBidi" w:cstheme="minorBidi"/>
          <w:szCs w:val="18"/>
          <w:lang w:eastAsia="fr-CH"/>
        </w:rPr>
        <w:t>www</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icann</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org</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en</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system</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files</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correspondence</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mathias</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to</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board</w:t>
      </w:r>
      <w:r w:rsidR="00CB1323" w:rsidRPr="00CB1323">
        <w:rPr>
          <w:rFonts w:asciiTheme="minorBidi" w:eastAsia="Times New Roman" w:hAnsiTheme="minorBidi" w:cstheme="minorBidi"/>
          <w:szCs w:val="18"/>
          <w:lang w:val="ru-RU" w:eastAsia="fr-CH"/>
        </w:rPr>
        <w:t>-27</w:t>
      </w:r>
      <w:r w:rsidR="00CB1323" w:rsidRPr="00CB1323">
        <w:rPr>
          <w:rFonts w:asciiTheme="minorBidi" w:eastAsia="Times New Roman" w:hAnsiTheme="minorBidi" w:cstheme="minorBidi"/>
          <w:szCs w:val="18"/>
          <w:lang w:eastAsia="fr-CH"/>
        </w:rPr>
        <w:t>jul</w:t>
      </w:r>
      <w:r w:rsidR="00CB1323" w:rsidRPr="00CB1323">
        <w:rPr>
          <w:rFonts w:asciiTheme="minorBidi" w:eastAsia="Times New Roman" w:hAnsiTheme="minorBidi" w:cstheme="minorBidi"/>
          <w:szCs w:val="18"/>
          <w:lang w:val="ru-RU" w:eastAsia="fr-CH"/>
        </w:rPr>
        <w:t>18-</w:t>
      </w:r>
      <w:r w:rsidR="00CB1323" w:rsidRPr="00CB1323">
        <w:rPr>
          <w:rFonts w:asciiTheme="minorBidi" w:eastAsia="Times New Roman" w:hAnsiTheme="minorBidi" w:cstheme="minorBidi"/>
          <w:szCs w:val="18"/>
          <w:lang w:eastAsia="fr-CH"/>
        </w:rPr>
        <w:t>en</w:t>
      </w:r>
      <w:r w:rsidR="00CB1323" w:rsidRPr="00CB1323">
        <w:rPr>
          <w:rFonts w:asciiTheme="minorBidi" w:eastAsia="Times New Roman" w:hAnsiTheme="minorBidi" w:cstheme="minorBidi"/>
          <w:szCs w:val="18"/>
          <w:lang w:val="ru-RU" w:eastAsia="fr-CH"/>
        </w:rPr>
        <w:t>.</w:t>
      </w:r>
      <w:r w:rsidR="00CB1323" w:rsidRPr="00CB1323">
        <w:rPr>
          <w:rFonts w:asciiTheme="minorBidi" w:eastAsia="Times New Roman" w:hAnsiTheme="minorBidi" w:cstheme="minorBidi"/>
          <w:szCs w:val="18"/>
          <w:lang w:eastAsia="fr-CH"/>
        </w:rPr>
        <w:t>pdf</w:t>
      </w:r>
      <w:r w:rsidRPr="000B79EF">
        <w:rPr>
          <w:rFonts w:asciiTheme="minorBidi" w:eastAsia="Times New Roman" w:hAnsiTheme="minorBidi" w:cstheme="minorBidi"/>
          <w:szCs w:val="18"/>
          <w:lang w:val="ru-RU" w:eastAsia="fr-CH"/>
        </w:rPr>
        <w:t xml:space="preserve">). </w:t>
      </w:r>
      <w:r w:rsidR="00CB1323">
        <w:rPr>
          <w:rFonts w:asciiTheme="minorBidi" w:eastAsia="Times New Roman" w:hAnsiTheme="minorBidi" w:cstheme="minorBidi"/>
          <w:szCs w:val="18"/>
          <w:lang w:val="ru-RU" w:eastAsia="fr-CH"/>
        </w:rPr>
        <w:t>И</w:t>
      </w:r>
      <w:r w:rsidRPr="000B79EF">
        <w:rPr>
          <w:szCs w:val="18"/>
          <w:shd w:val="clear" w:color="auto" w:fill="FFFFFF" w:themeFill="background1"/>
          <w:lang w:val="ru-RU"/>
        </w:rPr>
        <w:t>нформацию о дальнейшем обсуждении на совещании ICANN, состоявшемся в ноябре 2020</w:t>
      </w:r>
      <w:r w:rsidR="00CB1323">
        <w:rPr>
          <w:szCs w:val="18"/>
          <w:shd w:val="clear" w:color="auto" w:fill="FFFFFF" w:themeFill="background1"/>
          <w:lang w:val="ru-RU"/>
        </w:rPr>
        <w:t xml:space="preserve"> г. см.</w:t>
      </w:r>
      <w:r w:rsidRPr="000B79EF">
        <w:rPr>
          <w:szCs w:val="18"/>
          <w:shd w:val="clear" w:color="auto" w:fill="FFFFFF" w:themeFill="background1"/>
          <w:lang w:val="ru-RU"/>
        </w:rPr>
        <w:t xml:space="preserve"> </w:t>
      </w:r>
      <w:r w:rsidRPr="000B79EF">
        <w:rPr>
          <w:rFonts w:asciiTheme="minorBidi" w:eastAsia="Times New Roman" w:hAnsiTheme="minorBidi" w:cstheme="minorBidi"/>
          <w:szCs w:val="18"/>
          <w:shd w:val="clear" w:color="auto" w:fill="FFFFFF" w:themeFill="background1"/>
          <w:lang w:val="ru-RU" w:eastAsia="fr-CH"/>
        </w:rPr>
        <w:t>https://icann66.pathable.com/meetings/1116847.</w:t>
      </w:r>
    </w:p>
  </w:footnote>
  <w:footnote w:id="78">
    <w:p w14:paraId="4DAE61E0" w14:textId="0C20E44C" w:rsidR="007507C6" w:rsidRPr="000B79EF" w:rsidRDefault="007507C6" w:rsidP="00864152">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t>См. https://archive.icann.org/en/topics/new-gtlds/gac-principles-regarding-new-gtlds-28mar07-en.pdf.</w:t>
      </w:r>
    </w:p>
  </w:footnote>
  <w:footnote w:id="79">
    <w:p w14:paraId="35EDB03B" w14:textId="2B3B593F" w:rsidR="007507C6" w:rsidRPr="000B79EF" w:rsidRDefault="007507C6"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Что касается регистрации доменов второго уровня, базовое регистрационное соглашение ICANN включает «Список зарезервированных наименований второго уровня в реестрах рДВУ», где учтены определенные названия стран и территорий. См. </w:t>
      </w:r>
      <w:hyperlink r:id="rId45" w:history="1">
        <w:r w:rsidRPr="000B79EF">
          <w:rPr>
            <w:rStyle w:val="Hyperlink"/>
            <w:lang w:val="ru-RU"/>
          </w:rPr>
          <w:t>http://newgtlds.icann.org/en/applicants/agb/base-agreement-specs-04jun12-en.pdf</w:t>
        </w:r>
      </w:hyperlink>
      <w:r w:rsidRPr="000B79EF">
        <w:rPr>
          <w:lang w:val="ru-RU"/>
        </w:rPr>
        <w:t>, раздел 5</w:t>
      </w:r>
      <w:r w:rsidRPr="000B79EF">
        <w:rPr>
          <w:rFonts w:asciiTheme="minorBidi" w:hAnsiTheme="minorBidi" w:cstheme="minorBidi"/>
          <w:szCs w:val="18"/>
          <w:lang w:val="ru-RU"/>
        </w:rPr>
        <w:t>.</w:t>
      </w:r>
    </w:p>
  </w:footnote>
  <w:footnote w:id="80">
    <w:p w14:paraId="7A8EA9D0" w14:textId="7D1A3390" w:rsidR="007507C6" w:rsidRPr="000B79EF" w:rsidRDefault="007507C6"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См. </w:t>
      </w:r>
      <w:hyperlink r:id="rId46" w:history="1">
        <w:r w:rsidRPr="000B79EF">
          <w:rPr>
            <w:rStyle w:val="Hyperlink"/>
            <w:lang w:val="ru-RU"/>
          </w:rPr>
          <w:t>http://newgtlds.icann.org/en/applicants/agb/evaluation-procedures-04jun12-en.pdf</w:t>
        </w:r>
      </w:hyperlink>
      <w:r w:rsidRPr="000B79EF">
        <w:rPr>
          <w:lang w:val="ru-RU"/>
        </w:rPr>
        <w:t>, раздел 2.2.1.4.1 «Порядок работы с названиями стран и территорий».</w:t>
      </w:r>
    </w:p>
  </w:footnote>
  <w:footnote w:id="81">
    <w:p w14:paraId="4E157D5C" w14:textId="421D395F" w:rsidR="007507C6" w:rsidRPr="000B79EF" w:rsidRDefault="007507C6" w:rsidP="00110FCD">
      <w:pPr>
        <w:pStyle w:val="FootnoteText"/>
        <w:shd w:val="clear" w:color="auto" w:fill="FFFFFF" w:themeFill="background1"/>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См. </w:t>
      </w:r>
      <w:hyperlink r:id="rId47" w:history="1">
        <w:r w:rsidRPr="000B79EF">
          <w:rPr>
            <w:rStyle w:val="Hyperlink"/>
            <w:lang w:val="ru-RU"/>
          </w:rPr>
          <w:t>http://newgtlds.icann.org/en/applicants/agb/evaluation-procedures-04jun12-en.pdf</w:t>
        </w:r>
      </w:hyperlink>
      <w:r w:rsidRPr="000B79EF">
        <w:rPr>
          <w:lang w:val="ru-RU"/>
        </w:rPr>
        <w:t>, раздел 2.2.1.4.2 «Географические наименования, в отношении которых требуется поддержка со стороны правительств».</w:t>
      </w:r>
    </w:p>
  </w:footnote>
  <w:footnote w:id="82">
    <w:p w14:paraId="2977025F" w14:textId="72017C43" w:rsidR="007507C6" w:rsidRPr="000B79EF" w:rsidRDefault="007507C6" w:rsidP="00110FCD">
      <w:pPr>
        <w:pStyle w:val="FootnoteText"/>
        <w:shd w:val="clear" w:color="auto" w:fill="FFFFFF" w:themeFill="background1"/>
        <w:tabs>
          <w:tab w:val="left" w:pos="567"/>
        </w:tabs>
        <w:rPr>
          <w:rFonts w:asciiTheme="minorBidi" w:hAnsiTheme="minorBidi" w:cstheme="minorBidi"/>
          <w:color w:val="000000" w:themeColor="text1"/>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См. </w:t>
      </w:r>
      <w:hyperlink r:id="rId48" w:history="1">
        <w:r w:rsidRPr="000B79EF">
          <w:rPr>
            <w:rStyle w:val="Hyperlink"/>
            <w:lang w:val="ru-RU"/>
          </w:rPr>
          <w:t>https://www.icann.org/en/system/files/correspondence/gac-to-board-27mar14-en.pdf</w:t>
        </w:r>
      </w:hyperlink>
      <w:r w:rsidRPr="000B79EF">
        <w:rPr>
          <w:lang w:val="ru-RU"/>
        </w:rPr>
        <w:t xml:space="preserve">, раздел 4 «Конкретные текстовые строки». Хотя Совет принял рекомендацию ПКК о том, чтобы не утверждать некоторые заявки, он запросил у ПКК дополнительную информацию, а также предложил общественности представить свои комментарии – в частности, по вопросу о ряде дополнительных механизмов охраны, предлагаемых ПКК в отношении ряда заявок общих категорий на делегирование новых рДВУ – например, новых рДВУ, имена которых соответствуют контролируемым видам деятельности или словарным терминам. См. </w:t>
      </w:r>
      <w:hyperlink r:id="rId49" w:history="1">
        <w:r w:rsidRPr="000D2F2A">
          <w:rPr>
            <w:rStyle w:val="Hyperlink"/>
          </w:rPr>
          <w:t>https://www.icann.org/en/system/files/correspondence/gac-to-board-11apr13-en.pdf</w:t>
        </w:r>
      </w:hyperlink>
      <w:r w:rsidRPr="000D2F2A">
        <w:t xml:space="preserve">. </w:t>
      </w:r>
      <w:r w:rsidRPr="000B79EF">
        <w:rPr>
          <w:lang w:val="ru-RU"/>
        </w:rPr>
        <w:t xml:space="preserve">Подгруппа ПКК по географическим наименованиям (подгруппа Рабочей группы ПКК по новым рДВУ) разработала проект документа для будущих раундов приема заявок на новые рДВУ, в котором изложены некоторые аспекты публичной политики в отношении географических наименований, которая в настоящее время продолжает обсуждаться в ICANN. См. </w:t>
      </w:r>
      <w:hyperlink r:id="rId50" w:history="1">
        <w:r w:rsidRPr="000B79EF">
          <w:rPr>
            <w:rStyle w:val="Hyperlink"/>
            <w:lang w:val="ru-RU"/>
          </w:rPr>
          <w:t>https://gacweb.icann.org/download/attachments/27132037/Geo%20names%20in%20new%20gTLDs%20Updated%20%20V3%20%2029%20august%202014%5B4%5D.pdf?version=1&amp;modificationDate=1411549935000&amp;api=v2</w:t>
        </w:r>
      </w:hyperlink>
      <w:r w:rsidRPr="000B79EF">
        <w:rPr>
          <w:color w:val="000000" w:themeColor="text1"/>
          <w:lang w:val="ru-RU"/>
        </w:rPr>
        <w:t xml:space="preserve">. См. также </w:t>
      </w:r>
      <w:hyperlink r:id="rId51" w:anchor="1.c" w:history="1">
        <w:r w:rsidRPr="000B79EF">
          <w:rPr>
            <w:rStyle w:val="Hyperlink"/>
            <w:lang w:val="ru-RU"/>
          </w:rPr>
          <w:t>https://www.icann.org/resources/board-material/resolutions-2019-05-15-en#1.c</w:t>
        </w:r>
      </w:hyperlink>
      <w:r w:rsidRPr="000B79EF">
        <w:rPr>
          <w:lang w:val="ru-RU"/>
        </w:rPr>
        <w:t>.</w:t>
      </w:r>
    </w:p>
  </w:footnote>
  <w:footnote w:id="83">
    <w:p w14:paraId="55A2C915" w14:textId="5F053E88" w:rsidR="007507C6" w:rsidRPr="000B79EF" w:rsidRDefault="007507C6"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В совокупности эти меры являются частью планов ICANN по уменьшению риска возможного смешения. См. </w:t>
      </w:r>
      <w:hyperlink r:id="rId52" w:history="1">
        <w:r w:rsidRPr="000B79EF">
          <w:rPr>
            <w:rStyle w:val="Hyperlink"/>
            <w:lang w:val="ru-RU"/>
          </w:rPr>
          <w:t>https://www.icann.org/en/system/files/files/two-character-ltr-ltr-authorization-release-13dec16-en.pdf</w:t>
        </w:r>
      </w:hyperlink>
      <w:r w:rsidRPr="000B79EF">
        <w:rPr>
          <w:lang w:val="ru-RU"/>
        </w:rPr>
        <w:t>.</w:t>
      </w:r>
    </w:p>
  </w:footnote>
  <w:footnote w:id="84">
    <w:p w14:paraId="61090AE9" w14:textId="50760AF9" w:rsidR="007507C6" w:rsidRPr="000B79EF" w:rsidRDefault="007507C6" w:rsidP="00110FCD">
      <w:pPr>
        <w:pStyle w:val="FootnoteText"/>
        <w:tabs>
          <w:tab w:val="left" w:pos="567"/>
        </w:tabs>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 xml:space="preserve">См. https://forum.icann.org/lists/comments-proposed-measures-two-char-08jul16/pdfECmcS9knuk.pdf. </w:t>
      </w:r>
    </w:p>
  </w:footnote>
  <w:footnote w:id="85">
    <w:p w14:paraId="32F47625" w14:textId="3914EE8B" w:rsidR="007507C6" w:rsidRPr="000B79EF" w:rsidRDefault="007507C6" w:rsidP="00110FCD">
      <w:pPr>
        <w:pStyle w:val="FootnoteText"/>
        <w:rPr>
          <w:rFonts w:asciiTheme="minorBidi" w:hAnsiTheme="minorBidi" w:cstheme="minorBidi"/>
          <w:szCs w:val="18"/>
          <w:lang w:val="ru-RU"/>
        </w:rPr>
      </w:pPr>
      <w:r w:rsidRPr="000B79EF">
        <w:rPr>
          <w:rStyle w:val="FootnoteReference"/>
          <w:rFonts w:asciiTheme="minorBidi" w:hAnsiTheme="minorBidi" w:cstheme="minorBidi"/>
          <w:szCs w:val="18"/>
          <w:lang w:val="ru-RU"/>
        </w:rPr>
        <w:footnoteRef/>
      </w:r>
      <w:r w:rsidRPr="000B79EF">
        <w:rPr>
          <w:rFonts w:asciiTheme="minorBidi" w:hAnsiTheme="minorBidi" w:cstheme="minorBidi"/>
          <w:szCs w:val="18"/>
          <w:lang w:val="ru-RU"/>
        </w:rPr>
        <w:t xml:space="preserve"> </w:t>
      </w:r>
      <w:r w:rsidRPr="000B79EF">
        <w:rPr>
          <w:rFonts w:asciiTheme="minorBidi" w:hAnsiTheme="minorBidi" w:cstheme="minorBidi"/>
          <w:szCs w:val="18"/>
          <w:lang w:val="ru-RU"/>
        </w:rPr>
        <w:tab/>
        <w:t xml:space="preserve">См. https://static.ptbl.co/static/attachments/169910/1521228229.pdf?1521228229. </w:t>
      </w:r>
    </w:p>
  </w:footnote>
  <w:footnote w:id="86">
    <w:p w14:paraId="676539B0" w14:textId="561C395C" w:rsidR="007507C6" w:rsidRPr="008E0985" w:rsidRDefault="007507C6" w:rsidP="00110FCD">
      <w:pPr>
        <w:pStyle w:val="FootnoteText"/>
        <w:rPr>
          <w:rFonts w:asciiTheme="minorBidi" w:hAnsiTheme="minorBidi" w:cstheme="minorBidi"/>
          <w:b/>
          <w:szCs w:val="18"/>
          <w:lang w:val="ru-RU"/>
        </w:rPr>
      </w:pPr>
      <w:r w:rsidRPr="000B79EF">
        <w:rPr>
          <w:rStyle w:val="FootnoteReference"/>
          <w:rFonts w:asciiTheme="minorBidi" w:hAnsiTheme="minorBidi" w:cstheme="minorBidi"/>
          <w:szCs w:val="18"/>
          <w:lang w:val="ru-RU"/>
        </w:rPr>
        <w:footnoteRef/>
      </w:r>
      <w:r w:rsidRPr="000B79EF">
        <w:rPr>
          <w:rStyle w:val="FootnoteReference"/>
          <w:rFonts w:asciiTheme="minorBidi" w:hAnsiTheme="minorBidi" w:cstheme="minorBidi"/>
          <w:szCs w:val="18"/>
          <w:lang w:val="ru-RU"/>
        </w:rPr>
        <w:t xml:space="preserve"> </w:t>
      </w:r>
      <w:r w:rsidRPr="000B79EF">
        <w:rPr>
          <w:rFonts w:asciiTheme="minorBidi" w:hAnsiTheme="minorBidi" w:cstheme="minorBidi"/>
          <w:szCs w:val="18"/>
          <w:lang w:val="ru-RU"/>
        </w:rPr>
        <w:tab/>
      </w:r>
      <w:r w:rsidRPr="000B79EF">
        <w:rPr>
          <w:lang w:val="ru-RU"/>
        </w:rPr>
        <w:t xml:space="preserve">См., например, документы </w:t>
      </w:r>
      <w:r w:rsidR="008E0985" w:rsidRPr="008E0985">
        <w:t>SCT</w:t>
      </w:r>
      <w:r w:rsidR="008E0985" w:rsidRPr="008E0985">
        <w:rPr>
          <w:lang w:val="ru-RU"/>
        </w:rPr>
        <w:t xml:space="preserve">/37/4, </w:t>
      </w:r>
      <w:r w:rsidR="008E0985" w:rsidRPr="008E0985">
        <w:t>SCT</w:t>
      </w:r>
      <w:r w:rsidR="008E0985" w:rsidRPr="008E0985">
        <w:rPr>
          <w:lang w:val="ru-RU"/>
        </w:rPr>
        <w:t xml:space="preserve">37/5, </w:t>
      </w:r>
      <w:r w:rsidR="008E0985" w:rsidRPr="008E0985">
        <w:t>SCT</w:t>
      </w:r>
      <w:r w:rsidR="008E0985" w:rsidRPr="008E0985">
        <w:rPr>
          <w:lang w:val="ru-RU"/>
        </w:rPr>
        <w:t xml:space="preserve">38/3, </w:t>
      </w:r>
      <w:r w:rsidR="008E0985" w:rsidRPr="008E0985">
        <w:t>SCT</w:t>
      </w:r>
      <w:r w:rsidR="008E0985" w:rsidRPr="008E0985">
        <w:rPr>
          <w:lang w:val="ru-RU"/>
        </w:rPr>
        <w:t xml:space="preserve">39/5, </w:t>
      </w:r>
      <w:r w:rsidR="008E0985" w:rsidRPr="008E0985">
        <w:t>SCT</w:t>
      </w:r>
      <w:r w:rsidR="008E0985" w:rsidRPr="008E0985">
        <w:rPr>
          <w:lang w:val="ru-RU"/>
        </w:rPr>
        <w:t xml:space="preserve">40/4, </w:t>
      </w:r>
      <w:r w:rsidR="008E0985" w:rsidRPr="008E0985">
        <w:t>SCT</w:t>
      </w:r>
      <w:r w:rsidR="008E0985" w:rsidRPr="008E0985">
        <w:rPr>
          <w:lang w:val="ru-RU"/>
        </w:rPr>
        <w:t xml:space="preserve">41/5, </w:t>
      </w:r>
      <w:r w:rsidR="008E0985" w:rsidRPr="008E0985">
        <w:t>SCT</w:t>
      </w:r>
      <w:r w:rsidR="008E0985" w:rsidRPr="008E0985">
        <w:rPr>
          <w:lang w:val="ru-RU"/>
        </w:rPr>
        <w:t xml:space="preserve"> 42/3, </w:t>
      </w:r>
      <w:r w:rsidR="008E0985" w:rsidRPr="008E0985">
        <w:t>SCT</w:t>
      </w:r>
      <w:r w:rsidR="008E0985" w:rsidRPr="008E0985">
        <w:rPr>
          <w:lang w:val="ru-RU"/>
        </w:rPr>
        <w:t xml:space="preserve"> 43/4, </w:t>
      </w:r>
      <w:r w:rsidR="008E0985" w:rsidRPr="008E0985">
        <w:t>SCT</w:t>
      </w:r>
      <w:r w:rsidR="008E0985" w:rsidRPr="008E0985">
        <w:rPr>
          <w:lang w:val="ru-RU"/>
        </w:rPr>
        <w:t xml:space="preserve"> 44/2</w:t>
      </w:r>
      <w:r w:rsidR="008E0985">
        <w:rPr>
          <w:lang w:val="ru-RU"/>
        </w:rPr>
        <w:t xml:space="preserve"> и</w:t>
      </w:r>
      <w:r w:rsidR="008E0985" w:rsidRPr="008E0985">
        <w:rPr>
          <w:lang w:val="ru-RU"/>
        </w:rPr>
        <w:t xml:space="preserve"> </w:t>
      </w:r>
      <w:r w:rsidR="008E0985" w:rsidRPr="008E0985">
        <w:t>SCT</w:t>
      </w:r>
      <w:r w:rsidR="008E0985" w:rsidRPr="008E0985">
        <w:rPr>
          <w:lang w:val="ru-RU"/>
        </w:rPr>
        <w:t xml:space="preserve"> 45/3</w:t>
      </w:r>
      <w:r w:rsidRPr="000B79EF">
        <w:rPr>
          <w:lang w:val="ru-RU"/>
        </w:rPr>
        <w:t>. Также см. документ SCT/IS/GEO/GE/17</w:t>
      </w:r>
      <w:r w:rsidRPr="000B79EF">
        <w:rPr>
          <w:rFonts w:asciiTheme="minorBidi" w:hAnsiTheme="minorBidi" w:cstheme="minorBidi"/>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AFB0" w14:textId="2D318754" w:rsidR="007507C6" w:rsidRDefault="007507C6" w:rsidP="00477D6B">
    <w:pPr>
      <w:jc w:val="right"/>
    </w:pPr>
    <w:bookmarkStart w:id="5" w:name="Code2"/>
    <w:r>
      <w:t>WO/GA/55/10</w:t>
    </w:r>
  </w:p>
  <w:bookmarkEnd w:id="5"/>
  <w:p w14:paraId="5508C4E8" w14:textId="0B03B745" w:rsidR="007507C6" w:rsidRDefault="007507C6" w:rsidP="00477D6B">
    <w:pPr>
      <w:jc w:val="right"/>
    </w:pPr>
    <w:r>
      <w:rPr>
        <w:lang w:val="ru-RU"/>
      </w:rPr>
      <w:t>стр.</w:t>
    </w:r>
    <w:r>
      <w:t xml:space="preserve"> </w:t>
    </w:r>
    <w:r>
      <w:fldChar w:fldCharType="begin"/>
    </w:r>
    <w:r>
      <w:instrText xml:space="preserve"> PAGE  \* MERGEFORMAT </w:instrText>
    </w:r>
    <w:r>
      <w:fldChar w:fldCharType="separate"/>
    </w:r>
    <w:r w:rsidR="00B47586">
      <w:rPr>
        <w:noProof/>
      </w:rPr>
      <w:t>16</w:t>
    </w:r>
    <w:r>
      <w:fldChar w:fldCharType="end"/>
    </w:r>
  </w:p>
  <w:p w14:paraId="4C76ED8B" w14:textId="77777777" w:rsidR="007507C6" w:rsidRDefault="007507C6" w:rsidP="00477D6B">
    <w:pPr>
      <w:jc w:val="right"/>
    </w:pPr>
  </w:p>
  <w:p w14:paraId="0983D19B" w14:textId="77777777" w:rsidR="007507C6" w:rsidRDefault="007507C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4B12FE"/>
    <w:multiLevelType w:val="hybridMultilevel"/>
    <w:tmpl w:val="411A0E4E"/>
    <w:lvl w:ilvl="0" w:tplc="5874F376">
      <w:start w:val="1"/>
      <w:numFmt w:val="decimal"/>
      <w:lvlText w:val="%1."/>
      <w:lvlJc w:val="left"/>
      <w:pPr>
        <w:ind w:left="360" w:hanging="360"/>
      </w:pPr>
      <w:rPr>
        <w:rFonts w:hint="default"/>
        <w:b w:val="0"/>
        <w:i w:val="0"/>
      </w:rPr>
    </w:lvl>
    <w:lvl w:ilvl="1" w:tplc="547A3AD2">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CD"/>
    <w:rsid w:val="00004205"/>
    <w:rsid w:val="00011B7E"/>
    <w:rsid w:val="0001230C"/>
    <w:rsid w:val="00013DFA"/>
    <w:rsid w:val="000176E5"/>
    <w:rsid w:val="00021267"/>
    <w:rsid w:val="0004265A"/>
    <w:rsid w:val="00043CAA"/>
    <w:rsid w:val="00053A12"/>
    <w:rsid w:val="00056816"/>
    <w:rsid w:val="000620AF"/>
    <w:rsid w:val="00065508"/>
    <w:rsid w:val="000667E7"/>
    <w:rsid w:val="00075432"/>
    <w:rsid w:val="00085038"/>
    <w:rsid w:val="00091AE5"/>
    <w:rsid w:val="00091F37"/>
    <w:rsid w:val="00092559"/>
    <w:rsid w:val="00093193"/>
    <w:rsid w:val="000968ED"/>
    <w:rsid w:val="000A3D97"/>
    <w:rsid w:val="000A7A2D"/>
    <w:rsid w:val="000B79EF"/>
    <w:rsid w:val="000C0E44"/>
    <w:rsid w:val="000D2F2A"/>
    <w:rsid w:val="000D7426"/>
    <w:rsid w:val="000E1873"/>
    <w:rsid w:val="000E4F44"/>
    <w:rsid w:val="000F2CC7"/>
    <w:rsid w:val="000F5E56"/>
    <w:rsid w:val="000F67E9"/>
    <w:rsid w:val="000F7CDC"/>
    <w:rsid w:val="00106369"/>
    <w:rsid w:val="00110FCD"/>
    <w:rsid w:val="00120274"/>
    <w:rsid w:val="00123E21"/>
    <w:rsid w:val="00127F77"/>
    <w:rsid w:val="001362EE"/>
    <w:rsid w:val="00153DC9"/>
    <w:rsid w:val="00161E2F"/>
    <w:rsid w:val="00163857"/>
    <w:rsid w:val="001647D5"/>
    <w:rsid w:val="00172BFE"/>
    <w:rsid w:val="00175B1E"/>
    <w:rsid w:val="001832A6"/>
    <w:rsid w:val="001B168E"/>
    <w:rsid w:val="001B304A"/>
    <w:rsid w:val="001D4107"/>
    <w:rsid w:val="001E65DF"/>
    <w:rsid w:val="001F5B9C"/>
    <w:rsid w:val="00203D24"/>
    <w:rsid w:val="0021217E"/>
    <w:rsid w:val="00215A60"/>
    <w:rsid w:val="00217391"/>
    <w:rsid w:val="00226D88"/>
    <w:rsid w:val="002331FF"/>
    <w:rsid w:val="002415DC"/>
    <w:rsid w:val="002425C8"/>
    <w:rsid w:val="00243430"/>
    <w:rsid w:val="00253653"/>
    <w:rsid w:val="00260798"/>
    <w:rsid w:val="00260C93"/>
    <w:rsid w:val="002634C4"/>
    <w:rsid w:val="00263E73"/>
    <w:rsid w:val="00266018"/>
    <w:rsid w:val="0027060F"/>
    <w:rsid w:val="00285971"/>
    <w:rsid w:val="002928D3"/>
    <w:rsid w:val="002A2A7D"/>
    <w:rsid w:val="002B3170"/>
    <w:rsid w:val="002B3B08"/>
    <w:rsid w:val="002C3E8C"/>
    <w:rsid w:val="002C4232"/>
    <w:rsid w:val="002C7DB7"/>
    <w:rsid w:val="002D03FA"/>
    <w:rsid w:val="002D1A10"/>
    <w:rsid w:val="002D70E4"/>
    <w:rsid w:val="002D7CFA"/>
    <w:rsid w:val="002F1FE6"/>
    <w:rsid w:val="002F322A"/>
    <w:rsid w:val="002F4E68"/>
    <w:rsid w:val="00304719"/>
    <w:rsid w:val="00312F7F"/>
    <w:rsid w:val="003138B4"/>
    <w:rsid w:val="00325B0C"/>
    <w:rsid w:val="00336B10"/>
    <w:rsid w:val="00355BAC"/>
    <w:rsid w:val="00360082"/>
    <w:rsid w:val="00361450"/>
    <w:rsid w:val="00361634"/>
    <w:rsid w:val="00363DFE"/>
    <w:rsid w:val="00365255"/>
    <w:rsid w:val="00366E79"/>
    <w:rsid w:val="003673CF"/>
    <w:rsid w:val="003845C1"/>
    <w:rsid w:val="00393B3A"/>
    <w:rsid w:val="0039478C"/>
    <w:rsid w:val="003A1E09"/>
    <w:rsid w:val="003A3978"/>
    <w:rsid w:val="003A6F89"/>
    <w:rsid w:val="003B38C1"/>
    <w:rsid w:val="003C0BE0"/>
    <w:rsid w:val="003C34E9"/>
    <w:rsid w:val="003D0F2A"/>
    <w:rsid w:val="003D3B56"/>
    <w:rsid w:val="003D56CC"/>
    <w:rsid w:val="003F0FA9"/>
    <w:rsid w:val="00423E3E"/>
    <w:rsid w:val="0042665F"/>
    <w:rsid w:val="00427AF4"/>
    <w:rsid w:val="004448C9"/>
    <w:rsid w:val="00447185"/>
    <w:rsid w:val="00462AF4"/>
    <w:rsid w:val="004647DA"/>
    <w:rsid w:val="00474062"/>
    <w:rsid w:val="00477D6B"/>
    <w:rsid w:val="004805ED"/>
    <w:rsid w:val="0049050D"/>
    <w:rsid w:val="00490884"/>
    <w:rsid w:val="004A057B"/>
    <w:rsid w:val="004C3148"/>
    <w:rsid w:val="004D0364"/>
    <w:rsid w:val="004D3759"/>
    <w:rsid w:val="004D4CBB"/>
    <w:rsid w:val="004D5D0D"/>
    <w:rsid w:val="004D6D9A"/>
    <w:rsid w:val="004F108B"/>
    <w:rsid w:val="00500759"/>
    <w:rsid w:val="00500DC9"/>
    <w:rsid w:val="005019FF"/>
    <w:rsid w:val="0051423F"/>
    <w:rsid w:val="0053057A"/>
    <w:rsid w:val="00531A5E"/>
    <w:rsid w:val="005361A2"/>
    <w:rsid w:val="005365C7"/>
    <w:rsid w:val="00541F43"/>
    <w:rsid w:val="005455AF"/>
    <w:rsid w:val="0054689B"/>
    <w:rsid w:val="005473DE"/>
    <w:rsid w:val="00556076"/>
    <w:rsid w:val="00560060"/>
    <w:rsid w:val="00560A29"/>
    <w:rsid w:val="005632EA"/>
    <w:rsid w:val="00563BC2"/>
    <w:rsid w:val="005944A6"/>
    <w:rsid w:val="005A291B"/>
    <w:rsid w:val="005B535D"/>
    <w:rsid w:val="005C6649"/>
    <w:rsid w:val="005D13DE"/>
    <w:rsid w:val="005D58E9"/>
    <w:rsid w:val="005D63D2"/>
    <w:rsid w:val="005D6459"/>
    <w:rsid w:val="005E27B1"/>
    <w:rsid w:val="005E2CAB"/>
    <w:rsid w:val="005E3518"/>
    <w:rsid w:val="005F4D92"/>
    <w:rsid w:val="005F4F80"/>
    <w:rsid w:val="005F580A"/>
    <w:rsid w:val="005F5918"/>
    <w:rsid w:val="005F63C4"/>
    <w:rsid w:val="00600E0D"/>
    <w:rsid w:val="006057F9"/>
    <w:rsid w:val="00605827"/>
    <w:rsid w:val="00621B0F"/>
    <w:rsid w:val="00626EBE"/>
    <w:rsid w:val="00630C1D"/>
    <w:rsid w:val="006323C9"/>
    <w:rsid w:val="00634F78"/>
    <w:rsid w:val="00646050"/>
    <w:rsid w:val="006513BB"/>
    <w:rsid w:val="00656DDE"/>
    <w:rsid w:val="00664D02"/>
    <w:rsid w:val="00666DCD"/>
    <w:rsid w:val="006703D7"/>
    <w:rsid w:val="006713CA"/>
    <w:rsid w:val="00676C5C"/>
    <w:rsid w:val="006833BE"/>
    <w:rsid w:val="006858F8"/>
    <w:rsid w:val="00685BE6"/>
    <w:rsid w:val="006942C5"/>
    <w:rsid w:val="006961B9"/>
    <w:rsid w:val="006B1754"/>
    <w:rsid w:val="006B3037"/>
    <w:rsid w:val="006D6F73"/>
    <w:rsid w:val="006E4240"/>
    <w:rsid w:val="006E45C5"/>
    <w:rsid w:val="00720BAF"/>
    <w:rsid w:val="00720EFD"/>
    <w:rsid w:val="00721124"/>
    <w:rsid w:val="00726430"/>
    <w:rsid w:val="007404D5"/>
    <w:rsid w:val="00743916"/>
    <w:rsid w:val="007507C6"/>
    <w:rsid w:val="0077262D"/>
    <w:rsid w:val="007726EF"/>
    <w:rsid w:val="00791325"/>
    <w:rsid w:val="00793A7C"/>
    <w:rsid w:val="00797ADA"/>
    <w:rsid w:val="007A398A"/>
    <w:rsid w:val="007A3AB4"/>
    <w:rsid w:val="007B0167"/>
    <w:rsid w:val="007C5A33"/>
    <w:rsid w:val="007D1613"/>
    <w:rsid w:val="007E4C0E"/>
    <w:rsid w:val="007F07AF"/>
    <w:rsid w:val="007F1CF0"/>
    <w:rsid w:val="00801618"/>
    <w:rsid w:val="00805BD5"/>
    <w:rsid w:val="00816FED"/>
    <w:rsid w:val="008207DB"/>
    <w:rsid w:val="008211A1"/>
    <w:rsid w:val="0082563A"/>
    <w:rsid w:val="00830213"/>
    <w:rsid w:val="00831327"/>
    <w:rsid w:val="008375CF"/>
    <w:rsid w:val="00843EB2"/>
    <w:rsid w:val="0084406A"/>
    <w:rsid w:val="0084548B"/>
    <w:rsid w:val="00864152"/>
    <w:rsid w:val="00875406"/>
    <w:rsid w:val="008809A7"/>
    <w:rsid w:val="008845F8"/>
    <w:rsid w:val="008966D4"/>
    <w:rsid w:val="008A134B"/>
    <w:rsid w:val="008A58A9"/>
    <w:rsid w:val="008B2CC1"/>
    <w:rsid w:val="008B60B2"/>
    <w:rsid w:val="008C2E2F"/>
    <w:rsid w:val="008D3AD6"/>
    <w:rsid w:val="008D66B5"/>
    <w:rsid w:val="008E0985"/>
    <w:rsid w:val="008E61E5"/>
    <w:rsid w:val="008F0271"/>
    <w:rsid w:val="008F43F0"/>
    <w:rsid w:val="008F761F"/>
    <w:rsid w:val="008F7C92"/>
    <w:rsid w:val="009056B5"/>
    <w:rsid w:val="0090731E"/>
    <w:rsid w:val="00912860"/>
    <w:rsid w:val="00916EE2"/>
    <w:rsid w:val="00934154"/>
    <w:rsid w:val="00947E24"/>
    <w:rsid w:val="009558F1"/>
    <w:rsid w:val="009559E2"/>
    <w:rsid w:val="00960227"/>
    <w:rsid w:val="00960E58"/>
    <w:rsid w:val="009618BA"/>
    <w:rsid w:val="00964137"/>
    <w:rsid w:val="00966A22"/>
    <w:rsid w:val="0096722F"/>
    <w:rsid w:val="00980843"/>
    <w:rsid w:val="00983132"/>
    <w:rsid w:val="0099323E"/>
    <w:rsid w:val="009941AE"/>
    <w:rsid w:val="009B3D6B"/>
    <w:rsid w:val="009B5DD7"/>
    <w:rsid w:val="009C0E4C"/>
    <w:rsid w:val="009C11A2"/>
    <w:rsid w:val="009C4742"/>
    <w:rsid w:val="009C736D"/>
    <w:rsid w:val="009E2791"/>
    <w:rsid w:val="009E3F6F"/>
    <w:rsid w:val="009E6341"/>
    <w:rsid w:val="009F18DB"/>
    <w:rsid w:val="009F499F"/>
    <w:rsid w:val="00A1595B"/>
    <w:rsid w:val="00A17B51"/>
    <w:rsid w:val="00A17C34"/>
    <w:rsid w:val="00A27CAE"/>
    <w:rsid w:val="00A37342"/>
    <w:rsid w:val="00A40E60"/>
    <w:rsid w:val="00A42DAF"/>
    <w:rsid w:val="00A45BD8"/>
    <w:rsid w:val="00A50FD5"/>
    <w:rsid w:val="00A74CE8"/>
    <w:rsid w:val="00A8042E"/>
    <w:rsid w:val="00A869B7"/>
    <w:rsid w:val="00A91433"/>
    <w:rsid w:val="00A91753"/>
    <w:rsid w:val="00A962AE"/>
    <w:rsid w:val="00AA2A37"/>
    <w:rsid w:val="00AA35C4"/>
    <w:rsid w:val="00AA60E3"/>
    <w:rsid w:val="00AB037E"/>
    <w:rsid w:val="00AB34D6"/>
    <w:rsid w:val="00AC205C"/>
    <w:rsid w:val="00AD5081"/>
    <w:rsid w:val="00AD5C29"/>
    <w:rsid w:val="00AF0A6B"/>
    <w:rsid w:val="00AF448B"/>
    <w:rsid w:val="00AF66DB"/>
    <w:rsid w:val="00B0241B"/>
    <w:rsid w:val="00B05A69"/>
    <w:rsid w:val="00B1685E"/>
    <w:rsid w:val="00B2364E"/>
    <w:rsid w:val="00B25FC4"/>
    <w:rsid w:val="00B317E6"/>
    <w:rsid w:val="00B40359"/>
    <w:rsid w:val="00B47586"/>
    <w:rsid w:val="00B52617"/>
    <w:rsid w:val="00B52E71"/>
    <w:rsid w:val="00B555E8"/>
    <w:rsid w:val="00B75281"/>
    <w:rsid w:val="00B75DBA"/>
    <w:rsid w:val="00B85DCB"/>
    <w:rsid w:val="00B92F1F"/>
    <w:rsid w:val="00B938E8"/>
    <w:rsid w:val="00B9734B"/>
    <w:rsid w:val="00BA0A40"/>
    <w:rsid w:val="00BA30E2"/>
    <w:rsid w:val="00BC7D8A"/>
    <w:rsid w:val="00BD20FA"/>
    <w:rsid w:val="00BE22C8"/>
    <w:rsid w:val="00BE619B"/>
    <w:rsid w:val="00BE6371"/>
    <w:rsid w:val="00C0196A"/>
    <w:rsid w:val="00C0235A"/>
    <w:rsid w:val="00C0602A"/>
    <w:rsid w:val="00C10A8E"/>
    <w:rsid w:val="00C11BFE"/>
    <w:rsid w:val="00C1372C"/>
    <w:rsid w:val="00C26882"/>
    <w:rsid w:val="00C274D7"/>
    <w:rsid w:val="00C32690"/>
    <w:rsid w:val="00C45EAB"/>
    <w:rsid w:val="00C5068F"/>
    <w:rsid w:val="00C651D3"/>
    <w:rsid w:val="00C6662B"/>
    <w:rsid w:val="00C703F1"/>
    <w:rsid w:val="00C730EC"/>
    <w:rsid w:val="00C86D74"/>
    <w:rsid w:val="00C93AC9"/>
    <w:rsid w:val="00CA1DB0"/>
    <w:rsid w:val="00CA37D0"/>
    <w:rsid w:val="00CB1323"/>
    <w:rsid w:val="00CB3542"/>
    <w:rsid w:val="00CB484D"/>
    <w:rsid w:val="00CC1705"/>
    <w:rsid w:val="00CC65E6"/>
    <w:rsid w:val="00CC7FBC"/>
    <w:rsid w:val="00CD04F1"/>
    <w:rsid w:val="00CE4A30"/>
    <w:rsid w:val="00CF681A"/>
    <w:rsid w:val="00CF6EEF"/>
    <w:rsid w:val="00D07C78"/>
    <w:rsid w:val="00D2452E"/>
    <w:rsid w:val="00D24A22"/>
    <w:rsid w:val="00D41BCB"/>
    <w:rsid w:val="00D45252"/>
    <w:rsid w:val="00D71B4D"/>
    <w:rsid w:val="00D71B84"/>
    <w:rsid w:val="00D71F86"/>
    <w:rsid w:val="00D72C9D"/>
    <w:rsid w:val="00D7472E"/>
    <w:rsid w:val="00D83C45"/>
    <w:rsid w:val="00D93D55"/>
    <w:rsid w:val="00DA2871"/>
    <w:rsid w:val="00DA79F6"/>
    <w:rsid w:val="00DB0AE2"/>
    <w:rsid w:val="00DB323F"/>
    <w:rsid w:val="00DD1CEF"/>
    <w:rsid w:val="00DD7B7F"/>
    <w:rsid w:val="00DF39ED"/>
    <w:rsid w:val="00DF58F7"/>
    <w:rsid w:val="00E1334C"/>
    <w:rsid w:val="00E15015"/>
    <w:rsid w:val="00E32D34"/>
    <w:rsid w:val="00E335FE"/>
    <w:rsid w:val="00E4704D"/>
    <w:rsid w:val="00E47F72"/>
    <w:rsid w:val="00E557C7"/>
    <w:rsid w:val="00E65853"/>
    <w:rsid w:val="00E65E71"/>
    <w:rsid w:val="00E83922"/>
    <w:rsid w:val="00E93F65"/>
    <w:rsid w:val="00EA7D6E"/>
    <w:rsid w:val="00EB2F76"/>
    <w:rsid w:val="00EC4E49"/>
    <w:rsid w:val="00ED2C86"/>
    <w:rsid w:val="00ED77FB"/>
    <w:rsid w:val="00EE45FA"/>
    <w:rsid w:val="00EF521B"/>
    <w:rsid w:val="00F009F1"/>
    <w:rsid w:val="00F043DE"/>
    <w:rsid w:val="00F23268"/>
    <w:rsid w:val="00F4678F"/>
    <w:rsid w:val="00F508DB"/>
    <w:rsid w:val="00F53A2A"/>
    <w:rsid w:val="00F57C05"/>
    <w:rsid w:val="00F66152"/>
    <w:rsid w:val="00F84B14"/>
    <w:rsid w:val="00F9165B"/>
    <w:rsid w:val="00F960F7"/>
    <w:rsid w:val="00FA7E20"/>
    <w:rsid w:val="00FB36F5"/>
    <w:rsid w:val="00FD1AA3"/>
    <w:rsid w:val="00FD3A9C"/>
    <w:rsid w:val="00FE0379"/>
    <w:rsid w:val="00FE2DD5"/>
    <w:rsid w:val="00FE5ABD"/>
    <w:rsid w:val="00FF64B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E7B20E"/>
  <w15:docId w15:val="{7A8B1B93-8C7F-4223-92CE-3C0C3DC7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rsid w:val="00110FCD"/>
    <w:rPr>
      <w:rFonts w:ascii="Arial" w:eastAsia="SimSun" w:hAnsi="Arial" w:cs="Arial"/>
      <w:sz w:val="18"/>
      <w:lang w:val="en-US" w:eastAsia="zh-CN"/>
    </w:rPr>
  </w:style>
  <w:style w:type="paragraph" w:customStyle="1" w:styleId="DecisionInvitingPara">
    <w:name w:val="Decision Inviting Para."/>
    <w:basedOn w:val="Normal"/>
    <w:rsid w:val="00110FCD"/>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110FCD"/>
    <w:rPr>
      <w:vertAlign w:val="superscript"/>
    </w:rPr>
  </w:style>
  <w:style w:type="character" w:customStyle="1" w:styleId="ONUMEChar">
    <w:name w:val="ONUM E Char"/>
    <w:link w:val="ONUME"/>
    <w:rsid w:val="00110FCD"/>
    <w:rPr>
      <w:rFonts w:ascii="Arial" w:eastAsia="SimSun" w:hAnsi="Arial" w:cs="Arial"/>
      <w:sz w:val="22"/>
      <w:lang w:val="en-US" w:eastAsia="zh-CN"/>
    </w:rPr>
  </w:style>
  <w:style w:type="paragraph" w:styleId="ListParagraph">
    <w:name w:val="List Paragraph"/>
    <w:basedOn w:val="Normal"/>
    <w:uiPriority w:val="34"/>
    <w:qFormat/>
    <w:rsid w:val="00110FCD"/>
    <w:pPr>
      <w:ind w:left="720"/>
      <w:contextualSpacing/>
    </w:pPr>
    <w:rPr>
      <w:rFonts w:eastAsia="Times New Roman" w:cs="Times New Roman"/>
      <w:lang w:eastAsia="en-US"/>
    </w:rPr>
  </w:style>
  <w:style w:type="character" w:styleId="Hyperlink">
    <w:name w:val="Hyperlink"/>
    <w:basedOn w:val="DefaultParagraphFont"/>
    <w:uiPriority w:val="99"/>
    <w:unhideWhenUsed/>
    <w:rsid w:val="002F322A"/>
    <w:rPr>
      <w:color w:val="0000FF"/>
      <w:u w:val="single"/>
    </w:rPr>
  </w:style>
  <w:style w:type="character" w:styleId="CommentReference">
    <w:name w:val="annotation reference"/>
    <w:basedOn w:val="DefaultParagraphFont"/>
    <w:semiHidden/>
    <w:unhideWhenUsed/>
    <w:rsid w:val="00B75DBA"/>
    <w:rPr>
      <w:sz w:val="16"/>
      <w:szCs w:val="16"/>
    </w:rPr>
  </w:style>
  <w:style w:type="paragraph" w:styleId="CommentSubject">
    <w:name w:val="annotation subject"/>
    <w:basedOn w:val="CommentText"/>
    <w:next w:val="CommentText"/>
    <w:link w:val="CommentSubjectChar"/>
    <w:semiHidden/>
    <w:unhideWhenUsed/>
    <w:rsid w:val="00B75DBA"/>
    <w:rPr>
      <w:b/>
      <w:bCs/>
      <w:sz w:val="20"/>
    </w:rPr>
  </w:style>
  <w:style w:type="character" w:customStyle="1" w:styleId="CommentTextChar">
    <w:name w:val="Comment Text Char"/>
    <w:basedOn w:val="DefaultParagraphFont"/>
    <w:link w:val="CommentText"/>
    <w:semiHidden/>
    <w:rsid w:val="00B75DB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5DBA"/>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D7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76328">
      <w:bodyDiv w:val="1"/>
      <w:marLeft w:val="0"/>
      <w:marRight w:val="0"/>
      <w:marTop w:val="0"/>
      <w:marBottom w:val="0"/>
      <w:divBdr>
        <w:top w:val="none" w:sz="0" w:space="0" w:color="auto"/>
        <w:left w:val="none" w:sz="0" w:space="0" w:color="auto"/>
        <w:bottom w:val="none" w:sz="0" w:space="0" w:color="auto"/>
        <w:right w:val="none" w:sz="0" w:space="0" w:color="auto"/>
      </w:divBdr>
    </w:div>
    <w:div w:id="17844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wipo.int/amc/en/domains/statistics" TargetMode="External"/><Relationship Id="rId18" Type="http://schemas.openxmlformats.org/officeDocument/2006/relationships/hyperlink" Target="http://www.icann.org/en/minutes/resolutions-20jun11-en.htm" TargetMode="External"/><Relationship Id="rId26" Type="http://schemas.openxmlformats.org/officeDocument/2006/relationships/hyperlink" Target="http://www.wipo.int/amc/en/docs/lroreport.pdf" TargetMode="External"/><Relationship Id="rId39" Type="http://schemas.openxmlformats.org/officeDocument/2006/relationships/hyperlink" Target="https://www.icann.org/en/system/files/files/framework-elements-unified-access-model-for-discussion-18jun18-en.pdf" TargetMode="External"/><Relationship Id="rId21" Type="http://schemas.openxmlformats.org/officeDocument/2006/relationships/hyperlink" Target="http://www.wipo.int/edocs/pubdocs/en/marks/845/pub845.pdf" TargetMode="External"/><Relationship Id="rId34" Type="http://schemas.openxmlformats.org/officeDocument/2006/relationships/hyperlink" Target="http://www.wipo.int/amc/en/docs/icann021210.pdf" TargetMode="External"/><Relationship Id="rId42" Type="http://schemas.openxmlformats.org/officeDocument/2006/relationships/hyperlink" Target="http://www.icann.org/en/topics/idn/fast-track/idn-cctld-implementation-plan-16nov09-en.pdf" TargetMode="External"/><Relationship Id="rId47" Type="http://schemas.openxmlformats.org/officeDocument/2006/relationships/hyperlink" Target="http://newgtlds.icann.org/en/applicants/agb/evaluation-procedures-04jun12-en.pdf" TargetMode="External"/><Relationship Id="rId50" Type="http://schemas.openxmlformats.org/officeDocument/2006/relationships/hyperlink" Target="https://gacweb.icann.org/download/attachments/27132037/Geo%20names%20in%20new%20gTLDs%20Updated%20%20V3%20%2029%20august%202014%5B4%5D.pdf?version=1&amp;modificationDate=1411549935000&amp;api=v2" TargetMode="External"/><Relationship Id="rId7" Type="http://schemas.openxmlformats.org/officeDocument/2006/relationships/hyperlink" Target="https://www.wipo.int/amc/en/center/specific-sectors/national-courts/china/spc.html" TargetMode="External"/><Relationship Id="rId2" Type="http://schemas.openxmlformats.org/officeDocument/2006/relationships/hyperlink" Target="https://www.wipo.int/amc/en/eadr/" TargetMode="External"/><Relationship Id="rId16" Type="http://schemas.openxmlformats.org/officeDocument/2006/relationships/hyperlink" Target="http://www.wipo.int/amc/en/domains/cctld/" TargetMode="External"/><Relationship Id="rId29" Type="http://schemas.openxmlformats.org/officeDocument/2006/relationships/hyperlink" Target="http://www.wipo.int/amc/en/docs/icann260310rap.pdf" TargetMode="External"/><Relationship Id="rId11" Type="http://schemas.openxmlformats.org/officeDocument/2006/relationships/hyperlink" Target="http://www.wipo.int/amc/en/processes/process2/report" TargetMode="External"/><Relationship Id="rId24" Type="http://schemas.openxmlformats.org/officeDocument/2006/relationships/hyperlink" Target="https://www.wipo.int/amc/en/domains/lro/fees/" TargetMode="External"/><Relationship Id="rId32" Type="http://schemas.openxmlformats.org/officeDocument/2006/relationships/hyperlink" Target="http://prague44.icann.org/node/31773" TargetMode="External"/><Relationship Id="rId37" Type="http://schemas.openxmlformats.org/officeDocument/2006/relationships/hyperlink" Target="https://gnso.icann.org/en/issues/new-gtlds/rpm-final-issue-11jan16-en.pdf" TargetMode="External"/><Relationship Id="rId40" Type="http://schemas.openxmlformats.org/officeDocument/2006/relationships/hyperlink" Target="https://www.icann.org/public-comments/epdp-phase-2-initial-2020-02-07-en" TargetMode="External"/><Relationship Id="rId45" Type="http://schemas.openxmlformats.org/officeDocument/2006/relationships/hyperlink" Target="http://newgtlds.icann.org/en/applicants/agb/base-agreement-specs-04jun12-en.pdf" TargetMode="External"/><Relationship Id="rId5" Type="http://schemas.openxmlformats.org/officeDocument/2006/relationships/hyperlink" Target="http://eng.kocca.kr/en/main.do" TargetMode="External"/><Relationship Id="rId15" Type="http://schemas.openxmlformats.org/officeDocument/2006/relationships/hyperlink" Target="http://www.wipo.int/amc/en/domains/cctld" TargetMode="External"/><Relationship Id="rId23" Type="http://schemas.openxmlformats.org/officeDocument/2006/relationships/hyperlink" Target="http://www.wipo.int/amc/en/docs/wipolrorules.pdf" TargetMode="External"/><Relationship Id="rId28" Type="http://schemas.openxmlformats.org/officeDocument/2006/relationships/hyperlink" Target="http://www.icann.org/en/minutes/resolutions-05nov10-en.htm" TargetMode="External"/><Relationship Id="rId36" Type="http://schemas.openxmlformats.org/officeDocument/2006/relationships/hyperlink" Target="http://gnso.icann.org/en/issues/new-gtlds/rpm-prelim-issue-09oct15-en.pdf" TargetMode="External"/><Relationship Id="rId49" Type="http://schemas.openxmlformats.org/officeDocument/2006/relationships/hyperlink" Target="https://www.icann.org/en/system/files/correspondence/gac-to-board-11apr13-en.pdf" TargetMode="External"/><Relationship Id="rId10" Type="http://schemas.openxmlformats.org/officeDocument/2006/relationships/hyperlink" Target="http://www.wipo.int/amc/en/processes/process1/report" TargetMode="External"/><Relationship Id="rId19" Type="http://schemas.openxmlformats.org/officeDocument/2006/relationships/hyperlink" Target="http://newgtlds.icann.org/en/applicants/agb" TargetMode="External"/><Relationship Id="rId31" Type="http://schemas.openxmlformats.org/officeDocument/2006/relationships/hyperlink" Target="http://www.wipo.int/amc/en/docs/icann030409.pdf" TargetMode="External"/><Relationship Id="rId44" Type="http://schemas.openxmlformats.org/officeDocument/2006/relationships/hyperlink" Target="http://www.icann.org/resources/board-material/resolutions-2018-02-04-en" TargetMode="External"/><Relationship Id="rId52" Type="http://schemas.openxmlformats.org/officeDocument/2006/relationships/hyperlink" Target="https://www.icann.org/en/system/files/files/two-character-ltr-ltr-authorization-release-13dec16-en.pdf" TargetMode="External"/><Relationship Id="rId4" Type="http://schemas.openxmlformats.org/officeDocument/2006/relationships/hyperlink" Target="http://www.wipo.int/dcea/en/roving_seminars/" TargetMode="External"/><Relationship Id="rId9" Type="http://schemas.openxmlformats.org/officeDocument/2006/relationships/hyperlink" Target="https://www.wipo.int/amc/en/events/webinar.html" TargetMode="External"/><Relationship Id="rId14" Type="http://schemas.openxmlformats.org/officeDocument/2006/relationships/hyperlink" Target="http://www.wipo.int/amc/en/new/eu.html" TargetMode="External"/><Relationship Id="rId22" Type="http://schemas.openxmlformats.org/officeDocument/2006/relationships/hyperlink" Target="https://newgtlds.icann.org/en/applicants/agb/objection-procedures-04jun12-en.pdf" TargetMode="External"/><Relationship Id="rId27" Type="http://schemas.openxmlformats.org/officeDocument/2006/relationships/hyperlink" Target="http://www.wipo.int/amc/en/docs/icann130309.pdf" TargetMode="External"/><Relationship Id="rId30" Type="http://schemas.openxmlformats.org/officeDocument/2006/relationships/hyperlink" Target="http://trademark-clearinghouse.com/content/tmch-stats" TargetMode="External"/><Relationship Id="rId35" Type="http://schemas.openxmlformats.org/officeDocument/2006/relationships/hyperlink" Target="http://www.wipo.int/amc/en/docs/icann040707.pdf" TargetMode="External"/><Relationship Id="rId43" Type="http://schemas.openxmlformats.org/officeDocument/2006/relationships/hyperlink" Target="http://www.iso.org/iso/english_country_names_and_code_elements" TargetMode="External"/><Relationship Id="rId48" Type="http://schemas.openxmlformats.org/officeDocument/2006/relationships/hyperlink" Target="https://www.icann.org/en/system/files/correspondence/gac-to-board-27mar14-en.pdf" TargetMode="External"/><Relationship Id="rId8" Type="http://schemas.openxmlformats.org/officeDocument/2006/relationships/hyperlink" Target="https://www.wipo.int/newsletters-archive/en/adr_highlights.html" TargetMode="External"/><Relationship Id="rId51" Type="http://schemas.openxmlformats.org/officeDocument/2006/relationships/hyperlink" Target="https://www.icann.org/resources/board-material/resolutions-2019-05-15-en" TargetMode="External"/><Relationship Id="rId3" Type="http://schemas.openxmlformats.org/officeDocument/2006/relationships/hyperlink" Target="http://www.wipo.int/amc/en/center/specific-sectors/ipoffices/" TargetMode="External"/><Relationship Id="rId12" Type="http://schemas.openxmlformats.org/officeDocument/2006/relationships/hyperlink" Target="http://www.wipo.int/amc/en/domains/challenged" TargetMode="External"/><Relationship Id="rId17" Type="http://schemas.openxmlformats.org/officeDocument/2006/relationships/hyperlink" Target="https://www.wipo.int/edocs/pubdocs/en/wipo_pub_1069.pdf" TargetMode="External"/><Relationship Id="rId25" Type="http://schemas.openxmlformats.org/officeDocument/2006/relationships/hyperlink" Target="https://www.wipo.int/amc/en/domains/lro/cases/" TargetMode="External"/><Relationship Id="rId33" Type="http://schemas.openxmlformats.org/officeDocument/2006/relationships/hyperlink" Target="http://toronto45.icann.org/node/34325" TargetMode="External"/><Relationship Id="rId38" Type="http://schemas.openxmlformats.org/officeDocument/2006/relationships/hyperlink" Target="https://www.icann.org/en/public-comment/proceeding/policy-status-report-uniform-domain-name-dispute-resolution-policy-udrp-03-03-2022" TargetMode="External"/><Relationship Id="rId46" Type="http://schemas.openxmlformats.org/officeDocument/2006/relationships/hyperlink" Target="http://newgtlds.icann.org/en/applicants/agb/evaluation-procedures-04jun12-en.pdf" TargetMode="External"/><Relationship Id="rId20" Type="http://schemas.openxmlformats.org/officeDocument/2006/relationships/hyperlink" Target="http://newgtlds.icann.org/en/program-status/delegated-strings" TargetMode="External"/><Relationship Id="rId41" Type="http://schemas.openxmlformats.org/officeDocument/2006/relationships/hyperlink" Target="https://68.schedule.icann.org/" TargetMode="External"/><Relationship Id="rId1" Type="http://schemas.openxmlformats.org/officeDocument/2006/relationships/hyperlink" Target="http://www.wipo.int/amc/en/events" TargetMode="External"/><Relationship Id="rId6" Type="http://schemas.openxmlformats.org/officeDocument/2006/relationships/hyperlink" Target="http://www.wipo.int/amc/en/center/specific-sectors/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AF23D-7499-4403-9D5A-FB521F492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16</Pages>
  <Words>4250</Words>
  <Characters>27616</Characters>
  <Application>Microsoft Office Word</Application>
  <DocSecurity>0</DocSecurity>
  <Lines>458</Lines>
  <Paragraphs>76</Paragraphs>
  <ScaleCrop>false</ScaleCrop>
  <HeadingPairs>
    <vt:vector size="2" baseType="variant">
      <vt:variant>
        <vt:lpstr>Title</vt:lpstr>
      </vt:variant>
      <vt:variant>
        <vt:i4>1</vt:i4>
      </vt:variant>
    </vt:vector>
  </HeadingPairs>
  <TitlesOfParts>
    <vt:vector size="1" baseType="lpstr">
      <vt:lpstr>WO/GA/55/10</vt:lpstr>
    </vt:vector>
  </TitlesOfParts>
  <Company>WIPO</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WO/GA/55/10</dc:title>
  <dc:subject/>
  <dc:creator>WIPO</dc:creator>
  <cp:keywords>PUBLIC</cp:keywords>
  <dc:description/>
  <cp:lastModifiedBy>HÄFLIGER Patience</cp:lastModifiedBy>
  <cp:revision>37</cp:revision>
  <cp:lastPrinted>2021-07-06T13:30:00Z</cp:lastPrinted>
  <dcterms:created xsi:type="dcterms:W3CDTF">2022-04-27T13:07:00Z</dcterms:created>
  <dcterms:modified xsi:type="dcterms:W3CDTF">2022-04-29T13:19:00Z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968b7568-5196-4d0f-8b19-117e6993ecbd</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