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4E81E" w14:textId="3E7C91B1" w:rsidR="008B2CC1" w:rsidRPr="00F043DE" w:rsidRDefault="009A5FF0" w:rsidP="00805BD5">
      <w:pPr>
        <w:spacing w:before="360" w:after="240"/>
        <w:jc w:val="right"/>
        <w:rPr>
          <w:b/>
          <w:sz w:val="32"/>
          <w:szCs w:val="40"/>
        </w:rPr>
      </w:pPr>
      <w:r>
        <w:rPr>
          <w:noProof/>
          <w:lang w:val="en-US" w:eastAsia="en-US"/>
        </w:rPr>
        <w:drawing>
          <wp:inline distT="0" distB="0" distL="0" distR="0" wp14:anchorId="4BEE1921" wp14:editId="0846DB10">
            <wp:extent cx="3076575" cy="1546860"/>
            <wp:effectExtent l="0" t="0" r="9525" b="0"/>
            <wp:docPr id="3" name="Picture 3"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1546860"/>
                    </a:xfrm>
                    <a:prstGeom prst="rect">
                      <a:avLst/>
                    </a:prstGeom>
                    <a:noFill/>
                  </pic:spPr>
                </pic:pic>
              </a:graphicData>
            </a:graphic>
          </wp:inline>
        </w:drawing>
      </w:r>
    </w:p>
    <w:p w14:paraId="10E99E45" w14:textId="21CD8E02" w:rsidR="008B2CC1" w:rsidRPr="005E27B1" w:rsidRDefault="006961B9" w:rsidP="00805BD5">
      <w:pPr>
        <w:pBdr>
          <w:top w:val="single" w:sz="4" w:space="9" w:color="auto"/>
        </w:pBdr>
        <w:jc w:val="right"/>
        <w:rPr>
          <w:rFonts w:ascii="Arial Black" w:hAnsi="Arial Black"/>
          <w:caps/>
          <w:sz w:val="15"/>
          <w:szCs w:val="15"/>
        </w:rPr>
      </w:pPr>
      <w:r>
        <w:rPr>
          <w:rFonts w:ascii="Arial Black" w:hAnsi="Arial Black"/>
          <w:caps/>
          <w:sz w:val="15"/>
        </w:rPr>
        <w:t>WO/GA/54/</w:t>
      </w:r>
      <w:bookmarkStart w:id="0" w:name="Code"/>
      <w:r>
        <w:rPr>
          <w:rFonts w:ascii="Arial Black" w:hAnsi="Arial Black"/>
          <w:caps/>
          <w:sz w:val="15"/>
        </w:rPr>
        <w:t>3</w:t>
      </w:r>
    </w:p>
    <w:bookmarkEnd w:id="0"/>
    <w:p w14:paraId="6D696899" w14:textId="77777777"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7FDEA3DF" w14:textId="07A8D358" w:rsidR="008B2CC1" w:rsidRPr="000A3D97" w:rsidRDefault="00EB2F76" w:rsidP="00FC7E97">
      <w:pPr>
        <w:spacing w:after="1200"/>
        <w:jc w:val="right"/>
        <w:rPr>
          <w:rFonts w:ascii="Arial Black" w:hAnsi="Arial Black"/>
          <w:caps/>
          <w:sz w:val="15"/>
          <w:szCs w:val="15"/>
        </w:rPr>
      </w:pPr>
      <w:r>
        <w:rPr>
          <w:rFonts w:ascii="Arial Black" w:hAnsi="Arial Black"/>
          <w:caps/>
          <w:sz w:val="15"/>
        </w:rPr>
        <w:t xml:space="preserve">ДАТА: </w:t>
      </w:r>
      <w:bookmarkStart w:id="2" w:name="Date"/>
      <w:r w:rsidR="00A001FC">
        <w:rPr>
          <w:rFonts w:ascii="Arial Black" w:hAnsi="Arial Black"/>
          <w:caps/>
          <w:sz w:val="15"/>
          <w:lang w:val="en-US"/>
        </w:rPr>
        <w:t>1</w:t>
      </w:r>
      <w:r>
        <w:rPr>
          <w:rFonts w:ascii="Arial Black" w:hAnsi="Arial Black"/>
          <w:caps/>
          <w:sz w:val="15"/>
        </w:rPr>
        <w:t>2</w:t>
      </w:r>
      <w:r w:rsidR="00E20D4F">
        <w:rPr>
          <w:rFonts w:ascii="Arial Black" w:hAnsi="Arial Black"/>
          <w:caps/>
          <w:sz w:val="15"/>
        </w:rPr>
        <w:t> </w:t>
      </w:r>
      <w:r>
        <w:rPr>
          <w:rFonts w:ascii="Arial Black" w:hAnsi="Arial Black"/>
          <w:caps/>
          <w:sz w:val="15"/>
        </w:rPr>
        <w:t>июля 2021</w:t>
      </w:r>
      <w:r w:rsidR="00E20D4F">
        <w:rPr>
          <w:rFonts w:ascii="Arial Black" w:hAnsi="Arial Black"/>
          <w:caps/>
          <w:sz w:val="15"/>
        </w:rPr>
        <w:t> </w:t>
      </w:r>
      <w:r>
        <w:rPr>
          <w:rFonts w:ascii="Arial Black" w:hAnsi="Arial Black"/>
          <w:caps/>
          <w:sz w:val="15"/>
        </w:rPr>
        <w:t>г.</w:t>
      </w:r>
    </w:p>
    <w:p w14:paraId="1B41B09A" w14:textId="23F42B84" w:rsidR="008B2CC1" w:rsidRDefault="00217391" w:rsidP="00997064">
      <w:pPr>
        <w:rPr>
          <w:b/>
          <w:bCs/>
          <w:sz w:val="28"/>
        </w:rPr>
      </w:pPr>
      <w:bookmarkStart w:id="3" w:name="_Toc39071242"/>
      <w:bookmarkStart w:id="4" w:name="_Toc40690186"/>
      <w:bookmarkStart w:id="5" w:name="_Toc40690218"/>
      <w:bookmarkStart w:id="6" w:name="_Toc40706936"/>
      <w:bookmarkStart w:id="7" w:name="_Toc45614999"/>
      <w:bookmarkStart w:id="8" w:name="_Toc71621461"/>
      <w:bookmarkEnd w:id="2"/>
      <w:r w:rsidRPr="00997064">
        <w:rPr>
          <w:b/>
          <w:bCs/>
          <w:sz w:val="28"/>
        </w:rPr>
        <w:t>Генеральная Ассамблея ВОИС</w:t>
      </w:r>
      <w:bookmarkEnd w:id="3"/>
      <w:bookmarkEnd w:id="4"/>
      <w:bookmarkEnd w:id="5"/>
      <w:bookmarkEnd w:id="6"/>
      <w:bookmarkEnd w:id="7"/>
      <w:bookmarkEnd w:id="8"/>
    </w:p>
    <w:p w14:paraId="6936266A" w14:textId="248905E0" w:rsidR="00997064" w:rsidRPr="00997064" w:rsidRDefault="00997064" w:rsidP="00997064">
      <w:pPr>
        <w:rPr>
          <w:b/>
          <w:bCs/>
          <w:sz w:val="28"/>
          <w:szCs w:val="28"/>
        </w:rPr>
      </w:pPr>
    </w:p>
    <w:p w14:paraId="4220D0E6" w14:textId="4AED8F15" w:rsidR="008B2CC1" w:rsidRPr="003845C1" w:rsidRDefault="006961B9" w:rsidP="00217391">
      <w:pPr>
        <w:spacing w:after="720"/>
        <w:outlineLvl w:val="1"/>
        <w:rPr>
          <w:b/>
          <w:sz w:val="24"/>
          <w:szCs w:val="24"/>
        </w:rPr>
      </w:pPr>
      <w:r>
        <w:rPr>
          <w:b/>
          <w:sz w:val="24"/>
        </w:rPr>
        <w:t>Пятьдесят четвертая (25-я очередная)</w:t>
      </w:r>
      <w:r w:rsidR="008B5903">
        <w:rPr>
          <w:b/>
          <w:sz w:val="24"/>
        </w:rPr>
        <w:t xml:space="preserve"> сессия</w:t>
      </w:r>
      <w:r>
        <w:rPr>
          <w:b/>
          <w:sz w:val="24"/>
        </w:rPr>
        <w:br/>
        <w:t>Женева, 4–8 октября 2021 г.</w:t>
      </w:r>
    </w:p>
    <w:p w14:paraId="7FFACFEF" w14:textId="311F91A0" w:rsidR="00FC7E97" w:rsidRPr="009C127D" w:rsidRDefault="00FC7E97" w:rsidP="00FC7E97">
      <w:pPr>
        <w:spacing w:after="360"/>
        <w:rPr>
          <w:caps/>
          <w:sz w:val="24"/>
        </w:rPr>
      </w:pPr>
      <w:bookmarkStart w:id="9" w:name="TitleOfDoc"/>
      <w:r>
        <w:rPr>
          <w:caps/>
          <w:sz w:val="24"/>
        </w:rPr>
        <w:t>ГОДОВОЙ ОТЧЕТ ДИРЕКТОРА ОТДЕЛА ВНУТРЕННЕГО НАДЗОРА (ОВН)</w:t>
      </w:r>
    </w:p>
    <w:bookmarkEnd w:id="9"/>
    <w:p w14:paraId="5407EF7F" w14:textId="77777777" w:rsidR="00FC7E97" w:rsidRPr="009C127D" w:rsidRDefault="00FC7E97" w:rsidP="00FC7E97">
      <w:pPr>
        <w:spacing w:after="960"/>
        <w:rPr>
          <w:i/>
        </w:rPr>
      </w:pPr>
      <w:r>
        <w:rPr>
          <w:i/>
        </w:rPr>
        <w:t>подготовлен Секретариатом</w:t>
      </w:r>
    </w:p>
    <w:p w14:paraId="4F7BB5B9" w14:textId="1576B156" w:rsidR="00FC7E97" w:rsidRDefault="00FC7E97" w:rsidP="002C23BF">
      <w:pPr>
        <w:pStyle w:val="ONUME"/>
        <w:numPr>
          <w:ilvl w:val="0"/>
          <w:numId w:val="4"/>
        </w:numPr>
      </w:pPr>
      <w:r>
        <w:t>В настоящем документе содержится Годовой отчет директора Отдела внутреннего надзора (ОВН) (документ WO/PBC/33/</w:t>
      </w:r>
      <w:r w:rsidR="00692811">
        <w:t>6</w:t>
      </w:r>
      <w:r>
        <w:t>), представленный Комитету ВОИС по программе и бюджету (КПБ) для рассмотрения на его тридцать третьей сессии (13–17</w:t>
      </w:r>
      <w:r w:rsidR="00E20D4F">
        <w:t> </w:t>
      </w:r>
      <w:r>
        <w:t>сентября 2021</w:t>
      </w:r>
      <w:r w:rsidR="00AA21C3">
        <w:rPr>
          <w:lang w:val="en-US"/>
        </w:rPr>
        <w:t> </w:t>
      </w:r>
      <w:r>
        <w:t>г.).</w:t>
      </w:r>
    </w:p>
    <w:p w14:paraId="57F76B33" w14:textId="03D00A6B" w:rsidR="001D4107" w:rsidRDefault="00FC7E97" w:rsidP="008460BA">
      <w:pPr>
        <w:pStyle w:val="ONUME"/>
      </w:pPr>
      <w:r>
        <w:t>Все решения КПБ в отношении этого документа будут отражены в перечне решений, принятых Комитетом по программе и бюджету (документ A/62/7).</w:t>
      </w:r>
    </w:p>
    <w:p w14:paraId="49D85A12" w14:textId="77777777" w:rsidR="00DC7B07" w:rsidRDefault="00DC7B07" w:rsidP="00DC7B07">
      <w:pPr>
        <w:pStyle w:val="ONUME"/>
        <w:numPr>
          <w:ilvl w:val="0"/>
          <w:numId w:val="0"/>
        </w:numPr>
        <w:tabs>
          <w:tab w:val="left" w:pos="6096"/>
        </w:tabs>
        <w:spacing w:after="0"/>
        <w:ind w:left="5533"/>
        <w:rPr>
          <w:i/>
        </w:rPr>
      </w:pPr>
    </w:p>
    <w:p w14:paraId="0C043684" w14:textId="057DF029" w:rsidR="00DC7B07" w:rsidRDefault="00DC7B07" w:rsidP="00DC7B07">
      <w:pPr>
        <w:pStyle w:val="Endofdocument-Annex"/>
      </w:pPr>
      <w:r>
        <w:t>[Документ WO/PBC/33/</w:t>
      </w:r>
      <w:r w:rsidR="00692811">
        <w:t xml:space="preserve">6 </w:t>
      </w:r>
      <w:r>
        <w:t>следует]</w:t>
      </w:r>
    </w:p>
    <w:p w14:paraId="18AC0E7E" w14:textId="77777777" w:rsidR="00DC7B07" w:rsidRDefault="00DC7B07" w:rsidP="00DC7B07">
      <w:pPr>
        <w:pStyle w:val="Endofdocument-Annex"/>
      </w:pPr>
    </w:p>
    <w:p w14:paraId="72282CC1" w14:textId="77777777" w:rsidR="00DC7B07" w:rsidRDefault="00DC7B07" w:rsidP="00DC7B07">
      <w:pPr>
        <w:pStyle w:val="Endofdocument-Annex"/>
        <w:jc w:val="both"/>
        <w:sectPr w:rsidR="00DC7B07" w:rsidSect="00E60513">
          <w:headerReference w:type="default" r:id="rId9"/>
          <w:endnotePr>
            <w:numFmt w:val="decimal"/>
          </w:endnotePr>
          <w:pgSz w:w="11907" w:h="16840" w:code="9"/>
          <w:pgMar w:top="567" w:right="1134" w:bottom="1418" w:left="1418" w:header="510" w:footer="1021" w:gutter="0"/>
          <w:cols w:space="720"/>
          <w:titlePg/>
          <w:docGrid w:linePitch="299"/>
        </w:sectPr>
      </w:pPr>
    </w:p>
    <w:p w14:paraId="0A49E326" w14:textId="77777777" w:rsidR="00DC7B07" w:rsidRDefault="00DC7B07" w:rsidP="00DC7B07">
      <w:pPr>
        <w:pStyle w:val="Endofdocument-Annex"/>
        <w:sectPr w:rsidR="00DC7B07" w:rsidSect="00E60513">
          <w:endnotePr>
            <w:numFmt w:val="decimal"/>
          </w:endnotePr>
          <w:pgSz w:w="11907" w:h="16840" w:code="9"/>
          <w:pgMar w:top="567" w:right="1134" w:bottom="1418" w:left="1418" w:header="510" w:footer="1021" w:gutter="0"/>
          <w:cols w:space="720"/>
          <w:titlePg/>
          <w:docGrid w:linePitch="299"/>
        </w:sectPr>
      </w:pPr>
    </w:p>
    <w:p w14:paraId="4F9BE62C" w14:textId="4C82BF1B" w:rsidR="0039415E" w:rsidRPr="00123893" w:rsidRDefault="0039415E" w:rsidP="0039415E">
      <w:pPr>
        <w:widowControl w:val="0"/>
        <w:jc w:val="right"/>
        <w:rPr>
          <w:b/>
          <w:sz w:val="2"/>
          <w:szCs w:val="40"/>
        </w:rPr>
      </w:pPr>
    </w:p>
    <w:p w14:paraId="2AD9F6C2" w14:textId="19BBC3F9" w:rsidR="0039415E" w:rsidRDefault="009A5FF0" w:rsidP="0039415E">
      <w:pPr>
        <w:spacing w:line="360" w:lineRule="auto"/>
        <w:ind w:left="4592"/>
        <w:rPr>
          <w:rFonts w:ascii="Arial Black" w:hAnsi="Arial Black"/>
          <w:caps/>
          <w:sz w:val="15"/>
        </w:rPr>
      </w:pPr>
      <w:r>
        <w:rPr>
          <w:noProof/>
          <w:lang w:val="en-US" w:eastAsia="en-US"/>
        </w:rPr>
        <w:drawing>
          <wp:inline distT="0" distB="0" distL="0" distR="0" wp14:anchorId="5359E0B4" wp14:editId="3A0E2A8A">
            <wp:extent cx="3076575" cy="1546860"/>
            <wp:effectExtent l="0" t="0" r="9525" b="0"/>
            <wp:docPr id="7" name="Picture 7"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1546860"/>
                    </a:xfrm>
                    <a:prstGeom prst="rect">
                      <a:avLst/>
                    </a:prstGeom>
                    <a:noFill/>
                  </pic:spPr>
                </pic:pic>
              </a:graphicData>
            </a:graphic>
          </wp:inline>
        </w:drawing>
      </w:r>
    </w:p>
    <w:p w14:paraId="06DC42FA" w14:textId="4B73060C" w:rsidR="0039415E" w:rsidRPr="00826314" w:rsidRDefault="0012193A" w:rsidP="0039415E">
      <w:pPr>
        <w:pBdr>
          <w:top w:val="single" w:sz="4" w:space="10" w:color="auto"/>
        </w:pBdr>
        <w:spacing w:before="120"/>
        <w:jc w:val="right"/>
        <w:rPr>
          <w:rFonts w:ascii="Arial Black" w:hAnsi="Arial Black"/>
          <w:b/>
          <w:caps/>
          <w:sz w:val="15"/>
        </w:rPr>
      </w:pPr>
      <w:r>
        <w:rPr>
          <w:rFonts w:ascii="Arial Black" w:hAnsi="Arial Black"/>
          <w:b/>
          <w:caps/>
          <w:sz w:val="15"/>
        </w:rPr>
        <w:t>WO/PBC/33/</w:t>
      </w:r>
      <w:r w:rsidR="00C42028">
        <w:rPr>
          <w:rFonts w:ascii="Arial Black" w:hAnsi="Arial Black"/>
          <w:b/>
          <w:caps/>
          <w:sz w:val="15"/>
        </w:rPr>
        <w:t>6</w:t>
      </w:r>
    </w:p>
    <w:p w14:paraId="4B0223C5" w14:textId="51CF5650" w:rsidR="0039415E" w:rsidRPr="00826314" w:rsidRDefault="00826314" w:rsidP="0039415E">
      <w:pPr>
        <w:jc w:val="right"/>
        <w:rPr>
          <w:rFonts w:ascii="Arial Black" w:hAnsi="Arial Black"/>
          <w:b/>
          <w:caps/>
          <w:sz w:val="15"/>
        </w:rPr>
      </w:pPr>
      <w:r>
        <w:rPr>
          <w:rFonts w:ascii="Arial Black" w:hAnsi="Arial Black"/>
          <w:b/>
          <w:caps/>
          <w:sz w:val="15"/>
        </w:rPr>
        <w:t>ОРИГИНАЛ: английский</w:t>
      </w:r>
    </w:p>
    <w:p w14:paraId="2C232A30" w14:textId="1AFD8E20" w:rsidR="0039415E" w:rsidRPr="007378AD" w:rsidRDefault="0039415E" w:rsidP="0039415E">
      <w:pPr>
        <w:spacing w:line="1680" w:lineRule="auto"/>
        <w:jc w:val="right"/>
        <w:rPr>
          <w:rFonts w:ascii="Arial Black" w:hAnsi="Arial Black"/>
          <w:b/>
          <w:caps/>
          <w:sz w:val="15"/>
        </w:rPr>
      </w:pPr>
      <w:r>
        <w:rPr>
          <w:rFonts w:ascii="Arial Black" w:hAnsi="Arial Black"/>
          <w:b/>
          <w:caps/>
          <w:sz w:val="15"/>
        </w:rPr>
        <w:t xml:space="preserve">ДАТА: </w:t>
      </w:r>
      <w:r w:rsidR="00A001FC">
        <w:rPr>
          <w:rFonts w:ascii="Arial Black" w:hAnsi="Arial Black"/>
          <w:b/>
          <w:caps/>
          <w:sz w:val="15"/>
          <w:lang w:val="en-US"/>
        </w:rPr>
        <w:t>1</w:t>
      </w:r>
      <w:bookmarkStart w:id="10" w:name="_GoBack"/>
      <w:bookmarkEnd w:id="10"/>
      <w:r>
        <w:rPr>
          <w:rFonts w:ascii="Arial Black" w:hAnsi="Arial Black"/>
          <w:b/>
          <w:caps/>
          <w:sz w:val="15"/>
        </w:rPr>
        <w:t>2</w:t>
      </w:r>
      <w:r w:rsidR="00E20D4F">
        <w:rPr>
          <w:rFonts w:ascii="Arial Black" w:hAnsi="Arial Black"/>
          <w:b/>
          <w:caps/>
          <w:sz w:val="15"/>
        </w:rPr>
        <w:t> </w:t>
      </w:r>
      <w:r>
        <w:rPr>
          <w:rFonts w:ascii="Arial Black" w:hAnsi="Arial Black"/>
          <w:b/>
          <w:caps/>
          <w:sz w:val="15"/>
        </w:rPr>
        <w:t>июля 2021</w:t>
      </w:r>
      <w:r w:rsidR="00E20D4F">
        <w:rPr>
          <w:rFonts w:ascii="Arial Black" w:hAnsi="Arial Black"/>
          <w:b/>
          <w:caps/>
          <w:sz w:val="15"/>
        </w:rPr>
        <w:t> </w:t>
      </w:r>
      <w:r>
        <w:rPr>
          <w:rFonts w:ascii="Arial Black" w:hAnsi="Arial Black"/>
          <w:b/>
          <w:caps/>
          <w:sz w:val="15"/>
        </w:rPr>
        <w:t>г.</w:t>
      </w:r>
    </w:p>
    <w:p w14:paraId="5C16434F" w14:textId="77777777" w:rsidR="0039415E" w:rsidRPr="003845C1" w:rsidRDefault="0039415E" w:rsidP="0039415E">
      <w:pPr>
        <w:spacing w:before="1000" w:after="600"/>
        <w:rPr>
          <w:b/>
          <w:sz w:val="28"/>
          <w:szCs w:val="28"/>
        </w:rPr>
      </w:pPr>
      <w:r>
        <w:rPr>
          <w:b/>
          <w:sz w:val="28"/>
        </w:rPr>
        <w:t>Комитет по программе и бюджету</w:t>
      </w:r>
    </w:p>
    <w:p w14:paraId="5D211FAA" w14:textId="1DA27CCE" w:rsidR="0039415E" w:rsidRPr="00826314" w:rsidRDefault="00826314" w:rsidP="0039415E">
      <w:pPr>
        <w:rPr>
          <w:b/>
          <w:sz w:val="24"/>
        </w:rPr>
      </w:pPr>
      <w:r>
        <w:rPr>
          <w:b/>
          <w:sz w:val="24"/>
        </w:rPr>
        <w:t>Тридцать третья сессия</w:t>
      </w:r>
    </w:p>
    <w:p w14:paraId="5AC8A129" w14:textId="16BBDA32" w:rsidR="0039415E" w:rsidRDefault="0039415E" w:rsidP="0039415E">
      <w:pPr>
        <w:spacing w:after="720"/>
        <w:rPr>
          <w:b/>
          <w:sz w:val="24"/>
        </w:rPr>
      </w:pPr>
      <w:r>
        <w:rPr>
          <w:b/>
          <w:sz w:val="24"/>
        </w:rPr>
        <w:t>Женева, 13–17</w:t>
      </w:r>
      <w:r w:rsidR="00E20D4F">
        <w:rPr>
          <w:b/>
          <w:sz w:val="24"/>
        </w:rPr>
        <w:t> </w:t>
      </w:r>
      <w:r>
        <w:rPr>
          <w:b/>
          <w:sz w:val="24"/>
        </w:rPr>
        <w:t xml:space="preserve">сентября </w:t>
      </w:r>
      <w:r w:rsidR="00037F36">
        <w:rPr>
          <w:b/>
          <w:sz w:val="24"/>
        </w:rPr>
        <w:t>202</w:t>
      </w:r>
      <w:r w:rsidR="00037F36">
        <w:rPr>
          <w:b/>
          <w:sz w:val="24"/>
          <w:lang w:val="en-GB"/>
        </w:rPr>
        <w:t>1</w:t>
      </w:r>
      <w:r w:rsidR="00E20D4F">
        <w:rPr>
          <w:b/>
          <w:sz w:val="24"/>
        </w:rPr>
        <w:t> </w:t>
      </w:r>
      <w:r>
        <w:rPr>
          <w:b/>
          <w:sz w:val="24"/>
        </w:rPr>
        <w:t>г.</w:t>
      </w:r>
    </w:p>
    <w:p w14:paraId="5DDB8B04" w14:textId="77777777" w:rsidR="0039415E" w:rsidRDefault="0039415E" w:rsidP="0039415E">
      <w:pPr>
        <w:spacing w:after="360"/>
        <w:rPr>
          <w:sz w:val="24"/>
        </w:rPr>
      </w:pPr>
      <w:r>
        <w:rPr>
          <w:sz w:val="24"/>
        </w:rPr>
        <w:t>ГОДОВОЙ ОТЧЕТ ДИРЕКТОРА ОТДЕЛА ВНУТРЕННЕГО НАДЗОРА (ОВН)</w:t>
      </w:r>
    </w:p>
    <w:p w14:paraId="4A711296" w14:textId="39872D0F" w:rsidR="0039415E" w:rsidRPr="00826314" w:rsidRDefault="009A5C31" w:rsidP="0039415E">
      <w:pPr>
        <w:spacing w:after="960"/>
        <w:rPr>
          <w:i/>
          <w:szCs w:val="22"/>
        </w:rPr>
      </w:pPr>
      <w:r>
        <w:rPr>
          <w:i/>
          <w:iCs/>
        </w:rPr>
        <w:t>подготовлен</w:t>
      </w:r>
      <w:bookmarkStart w:id="11" w:name="Prepared"/>
      <w:bookmarkEnd w:id="11"/>
      <w:r>
        <w:rPr>
          <w:i/>
          <w:iCs/>
        </w:rPr>
        <w:t xml:space="preserve"> Секретариатом</w:t>
      </w:r>
    </w:p>
    <w:p w14:paraId="6EE2E12D" w14:textId="003D5DD3" w:rsidR="0039415E" w:rsidRPr="00C765F0" w:rsidRDefault="0039415E" w:rsidP="002C23BF">
      <w:pPr>
        <w:pStyle w:val="ONUME"/>
        <w:numPr>
          <w:ilvl w:val="0"/>
          <w:numId w:val="5"/>
        </w:numPr>
      </w:pPr>
      <w:r>
        <w:t>В соответствии с пунктом</w:t>
      </w:r>
      <w:r w:rsidR="00E20D4F">
        <w:t> </w:t>
      </w:r>
      <w:r>
        <w:t xml:space="preserve">47 Устава внутреннего надзора (УВН) директор Отдела внутреннего надзора (ОВН) ежегодно представляет Генеральной Ассамблее </w:t>
      </w:r>
      <w:r w:rsidR="00037F36">
        <w:t>Всемирной организации интеллектуальной собственности (</w:t>
      </w:r>
      <w:r>
        <w:t>ВОИС</w:t>
      </w:r>
      <w:r w:rsidR="00037F36">
        <w:t>)</w:t>
      </w:r>
      <w:r>
        <w:t xml:space="preserve"> через Комитет по программе и бюджету (КПБ) сводный отчет.  В настоящем отчете содержится обзор деятельности по внутреннему надзору, проведенной в течение отчетного периода с 1 января 2020 г. по 31</w:t>
      </w:r>
      <w:r w:rsidR="00037F36">
        <w:t> </w:t>
      </w:r>
      <w:r>
        <w:t>декабря 2020 г.</w:t>
      </w:r>
    </w:p>
    <w:p w14:paraId="10E56FA4" w14:textId="77777777" w:rsidR="0039415E" w:rsidRPr="00136900" w:rsidRDefault="0039415E" w:rsidP="002C23BF">
      <w:pPr>
        <w:pStyle w:val="ONUME"/>
        <w:numPr>
          <w:ilvl w:val="0"/>
          <w:numId w:val="4"/>
        </w:numPr>
        <w:rPr>
          <w:i/>
        </w:rPr>
      </w:pPr>
      <w:r>
        <w:t>Предлагается следующий пункт решения.</w:t>
      </w:r>
    </w:p>
    <w:p w14:paraId="4CF89675" w14:textId="3FAE6FDA" w:rsidR="0039415E" w:rsidRPr="00B929E3" w:rsidRDefault="0039415E" w:rsidP="0047206B">
      <w:pPr>
        <w:spacing w:after="220"/>
        <w:ind w:left="5533"/>
        <w:rPr>
          <w:i/>
        </w:rPr>
      </w:pPr>
      <w:r>
        <w:rPr>
          <w:i/>
        </w:rPr>
        <w:t>3.</w:t>
      </w:r>
      <w:r>
        <w:rPr>
          <w:i/>
        </w:rPr>
        <w:tab/>
        <w:t>Комитет по программе и бюджету (КПБ) рекомендовал Генеральной Ассамблее ВОИС принять к сведению Годовой отчет директора Отдела внутреннего надзора (ОВН) (документ WO/PBC/33/</w:t>
      </w:r>
      <w:r w:rsidR="00C42028">
        <w:rPr>
          <w:i/>
        </w:rPr>
        <w:t>6</w:t>
      </w:r>
      <w:r>
        <w:rPr>
          <w:i/>
        </w:rPr>
        <w:t>).</w:t>
      </w:r>
    </w:p>
    <w:p w14:paraId="77B0E2F6" w14:textId="77777777" w:rsidR="0039415E" w:rsidRDefault="0039415E" w:rsidP="0039415E">
      <w:pPr>
        <w:ind w:left="5534"/>
        <w:sectPr w:rsidR="0039415E" w:rsidSect="00E60513">
          <w:endnotePr>
            <w:numFmt w:val="decimal"/>
          </w:endnotePr>
          <w:pgSz w:w="11907" w:h="16840" w:code="9"/>
          <w:pgMar w:top="567" w:right="1134" w:bottom="1418" w:left="1418" w:header="510" w:footer="1021" w:gutter="0"/>
          <w:pgNumType w:start="2"/>
          <w:cols w:space="720"/>
          <w:titlePg/>
          <w:docGrid w:linePitch="299"/>
        </w:sectPr>
      </w:pPr>
      <w:r>
        <w:t>[Годовой отчет Директора ОВН следует]</w:t>
      </w:r>
    </w:p>
    <w:p w14:paraId="57E03449" w14:textId="77777777" w:rsidR="00C46B12" w:rsidRDefault="00C46B12" w:rsidP="00C46B12">
      <w:r>
        <w:lastRenderedPageBreak/>
        <w:br w:type="page"/>
      </w:r>
    </w:p>
    <w:p w14:paraId="4DF3BC67" w14:textId="77777777" w:rsidR="00C46B12" w:rsidRPr="004A7813" w:rsidRDefault="00C46B12" w:rsidP="00C46B12">
      <w:pPr>
        <w:jc w:val="center"/>
        <w:rPr>
          <w:b/>
        </w:rPr>
      </w:pPr>
      <w:r>
        <w:rPr>
          <w:b/>
        </w:rPr>
        <w:lastRenderedPageBreak/>
        <w:t xml:space="preserve">ГОДОВОЙ ОТЧЕТ ДИРЕКТОРА ОТДЕЛА </w:t>
      </w:r>
      <w:r>
        <w:rPr>
          <w:rStyle w:val="Heading2Char"/>
          <w:b/>
        </w:rPr>
        <w:t>ВНУТРЕННЕГО НАДЗОРА</w:t>
      </w:r>
    </w:p>
    <w:p w14:paraId="1A8F8D9E" w14:textId="77777777" w:rsidR="00C46B12" w:rsidRPr="00DA5DBB" w:rsidRDefault="00C46B12" w:rsidP="00C46B12">
      <w:pPr>
        <w:keepLines/>
      </w:pPr>
    </w:p>
    <w:p w14:paraId="43FA180F" w14:textId="7EE89F14" w:rsidR="00FF1E25" w:rsidRDefault="00C46B12" w:rsidP="00FF1E25">
      <w:pPr>
        <w:spacing w:after="720"/>
        <w:jc w:val="center"/>
      </w:pPr>
      <w:r>
        <w:t>1 января 2020 г. — 31</w:t>
      </w:r>
      <w:r w:rsidR="00E20D4F">
        <w:t> </w:t>
      </w:r>
      <w:r>
        <w:t>декабря 2020</w:t>
      </w:r>
      <w:r w:rsidR="00E20D4F">
        <w:t> </w:t>
      </w:r>
      <w:r>
        <w:t>г.</w:t>
      </w:r>
    </w:p>
    <w:p w14:paraId="4202F2A6" w14:textId="15ADB4B4" w:rsidR="00C46B12" w:rsidRPr="001D2703" w:rsidRDefault="00C46B12" w:rsidP="00C46B12">
      <w:pPr>
        <w:jc w:val="center"/>
        <w:rPr>
          <w:b/>
        </w:rPr>
      </w:pPr>
      <w:r>
        <w:rPr>
          <w:b/>
        </w:rPr>
        <w:t>СОДЕРЖАНИЕ</w:t>
      </w:r>
    </w:p>
    <w:p w14:paraId="21AD7E96" w14:textId="2133658F" w:rsidR="00556C50" w:rsidRDefault="007159D2">
      <w:pPr>
        <w:pStyle w:val="TOC1"/>
        <w:rPr>
          <w:rFonts w:asciiTheme="minorHAnsi" w:eastAsiaTheme="minorEastAsia" w:hAnsiTheme="minorHAnsi" w:cstheme="minorBidi"/>
          <w:noProof/>
          <w:szCs w:val="22"/>
          <w:lang w:eastAsia="ru-RU"/>
        </w:rPr>
      </w:pPr>
      <w:r>
        <w:fldChar w:fldCharType="begin"/>
      </w:r>
      <w:r>
        <w:instrText xml:space="preserve"> TOC \o "1-1" \h \z \u </w:instrText>
      </w:r>
      <w:r>
        <w:fldChar w:fldCharType="separate"/>
      </w:r>
      <w:hyperlink w:anchor="_Toc75781961" w:history="1">
        <w:r w:rsidR="00556C50" w:rsidRPr="00882652">
          <w:rPr>
            <w:rStyle w:val="Hyperlink"/>
            <w:noProof/>
          </w:rPr>
          <w:t>СПИСОК СОКРАЩЕНИЙ</w:t>
        </w:r>
        <w:r w:rsidR="00556C50">
          <w:rPr>
            <w:noProof/>
            <w:webHidden/>
          </w:rPr>
          <w:tab/>
        </w:r>
        <w:r w:rsidR="00556C50">
          <w:rPr>
            <w:noProof/>
            <w:webHidden/>
          </w:rPr>
          <w:fldChar w:fldCharType="begin"/>
        </w:r>
        <w:r w:rsidR="00556C50">
          <w:rPr>
            <w:noProof/>
            <w:webHidden/>
          </w:rPr>
          <w:instrText xml:space="preserve"> PAGEREF _Toc75781961 \h </w:instrText>
        </w:r>
        <w:r w:rsidR="00556C50">
          <w:rPr>
            <w:noProof/>
            <w:webHidden/>
          </w:rPr>
        </w:r>
        <w:r w:rsidR="00556C50">
          <w:rPr>
            <w:noProof/>
            <w:webHidden/>
          </w:rPr>
          <w:fldChar w:fldCharType="separate"/>
        </w:r>
        <w:r w:rsidR="00556C50">
          <w:rPr>
            <w:noProof/>
            <w:webHidden/>
          </w:rPr>
          <w:t>3</w:t>
        </w:r>
        <w:r w:rsidR="00556C50">
          <w:rPr>
            <w:noProof/>
            <w:webHidden/>
          </w:rPr>
          <w:fldChar w:fldCharType="end"/>
        </w:r>
      </w:hyperlink>
    </w:p>
    <w:p w14:paraId="17DE123E" w14:textId="0A31635B" w:rsidR="00556C50" w:rsidRDefault="00E86E1A">
      <w:pPr>
        <w:pStyle w:val="TOC1"/>
        <w:rPr>
          <w:rFonts w:asciiTheme="minorHAnsi" w:eastAsiaTheme="minorEastAsia" w:hAnsiTheme="minorHAnsi" w:cstheme="minorBidi"/>
          <w:noProof/>
          <w:szCs w:val="22"/>
          <w:lang w:eastAsia="ru-RU"/>
        </w:rPr>
      </w:pPr>
      <w:hyperlink w:anchor="_Toc75781962" w:history="1">
        <w:r w:rsidR="00556C50" w:rsidRPr="00882652">
          <w:rPr>
            <w:rStyle w:val="Hyperlink"/>
            <w:noProof/>
          </w:rPr>
          <w:t>СПРАВОЧНАЯ ИНФОРМАЦИЯ</w:t>
        </w:r>
        <w:r w:rsidR="00556C50">
          <w:rPr>
            <w:noProof/>
            <w:webHidden/>
          </w:rPr>
          <w:tab/>
        </w:r>
        <w:r w:rsidR="00556C50">
          <w:rPr>
            <w:noProof/>
            <w:webHidden/>
          </w:rPr>
          <w:fldChar w:fldCharType="begin"/>
        </w:r>
        <w:r w:rsidR="00556C50">
          <w:rPr>
            <w:noProof/>
            <w:webHidden/>
          </w:rPr>
          <w:instrText xml:space="preserve"> PAGEREF _Toc75781962 \h </w:instrText>
        </w:r>
        <w:r w:rsidR="00556C50">
          <w:rPr>
            <w:noProof/>
            <w:webHidden/>
          </w:rPr>
        </w:r>
        <w:r w:rsidR="00556C50">
          <w:rPr>
            <w:noProof/>
            <w:webHidden/>
          </w:rPr>
          <w:fldChar w:fldCharType="separate"/>
        </w:r>
        <w:r w:rsidR="00556C50">
          <w:rPr>
            <w:noProof/>
            <w:webHidden/>
          </w:rPr>
          <w:t>4</w:t>
        </w:r>
        <w:r w:rsidR="00556C50">
          <w:rPr>
            <w:noProof/>
            <w:webHidden/>
          </w:rPr>
          <w:fldChar w:fldCharType="end"/>
        </w:r>
      </w:hyperlink>
    </w:p>
    <w:p w14:paraId="3D6E8E85" w14:textId="60A6E36C" w:rsidR="00556C50" w:rsidRDefault="00E86E1A">
      <w:pPr>
        <w:pStyle w:val="TOC1"/>
        <w:rPr>
          <w:rFonts w:asciiTheme="minorHAnsi" w:eastAsiaTheme="minorEastAsia" w:hAnsiTheme="minorHAnsi" w:cstheme="minorBidi"/>
          <w:noProof/>
          <w:szCs w:val="22"/>
          <w:lang w:eastAsia="ru-RU"/>
        </w:rPr>
      </w:pPr>
      <w:hyperlink w:anchor="_Toc75781963" w:history="1">
        <w:r w:rsidR="00556C50" w:rsidRPr="00882652">
          <w:rPr>
            <w:rStyle w:val="Hyperlink"/>
            <w:noProof/>
          </w:rPr>
          <w:t>НЕКОТОРЫЕ КЛЮЧЕВЫЕ МОМЕНТЫ РАССМАТРИВАЕМОГО ПЕРИОДА</w:t>
        </w:r>
        <w:r w:rsidR="00556C50">
          <w:rPr>
            <w:noProof/>
            <w:webHidden/>
          </w:rPr>
          <w:tab/>
        </w:r>
        <w:r w:rsidR="00556C50">
          <w:rPr>
            <w:noProof/>
            <w:webHidden/>
          </w:rPr>
          <w:fldChar w:fldCharType="begin"/>
        </w:r>
        <w:r w:rsidR="00556C50">
          <w:rPr>
            <w:noProof/>
            <w:webHidden/>
          </w:rPr>
          <w:instrText xml:space="preserve"> PAGEREF _Toc75781963 \h </w:instrText>
        </w:r>
        <w:r w:rsidR="00556C50">
          <w:rPr>
            <w:noProof/>
            <w:webHidden/>
          </w:rPr>
        </w:r>
        <w:r w:rsidR="00556C50">
          <w:rPr>
            <w:noProof/>
            <w:webHidden/>
          </w:rPr>
          <w:fldChar w:fldCharType="separate"/>
        </w:r>
        <w:r w:rsidR="00556C50">
          <w:rPr>
            <w:noProof/>
            <w:webHidden/>
          </w:rPr>
          <w:t>4</w:t>
        </w:r>
        <w:r w:rsidR="00556C50">
          <w:rPr>
            <w:noProof/>
            <w:webHidden/>
          </w:rPr>
          <w:fldChar w:fldCharType="end"/>
        </w:r>
      </w:hyperlink>
    </w:p>
    <w:p w14:paraId="555E4E6B" w14:textId="21BB77F0" w:rsidR="00556C50" w:rsidRDefault="00E86E1A">
      <w:pPr>
        <w:pStyle w:val="TOC1"/>
        <w:rPr>
          <w:rFonts w:asciiTheme="minorHAnsi" w:eastAsiaTheme="minorEastAsia" w:hAnsiTheme="minorHAnsi" w:cstheme="minorBidi"/>
          <w:noProof/>
          <w:szCs w:val="22"/>
          <w:lang w:eastAsia="ru-RU"/>
        </w:rPr>
      </w:pPr>
      <w:hyperlink w:anchor="_Toc75781964" w:history="1">
        <w:r w:rsidR="00556C50" w:rsidRPr="00882652">
          <w:rPr>
            <w:rStyle w:val="Hyperlink"/>
            <w:noProof/>
          </w:rPr>
          <w:t>ПРИНЦИПЫ ПЛАНИРОВАНИЯ</w:t>
        </w:r>
        <w:r w:rsidR="00556C50">
          <w:rPr>
            <w:noProof/>
            <w:webHidden/>
          </w:rPr>
          <w:tab/>
        </w:r>
        <w:r w:rsidR="00556C50">
          <w:rPr>
            <w:noProof/>
            <w:webHidden/>
          </w:rPr>
          <w:fldChar w:fldCharType="begin"/>
        </w:r>
        <w:r w:rsidR="00556C50">
          <w:rPr>
            <w:noProof/>
            <w:webHidden/>
          </w:rPr>
          <w:instrText xml:space="preserve"> PAGEREF _Toc75781964 \h </w:instrText>
        </w:r>
        <w:r w:rsidR="00556C50">
          <w:rPr>
            <w:noProof/>
            <w:webHidden/>
          </w:rPr>
        </w:r>
        <w:r w:rsidR="00556C50">
          <w:rPr>
            <w:noProof/>
            <w:webHidden/>
          </w:rPr>
          <w:fldChar w:fldCharType="separate"/>
        </w:r>
        <w:r w:rsidR="00556C50">
          <w:rPr>
            <w:noProof/>
            <w:webHidden/>
          </w:rPr>
          <w:t>5</w:t>
        </w:r>
        <w:r w:rsidR="00556C50">
          <w:rPr>
            <w:noProof/>
            <w:webHidden/>
          </w:rPr>
          <w:fldChar w:fldCharType="end"/>
        </w:r>
      </w:hyperlink>
    </w:p>
    <w:p w14:paraId="1DF3515D" w14:textId="7245011F" w:rsidR="00556C50" w:rsidRDefault="00E86E1A">
      <w:pPr>
        <w:pStyle w:val="TOC1"/>
        <w:rPr>
          <w:rFonts w:asciiTheme="minorHAnsi" w:eastAsiaTheme="minorEastAsia" w:hAnsiTheme="minorHAnsi" w:cstheme="minorBidi"/>
          <w:noProof/>
          <w:szCs w:val="22"/>
          <w:lang w:eastAsia="ru-RU"/>
        </w:rPr>
      </w:pPr>
      <w:hyperlink w:anchor="_Toc75781965" w:history="1">
        <w:r w:rsidR="00556C50" w:rsidRPr="00882652">
          <w:rPr>
            <w:rStyle w:val="Hyperlink"/>
            <w:noProof/>
          </w:rPr>
          <w:t>ПРОФЕССИОНАЛЬНЫЕ СТАНДАРТЫ</w:t>
        </w:r>
        <w:r w:rsidR="00556C50">
          <w:rPr>
            <w:noProof/>
            <w:webHidden/>
          </w:rPr>
          <w:tab/>
        </w:r>
        <w:r w:rsidR="00556C50">
          <w:rPr>
            <w:noProof/>
            <w:webHidden/>
          </w:rPr>
          <w:fldChar w:fldCharType="begin"/>
        </w:r>
        <w:r w:rsidR="00556C50">
          <w:rPr>
            <w:noProof/>
            <w:webHidden/>
          </w:rPr>
          <w:instrText xml:space="preserve"> PAGEREF _Toc75781965 \h </w:instrText>
        </w:r>
        <w:r w:rsidR="00556C50">
          <w:rPr>
            <w:noProof/>
            <w:webHidden/>
          </w:rPr>
        </w:r>
        <w:r w:rsidR="00556C50">
          <w:rPr>
            <w:noProof/>
            <w:webHidden/>
          </w:rPr>
          <w:fldChar w:fldCharType="separate"/>
        </w:r>
        <w:r w:rsidR="00556C50">
          <w:rPr>
            <w:noProof/>
            <w:webHidden/>
          </w:rPr>
          <w:t>5</w:t>
        </w:r>
        <w:r w:rsidR="00556C50">
          <w:rPr>
            <w:noProof/>
            <w:webHidden/>
          </w:rPr>
          <w:fldChar w:fldCharType="end"/>
        </w:r>
      </w:hyperlink>
    </w:p>
    <w:p w14:paraId="1A85253E" w14:textId="3B7065F5" w:rsidR="00556C50" w:rsidRDefault="00E86E1A">
      <w:pPr>
        <w:pStyle w:val="TOC1"/>
        <w:rPr>
          <w:rFonts w:asciiTheme="minorHAnsi" w:eastAsiaTheme="minorEastAsia" w:hAnsiTheme="minorHAnsi" w:cstheme="minorBidi"/>
          <w:noProof/>
          <w:szCs w:val="22"/>
          <w:lang w:eastAsia="ru-RU"/>
        </w:rPr>
      </w:pPr>
      <w:hyperlink w:anchor="_Toc75781966" w:history="1">
        <w:r w:rsidR="00556C50" w:rsidRPr="00882652">
          <w:rPr>
            <w:rStyle w:val="Hyperlink"/>
            <w:noProof/>
          </w:rPr>
          <w:t>ПРИДАНИЕ ГЕНДЕРНОЙ ПРОБЛЕМАТИКЕ МАГИСТРАЛЬНОГО ЗНАЧЕНИЯ</w:t>
        </w:r>
        <w:r w:rsidR="00556C50">
          <w:rPr>
            <w:noProof/>
            <w:webHidden/>
          </w:rPr>
          <w:tab/>
        </w:r>
        <w:r w:rsidR="00556C50">
          <w:rPr>
            <w:noProof/>
            <w:webHidden/>
          </w:rPr>
          <w:fldChar w:fldCharType="begin"/>
        </w:r>
        <w:r w:rsidR="00556C50">
          <w:rPr>
            <w:noProof/>
            <w:webHidden/>
          </w:rPr>
          <w:instrText xml:space="preserve"> PAGEREF _Toc75781966 \h </w:instrText>
        </w:r>
        <w:r w:rsidR="00556C50">
          <w:rPr>
            <w:noProof/>
            <w:webHidden/>
          </w:rPr>
        </w:r>
        <w:r w:rsidR="00556C50">
          <w:rPr>
            <w:noProof/>
            <w:webHidden/>
          </w:rPr>
          <w:fldChar w:fldCharType="separate"/>
        </w:r>
        <w:r w:rsidR="00556C50">
          <w:rPr>
            <w:noProof/>
            <w:webHidden/>
          </w:rPr>
          <w:t>5</w:t>
        </w:r>
        <w:r w:rsidR="00556C50">
          <w:rPr>
            <w:noProof/>
            <w:webHidden/>
          </w:rPr>
          <w:fldChar w:fldCharType="end"/>
        </w:r>
      </w:hyperlink>
    </w:p>
    <w:p w14:paraId="00F287CE" w14:textId="2C070BBE" w:rsidR="00556C50" w:rsidRDefault="00E86E1A">
      <w:pPr>
        <w:pStyle w:val="TOC1"/>
        <w:rPr>
          <w:rFonts w:asciiTheme="minorHAnsi" w:eastAsiaTheme="minorEastAsia" w:hAnsiTheme="minorHAnsi" w:cstheme="minorBidi"/>
          <w:noProof/>
          <w:szCs w:val="22"/>
          <w:lang w:eastAsia="ru-RU"/>
        </w:rPr>
      </w:pPr>
      <w:hyperlink w:anchor="_Toc75781967" w:history="1">
        <w:r w:rsidR="00556C50" w:rsidRPr="00882652">
          <w:rPr>
            <w:rStyle w:val="Hyperlink"/>
            <w:noProof/>
          </w:rPr>
          <w:t>ОСНОВНЫЕ ВЫВОДЫ И ПРИОРИТЕТНЫЕ РЕКОМЕНДАЦИИ ПО ИТОГАМ НАДЗОРА</w:t>
        </w:r>
        <w:r w:rsidR="00556C50">
          <w:rPr>
            <w:noProof/>
            <w:webHidden/>
          </w:rPr>
          <w:tab/>
        </w:r>
        <w:r w:rsidR="00556C50">
          <w:rPr>
            <w:noProof/>
            <w:webHidden/>
          </w:rPr>
          <w:fldChar w:fldCharType="begin"/>
        </w:r>
        <w:r w:rsidR="00556C50">
          <w:rPr>
            <w:noProof/>
            <w:webHidden/>
          </w:rPr>
          <w:instrText xml:space="preserve"> PAGEREF _Toc75781967 \h </w:instrText>
        </w:r>
        <w:r w:rsidR="00556C50">
          <w:rPr>
            <w:noProof/>
            <w:webHidden/>
          </w:rPr>
        </w:r>
        <w:r w:rsidR="00556C50">
          <w:rPr>
            <w:noProof/>
            <w:webHidden/>
          </w:rPr>
          <w:fldChar w:fldCharType="separate"/>
        </w:r>
        <w:r w:rsidR="00556C50">
          <w:rPr>
            <w:noProof/>
            <w:webHidden/>
          </w:rPr>
          <w:t>6</w:t>
        </w:r>
        <w:r w:rsidR="00556C50">
          <w:rPr>
            <w:noProof/>
            <w:webHidden/>
          </w:rPr>
          <w:fldChar w:fldCharType="end"/>
        </w:r>
      </w:hyperlink>
    </w:p>
    <w:p w14:paraId="735099DD" w14:textId="448B5F66" w:rsidR="00556C50" w:rsidRDefault="00E86E1A">
      <w:pPr>
        <w:pStyle w:val="TOC1"/>
        <w:rPr>
          <w:rFonts w:asciiTheme="minorHAnsi" w:eastAsiaTheme="minorEastAsia" w:hAnsiTheme="minorHAnsi" w:cstheme="minorBidi"/>
          <w:noProof/>
          <w:szCs w:val="22"/>
          <w:lang w:eastAsia="ru-RU"/>
        </w:rPr>
      </w:pPr>
      <w:hyperlink w:anchor="_Toc75781968" w:history="1">
        <w:r w:rsidR="00556C50" w:rsidRPr="00882652">
          <w:rPr>
            <w:rStyle w:val="Hyperlink"/>
            <w:noProof/>
          </w:rPr>
          <w:t>ОТЧЕТНЫЕ МЕРОПРИЯТИЯ В 2020 Г.</w:t>
        </w:r>
        <w:r w:rsidR="00556C50">
          <w:rPr>
            <w:noProof/>
            <w:webHidden/>
          </w:rPr>
          <w:tab/>
        </w:r>
        <w:r w:rsidR="00556C50">
          <w:rPr>
            <w:noProof/>
            <w:webHidden/>
          </w:rPr>
          <w:fldChar w:fldCharType="begin"/>
        </w:r>
        <w:r w:rsidR="00556C50">
          <w:rPr>
            <w:noProof/>
            <w:webHidden/>
          </w:rPr>
          <w:instrText xml:space="preserve"> PAGEREF _Toc75781968 \h </w:instrText>
        </w:r>
        <w:r w:rsidR="00556C50">
          <w:rPr>
            <w:noProof/>
            <w:webHidden/>
          </w:rPr>
        </w:r>
        <w:r w:rsidR="00556C50">
          <w:rPr>
            <w:noProof/>
            <w:webHidden/>
          </w:rPr>
          <w:fldChar w:fldCharType="separate"/>
        </w:r>
        <w:r w:rsidR="00556C50">
          <w:rPr>
            <w:noProof/>
            <w:webHidden/>
          </w:rPr>
          <w:t>7</w:t>
        </w:r>
        <w:r w:rsidR="00556C50">
          <w:rPr>
            <w:noProof/>
            <w:webHidden/>
          </w:rPr>
          <w:fldChar w:fldCharType="end"/>
        </w:r>
      </w:hyperlink>
    </w:p>
    <w:p w14:paraId="762B9DAE" w14:textId="16FDA4D6" w:rsidR="00556C50" w:rsidRDefault="00E86E1A">
      <w:pPr>
        <w:pStyle w:val="TOC1"/>
        <w:rPr>
          <w:rFonts w:asciiTheme="minorHAnsi" w:eastAsiaTheme="minorEastAsia" w:hAnsiTheme="minorHAnsi" w:cstheme="minorBidi"/>
          <w:noProof/>
          <w:szCs w:val="22"/>
          <w:lang w:eastAsia="ru-RU"/>
        </w:rPr>
      </w:pPr>
      <w:hyperlink w:anchor="_Toc75781969" w:history="1">
        <w:r w:rsidR="00556C50" w:rsidRPr="00882652">
          <w:rPr>
            <w:rStyle w:val="Hyperlink"/>
            <w:noProof/>
          </w:rPr>
          <w:t>МЕРОПРИЯТИЯ, НАЧАТЫЕ В КОНЦЕ 2020 Г.</w:t>
        </w:r>
        <w:r w:rsidR="00556C50">
          <w:rPr>
            <w:noProof/>
            <w:webHidden/>
          </w:rPr>
          <w:tab/>
        </w:r>
        <w:r w:rsidR="00556C50">
          <w:rPr>
            <w:noProof/>
            <w:webHidden/>
          </w:rPr>
          <w:fldChar w:fldCharType="begin"/>
        </w:r>
        <w:r w:rsidR="00556C50">
          <w:rPr>
            <w:noProof/>
            <w:webHidden/>
          </w:rPr>
          <w:instrText xml:space="preserve"> PAGEREF _Toc75781969 \h </w:instrText>
        </w:r>
        <w:r w:rsidR="00556C50">
          <w:rPr>
            <w:noProof/>
            <w:webHidden/>
          </w:rPr>
        </w:r>
        <w:r w:rsidR="00556C50">
          <w:rPr>
            <w:noProof/>
            <w:webHidden/>
          </w:rPr>
          <w:fldChar w:fldCharType="separate"/>
        </w:r>
        <w:r w:rsidR="00556C50">
          <w:rPr>
            <w:noProof/>
            <w:webHidden/>
          </w:rPr>
          <w:t>14</w:t>
        </w:r>
        <w:r w:rsidR="00556C50">
          <w:rPr>
            <w:noProof/>
            <w:webHidden/>
          </w:rPr>
          <w:fldChar w:fldCharType="end"/>
        </w:r>
      </w:hyperlink>
    </w:p>
    <w:p w14:paraId="024D2542" w14:textId="37D6A92E" w:rsidR="00556C50" w:rsidRDefault="00E86E1A">
      <w:pPr>
        <w:pStyle w:val="TOC1"/>
        <w:rPr>
          <w:rFonts w:asciiTheme="minorHAnsi" w:eastAsiaTheme="minorEastAsia" w:hAnsiTheme="minorHAnsi" w:cstheme="minorBidi"/>
          <w:noProof/>
          <w:szCs w:val="22"/>
          <w:lang w:eastAsia="ru-RU"/>
        </w:rPr>
      </w:pPr>
      <w:hyperlink w:anchor="_Toc75781970" w:history="1">
        <w:r w:rsidR="00556C50" w:rsidRPr="00882652">
          <w:rPr>
            <w:rStyle w:val="Hyperlink"/>
            <w:noProof/>
          </w:rPr>
          <w:t>РАССЛЕДОВАНИЯ</w:t>
        </w:r>
        <w:r w:rsidR="00556C50">
          <w:rPr>
            <w:noProof/>
            <w:webHidden/>
          </w:rPr>
          <w:tab/>
        </w:r>
        <w:r w:rsidR="00556C50">
          <w:rPr>
            <w:noProof/>
            <w:webHidden/>
          </w:rPr>
          <w:fldChar w:fldCharType="begin"/>
        </w:r>
        <w:r w:rsidR="00556C50">
          <w:rPr>
            <w:noProof/>
            <w:webHidden/>
          </w:rPr>
          <w:instrText xml:space="preserve"> PAGEREF _Toc75781970 \h </w:instrText>
        </w:r>
        <w:r w:rsidR="00556C50">
          <w:rPr>
            <w:noProof/>
            <w:webHidden/>
          </w:rPr>
        </w:r>
        <w:r w:rsidR="00556C50">
          <w:rPr>
            <w:noProof/>
            <w:webHidden/>
          </w:rPr>
          <w:fldChar w:fldCharType="separate"/>
        </w:r>
        <w:r w:rsidR="00556C50">
          <w:rPr>
            <w:noProof/>
            <w:webHidden/>
          </w:rPr>
          <w:t>15</w:t>
        </w:r>
        <w:r w:rsidR="00556C50">
          <w:rPr>
            <w:noProof/>
            <w:webHidden/>
          </w:rPr>
          <w:fldChar w:fldCharType="end"/>
        </w:r>
      </w:hyperlink>
    </w:p>
    <w:p w14:paraId="649B10FE" w14:textId="4A69001A" w:rsidR="00556C50" w:rsidRDefault="00E86E1A">
      <w:pPr>
        <w:pStyle w:val="TOC1"/>
        <w:rPr>
          <w:rFonts w:asciiTheme="minorHAnsi" w:eastAsiaTheme="minorEastAsia" w:hAnsiTheme="minorHAnsi" w:cstheme="minorBidi"/>
          <w:noProof/>
          <w:szCs w:val="22"/>
          <w:lang w:eastAsia="ru-RU"/>
        </w:rPr>
      </w:pPr>
      <w:hyperlink w:anchor="_Toc75781971" w:history="1">
        <w:r w:rsidR="00556C50" w:rsidRPr="00882652">
          <w:rPr>
            <w:rStyle w:val="Hyperlink"/>
            <w:noProof/>
          </w:rPr>
          <w:t>СЛУЧАИ ОТКАЗА В ПРЕДОСТАВЛЕНИИ ИНФОРМАЦИИ ИЛИ ОКАЗАНИИ ПОДДЕРЖКИ</w:t>
        </w:r>
        <w:r w:rsidR="00556C50">
          <w:rPr>
            <w:noProof/>
            <w:webHidden/>
          </w:rPr>
          <w:tab/>
        </w:r>
        <w:r w:rsidR="00556C50">
          <w:rPr>
            <w:noProof/>
            <w:webHidden/>
          </w:rPr>
          <w:fldChar w:fldCharType="begin"/>
        </w:r>
        <w:r w:rsidR="00556C50">
          <w:rPr>
            <w:noProof/>
            <w:webHidden/>
          </w:rPr>
          <w:instrText xml:space="preserve"> PAGEREF _Toc75781971 \h </w:instrText>
        </w:r>
        <w:r w:rsidR="00556C50">
          <w:rPr>
            <w:noProof/>
            <w:webHidden/>
          </w:rPr>
        </w:r>
        <w:r w:rsidR="00556C50">
          <w:rPr>
            <w:noProof/>
            <w:webHidden/>
          </w:rPr>
          <w:fldChar w:fldCharType="separate"/>
        </w:r>
        <w:r w:rsidR="00556C50">
          <w:rPr>
            <w:noProof/>
            <w:webHidden/>
          </w:rPr>
          <w:t>18</w:t>
        </w:r>
        <w:r w:rsidR="00556C50">
          <w:rPr>
            <w:noProof/>
            <w:webHidden/>
          </w:rPr>
          <w:fldChar w:fldCharType="end"/>
        </w:r>
      </w:hyperlink>
    </w:p>
    <w:p w14:paraId="2BE7CD13" w14:textId="18836E9C" w:rsidR="00556C50" w:rsidRDefault="00E86E1A">
      <w:pPr>
        <w:pStyle w:val="TOC1"/>
        <w:rPr>
          <w:rFonts w:asciiTheme="minorHAnsi" w:eastAsiaTheme="minorEastAsia" w:hAnsiTheme="minorHAnsi" w:cstheme="minorBidi"/>
          <w:noProof/>
          <w:szCs w:val="22"/>
          <w:lang w:eastAsia="ru-RU"/>
        </w:rPr>
      </w:pPr>
      <w:hyperlink w:anchor="_Toc75781972" w:history="1">
        <w:r w:rsidR="00556C50" w:rsidRPr="00882652">
          <w:rPr>
            <w:rStyle w:val="Hyperlink"/>
            <w:noProof/>
          </w:rPr>
          <w:t>ВЫПОЛНЕНИЕ РЕКОМЕНДАЦИЙ В ОБЛАСТИ ВНУТРЕННЕГО НАДЗОРА</w:t>
        </w:r>
        <w:r w:rsidR="00556C50">
          <w:rPr>
            <w:noProof/>
            <w:webHidden/>
          </w:rPr>
          <w:tab/>
        </w:r>
        <w:r w:rsidR="00556C50">
          <w:rPr>
            <w:noProof/>
            <w:webHidden/>
          </w:rPr>
          <w:fldChar w:fldCharType="begin"/>
        </w:r>
        <w:r w:rsidR="00556C50">
          <w:rPr>
            <w:noProof/>
            <w:webHidden/>
          </w:rPr>
          <w:instrText xml:space="preserve"> PAGEREF _Toc75781972 \h </w:instrText>
        </w:r>
        <w:r w:rsidR="00556C50">
          <w:rPr>
            <w:noProof/>
            <w:webHidden/>
          </w:rPr>
        </w:r>
        <w:r w:rsidR="00556C50">
          <w:rPr>
            <w:noProof/>
            <w:webHidden/>
          </w:rPr>
          <w:fldChar w:fldCharType="separate"/>
        </w:r>
        <w:r w:rsidR="00556C50">
          <w:rPr>
            <w:noProof/>
            <w:webHidden/>
          </w:rPr>
          <w:t>18</w:t>
        </w:r>
        <w:r w:rsidR="00556C50">
          <w:rPr>
            <w:noProof/>
            <w:webHidden/>
          </w:rPr>
          <w:fldChar w:fldCharType="end"/>
        </w:r>
      </w:hyperlink>
    </w:p>
    <w:p w14:paraId="76B3127D" w14:textId="103D1692" w:rsidR="00556C50" w:rsidRDefault="00E86E1A">
      <w:pPr>
        <w:pStyle w:val="TOC1"/>
        <w:rPr>
          <w:rFonts w:asciiTheme="minorHAnsi" w:eastAsiaTheme="minorEastAsia" w:hAnsiTheme="minorHAnsi" w:cstheme="minorBidi"/>
          <w:noProof/>
          <w:szCs w:val="22"/>
          <w:lang w:eastAsia="ru-RU"/>
        </w:rPr>
      </w:pPr>
      <w:hyperlink w:anchor="_Toc75781973" w:history="1">
        <w:r w:rsidR="00556C50" w:rsidRPr="00882652">
          <w:rPr>
            <w:rStyle w:val="Hyperlink"/>
            <w:noProof/>
          </w:rPr>
          <w:t>КОНСУЛЬТАТИВНАЯ И СПРАВОЧНАЯ РАБОТА ПО ВОПРОСАМ НАДЗОРА</w:t>
        </w:r>
        <w:r w:rsidR="00556C50">
          <w:rPr>
            <w:noProof/>
            <w:webHidden/>
          </w:rPr>
          <w:tab/>
        </w:r>
        <w:r w:rsidR="00556C50">
          <w:rPr>
            <w:noProof/>
            <w:webHidden/>
          </w:rPr>
          <w:fldChar w:fldCharType="begin"/>
        </w:r>
        <w:r w:rsidR="00556C50">
          <w:rPr>
            <w:noProof/>
            <w:webHidden/>
          </w:rPr>
          <w:instrText xml:space="preserve"> PAGEREF _Toc75781973 \h </w:instrText>
        </w:r>
        <w:r w:rsidR="00556C50">
          <w:rPr>
            <w:noProof/>
            <w:webHidden/>
          </w:rPr>
        </w:r>
        <w:r w:rsidR="00556C50">
          <w:rPr>
            <w:noProof/>
            <w:webHidden/>
          </w:rPr>
          <w:fldChar w:fldCharType="separate"/>
        </w:r>
        <w:r w:rsidR="00556C50">
          <w:rPr>
            <w:noProof/>
            <w:webHidden/>
          </w:rPr>
          <w:t>20</w:t>
        </w:r>
        <w:r w:rsidR="00556C50">
          <w:rPr>
            <w:noProof/>
            <w:webHidden/>
          </w:rPr>
          <w:fldChar w:fldCharType="end"/>
        </w:r>
      </w:hyperlink>
    </w:p>
    <w:p w14:paraId="4ED93547" w14:textId="1D71D79C" w:rsidR="00556C50" w:rsidRDefault="00E86E1A">
      <w:pPr>
        <w:pStyle w:val="TOC1"/>
        <w:rPr>
          <w:rFonts w:asciiTheme="minorHAnsi" w:eastAsiaTheme="minorEastAsia" w:hAnsiTheme="minorHAnsi" w:cstheme="minorBidi"/>
          <w:noProof/>
          <w:szCs w:val="22"/>
          <w:lang w:eastAsia="ru-RU"/>
        </w:rPr>
      </w:pPr>
      <w:hyperlink w:anchor="_Toc75781974" w:history="1">
        <w:r w:rsidR="00556C50" w:rsidRPr="00882652">
          <w:rPr>
            <w:rStyle w:val="Hyperlink"/>
            <w:noProof/>
          </w:rPr>
          <w:t>СОТРУДНИЧЕСТВО С ВНЕШНИМИ НАДЗОРНЫМИ ОРГАНАМИ</w:t>
        </w:r>
        <w:r w:rsidR="00556C50">
          <w:rPr>
            <w:noProof/>
            <w:webHidden/>
          </w:rPr>
          <w:tab/>
        </w:r>
        <w:r w:rsidR="00556C50">
          <w:rPr>
            <w:noProof/>
            <w:webHidden/>
          </w:rPr>
          <w:fldChar w:fldCharType="begin"/>
        </w:r>
        <w:r w:rsidR="00556C50">
          <w:rPr>
            <w:noProof/>
            <w:webHidden/>
          </w:rPr>
          <w:instrText xml:space="preserve"> PAGEREF _Toc75781974 \h </w:instrText>
        </w:r>
        <w:r w:rsidR="00556C50">
          <w:rPr>
            <w:noProof/>
            <w:webHidden/>
          </w:rPr>
        </w:r>
        <w:r w:rsidR="00556C50">
          <w:rPr>
            <w:noProof/>
            <w:webHidden/>
          </w:rPr>
          <w:fldChar w:fldCharType="separate"/>
        </w:r>
        <w:r w:rsidR="00556C50">
          <w:rPr>
            <w:noProof/>
            <w:webHidden/>
          </w:rPr>
          <w:t>21</w:t>
        </w:r>
        <w:r w:rsidR="00556C50">
          <w:rPr>
            <w:noProof/>
            <w:webHidden/>
          </w:rPr>
          <w:fldChar w:fldCharType="end"/>
        </w:r>
      </w:hyperlink>
    </w:p>
    <w:p w14:paraId="7DDDC5F9" w14:textId="773013B8" w:rsidR="00556C50" w:rsidRDefault="00E86E1A">
      <w:pPr>
        <w:pStyle w:val="TOC1"/>
        <w:rPr>
          <w:rFonts w:asciiTheme="minorHAnsi" w:eastAsiaTheme="minorEastAsia" w:hAnsiTheme="minorHAnsi" w:cstheme="minorBidi"/>
          <w:noProof/>
          <w:szCs w:val="22"/>
          <w:lang w:eastAsia="ru-RU"/>
        </w:rPr>
      </w:pPr>
      <w:hyperlink w:anchor="_Toc75781975" w:history="1">
        <w:r w:rsidR="00556C50" w:rsidRPr="00882652">
          <w:rPr>
            <w:rStyle w:val="Hyperlink"/>
            <w:noProof/>
          </w:rPr>
          <w:t>ПРОЧИЕ НАПРАВЛЕНИЯ РАБОТЫ ПО ОБЕСПЕЧЕНИЮ НАДЗОРА</w:t>
        </w:r>
        <w:r w:rsidR="00556C50">
          <w:rPr>
            <w:noProof/>
            <w:webHidden/>
          </w:rPr>
          <w:tab/>
        </w:r>
        <w:r w:rsidR="00556C50">
          <w:rPr>
            <w:noProof/>
            <w:webHidden/>
          </w:rPr>
          <w:fldChar w:fldCharType="begin"/>
        </w:r>
        <w:r w:rsidR="00556C50">
          <w:rPr>
            <w:noProof/>
            <w:webHidden/>
          </w:rPr>
          <w:instrText xml:space="preserve"> PAGEREF _Toc75781975 \h </w:instrText>
        </w:r>
        <w:r w:rsidR="00556C50">
          <w:rPr>
            <w:noProof/>
            <w:webHidden/>
          </w:rPr>
        </w:r>
        <w:r w:rsidR="00556C50">
          <w:rPr>
            <w:noProof/>
            <w:webHidden/>
          </w:rPr>
          <w:fldChar w:fldCharType="separate"/>
        </w:r>
        <w:r w:rsidR="00556C50">
          <w:rPr>
            <w:noProof/>
            <w:webHidden/>
          </w:rPr>
          <w:t>21</w:t>
        </w:r>
        <w:r w:rsidR="00556C50">
          <w:rPr>
            <w:noProof/>
            <w:webHidden/>
          </w:rPr>
          <w:fldChar w:fldCharType="end"/>
        </w:r>
      </w:hyperlink>
    </w:p>
    <w:p w14:paraId="4000D1DA" w14:textId="7E2AA558" w:rsidR="00556C50" w:rsidRDefault="00E86E1A">
      <w:pPr>
        <w:pStyle w:val="TOC1"/>
        <w:rPr>
          <w:rFonts w:asciiTheme="minorHAnsi" w:eastAsiaTheme="minorEastAsia" w:hAnsiTheme="minorHAnsi" w:cstheme="minorBidi"/>
          <w:noProof/>
          <w:szCs w:val="22"/>
          <w:lang w:eastAsia="ru-RU"/>
        </w:rPr>
      </w:pPr>
      <w:hyperlink w:anchor="_Toc75781976" w:history="1">
        <w:r w:rsidR="00556C50" w:rsidRPr="00882652">
          <w:rPr>
            <w:rStyle w:val="Hyperlink"/>
            <w:noProof/>
          </w:rPr>
          <w:t>ПРОГРАММА обеспечения И ПОВЫШЕНИЯ КАЧЕСТВА ОВН</w:t>
        </w:r>
        <w:r w:rsidR="00556C50">
          <w:rPr>
            <w:noProof/>
            <w:webHidden/>
          </w:rPr>
          <w:tab/>
        </w:r>
        <w:r w:rsidR="00556C50">
          <w:rPr>
            <w:noProof/>
            <w:webHidden/>
          </w:rPr>
          <w:fldChar w:fldCharType="begin"/>
        </w:r>
        <w:r w:rsidR="00556C50">
          <w:rPr>
            <w:noProof/>
            <w:webHidden/>
          </w:rPr>
          <w:instrText xml:space="preserve"> PAGEREF _Toc75781976 \h </w:instrText>
        </w:r>
        <w:r w:rsidR="00556C50">
          <w:rPr>
            <w:noProof/>
            <w:webHidden/>
          </w:rPr>
        </w:r>
        <w:r w:rsidR="00556C50">
          <w:rPr>
            <w:noProof/>
            <w:webHidden/>
          </w:rPr>
          <w:fldChar w:fldCharType="separate"/>
        </w:r>
        <w:r w:rsidR="00556C50">
          <w:rPr>
            <w:noProof/>
            <w:webHidden/>
          </w:rPr>
          <w:t>22</w:t>
        </w:r>
        <w:r w:rsidR="00556C50">
          <w:rPr>
            <w:noProof/>
            <w:webHidden/>
          </w:rPr>
          <w:fldChar w:fldCharType="end"/>
        </w:r>
      </w:hyperlink>
    </w:p>
    <w:p w14:paraId="7A7F5D5A" w14:textId="49E0EAFD" w:rsidR="00556C50" w:rsidRDefault="00E86E1A">
      <w:pPr>
        <w:pStyle w:val="TOC1"/>
        <w:rPr>
          <w:rFonts w:asciiTheme="minorHAnsi" w:eastAsiaTheme="minorEastAsia" w:hAnsiTheme="minorHAnsi" w:cstheme="minorBidi"/>
          <w:noProof/>
          <w:szCs w:val="22"/>
          <w:lang w:eastAsia="ru-RU"/>
        </w:rPr>
      </w:pPr>
      <w:hyperlink w:anchor="_Toc75781977" w:history="1">
        <w:r w:rsidR="00556C50" w:rsidRPr="00882652">
          <w:rPr>
            <w:rStyle w:val="Hyperlink"/>
            <w:noProof/>
          </w:rPr>
          <w:t>РЕСУРСЫ ДЛЯ НАДЗОРНОЙ ДЕЯТЕЛЬНОСТИ</w:t>
        </w:r>
        <w:r w:rsidR="00556C50">
          <w:rPr>
            <w:noProof/>
            <w:webHidden/>
          </w:rPr>
          <w:tab/>
        </w:r>
        <w:r w:rsidR="00556C50">
          <w:rPr>
            <w:noProof/>
            <w:webHidden/>
          </w:rPr>
          <w:fldChar w:fldCharType="begin"/>
        </w:r>
        <w:r w:rsidR="00556C50">
          <w:rPr>
            <w:noProof/>
            <w:webHidden/>
          </w:rPr>
          <w:instrText xml:space="preserve"> PAGEREF _Toc75781977 \h </w:instrText>
        </w:r>
        <w:r w:rsidR="00556C50">
          <w:rPr>
            <w:noProof/>
            <w:webHidden/>
          </w:rPr>
        </w:r>
        <w:r w:rsidR="00556C50">
          <w:rPr>
            <w:noProof/>
            <w:webHidden/>
          </w:rPr>
          <w:fldChar w:fldCharType="separate"/>
        </w:r>
        <w:r w:rsidR="00556C50">
          <w:rPr>
            <w:noProof/>
            <w:webHidden/>
          </w:rPr>
          <w:t>24</w:t>
        </w:r>
        <w:r w:rsidR="00556C50">
          <w:rPr>
            <w:noProof/>
            <w:webHidden/>
          </w:rPr>
          <w:fldChar w:fldCharType="end"/>
        </w:r>
      </w:hyperlink>
    </w:p>
    <w:p w14:paraId="2AC3F15B" w14:textId="032D38A4" w:rsidR="00C46B12" w:rsidRPr="00520248" w:rsidRDefault="007159D2" w:rsidP="00C46B12">
      <w:pPr>
        <w:keepLines/>
        <w:tabs>
          <w:tab w:val="left" w:leader="dot" w:pos="8910"/>
        </w:tabs>
        <w:rPr>
          <w:b/>
        </w:rPr>
      </w:pPr>
      <w:r>
        <w:fldChar w:fldCharType="end"/>
      </w:r>
    </w:p>
    <w:p w14:paraId="6D073938" w14:textId="6F711FAD" w:rsidR="00C46B12" w:rsidRDefault="00C46B12" w:rsidP="00C46B12">
      <w:pPr>
        <w:keepLines/>
        <w:tabs>
          <w:tab w:val="left" w:pos="1134"/>
          <w:tab w:val="left" w:pos="1560"/>
        </w:tabs>
        <w:rPr>
          <w:noProof/>
        </w:rPr>
      </w:pPr>
      <w:r>
        <w:t xml:space="preserve">ПРИЛОЖЕНИЕ — Перечень отчетов ОВН </w:t>
      </w:r>
    </w:p>
    <w:p w14:paraId="492AF7C1" w14:textId="77777777" w:rsidR="00C46B12" w:rsidRDefault="00C46B12" w:rsidP="00C46B12">
      <w:pPr>
        <w:rPr>
          <w:b/>
          <w:bCs/>
          <w:caps/>
          <w:kern w:val="32"/>
          <w:szCs w:val="32"/>
        </w:rPr>
      </w:pPr>
      <w:r>
        <w:br w:type="page"/>
      </w:r>
    </w:p>
    <w:p w14:paraId="106F7BDC" w14:textId="75AFA6F8" w:rsidR="00C46B12" w:rsidRDefault="00C46B12" w:rsidP="00C46B12">
      <w:pPr>
        <w:pStyle w:val="Heading1"/>
      </w:pPr>
      <w:bookmarkStart w:id="12" w:name="_Toc39071243"/>
      <w:bookmarkStart w:id="13" w:name="_Toc75781961"/>
      <w:r>
        <w:lastRenderedPageBreak/>
        <w:t>СПИСОК СОКРАЩЕНИЙ</w:t>
      </w:r>
      <w:bookmarkEnd w:id="12"/>
      <w:bookmarkEnd w:id="13"/>
    </w:p>
    <w:p w14:paraId="0AB70FFA" w14:textId="2AD101D4" w:rsidR="007159D2" w:rsidRPr="007159D2" w:rsidRDefault="007159D2" w:rsidP="007159D2"/>
    <w:tbl>
      <w:tblPr>
        <w:tblStyle w:val="TableGridLight"/>
        <w:tblW w:w="0" w:type="auto"/>
        <w:tblLook w:val="01E0" w:firstRow="1" w:lastRow="1" w:firstColumn="1" w:lastColumn="1" w:noHBand="0" w:noVBand="0"/>
        <w:tblCaption w:val="List of acronyms"/>
        <w:tblDescription w:val="List of acronyms used in the document"/>
      </w:tblPr>
      <w:tblGrid>
        <w:gridCol w:w="1701"/>
        <w:gridCol w:w="7230"/>
      </w:tblGrid>
      <w:tr w:rsidR="0066080A" w:rsidRPr="00DF27E3" w14:paraId="2B6501C2" w14:textId="77777777" w:rsidTr="00335B35">
        <w:trPr>
          <w:trHeight w:val="340"/>
          <w:tblHeader/>
        </w:trPr>
        <w:tc>
          <w:tcPr>
            <w:tcW w:w="1701" w:type="dxa"/>
            <w:shd w:val="clear" w:color="auto" w:fill="auto"/>
          </w:tcPr>
          <w:p w14:paraId="318943CE" w14:textId="77777777" w:rsidR="0066080A" w:rsidRPr="00913CE2" w:rsidRDefault="0066080A" w:rsidP="00524F64">
            <w:pPr>
              <w:tabs>
                <w:tab w:val="right" w:pos="6880"/>
              </w:tabs>
              <w:ind w:left="43"/>
              <w:rPr>
                <w:b/>
              </w:rPr>
            </w:pPr>
            <w:bookmarkStart w:id="14" w:name="_Toc392160703"/>
            <w:bookmarkStart w:id="15" w:name="_Toc392160740"/>
            <w:bookmarkStart w:id="16" w:name="_Toc423530309"/>
            <w:bookmarkStart w:id="17" w:name="_Toc423533365"/>
            <w:bookmarkStart w:id="18" w:name="_Toc423533509"/>
            <w:bookmarkStart w:id="19" w:name="_Toc452648468"/>
            <w:r>
              <w:rPr>
                <w:b/>
              </w:rPr>
              <w:t>СУАИ</w:t>
            </w:r>
          </w:p>
        </w:tc>
        <w:tc>
          <w:tcPr>
            <w:tcW w:w="7230" w:type="dxa"/>
            <w:shd w:val="clear" w:color="auto" w:fill="auto"/>
          </w:tcPr>
          <w:p w14:paraId="79FAF3B9" w14:textId="77777777" w:rsidR="0066080A" w:rsidRDefault="0066080A" w:rsidP="00524F64">
            <w:pPr>
              <w:tabs>
                <w:tab w:val="right" w:pos="6880"/>
              </w:tabs>
              <w:ind w:left="43"/>
            </w:pPr>
            <w:r>
              <w:t>Система управления административной информацией</w:t>
            </w:r>
          </w:p>
        </w:tc>
      </w:tr>
      <w:tr w:rsidR="0066080A" w:rsidRPr="00DF27E3" w14:paraId="03A75332" w14:textId="77777777" w:rsidTr="00335B35">
        <w:trPr>
          <w:trHeight w:val="340"/>
          <w:tblHeader/>
        </w:trPr>
        <w:tc>
          <w:tcPr>
            <w:tcW w:w="1701" w:type="dxa"/>
            <w:shd w:val="clear" w:color="auto" w:fill="auto"/>
          </w:tcPr>
          <w:p w14:paraId="5D014B90" w14:textId="77777777" w:rsidR="0066080A" w:rsidRPr="00913CE2" w:rsidRDefault="0066080A" w:rsidP="00524F64">
            <w:pPr>
              <w:tabs>
                <w:tab w:val="right" w:pos="6880"/>
              </w:tabs>
              <w:ind w:left="43"/>
              <w:rPr>
                <w:b/>
                <w:szCs w:val="22"/>
              </w:rPr>
            </w:pPr>
            <w:r>
              <w:rPr>
                <w:b/>
              </w:rPr>
              <w:t>КРИС</w:t>
            </w:r>
          </w:p>
        </w:tc>
        <w:tc>
          <w:tcPr>
            <w:tcW w:w="7230" w:type="dxa"/>
            <w:shd w:val="clear" w:color="auto" w:fill="auto"/>
          </w:tcPr>
          <w:p w14:paraId="15BCB639" w14:textId="77777777" w:rsidR="0066080A" w:rsidRPr="00283923" w:rsidRDefault="0066080A" w:rsidP="00524F64">
            <w:pPr>
              <w:tabs>
                <w:tab w:val="right" w:pos="6880"/>
              </w:tabs>
              <w:ind w:left="43"/>
              <w:rPr>
                <w:szCs w:val="22"/>
              </w:rPr>
            </w:pPr>
            <w:r>
              <w:t>Комитет по развитию и интеллектуальной собственности</w:t>
            </w:r>
          </w:p>
        </w:tc>
      </w:tr>
      <w:tr w:rsidR="0066080A" w:rsidRPr="00DF27E3" w14:paraId="4B6E2830" w14:textId="77777777" w:rsidTr="00335B35">
        <w:trPr>
          <w:trHeight w:val="340"/>
          <w:tblHeader/>
        </w:trPr>
        <w:tc>
          <w:tcPr>
            <w:tcW w:w="1701" w:type="dxa"/>
            <w:shd w:val="clear" w:color="auto" w:fill="auto"/>
          </w:tcPr>
          <w:p w14:paraId="452F5844" w14:textId="77777777" w:rsidR="0066080A" w:rsidRPr="00913CE2" w:rsidRDefault="0066080A" w:rsidP="00524F64">
            <w:pPr>
              <w:tabs>
                <w:tab w:val="right" w:pos="6880"/>
              </w:tabs>
              <w:ind w:left="43"/>
              <w:rPr>
                <w:b/>
                <w:szCs w:val="22"/>
              </w:rPr>
            </w:pPr>
            <w:r>
              <w:rPr>
                <w:b/>
              </w:rPr>
              <w:t>КМС</w:t>
            </w:r>
          </w:p>
        </w:tc>
        <w:tc>
          <w:tcPr>
            <w:tcW w:w="7230" w:type="dxa"/>
            <w:shd w:val="clear" w:color="auto" w:fill="auto"/>
          </w:tcPr>
          <w:p w14:paraId="4459FDE6" w14:textId="77777777" w:rsidR="0066080A" w:rsidRPr="00DF27E3" w:rsidRDefault="0066080A" w:rsidP="00524F64">
            <w:pPr>
              <w:tabs>
                <w:tab w:val="right" w:pos="6880"/>
              </w:tabs>
              <w:ind w:left="43"/>
              <w:rPr>
                <w:szCs w:val="22"/>
              </w:rPr>
            </w:pPr>
            <w:r>
              <w:t>Конференция международных следователей</w:t>
            </w:r>
          </w:p>
        </w:tc>
      </w:tr>
      <w:tr w:rsidR="0066080A" w:rsidRPr="00DF27E3" w14:paraId="28C2264D" w14:textId="77777777" w:rsidTr="00335B35">
        <w:trPr>
          <w:trHeight w:val="340"/>
          <w:tblHeader/>
        </w:trPr>
        <w:tc>
          <w:tcPr>
            <w:tcW w:w="1701" w:type="dxa"/>
            <w:shd w:val="clear" w:color="auto" w:fill="auto"/>
          </w:tcPr>
          <w:p w14:paraId="5C0885CA" w14:textId="77777777" w:rsidR="0066080A" w:rsidRDefault="0066080A" w:rsidP="00524F64">
            <w:pPr>
              <w:tabs>
                <w:tab w:val="right" w:pos="6880"/>
              </w:tabs>
              <w:ind w:left="43"/>
              <w:rPr>
                <w:b/>
                <w:szCs w:val="22"/>
              </w:rPr>
            </w:pPr>
            <w:r>
              <w:rPr>
                <w:b/>
              </w:rPr>
              <w:t>ВОК</w:t>
            </w:r>
          </w:p>
        </w:tc>
        <w:tc>
          <w:tcPr>
            <w:tcW w:w="7230" w:type="dxa"/>
            <w:shd w:val="clear" w:color="auto" w:fill="auto"/>
          </w:tcPr>
          <w:p w14:paraId="4E0173BE" w14:textId="77777777" w:rsidR="0066080A" w:rsidRPr="005E30EC" w:rsidRDefault="0066080A" w:rsidP="00524F64">
            <w:pPr>
              <w:tabs>
                <w:tab w:val="right" w:pos="6880"/>
              </w:tabs>
              <w:ind w:left="43"/>
              <w:rPr>
                <w:szCs w:val="22"/>
              </w:rPr>
            </w:pPr>
            <w:r>
              <w:t>Внешняя оценка качества</w:t>
            </w:r>
          </w:p>
        </w:tc>
      </w:tr>
      <w:tr w:rsidR="0066080A" w:rsidRPr="00DF27E3" w14:paraId="16CF6694" w14:textId="77777777" w:rsidTr="00335B35">
        <w:trPr>
          <w:trHeight w:val="340"/>
          <w:tblHeader/>
        </w:trPr>
        <w:tc>
          <w:tcPr>
            <w:tcW w:w="1701" w:type="dxa"/>
            <w:shd w:val="clear" w:color="auto" w:fill="auto"/>
          </w:tcPr>
          <w:p w14:paraId="3B442F7D" w14:textId="139610E0" w:rsidR="0066080A" w:rsidRDefault="006B18D6" w:rsidP="00524F64">
            <w:pPr>
              <w:tabs>
                <w:tab w:val="right" w:pos="6880"/>
              </w:tabs>
              <w:ind w:left="43"/>
              <w:rPr>
                <w:b/>
                <w:szCs w:val="22"/>
              </w:rPr>
            </w:pPr>
            <w:r>
              <w:rPr>
                <w:b/>
                <w:szCs w:val="22"/>
              </w:rPr>
              <w:t>ОУР</w:t>
            </w:r>
          </w:p>
        </w:tc>
        <w:tc>
          <w:tcPr>
            <w:tcW w:w="7230" w:type="dxa"/>
            <w:shd w:val="clear" w:color="auto" w:fill="auto"/>
          </w:tcPr>
          <w:p w14:paraId="41DEAE3E" w14:textId="320E6F95" w:rsidR="0066080A" w:rsidRPr="00920B7F" w:rsidRDefault="006B18D6" w:rsidP="00524F64">
            <w:pPr>
              <w:tabs>
                <w:tab w:val="right" w:pos="6880"/>
              </w:tabs>
              <w:ind w:left="43"/>
            </w:pPr>
            <w:r>
              <w:t>Общеорганизационное управление</w:t>
            </w:r>
            <w:r w:rsidR="0066080A">
              <w:t xml:space="preserve"> рисками</w:t>
            </w:r>
          </w:p>
        </w:tc>
      </w:tr>
      <w:tr w:rsidR="0066080A" w:rsidRPr="00DF27E3" w14:paraId="3710B878" w14:textId="77777777" w:rsidTr="00335B35">
        <w:trPr>
          <w:trHeight w:val="340"/>
          <w:tblHeader/>
        </w:trPr>
        <w:tc>
          <w:tcPr>
            <w:tcW w:w="1701" w:type="dxa"/>
            <w:shd w:val="clear" w:color="auto" w:fill="auto"/>
          </w:tcPr>
          <w:p w14:paraId="2D9EFE61" w14:textId="77777777" w:rsidR="0066080A" w:rsidRPr="00913CE2" w:rsidRDefault="0066080A" w:rsidP="00524F64">
            <w:pPr>
              <w:ind w:left="43"/>
              <w:rPr>
                <w:b/>
                <w:szCs w:val="22"/>
              </w:rPr>
            </w:pPr>
            <w:r>
              <w:rPr>
                <w:b/>
              </w:rPr>
              <w:t>ДУЛР</w:t>
            </w:r>
          </w:p>
        </w:tc>
        <w:tc>
          <w:tcPr>
            <w:tcW w:w="7230" w:type="dxa"/>
            <w:shd w:val="clear" w:color="auto" w:fill="auto"/>
          </w:tcPr>
          <w:p w14:paraId="47919512" w14:textId="77777777" w:rsidR="0066080A" w:rsidRPr="00DF27E3" w:rsidRDefault="0066080A" w:rsidP="00524F64">
            <w:pPr>
              <w:ind w:left="43"/>
              <w:rPr>
                <w:szCs w:val="22"/>
              </w:rPr>
            </w:pPr>
            <w:r>
              <w:t>Департамент управления людскими ресурсами</w:t>
            </w:r>
          </w:p>
        </w:tc>
      </w:tr>
      <w:tr w:rsidR="0066080A" w:rsidRPr="00DF27E3" w14:paraId="4C05C481" w14:textId="77777777" w:rsidTr="00335B35">
        <w:trPr>
          <w:trHeight w:val="340"/>
          <w:tblHeader/>
        </w:trPr>
        <w:tc>
          <w:tcPr>
            <w:tcW w:w="1701" w:type="dxa"/>
            <w:shd w:val="clear" w:color="auto" w:fill="auto"/>
          </w:tcPr>
          <w:p w14:paraId="1781A0C6" w14:textId="77777777" w:rsidR="0066080A" w:rsidRPr="00913CE2" w:rsidRDefault="0066080A" w:rsidP="00524F64">
            <w:pPr>
              <w:ind w:left="43"/>
              <w:rPr>
                <w:b/>
                <w:szCs w:val="22"/>
              </w:rPr>
            </w:pPr>
            <w:r>
              <w:rPr>
                <w:b/>
              </w:rPr>
              <w:t>НККН</w:t>
            </w:r>
          </w:p>
        </w:tc>
        <w:tc>
          <w:tcPr>
            <w:tcW w:w="7230" w:type="dxa"/>
            <w:shd w:val="clear" w:color="auto" w:fill="auto"/>
          </w:tcPr>
          <w:p w14:paraId="630182DA" w14:textId="77777777" w:rsidR="0066080A" w:rsidRPr="00DF27E3" w:rsidRDefault="0066080A" w:rsidP="00524F64">
            <w:pPr>
              <w:ind w:left="43"/>
              <w:rPr>
                <w:szCs w:val="22"/>
              </w:rPr>
            </w:pPr>
            <w:r>
              <w:t>Независимый консультативный комитет по надзору</w:t>
            </w:r>
          </w:p>
        </w:tc>
      </w:tr>
      <w:tr w:rsidR="0066080A" w:rsidRPr="00DF27E3" w14:paraId="20B6DD95" w14:textId="77777777" w:rsidTr="00335B35">
        <w:trPr>
          <w:trHeight w:val="340"/>
          <w:tblHeader/>
        </w:trPr>
        <w:tc>
          <w:tcPr>
            <w:tcW w:w="1701" w:type="dxa"/>
            <w:shd w:val="clear" w:color="auto" w:fill="auto"/>
          </w:tcPr>
          <w:p w14:paraId="14506481" w14:textId="77777777" w:rsidR="0066080A" w:rsidRPr="00913CE2" w:rsidRDefault="0066080A" w:rsidP="00524F64">
            <w:pPr>
              <w:ind w:left="43"/>
              <w:rPr>
                <w:b/>
                <w:szCs w:val="22"/>
              </w:rPr>
            </w:pPr>
            <w:r>
              <w:rPr>
                <w:b/>
              </w:rPr>
              <w:t>ИВА</w:t>
            </w:r>
          </w:p>
        </w:tc>
        <w:tc>
          <w:tcPr>
            <w:tcW w:w="7230" w:type="dxa"/>
            <w:shd w:val="clear" w:color="auto" w:fill="auto"/>
          </w:tcPr>
          <w:p w14:paraId="6B2C61F5" w14:textId="77777777" w:rsidR="0066080A" w:rsidRPr="00DF27E3" w:rsidRDefault="0066080A" w:rsidP="00524F64">
            <w:pPr>
              <w:ind w:left="43"/>
              <w:rPr>
                <w:szCs w:val="22"/>
              </w:rPr>
            </w:pPr>
            <w:r>
              <w:t>Институт внутренних аудиторов</w:t>
            </w:r>
          </w:p>
        </w:tc>
      </w:tr>
      <w:tr w:rsidR="0066080A" w:rsidRPr="00DF27E3" w14:paraId="3678354B" w14:textId="77777777" w:rsidTr="00335B35">
        <w:trPr>
          <w:trHeight w:val="340"/>
          <w:tblHeader/>
        </w:trPr>
        <w:tc>
          <w:tcPr>
            <w:tcW w:w="1701" w:type="dxa"/>
            <w:shd w:val="clear" w:color="auto" w:fill="auto"/>
          </w:tcPr>
          <w:p w14:paraId="225F4E0F" w14:textId="77777777" w:rsidR="0066080A" w:rsidRPr="00913CE2" w:rsidRDefault="0066080A" w:rsidP="00524F64">
            <w:pPr>
              <w:ind w:left="43"/>
              <w:rPr>
                <w:b/>
                <w:szCs w:val="22"/>
              </w:rPr>
            </w:pPr>
            <w:r>
              <w:rPr>
                <w:b/>
              </w:rPr>
              <w:t>УВН</w:t>
            </w:r>
          </w:p>
        </w:tc>
        <w:tc>
          <w:tcPr>
            <w:tcW w:w="7230" w:type="dxa"/>
            <w:shd w:val="clear" w:color="auto" w:fill="auto"/>
          </w:tcPr>
          <w:p w14:paraId="3D426061" w14:textId="77777777" w:rsidR="0066080A" w:rsidRPr="00DF27E3" w:rsidRDefault="0066080A" w:rsidP="00524F64">
            <w:pPr>
              <w:ind w:left="43"/>
              <w:rPr>
                <w:szCs w:val="22"/>
              </w:rPr>
            </w:pPr>
            <w:r>
              <w:t>Устав внутреннего надзора</w:t>
            </w:r>
          </w:p>
        </w:tc>
      </w:tr>
      <w:tr w:rsidR="0066080A" w:rsidRPr="00DF27E3" w14:paraId="359085AF" w14:textId="77777777" w:rsidTr="00335B35">
        <w:trPr>
          <w:trHeight w:val="340"/>
          <w:tblHeader/>
        </w:trPr>
        <w:tc>
          <w:tcPr>
            <w:tcW w:w="1701" w:type="dxa"/>
            <w:shd w:val="clear" w:color="auto" w:fill="auto"/>
          </w:tcPr>
          <w:p w14:paraId="3CA13FBC" w14:textId="77777777" w:rsidR="0066080A" w:rsidRPr="00913CE2" w:rsidRDefault="0066080A" w:rsidP="00524F64">
            <w:pPr>
              <w:ind w:left="43"/>
              <w:rPr>
                <w:b/>
                <w:szCs w:val="22"/>
              </w:rPr>
            </w:pPr>
            <w:r>
              <w:rPr>
                <w:b/>
              </w:rPr>
              <w:t>ОВН</w:t>
            </w:r>
          </w:p>
        </w:tc>
        <w:tc>
          <w:tcPr>
            <w:tcW w:w="7230" w:type="dxa"/>
            <w:shd w:val="clear" w:color="auto" w:fill="auto"/>
          </w:tcPr>
          <w:p w14:paraId="1116DFB3" w14:textId="77777777" w:rsidR="0066080A" w:rsidRPr="00DF27E3" w:rsidRDefault="0066080A" w:rsidP="00524F64">
            <w:pPr>
              <w:ind w:left="43"/>
              <w:rPr>
                <w:szCs w:val="22"/>
              </w:rPr>
            </w:pPr>
            <w:r>
              <w:t>Отдел внутреннего надзора</w:t>
            </w:r>
          </w:p>
        </w:tc>
      </w:tr>
      <w:tr w:rsidR="0066080A" w:rsidRPr="00DF27E3" w14:paraId="068BB8C8" w14:textId="77777777" w:rsidTr="00335B35">
        <w:trPr>
          <w:trHeight w:val="340"/>
          <w:tblHeader/>
        </w:trPr>
        <w:tc>
          <w:tcPr>
            <w:tcW w:w="1701" w:type="dxa"/>
            <w:shd w:val="clear" w:color="auto" w:fill="auto"/>
          </w:tcPr>
          <w:p w14:paraId="04655222" w14:textId="77777777" w:rsidR="0066080A" w:rsidRPr="00913CE2" w:rsidRDefault="0066080A" w:rsidP="00524F64">
            <w:pPr>
              <w:ind w:left="43"/>
              <w:rPr>
                <w:b/>
                <w:szCs w:val="22"/>
              </w:rPr>
            </w:pPr>
            <w:r>
              <w:rPr>
                <w:b/>
              </w:rPr>
              <w:t>ИС</w:t>
            </w:r>
          </w:p>
        </w:tc>
        <w:tc>
          <w:tcPr>
            <w:tcW w:w="7230" w:type="dxa"/>
            <w:shd w:val="clear" w:color="auto" w:fill="auto"/>
          </w:tcPr>
          <w:p w14:paraId="3E0CA7BC" w14:textId="77777777" w:rsidR="0066080A" w:rsidRPr="00DF27E3" w:rsidRDefault="0066080A" w:rsidP="00524F64">
            <w:pPr>
              <w:ind w:left="43"/>
              <w:rPr>
                <w:szCs w:val="22"/>
              </w:rPr>
            </w:pPr>
            <w:r>
              <w:t>Интеллектуальная собственность</w:t>
            </w:r>
          </w:p>
        </w:tc>
      </w:tr>
      <w:tr w:rsidR="0066080A" w:rsidRPr="00DF27E3" w14:paraId="0D8BFDF8" w14:textId="77777777" w:rsidTr="00335B35">
        <w:trPr>
          <w:trHeight w:val="340"/>
          <w:tblHeader/>
        </w:trPr>
        <w:tc>
          <w:tcPr>
            <w:tcW w:w="1701" w:type="dxa"/>
            <w:shd w:val="clear" w:color="auto" w:fill="auto"/>
          </w:tcPr>
          <w:p w14:paraId="393C9032" w14:textId="77777777" w:rsidR="0066080A" w:rsidRPr="00913CE2" w:rsidRDefault="0066080A" w:rsidP="00524F64">
            <w:pPr>
              <w:ind w:left="43"/>
              <w:rPr>
                <w:b/>
                <w:szCs w:val="22"/>
              </w:rPr>
            </w:pPr>
            <w:r>
              <w:rPr>
                <w:b/>
              </w:rPr>
              <w:t>ОИГ</w:t>
            </w:r>
          </w:p>
        </w:tc>
        <w:tc>
          <w:tcPr>
            <w:tcW w:w="7230" w:type="dxa"/>
            <w:shd w:val="clear" w:color="auto" w:fill="auto"/>
          </w:tcPr>
          <w:p w14:paraId="6374A933" w14:textId="77777777" w:rsidR="0066080A" w:rsidRPr="00DF27E3" w:rsidRDefault="0066080A" w:rsidP="00524F64">
            <w:pPr>
              <w:ind w:left="43"/>
              <w:rPr>
                <w:szCs w:val="22"/>
              </w:rPr>
            </w:pPr>
            <w:r>
              <w:t>Объединенная инспекционная группа</w:t>
            </w:r>
          </w:p>
        </w:tc>
      </w:tr>
      <w:tr w:rsidR="0066080A" w:rsidRPr="00DF27E3" w14:paraId="44D7546B" w14:textId="77777777" w:rsidTr="00335B35">
        <w:trPr>
          <w:trHeight w:val="340"/>
          <w:tblHeader/>
        </w:trPr>
        <w:tc>
          <w:tcPr>
            <w:tcW w:w="1701" w:type="dxa"/>
            <w:shd w:val="clear" w:color="auto" w:fill="auto"/>
          </w:tcPr>
          <w:p w14:paraId="4E9AD0E9" w14:textId="77777777" w:rsidR="0066080A" w:rsidRPr="00913CE2" w:rsidRDefault="0066080A" w:rsidP="00524F64">
            <w:pPr>
              <w:ind w:left="43"/>
              <w:rPr>
                <w:b/>
                <w:szCs w:val="22"/>
              </w:rPr>
            </w:pPr>
            <w:r>
              <w:rPr>
                <w:b/>
              </w:rPr>
              <w:t>ОРРР</w:t>
            </w:r>
          </w:p>
        </w:tc>
        <w:tc>
          <w:tcPr>
            <w:tcW w:w="7230" w:type="dxa"/>
            <w:shd w:val="clear" w:color="auto" w:fill="auto"/>
          </w:tcPr>
          <w:p w14:paraId="244D4EDE" w14:textId="77777777" w:rsidR="0066080A" w:rsidRPr="00DF27E3" w:rsidRDefault="0066080A" w:rsidP="00524F64">
            <w:pPr>
              <w:ind w:left="43"/>
              <w:rPr>
                <w:szCs w:val="22"/>
              </w:rPr>
            </w:pPr>
            <w:r>
              <w:t>Отчет о результатах расследования для руководства</w:t>
            </w:r>
          </w:p>
        </w:tc>
      </w:tr>
      <w:tr w:rsidR="0066080A" w:rsidRPr="00DF27E3" w14:paraId="5CD51342" w14:textId="77777777" w:rsidTr="00335B35">
        <w:trPr>
          <w:trHeight w:val="340"/>
          <w:tblHeader/>
        </w:trPr>
        <w:tc>
          <w:tcPr>
            <w:tcW w:w="1701" w:type="dxa"/>
            <w:shd w:val="clear" w:color="auto" w:fill="auto"/>
          </w:tcPr>
          <w:p w14:paraId="13CE6870" w14:textId="5BB27D95" w:rsidR="0066080A" w:rsidRDefault="0066080A" w:rsidP="00524F64">
            <w:pPr>
              <w:ind w:left="43"/>
              <w:rPr>
                <w:b/>
                <w:szCs w:val="22"/>
              </w:rPr>
            </w:pPr>
            <w:r>
              <w:rPr>
                <w:b/>
              </w:rPr>
              <w:t>К</w:t>
            </w:r>
            <w:r w:rsidR="00997064">
              <w:rPr>
                <w:b/>
              </w:rPr>
              <w:t>и</w:t>
            </w:r>
            <w:r>
              <w:rPr>
                <w:b/>
              </w:rPr>
              <w:t>О</w:t>
            </w:r>
          </w:p>
        </w:tc>
        <w:tc>
          <w:tcPr>
            <w:tcW w:w="7230" w:type="dxa"/>
            <w:shd w:val="clear" w:color="auto" w:fill="auto"/>
          </w:tcPr>
          <w:p w14:paraId="708942D0" w14:textId="77777777" w:rsidR="0066080A" w:rsidRPr="005E4455" w:rsidRDefault="0066080A" w:rsidP="00524F64">
            <w:pPr>
              <w:ind w:left="43"/>
            </w:pPr>
            <w:r>
              <w:t>Контроль и оценка</w:t>
            </w:r>
          </w:p>
        </w:tc>
      </w:tr>
      <w:tr w:rsidR="0066080A" w:rsidRPr="00DF27E3" w14:paraId="4DC2B67F" w14:textId="77777777" w:rsidTr="00335B35">
        <w:trPr>
          <w:trHeight w:val="340"/>
          <w:tblHeader/>
        </w:trPr>
        <w:tc>
          <w:tcPr>
            <w:tcW w:w="1701" w:type="dxa"/>
            <w:shd w:val="clear" w:color="auto" w:fill="auto"/>
          </w:tcPr>
          <w:p w14:paraId="7550A1D1" w14:textId="77777777" w:rsidR="0066080A" w:rsidRDefault="0066080A" w:rsidP="00524F64">
            <w:pPr>
              <w:ind w:left="43"/>
              <w:rPr>
                <w:b/>
                <w:szCs w:val="22"/>
              </w:rPr>
            </w:pPr>
            <w:r>
              <w:rPr>
                <w:b/>
              </w:rPr>
              <w:t>СИ</w:t>
            </w:r>
          </w:p>
        </w:tc>
        <w:tc>
          <w:tcPr>
            <w:tcW w:w="7230" w:type="dxa"/>
            <w:shd w:val="clear" w:color="auto" w:fill="auto"/>
          </w:tcPr>
          <w:p w14:paraId="315CBCC6" w14:textId="77777777" w:rsidR="0066080A" w:rsidRPr="005E4455" w:rsidRDefault="0066080A" w:rsidP="00524F64">
            <w:pPr>
              <w:ind w:left="43"/>
            </w:pPr>
            <w:r>
              <w:t>Служебные инструкции</w:t>
            </w:r>
          </w:p>
        </w:tc>
      </w:tr>
      <w:tr w:rsidR="0066080A" w:rsidRPr="00DF27E3" w14:paraId="7FBA32A3" w14:textId="77777777" w:rsidTr="00335B35">
        <w:trPr>
          <w:trHeight w:val="340"/>
          <w:tblHeader/>
        </w:trPr>
        <w:tc>
          <w:tcPr>
            <w:tcW w:w="1701" w:type="dxa"/>
            <w:shd w:val="clear" w:color="auto" w:fill="auto"/>
          </w:tcPr>
          <w:p w14:paraId="41DFF350" w14:textId="77777777" w:rsidR="0066080A" w:rsidRDefault="0066080A" w:rsidP="00524F64">
            <w:pPr>
              <w:ind w:left="43"/>
              <w:rPr>
                <w:b/>
                <w:szCs w:val="22"/>
              </w:rPr>
            </w:pPr>
            <w:r>
              <w:rPr>
                <w:b/>
              </w:rPr>
              <w:t>УСВН</w:t>
            </w:r>
          </w:p>
        </w:tc>
        <w:tc>
          <w:tcPr>
            <w:tcW w:w="7230" w:type="dxa"/>
            <w:shd w:val="clear" w:color="auto" w:fill="auto"/>
          </w:tcPr>
          <w:p w14:paraId="47862159" w14:textId="77777777" w:rsidR="0066080A" w:rsidRPr="009B382C" w:rsidRDefault="0066080A" w:rsidP="00524F64">
            <w:pPr>
              <w:ind w:left="43"/>
              <w:rPr>
                <w:szCs w:val="22"/>
              </w:rPr>
            </w:pPr>
            <w:r>
              <w:t>Управления служб внутреннего надзора</w:t>
            </w:r>
          </w:p>
        </w:tc>
      </w:tr>
      <w:tr w:rsidR="0066080A" w:rsidRPr="00DF27E3" w14:paraId="04243C23" w14:textId="77777777" w:rsidTr="00335B35">
        <w:trPr>
          <w:trHeight w:val="340"/>
          <w:tblHeader/>
        </w:trPr>
        <w:tc>
          <w:tcPr>
            <w:tcW w:w="1701" w:type="dxa"/>
            <w:shd w:val="clear" w:color="auto" w:fill="auto"/>
          </w:tcPr>
          <w:p w14:paraId="25359938" w14:textId="77777777" w:rsidR="0066080A" w:rsidRPr="00913CE2" w:rsidRDefault="0066080A" w:rsidP="00524F64">
            <w:pPr>
              <w:ind w:left="43"/>
              <w:rPr>
                <w:b/>
                <w:szCs w:val="22"/>
              </w:rPr>
            </w:pPr>
            <w:r>
              <w:rPr>
                <w:b/>
              </w:rPr>
              <w:t>КПБ</w:t>
            </w:r>
          </w:p>
        </w:tc>
        <w:tc>
          <w:tcPr>
            <w:tcW w:w="7230" w:type="dxa"/>
            <w:shd w:val="clear" w:color="auto" w:fill="auto"/>
          </w:tcPr>
          <w:p w14:paraId="1443B284" w14:textId="77777777" w:rsidR="0066080A" w:rsidRPr="00DF27E3" w:rsidRDefault="0066080A" w:rsidP="00524F64">
            <w:pPr>
              <w:ind w:left="43"/>
              <w:rPr>
                <w:szCs w:val="22"/>
              </w:rPr>
            </w:pPr>
            <w:r>
              <w:t>Комитет по программе и бюджету</w:t>
            </w:r>
          </w:p>
        </w:tc>
      </w:tr>
      <w:tr w:rsidR="0066080A" w:rsidRPr="00DF27E3" w14:paraId="111CD431" w14:textId="77777777" w:rsidTr="00335B35">
        <w:trPr>
          <w:trHeight w:val="340"/>
          <w:tblHeader/>
        </w:trPr>
        <w:tc>
          <w:tcPr>
            <w:tcW w:w="1701" w:type="dxa"/>
            <w:shd w:val="clear" w:color="auto" w:fill="auto"/>
          </w:tcPr>
          <w:p w14:paraId="7D23B772" w14:textId="77777777" w:rsidR="0066080A" w:rsidRDefault="0066080A" w:rsidP="00524F64">
            <w:pPr>
              <w:ind w:left="43"/>
              <w:rPr>
                <w:b/>
                <w:szCs w:val="22"/>
              </w:rPr>
            </w:pPr>
            <w:r>
              <w:rPr>
                <w:b/>
              </w:rPr>
              <w:t>ДР</w:t>
            </w:r>
          </w:p>
        </w:tc>
        <w:tc>
          <w:tcPr>
            <w:tcW w:w="7230" w:type="dxa"/>
            <w:shd w:val="clear" w:color="auto" w:fill="auto"/>
          </w:tcPr>
          <w:p w14:paraId="5E417B1C" w14:textId="77777777" w:rsidR="0066080A" w:rsidRPr="00DF27E3" w:rsidRDefault="0066080A" w:rsidP="00524F64">
            <w:pPr>
              <w:ind w:left="43"/>
              <w:rPr>
                <w:szCs w:val="22"/>
              </w:rPr>
            </w:pPr>
            <w:r>
              <w:t>Данные о результативности</w:t>
            </w:r>
          </w:p>
        </w:tc>
      </w:tr>
      <w:tr w:rsidR="0066080A" w:rsidRPr="00DF27E3" w14:paraId="39797ECA" w14:textId="77777777" w:rsidTr="00335B35">
        <w:trPr>
          <w:trHeight w:val="340"/>
          <w:tblHeader/>
        </w:trPr>
        <w:tc>
          <w:tcPr>
            <w:tcW w:w="1701" w:type="dxa"/>
            <w:shd w:val="clear" w:color="auto" w:fill="auto"/>
          </w:tcPr>
          <w:p w14:paraId="1A050850" w14:textId="77777777" w:rsidR="0066080A" w:rsidRDefault="0066080A" w:rsidP="00524F64">
            <w:pPr>
              <w:ind w:left="43"/>
              <w:rPr>
                <w:b/>
                <w:szCs w:val="22"/>
              </w:rPr>
            </w:pPr>
            <w:r>
              <w:rPr>
                <w:b/>
              </w:rPr>
              <w:t>ПР</w:t>
            </w:r>
          </w:p>
        </w:tc>
        <w:tc>
          <w:tcPr>
            <w:tcW w:w="7230" w:type="dxa"/>
            <w:shd w:val="clear" w:color="auto" w:fill="auto"/>
          </w:tcPr>
          <w:p w14:paraId="4E1C947E" w14:textId="77777777" w:rsidR="0066080A" w:rsidRPr="00DF27E3" w:rsidRDefault="0066080A" w:rsidP="00524F64">
            <w:pPr>
              <w:ind w:left="43"/>
              <w:rPr>
                <w:szCs w:val="22"/>
              </w:rPr>
            </w:pPr>
            <w:r>
              <w:t xml:space="preserve">Показатель результативности </w:t>
            </w:r>
          </w:p>
        </w:tc>
      </w:tr>
      <w:tr w:rsidR="0066080A" w:rsidRPr="00DF27E3" w14:paraId="475EEF70" w14:textId="77777777" w:rsidTr="00335B35">
        <w:trPr>
          <w:trHeight w:val="340"/>
          <w:tblHeader/>
        </w:trPr>
        <w:tc>
          <w:tcPr>
            <w:tcW w:w="1701" w:type="dxa"/>
            <w:shd w:val="clear" w:color="auto" w:fill="auto"/>
          </w:tcPr>
          <w:p w14:paraId="0501DD22" w14:textId="77777777" w:rsidR="0066080A" w:rsidRDefault="0066080A" w:rsidP="00524F64">
            <w:pPr>
              <w:ind w:left="43"/>
              <w:rPr>
                <w:b/>
              </w:rPr>
            </w:pPr>
            <w:r>
              <w:rPr>
                <w:b/>
              </w:rPr>
              <w:t>УКР</w:t>
            </w:r>
          </w:p>
        </w:tc>
        <w:tc>
          <w:tcPr>
            <w:tcW w:w="7230" w:type="dxa"/>
            <w:shd w:val="clear" w:color="auto" w:fill="auto"/>
          </w:tcPr>
          <w:p w14:paraId="338D1B59" w14:textId="77777777" w:rsidR="0066080A" w:rsidRDefault="0066080A" w:rsidP="00524F64">
            <w:pPr>
              <w:ind w:left="43"/>
            </w:pPr>
            <w:r>
              <w:t>Управление, ориентированное на конкретные результаты</w:t>
            </w:r>
          </w:p>
        </w:tc>
      </w:tr>
      <w:tr w:rsidR="0066080A" w:rsidRPr="00DF27E3" w14:paraId="1F0CCCE2" w14:textId="77777777" w:rsidTr="00335B35">
        <w:trPr>
          <w:trHeight w:val="340"/>
          <w:tblHeader/>
        </w:trPr>
        <w:tc>
          <w:tcPr>
            <w:tcW w:w="1701" w:type="dxa"/>
            <w:shd w:val="clear" w:color="auto" w:fill="auto"/>
          </w:tcPr>
          <w:p w14:paraId="201467D1" w14:textId="77777777" w:rsidR="0066080A" w:rsidRDefault="0066080A" w:rsidP="00524F64">
            <w:pPr>
              <w:ind w:left="43"/>
              <w:rPr>
                <w:b/>
              </w:rPr>
            </w:pPr>
            <w:r>
              <w:rPr>
                <w:b/>
              </w:rPr>
              <w:t>SMART</w:t>
            </w:r>
          </w:p>
        </w:tc>
        <w:tc>
          <w:tcPr>
            <w:tcW w:w="7230" w:type="dxa"/>
            <w:shd w:val="clear" w:color="auto" w:fill="auto"/>
          </w:tcPr>
          <w:p w14:paraId="49DF8562" w14:textId="77777777" w:rsidR="0066080A" w:rsidRPr="006319F3" w:rsidRDefault="0066080A" w:rsidP="00524F64">
            <w:pPr>
              <w:ind w:left="43"/>
            </w:pPr>
            <w:r>
              <w:t>конкретность, измеримость, достижимость, актуальность и срочность</w:t>
            </w:r>
          </w:p>
        </w:tc>
      </w:tr>
      <w:tr w:rsidR="0066080A" w:rsidRPr="00DF27E3" w14:paraId="7E44131A" w14:textId="77777777" w:rsidTr="00335B35">
        <w:trPr>
          <w:trHeight w:val="340"/>
          <w:tblHeader/>
        </w:trPr>
        <w:tc>
          <w:tcPr>
            <w:tcW w:w="1701" w:type="dxa"/>
            <w:shd w:val="clear" w:color="auto" w:fill="auto"/>
          </w:tcPr>
          <w:p w14:paraId="491CAA21" w14:textId="77777777" w:rsidR="0066080A" w:rsidRDefault="0066080A" w:rsidP="00524F64">
            <w:pPr>
              <w:ind w:left="43"/>
              <w:rPr>
                <w:b/>
              </w:rPr>
            </w:pPr>
            <w:r>
              <w:rPr>
                <w:b/>
              </w:rPr>
              <w:t>ППП</w:t>
            </w:r>
          </w:p>
        </w:tc>
        <w:tc>
          <w:tcPr>
            <w:tcW w:w="7230" w:type="dxa"/>
            <w:shd w:val="clear" w:color="auto" w:fill="auto"/>
          </w:tcPr>
          <w:p w14:paraId="6BB79E62" w14:textId="77777777" w:rsidR="0066080A" w:rsidRDefault="0066080A" w:rsidP="00524F64">
            <w:pPr>
              <w:ind w:left="43"/>
            </w:pPr>
            <w:r>
              <w:t>Положения и правила о персонале</w:t>
            </w:r>
          </w:p>
        </w:tc>
      </w:tr>
      <w:tr w:rsidR="008B5903" w:rsidRPr="00DF27E3" w14:paraId="32C1C5B3" w14:textId="77777777" w:rsidTr="00335B35">
        <w:trPr>
          <w:trHeight w:val="340"/>
          <w:tblHeader/>
        </w:trPr>
        <w:tc>
          <w:tcPr>
            <w:tcW w:w="1701" w:type="dxa"/>
            <w:shd w:val="clear" w:color="auto" w:fill="auto"/>
          </w:tcPr>
          <w:p w14:paraId="34FF09EA" w14:textId="0D50476C" w:rsidR="008B5903" w:rsidRDefault="008B5903" w:rsidP="00524F64">
            <w:pPr>
              <w:ind w:left="43"/>
              <w:rPr>
                <w:b/>
              </w:rPr>
            </w:pPr>
            <w:r>
              <w:rPr>
                <w:b/>
              </w:rPr>
              <w:t>СС</w:t>
            </w:r>
          </w:p>
        </w:tc>
        <w:tc>
          <w:tcPr>
            <w:tcW w:w="7230" w:type="dxa"/>
            <w:shd w:val="clear" w:color="auto" w:fill="auto"/>
          </w:tcPr>
          <w:p w14:paraId="372C1F83" w14:textId="39D67AC9" w:rsidR="008B5903" w:rsidRDefault="008B5903" w:rsidP="00524F64">
            <w:pPr>
              <w:ind w:left="43"/>
            </w:pPr>
            <w:r>
              <w:t>Сигнальная система</w:t>
            </w:r>
          </w:p>
        </w:tc>
      </w:tr>
      <w:tr w:rsidR="0066080A" w:rsidRPr="00DF27E3" w14:paraId="16E29B17" w14:textId="77777777" w:rsidTr="00335B35">
        <w:trPr>
          <w:trHeight w:val="340"/>
          <w:tblHeader/>
        </w:trPr>
        <w:tc>
          <w:tcPr>
            <w:tcW w:w="1701" w:type="dxa"/>
            <w:shd w:val="clear" w:color="auto" w:fill="auto"/>
          </w:tcPr>
          <w:p w14:paraId="149DD63E" w14:textId="77777777" w:rsidR="0066080A" w:rsidRPr="00913CE2" w:rsidRDefault="0066080A" w:rsidP="00524F64">
            <w:pPr>
              <w:ind w:left="43"/>
              <w:rPr>
                <w:b/>
                <w:szCs w:val="22"/>
              </w:rPr>
            </w:pPr>
            <w:r>
              <w:rPr>
                <w:b/>
              </w:rPr>
              <w:t>ООН</w:t>
            </w:r>
          </w:p>
        </w:tc>
        <w:tc>
          <w:tcPr>
            <w:tcW w:w="7230" w:type="dxa"/>
            <w:shd w:val="clear" w:color="auto" w:fill="auto"/>
          </w:tcPr>
          <w:p w14:paraId="0630BD80" w14:textId="77777777" w:rsidR="0066080A" w:rsidRPr="00DF27E3" w:rsidRDefault="0066080A" w:rsidP="00524F64">
            <w:pPr>
              <w:ind w:left="43"/>
              <w:rPr>
                <w:szCs w:val="22"/>
              </w:rPr>
            </w:pPr>
            <w:r>
              <w:t>Организация Объединенных Наций</w:t>
            </w:r>
          </w:p>
        </w:tc>
      </w:tr>
      <w:tr w:rsidR="0066080A" w:rsidRPr="00DF27E3" w14:paraId="4E529E14" w14:textId="77777777" w:rsidTr="00335B35">
        <w:trPr>
          <w:trHeight w:val="340"/>
          <w:tblHeader/>
        </w:trPr>
        <w:tc>
          <w:tcPr>
            <w:tcW w:w="1701" w:type="dxa"/>
            <w:shd w:val="clear" w:color="auto" w:fill="auto"/>
          </w:tcPr>
          <w:p w14:paraId="0E646EB1" w14:textId="77777777" w:rsidR="0066080A" w:rsidRPr="00913CE2" w:rsidRDefault="0066080A" w:rsidP="00524F64">
            <w:pPr>
              <w:ind w:left="43"/>
              <w:rPr>
                <w:b/>
                <w:szCs w:val="22"/>
              </w:rPr>
            </w:pPr>
            <w:r>
              <w:rPr>
                <w:b/>
              </w:rPr>
              <w:t>ЮНЕГ</w:t>
            </w:r>
          </w:p>
        </w:tc>
        <w:tc>
          <w:tcPr>
            <w:tcW w:w="7230" w:type="dxa"/>
            <w:shd w:val="clear" w:color="auto" w:fill="auto"/>
          </w:tcPr>
          <w:p w14:paraId="3DF72BA8" w14:textId="77777777" w:rsidR="0066080A" w:rsidRPr="00DF27E3" w:rsidRDefault="0066080A" w:rsidP="00524F64">
            <w:pPr>
              <w:ind w:left="43"/>
              <w:rPr>
                <w:szCs w:val="22"/>
              </w:rPr>
            </w:pPr>
            <w:r>
              <w:t>Группа Организации Объединенных Наций по оценке</w:t>
            </w:r>
          </w:p>
        </w:tc>
      </w:tr>
      <w:tr w:rsidR="0066080A" w:rsidRPr="00DF27E3" w14:paraId="432D1BDE" w14:textId="77777777" w:rsidTr="00335B35">
        <w:trPr>
          <w:trHeight w:val="340"/>
          <w:tblHeader/>
        </w:trPr>
        <w:tc>
          <w:tcPr>
            <w:tcW w:w="1701" w:type="dxa"/>
            <w:shd w:val="clear" w:color="auto" w:fill="auto"/>
          </w:tcPr>
          <w:p w14:paraId="52873B22" w14:textId="77777777" w:rsidR="0066080A" w:rsidRDefault="0066080A" w:rsidP="00524F64">
            <w:pPr>
              <w:ind w:left="43"/>
              <w:rPr>
                <w:b/>
                <w:szCs w:val="22"/>
              </w:rPr>
            </w:pPr>
            <w:r>
              <w:rPr>
                <w:b/>
              </w:rPr>
              <w:t>ГРООН</w:t>
            </w:r>
          </w:p>
        </w:tc>
        <w:tc>
          <w:tcPr>
            <w:tcW w:w="7230" w:type="dxa"/>
            <w:shd w:val="clear" w:color="auto" w:fill="auto"/>
          </w:tcPr>
          <w:p w14:paraId="28F46756" w14:textId="77777777" w:rsidR="0066080A" w:rsidRPr="00DF27E3" w:rsidRDefault="0066080A" w:rsidP="00524F64">
            <w:pPr>
              <w:ind w:left="43"/>
              <w:rPr>
                <w:szCs w:val="22"/>
              </w:rPr>
            </w:pPr>
            <w:r>
              <w:t>Глобальный рынок Организации Объединенных Наций</w:t>
            </w:r>
          </w:p>
        </w:tc>
      </w:tr>
      <w:tr w:rsidR="0066080A" w:rsidRPr="00DF27E3" w14:paraId="59175AF5" w14:textId="77777777" w:rsidTr="00335B35">
        <w:trPr>
          <w:trHeight w:val="340"/>
          <w:tblHeader/>
        </w:trPr>
        <w:tc>
          <w:tcPr>
            <w:tcW w:w="1701" w:type="dxa"/>
            <w:shd w:val="clear" w:color="auto" w:fill="auto"/>
          </w:tcPr>
          <w:p w14:paraId="3492F462" w14:textId="77777777" w:rsidR="0066080A" w:rsidRPr="00913CE2" w:rsidRDefault="0066080A" w:rsidP="00524F64">
            <w:pPr>
              <w:ind w:left="43"/>
              <w:rPr>
                <w:b/>
                <w:szCs w:val="22"/>
              </w:rPr>
            </w:pPr>
            <w:r>
              <w:rPr>
                <w:b/>
              </w:rPr>
              <w:t>ПСВА ООН</w:t>
            </w:r>
          </w:p>
        </w:tc>
        <w:tc>
          <w:tcPr>
            <w:tcW w:w="7230" w:type="dxa"/>
            <w:shd w:val="clear" w:color="auto" w:fill="auto"/>
          </w:tcPr>
          <w:p w14:paraId="04B61A30" w14:textId="77777777" w:rsidR="0066080A" w:rsidRPr="00283923" w:rsidRDefault="0066080A" w:rsidP="00524F64">
            <w:pPr>
              <w:ind w:left="43"/>
              <w:rPr>
                <w:szCs w:val="22"/>
              </w:rPr>
            </w:pPr>
            <w:r>
              <w:t>Представители служб внутреннего аудита организаций системы ООН</w:t>
            </w:r>
          </w:p>
        </w:tc>
      </w:tr>
      <w:tr w:rsidR="0066080A" w:rsidRPr="00DF27E3" w14:paraId="1C7FA932" w14:textId="77777777" w:rsidTr="00335B35">
        <w:trPr>
          <w:trHeight w:val="340"/>
          <w:tblHeader/>
        </w:trPr>
        <w:tc>
          <w:tcPr>
            <w:tcW w:w="1701" w:type="dxa"/>
            <w:shd w:val="clear" w:color="auto" w:fill="auto"/>
          </w:tcPr>
          <w:p w14:paraId="700959B2" w14:textId="77777777" w:rsidR="0066080A" w:rsidRPr="00913CE2" w:rsidRDefault="0066080A" w:rsidP="00524F64">
            <w:pPr>
              <w:ind w:left="43"/>
              <w:rPr>
                <w:b/>
                <w:szCs w:val="22"/>
              </w:rPr>
            </w:pPr>
            <w:r>
              <w:rPr>
                <w:b/>
              </w:rPr>
              <w:t>ПСР ООН</w:t>
            </w:r>
          </w:p>
        </w:tc>
        <w:tc>
          <w:tcPr>
            <w:tcW w:w="7230" w:type="dxa"/>
            <w:shd w:val="clear" w:color="auto" w:fill="auto"/>
          </w:tcPr>
          <w:p w14:paraId="31C2E2B3" w14:textId="77777777" w:rsidR="0066080A" w:rsidRPr="00283923" w:rsidRDefault="0066080A" w:rsidP="00524F64">
            <w:pPr>
              <w:ind w:left="43"/>
              <w:rPr>
                <w:szCs w:val="22"/>
              </w:rPr>
            </w:pPr>
            <w:r>
              <w:t>Представители служб расследований организаций системы ООН</w:t>
            </w:r>
          </w:p>
        </w:tc>
      </w:tr>
      <w:tr w:rsidR="0066080A" w:rsidRPr="00DF27E3" w14:paraId="6EF77DA3" w14:textId="77777777" w:rsidTr="00335B35">
        <w:trPr>
          <w:trHeight w:val="340"/>
          <w:tblHeader/>
        </w:trPr>
        <w:tc>
          <w:tcPr>
            <w:tcW w:w="1701" w:type="dxa"/>
            <w:shd w:val="clear" w:color="auto" w:fill="auto"/>
          </w:tcPr>
          <w:p w14:paraId="688AB788" w14:textId="77777777" w:rsidR="0066080A" w:rsidRDefault="0066080A" w:rsidP="00524F64">
            <w:pPr>
              <w:ind w:left="43"/>
              <w:rPr>
                <w:b/>
                <w:szCs w:val="22"/>
              </w:rPr>
            </w:pPr>
            <w:r>
              <w:rPr>
                <w:b/>
              </w:rPr>
              <w:t>ОПД ООН</w:t>
            </w:r>
          </w:p>
        </w:tc>
        <w:tc>
          <w:tcPr>
            <w:tcW w:w="7230" w:type="dxa"/>
            <w:shd w:val="clear" w:color="auto" w:fill="auto"/>
          </w:tcPr>
          <w:p w14:paraId="2CAFCA7A" w14:textId="77777777" w:rsidR="0066080A" w:rsidRPr="00283923" w:rsidRDefault="0066080A" w:rsidP="00524F64">
            <w:pPr>
              <w:ind w:left="43"/>
              <w:rPr>
                <w:szCs w:val="22"/>
              </w:rPr>
            </w:pPr>
            <w:r>
              <w:t>Общесистемный план действий ООН</w:t>
            </w:r>
          </w:p>
        </w:tc>
      </w:tr>
      <w:tr w:rsidR="0066080A" w:rsidRPr="00DF27E3" w14:paraId="1B2176A2" w14:textId="77777777" w:rsidTr="00335B35">
        <w:trPr>
          <w:trHeight w:val="340"/>
          <w:tblHeader/>
        </w:trPr>
        <w:tc>
          <w:tcPr>
            <w:tcW w:w="1701" w:type="dxa"/>
            <w:shd w:val="clear" w:color="auto" w:fill="auto"/>
          </w:tcPr>
          <w:p w14:paraId="279BD5D2" w14:textId="77777777" w:rsidR="0066080A" w:rsidRPr="00913CE2" w:rsidRDefault="0066080A" w:rsidP="00524F64">
            <w:pPr>
              <w:ind w:left="43"/>
              <w:rPr>
                <w:b/>
                <w:szCs w:val="22"/>
              </w:rPr>
            </w:pPr>
            <w:r>
              <w:rPr>
                <w:b/>
              </w:rPr>
              <w:t>ВОИС</w:t>
            </w:r>
          </w:p>
        </w:tc>
        <w:tc>
          <w:tcPr>
            <w:tcW w:w="7230" w:type="dxa"/>
            <w:shd w:val="clear" w:color="auto" w:fill="auto"/>
          </w:tcPr>
          <w:p w14:paraId="206699A8" w14:textId="77777777" w:rsidR="0066080A" w:rsidRPr="00DF27E3" w:rsidRDefault="0066080A" w:rsidP="00524F64">
            <w:pPr>
              <w:ind w:left="43"/>
              <w:rPr>
                <w:szCs w:val="22"/>
              </w:rPr>
            </w:pPr>
            <w:r>
              <w:t>Всемирная организация интеллектуальной собственности</w:t>
            </w:r>
          </w:p>
        </w:tc>
      </w:tr>
      <w:tr w:rsidR="008B5903" w:rsidRPr="00DF27E3" w14:paraId="49B9F83D" w14:textId="77777777" w:rsidTr="00335B35">
        <w:trPr>
          <w:trHeight w:val="340"/>
          <w:tblHeader/>
        </w:trPr>
        <w:tc>
          <w:tcPr>
            <w:tcW w:w="1701" w:type="dxa"/>
            <w:shd w:val="clear" w:color="auto" w:fill="auto"/>
          </w:tcPr>
          <w:p w14:paraId="4A68D5D2" w14:textId="2D807554" w:rsidR="008B5903" w:rsidRDefault="008B5903" w:rsidP="00524F64">
            <w:pPr>
              <w:ind w:left="43"/>
              <w:rPr>
                <w:b/>
              </w:rPr>
            </w:pPr>
            <w:r>
              <w:rPr>
                <w:b/>
              </w:rPr>
              <w:t>ОРРВ</w:t>
            </w:r>
          </w:p>
        </w:tc>
        <w:tc>
          <w:tcPr>
            <w:tcW w:w="7230" w:type="dxa"/>
            <w:shd w:val="clear" w:color="auto" w:fill="auto"/>
          </w:tcPr>
          <w:p w14:paraId="32DFAB43" w14:textId="38F24310" w:rsidR="008B5903" w:rsidRDefault="008B5903" w:rsidP="00524F64">
            <w:pPr>
              <w:ind w:left="43"/>
            </w:pPr>
            <w:r>
              <w:t>Отчет о результатах работы ВОИС</w:t>
            </w:r>
          </w:p>
        </w:tc>
      </w:tr>
    </w:tbl>
    <w:p w14:paraId="1171BDDA" w14:textId="77777777" w:rsidR="00C46B12" w:rsidRDefault="00C46B12" w:rsidP="00C46B12">
      <w:pPr>
        <w:rPr>
          <w:b/>
        </w:rPr>
      </w:pPr>
      <w:r>
        <w:br w:type="page"/>
      </w:r>
    </w:p>
    <w:p w14:paraId="538D1096" w14:textId="77777777" w:rsidR="00C46B12" w:rsidRPr="00186810" w:rsidRDefault="00C46B12" w:rsidP="00C46B12">
      <w:pPr>
        <w:pStyle w:val="Heading1"/>
      </w:pPr>
      <w:bookmarkStart w:id="20" w:name="_Toc420663565"/>
      <w:bookmarkStart w:id="21" w:name="_Toc39071244"/>
      <w:bookmarkStart w:id="22" w:name="_Toc75781962"/>
      <w:bookmarkEnd w:id="14"/>
      <w:bookmarkEnd w:id="15"/>
      <w:bookmarkEnd w:id="16"/>
      <w:bookmarkEnd w:id="17"/>
      <w:bookmarkEnd w:id="18"/>
      <w:bookmarkEnd w:id="19"/>
      <w:r>
        <w:lastRenderedPageBreak/>
        <w:t>СПРАВОЧНАЯ ИНФОРМАЦИЯ</w:t>
      </w:r>
      <w:bookmarkEnd w:id="20"/>
      <w:bookmarkEnd w:id="21"/>
      <w:bookmarkEnd w:id="22"/>
    </w:p>
    <w:p w14:paraId="65C233C4" w14:textId="77777777" w:rsidR="00C46B12" w:rsidRDefault="00C46B12" w:rsidP="00037F36">
      <w:pPr>
        <w:pStyle w:val="ONUME"/>
        <w:numPr>
          <w:ilvl w:val="0"/>
          <w:numId w:val="34"/>
        </w:numPr>
      </w:pPr>
      <w:r>
        <w:t>Задача Отдела внутреннего надзора (ОВН) ВОИС состоит в обеспечении независимого и эффективного внутреннего надзора в ВОИС в соответствии с положениями Устава внутреннего надзора (УВН).</w:t>
      </w:r>
    </w:p>
    <w:p w14:paraId="6648C7E8" w14:textId="77777777" w:rsidR="00C46B12" w:rsidRDefault="00C46B12" w:rsidP="00F736B0">
      <w:pPr>
        <w:pStyle w:val="ONUME"/>
      </w:pPr>
      <w:r>
        <w:t>Согласно требованиям УВН</w:t>
      </w:r>
      <w:r>
        <w:rPr>
          <w:rStyle w:val="FootnoteReference"/>
        </w:rPr>
        <w:footnoteReference w:id="2"/>
      </w:r>
      <w:r>
        <w:t xml:space="preserve"> Директор ОВН ежегодно представляет Генеральной Ассамблее ВОИС через Комитет по программе и бюджету (КПБ) сводный отчет.  В годовом отчете содержится обзор деятельности по внутреннему надзору, проведенной в течение отчетного периода, включая охват и цели такой деятельности, сроки осуществления и достигнутый прогресс в выполнении рекомендаций в области внутреннего надзора.</w:t>
      </w:r>
      <w:bookmarkStart w:id="23" w:name="_Toc420663566"/>
      <w:bookmarkStart w:id="24" w:name="_Toc328920434"/>
    </w:p>
    <w:p w14:paraId="2DD5DA6D" w14:textId="77777777" w:rsidR="00C46B12" w:rsidRPr="002F0DAD" w:rsidRDefault="00C46B12" w:rsidP="00F736B0">
      <w:pPr>
        <w:pStyle w:val="ONUME"/>
        <w:rPr>
          <w:b/>
          <w:bCs/>
          <w:caps/>
          <w:kern w:val="32"/>
          <w:szCs w:val="32"/>
        </w:rPr>
      </w:pPr>
      <w:r>
        <w:t xml:space="preserve">В соответствии с УВН проект годового отчета был предоставлен Генеральному директору и Независимому консультативному комитету по надзору (НККН) для комментариев, которые были приняты во внимание на завершающем этапе работы над отчетом. </w:t>
      </w:r>
    </w:p>
    <w:p w14:paraId="0029445E" w14:textId="77777777" w:rsidR="00C46B12" w:rsidRPr="00E32ADE" w:rsidRDefault="00C46B12" w:rsidP="00C46B12">
      <w:pPr>
        <w:pStyle w:val="Heading1"/>
      </w:pPr>
      <w:bookmarkStart w:id="25" w:name="_Toc39071245"/>
      <w:bookmarkStart w:id="26" w:name="_Toc75781963"/>
      <w:r>
        <w:t>НЕКОТОРЫЕ КЛЮЧЕВЫЕ МОМЕНТЫ РАССМАТРИВАЕМОГО ПЕРИОДА</w:t>
      </w:r>
      <w:bookmarkEnd w:id="25"/>
      <w:bookmarkEnd w:id="26"/>
    </w:p>
    <w:p w14:paraId="4AF65544" w14:textId="44441120" w:rsidR="00A93860" w:rsidRDefault="00E5144A" w:rsidP="00E5144A">
      <w:pPr>
        <w:pStyle w:val="ONUME"/>
      </w:pPr>
      <w:r>
        <w:t>Пандемия Covid-19 нарушила наш образ жизни и работы, местами причинив огромный ущерб и горе.  ОВН отмечает стойкость коллег по ВОИС перед лицом трудностей, а также общую подготовленность Организации и оперативное принятие мер для обеспечения безопасности жизни и здоровья людей и сведения к минимуму влияния пандемии на работу ВОИС.  ОВН пересмотрел свой план работы на 2020</w:t>
      </w:r>
      <w:r w:rsidR="00E20D4F">
        <w:t> </w:t>
      </w:r>
      <w:r>
        <w:t>г</w:t>
      </w:r>
      <w:r w:rsidR="00E20D4F">
        <w:t>.</w:t>
      </w:r>
      <w:r>
        <w:t xml:space="preserve"> с целью адаптации к условиям пандемии и учета ее влияния на рабочие взаимодействия. </w:t>
      </w:r>
    </w:p>
    <w:p w14:paraId="3AD21754" w14:textId="2205E72C" w:rsidR="00B75BCA" w:rsidRDefault="00B75BCA" w:rsidP="00D970DC">
      <w:pPr>
        <w:pStyle w:val="ONUME"/>
      </w:pPr>
      <w:r>
        <w:t xml:space="preserve">ОВН приветствовал нового Генерального директора Дарена Танга, </w:t>
      </w:r>
      <w:r w:rsidR="00997064">
        <w:t>приступившего</w:t>
      </w:r>
      <w:r>
        <w:t xml:space="preserve"> к выполнению обязанностей 1 октября 2020</w:t>
      </w:r>
      <w:r w:rsidR="00E20D4F">
        <w:t> </w:t>
      </w:r>
      <w:r>
        <w:t>г., и отметил, что к концу 2020</w:t>
      </w:r>
      <w:r w:rsidR="00E20D4F">
        <w:t> </w:t>
      </w:r>
      <w:r>
        <w:t>г</w:t>
      </w:r>
      <w:r w:rsidR="00E20D4F">
        <w:t>.</w:t>
      </w:r>
      <w:r>
        <w:t xml:space="preserve"> была сформирована новая администрация.  Первые взаимодействия с Генеральным директором были нацелены на изменения и улучшения в области коммуникаций, сотрудничества, подотчетности, стратегий и др.  Эти взаимодействия помогли определить общий курс и приоритеты будущей работы в области надзора, обеспечив их согласованность с потребностями и стратегическими </w:t>
      </w:r>
      <w:r w:rsidR="00037F36">
        <w:t xml:space="preserve">задачами </w:t>
      </w:r>
      <w:r>
        <w:t>Организации.</w:t>
      </w:r>
    </w:p>
    <w:p w14:paraId="108BE667" w14:textId="676BDE9E" w:rsidR="00A93860" w:rsidRPr="0035401B" w:rsidRDefault="00E5144A" w:rsidP="00F736B0">
      <w:pPr>
        <w:pStyle w:val="ONUME"/>
      </w:pPr>
      <w:r>
        <w:t xml:space="preserve">ОВН продолжает поддерживать ВОИС в укреплении контроля, подотчетности, прозрачности и обучения посредством внедрения инновационных и адекватных инструментов и практик, которые </w:t>
      </w:r>
      <w:r w:rsidR="009350CC">
        <w:t xml:space="preserve">среди прочего </w:t>
      </w:r>
      <w:r>
        <w:t xml:space="preserve">помогают ВОИС двигаться в сторону обеспечения высочайших стандартов в области управления рисками и реализации программ. </w:t>
      </w:r>
    </w:p>
    <w:p w14:paraId="6D2E7A11" w14:textId="2DD540BE" w:rsidR="00A65650" w:rsidRPr="00354CBE" w:rsidRDefault="00A65650" w:rsidP="00A65650">
      <w:pPr>
        <w:pStyle w:val="ONUME"/>
      </w:pPr>
      <w:r>
        <w:t>ОВН продолжает участвовать в проведении совместных мероприятий с участием аудиторов и специалистов по расследованиям и/или оценке.  Эти мероприятия направлены на обеспечение более комплексной и детальной проверки программ ВОИС.  Одним из таких совместных мероприятий стало мероприятие по аудиту и оценке соблюдения принципов профессиональной этики в вопросе об отсутствии сотрудников на рабочих местах, проведенное подразделениями внутреннего аудита и расследований в 2020</w:t>
      </w:r>
      <w:r w:rsidR="00E20D4F">
        <w:t> </w:t>
      </w:r>
      <w:r>
        <w:t>г.</w:t>
      </w:r>
    </w:p>
    <w:p w14:paraId="0B2B6D01" w14:textId="7AC86D37" w:rsidR="008D6E1E" w:rsidRDefault="00C46B12" w:rsidP="00C32317">
      <w:pPr>
        <w:pStyle w:val="ONUME"/>
      </w:pPr>
      <w:r>
        <w:t xml:space="preserve">В рамках обеспечения качества внутреннего надзора была проведена внешняя оценка качества (ВОК) подразделений аудита и расследований ОВН на предмет соответствия профессиональным нормам и стандартам Института внутренних аудиторов (ИВУ), одобренным Группой Организации Объединенных Наций по оценке (ЮНЕГ), а также стандартам, изложенным в Единых руководящих принципах проведения расследований, одобренных Конференцией международных следователей (КМС).  По </w:t>
      </w:r>
      <w:r>
        <w:lastRenderedPageBreak/>
        <w:t xml:space="preserve">итогам ВОК был сделан вывод, что подразделения аудита и расследований </w:t>
      </w:r>
      <w:r>
        <w:rPr>
          <w:i/>
        </w:rPr>
        <w:t xml:space="preserve">в целом соответствуют </w:t>
      </w:r>
      <w:r>
        <w:t xml:space="preserve">применимым нормам и стандартам.  </w:t>
      </w:r>
    </w:p>
    <w:p w14:paraId="018B3C80" w14:textId="77777777" w:rsidR="00C46B12" w:rsidRPr="00F73A5E" w:rsidRDefault="00C46B12" w:rsidP="00C46B12">
      <w:pPr>
        <w:pStyle w:val="Heading1"/>
      </w:pPr>
      <w:bookmarkStart w:id="27" w:name="_Toc39071246"/>
      <w:bookmarkStart w:id="28" w:name="_Toc75781964"/>
      <w:r>
        <w:t>ПРИНЦИПЫ ПЛАНИРОВАНИЯ</w:t>
      </w:r>
      <w:bookmarkEnd w:id="23"/>
      <w:bookmarkEnd w:id="24"/>
      <w:bookmarkEnd w:id="27"/>
      <w:bookmarkEnd w:id="28"/>
    </w:p>
    <w:p w14:paraId="559CBCA9" w14:textId="77777777" w:rsidR="00C46B12" w:rsidRPr="00E32ADE" w:rsidRDefault="00C46B12" w:rsidP="00F736B0">
      <w:pPr>
        <w:pStyle w:val="ONUME"/>
      </w:pPr>
      <w:r>
        <w:t>При подготовке своего плана работы в области надзора ОВН учитывал ряд факторов, включая оценку рисков, их значимость, последствия для стран, цикличность надзорной деятельности и замечания, поступившие от руководства ВОИС и государств-членов, а также объем имеющихся ресурсов.  Кроме того, перед завершающим этапом работы над планом его проект был представлен НККН для рассмотрения и вынесения рекомендаций в соответствии с пунктом 28(а) УВН.</w:t>
      </w:r>
    </w:p>
    <w:p w14:paraId="78FE8824" w14:textId="6A44988F" w:rsidR="00C46B12" w:rsidRPr="00E32ADE" w:rsidRDefault="00C46B12" w:rsidP="00F736B0">
      <w:pPr>
        <w:pStyle w:val="ONUME"/>
      </w:pPr>
      <w:r>
        <w:t xml:space="preserve">Чтобы обеспечить эффективный охват надзорной деятельности наряду с рациональным использованием ограниченных ресурсов, избегая при этом потенциального дублирования усилий, ОВН также проанализировал работу внешнего аудитора и других органов по надзору, таких как Объединенная инспекционная группа (ОИГ), и результаты оценок, проведенных по поручению Комитета по развитию и интеллектуальной собственности (КРИС).  </w:t>
      </w:r>
    </w:p>
    <w:p w14:paraId="0F5B2597" w14:textId="77777777" w:rsidR="00C46B12" w:rsidRPr="00E32ADE" w:rsidRDefault="00C46B12" w:rsidP="00C46B12">
      <w:pPr>
        <w:pStyle w:val="Heading1"/>
      </w:pPr>
      <w:bookmarkStart w:id="29" w:name="_Toc420663567"/>
      <w:bookmarkStart w:id="30" w:name="_Toc39071247"/>
      <w:bookmarkStart w:id="31" w:name="_Toc75781965"/>
      <w:r>
        <w:t>ПРОФЕССИОНАЛЬНЫЕ СТАНДАРТЫ</w:t>
      </w:r>
      <w:bookmarkEnd w:id="29"/>
      <w:bookmarkEnd w:id="30"/>
      <w:bookmarkEnd w:id="31"/>
    </w:p>
    <w:p w14:paraId="3727F7D3" w14:textId="7890D89D" w:rsidR="00A93860" w:rsidRPr="00FF6721" w:rsidRDefault="00A93860" w:rsidP="00ED3A15">
      <w:pPr>
        <w:pStyle w:val="ONUME"/>
      </w:pPr>
      <w:r>
        <w:t xml:space="preserve">При проведении аудиторских мероприятий ОВН руководствуется обязательными элементами Международных основ профессиональной практики внутреннего аудита ИВА, включая Стандарты, Основные принципы профессиональной практики внутреннего аудита, Определение внутреннего аудита и Кодекс этики. </w:t>
      </w:r>
    </w:p>
    <w:p w14:paraId="2C8C99EB" w14:textId="01196613" w:rsidR="00ED3A15" w:rsidRDefault="00C46B12" w:rsidP="00F736B0">
      <w:pPr>
        <w:pStyle w:val="ONUME"/>
      </w:pPr>
      <w:r>
        <w:t>Аналогичным образом, следственная работа ОВН проводится в соответствии с Едиными принципами и руководящими указаниями в отношении проведения расследований, одобренными КМС.</w:t>
      </w:r>
    </w:p>
    <w:p w14:paraId="28F99BCC" w14:textId="1CCBF8C5" w:rsidR="00C46B12" w:rsidRDefault="00C46B12" w:rsidP="00F736B0">
      <w:pPr>
        <w:pStyle w:val="ONUME"/>
      </w:pPr>
      <w:r>
        <w:t>При проведении оценки ОВН опирается на международные стандарты оценочной практики, установленные Группой Организации Объединенных Наций по оценке (ЮНЕГ).</w:t>
      </w:r>
    </w:p>
    <w:p w14:paraId="1D11D50A" w14:textId="2C1B6153" w:rsidR="001B2E69" w:rsidRDefault="001B2E69" w:rsidP="00342383">
      <w:pPr>
        <w:pStyle w:val="Heading1"/>
      </w:pPr>
      <w:bookmarkStart w:id="32" w:name="_Toc75781966"/>
      <w:r>
        <w:t>ПРИДАНИЕ ГЕНДЕРНОЙ ПРОБЛЕМАТИКЕ МАГИСТРАЛЬНОГО ЗНАЧЕНИЯ</w:t>
      </w:r>
      <w:bookmarkEnd w:id="32"/>
    </w:p>
    <w:p w14:paraId="6233395A" w14:textId="73F4FFAF" w:rsidR="001B2E69" w:rsidRDefault="001B2E69" w:rsidP="00342383">
      <w:pPr>
        <w:pStyle w:val="ONUME"/>
        <w:rPr>
          <w:rFonts w:eastAsiaTheme="minorHAnsi"/>
        </w:rPr>
      </w:pPr>
      <w:r>
        <w:t xml:space="preserve">В контексте доклада о результатах осуществления Общесистемного плана действий ООН (ОПД ООН) и в связи с обеспечением гендерного равенства и приданием ему магистрального значения в деятельности ОВН отдел сообщает о создании следующих условий и проведении следующих мероприятий: </w:t>
      </w:r>
    </w:p>
    <w:p w14:paraId="2354D6B0" w14:textId="3C305EDB" w:rsidR="001B2E69" w:rsidRDefault="001B2E69" w:rsidP="001B2E69">
      <w:pPr>
        <w:pStyle w:val="ONUME"/>
        <w:numPr>
          <w:ilvl w:val="1"/>
          <w:numId w:val="2"/>
        </w:numPr>
        <w:rPr>
          <w:rFonts w:eastAsiaTheme="minorHAnsi"/>
        </w:rPr>
      </w:pPr>
      <w:r>
        <w:t xml:space="preserve">ОВН проводит консультации со </w:t>
      </w:r>
      <w:r w:rsidR="002B2901">
        <w:t xml:space="preserve">специалистом </w:t>
      </w:r>
      <w:r w:rsidR="002B2901" w:rsidRPr="002B2901">
        <w:t>по вопросам гендерного равенства и культурно-личностного разнообразия</w:t>
      </w:r>
      <w:r w:rsidR="002B2901" w:rsidRPr="002B2901" w:rsidDel="002B2901">
        <w:t xml:space="preserve"> </w:t>
      </w:r>
      <w:r>
        <w:t>в ходе ежегодных мероприятий по планированию и оценке рисков;</w:t>
      </w:r>
    </w:p>
    <w:p w14:paraId="08BCE0DA" w14:textId="7A7E2A56" w:rsidR="001B2E69" w:rsidRDefault="001B2E69" w:rsidP="001B2E69">
      <w:pPr>
        <w:pStyle w:val="ONUME"/>
        <w:numPr>
          <w:ilvl w:val="1"/>
          <w:numId w:val="2"/>
        </w:numPr>
      </w:pPr>
      <w:r>
        <w:t>ОВН включил вопрос о придании гендерной проблематике магистрального значения в свою программу работы в качестве постоянного пункта применительно к соответствующим аудиторским мероприятиям.  В 2020</w:t>
      </w:r>
      <w:r w:rsidR="00E20D4F">
        <w:t> </w:t>
      </w:r>
      <w:r>
        <w:t>г</w:t>
      </w:r>
      <w:r w:rsidR="00E20D4F">
        <w:t>.</w:t>
      </w:r>
      <w:r>
        <w:t xml:space="preserve"> некоторые гендерные вопросы были включены в доклад об аудите и оценке соблюдения принципов профессиональной этики в вопросе об отсутствии сотрудников на рабочих местах;</w:t>
      </w:r>
    </w:p>
    <w:p w14:paraId="510AC68A" w14:textId="13E32456" w:rsidR="001B2E69" w:rsidRDefault="00BE1D92" w:rsidP="001B2E69">
      <w:pPr>
        <w:pStyle w:val="ONUME"/>
        <w:numPr>
          <w:ilvl w:val="1"/>
          <w:numId w:val="2"/>
        </w:numPr>
      </w:pPr>
      <w:r>
        <w:t>в соответствующих случаях Секция оценки применяет на всех этапах оценки разработанные ЮНЕГ Руководящие принципы учета вопросов прав человека и гендерной проблематики при проведении оценки;</w:t>
      </w:r>
    </w:p>
    <w:p w14:paraId="3F3EAC71" w14:textId="6E082749" w:rsidR="001B2E69" w:rsidRDefault="001B2E69" w:rsidP="001B2E69">
      <w:pPr>
        <w:pStyle w:val="ONUME"/>
        <w:numPr>
          <w:ilvl w:val="1"/>
          <w:numId w:val="2"/>
        </w:numPr>
      </w:pPr>
      <w:r>
        <w:t xml:space="preserve">был назначен координатор по гендерным вопросам для поддержания контактов со специалистом ВОИС </w:t>
      </w:r>
      <w:r w:rsidR="002B2901" w:rsidRPr="002B2901">
        <w:t>по вопросам гендерного равенства и культурно-личностного разнообразия</w:t>
      </w:r>
      <w:r w:rsidR="002B2901" w:rsidRPr="002B2901" w:rsidDel="002B2901">
        <w:t xml:space="preserve"> </w:t>
      </w:r>
      <w:r>
        <w:t>и информирования ОВН о соответствующих общеорганизационных инициативах, касающихся гендерной проблематики;</w:t>
      </w:r>
    </w:p>
    <w:p w14:paraId="55199AA4" w14:textId="44910E00" w:rsidR="00A93860" w:rsidRPr="001B2E69" w:rsidRDefault="0021563A" w:rsidP="00A93860">
      <w:pPr>
        <w:pStyle w:val="ONUME"/>
        <w:numPr>
          <w:ilvl w:val="1"/>
          <w:numId w:val="2"/>
        </w:numPr>
      </w:pPr>
      <w:r>
        <w:lastRenderedPageBreak/>
        <w:t xml:space="preserve">ОВН отслеживает ход реализации рекомендаций, вынесенных по итогам аудиторской проверки и оценки Политики ВОИС в области гендерного равенства, и </w:t>
      </w:r>
      <w:r w:rsidR="00D61B7F">
        <w:t xml:space="preserve">предоставил информацию </w:t>
      </w:r>
      <w:r>
        <w:t xml:space="preserve">о результатах, эффективных видах практики и выводах </w:t>
      </w:r>
      <w:r w:rsidR="009A5893">
        <w:t>сети</w:t>
      </w:r>
      <w:r w:rsidR="00D61B7F">
        <w:t xml:space="preserve"> </w:t>
      </w:r>
      <w:r>
        <w:t>ЮНЕГ.</w:t>
      </w:r>
    </w:p>
    <w:p w14:paraId="0ADAA945" w14:textId="055FC317" w:rsidR="00C46B12" w:rsidRPr="00E32ADE" w:rsidRDefault="007159D2" w:rsidP="00C46B12">
      <w:pPr>
        <w:pStyle w:val="Heading1"/>
      </w:pPr>
      <w:bookmarkStart w:id="33" w:name="_Toc420663568"/>
      <w:bookmarkStart w:id="34" w:name="_Toc39071248"/>
      <w:bookmarkStart w:id="35" w:name="_Toc75781967"/>
      <w:r>
        <w:rPr>
          <w:caps w:val="0"/>
        </w:rPr>
        <w:t xml:space="preserve">ОСНОВНЫЕ ВЫВОДЫ </w:t>
      </w:r>
      <w:r>
        <w:t>И ПРИОРИТЕТНЫЕ РЕКОМЕНДАЦИИ ПО ИТОГАМ НАДЗОРА</w:t>
      </w:r>
      <w:bookmarkEnd w:id="33"/>
      <w:bookmarkEnd w:id="34"/>
      <w:bookmarkEnd w:id="35"/>
    </w:p>
    <w:p w14:paraId="3C25D2A2" w14:textId="612C5315" w:rsidR="00D9184E" w:rsidRPr="00D9184E" w:rsidRDefault="00C46B12" w:rsidP="00D9184E">
      <w:pPr>
        <w:pStyle w:val="ONUME"/>
      </w:pPr>
      <w:r>
        <w:t>В настоящем разделе приводится информация об основных выводах и рекомендациях по устранению высокоприоритетных рисков, которые были сформулированы в отчетах о внутреннем надзоре:  отчетах об аудиторских проверках, оценках и результатах расследования для руководства (ОРРР), опубликованных в отчетный период.</w:t>
      </w:r>
    </w:p>
    <w:p w14:paraId="68FA1E78" w14:textId="560782F5" w:rsidR="00F736B0" w:rsidRPr="00F812A1" w:rsidRDefault="00C46B12" w:rsidP="003652CE">
      <w:pPr>
        <w:pStyle w:val="ONUME"/>
      </w:pPr>
      <w:r>
        <w:t>Основные выводы и рекомендации касаются следующих отчетов, выпущенных в отчетный период</w:t>
      </w:r>
      <w:r w:rsidRPr="00E04B15">
        <w:rPr>
          <w:rStyle w:val="FootnoteReference"/>
        </w:rPr>
        <w:footnoteReference w:id="3"/>
      </w:r>
      <w:r>
        <w:t xml:space="preserve">: </w:t>
      </w:r>
    </w:p>
    <w:p w14:paraId="3512BA3C" w14:textId="239D712E" w:rsidR="00436316" w:rsidRPr="00436316" w:rsidRDefault="00436316" w:rsidP="008759ED">
      <w:pPr>
        <w:pStyle w:val="ONUME"/>
        <w:numPr>
          <w:ilvl w:val="1"/>
          <w:numId w:val="10"/>
        </w:numPr>
        <w:rPr>
          <w:rFonts w:eastAsia="Times New Roman"/>
          <w:szCs w:val="22"/>
        </w:rPr>
      </w:pPr>
      <w:r>
        <w:t>аудит и проверка обоснованности льгот и пособий для сотрудников;</w:t>
      </w:r>
    </w:p>
    <w:p w14:paraId="2A7F62E5" w14:textId="6C879A93" w:rsidR="00436316" w:rsidRPr="00436316" w:rsidRDefault="00436316" w:rsidP="008759ED">
      <w:pPr>
        <w:pStyle w:val="ONUME"/>
        <w:numPr>
          <w:ilvl w:val="1"/>
          <w:numId w:val="10"/>
        </w:numPr>
        <w:rPr>
          <w:rFonts w:eastAsia="Times New Roman"/>
          <w:szCs w:val="22"/>
        </w:rPr>
      </w:pPr>
      <w:r>
        <w:t>схема подтверждения достоверности информации ВОИС;</w:t>
      </w:r>
    </w:p>
    <w:p w14:paraId="7401AF86" w14:textId="05D10E50" w:rsidR="00436316" w:rsidRDefault="00436316" w:rsidP="008759ED">
      <w:pPr>
        <w:pStyle w:val="ONUME"/>
        <w:numPr>
          <w:ilvl w:val="1"/>
          <w:numId w:val="10"/>
        </w:numPr>
        <w:rPr>
          <w:rFonts w:eastAsia="Times New Roman"/>
          <w:szCs w:val="22"/>
        </w:rPr>
      </w:pPr>
      <w:r>
        <w:t>обзор и обновление цикла годового планирования работы ОВН;</w:t>
      </w:r>
    </w:p>
    <w:p w14:paraId="3096C1B7" w14:textId="2DFBCDE6" w:rsidR="0022519E" w:rsidRDefault="0022519E" w:rsidP="008759ED">
      <w:pPr>
        <w:pStyle w:val="ONUME"/>
        <w:numPr>
          <w:ilvl w:val="1"/>
          <w:numId w:val="10"/>
        </w:numPr>
        <w:rPr>
          <w:rFonts w:eastAsia="Times New Roman"/>
          <w:szCs w:val="22"/>
        </w:rPr>
      </w:pPr>
      <w:r>
        <w:t>проверка достоверности информации, представленной в Отчете о результатах работы ВОИС за 2018–2019 гг.;</w:t>
      </w:r>
    </w:p>
    <w:p w14:paraId="56B86AE9" w14:textId="109F3F34" w:rsidR="001C0BFD" w:rsidRPr="00500A24" w:rsidRDefault="001C0BFD" w:rsidP="008759ED">
      <w:pPr>
        <w:pStyle w:val="ONUME"/>
        <w:numPr>
          <w:ilvl w:val="1"/>
          <w:numId w:val="10"/>
        </w:numPr>
        <w:rPr>
          <w:rFonts w:eastAsia="Times New Roman"/>
          <w:szCs w:val="22"/>
        </w:rPr>
      </w:pPr>
      <w:r>
        <w:t>оценка деятельности Регионального отдела Африки;</w:t>
      </w:r>
    </w:p>
    <w:p w14:paraId="64E7FF50" w14:textId="1978B4E2" w:rsidR="001C0BFD" w:rsidRPr="00500A24" w:rsidRDefault="001C0BFD" w:rsidP="008759ED">
      <w:pPr>
        <w:pStyle w:val="ONUME"/>
        <w:numPr>
          <w:ilvl w:val="1"/>
          <w:numId w:val="10"/>
        </w:numPr>
        <w:rPr>
          <w:rFonts w:eastAsia="Times New Roman"/>
          <w:szCs w:val="22"/>
        </w:rPr>
      </w:pPr>
      <w:r>
        <w:t>оценка программы 17 «Обеспечение уважения ИС»;</w:t>
      </w:r>
    </w:p>
    <w:p w14:paraId="1D37E0C0" w14:textId="08D7C74B" w:rsidR="001C0BFD" w:rsidRPr="001C0BFD" w:rsidRDefault="001C0BFD" w:rsidP="008759ED">
      <w:pPr>
        <w:pStyle w:val="ONUME"/>
        <w:numPr>
          <w:ilvl w:val="1"/>
          <w:numId w:val="10"/>
        </w:numPr>
        <w:rPr>
          <w:rFonts w:eastAsia="Times New Roman"/>
          <w:szCs w:val="22"/>
        </w:rPr>
      </w:pPr>
      <w:r>
        <w:t>оценка программы 32 «Лиссабонская система»;</w:t>
      </w:r>
    </w:p>
    <w:p w14:paraId="1D417E77" w14:textId="1BADEF75" w:rsidR="00E90850" w:rsidRPr="00E90850" w:rsidRDefault="00E90850" w:rsidP="008759ED">
      <w:pPr>
        <w:pStyle w:val="ONUME"/>
        <w:numPr>
          <w:ilvl w:val="1"/>
          <w:numId w:val="10"/>
        </w:numPr>
        <w:rPr>
          <w:rFonts w:eastAsia="Times New Roman"/>
          <w:szCs w:val="22"/>
        </w:rPr>
      </w:pPr>
      <w:r>
        <w:t>консультация по вопросам оценки — предварительная оценка механизмов Регионального отдела Азиатско-Тихоокеанского региона в сфере технического сотрудничества;</w:t>
      </w:r>
    </w:p>
    <w:p w14:paraId="4A0EF55B" w14:textId="046AF846" w:rsidR="00436316" w:rsidRPr="00C92C44" w:rsidRDefault="00436316" w:rsidP="008759ED">
      <w:pPr>
        <w:pStyle w:val="ONUME"/>
        <w:numPr>
          <w:ilvl w:val="1"/>
          <w:numId w:val="10"/>
        </w:numPr>
      </w:pPr>
      <w:r>
        <w:t xml:space="preserve">ОРРР по информации, переданной </w:t>
      </w:r>
      <w:r w:rsidRPr="00C92C44">
        <w:t>Глобальному рынку Организации Объединенных Наций (ГРООН);  и</w:t>
      </w:r>
    </w:p>
    <w:p w14:paraId="3AE78158" w14:textId="6D0D670A" w:rsidR="00436316" w:rsidRPr="00436316" w:rsidRDefault="00436316" w:rsidP="008759ED">
      <w:pPr>
        <w:pStyle w:val="ONUME"/>
        <w:numPr>
          <w:ilvl w:val="1"/>
          <w:numId w:val="10"/>
        </w:numPr>
        <w:rPr>
          <w:rFonts w:eastAsia="Times New Roman"/>
          <w:szCs w:val="22"/>
        </w:rPr>
      </w:pPr>
      <w:r>
        <w:t>ОРРР по повышению эффективности работы Организации по предотвращению мошенничества со счетами-фактурами в отношении клиентов ВОИС со стороны лиц, не относящихся к Организации.</w:t>
      </w:r>
    </w:p>
    <w:p w14:paraId="03B6E0C8" w14:textId="604D8491" w:rsidR="00C46B12" w:rsidRDefault="00C46B12" w:rsidP="00F736B0">
      <w:pPr>
        <w:pStyle w:val="ONUME"/>
      </w:pPr>
      <w:r>
        <w:t>ОВН продолжает вести диалог с руководством на предмет регулярного обзора и обновления данных о ходе осуществления невыполненных рекомендаций.  Работа по выполнению всех рекомендаций ведется руководством в рамках плана действий, в котором указаны предлагаемые мероприятия, лица, ответственные за их выполнение и сроки реализации.  Надзорные рекомендации отражены в системе TeamCentral©</w:t>
      </w:r>
      <w:r w:rsidRPr="00B55F8F">
        <w:rPr>
          <w:vertAlign w:val="superscript"/>
        </w:rPr>
        <w:footnoteReference w:id="4"/>
      </w:r>
      <w:r>
        <w:t>, доступ к которой имеют ОВН и руководство ВОИС.</w:t>
      </w:r>
    </w:p>
    <w:p w14:paraId="6FFA1523" w14:textId="5183ACF4" w:rsidR="0022519E" w:rsidRDefault="0022519E" w:rsidP="00500A24">
      <w:pPr>
        <w:pStyle w:val="Heading1"/>
      </w:pPr>
      <w:bookmarkStart w:id="36" w:name="_Toc75781968"/>
      <w:r>
        <w:lastRenderedPageBreak/>
        <w:t>ОТЧЕТНЫЕ МЕРОПРИЯТИЯ В 2020</w:t>
      </w:r>
      <w:r w:rsidR="00E20D4F">
        <w:t> </w:t>
      </w:r>
      <w:r>
        <w:t>Г</w:t>
      </w:r>
      <w:r w:rsidR="00E20D4F">
        <w:t>.</w:t>
      </w:r>
      <w:bookmarkEnd w:id="36"/>
    </w:p>
    <w:p w14:paraId="7B173E97" w14:textId="0C16C441" w:rsidR="008053D2" w:rsidRPr="00500A24" w:rsidRDefault="0022519E" w:rsidP="00315F3C">
      <w:pPr>
        <w:pStyle w:val="Heading2"/>
      </w:pPr>
      <w:bookmarkStart w:id="37" w:name="_Toc476745977"/>
      <w:r>
        <w:t>Аудит и проверка обоснованности выплат и льгот персоналу</w:t>
      </w:r>
    </w:p>
    <w:p w14:paraId="166AFDC9" w14:textId="3C66E053" w:rsidR="008053D2" w:rsidRDefault="008053D2" w:rsidP="008053D2">
      <w:pPr>
        <w:pStyle w:val="ONUME"/>
      </w:pPr>
      <w:r>
        <w:t>ОВН отмечает ряд позитивных изменений в системе выплат и льгот персоналу.  Положения и правила о персонале (ППП) ВОИС и Служебные инструкции (СИ) в достаточной степени учитывают передовые методы работы общей системы Организации Объединенных Наций (ООН).  Следует отметить, что внедрение функций самообслуживания в Систему управления административной информацией</w:t>
      </w:r>
      <w:r w:rsidRPr="005D42B6">
        <w:rPr>
          <w:vertAlign w:val="superscript"/>
        </w:rPr>
        <w:footnoteReference w:id="5"/>
      </w:r>
      <w:r>
        <w:t xml:space="preserve"> (СУАИ) системы людских ресурсов (ЛР) помогло повысить эффективность и результативность работы.</w:t>
      </w:r>
    </w:p>
    <w:p w14:paraId="2196D0A1" w14:textId="67FBEDE7" w:rsidR="008053D2" w:rsidRPr="00A662FA" w:rsidRDefault="008053D2" w:rsidP="008053D2">
      <w:pPr>
        <w:pStyle w:val="ONUME"/>
      </w:pPr>
      <w:r>
        <w:t xml:space="preserve">Однако существуют возможности для повышения эффективности управления выплатами и льготами персоналу путем совершенствования механизмов внутреннего контроля для проверки выплат и льгот, </w:t>
      </w:r>
      <w:r>
        <w:rPr>
          <w:rStyle w:val="pwa-mark"/>
        </w:rPr>
        <w:t>предоставляемых</w:t>
      </w:r>
      <w:r>
        <w:t xml:space="preserve"> сотрудникам, супруги которых работают в учреждениях общей системы ООН и международных организациях.  Кроме того, пересмотр и актуализация положений ППП и СИ в отношении надбавок за знание языков и согласование положений и правил об официальных поездках и отпусках на родину с соответствующими СИ, в особенности в части расчета сумм единовременных выплат </w:t>
      </w:r>
      <w:r w:rsidR="00F10E90">
        <w:t xml:space="preserve">(при выборе этого варианта оплаты проездных расходов) </w:t>
      </w:r>
      <w:r>
        <w:t xml:space="preserve">в связи с отпуском на родину </w:t>
      </w:r>
      <w:r w:rsidR="00CC125F">
        <w:t>сотрудников руководящего уровня</w:t>
      </w:r>
      <w:r>
        <w:t>, обеспечили бы большую ясность и повысили качество управления и администрирования этих выплат и льгот персоналу.</w:t>
      </w:r>
    </w:p>
    <w:p w14:paraId="31CE6457" w14:textId="0531AE1C" w:rsidR="008053D2" w:rsidRDefault="008053D2" w:rsidP="008053D2">
      <w:pPr>
        <w:pStyle w:val="ONUME"/>
        <w:rPr>
          <w:color w:val="000000" w:themeColor="text1"/>
        </w:rPr>
      </w:pPr>
      <w:r>
        <w:t xml:space="preserve">Кроме того, </w:t>
      </w:r>
      <w:r w:rsidR="00F10E90">
        <w:t xml:space="preserve">на момент составления отчета </w:t>
      </w:r>
      <w:r>
        <w:t>ВОИС еще не приняла окончательного решения относительно новой методики расчета суммы единовременной выплаты в связи с отпуском на родину после объявления Международной ассоциации воздушного транспорта о том, что с 31</w:t>
      </w:r>
      <w:r w:rsidR="00E20D4F">
        <w:t> </w:t>
      </w:r>
      <w:r>
        <w:t>октября 2018</w:t>
      </w:r>
      <w:r w:rsidR="00E20D4F">
        <w:t> </w:t>
      </w:r>
      <w:r>
        <w:t>г</w:t>
      </w:r>
      <w:r w:rsidR="00E20D4F">
        <w:t>.</w:t>
      </w:r>
      <w:r>
        <w:t xml:space="preserve"> прекращают действие тарифы, которые ранее использовались в качестве базы для определения сумм единовременных выплат.</w:t>
      </w:r>
      <w:r>
        <w:rPr>
          <w:color w:val="000000" w:themeColor="text1"/>
        </w:rPr>
        <w:t xml:space="preserve">  </w:t>
      </w:r>
      <w:r>
        <w:t>Помимо этого, при определении требований к обоснованию и подтверждающим документам в целях выплат и льгот персоналу Организации следует учитывать новые тенденции и изменения среди прочего в области финансовых услуг и авиационной отрасли.</w:t>
      </w:r>
    </w:p>
    <w:p w14:paraId="54EE80BB" w14:textId="7101D66C" w:rsidR="00F736B0" w:rsidRPr="008053D2" w:rsidRDefault="008053D2" w:rsidP="008053D2">
      <w:pPr>
        <w:pStyle w:val="ONUME"/>
      </w:pPr>
      <w:r>
        <w:t>Наконец, эффективность управления в области отсутствия сотрудников на рабочих местах можно повысить среди прочего путем создания интерфейса между СУАИ ЛР и EarthMed</w:t>
      </w:r>
      <w:r>
        <w:rPr>
          <w:rStyle w:val="FootnoteReference"/>
        </w:rPr>
        <w:footnoteReference w:id="6"/>
      </w:r>
      <w:r>
        <w:t xml:space="preserve"> (системой ведения медицинской документации в электронном виде) с целью </w:t>
      </w:r>
      <w:r w:rsidR="00E07D82">
        <w:t>у</w:t>
      </w:r>
      <w:r>
        <w:t xml:space="preserve">совершенствования процесса медицинского освидетельствования и исключения некоторых ручных операций, связанных с оформлением поездок персонала. </w:t>
      </w:r>
    </w:p>
    <w:p w14:paraId="4B141EDE" w14:textId="4CEEBCAC" w:rsidR="008053D2" w:rsidRPr="0022519E" w:rsidRDefault="0022519E" w:rsidP="00315F3C">
      <w:pPr>
        <w:pStyle w:val="Heading2"/>
      </w:pPr>
      <w:bookmarkStart w:id="38" w:name="_Toc476745979"/>
      <w:bookmarkEnd w:id="37"/>
      <w:r>
        <w:t>Схема подтверждения достоверности информации ВОИС</w:t>
      </w:r>
    </w:p>
    <w:p w14:paraId="15606760" w14:textId="7E202E67" w:rsidR="0022519E" w:rsidRDefault="0022519E" w:rsidP="008053D2">
      <w:pPr>
        <w:pStyle w:val="ONUME"/>
        <w:rPr>
          <w:szCs w:val="22"/>
        </w:rPr>
      </w:pPr>
      <w:r>
        <w:t>Целью данного мероприятия были оценка и составление схемы процесса подтверждения достоверности в рамках модели «трех линий», в том числе для выявления имеющихся недостатков во взаимодействии между ОВН и другими подразделениями, относящимися ко второй линии защиты, при осуществлении соответствующего надзора и подтверждения достоверности.</w:t>
      </w:r>
    </w:p>
    <w:p w14:paraId="1C189F65" w14:textId="2EFED938" w:rsidR="008053D2" w:rsidRDefault="008053D2" w:rsidP="008053D2">
      <w:pPr>
        <w:pStyle w:val="ONUME"/>
      </w:pPr>
      <w:r>
        <w:t xml:space="preserve">В целом ОВН не обнаружил каких-либо существенных недостатков в подтверждении достоверности.  Механизмы защиты, используемые в сочетании с другими средствами контроля на уровне Организации и конкретных учреждений, обеспечивают надлежащий охват и эффективное подтверждение достоверности.  Однако в некоторых областях деятельности остаточные риски на стратегическом уровне все еще сравнительно высоки </w:t>
      </w:r>
      <w:r>
        <w:lastRenderedPageBreak/>
        <w:t>(например, политические, экономические риски, риски конкурентной среды и информационной безопасности).  Это в основном объясняется неизбежностью таких рисков, а не недостатками разработки и/или реализации соответствующих механизмов контроля.</w:t>
      </w:r>
    </w:p>
    <w:p w14:paraId="770191E1" w14:textId="15153DB6" w:rsidR="008053D2" w:rsidRPr="008053D2" w:rsidRDefault="008053D2" w:rsidP="008053D2">
      <w:pPr>
        <w:pStyle w:val="ONUME"/>
      </w:pPr>
      <w:r>
        <w:t>ОВН установил, что хотя в информационные системы и инструменты ВОИС встроены средства контроля, поддерживающие механизмы подтверждения достоверности, существуют возможности для дальнейшего увеличения их вклада в подтверждение достоверности информации в Организации.  Например, важно, чтобы в инструмент общеорганизационного управления рисками (ОУР), являющийся основным источником информации в целях подтверждения достоверности, активно и регулярно вносились обновленные данные о рисках по всем областям работы/программам с использованием правильных формулировок и надлежащих проверок, а также данные о соответствующих им средствах контроля.  Кроме того, составление схемы рисков и средств контроля может способствовать обеспечению полноты, повышению качества и точности информации в ОУР.</w:t>
      </w:r>
    </w:p>
    <w:p w14:paraId="3219BD9C" w14:textId="290C9D76" w:rsidR="008053D2" w:rsidRDefault="008053D2" w:rsidP="008053D2">
      <w:pPr>
        <w:pStyle w:val="ONUME"/>
      </w:pPr>
      <w:r>
        <w:t>Для укрепления своей деятельности в сфере подтверждения достоверности информации ОВН следует постоянно взаимодействовать с другими контрольными органами ВОИС для (i)</w:t>
      </w:r>
      <w:r w:rsidR="00E20D4F">
        <w:t> </w:t>
      </w:r>
      <w:r>
        <w:t>лучшего согласования практики оценки рисков; (ii)</w:t>
      </w:r>
      <w:r w:rsidR="00E20D4F">
        <w:t> </w:t>
      </w:r>
      <w:r>
        <w:t xml:space="preserve">выявления возможностей для объединения усилий и повышения эффективности в </w:t>
      </w:r>
      <w:r w:rsidR="006B18D6">
        <w:t>соответствующих случаях</w:t>
      </w:r>
      <w:r>
        <w:t>;  и (iii)</w:t>
      </w:r>
      <w:r w:rsidR="00E20D4F">
        <w:t> </w:t>
      </w:r>
      <w:r>
        <w:t>обмена соответствующими знаниями и информацией с целью улучшения работы всей системы подтверждения достоверности в целом.</w:t>
      </w:r>
    </w:p>
    <w:p w14:paraId="34DC5A1C" w14:textId="208BCE29" w:rsidR="001635B5" w:rsidRPr="001635B5" w:rsidRDefault="008053D2" w:rsidP="008053D2">
      <w:pPr>
        <w:pStyle w:val="ONUME"/>
      </w:pPr>
      <w:r>
        <w:t>Наконец, ОВН провел самооценку текущего состояния, результаты которой указывают на необходимость продолжения работы по использованию технологий для повышения эффективности постоянной аудиторской деятельности на основе анализа данных с целью расширения охвата мероприятий по подтверждению достоверности.</w:t>
      </w:r>
    </w:p>
    <w:p w14:paraId="56D973DB" w14:textId="79856FFA" w:rsidR="008053D2" w:rsidRPr="00500A24" w:rsidRDefault="00882193" w:rsidP="00315F3C">
      <w:pPr>
        <w:pStyle w:val="Heading2"/>
      </w:pPr>
      <w:r>
        <w:t>Обзор и обновление цикла годового планирования работы ОВН</w:t>
      </w:r>
    </w:p>
    <w:p w14:paraId="490B6DF0" w14:textId="25D0A134" w:rsidR="00882193" w:rsidRDefault="00882193" w:rsidP="00775974">
      <w:pPr>
        <w:pStyle w:val="ONUME"/>
      </w:pPr>
      <w:r>
        <w:t xml:space="preserve">Это мероприятие направлено на оценку цикла годового планирования на предмет адекватности, прозрачности, релевантности и согласованности с уровнем зрелости текущих организационных рисков и меняющейся структурой рисков, в условиях которой работает отдел.  </w:t>
      </w:r>
    </w:p>
    <w:p w14:paraId="21155D62" w14:textId="352869B6" w:rsidR="008053D2" w:rsidRPr="00775974" w:rsidRDefault="008053D2" w:rsidP="00775974">
      <w:pPr>
        <w:pStyle w:val="ONUME"/>
        <w:rPr>
          <w:szCs w:val="22"/>
        </w:rPr>
      </w:pPr>
      <w:r>
        <w:t>В ходе него не было выявлено никаких существенных недостатков цикла годового планирования работы ОВН.  Постоянное совершенствование процесса оценки рисков</w:t>
      </w:r>
      <w:r w:rsidR="00672415">
        <w:t xml:space="preserve"> и </w:t>
      </w:r>
      <w:r>
        <w:t>составление схемы процесса подтверждения достоверности</w:t>
      </w:r>
      <w:r w:rsidR="00672415">
        <w:t>, а также</w:t>
      </w:r>
      <w:r>
        <w:t xml:space="preserve"> меры по повышению эффективности постоянного мониторинга путем анализа данных и автоматизации должны обеспечить дальнейшую оптимизацию цикла годового планирования работы, а также увеличить охват и повысить качество услуг ОВН в целом.</w:t>
      </w:r>
    </w:p>
    <w:p w14:paraId="294BB41C" w14:textId="3FB7A2EE" w:rsidR="008053D2" w:rsidRPr="00775974" w:rsidRDefault="008053D2" w:rsidP="00775974">
      <w:pPr>
        <w:pStyle w:val="ONUME"/>
        <w:rPr>
          <w:szCs w:val="22"/>
        </w:rPr>
      </w:pPr>
      <w:r>
        <w:t>В результате данного мероприятия в пространство надзора ОВН были добавлены новые проверяемые учреждения, риски и средства контроля.  Было выполнено дальнейшее согласование терминологии рисков со Структурой управления рисками ВОИС.</w:t>
      </w:r>
    </w:p>
    <w:p w14:paraId="5E23B81B" w14:textId="77777777" w:rsidR="008053D2" w:rsidRDefault="008053D2" w:rsidP="00775974">
      <w:pPr>
        <w:pStyle w:val="ONUME"/>
        <w:rPr>
          <w:szCs w:val="22"/>
        </w:rPr>
      </w:pPr>
      <w:r>
        <w:t>Наконец, ряд аспектов, требующих доработки, указанных в этом докладе, был отражен в новой ПДИ «Цикл годового планирования работы ОВН».  В отчете о мероприятии приводится одна рекомендация, которую ОВН должен выполнить в течение 2021 года.</w:t>
      </w:r>
    </w:p>
    <w:p w14:paraId="3D12974E" w14:textId="31B051EB" w:rsidR="00775974" w:rsidRPr="00500A24" w:rsidRDefault="00882193" w:rsidP="00315F3C">
      <w:pPr>
        <w:pStyle w:val="Heading2"/>
      </w:pPr>
      <w:r>
        <w:lastRenderedPageBreak/>
        <w:t>Проверка достоверности информации, представленной в Отчете о результатах работы ВОИС за 2018–2019</w:t>
      </w:r>
      <w:r w:rsidR="00E20D4F">
        <w:t> </w:t>
      </w:r>
      <w:r>
        <w:t>гг.</w:t>
      </w:r>
    </w:p>
    <w:p w14:paraId="6C785465" w14:textId="6B6AD841" w:rsidR="00775974" w:rsidRDefault="00672415" w:rsidP="00500A24">
      <w:pPr>
        <w:pStyle w:val="ONUME"/>
      </w:pPr>
      <w:r>
        <w:t>С 2008</w:t>
      </w:r>
      <w:r w:rsidR="00E20D4F">
        <w:t> </w:t>
      </w:r>
      <w:r>
        <w:t xml:space="preserve">г. </w:t>
      </w:r>
      <w:r w:rsidR="00775974">
        <w:t xml:space="preserve">ОВН провел </w:t>
      </w:r>
      <w:r>
        <w:t xml:space="preserve">шесть таких </w:t>
      </w:r>
      <w:r w:rsidR="00775974">
        <w:t>провер</w:t>
      </w:r>
      <w:r>
        <w:t>о</w:t>
      </w:r>
      <w:r w:rsidR="00775974">
        <w:t>к.  Цель проверки</w:t>
      </w:r>
      <w:r>
        <w:t xml:space="preserve"> Отчета о результатах работы ВОИС (</w:t>
      </w:r>
      <w:r w:rsidR="00775974">
        <w:t>ОРРВ</w:t>
      </w:r>
      <w:r>
        <w:t>)</w:t>
      </w:r>
      <w:r w:rsidR="00775974">
        <w:t> — обеспечить независимую проверку надежности и достоверности информации, представленной в ОРРВ за 2018–2019</w:t>
      </w:r>
      <w:r w:rsidR="00E20D4F">
        <w:t> </w:t>
      </w:r>
      <w:r w:rsidR="00775974">
        <w:t>гг., и проверить ход выполнения рекомендаций предыдущих Отчетов о проверке достоверности информации.  В ходе мероприятия ОВН проверил данные по двум показателям результативности (ПР) программы</w:t>
      </w:r>
      <w:r w:rsidR="00E20D4F">
        <w:t> </w:t>
      </w:r>
      <w:r w:rsidR="00775974">
        <w:t>20 среди прочего с целью лучшей интеграции внешних бюро в процесс проверки достоверности.  В отчете не содержится никаких официальных рекомендаций.  Однако есть несколько предложений, которые следует рассмотреть, чтобы усовершенствовать механизм управления, ориентированного на конкретные результаты (УКР), в ВОИС.</w:t>
      </w:r>
    </w:p>
    <w:p w14:paraId="110413A0" w14:textId="3C9E2BAB" w:rsidR="00775974" w:rsidRDefault="00775974" w:rsidP="00775974">
      <w:pPr>
        <w:pStyle w:val="ONUME"/>
      </w:pPr>
      <w:r>
        <w:t>Общий уровень качества данных о результативности (ДР) увеличился по сравнению с предыдущей проверкой: не менее 94</w:t>
      </w:r>
      <w:r w:rsidR="00E20D4F">
        <w:t> </w:t>
      </w:r>
      <w:r>
        <w:t>процентов ДР соответствовали шести критериям оценки, а двум из этих четырех критериев соответствовали 97</w:t>
      </w:r>
      <w:r w:rsidR="00E20D4F">
        <w:t> </w:t>
      </w:r>
      <w:r>
        <w:t>процентов данных.  Ранее уровень 80 процентов превосходили лишь четыре из шести критериев оценки.  При проверке была выявлена одна область, в которой существуют возможности улучшения, — ДР оказались не соответствующими четырем из шести критериев оценки, а остальные два критерия были выполнены лишь частично.  Аналогичным образом, каждая из 31</w:t>
      </w:r>
      <w:r w:rsidR="00E20D4F">
        <w:t> </w:t>
      </w:r>
      <w:r>
        <w:t>программ</w:t>
      </w:r>
      <w:r w:rsidR="00E20D4F">
        <w:t>ы</w:t>
      </w:r>
      <w:r>
        <w:t xml:space="preserve"> предоставила точные индикаторы</w:t>
      </w:r>
      <w:r w:rsidR="00672415">
        <w:t xml:space="preserve"> сигнальной системы</w:t>
      </w:r>
      <w:r>
        <w:t xml:space="preserve"> </w:t>
      </w:r>
      <w:r w:rsidR="00672415">
        <w:t>(</w:t>
      </w:r>
      <w:r>
        <w:t>СС</w:t>
      </w:r>
      <w:r w:rsidR="00672415">
        <w:t>)</w:t>
      </w:r>
      <w:r>
        <w:t xml:space="preserve"> для 32</w:t>
      </w:r>
      <w:r w:rsidR="00E20D4F">
        <w:t> </w:t>
      </w:r>
      <w:r>
        <w:t xml:space="preserve">ПР, выбранных случайным образом. </w:t>
      </w:r>
      <w:r w:rsidR="00E20D4F">
        <w:t>Это значит, что</w:t>
      </w:r>
      <w:r>
        <w:t xml:space="preserve"> достигнута стопроцентная точность, за предыдущий период точными были ДР по 26 ПР (84</w:t>
      </w:r>
      <w:r w:rsidR="00E20D4F">
        <w:t> </w:t>
      </w:r>
      <w:r>
        <w:t>процента).</w:t>
      </w:r>
    </w:p>
    <w:p w14:paraId="1D5470C2" w14:textId="73E9D6B9" w:rsidR="00775974" w:rsidRPr="00516C1E" w:rsidRDefault="00775974" w:rsidP="00775974">
      <w:pPr>
        <w:pStyle w:val="ONUME"/>
      </w:pPr>
      <w:r>
        <w:t>Результаты опроса отражают представления руководителей программ и их заместителей, однако они указывают на возможные области, на которые следует обратить внимание, и проблемы, которые следует устранить для дальнейшего улучшения механизма УКР в ВОИС.  Например, около 52</w:t>
      </w:r>
      <w:r w:rsidR="00E20D4F">
        <w:t> </w:t>
      </w:r>
      <w:r>
        <w:t xml:space="preserve">процентов респондентов сообщили, что выбор </w:t>
      </w:r>
      <w:r w:rsidR="00672415">
        <w:t>ПР</w:t>
      </w:r>
      <w:r>
        <w:t xml:space="preserve"> и качество данных улучшились со времени предыдущей проверки.  Пятьдесят процентов респондентов не используют данные о ПР для решения текущих управленческих задач:  это свидетельствует о том, что возможности превращения механизма УКР из инструмента отчетности в систему менеджмента еще не исчерпаны.  Наконец, важнейшим фактором успеха для оптимизации механизма УКР является обмен информацией: лишь 48</w:t>
      </w:r>
      <w:r w:rsidR="00E20D4F">
        <w:t> </w:t>
      </w:r>
      <w:r>
        <w:t>процентов респондентов считают, что другие программы своевременно делятся с ними полезными контрольными и отчетными данными.</w:t>
      </w:r>
    </w:p>
    <w:p w14:paraId="593C878E" w14:textId="3F263931" w:rsidR="00775974" w:rsidRDefault="00775974" w:rsidP="00775974">
      <w:pPr>
        <w:pStyle w:val="ONUME"/>
      </w:pPr>
      <w:r>
        <w:t>ОВН призывает Организацию продолжать внедрять меры и практику, которые приведут к расширению использования УКР в качестве системы менеджмента</w:t>
      </w:r>
      <w:r w:rsidR="00672415">
        <w:t>,</w:t>
      </w:r>
      <w:r>
        <w:t xml:space="preserve"> и </w:t>
      </w:r>
      <w:r w:rsidR="00672415">
        <w:t xml:space="preserve">поддерживать </w:t>
      </w:r>
      <w:r>
        <w:t xml:space="preserve">в ВОИС </w:t>
      </w:r>
      <w:r w:rsidR="00672415">
        <w:t xml:space="preserve">устойчивую культуру </w:t>
      </w:r>
      <w:r>
        <w:t>работы на результат.</w:t>
      </w:r>
    </w:p>
    <w:p w14:paraId="563C1D6F" w14:textId="2E9B2B72" w:rsidR="00775974" w:rsidRDefault="00775974" w:rsidP="00775974">
      <w:pPr>
        <w:pStyle w:val="ONUME"/>
      </w:pPr>
      <w:r>
        <w:t>Одна рекомендация по итогам проверки достоверности информации, представленной в отчете за 2016</w:t>
      </w:r>
      <w:r w:rsidR="00E20D4F">
        <w:t>–</w:t>
      </w:r>
      <w:r>
        <w:t>2017</w:t>
      </w:r>
      <w:r w:rsidR="00E20D4F">
        <w:t> </w:t>
      </w:r>
      <w:r>
        <w:t>гг., была выполнена полностью, одна — частично, а еще две потеряли актуальность, поскольку соответствующие ПР были отменены.  Рекомендации более ранних проверок достоверности информации (за 2014–2015 и 2012–2013</w:t>
      </w:r>
      <w:r w:rsidR="00E20D4F">
        <w:t> </w:t>
      </w:r>
      <w:r>
        <w:t>гг.) были выполнены и закрыты.</w:t>
      </w:r>
    </w:p>
    <w:p w14:paraId="170FF55E" w14:textId="0EF86389" w:rsidR="00B70223" w:rsidRPr="00315F3C" w:rsidRDefault="00B70223" w:rsidP="00315F3C">
      <w:pPr>
        <w:pStyle w:val="Heading2"/>
      </w:pPr>
      <w:r>
        <w:t>Оценка деятельности Регионального отдела Африки</w:t>
      </w:r>
    </w:p>
    <w:p w14:paraId="1AED7B82" w14:textId="3CD801D1" w:rsidR="00B70223" w:rsidRPr="00315F3C" w:rsidRDefault="00B70223" w:rsidP="00B70223">
      <w:pPr>
        <w:pStyle w:val="ONUME"/>
        <w:tabs>
          <w:tab w:val="clear" w:pos="567"/>
        </w:tabs>
      </w:pPr>
      <w:r>
        <w:t xml:space="preserve">Цель оценки заключалась в оценке процессов, результатов работы, эффективности и результативности деятельности отдела с целью совершенствования методов ведения </w:t>
      </w:r>
      <w:r w:rsidR="00E07D82">
        <w:t>этой</w:t>
      </w:r>
      <w:r>
        <w:t xml:space="preserve"> деятельности.  Оценка была направлена на то, чтобы понять, какие методы работы отдела эффективны, а какие нет, и определить его вклад в прогресс ВОИС по приоритетным направлениям Повестки дня в области развития.</w:t>
      </w:r>
    </w:p>
    <w:p w14:paraId="23A7EC17" w14:textId="77777777" w:rsidR="00B70223" w:rsidRPr="00315F3C" w:rsidRDefault="00B70223" w:rsidP="00B70223">
      <w:pPr>
        <w:pStyle w:val="ONUME"/>
        <w:tabs>
          <w:tab w:val="clear" w:pos="567"/>
        </w:tabs>
      </w:pPr>
      <w:r>
        <w:t>Основные выводы отчета:</w:t>
      </w:r>
    </w:p>
    <w:p w14:paraId="7C18FB3B" w14:textId="77777777" w:rsidR="00B70223" w:rsidRPr="00315F3C" w:rsidRDefault="00B70223" w:rsidP="00B70223">
      <w:pPr>
        <w:pStyle w:val="ONUME"/>
        <w:numPr>
          <w:ilvl w:val="1"/>
          <w:numId w:val="2"/>
        </w:numPr>
      </w:pPr>
      <w:r>
        <w:lastRenderedPageBreak/>
        <w:t xml:space="preserve">Мероприятия отдела отвечают потребностям национальных партнеров, его деятельность и результаты работы соответствуют национальным приоритетам и контексту.  Планирование осуществляется коллегиально на основании знаний отдела о регионе.  </w:t>
      </w:r>
    </w:p>
    <w:p w14:paraId="656AEE35" w14:textId="77777777" w:rsidR="00B70223" w:rsidRPr="00315F3C" w:rsidRDefault="00B70223" w:rsidP="00B70223">
      <w:pPr>
        <w:pStyle w:val="ONUME"/>
        <w:numPr>
          <w:ilvl w:val="1"/>
          <w:numId w:val="2"/>
        </w:numPr>
      </w:pPr>
      <w:r>
        <w:t xml:space="preserve">Процесс планирования строится на инициативе стран, и, как представляется, это целесообразно с учетом восходящих и нисходящих процессов.  Однако более глубокий анализ потребностей позволил бы дополнительно укрепить существующую практику планирования.  </w:t>
      </w:r>
    </w:p>
    <w:p w14:paraId="5241571F" w14:textId="475B4006" w:rsidR="00B70223" w:rsidRPr="00315F3C" w:rsidRDefault="00B70223" w:rsidP="00B70223">
      <w:pPr>
        <w:pStyle w:val="ONUME"/>
        <w:numPr>
          <w:ilvl w:val="1"/>
          <w:numId w:val="2"/>
        </w:numPr>
      </w:pPr>
      <w:r>
        <w:t xml:space="preserve">Отдел приложил значительные усилия, чтобы добиться результатов, но </w:t>
      </w:r>
      <w:r w:rsidR="001805CB">
        <w:t xml:space="preserve">ситуация </w:t>
      </w:r>
      <w:r w:rsidR="009A5893">
        <w:t>в</w:t>
      </w:r>
      <w:r>
        <w:t xml:space="preserve"> </w:t>
      </w:r>
      <w:r w:rsidR="00672415">
        <w:t>странах,</w:t>
      </w:r>
      <w:r w:rsidR="009A5893">
        <w:t xml:space="preserve"> в отношении которых проводилась оценка,</w:t>
      </w:r>
      <w:r>
        <w:t xml:space="preserve"> и внутренние организационные проблемы негативно сказались на сроках их достижения.  Кроме того, отсутствие в отделе достаточных возможностей и инструментов контроля препятствует надлежащему использованию показателей результативности работы и предоставлению отчетности о них.</w:t>
      </w:r>
    </w:p>
    <w:p w14:paraId="2FB8215F" w14:textId="3E9677AE" w:rsidR="00B70223" w:rsidRPr="00315F3C" w:rsidRDefault="00B70223" w:rsidP="00B70223">
      <w:pPr>
        <w:pStyle w:val="ONUME"/>
        <w:tabs>
          <w:tab w:val="clear" w:pos="567"/>
        </w:tabs>
      </w:pPr>
      <w:r>
        <w:t xml:space="preserve">Данные, собранные в ходе оценки, указывают на то, что отдел </w:t>
      </w:r>
      <w:r w:rsidR="00672415">
        <w:t>выполняет свой мандат</w:t>
      </w:r>
      <w:r w:rsidR="009A5893">
        <w:t xml:space="preserve"> </w:t>
      </w:r>
      <w:r>
        <w:t>удовлетворительно.  Работа отдела находит широкое признание среди ключевых партнеров во всех странах.  Он успешно играет свою роль по объединению множества сторон для решения важных вопросов и достижения результатов, связанных с укреплением потенциала, технической помощью, разработкой стратегий в области интеллектуальной собственности (ИС) и государственной политики.</w:t>
      </w:r>
    </w:p>
    <w:p w14:paraId="45E4FC93" w14:textId="77777777" w:rsidR="00B70223" w:rsidRPr="00315F3C" w:rsidRDefault="00B70223" w:rsidP="00B70223">
      <w:pPr>
        <w:pStyle w:val="ONUME"/>
        <w:tabs>
          <w:tab w:val="clear" w:pos="567"/>
        </w:tabs>
      </w:pPr>
      <w:r>
        <w:t>Анализ, проведенный в ходе оценки, показывает, что отдел развил определенные сильные стороны и создает существенную дополнительную ценность в этой роли, содействуя разработке широкого спектра мероприятий и помощи, которые стимулируют более активное развитие ИС в странах Африки.</w:t>
      </w:r>
    </w:p>
    <w:p w14:paraId="7CBA5CAE" w14:textId="77777777" w:rsidR="00B70223" w:rsidRPr="00315F3C" w:rsidRDefault="00B70223" w:rsidP="00B70223">
      <w:pPr>
        <w:pStyle w:val="ONUME"/>
        <w:tabs>
          <w:tab w:val="clear" w:pos="567"/>
        </w:tabs>
      </w:pPr>
      <w:r>
        <w:t>Он добился значительного прогресса в обеспечении устойчивости и, в частности, в повышении осведомленности ключевых заинтересованных сторон, укреплении потенциала, влиянии на государственную политику и учреждения, включая создание прочных союзов с региональными ведомствами и учреждениями ИС.</w:t>
      </w:r>
    </w:p>
    <w:p w14:paraId="148271C7" w14:textId="77777777" w:rsidR="00B70223" w:rsidRPr="00315F3C" w:rsidRDefault="00B70223" w:rsidP="00B70223">
      <w:pPr>
        <w:pStyle w:val="ONUME"/>
        <w:tabs>
          <w:tab w:val="clear" w:pos="567"/>
        </w:tabs>
      </w:pPr>
      <w:r>
        <w:t xml:space="preserve">С учетом заключений и выводов, сделанных по итогам оценки, в отчете приводятся следующие основные рекомендации: </w:t>
      </w:r>
    </w:p>
    <w:p w14:paraId="6B53AECA" w14:textId="77777777" w:rsidR="00B70223" w:rsidRPr="00315F3C" w:rsidRDefault="00B70223" w:rsidP="00B70223">
      <w:pPr>
        <w:pStyle w:val="ONUME"/>
        <w:numPr>
          <w:ilvl w:val="1"/>
          <w:numId w:val="2"/>
        </w:numPr>
      </w:pPr>
      <w:r>
        <w:t xml:space="preserve">Отделу следует дополнительно укрепить существующий процесс планирования путем более тщательной разработки и утверждения четкой и подробной теории изменений процесса с точным описанием причинно-следственной цепочки, которая приведет к достижению ожидаемых результатов.  Кроме того, модель ведения деятельности отдела должна быть больше ориентирована на осуществление проектов, включая сотрудничество с дополнительными ключевыми заинтересованными сторонами экосистемы ИС, такими как изобретатели, инновационные центры, малые и средние предприятия (МСП) и исследователи.  </w:t>
      </w:r>
    </w:p>
    <w:p w14:paraId="046570E0" w14:textId="684957AF" w:rsidR="00B70223" w:rsidRPr="00315F3C" w:rsidRDefault="00B70223" w:rsidP="00B70223">
      <w:pPr>
        <w:pStyle w:val="ONUME"/>
        <w:numPr>
          <w:ilvl w:val="1"/>
          <w:numId w:val="2"/>
        </w:numPr>
      </w:pPr>
      <w:r>
        <w:t>Отделу рекомендуется проводить больше практического обучения по оценк</w:t>
      </w:r>
      <w:r w:rsidR="00791EA1">
        <w:t>е</w:t>
      </w:r>
      <w:r>
        <w:t xml:space="preserve"> и использовани</w:t>
      </w:r>
      <w:r w:rsidR="00791EA1">
        <w:t>ю</w:t>
      </w:r>
      <w:r>
        <w:t xml:space="preserve"> ИС.  Проекты должны быть нацелены на демонстрацию ценности ИС в контексте </w:t>
      </w:r>
      <w:r w:rsidR="000402F9">
        <w:t>механизм</w:t>
      </w:r>
      <w:r w:rsidR="004E7E4D">
        <w:t>а</w:t>
      </w:r>
      <w:r>
        <w:t xml:space="preserve"> создания</w:t>
      </w:r>
      <w:r w:rsidR="000402F9">
        <w:t xml:space="preserve"> добавленной</w:t>
      </w:r>
      <w:r>
        <w:t xml:space="preserve"> стоимости ИС, включая передачу технологий.  Это должно повлечь за собой подготовку более подробных планов действий совместно с постоянными представительствами, важными заинтересованными сторонами на национальном уровне и соответствующими секторами ВОИС.</w:t>
      </w:r>
    </w:p>
    <w:p w14:paraId="42A7EDA8" w14:textId="62E9070B" w:rsidR="00B70223" w:rsidRPr="00315F3C" w:rsidRDefault="00B70223" w:rsidP="00B70223">
      <w:pPr>
        <w:pStyle w:val="ONUME"/>
        <w:numPr>
          <w:ilvl w:val="1"/>
          <w:numId w:val="2"/>
        </w:numPr>
      </w:pPr>
      <w:r>
        <w:t xml:space="preserve">Отделу следует выделять достаточную долю своих ресурсов на контрольную деятельность, включая укрепление потенциала персонала по автоматизации </w:t>
      </w:r>
      <w:r>
        <w:lastRenderedPageBreak/>
        <w:t xml:space="preserve">контрольной деятельности.  Отделу рекомендуется в сотрудничестве с </w:t>
      </w:r>
      <w:r w:rsidR="00672415">
        <w:t xml:space="preserve">другими </w:t>
      </w:r>
      <w:r>
        <w:t>соответствующими отделами ВОИС определить возможные варианты увеличения объема инвестиций в регион с учетом масштаба проблем, выявленных на региональном уровне, и количества обслуживаемых стран для разработки проектов с большим охватом.</w:t>
      </w:r>
    </w:p>
    <w:p w14:paraId="3F552D48" w14:textId="448C31D8" w:rsidR="00B70223" w:rsidRDefault="00B70223" w:rsidP="00B70223">
      <w:pPr>
        <w:pStyle w:val="ONUME"/>
        <w:numPr>
          <w:ilvl w:val="1"/>
          <w:numId w:val="2"/>
        </w:numPr>
      </w:pPr>
      <w:r>
        <w:t>Отделу следует при содействии национальных и региональных ведомств ИС изучить возможности разработки стратегий обеспечения устойчивости на национальном и региональном уровнях в рамках процессов управления проектами.</w:t>
      </w:r>
    </w:p>
    <w:p w14:paraId="41B70889" w14:textId="01125246" w:rsidR="00B70223" w:rsidRPr="00315F3C" w:rsidRDefault="00B70223" w:rsidP="00315F3C">
      <w:pPr>
        <w:pStyle w:val="Heading2"/>
      </w:pPr>
      <w:r>
        <w:t>Оценка программы</w:t>
      </w:r>
      <w:r w:rsidR="00E20D4F">
        <w:t> </w:t>
      </w:r>
      <w:r>
        <w:t>17 «Обеспечение уважения ИС»</w:t>
      </w:r>
    </w:p>
    <w:p w14:paraId="1AE62741" w14:textId="70B3BBED" w:rsidR="00B70223" w:rsidRPr="00315F3C" w:rsidRDefault="00B70223" w:rsidP="00B70223">
      <w:pPr>
        <w:pStyle w:val="ONUME"/>
        <w:tabs>
          <w:tab w:val="clear" w:pos="567"/>
        </w:tabs>
      </w:pPr>
      <w:r>
        <w:t>Общая цель этой оценки заключается в содействии развитию программы.  Она направлена на оценку ожидаемых результатов и мероприятий по осуществлению программы</w:t>
      </w:r>
      <w:r w:rsidR="00E20D4F">
        <w:t> </w:t>
      </w:r>
      <w:r>
        <w:t xml:space="preserve">17, при этом основное внимание уделяется результату III.2 «Укрепление потенциала людских ресурсов, способных выполнять широкий спектр требований в отношении эффективного использования ИС в целях развития в развивающихся странах, НРС и странах с переходной экономикой». </w:t>
      </w:r>
    </w:p>
    <w:p w14:paraId="0A7CA3CF" w14:textId="77777777" w:rsidR="00B70223" w:rsidRPr="00315F3C" w:rsidRDefault="00B70223" w:rsidP="00B70223">
      <w:pPr>
        <w:pStyle w:val="ONUME"/>
        <w:tabs>
          <w:tab w:val="clear" w:pos="567"/>
        </w:tabs>
      </w:pPr>
      <w:r>
        <w:t>В отчет были включены следующие основные заключения и выводы:</w:t>
      </w:r>
    </w:p>
    <w:p w14:paraId="6AA502B4" w14:textId="6AE144FF" w:rsidR="00B70223" w:rsidRPr="00315F3C" w:rsidRDefault="00B70223" w:rsidP="00B70223">
      <w:pPr>
        <w:pStyle w:val="ONUME"/>
        <w:numPr>
          <w:ilvl w:val="1"/>
          <w:numId w:val="2"/>
        </w:numPr>
        <w:tabs>
          <w:tab w:val="clear" w:pos="1134"/>
        </w:tabs>
      </w:pPr>
      <w:r>
        <w:t>государства-члены Консультативного комитета по защите прав все отчетливее осознают, что обеспечению уважения ИС следует уделять больше внимания.  Материалы практикумов/семинаров актуальны и полезны для большинства участников (более 85</w:t>
      </w:r>
      <w:r w:rsidR="00E20D4F">
        <w:t> </w:t>
      </w:r>
      <w:r>
        <w:t>процентов) мероприятий по укреплению потенциала программы</w:t>
      </w:r>
      <w:r w:rsidR="00E20D4F">
        <w:t> </w:t>
      </w:r>
      <w:r>
        <w:t>17;</w:t>
      </w:r>
    </w:p>
    <w:p w14:paraId="5765B0AB" w14:textId="12B40771" w:rsidR="00B70223" w:rsidRPr="00315F3C" w:rsidRDefault="00B70223" w:rsidP="00B70223">
      <w:pPr>
        <w:pStyle w:val="ONUME"/>
        <w:numPr>
          <w:ilvl w:val="1"/>
          <w:numId w:val="2"/>
        </w:numPr>
        <w:tabs>
          <w:tab w:val="clear" w:pos="1134"/>
        </w:tabs>
      </w:pPr>
      <w:r>
        <w:t xml:space="preserve">в ходе оценки были выявлены случаи, когда опрошенные выбирали крайние значения параметров, оценивая семинары/практикумы после их проведения.  </w:t>
      </w:r>
      <w:r w:rsidR="00791EA1">
        <w:t>О</w:t>
      </w:r>
      <w:r>
        <w:t xml:space="preserve">бщая актуальность результата III.2 программы 17 </w:t>
      </w:r>
      <w:r w:rsidR="001805CB">
        <w:t>подтверждается</w:t>
      </w:r>
      <w:r>
        <w:t xml:space="preserve"> на организационном, межрегиональном, региональном, субрегиональном и национальном уровнях;</w:t>
      </w:r>
    </w:p>
    <w:p w14:paraId="733784EE" w14:textId="0B150058" w:rsidR="00B70223" w:rsidRPr="00315F3C" w:rsidRDefault="00B70223" w:rsidP="00B70223">
      <w:pPr>
        <w:pStyle w:val="ONUME"/>
        <w:numPr>
          <w:ilvl w:val="1"/>
          <w:numId w:val="2"/>
        </w:numPr>
        <w:tabs>
          <w:tab w:val="clear" w:pos="1134"/>
        </w:tabs>
      </w:pPr>
      <w:r>
        <w:t>семинары/практикумы в целом эффективны, однако их можно улучшить путем уменьшения численности рабочих и дискуссионных групп и расширения охвата, чтобы стимулировать создание неформальных связей между участниками.  В целом эффективность программы</w:t>
      </w:r>
      <w:r w:rsidR="00E20D4F">
        <w:t> </w:t>
      </w:r>
      <w:r>
        <w:t>17 в части достижения результата III.2 достоверно установлена;</w:t>
      </w:r>
    </w:p>
    <w:p w14:paraId="33F3A57C" w14:textId="7A60C983" w:rsidR="00B70223" w:rsidRPr="00315F3C" w:rsidRDefault="00B70223" w:rsidP="00B70223">
      <w:pPr>
        <w:pStyle w:val="ONUME"/>
        <w:numPr>
          <w:ilvl w:val="1"/>
          <w:numId w:val="2"/>
        </w:numPr>
        <w:tabs>
          <w:tab w:val="clear" w:pos="1134"/>
        </w:tabs>
      </w:pPr>
      <w:r>
        <w:t>коммуникация и координация персонала программы</w:t>
      </w:r>
      <w:r w:rsidR="00E20D4F">
        <w:t> </w:t>
      </w:r>
      <w:r>
        <w:t>17 с внутренними и внешними партнерами и заинтересованными сторонами осуществляются исключительно эффективно.  Проведение нескольких практикумов подряд обеспечивает экономию средств.  Программа</w:t>
      </w:r>
      <w:r w:rsidR="00E20D4F">
        <w:t> </w:t>
      </w:r>
      <w:r>
        <w:t xml:space="preserve">17, по всей видимости, использует </w:t>
      </w:r>
      <w:r w:rsidR="008676E2">
        <w:t xml:space="preserve">эффективные </w:t>
      </w:r>
      <w:r>
        <w:t>ресурсы и оперативную деятельность, прилагая усилия к обеспечению внутренней и внешней координаци</w:t>
      </w:r>
      <w:r w:rsidR="00422D2F">
        <w:t>и; и</w:t>
      </w:r>
    </w:p>
    <w:p w14:paraId="252045D0" w14:textId="50D859B3" w:rsidR="00B70223" w:rsidRPr="00315F3C" w:rsidRDefault="00B70223" w:rsidP="00B70223">
      <w:pPr>
        <w:pStyle w:val="ONUME"/>
        <w:numPr>
          <w:ilvl w:val="1"/>
          <w:numId w:val="2"/>
        </w:numPr>
        <w:tabs>
          <w:tab w:val="clear" w:pos="1134"/>
        </w:tabs>
      </w:pPr>
      <w:r>
        <w:t xml:space="preserve">представляется, что осуществление программы оказывает положительное влияние на уровне отдельных участников, которое в дальнейшем многократно увеличивается, поскольку эти участники </w:t>
      </w:r>
      <w:r w:rsidR="008676E2">
        <w:t xml:space="preserve">распространяют полученные </w:t>
      </w:r>
      <w:r>
        <w:t xml:space="preserve">знания </w:t>
      </w:r>
      <w:r w:rsidR="008676E2">
        <w:t xml:space="preserve">среди своих </w:t>
      </w:r>
      <w:r>
        <w:t>коллег.  В ходе оценки программы</w:t>
      </w:r>
      <w:r w:rsidR="00E20D4F">
        <w:t> </w:t>
      </w:r>
      <w:r>
        <w:t>17 были выявлены и задокументированы примеры, вносящие вклад в промежуточное и потенциально долгосрочное влияние достижения результата III.2.</w:t>
      </w:r>
    </w:p>
    <w:p w14:paraId="62230624" w14:textId="7844E136" w:rsidR="00B70223" w:rsidRPr="00315F3C" w:rsidRDefault="00B70223" w:rsidP="00B70223">
      <w:pPr>
        <w:pStyle w:val="ONUME"/>
      </w:pPr>
      <w:r>
        <w:t>По итогам оценки программы</w:t>
      </w:r>
      <w:r w:rsidR="00E20D4F">
        <w:t> </w:t>
      </w:r>
      <w:r>
        <w:t>17 даны следующие основные рекомендации:</w:t>
      </w:r>
    </w:p>
    <w:p w14:paraId="74AF7B27" w14:textId="1F8E24B0" w:rsidR="00B70223" w:rsidRPr="00315F3C" w:rsidRDefault="00B70223" w:rsidP="00B70223">
      <w:pPr>
        <w:pStyle w:val="ONUME"/>
        <w:numPr>
          <w:ilvl w:val="1"/>
          <w:numId w:val="2"/>
        </w:numPr>
        <w:tabs>
          <w:tab w:val="clear" w:pos="1134"/>
        </w:tabs>
      </w:pPr>
      <w:r>
        <w:t>Программе</w:t>
      </w:r>
      <w:r w:rsidR="00E20D4F">
        <w:t> </w:t>
      </w:r>
      <w:r>
        <w:t xml:space="preserve">17 рекомендуется усовершенствовать процессы оценки актуальности и эффективности мероприятий по укреплению потенциала путем </w:t>
      </w:r>
      <w:r>
        <w:lastRenderedPageBreak/>
        <w:t>пересмотра ключевых показателей результативности и вопросника для оценки практикумов после их проведения.  Программе</w:t>
      </w:r>
      <w:r w:rsidR="00E20D4F">
        <w:t> </w:t>
      </w:r>
      <w:r>
        <w:t xml:space="preserve">17 следует поработать над предлагаемым вопросником совместно с </w:t>
      </w:r>
      <w:r w:rsidR="001805CB" w:rsidRPr="001805CB">
        <w:t>Отдел</w:t>
      </w:r>
      <w:r w:rsidR="001805CB">
        <w:t>ом</w:t>
      </w:r>
      <w:r w:rsidR="001805CB" w:rsidRPr="001805CB">
        <w:t xml:space="preserve"> реализации Программы и бюджета</w:t>
      </w:r>
      <w:r>
        <w:t>, чтобы создать специальный и дополнительный вопросник программы</w:t>
      </w:r>
      <w:r w:rsidR="00E20D4F">
        <w:t> </w:t>
      </w:r>
      <w:r>
        <w:t xml:space="preserve">17. </w:t>
      </w:r>
    </w:p>
    <w:p w14:paraId="0B146C79" w14:textId="67413AC0" w:rsidR="00B70223" w:rsidRPr="00315F3C" w:rsidRDefault="00B70223" w:rsidP="00B70223">
      <w:pPr>
        <w:pStyle w:val="ONUME"/>
        <w:numPr>
          <w:ilvl w:val="1"/>
          <w:numId w:val="2"/>
        </w:numPr>
        <w:tabs>
          <w:tab w:val="clear" w:pos="1134"/>
        </w:tabs>
      </w:pPr>
      <w:r>
        <w:t>Программа</w:t>
      </w:r>
      <w:r w:rsidR="00E20D4F">
        <w:t> </w:t>
      </w:r>
      <w:r>
        <w:t>17 должна доработать методику проведения семинаров/практикумов, уделив основное внимание их соответствию контексту и составу участников.</w:t>
      </w:r>
    </w:p>
    <w:p w14:paraId="2992279D" w14:textId="4C77B423" w:rsidR="00B70223" w:rsidRPr="00315F3C" w:rsidRDefault="00B70223" w:rsidP="00315F3C">
      <w:pPr>
        <w:pStyle w:val="Heading2"/>
      </w:pPr>
      <w:r>
        <w:t>Оценка программы 32 «Лиссабонская система»</w:t>
      </w:r>
    </w:p>
    <w:p w14:paraId="67067AB7" w14:textId="59610003" w:rsidR="00B70223" w:rsidRPr="00315F3C" w:rsidRDefault="00B70223" w:rsidP="00315F3C">
      <w:pPr>
        <w:pStyle w:val="ONUME"/>
      </w:pPr>
      <w:r>
        <w:t>Оценка включает анализ плановых мероприятий программы в период с 2016 по 2019</w:t>
      </w:r>
      <w:r w:rsidR="00E20D4F">
        <w:t> </w:t>
      </w:r>
      <w:r>
        <w:t>гг., направленных на достижение стратегических целей ВОИС, описанных в плане работы на двухлетний период и системе управления, ориентированного на конечный результат, этой программы с особым акцентом на информационно-просветительские мероприятия, включая оказание соответствующей технической помощи и ведение Международного реестра.  В объем оценки также входило обобщение полученного опыта и выявления передовой практики проведения информационно-просветительских мероприятий, включая оказание соответствующей технической помощи и ведение Международного реестра, осуществленных в рамках программы.</w:t>
      </w:r>
    </w:p>
    <w:p w14:paraId="7E9E9FA9" w14:textId="2AE2759A" w:rsidR="00B70223" w:rsidRPr="00315F3C" w:rsidRDefault="00B70223" w:rsidP="00B70223">
      <w:pPr>
        <w:pStyle w:val="ONUME"/>
        <w:tabs>
          <w:tab w:val="clear" w:pos="567"/>
        </w:tabs>
      </w:pPr>
      <w:r>
        <w:t>По итогам оценки было установлено, что объем работы и мероприятий программы</w:t>
      </w:r>
      <w:r w:rsidR="008D399E">
        <w:t> </w:t>
      </w:r>
      <w:r>
        <w:t xml:space="preserve">32 является релевантным и соответствует потребностям и требованиям Организации и государств-членов.  Кроме того, информационно-просветительские мероприятия указали на возможность охраны географических указаний с помощью различных правовых средств на национальном и международном уровнях.  </w:t>
      </w:r>
    </w:p>
    <w:p w14:paraId="266006CA" w14:textId="32C0D4C5" w:rsidR="00B70223" w:rsidRPr="00315F3C" w:rsidRDefault="00B70223" w:rsidP="00B70223">
      <w:pPr>
        <w:pStyle w:val="ONUME"/>
        <w:tabs>
          <w:tab w:val="clear" w:pos="567"/>
        </w:tabs>
      </w:pPr>
      <w:r>
        <w:t>В ходе оценки также выяснилось, что отчетность о результатах информационно-просветительских мероприятий и мероприятий по оказанию соответствующей технической помощи в рамках Программы и бюджета ограничена, поскольку ожидаемые результаты разрабатываются на организационном уровне.  Наконец, есть возможности для усовершенствования текущего способа организации процесса внесения записей и уведомления и управления этим процессом как со стороны программы, так и с точки зрения информационных технологий</w:t>
      </w:r>
      <w:r w:rsidR="001805CB">
        <w:t xml:space="preserve"> (ИТ)</w:t>
      </w:r>
      <w:r>
        <w:t>.</w:t>
      </w:r>
    </w:p>
    <w:p w14:paraId="4CF1388B" w14:textId="0674C7EC" w:rsidR="00B70223" w:rsidRPr="00315F3C" w:rsidRDefault="00B70223" w:rsidP="00B70223">
      <w:pPr>
        <w:pStyle w:val="ONUME"/>
        <w:tabs>
          <w:tab w:val="clear" w:pos="567"/>
        </w:tabs>
      </w:pPr>
      <w:r>
        <w:t xml:space="preserve">Хотя общая оценка программы была позитивной, </w:t>
      </w:r>
      <w:r w:rsidR="001243F2">
        <w:t>в ходе мероприятия были выявлены</w:t>
      </w:r>
      <w:r>
        <w:t xml:space="preserve"> некоторые аспекты работы в рамках программы, которые можно укрепить.</w:t>
      </w:r>
    </w:p>
    <w:p w14:paraId="5D12F912" w14:textId="26A4D186" w:rsidR="00B70223" w:rsidRPr="00315F3C" w:rsidRDefault="00B70223" w:rsidP="00B70223">
      <w:pPr>
        <w:pStyle w:val="ONUME"/>
        <w:tabs>
          <w:tab w:val="clear" w:pos="567"/>
        </w:tabs>
      </w:pPr>
      <w:r>
        <w:t>В связи с увеличением количества мероприятий и недавним вступлением в силу Женевского акта программе</w:t>
      </w:r>
      <w:r w:rsidR="00E20D4F">
        <w:t> </w:t>
      </w:r>
      <w:r>
        <w:t xml:space="preserve">32 рекомендуется пересмотреть свои приоритеты и проведение информационно-просветительских мероприятий, включая мероприятия по оказанию технической помощи.  Необходимо разработать более структурированный план работы и провести переоценку потребностей в бюджете и людских ресурсах. </w:t>
      </w:r>
    </w:p>
    <w:p w14:paraId="3BEA19CE" w14:textId="49CAC0E8" w:rsidR="00B70223" w:rsidRPr="00315F3C" w:rsidRDefault="00B70223" w:rsidP="00B70223">
      <w:pPr>
        <w:pStyle w:val="ONUME"/>
        <w:tabs>
          <w:tab w:val="clear" w:pos="567"/>
        </w:tabs>
      </w:pPr>
      <w:r>
        <w:t>Программа</w:t>
      </w:r>
      <w:r w:rsidR="00E20D4F">
        <w:t> </w:t>
      </w:r>
      <w:r>
        <w:t>32 должна определить показатели результативности на рабочем уровне, которые отражали бы степень прогресса, достигнутого благодаря проведению информационно-просветительских мероприятий и мероприятий по оказанию соответствующей технической помощи.</w:t>
      </w:r>
    </w:p>
    <w:p w14:paraId="1EECCDC1" w14:textId="77777777" w:rsidR="00B70223" w:rsidRPr="00315F3C" w:rsidRDefault="00B70223" w:rsidP="00B70223">
      <w:pPr>
        <w:pStyle w:val="ONUME"/>
        <w:tabs>
          <w:tab w:val="clear" w:pos="567"/>
        </w:tabs>
      </w:pPr>
      <w:r>
        <w:t>Необходимо обновить Международный реестр Лиссабонской системы путем разработки усовершенствованной информационной системы с одним ИТ-владельцем как программного инструмента, поддерживающего всю процедуру регистрации и позволяющего свести к минимуму и/или исключить ручные операции и ручное исправление данных, обеспечив решение всех технических проблем.</w:t>
      </w:r>
    </w:p>
    <w:p w14:paraId="7D9E1763" w14:textId="77777777" w:rsidR="00B70223" w:rsidRPr="00315F3C" w:rsidRDefault="00B70223" w:rsidP="00315F3C">
      <w:pPr>
        <w:pStyle w:val="Heading2"/>
      </w:pPr>
      <w:r>
        <w:lastRenderedPageBreak/>
        <w:t>Предварительная оценка механизмов Отдела Азиатско-Тихоокеанского региона в сфере технического сотрудничества</w:t>
      </w:r>
    </w:p>
    <w:p w14:paraId="34F42C99" w14:textId="622E4671" w:rsidR="00B70223" w:rsidRPr="00315F3C" w:rsidRDefault="00B70223" w:rsidP="00B70223">
      <w:pPr>
        <w:pStyle w:val="ONUME"/>
      </w:pPr>
      <w:r>
        <w:t>Предварительная оценка — это оценка программы, которая проводится до ее осуществления.  Такая предварительная оценка повышает релевантность и качество планирования программы.</w:t>
      </w:r>
      <w:r w:rsidR="00422D2F">
        <w:t xml:space="preserve"> </w:t>
      </w:r>
      <w:r>
        <w:t xml:space="preserve"> Кроме того, она позволяет собрать информацию, которая может служить основой для контроля и оценки (К</w:t>
      </w:r>
      <w:r w:rsidR="00997064">
        <w:t>и</w:t>
      </w:r>
      <w:r>
        <w:t>О) со стороны руководства на протяжении всего проектного цикла.  В рамках предварительной оценки</w:t>
      </w:r>
      <w:r w:rsidR="008676E2">
        <w:t xml:space="preserve"> были</w:t>
      </w:r>
      <w:r>
        <w:t xml:space="preserve"> </w:t>
      </w:r>
      <w:r w:rsidR="008676E2">
        <w:t xml:space="preserve">рассмотрены </w:t>
      </w:r>
      <w:r>
        <w:t>10</w:t>
      </w:r>
      <w:r w:rsidR="00E20D4F">
        <w:t> </w:t>
      </w:r>
      <w:r>
        <w:t>проектных документов, в которых описана структура технического контроля отдела, по ее результатам подгот</w:t>
      </w:r>
      <w:r w:rsidR="008676E2">
        <w:t>овлен</w:t>
      </w:r>
      <w:r>
        <w:t xml:space="preserve"> ряд предложений и рекомендаций по сбору, использованию и представлению данных К</w:t>
      </w:r>
      <w:r w:rsidR="00997064">
        <w:t>и</w:t>
      </w:r>
      <w:r>
        <w:t>О.</w:t>
      </w:r>
    </w:p>
    <w:p w14:paraId="165FB856" w14:textId="77777777" w:rsidR="00B70223" w:rsidRPr="00315F3C" w:rsidRDefault="00B70223" w:rsidP="00B70223">
      <w:pPr>
        <w:pStyle w:val="ONUME"/>
      </w:pPr>
      <w:r>
        <w:t>Основные выводы отчета:</w:t>
      </w:r>
    </w:p>
    <w:p w14:paraId="712F6B0B" w14:textId="59C223DC" w:rsidR="00B70223" w:rsidRPr="00315F3C" w:rsidRDefault="00B70223" w:rsidP="00315F3C">
      <w:pPr>
        <w:pStyle w:val="ONUME"/>
        <w:numPr>
          <w:ilvl w:val="1"/>
          <w:numId w:val="2"/>
        </w:numPr>
      </w:pPr>
      <w:r>
        <w:t xml:space="preserve">некоторые элементы существующих технических механизмов Отдела Азиатско-Тихоокеанского региона нуждаются в улучшении, включая использование принципов и критериев конкретности, измеримости, достижимости, актуальности и срочности (SMART), поскольку </w:t>
      </w:r>
      <w:r w:rsidR="008676E2">
        <w:t xml:space="preserve">результаты </w:t>
      </w:r>
      <w:r>
        <w:t xml:space="preserve">и показатели недостаточно эффективны для принятия мер на их основе; </w:t>
      </w:r>
    </w:p>
    <w:p w14:paraId="509E0EC6" w14:textId="66302629" w:rsidR="00B70223" w:rsidRPr="00315F3C" w:rsidRDefault="00851AEC" w:rsidP="00315F3C">
      <w:pPr>
        <w:pStyle w:val="ONUME"/>
        <w:numPr>
          <w:ilvl w:val="1"/>
          <w:numId w:val="2"/>
        </w:numPr>
      </w:pPr>
      <w:r>
        <w:t>технические механизмы 10 проектов имеют нестыковки в причинно-следственных связях</w:t>
      </w:r>
      <w:r w:rsidR="009A6447">
        <w:t xml:space="preserve">, </w:t>
      </w:r>
      <w:r>
        <w:t>последовательностях мероприятий, выходных данных, результатов и влияния, отсутствуют четк</w:t>
      </w:r>
      <w:r w:rsidR="001243F2">
        <w:t>о</w:t>
      </w:r>
      <w:r>
        <w:t xml:space="preserve"> определенные теории изменений;  </w:t>
      </w:r>
    </w:p>
    <w:p w14:paraId="3A16EBBA" w14:textId="0B2D4EE4" w:rsidR="00B70223" w:rsidRPr="00315F3C" w:rsidRDefault="00B70223" w:rsidP="00315F3C">
      <w:pPr>
        <w:pStyle w:val="ONUME"/>
        <w:numPr>
          <w:ilvl w:val="1"/>
          <w:numId w:val="2"/>
        </w:numPr>
      </w:pPr>
      <w:r>
        <w:t>по итогам оценки установлено, что в технических механизмах некоторых проектов отсутствует ясность относительно различий между показателями, целями и исходными уровням</w:t>
      </w:r>
      <w:r w:rsidR="00422D2F">
        <w:t>и;  и</w:t>
      </w:r>
    </w:p>
    <w:p w14:paraId="60AA6803" w14:textId="77777777" w:rsidR="00B70223" w:rsidRPr="00315F3C" w:rsidRDefault="00B70223" w:rsidP="00315F3C">
      <w:pPr>
        <w:pStyle w:val="ONUME"/>
        <w:numPr>
          <w:ilvl w:val="1"/>
          <w:numId w:val="2"/>
        </w:numPr>
      </w:pPr>
      <w:r>
        <w:t>роли и функции, которые должны выполняться членами команды, особенно в связи с контролем прогресса на уровне ВОИС и страны, также неясны.  Кроме того, положения о том, каким образом будет измеряться прогресс и ожидаемые результаты, а также какие инструменты будут использоваться для сбора и анализа данных, излишне расплывчаты.</w:t>
      </w:r>
    </w:p>
    <w:p w14:paraId="398F6A34" w14:textId="77777777" w:rsidR="00B70223" w:rsidRPr="00315F3C" w:rsidRDefault="00B70223" w:rsidP="00B70223">
      <w:pPr>
        <w:pStyle w:val="ONUME"/>
      </w:pPr>
      <w:r>
        <w:t>В отчете о предварительной оценке механизмов Отдела Азиатско-Тихоокеанского региона приводятся следующие рекомендации:</w:t>
      </w:r>
    </w:p>
    <w:p w14:paraId="4DEA2E26" w14:textId="42E5FCD3" w:rsidR="00B70223" w:rsidRPr="00315F3C" w:rsidRDefault="00B70223" w:rsidP="00B70223">
      <w:pPr>
        <w:pStyle w:val="ONUME"/>
        <w:numPr>
          <w:ilvl w:val="1"/>
          <w:numId w:val="2"/>
        </w:numPr>
      </w:pPr>
      <w:r>
        <w:t xml:space="preserve">в ходе дальнейшей доработки технических механизмов следует по возможности избегать </w:t>
      </w:r>
      <w:r w:rsidR="001805CB">
        <w:t>чрезмерного уделения внимания некоторым показателям в ущерб другим (</w:t>
      </w:r>
      <w:r>
        <w:t>зацикленности на показателях</w:t>
      </w:r>
      <w:r w:rsidR="001805CB">
        <w:t>)</w:t>
      </w:r>
      <w:r>
        <w:t xml:space="preserve"> и делать механизмы максимально простыми, внедряя в первую очередь ключевые показатели эффективности и в конечном итоге используя сбалансированные системы показателей;</w:t>
      </w:r>
    </w:p>
    <w:p w14:paraId="2BF938CE" w14:textId="08AFA808" w:rsidR="00B70223" w:rsidRPr="00315F3C" w:rsidRDefault="00B70223" w:rsidP="00B70223">
      <w:pPr>
        <w:pStyle w:val="ONUME"/>
        <w:numPr>
          <w:ilvl w:val="1"/>
          <w:numId w:val="2"/>
        </w:numPr>
      </w:pPr>
      <w:r>
        <w:t>отделу следует по возможности автоматизировать процесс сбора и анализа данных в целях представления на информационной панели деловой информации в сотрудничестве с Отделом общеорганизационной архитектуры и управления Программой ИКТ;</w:t>
      </w:r>
    </w:p>
    <w:p w14:paraId="1304F7E0" w14:textId="7147E783" w:rsidR="00B70223" w:rsidRPr="00315F3C" w:rsidRDefault="00B70223" w:rsidP="00B70223">
      <w:pPr>
        <w:pStyle w:val="ONUME"/>
        <w:numPr>
          <w:ilvl w:val="1"/>
          <w:numId w:val="2"/>
        </w:numPr>
      </w:pPr>
      <w:r>
        <w:t>отделу рекомендуется собирать исходные данные и перед утверждением целей согласовывать исходные показатели и цели с информацией, предоставленной национальными заинтересованными сторонами;</w:t>
      </w:r>
    </w:p>
    <w:p w14:paraId="40A61954" w14:textId="5608E254" w:rsidR="00B70223" w:rsidRPr="00315F3C" w:rsidRDefault="00B70223" w:rsidP="00B70223">
      <w:pPr>
        <w:pStyle w:val="ONUME"/>
        <w:numPr>
          <w:ilvl w:val="1"/>
          <w:numId w:val="2"/>
        </w:numPr>
      </w:pPr>
      <w:r>
        <w:t>потенциал по управлению проектами в отделе необходимо расширить путем ориентированного на практику обучения по вопросам контроля, в рамках которого основное внимание будет уделяться теории изменений, анализу заинтересованных сторон, разработке опросов и показателей, тематическим исследованиям, сторителлингу и самооценке;  и</w:t>
      </w:r>
    </w:p>
    <w:p w14:paraId="3F2673E6" w14:textId="5A5727C5" w:rsidR="00B70223" w:rsidRPr="00315F3C" w:rsidRDefault="00B70223" w:rsidP="00B70223">
      <w:pPr>
        <w:pStyle w:val="ONUME"/>
        <w:numPr>
          <w:ilvl w:val="1"/>
          <w:numId w:val="2"/>
        </w:numPr>
      </w:pPr>
      <w:r>
        <w:lastRenderedPageBreak/>
        <w:t>отделу следует провести экспериментальный процесс развертывания 10</w:t>
      </w:r>
      <w:r w:rsidR="00E20D4F">
        <w:t> </w:t>
      </w:r>
      <w:r>
        <w:t xml:space="preserve">проектных механизмов с участием стран и соответствующих </w:t>
      </w:r>
      <w:r w:rsidR="001805CB">
        <w:t xml:space="preserve">секторов </w:t>
      </w:r>
      <w:r>
        <w:t>ВОИС, систематически осуществляя непрерывное итеративное уточнение, упрощение и автоматизацию механизмов.</w:t>
      </w:r>
    </w:p>
    <w:p w14:paraId="43AE630E" w14:textId="54A8E5FE" w:rsidR="005925C7" w:rsidRPr="005925C7" w:rsidRDefault="005925C7" w:rsidP="00315F3C">
      <w:pPr>
        <w:pStyle w:val="Heading2"/>
      </w:pPr>
      <w:r>
        <w:t>Отчет о результатах расследования для руководства (ОРРР) по информации, переданной Глобальному рынку Организации Объединенных Наций (ГРООН)</w:t>
      </w:r>
    </w:p>
    <w:p w14:paraId="141AE223" w14:textId="25F58560" w:rsidR="005925C7" w:rsidRPr="005925C7" w:rsidRDefault="005925C7" w:rsidP="005925C7">
      <w:pPr>
        <w:pStyle w:val="ONUME"/>
        <w:autoSpaceDE w:val="0"/>
        <w:autoSpaceDN w:val="0"/>
        <w:adjustRightInd w:val="0"/>
        <w:rPr>
          <w:szCs w:val="22"/>
        </w:rPr>
      </w:pPr>
      <w:r>
        <w:t>ОВН установил, что данные о заключении ВОИС контрактов на конкурсной основе не отражаются должным образом на веб-сайте ГРООН:  на нем не были указаны сведения о нескольких контрактах, заключенных по итогам официальных тендеров.  Для исправления положения было рекомендовано провести дальнейшую автоматизацию процессов.</w:t>
      </w:r>
    </w:p>
    <w:p w14:paraId="59E22C53" w14:textId="3CF0A256" w:rsidR="005925C7" w:rsidRPr="005925C7" w:rsidRDefault="00C01E21" w:rsidP="00315F3C">
      <w:pPr>
        <w:pStyle w:val="Heading2"/>
      </w:pPr>
      <w:r>
        <w:t xml:space="preserve">Отчет о результатах расследования для руководства (ОРРР) по повышению эффективности работы по предотвращению мошенничества со счетами-фактурами в отношении клиентов ВОИС со стороны лиц, не относящихся к Организации  </w:t>
      </w:r>
    </w:p>
    <w:p w14:paraId="0332732C" w14:textId="28F933B0" w:rsidR="005925C7" w:rsidRDefault="005925C7" w:rsidP="005925C7">
      <w:pPr>
        <w:pStyle w:val="ONUME"/>
      </w:pPr>
      <w:r>
        <w:t>ОВН выявил возможности для дальнейшего совершенствования средств контроля с целью предотвращения отправки клиентам ВОИС фальсифицированных счетов-фактур лицами, не относящимися к Организации, но выдающими себя за ВОИС.  В частности, PCT и Мадридскому реестру было рекомендовано изучить возможности дальнейшей централизации баз данных и внедрить средства контроля для систематического предоставления ОВН информации о фактах мошенничества со счетами-фактурами.</w:t>
      </w:r>
    </w:p>
    <w:p w14:paraId="2016EE70" w14:textId="50D2B22F" w:rsidR="00882193" w:rsidRPr="00315F3C" w:rsidRDefault="00882193" w:rsidP="00315F3C">
      <w:pPr>
        <w:pStyle w:val="Heading1"/>
        <w:rPr>
          <w:b w:val="0"/>
        </w:rPr>
      </w:pPr>
      <w:bookmarkStart w:id="39" w:name="_Toc75781969"/>
      <w:r>
        <w:t>МЕРОПРИЯТИЯ, НАЧАТЫЕ В КОНЦЕ 2020</w:t>
      </w:r>
      <w:r w:rsidR="00E20D4F">
        <w:t> </w:t>
      </w:r>
      <w:r>
        <w:t>Г</w:t>
      </w:r>
      <w:r w:rsidR="00E20D4F">
        <w:t>.</w:t>
      </w:r>
      <w:bookmarkEnd w:id="39"/>
      <w:r>
        <w:t xml:space="preserve"> </w:t>
      </w:r>
    </w:p>
    <w:p w14:paraId="657741A6" w14:textId="0E45E659" w:rsidR="00055464" w:rsidRPr="00315F3C" w:rsidRDefault="00055464" w:rsidP="00315F3C">
      <w:pPr>
        <w:rPr>
          <w:caps/>
        </w:rPr>
      </w:pPr>
      <w:r>
        <w:t>Следующие мероприятия были начаты в 2020</w:t>
      </w:r>
      <w:r w:rsidR="00E20D4F">
        <w:t> </w:t>
      </w:r>
      <w:r>
        <w:t>г</w:t>
      </w:r>
      <w:r w:rsidR="00E20D4F">
        <w:t>.</w:t>
      </w:r>
      <w:r>
        <w:t>, и отчет о них будет представлен в течение 2021</w:t>
      </w:r>
      <w:r w:rsidR="00E20D4F">
        <w:t> </w:t>
      </w:r>
      <w:r>
        <w:t>г.</w:t>
      </w:r>
    </w:p>
    <w:p w14:paraId="711717DE" w14:textId="2E417449" w:rsidR="00775974" w:rsidRPr="00882193" w:rsidRDefault="00882193" w:rsidP="00315F3C">
      <w:pPr>
        <w:pStyle w:val="Heading2"/>
      </w:pPr>
      <w:r>
        <w:t xml:space="preserve">Оценка деятельности Отдела арабских стран </w:t>
      </w:r>
    </w:p>
    <w:p w14:paraId="5D0648CA" w14:textId="38E925EB" w:rsidR="00A37B48" w:rsidRDefault="00A37B48" w:rsidP="00A37B48">
      <w:pPr>
        <w:pStyle w:val="ONUME"/>
      </w:pPr>
      <w:r>
        <w:t>Отдел арабских стран — один из отделов ВОИС, который вносит вклад в выполнение Стратегической цели III «Содействие использованию ИС в интересах развития» в сотрудничестве со всеми секторами Секретариата и координирует различные проводимые Организацией мероприятия последовательным образом.  В Арабском регионе он обслуживает 21</w:t>
      </w:r>
      <w:r w:rsidR="00E20D4F">
        <w:t> </w:t>
      </w:r>
      <w:r>
        <w:t xml:space="preserve">страну и Палестину. </w:t>
      </w:r>
    </w:p>
    <w:p w14:paraId="55236365" w14:textId="6C505A8A" w:rsidR="00A37B48" w:rsidRDefault="00A37B48" w:rsidP="00A37B48">
      <w:pPr>
        <w:pStyle w:val="ONUME"/>
      </w:pPr>
      <w:r>
        <w:t>Основная задача всех региональны</w:t>
      </w:r>
      <w:r w:rsidR="005526D5">
        <w:t xml:space="preserve">х </w:t>
      </w:r>
      <w:r>
        <w:t>отделов заключается в координации</w:t>
      </w:r>
      <w:r w:rsidR="009A6447">
        <w:t>,</w:t>
      </w:r>
      <w:r>
        <w:t xml:space="preserve"> ориентированной на развитие и оказываемой по требованию технической помощи ВОИС в сотрудничестве со всеми соответствующими операционными подразделениями ВОИС</w:t>
      </w:r>
      <w:r w:rsidR="005526D5">
        <w:t xml:space="preserve"> с</w:t>
      </w:r>
      <w:r>
        <w:t xml:space="preserve"> учетом различий и приоритетов государств-членов и специфики региона.</w:t>
      </w:r>
    </w:p>
    <w:p w14:paraId="4AB84306" w14:textId="570A6806" w:rsidR="00775974" w:rsidRDefault="00775974" w:rsidP="00775974">
      <w:pPr>
        <w:pStyle w:val="ONUME"/>
      </w:pPr>
      <w:r>
        <w:t>Цель оценки заключа</w:t>
      </w:r>
      <w:r w:rsidR="005526D5">
        <w:t>ется</w:t>
      </w:r>
      <w:r>
        <w:t xml:space="preserve"> в оценке процессов, результатов работы, эффективности и действенности деятельности отдела с целью совершенствования методов ведения </w:t>
      </w:r>
      <w:r w:rsidR="005526D5">
        <w:t>этой</w:t>
      </w:r>
      <w:r>
        <w:t xml:space="preserve"> деятельности.  Оценка направлена на определение вклада отдела в достижение стратегических </w:t>
      </w:r>
      <w:r w:rsidR="001805CB">
        <w:t xml:space="preserve">задач </w:t>
      </w:r>
      <w:r>
        <w:t>ВОИС.</w:t>
      </w:r>
    </w:p>
    <w:p w14:paraId="737236AB" w14:textId="77777777" w:rsidR="00055464" w:rsidRPr="00315F3C" w:rsidRDefault="00BC0925" w:rsidP="00315F3C">
      <w:pPr>
        <w:pStyle w:val="Heading2"/>
      </w:pPr>
      <w:bookmarkStart w:id="40" w:name="_Toc39071249"/>
      <w:bookmarkStart w:id="41" w:name="_Toc328920437"/>
      <w:bookmarkEnd w:id="38"/>
      <w:r>
        <w:t>Оценка Базы данных ВОИС для поиска партнеров по развитию в сфере ИС (WIPO Match)</w:t>
      </w:r>
    </w:p>
    <w:p w14:paraId="1071CE1C" w14:textId="69A9BFE6" w:rsidR="002A213E" w:rsidRDefault="002A213E" w:rsidP="002A213E">
      <w:pPr>
        <w:pStyle w:val="ONUME"/>
      </w:pPr>
      <w:r>
        <w:t xml:space="preserve">WIPO Match — это глобальное сообщество заинтересованных сторон, созданное для того, чтобы использовать возможности индустрии и частного сектора для содействия экономическому, социальному и культурному развитию в развивающихся </w:t>
      </w:r>
      <w:r w:rsidR="009A6447">
        <w:t>и наименее развитых странах (</w:t>
      </w:r>
      <w:r>
        <w:t>НРС</w:t>
      </w:r>
      <w:r w:rsidR="009A6447">
        <w:t>)</w:t>
      </w:r>
      <w:r>
        <w:t>, а также странах с переходной экономикой.  Для достижения этой цели оно помогает нуждающимся в технической помощи в области ИС найти поставщиков таких услуг для осуществления проектов и местных мероприятий.</w:t>
      </w:r>
    </w:p>
    <w:p w14:paraId="3725861D" w14:textId="07D759C8" w:rsidR="002A213E" w:rsidRDefault="002A213E" w:rsidP="0056310C">
      <w:pPr>
        <w:pStyle w:val="ONUME"/>
      </w:pPr>
      <w:r>
        <w:lastRenderedPageBreak/>
        <w:t xml:space="preserve">Общая цель этой оценки заключается в оценке процесса развития, а конкретнее — в оценке достижения ожидаемых результатов базы данных в сравнении с ее стратегическими целями с особым акцентом на стратегию ее продвижения и охват потенциальных целевых пользователей.  Кроме того, оценка направлена на выявление извлеченных уроков и передовой практики, которые позволили бы </w:t>
      </w:r>
      <w:r w:rsidR="009A6447">
        <w:t xml:space="preserve">дополнительно </w:t>
      </w:r>
      <w:r>
        <w:t>повысить эффективность услуг, предоставляемых через платформу.</w:t>
      </w:r>
    </w:p>
    <w:p w14:paraId="070C2352" w14:textId="6344CB03" w:rsidR="004E566A" w:rsidRPr="00055464" w:rsidRDefault="00055464" w:rsidP="00315F3C">
      <w:pPr>
        <w:pStyle w:val="Heading2"/>
      </w:pPr>
      <w:r>
        <w:t xml:space="preserve">Оценка использования и влияния рекомендаций Секции оценки ОВН </w:t>
      </w:r>
    </w:p>
    <w:p w14:paraId="77B3B53C" w14:textId="62BE8912" w:rsidR="004E566A" w:rsidRDefault="004E566A" w:rsidP="004E566A">
      <w:pPr>
        <w:pStyle w:val="ONUME"/>
      </w:pPr>
      <w:r>
        <w:t xml:space="preserve">Цель этой оценки заключается в предоставлении рекомендаций по совершенствованию и повышению полезности и использования оценок ВОИС путем определения методов/подходов и инструментов поведенческой науки, которые можно было бы применять в процессе оценки.  Кроме того, в ходе оценки исследуется использование знаний о поведении людей среди прочего для выявления наиболее эффективных подходов к демонстрации пользы оценок лицам, принимающим решения, и другим заинтересованным сторонам, связанным с оценкой. </w:t>
      </w:r>
    </w:p>
    <w:p w14:paraId="1EC13B36" w14:textId="78A99610" w:rsidR="00814CBD" w:rsidRDefault="00814CBD" w:rsidP="00315F3C">
      <w:pPr>
        <w:pStyle w:val="Heading2"/>
      </w:pPr>
      <w:r>
        <w:t xml:space="preserve">Обзор деятельности ВОИС в период кризиса, связанного с пандемией </w:t>
      </w:r>
    </w:p>
    <w:p w14:paraId="1FB9CF34" w14:textId="25260125" w:rsidR="00814CBD" w:rsidRPr="005925C7" w:rsidRDefault="009A6447" w:rsidP="005925C7">
      <w:pPr>
        <w:pStyle w:val="ONUME"/>
      </w:pPr>
      <w:r>
        <w:t xml:space="preserve">Цели </w:t>
      </w:r>
      <w:r w:rsidR="00814CBD">
        <w:t>данного консультативного мероприятия</w:t>
      </w:r>
      <w:r w:rsidR="00E20D4F">
        <w:t xml:space="preserve"> </w:t>
      </w:r>
      <w:r>
        <w:t xml:space="preserve">заключаются в том, чтобы </w:t>
      </w:r>
      <w:r w:rsidR="00814CBD">
        <w:t xml:space="preserve">удостовериться, что: </w:t>
      </w:r>
    </w:p>
    <w:p w14:paraId="7A32B99E" w14:textId="77777777" w:rsidR="005925C7" w:rsidRPr="00315F3C" w:rsidRDefault="00814CBD" w:rsidP="00315F3C">
      <w:pPr>
        <w:pStyle w:val="ONUME"/>
        <w:numPr>
          <w:ilvl w:val="1"/>
          <w:numId w:val="2"/>
        </w:numPr>
      </w:pPr>
      <w:r>
        <w:t>ВОИС создала адекватную структуру управления деятельностью в период кризиса;</w:t>
      </w:r>
    </w:p>
    <w:p w14:paraId="5E83CF31" w14:textId="7082941C" w:rsidR="00814CBD" w:rsidRPr="00315F3C" w:rsidRDefault="00814CBD" w:rsidP="00315F3C">
      <w:pPr>
        <w:pStyle w:val="ONUME"/>
        <w:numPr>
          <w:ilvl w:val="1"/>
          <w:numId w:val="2"/>
        </w:numPr>
      </w:pPr>
      <w:r>
        <w:t>существуют регламенты и процедуры, регулирующие деятельность в условиях кризиса, в том числе в период пандемии;</w:t>
      </w:r>
    </w:p>
    <w:p w14:paraId="67D81053" w14:textId="6FCE4EBF" w:rsidR="00814CBD" w:rsidRPr="00315F3C" w:rsidRDefault="00814CBD" w:rsidP="00315F3C">
      <w:pPr>
        <w:pStyle w:val="ONUME"/>
        <w:numPr>
          <w:ilvl w:val="1"/>
          <w:numId w:val="2"/>
        </w:numPr>
      </w:pPr>
      <w:r>
        <w:t>сложившаяся практика управления связанными рисками и применения средств контроля является адекватной;</w:t>
      </w:r>
    </w:p>
    <w:p w14:paraId="66F73018" w14:textId="7C470B66" w:rsidR="00814CBD" w:rsidRPr="00315F3C" w:rsidRDefault="00814CBD" w:rsidP="00315F3C">
      <w:pPr>
        <w:pStyle w:val="ONUME"/>
        <w:numPr>
          <w:ilvl w:val="1"/>
          <w:numId w:val="2"/>
        </w:numPr>
      </w:pPr>
      <w:r>
        <w:t>регламенты и процедуры деятельности в условиях кризиса эффективно выполняются с соблюдением всех требований.</w:t>
      </w:r>
    </w:p>
    <w:p w14:paraId="1A5C0DFF" w14:textId="1DA109CC" w:rsidR="00814CBD" w:rsidRPr="00EB4AA7" w:rsidRDefault="00814CBD" w:rsidP="00814CBD">
      <w:pPr>
        <w:pStyle w:val="ONUME"/>
      </w:pPr>
      <w:r>
        <w:t>ОВН оценит меры, принятые ВОИС в связи с пандемией в сферах закупок, предотвращения мошенничества, генерирования дохода, управления активами, информационной безопасности, людских ресурсов, безопасности здоровья и жизни, организации мероприятий и поездок и т. д.  Кроме того, ОВН проведет опрос персонала, чтобы понять, как сотрудники оценивают деятельность ВОИС в период кризиса, связанного с Covid-19.  Помимо этого, ОВН также проведет консультации с руководством, чтобы получить представление о влиянии пандемии на достижение целевых показателей результативности и в целом на управление, ориентированное на конкретные результаты.</w:t>
      </w:r>
    </w:p>
    <w:p w14:paraId="11C6BA2E" w14:textId="77777777" w:rsidR="00721010" w:rsidRDefault="005925C7" w:rsidP="00721010">
      <w:pPr>
        <w:pStyle w:val="ONUME"/>
      </w:pPr>
      <w:r>
        <w:t xml:space="preserve">Наконец, в ходе этого мероприятия будет выявлен полученный опыт, который можно включить в план действий в кризисных ситуациях, чтобы оптимизировать организационное реагирование ВОИС на любые будущие кризисы. </w:t>
      </w:r>
    </w:p>
    <w:p w14:paraId="65F92A16" w14:textId="36666894" w:rsidR="00C46B12" w:rsidRPr="00DA5DBB" w:rsidRDefault="00C46B12" w:rsidP="00721010">
      <w:pPr>
        <w:pStyle w:val="Heading1"/>
      </w:pPr>
      <w:bookmarkStart w:id="42" w:name="_Toc75781970"/>
      <w:r>
        <w:t>РАССЛЕДОВАНИЯ</w:t>
      </w:r>
      <w:bookmarkEnd w:id="40"/>
      <w:bookmarkEnd w:id="42"/>
    </w:p>
    <w:p w14:paraId="22D073D2" w14:textId="77777777" w:rsidR="00C46B12" w:rsidRPr="00315F3C" w:rsidRDefault="00C46B12" w:rsidP="00315F3C">
      <w:pPr>
        <w:pStyle w:val="Heading2"/>
      </w:pPr>
      <w:r>
        <w:t>Обзор рабочей нагрузки</w:t>
      </w:r>
    </w:p>
    <w:p w14:paraId="31F8135C" w14:textId="2EFC622F" w:rsidR="00C46B12" w:rsidRPr="0031505E" w:rsidRDefault="00C46B12" w:rsidP="00AC38B6">
      <w:pPr>
        <w:pStyle w:val="ONUME"/>
      </w:pPr>
      <w:r>
        <w:t>В течение отчетного периода было зарегистрировано 21</w:t>
      </w:r>
      <w:r w:rsidR="00E20D4F">
        <w:t> </w:t>
      </w:r>
      <w:r>
        <w:t>новое дело (что на девять процентов меньше, чем в 2019</w:t>
      </w:r>
      <w:r w:rsidR="00E20D4F">
        <w:t> </w:t>
      </w:r>
      <w:r>
        <w:t>г.) и было закрыто 21</w:t>
      </w:r>
      <w:r w:rsidR="00E20D4F">
        <w:t> </w:t>
      </w:r>
      <w:r>
        <w:t>дело.  По состоянию на 31</w:t>
      </w:r>
      <w:r w:rsidR="00E20D4F">
        <w:t> </w:t>
      </w:r>
      <w:r>
        <w:t>декабря 2020</w:t>
      </w:r>
      <w:r w:rsidR="00E20D4F">
        <w:t> </w:t>
      </w:r>
      <w:r>
        <w:t>г. в разработке находились 11</w:t>
      </w:r>
      <w:r w:rsidR="00E20D4F">
        <w:t> </w:t>
      </w:r>
      <w:r>
        <w:t>дел, в том числе одно на этапе предварительной оценки, шесть — в процессе полномасштабного расследования и еще четыре были приостановлены в ожидании решения другой организации.  Из незавершенных дел шесть были открыты в 2020</w:t>
      </w:r>
      <w:r w:rsidR="00E20D4F">
        <w:t> </w:t>
      </w:r>
      <w:r>
        <w:t>г., четыре — в 2019</w:t>
      </w:r>
      <w:r w:rsidR="00E20D4F">
        <w:t> </w:t>
      </w:r>
      <w:r>
        <w:t>г. и одно — в 2016</w:t>
      </w:r>
      <w:r w:rsidR="00E20D4F">
        <w:t> </w:t>
      </w:r>
      <w:r>
        <w:t xml:space="preserve">г.  По состоянию на </w:t>
      </w:r>
      <w:r>
        <w:lastRenderedPageBreak/>
        <w:t>31</w:t>
      </w:r>
      <w:r w:rsidR="001805CB">
        <w:t> </w:t>
      </w:r>
      <w:r>
        <w:t>декабря 2020</w:t>
      </w:r>
      <w:r w:rsidR="00E20D4F">
        <w:t> </w:t>
      </w:r>
      <w:r>
        <w:t xml:space="preserve">г. средний срок расследования дел составляет </w:t>
      </w:r>
      <w:r w:rsidR="001805CB">
        <w:t>пять с половиной</w:t>
      </w:r>
      <w:r w:rsidR="009A6447">
        <w:rPr>
          <w:rStyle w:val="FootnoteReference"/>
        </w:rPr>
        <w:footnoteReference w:id="7"/>
      </w:r>
      <w:r>
        <w:t xml:space="preserve"> месяц</w:t>
      </w:r>
      <w:r w:rsidR="001805CB">
        <w:t>ев</w:t>
      </w:r>
      <w:r>
        <w:t xml:space="preserve"> при целевом показателе в </w:t>
      </w:r>
      <w:r w:rsidR="001805CB">
        <w:t xml:space="preserve">шесть </w:t>
      </w:r>
      <w:r>
        <w:t>месяцев.</w:t>
      </w:r>
    </w:p>
    <w:p w14:paraId="666538B2" w14:textId="10E47667" w:rsidR="009A6447" w:rsidRDefault="00FC05A9" w:rsidP="009A6447">
      <w:pPr>
        <w:rPr>
          <w:rFonts w:ascii="Times New Roman" w:eastAsia="Times New Roman" w:hAnsi="Times New Roman" w:cs="Times New Roman"/>
          <w:sz w:val="24"/>
          <w:szCs w:val="24"/>
          <w:lang w:eastAsia="ru-RU"/>
        </w:rPr>
      </w:pPr>
      <w:r>
        <w:rPr>
          <w:b/>
          <w:sz w:val="18"/>
        </w:rPr>
        <w:t>Диаграмма</w:t>
      </w:r>
      <w:r w:rsidR="00C46B12">
        <w:rPr>
          <w:b/>
          <w:sz w:val="18"/>
        </w:rPr>
        <w:t xml:space="preserve"> 1. Сравнительный анализ рабочей нагрузки (расследования) в 2019 и 2020</w:t>
      </w:r>
      <w:r w:rsidR="00E20D4F">
        <w:rPr>
          <w:b/>
          <w:sz w:val="18"/>
        </w:rPr>
        <w:t> </w:t>
      </w:r>
      <w:r w:rsidR="00C46B12">
        <w:rPr>
          <w:b/>
          <w:sz w:val="18"/>
        </w:rPr>
        <w:t>гг.</w:t>
      </w:r>
    </w:p>
    <w:p w14:paraId="759ECB33" w14:textId="543CEF96" w:rsidR="00C46B12" w:rsidRDefault="00C46B12" w:rsidP="00C43CB4">
      <w:pPr>
        <w:pStyle w:val="ONUME"/>
        <w:keepNext/>
        <w:numPr>
          <w:ilvl w:val="0"/>
          <w:numId w:val="0"/>
        </w:numPr>
        <w:spacing w:after="120"/>
        <w:jc w:val="center"/>
        <w:rPr>
          <w:b/>
          <w:sz w:val="18"/>
          <w:szCs w:val="18"/>
        </w:rPr>
      </w:pPr>
    </w:p>
    <w:p w14:paraId="49A3C9CB" w14:textId="35153D7F" w:rsidR="00A35641" w:rsidRDefault="00FC05A9" w:rsidP="00C46B12">
      <w:pPr>
        <w:pStyle w:val="ONUME"/>
        <w:numPr>
          <w:ilvl w:val="0"/>
          <w:numId w:val="0"/>
        </w:numPr>
        <w:jc w:val="center"/>
        <w:rPr>
          <w:b/>
          <w:sz w:val="18"/>
          <w:szCs w:val="18"/>
        </w:rPr>
      </w:pPr>
      <w:r>
        <w:rPr>
          <w:b/>
          <w:noProof/>
          <w:sz w:val="18"/>
          <w:szCs w:val="18"/>
          <w:lang w:val="en-US" w:eastAsia="en-US"/>
        </w:rPr>
        <w:drawing>
          <wp:inline distT="0" distB="0" distL="0" distR="0" wp14:anchorId="2D03DB99" wp14:editId="46F8A615">
            <wp:extent cx="4649153" cy="3080145"/>
            <wp:effectExtent l="0" t="0" r="0" b="6350"/>
            <wp:docPr id="2" name="Picture 2" descr="Сравнительный анализ рабочей нагрузки в 2019 и 2020 гг." title="График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9463" cy="3086976"/>
                    </a:xfrm>
                    <a:prstGeom prst="rect">
                      <a:avLst/>
                    </a:prstGeom>
                    <a:noFill/>
                  </pic:spPr>
                </pic:pic>
              </a:graphicData>
            </a:graphic>
          </wp:inline>
        </w:drawing>
      </w:r>
    </w:p>
    <w:p w14:paraId="1E6F2E95" w14:textId="1B4B1359" w:rsidR="00C46B12" w:rsidRDefault="00C46B12" w:rsidP="00AC38B6">
      <w:pPr>
        <w:pStyle w:val="ONUME"/>
      </w:pPr>
      <w:r>
        <w:t>Из 21</w:t>
      </w:r>
      <w:r w:rsidR="00E20D4F">
        <w:t> </w:t>
      </w:r>
      <w:r>
        <w:t>дела, открытого в течение отчетного периода, три были переданы НККН для консультации в соответствии с соответствующими положениями УВН</w:t>
      </w:r>
      <w:r>
        <w:rPr>
          <w:rStyle w:val="FootnoteReference"/>
        </w:rPr>
        <w:footnoteReference w:id="8"/>
      </w:r>
      <w:r>
        <w:t xml:space="preserve">.  </w:t>
      </w:r>
    </w:p>
    <w:p w14:paraId="76903052" w14:textId="77777777" w:rsidR="00C46B12" w:rsidRDefault="00C46B12" w:rsidP="00315F3C">
      <w:pPr>
        <w:pStyle w:val="Heading2"/>
      </w:pPr>
      <w:r>
        <w:t>Результаты проведенных расследований</w:t>
      </w:r>
    </w:p>
    <w:p w14:paraId="149ABEA4" w14:textId="742D907D" w:rsidR="00C46B12" w:rsidRDefault="00C46B12" w:rsidP="002C23BF">
      <w:pPr>
        <w:pStyle w:val="ONUME"/>
      </w:pPr>
      <w:r>
        <w:t>Согласно УВН</w:t>
      </w:r>
      <w:r w:rsidR="00F24F0D">
        <w:rPr>
          <w:rStyle w:val="FootnoteReference"/>
        </w:rPr>
        <w:footnoteReference w:id="9"/>
      </w:r>
      <w:r>
        <w:t xml:space="preserve"> годовой отчет должен включать описание расследованных нарушений, факт совершения которых подтвердился, и принятых в связи с ними мер.  В 2020</w:t>
      </w:r>
      <w:r w:rsidR="00E20D4F">
        <w:t> </w:t>
      </w:r>
      <w:r>
        <w:t>г</w:t>
      </w:r>
      <w:r w:rsidR="00E73EDC">
        <w:t>.</w:t>
      </w:r>
      <w:r>
        <w:t xml:space="preserve"> </w:t>
      </w:r>
      <w:r w:rsidR="00E73EDC">
        <w:t>факты нарушений не подтвердились ни в одном из дел ВОИС</w:t>
      </w:r>
      <w:r>
        <w:t>.</w:t>
      </w:r>
      <w:r w:rsidR="00E73EDC">
        <w:t xml:space="preserve"> Однако</w:t>
      </w:r>
      <w:r w:rsidR="007332F9">
        <w:t xml:space="preserve"> в деле, которое ОВН расследовал по поручению другого учреждения ООН</w:t>
      </w:r>
      <w:r w:rsidR="00E73EDC">
        <w:t xml:space="preserve"> в рамках межучрежденческого сотрудничества</w:t>
      </w:r>
      <w:r w:rsidR="007332F9">
        <w:t>, были признаны обоснованными обвинения в домогательствах на рабочем месте.</w:t>
      </w:r>
    </w:p>
    <w:p w14:paraId="0CF7DB63" w14:textId="2550D3B5" w:rsidR="000E2BF2" w:rsidRDefault="00C46B12" w:rsidP="002C23BF">
      <w:pPr>
        <w:pStyle w:val="ONUME"/>
      </w:pPr>
      <w:bookmarkStart w:id="43" w:name="_Ref10466696"/>
      <w:r>
        <w:t xml:space="preserve">Кроме того, проведенные расследования позволили ОВН </w:t>
      </w:r>
      <w:r w:rsidR="007332F9">
        <w:t>составить определенные</w:t>
      </w:r>
      <w:r w:rsidR="007D5876">
        <w:t xml:space="preserve"> рекомендации для руководства</w:t>
      </w:r>
      <w:r>
        <w:t xml:space="preserve">.  В ходе отчетного периода были опубликованы два ОРРР, которые содержали рекомендации относительно </w:t>
      </w:r>
      <w:r w:rsidR="007D5876">
        <w:t xml:space="preserve">(1) </w:t>
      </w:r>
      <w:r>
        <w:t xml:space="preserve">информации, предоставленной ВОИС ГРООН, и </w:t>
      </w:r>
      <w:r w:rsidR="007D5876">
        <w:t xml:space="preserve">(2) </w:t>
      </w:r>
      <w:r>
        <w:t xml:space="preserve">предотвращения мошенничества со счетами-фактурами в отношении клиентов ВОИС со стороны лиц, не относящихся к Организации (см. пункты </w:t>
      </w:r>
      <w:r w:rsidR="002D2CF9">
        <w:t>54</w:t>
      </w:r>
      <w:r w:rsidR="007D5876">
        <w:t xml:space="preserve"> и </w:t>
      </w:r>
      <w:r w:rsidR="002D2CF9">
        <w:t>55</w:t>
      </w:r>
      <w:r>
        <w:t>).</w:t>
      </w:r>
    </w:p>
    <w:bookmarkEnd w:id="43"/>
    <w:p w14:paraId="4D952723" w14:textId="010E34CB" w:rsidR="00C46B12" w:rsidRPr="00AC3480" w:rsidRDefault="00C46B12" w:rsidP="00AC3480">
      <w:pPr>
        <w:pStyle w:val="ONUME"/>
        <w:keepNext/>
        <w:numPr>
          <w:ilvl w:val="0"/>
          <w:numId w:val="0"/>
        </w:numPr>
        <w:jc w:val="center"/>
        <w:rPr>
          <w:b/>
          <w:sz w:val="18"/>
          <w:szCs w:val="18"/>
        </w:rPr>
      </w:pPr>
      <w:r>
        <w:rPr>
          <w:b/>
          <w:sz w:val="18"/>
        </w:rPr>
        <w:lastRenderedPageBreak/>
        <w:t>Таблица 1. Анализ жалоб, полученных в 2019 и 2020 гг.</w:t>
      </w:r>
    </w:p>
    <w:p w14:paraId="345D5C5F" w14:textId="1CC34FB0" w:rsidR="00C61062" w:rsidRPr="00C61062" w:rsidRDefault="00FC05A9" w:rsidP="002C4C35">
      <w:pPr>
        <w:tabs>
          <w:tab w:val="left" w:pos="2820"/>
        </w:tabs>
        <w:jc w:val="center"/>
      </w:pPr>
      <w:r w:rsidRPr="00FC05A9">
        <w:rPr>
          <w:noProof/>
          <w:lang w:val="en-US" w:eastAsia="en-US"/>
        </w:rPr>
        <w:drawing>
          <wp:inline distT="0" distB="0" distL="0" distR="0" wp14:anchorId="7F04DEEC" wp14:editId="4308B9E1">
            <wp:extent cx="5940425" cy="3003565"/>
            <wp:effectExtent l="0" t="0" r="3175" b="6350"/>
            <wp:docPr id="4" name="Picture 4" descr="Анализ жалоб, полученных в 2019 т 2020 гг." title="Таблиц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003565"/>
                    </a:xfrm>
                    <a:prstGeom prst="rect">
                      <a:avLst/>
                    </a:prstGeom>
                    <a:noFill/>
                    <a:ln>
                      <a:noFill/>
                    </a:ln>
                  </pic:spPr>
                </pic:pic>
              </a:graphicData>
            </a:graphic>
          </wp:inline>
        </w:drawing>
      </w:r>
    </w:p>
    <w:p w14:paraId="089E033B" w14:textId="77777777" w:rsidR="003038D9" w:rsidRDefault="003038D9" w:rsidP="00C46B12">
      <w:pPr>
        <w:pStyle w:val="ONUME"/>
        <w:keepNext/>
        <w:numPr>
          <w:ilvl w:val="0"/>
          <w:numId w:val="0"/>
        </w:numPr>
        <w:jc w:val="center"/>
        <w:rPr>
          <w:b/>
          <w:sz w:val="18"/>
          <w:szCs w:val="18"/>
        </w:rPr>
      </w:pPr>
    </w:p>
    <w:p w14:paraId="264C9DEF" w14:textId="726A270F" w:rsidR="00C43CB4" w:rsidRDefault="00FC05A9" w:rsidP="00C43CB4">
      <w:pPr>
        <w:pStyle w:val="ONUME"/>
        <w:keepNext/>
        <w:numPr>
          <w:ilvl w:val="0"/>
          <w:numId w:val="0"/>
        </w:numPr>
        <w:jc w:val="center"/>
        <w:rPr>
          <w:b/>
          <w:sz w:val="18"/>
          <w:szCs w:val="18"/>
        </w:rPr>
      </w:pPr>
      <w:r>
        <w:rPr>
          <w:b/>
          <w:sz w:val="18"/>
        </w:rPr>
        <w:t>Диаграмма</w:t>
      </w:r>
      <w:r w:rsidR="00C46B12">
        <w:rPr>
          <w:b/>
          <w:sz w:val="18"/>
        </w:rPr>
        <w:t xml:space="preserve"> 2. Дела, закрытые в 2019 и 2020</w:t>
      </w:r>
      <w:r w:rsidR="00E20D4F">
        <w:rPr>
          <w:b/>
          <w:sz w:val="18"/>
        </w:rPr>
        <w:t> </w:t>
      </w:r>
      <w:r w:rsidR="00C46B12">
        <w:rPr>
          <w:b/>
          <w:sz w:val="18"/>
        </w:rPr>
        <w:t>гг.</w:t>
      </w:r>
      <w:r>
        <w:rPr>
          <w:b/>
          <w:noProof/>
          <w:sz w:val="18"/>
          <w:lang w:val="en-US" w:eastAsia="en-US"/>
        </w:rPr>
        <w:drawing>
          <wp:inline distT="0" distB="0" distL="0" distR="0" wp14:anchorId="5AFAFBDB" wp14:editId="0465DF06">
            <wp:extent cx="4572635" cy="2743200"/>
            <wp:effectExtent l="0" t="0" r="0" b="0"/>
            <wp:docPr id="8" name="Picture 8" descr="Дела, закрытые в 2019 и 2020 гг." title="Диаграмм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012142BE" w14:textId="25D638C5" w:rsidR="003038D9" w:rsidRDefault="003038D9" w:rsidP="00C43CB4">
      <w:pPr>
        <w:pStyle w:val="ONUME"/>
        <w:keepNext/>
        <w:numPr>
          <w:ilvl w:val="0"/>
          <w:numId w:val="0"/>
        </w:numPr>
        <w:jc w:val="center"/>
      </w:pPr>
      <w:r>
        <w:br w:type="page"/>
      </w:r>
    </w:p>
    <w:p w14:paraId="33FFB8C9" w14:textId="77777777" w:rsidR="00C46B12" w:rsidRPr="00DA5DBB" w:rsidRDefault="00C46B12" w:rsidP="00C46B12">
      <w:pPr>
        <w:pStyle w:val="Heading1"/>
      </w:pPr>
      <w:bookmarkStart w:id="44" w:name="_Toc39071250"/>
      <w:bookmarkStart w:id="45" w:name="_Toc75781971"/>
      <w:r>
        <w:lastRenderedPageBreak/>
        <w:t>СЛУЧАИ ОТКАЗА В ПРЕДОСТАВЛЕНИИ ИНФОРМАЦИИ ИЛИ ОКАЗАНИИ ПОДДЕРЖКИ</w:t>
      </w:r>
      <w:bookmarkEnd w:id="44"/>
      <w:bookmarkEnd w:id="45"/>
    </w:p>
    <w:p w14:paraId="7460CF5B" w14:textId="6D6959CA" w:rsidR="00C46B12" w:rsidRDefault="00C46B12" w:rsidP="002C23BF">
      <w:pPr>
        <w:pStyle w:val="ONUME"/>
      </w:pPr>
      <w:r>
        <w:t>Согласно пункту 48 (g) УВН</w:t>
      </w:r>
      <w:r w:rsidR="00E20D4F">
        <w:t>,</w:t>
      </w:r>
      <w:r>
        <w:t xml:space="preserve"> директор ОВН должен сообщать обо всех случаях, имевших место в отчетный период, когда доступ ОВН к архивам, сотрудникам и помещениям был ограничен.</w:t>
      </w:r>
    </w:p>
    <w:p w14:paraId="40FFDC2E" w14:textId="77777777" w:rsidR="00C84D33" w:rsidRDefault="00C46B12" w:rsidP="002C23BF">
      <w:pPr>
        <w:pStyle w:val="ONUME"/>
      </w:pPr>
      <w:r>
        <w:t>ОВН сообщает, что в течение отчетного периода ни один сотрудник Организации не отказывался предоставить информацию или оказать содействие в осуществлении текущих надзорных процедур.</w:t>
      </w:r>
    </w:p>
    <w:p w14:paraId="32AEAFF2" w14:textId="77777777" w:rsidR="00C46B12" w:rsidRPr="00EF631C" w:rsidRDefault="00C46B12" w:rsidP="00C46B12">
      <w:pPr>
        <w:pStyle w:val="Heading1"/>
      </w:pPr>
      <w:bookmarkStart w:id="46" w:name="_Toc39071251"/>
      <w:bookmarkStart w:id="47" w:name="_Toc75781972"/>
      <w:r>
        <w:t>ВЫПОЛНЕНИЕ РЕКОМЕНДАЦИЙ В ОБЛАСТИ ВНУТРЕННЕГО НАДЗОРА</w:t>
      </w:r>
      <w:bookmarkEnd w:id="41"/>
      <w:bookmarkEnd w:id="46"/>
      <w:bookmarkEnd w:id="47"/>
    </w:p>
    <w:p w14:paraId="72A0AB95" w14:textId="24219B78" w:rsidR="00C46B12" w:rsidRPr="004B2173" w:rsidRDefault="00C46B12" w:rsidP="002C23BF">
      <w:pPr>
        <w:pStyle w:val="ONUME"/>
      </w:pPr>
      <w:r>
        <w:t>Генеральный директор несет ответственность за обеспечение оперативного выполнения всех рекомендаций, вынесенных директором ОВН и другими надзорными органами, с указанием мер, принятых в связи с конкретными выводами и рекомендациями, содержащимися в отчете</w:t>
      </w:r>
      <w:r w:rsidRPr="00E04B15">
        <w:rPr>
          <w:rStyle w:val="FootnoteReference"/>
        </w:rPr>
        <w:footnoteReference w:id="10"/>
      </w:r>
      <w:r>
        <w:t>.  Генеральный директор выполняет эту обязанность через руководителей программ, которые отвечают за конкретные направления оперативной деятельности Организации</w:t>
      </w:r>
      <w:r w:rsidRPr="00E04B15">
        <w:rPr>
          <w:rStyle w:val="FootnoteReference"/>
        </w:rPr>
        <w:footnoteReference w:id="11"/>
      </w:r>
      <w:r>
        <w:t>.  ОВН регулярно проверяет ход выполнения всех рекомендаций надзорных органов руководителями программ ВОИС</w:t>
      </w:r>
      <w:r w:rsidRPr="00E04B15">
        <w:rPr>
          <w:rStyle w:val="FootnoteReference"/>
        </w:rPr>
        <w:footnoteReference w:id="12"/>
      </w:r>
      <w:r>
        <w:t>.</w:t>
      </w:r>
    </w:p>
    <w:p w14:paraId="122EA0B3" w14:textId="234F777F" w:rsidR="00C46B12" w:rsidRDefault="00C46B12" w:rsidP="002C23BF">
      <w:pPr>
        <w:pStyle w:val="ONUME"/>
      </w:pPr>
      <w:r>
        <w:t>ОВН по-прежнему контролирует выполнение рекомендаций и отчитывается о проделанной работе с помощью системы TeamCentral</w:t>
      </w:r>
      <w:r w:rsidR="001805CB" w:rsidRPr="00BA48F4">
        <w:rPr>
          <w:vertAlign w:val="superscript"/>
        </w:rPr>
        <w:t>TM</w:t>
      </w:r>
      <w:r>
        <w:t xml:space="preserve">, которая позволяет вести интерактивный диалог с руководителями программ и их представителями для обеспечения эффективного контроля осуществления невыполненных рекомендаций. </w:t>
      </w:r>
    </w:p>
    <w:p w14:paraId="0C06129A" w14:textId="5A4C5713" w:rsidR="008460BA" w:rsidRDefault="00C46B12" w:rsidP="002C23BF">
      <w:pPr>
        <w:pStyle w:val="ONUME"/>
      </w:pPr>
      <w:r>
        <w:t>На дату составления настоящего отчета насчитывается 103</w:t>
      </w:r>
      <w:r w:rsidR="00E20D4F">
        <w:t> </w:t>
      </w:r>
      <w:r>
        <w:t>невыполненные рекомендации, включая 28</w:t>
      </w:r>
      <w:r w:rsidR="00E20D4F">
        <w:t> </w:t>
      </w:r>
      <w:r>
        <w:t>рекомендаций с высокой степенью приоритетности и 75 со средней.  Рекомендации ОВН составляют 80</w:t>
      </w:r>
      <w:r w:rsidR="00E20D4F">
        <w:t> </w:t>
      </w:r>
      <w:r>
        <w:t>процентов всех невыполненных надзорных рекомендаций.</w:t>
      </w:r>
    </w:p>
    <w:p w14:paraId="677207AC" w14:textId="1F027425" w:rsidR="00C46B12" w:rsidRPr="001D1177" w:rsidRDefault="00FC05A9" w:rsidP="00C43CB4">
      <w:pPr>
        <w:jc w:val="center"/>
        <w:rPr>
          <w:b/>
          <w:sz w:val="18"/>
        </w:rPr>
      </w:pPr>
      <w:r>
        <w:rPr>
          <w:b/>
          <w:sz w:val="18"/>
        </w:rPr>
        <w:t>Диаграмма</w:t>
      </w:r>
      <w:r w:rsidR="00C46B12">
        <w:rPr>
          <w:b/>
          <w:sz w:val="18"/>
        </w:rPr>
        <w:t xml:space="preserve"> 3. Невыполненные рекомендации в разбивке по источникам и степени приоритетности (103)</w:t>
      </w:r>
    </w:p>
    <w:p w14:paraId="2A810471" w14:textId="77777777" w:rsidR="00690ABA" w:rsidRPr="00C620A2" w:rsidRDefault="00690ABA" w:rsidP="00690ABA">
      <w:pPr>
        <w:jc w:val="center"/>
      </w:pPr>
    </w:p>
    <w:p w14:paraId="1C9D4D58" w14:textId="64DB9DCB" w:rsidR="00C46B12" w:rsidRPr="00FC05A9" w:rsidRDefault="00BA3978" w:rsidP="009D5455">
      <w:pPr>
        <w:pStyle w:val="ONUME"/>
        <w:numPr>
          <w:ilvl w:val="0"/>
          <w:numId w:val="0"/>
        </w:numPr>
        <w:jc w:val="center"/>
      </w:pPr>
      <w:r>
        <w:rPr>
          <w:noProof/>
          <w:lang w:val="en-US" w:eastAsia="en-US"/>
        </w:rPr>
        <w:drawing>
          <wp:inline distT="0" distB="0" distL="0" distR="0" wp14:anchorId="0CB29E4F" wp14:editId="2911875A">
            <wp:extent cx="4584700" cy="2755900"/>
            <wp:effectExtent l="0" t="0" r="6350" b="6350"/>
            <wp:docPr id="9" name="Picture 9" descr="Невыполненные рекомендации в разбивке по источникам и степени приоритетности (103)" title="Диаграмм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9ACE61C" w14:textId="335C3FEE" w:rsidR="009D5455" w:rsidRDefault="001952B7" w:rsidP="00C84D33">
      <w:pPr>
        <w:pStyle w:val="ONUME"/>
      </w:pPr>
      <w:r>
        <w:t>В период с января по декабрь 2020</w:t>
      </w:r>
      <w:r w:rsidR="00E20D4F">
        <w:t> </w:t>
      </w:r>
      <w:r>
        <w:t>г. было добавлено 29</w:t>
      </w:r>
      <w:r w:rsidR="00E20D4F">
        <w:t> </w:t>
      </w:r>
      <w:r>
        <w:t xml:space="preserve">новых рекомендации ОВН на основании четырех отчетов об аудиторских проверках, четырех отчетов по итогам </w:t>
      </w:r>
      <w:r>
        <w:lastRenderedPageBreak/>
        <w:t>оценки и двух ОРРР.  По состоянию на конец отчетного периода оставалась невыполненной одна рекомендация</w:t>
      </w:r>
      <w:r w:rsidR="0039651E">
        <w:rPr>
          <w:rStyle w:val="FootnoteReference"/>
        </w:rPr>
        <w:footnoteReference w:id="13"/>
      </w:r>
      <w:r>
        <w:t xml:space="preserve">, направленная НККН Бюро по вопросам этики.  </w:t>
      </w:r>
    </w:p>
    <w:p w14:paraId="563103FC" w14:textId="7E7AE538" w:rsidR="00C84D33" w:rsidRPr="0031505E" w:rsidRDefault="00A70901" w:rsidP="00C84D33">
      <w:pPr>
        <w:pStyle w:val="ONUME"/>
      </w:pPr>
      <w:r>
        <w:t>Двадцать три рекомендации внешнего аудитора по итогам аудиторских проверок, проведенных в 2018–2019</w:t>
      </w:r>
      <w:r w:rsidR="00E20D4F">
        <w:t> </w:t>
      </w:r>
      <w:r>
        <w:t>гг., были внесены в систему управления рекомендациями в январе 2020</w:t>
      </w:r>
      <w:r w:rsidR="00E20D4F">
        <w:t> </w:t>
      </w:r>
      <w:r>
        <w:t>г.  В течение отчетного периода были закрыты восемнадцать рекомендаций по итогам внешнего аудита, девять из которых были ранее переданы внешними аудиторами на контроль ОВН.  В течение отчетного периода были закрыты сорок восемь рекомендаций ОВН.  В таблице</w:t>
      </w:r>
      <w:r w:rsidR="00E20D4F">
        <w:t> </w:t>
      </w:r>
      <w:r>
        <w:t>2 ниже показана динамика рекомендаций в разбивке по источникам за период с января по декабрь 2020</w:t>
      </w:r>
      <w:r w:rsidR="00E20D4F">
        <w:t> </w:t>
      </w:r>
      <w:r>
        <w:t xml:space="preserve">г. </w:t>
      </w:r>
    </w:p>
    <w:p w14:paraId="3172AC5F" w14:textId="17842AEB" w:rsidR="00C46B12" w:rsidRDefault="00C46B12" w:rsidP="00C46B12">
      <w:pPr>
        <w:pStyle w:val="ONUME"/>
        <w:keepNext/>
        <w:numPr>
          <w:ilvl w:val="0"/>
          <w:numId w:val="0"/>
        </w:numPr>
        <w:jc w:val="center"/>
        <w:rPr>
          <w:b/>
          <w:sz w:val="18"/>
          <w:szCs w:val="18"/>
        </w:rPr>
      </w:pPr>
      <w:r>
        <w:rPr>
          <w:b/>
          <w:sz w:val="18"/>
        </w:rPr>
        <w:t xml:space="preserve">Таблица 2. Динамика рекомендаций в период с 1 января 2020 г. по 31 декабря 2020 г. </w:t>
      </w:r>
    </w:p>
    <w:tbl>
      <w:tblPr>
        <w:tblStyle w:val="GridTable4-Accent1"/>
        <w:tblW w:w="9440" w:type="dxa"/>
        <w:tblLook w:val="04A0" w:firstRow="1" w:lastRow="0" w:firstColumn="1" w:lastColumn="0" w:noHBand="0" w:noVBand="1"/>
        <w:tblCaption w:val="Таблица 2 – Изменение рекомендаций"/>
        <w:tblDescription w:val="Изменение рекомендаций в период 1 января - 31 декабря 2020 г."/>
      </w:tblPr>
      <w:tblGrid>
        <w:gridCol w:w="3522"/>
        <w:gridCol w:w="1592"/>
        <w:gridCol w:w="1517"/>
        <w:gridCol w:w="1461"/>
        <w:gridCol w:w="1348"/>
      </w:tblGrid>
      <w:tr w:rsidR="007E72F5" w:rsidRPr="00F620D5" w14:paraId="5C59C563" w14:textId="77777777" w:rsidTr="00335B35">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174B797A" w14:textId="77777777" w:rsidR="00F620D5" w:rsidRPr="00F620D5" w:rsidRDefault="00F620D5" w:rsidP="00F620D5">
            <w:pPr>
              <w:rPr>
                <w:rFonts w:eastAsia="Times New Roman"/>
                <w:b w:val="0"/>
                <w:bCs w:val="0"/>
                <w:color w:val="000000"/>
                <w:sz w:val="20"/>
              </w:rPr>
            </w:pPr>
            <w:r>
              <w:rPr>
                <w:color w:val="000000"/>
                <w:sz w:val="20"/>
              </w:rPr>
              <w:t>Источник</w:t>
            </w:r>
          </w:p>
        </w:tc>
        <w:tc>
          <w:tcPr>
            <w:tcW w:w="1592" w:type="dxa"/>
            <w:hideMark/>
          </w:tcPr>
          <w:p w14:paraId="4580034E" w14:textId="53D1D7EE" w:rsidR="00F620D5" w:rsidRPr="00F620D5" w:rsidRDefault="00F620D5" w:rsidP="005C514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Pr>
            </w:pPr>
            <w:r>
              <w:rPr>
                <w:color w:val="000000"/>
                <w:sz w:val="20"/>
              </w:rPr>
              <w:t>Открыты по состоянию на 1</w:t>
            </w:r>
            <w:r w:rsidR="00E20D4F">
              <w:rPr>
                <w:color w:val="000000"/>
                <w:sz w:val="20"/>
              </w:rPr>
              <w:t> </w:t>
            </w:r>
            <w:r>
              <w:rPr>
                <w:color w:val="000000"/>
                <w:sz w:val="20"/>
              </w:rPr>
              <w:t>января 2020</w:t>
            </w:r>
            <w:r w:rsidR="00E20D4F">
              <w:rPr>
                <w:color w:val="000000"/>
                <w:sz w:val="20"/>
              </w:rPr>
              <w:t> </w:t>
            </w:r>
            <w:r>
              <w:rPr>
                <w:color w:val="000000"/>
                <w:sz w:val="20"/>
              </w:rPr>
              <w:t>г.</w:t>
            </w:r>
          </w:p>
        </w:tc>
        <w:tc>
          <w:tcPr>
            <w:tcW w:w="1517" w:type="dxa"/>
            <w:hideMark/>
          </w:tcPr>
          <w:p w14:paraId="5B0B93D6" w14:textId="77777777" w:rsidR="00F620D5" w:rsidRPr="00F620D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Pr>
            </w:pPr>
            <w:r>
              <w:rPr>
                <w:color w:val="000000"/>
                <w:sz w:val="20"/>
              </w:rPr>
              <w:t>Добавлены в течение отчетного периода</w:t>
            </w:r>
          </w:p>
        </w:tc>
        <w:tc>
          <w:tcPr>
            <w:tcW w:w="1461" w:type="dxa"/>
            <w:hideMark/>
          </w:tcPr>
          <w:p w14:paraId="6633640A" w14:textId="77777777" w:rsidR="00F620D5" w:rsidRPr="00F620D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Pr>
            </w:pPr>
            <w:r>
              <w:rPr>
                <w:color w:val="000000"/>
                <w:sz w:val="20"/>
              </w:rPr>
              <w:t>Закрыты в течение отчетного периода</w:t>
            </w:r>
          </w:p>
        </w:tc>
        <w:tc>
          <w:tcPr>
            <w:tcW w:w="1348" w:type="dxa"/>
            <w:hideMark/>
          </w:tcPr>
          <w:p w14:paraId="5C91B1AB" w14:textId="2EBCC090" w:rsidR="00F620D5" w:rsidRPr="00F620D5"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rPr>
            </w:pPr>
            <w:r>
              <w:rPr>
                <w:color w:val="000000"/>
                <w:sz w:val="20"/>
              </w:rPr>
              <w:t>Открыты по состоянию на 31</w:t>
            </w:r>
            <w:r w:rsidR="00E20D4F">
              <w:rPr>
                <w:color w:val="000000"/>
                <w:sz w:val="20"/>
              </w:rPr>
              <w:t> </w:t>
            </w:r>
            <w:r>
              <w:rPr>
                <w:color w:val="000000"/>
                <w:sz w:val="20"/>
              </w:rPr>
              <w:t>декабря 2020</w:t>
            </w:r>
            <w:r w:rsidR="00E20D4F">
              <w:rPr>
                <w:color w:val="000000"/>
                <w:sz w:val="20"/>
              </w:rPr>
              <w:t> </w:t>
            </w:r>
            <w:r>
              <w:rPr>
                <w:color w:val="000000"/>
                <w:sz w:val="20"/>
              </w:rPr>
              <w:t>г.</w:t>
            </w:r>
          </w:p>
        </w:tc>
      </w:tr>
      <w:tr w:rsidR="00F620D5" w:rsidRPr="00F620D5" w14:paraId="6F599306"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7AF63FC0" w14:textId="77777777" w:rsidR="00F620D5" w:rsidRPr="00F620D5" w:rsidRDefault="00F620D5" w:rsidP="00F620D5">
            <w:pPr>
              <w:rPr>
                <w:rFonts w:eastAsia="Times New Roman"/>
                <w:b w:val="0"/>
                <w:bCs w:val="0"/>
                <w:color w:val="000000"/>
                <w:sz w:val="20"/>
              </w:rPr>
            </w:pPr>
            <w:r>
              <w:rPr>
                <w:color w:val="000000"/>
                <w:sz w:val="20"/>
              </w:rPr>
              <w:t>ОВН</w:t>
            </w:r>
          </w:p>
        </w:tc>
        <w:tc>
          <w:tcPr>
            <w:tcW w:w="1592" w:type="dxa"/>
            <w:noWrap/>
            <w:hideMark/>
          </w:tcPr>
          <w:p w14:paraId="53F8B251" w14:textId="1E10FFFB"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101</w:t>
            </w:r>
          </w:p>
        </w:tc>
        <w:tc>
          <w:tcPr>
            <w:tcW w:w="1517" w:type="dxa"/>
            <w:noWrap/>
            <w:hideMark/>
          </w:tcPr>
          <w:p w14:paraId="06DDBA27" w14:textId="60B1207B"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29</w:t>
            </w:r>
          </w:p>
        </w:tc>
        <w:tc>
          <w:tcPr>
            <w:tcW w:w="1461" w:type="dxa"/>
            <w:noWrap/>
            <w:hideMark/>
          </w:tcPr>
          <w:p w14:paraId="033B0CCA" w14:textId="063806B9"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48</w:t>
            </w:r>
          </w:p>
        </w:tc>
        <w:tc>
          <w:tcPr>
            <w:tcW w:w="1348" w:type="dxa"/>
            <w:noWrap/>
            <w:hideMark/>
          </w:tcPr>
          <w:p w14:paraId="0B6651B7" w14:textId="2E669A3C" w:rsidR="00F620D5" w:rsidRPr="00F620D5" w:rsidRDefault="00ED0F4C"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82</w:t>
            </w:r>
          </w:p>
        </w:tc>
      </w:tr>
      <w:tr w:rsidR="00F620D5" w:rsidRPr="00F620D5" w14:paraId="4B4D7A92" w14:textId="77777777" w:rsidTr="00335B35">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5A6A5131" w14:textId="77777777" w:rsidR="00F620D5" w:rsidRPr="00F620D5" w:rsidRDefault="00F620D5" w:rsidP="00F620D5">
            <w:pPr>
              <w:rPr>
                <w:rFonts w:eastAsia="Times New Roman"/>
                <w:b w:val="0"/>
                <w:bCs w:val="0"/>
                <w:color w:val="000000"/>
                <w:sz w:val="20"/>
              </w:rPr>
            </w:pPr>
            <w:r>
              <w:rPr>
                <w:color w:val="000000"/>
                <w:sz w:val="20"/>
              </w:rPr>
              <w:t>Внешний аудитор (ВА)</w:t>
            </w:r>
          </w:p>
        </w:tc>
        <w:tc>
          <w:tcPr>
            <w:tcW w:w="1592" w:type="dxa"/>
            <w:noWrap/>
            <w:hideMark/>
          </w:tcPr>
          <w:p w14:paraId="3BB9B7D1" w14:textId="3137BE06" w:rsidR="00F620D5" w:rsidRPr="00F620D5" w:rsidRDefault="005C514B"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6</w:t>
            </w:r>
          </w:p>
        </w:tc>
        <w:tc>
          <w:tcPr>
            <w:tcW w:w="1517" w:type="dxa"/>
            <w:noWrap/>
            <w:hideMark/>
          </w:tcPr>
          <w:p w14:paraId="5ECD9FCB" w14:textId="4281B7EF" w:rsidR="00F620D5" w:rsidRPr="00F620D5" w:rsidRDefault="005C514B"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23</w:t>
            </w:r>
          </w:p>
        </w:tc>
        <w:tc>
          <w:tcPr>
            <w:tcW w:w="1461" w:type="dxa"/>
            <w:noWrap/>
            <w:hideMark/>
          </w:tcPr>
          <w:p w14:paraId="11782AE8" w14:textId="057A17CE" w:rsidR="00F620D5" w:rsidRPr="00F620D5" w:rsidRDefault="005C514B"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9</w:t>
            </w:r>
          </w:p>
        </w:tc>
        <w:tc>
          <w:tcPr>
            <w:tcW w:w="1348" w:type="dxa"/>
            <w:noWrap/>
            <w:hideMark/>
          </w:tcPr>
          <w:p w14:paraId="4A12B8EF" w14:textId="37EFF45B" w:rsidR="00F620D5" w:rsidRPr="00F620D5" w:rsidRDefault="00ED0F4C"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20</w:t>
            </w:r>
          </w:p>
        </w:tc>
      </w:tr>
      <w:tr w:rsidR="00F620D5" w:rsidRPr="00F620D5" w14:paraId="5FB29442"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76641365" w14:textId="77777777" w:rsidR="00F620D5" w:rsidRPr="00F620D5" w:rsidRDefault="00F620D5" w:rsidP="00F620D5">
            <w:pPr>
              <w:rPr>
                <w:rFonts w:eastAsia="Times New Roman"/>
                <w:b w:val="0"/>
                <w:bCs w:val="0"/>
                <w:color w:val="000000"/>
                <w:sz w:val="20"/>
              </w:rPr>
            </w:pPr>
            <w:r>
              <w:rPr>
                <w:color w:val="000000"/>
                <w:sz w:val="20"/>
              </w:rPr>
              <w:t>НККН</w:t>
            </w:r>
          </w:p>
        </w:tc>
        <w:tc>
          <w:tcPr>
            <w:tcW w:w="1592" w:type="dxa"/>
            <w:noWrap/>
            <w:hideMark/>
          </w:tcPr>
          <w:p w14:paraId="7848FA28" w14:textId="0B7E1B95"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w:t>
            </w:r>
          </w:p>
        </w:tc>
        <w:tc>
          <w:tcPr>
            <w:tcW w:w="1517" w:type="dxa"/>
            <w:noWrap/>
            <w:hideMark/>
          </w:tcPr>
          <w:p w14:paraId="22B1C319" w14:textId="77777777" w:rsidR="00F620D5" w:rsidRPr="00F620D5" w:rsidRDefault="00F620D5"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0</w:t>
            </w:r>
          </w:p>
        </w:tc>
        <w:tc>
          <w:tcPr>
            <w:tcW w:w="1461" w:type="dxa"/>
            <w:noWrap/>
            <w:hideMark/>
          </w:tcPr>
          <w:p w14:paraId="18966595" w14:textId="7FF4D268" w:rsidR="00F620D5" w:rsidRPr="00F620D5" w:rsidRDefault="00ED0F4C"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0</w:t>
            </w:r>
          </w:p>
        </w:tc>
        <w:tc>
          <w:tcPr>
            <w:tcW w:w="1348" w:type="dxa"/>
            <w:noWrap/>
            <w:hideMark/>
          </w:tcPr>
          <w:p w14:paraId="5CC3D440" w14:textId="77777777" w:rsidR="00F620D5" w:rsidRPr="00F620D5" w:rsidRDefault="00F620D5"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t>1</w:t>
            </w:r>
          </w:p>
        </w:tc>
      </w:tr>
      <w:tr w:rsidR="00F620D5" w:rsidRPr="00F620D5" w14:paraId="2E0E67BF" w14:textId="77777777" w:rsidTr="00335B35">
        <w:trPr>
          <w:trHeight w:val="478"/>
        </w:trPr>
        <w:tc>
          <w:tcPr>
            <w:cnfStyle w:val="001000000000" w:firstRow="0" w:lastRow="0" w:firstColumn="1" w:lastColumn="0" w:oddVBand="0" w:evenVBand="0" w:oddHBand="0" w:evenHBand="0" w:firstRowFirstColumn="0" w:firstRowLastColumn="0" w:lastRowFirstColumn="0" w:lastRowLastColumn="0"/>
            <w:tcW w:w="3522" w:type="dxa"/>
            <w:hideMark/>
          </w:tcPr>
          <w:p w14:paraId="60EE8F3A" w14:textId="77777777" w:rsidR="00F620D5" w:rsidRPr="00F620D5" w:rsidRDefault="00F620D5" w:rsidP="00F620D5">
            <w:pPr>
              <w:rPr>
                <w:rFonts w:eastAsia="Times New Roman"/>
                <w:b w:val="0"/>
                <w:bCs w:val="0"/>
                <w:color w:val="000000"/>
                <w:sz w:val="20"/>
              </w:rPr>
            </w:pPr>
            <w:r>
              <w:rPr>
                <w:color w:val="000000"/>
                <w:sz w:val="20"/>
              </w:rPr>
              <w:t>Переданные на контроль ОВН рекомендации ВА</w:t>
            </w:r>
          </w:p>
        </w:tc>
        <w:tc>
          <w:tcPr>
            <w:tcW w:w="1592" w:type="dxa"/>
            <w:noWrap/>
            <w:hideMark/>
          </w:tcPr>
          <w:p w14:paraId="3AF98973" w14:textId="6E38D138" w:rsidR="00F620D5" w:rsidRPr="00F620D5" w:rsidRDefault="005C514B"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9</w:t>
            </w:r>
          </w:p>
        </w:tc>
        <w:tc>
          <w:tcPr>
            <w:tcW w:w="1517" w:type="dxa"/>
            <w:noWrap/>
            <w:hideMark/>
          </w:tcPr>
          <w:p w14:paraId="121AD167" w14:textId="77777777" w:rsidR="00F620D5" w:rsidRPr="00F620D5" w:rsidRDefault="00F620D5"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0</w:t>
            </w:r>
          </w:p>
        </w:tc>
        <w:tc>
          <w:tcPr>
            <w:tcW w:w="1461" w:type="dxa"/>
            <w:noWrap/>
            <w:hideMark/>
          </w:tcPr>
          <w:p w14:paraId="29E020FB" w14:textId="14BF51D9" w:rsidR="00F620D5" w:rsidRPr="00F620D5" w:rsidRDefault="00ED0F4C"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9</w:t>
            </w:r>
          </w:p>
        </w:tc>
        <w:tc>
          <w:tcPr>
            <w:tcW w:w="1348" w:type="dxa"/>
            <w:noWrap/>
            <w:hideMark/>
          </w:tcPr>
          <w:p w14:paraId="165DF861" w14:textId="0AB3B918" w:rsidR="00F620D5" w:rsidRPr="00F620D5" w:rsidRDefault="00ED0F4C"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Pr>
                <w:color w:val="000000"/>
                <w:sz w:val="20"/>
              </w:rPr>
              <w:t>0</w:t>
            </w:r>
          </w:p>
        </w:tc>
      </w:tr>
      <w:tr w:rsidR="00F620D5" w:rsidRPr="00F620D5" w14:paraId="4903F58D" w14:textId="77777777" w:rsidTr="00335B3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79AEE14D" w14:textId="77777777" w:rsidR="00F620D5" w:rsidRPr="00F620D5" w:rsidRDefault="00F620D5" w:rsidP="00F620D5">
            <w:pPr>
              <w:rPr>
                <w:rFonts w:eastAsia="Times New Roman"/>
                <w:b w:val="0"/>
                <w:bCs w:val="0"/>
                <w:color w:val="000000"/>
                <w:sz w:val="20"/>
              </w:rPr>
            </w:pPr>
            <w:r>
              <w:rPr>
                <w:color w:val="000000"/>
                <w:sz w:val="20"/>
              </w:rPr>
              <w:t>Итого</w:t>
            </w:r>
          </w:p>
        </w:tc>
        <w:tc>
          <w:tcPr>
            <w:tcW w:w="1592" w:type="dxa"/>
            <w:noWrap/>
            <w:hideMark/>
          </w:tcPr>
          <w:p w14:paraId="45063BC9" w14:textId="2BD0773B"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rPr>
            </w:pPr>
            <w:r>
              <w:rPr>
                <w:b/>
                <w:color w:val="000000"/>
                <w:sz w:val="20"/>
              </w:rPr>
              <w:t>117</w:t>
            </w:r>
          </w:p>
        </w:tc>
        <w:tc>
          <w:tcPr>
            <w:tcW w:w="1517" w:type="dxa"/>
            <w:noWrap/>
            <w:hideMark/>
          </w:tcPr>
          <w:p w14:paraId="1B306EC1" w14:textId="3FA4E3AC" w:rsidR="00F620D5" w:rsidRPr="00F620D5"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rPr>
            </w:pPr>
            <w:r>
              <w:rPr>
                <w:b/>
                <w:color w:val="000000"/>
                <w:sz w:val="20"/>
              </w:rPr>
              <w:t>52</w:t>
            </w:r>
          </w:p>
        </w:tc>
        <w:tc>
          <w:tcPr>
            <w:tcW w:w="1461" w:type="dxa"/>
            <w:noWrap/>
            <w:hideMark/>
          </w:tcPr>
          <w:p w14:paraId="2C15A8B3" w14:textId="33BF269C" w:rsidR="00F620D5" w:rsidRPr="00F620D5" w:rsidRDefault="00ED0F4C"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rPr>
            </w:pPr>
            <w:r>
              <w:rPr>
                <w:b/>
                <w:color w:val="000000"/>
                <w:sz w:val="20"/>
              </w:rPr>
              <w:t>66</w:t>
            </w:r>
          </w:p>
        </w:tc>
        <w:tc>
          <w:tcPr>
            <w:tcW w:w="1348" w:type="dxa"/>
            <w:noWrap/>
            <w:hideMark/>
          </w:tcPr>
          <w:p w14:paraId="55F5928C" w14:textId="711F85BC" w:rsidR="00F620D5" w:rsidRPr="00F620D5" w:rsidRDefault="00ED0F4C"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rPr>
            </w:pPr>
            <w:r>
              <w:rPr>
                <w:b/>
                <w:color w:val="000000"/>
                <w:sz w:val="20"/>
              </w:rPr>
              <w:t>103</w:t>
            </w:r>
          </w:p>
        </w:tc>
      </w:tr>
    </w:tbl>
    <w:p w14:paraId="0DB9B713" w14:textId="6F5C60B4" w:rsidR="008460BA" w:rsidRDefault="008460BA"/>
    <w:p w14:paraId="28B0FAF1" w14:textId="5246303B" w:rsidR="00C46B12" w:rsidRPr="0031505E" w:rsidRDefault="00BA3978" w:rsidP="002C23BF">
      <w:pPr>
        <w:pStyle w:val="ONUME"/>
      </w:pPr>
      <w:r>
        <w:t>Диаграмма</w:t>
      </w:r>
      <w:r w:rsidR="00C46B12">
        <w:t xml:space="preserve"> ниже показывает давность открытых рекомендаций по состоянию на 31</w:t>
      </w:r>
      <w:r w:rsidR="002D2CF9">
        <w:t> </w:t>
      </w:r>
      <w:r w:rsidR="00C46B12">
        <w:t>декабря 2020</w:t>
      </w:r>
      <w:r w:rsidR="00E20D4F">
        <w:t> </w:t>
      </w:r>
      <w:r w:rsidR="00C46B12">
        <w:t>г.</w:t>
      </w:r>
    </w:p>
    <w:p w14:paraId="2897BB61" w14:textId="3FEFCCD5" w:rsidR="00C46B12" w:rsidRPr="00C620A2" w:rsidRDefault="00BA3978" w:rsidP="00C46B12">
      <w:pPr>
        <w:pStyle w:val="ONUME"/>
        <w:keepNext/>
        <w:numPr>
          <w:ilvl w:val="0"/>
          <w:numId w:val="0"/>
        </w:numPr>
        <w:spacing w:after="0"/>
        <w:jc w:val="center"/>
        <w:rPr>
          <w:b/>
          <w:sz w:val="18"/>
          <w:szCs w:val="18"/>
        </w:rPr>
      </w:pPr>
      <w:r>
        <w:rPr>
          <w:b/>
          <w:sz w:val="18"/>
        </w:rPr>
        <w:t>Диаграмма</w:t>
      </w:r>
      <w:r w:rsidR="00C46B12">
        <w:rPr>
          <w:b/>
          <w:sz w:val="18"/>
        </w:rPr>
        <w:t xml:space="preserve"> 4. Давность открытых рекомендаций в области надзора в разбивке по приоритетности (103) </w:t>
      </w:r>
    </w:p>
    <w:p w14:paraId="5FFC4B2F" w14:textId="38A2C443" w:rsidR="00C46B12" w:rsidRPr="00C620A2" w:rsidRDefault="00ED0F4C" w:rsidP="00C46B12">
      <w:pPr>
        <w:pStyle w:val="ONUME"/>
        <w:keepLines/>
        <w:numPr>
          <w:ilvl w:val="0"/>
          <w:numId w:val="0"/>
        </w:numPr>
        <w:spacing w:before="240"/>
        <w:jc w:val="center"/>
      </w:pPr>
      <w:r>
        <w:t xml:space="preserve"> </w:t>
      </w:r>
      <w:r w:rsidR="00BA3978">
        <w:rPr>
          <w:noProof/>
          <w:lang w:val="en-US" w:eastAsia="en-US"/>
        </w:rPr>
        <w:drawing>
          <wp:inline distT="0" distB="0" distL="0" distR="0" wp14:anchorId="08F8DCC5" wp14:editId="3F939E28">
            <wp:extent cx="4584700" cy="2816860"/>
            <wp:effectExtent l="0" t="0" r="6350" b="2540"/>
            <wp:docPr id="10" name="Picture 10" descr="Давность открытых рекомендаций в области надзора в разбивке по приоритетности (103)" title="Диаграмм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816860"/>
                    </a:xfrm>
                    <a:prstGeom prst="rect">
                      <a:avLst/>
                    </a:prstGeom>
                    <a:noFill/>
                  </pic:spPr>
                </pic:pic>
              </a:graphicData>
            </a:graphic>
          </wp:inline>
        </w:drawing>
      </w:r>
    </w:p>
    <w:p w14:paraId="6CDD26D5" w14:textId="7CCD349D" w:rsidR="009E7402" w:rsidRDefault="00620FF9" w:rsidP="009D5455">
      <w:pPr>
        <w:pStyle w:val="ONUME"/>
      </w:pPr>
      <w:r>
        <w:lastRenderedPageBreak/>
        <w:t>За отчетный период количество незакрытых рекомендаций, вынесенных с 2013 по 2016</w:t>
      </w:r>
      <w:r w:rsidR="00982C4A">
        <w:t> </w:t>
      </w:r>
      <w:r>
        <w:t xml:space="preserve">гг., уменьшилось с 36 до 12.  ОВН, как и прежде, взаимодействует с руководством в целях дальнейшего сокращения числа давних рекомендаций. </w:t>
      </w:r>
    </w:p>
    <w:p w14:paraId="3D49A369" w14:textId="160A086C" w:rsidR="00C84D33" w:rsidRDefault="00C84D33" w:rsidP="00C84D33">
      <w:pPr>
        <w:pStyle w:val="ONUME"/>
      </w:pPr>
      <w:r>
        <w:t>Ниже показано число открытых рекомендаций в разбивке по программам ВОИС</w:t>
      </w:r>
      <w:r w:rsidRPr="0031505E">
        <w:rPr>
          <w:vertAlign w:val="superscript"/>
        </w:rPr>
        <w:footnoteReference w:id="14"/>
      </w:r>
      <w:r>
        <w:t xml:space="preserve"> и по приоритетности по состоянию на 31</w:t>
      </w:r>
      <w:r w:rsidR="00982C4A">
        <w:t> </w:t>
      </w:r>
      <w:r>
        <w:t>декабря 2020</w:t>
      </w:r>
      <w:r w:rsidR="00982C4A">
        <w:t> </w:t>
      </w:r>
      <w:r>
        <w:t xml:space="preserve">г.: </w:t>
      </w:r>
    </w:p>
    <w:p w14:paraId="4D5BDFE3" w14:textId="2AFCC5BE" w:rsidR="00C46B12" w:rsidRPr="0031505E" w:rsidRDefault="00BA3978" w:rsidP="00C46B12">
      <w:pPr>
        <w:pStyle w:val="ONUME"/>
        <w:keepNext/>
        <w:numPr>
          <w:ilvl w:val="0"/>
          <w:numId w:val="0"/>
        </w:numPr>
        <w:spacing w:after="0"/>
        <w:jc w:val="center"/>
        <w:rPr>
          <w:b/>
          <w:sz w:val="18"/>
          <w:szCs w:val="18"/>
        </w:rPr>
      </w:pPr>
      <w:r>
        <w:rPr>
          <w:b/>
          <w:sz w:val="18"/>
        </w:rPr>
        <w:t>Диаграмма</w:t>
      </w:r>
      <w:r w:rsidR="00C46B12">
        <w:rPr>
          <w:b/>
          <w:sz w:val="18"/>
        </w:rPr>
        <w:t xml:space="preserve"> 5. Рекомендации в разбивке по программам и степени приоритетности (103)</w:t>
      </w:r>
    </w:p>
    <w:p w14:paraId="58A8F815" w14:textId="703D5B5D" w:rsidR="00C46B12" w:rsidRPr="0031505E" w:rsidRDefault="00ED0F4C" w:rsidP="00C46B12">
      <w:pPr>
        <w:pStyle w:val="ONUME"/>
        <w:keepLines/>
        <w:numPr>
          <w:ilvl w:val="0"/>
          <w:numId w:val="0"/>
        </w:numPr>
        <w:spacing w:after="360"/>
        <w:jc w:val="center"/>
      </w:pPr>
      <w:r>
        <w:t xml:space="preserve"> </w:t>
      </w:r>
      <w:r w:rsidR="00BA3978">
        <w:rPr>
          <w:noProof/>
          <w:lang w:val="en-US" w:eastAsia="en-US"/>
        </w:rPr>
        <w:drawing>
          <wp:inline distT="0" distB="0" distL="0" distR="0" wp14:anchorId="7049FA8D" wp14:editId="68437330">
            <wp:extent cx="6163310" cy="3914140"/>
            <wp:effectExtent l="0" t="0" r="8890" b="0"/>
            <wp:docPr id="14" name="Picture 14" descr="Рекомендации в разбивке по программам и степени приоритетности (103)" title="Диаграмм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3310" cy="3914140"/>
                    </a:xfrm>
                    <a:prstGeom prst="rect">
                      <a:avLst/>
                    </a:prstGeom>
                    <a:noFill/>
                  </pic:spPr>
                </pic:pic>
              </a:graphicData>
            </a:graphic>
          </wp:inline>
        </w:drawing>
      </w:r>
    </w:p>
    <w:p w14:paraId="654217B1" w14:textId="42BAFA1C" w:rsidR="00C46B12" w:rsidRPr="0031505E" w:rsidRDefault="004B5CF4" w:rsidP="002C23BF">
      <w:pPr>
        <w:pStyle w:val="ONUME"/>
      </w:pPr>
      <w:r>
        <w:t>Сорок два процента от 28 рекомендаций с высокой степенью приоритетности приходятся на программу 23 «Управление людскими ресурсами и их развитие».</w:t>
      </w:r>
    </w:p>
    <w:p w14:paraId="3393C7E1" w14:textId="77777777" w:rsidR="00C46B12" w:rsidRPr="00E32ADE" w:rsidRDefault="00C46B12" w:rsidP="00C46B12">
      <w:pPr>
        <w:pStyle w:val="Heading1"/>
      </w:pPr>
      <w:bookmarkStart w:id="48" w:name="_Toc39071252"/>
      <w:bookmarkStart w:id="49" w:name="_Toc75781973"/>
      <w:r>
        <w:t>КОНСУЛЬТАТИВНАЯ И СПРАВОЧНАЯ РАБОТА ПО ВОПРОСАМ НАДЗОРА</w:t>
      </w:r>
      <w:bookmarkEnd w:id="48"/>
      <w:bookmarkEnd w:id="49"/>
    </w:p>
    <w:p w14:paraId="749A618D" w14:textId="33304FAC" w:rsidR="00C84D33" w:rsidRDefault="00C84D33" w:rsidP="00252695">
      <w:pPr>
        <w:pStyle w:val="ONUME"/>
      </w:pPr>
      <w:r>
        <w:t>В рамках своей работы по оказанию консультативных услуг ОВН продолжал оказывать требуемую консультативную помощь по вопросам, связанным с программными документами, проведением оценки, организационными процессами и нормативными механизмами.</w:t>
      </w:r>
    </w:p>
    <w:p w14:paraId="619D45C6" w14:textId="25672959" w:rsidR="00131D66" w:rsidRDefault="00C84D33" w:rsidP="009D5455">
      <w:pPr>
        <w:pStyle w:val="ONUME"/>
      </w:pPr>
      <w:r>
        <w:t xml:space="preserve">Секция оценки оказала консультативные услуги Отделу Азиатско-Тихоокеанского региона </w:t>
      </w:r>
      <w:r w:rsidR="007D5876">
        <w:t>путем</w:t>
      </w:r>
      <w:r>
        <w:t xml:space="preserve"> </w:t>
      </w:r>
      <w:r w:rsidR="007D5876">
        <w:t xml:space="preserve">проведения </w:t>
      </w:r>
      <w:r>
        <w:t xml:space="preserve">предварительной оценки.  Эта консультативная работа сосредоточивалась на механизмах отдела в сфере технического сотрудничества и самооценки.  Цель этой предварительной оценки — проверка технического механизма на </w:t>
      </w:r>
      <w:r>
        <w:lastRenderedPageBreak/>
        <w:t xml:space="preserve">предмет его эффективности и пригодности для анализа и предоставление рекомендаций по его совершенствованию.  </w:t>
      </w:r>
    </w:p>
    <w:p w14:paraId="287F5320" w14:textId="1CA86BE7" w:rsidR="00CF4270" w:rsidRDefault="00CF4270" w:rsidP="00CF4270">
      <w:pPr>
        <w:pStyle w:val="ONUME"/>
      </w:pPr>
      <w:r>
        <w:t xml:space="preserve">Секция оценки </w:t>
      </w:r>
      <w:r w:rsidR="007D5876">
        <w:t>также консультировала руководство на этапе планирования</w:t>
      </w:r>
      <w:r>
        <w:t xml:space="preserve"> внешней </w:t>
      </w:r>
      <w:r w:rsidR="007D5876">
        <w:t xml:space="preserve">оценки </w:t>
      </w:r>
      <w:r>
        <w:t xml:space="preserve">WIPO </w:t>
      </w:r>
      <w:r w:rsidR="0097450D">
        <w:t>R</w:t>
      </w:r>
      <w:r w:rsidR="0097450D">
        <w:rPr>
          <w:lang w:val="en-GB"/>
        </w:rPr>
        <w:t>e</w:t>
      </w:r>
      <w:r>
        <w:t xml:space="preserve">: </w:t>
      </w:r>
      <w:r w:rsidR="0097450D">
        <w:rPr>
          <w:lang w:val="en-GB"/>
        </w:rPr>
        <w:t>S</w:t>
      </w:r>
      <w:r w:rsidR="0097450D">
        <w:t>earch</w:t>
      </w:r>
      <w:r w:rsidR="007D5876">
        <w:t xml:space="preserve">. Эти </w:t>
      </w:r>
      <w:r w:rsidR="0097450D">
        <w:t>консультативные мероприятия, в частности,</w:t>
      </w:r>
      <w:r w:rsidR="007D5876">
        <w:t xml:space="preserve"> заключались в техническом</w:t>
      </w:r>
      <w:r>
        <w:t xml:space="preserve"> </w:t>
      </w:r>
      <w:r w:rsidR="007D5876">
        <w:t xml:space="preserve">контроле </w:t>
      </w:r>
      <w:r>
        <w:t>качества мандата на проведение</w:t>
      </w:r>
      <w:r w:rsidR="007D5876">
        <w:t xml:space="preserve"> планируемой внешней оценки WIPO </w:t>
      </w:r>
      <w:r w:rsidR="0097450D">
        <w:t>R</w:t>
      </w:r>
      <w:r w:rsidR="0097450D">
        <w:rPr>
          <w:lang w:val="en-GB"/>
        </w:rPr>
        <w:t>e</w:t>
      </w:r>
      <w:r w:rsidR="007D5876">
        <w:t xml:space="preserve">: </w:t>
      </w:r>
      <w:r w:rsidR="0097450D">
        <w:rPr>
          <w:lang w:val="en-GB"/>
        </w:rPr>
        <w:t>S</w:t>
      </w:r>
      <w:r w:rsidR="0097450D">
        <w:t>earch</w:t>
      </w:r>
      <w:r>
        <w:t>.</w:t>
      </w:r>
    </w:p>
    <w:p w14:paraId="752877D1" w14:textId="6EBABA1A" w:rsidR="00CF4270" w:rsidRDefault="00CF4270" w:rsidP="009E7402">
      <w:pPr>
        <w:pStyle w:val="ONUME"/>
      </w:pPr>
      <w:r>
        <w:t xml:space="preserve">Секция оценки </w:t>
      </w:r>
      <w:r w:rsidR="00E63146">
        <w:t>проводит два консультативных мероприятия</w:t>
      </w:r>
      <w:r>
        <w:t xml:space="preserve">, </w:t>
      </w:r>
      <w:r w:rsidR="007D5876">
        <w:t xml:space="preserve">которые были начаты </w:t>
      </w:r>
      <w:r>
        <w:t xml:space="preserve">в 2020 г. и </w:t>
      </w:r>
      <w:r w:rsidR="007D5876">
        <w:t xml:space="preserve">будут закончены </w:t>
      </w:r>
      <w:r>
        <w:t>в 2021</w:t>
      </w:r>
      <w:r w:rsidR="00982C4A">
        <w:t> </w:t>
      </w:r>
      <w:r>
        <w:t>г.  Перв</w:t>
      </w:r>
      <w:r w:rsidR="00E63146">
        <w:t>ое</w:t>
      </w:r>
      <w:r>
        <w:t xml:space="preserve"> предусматривает предоставление консультаций по процессам, качеству и исходным данным для технического инструмента, которые касаются деятельности сектора развития, связанной со сравнительным анализом и с самооценкой национальных стратегий в области ИС.  Втор</w:t>
      </w:r>
      <w:r w:rsidR="00E63146">
        <w:t>ое</w:t>
      </w:r>
      <w:r>
        <w:t xml:space="preserve"> направлен</w:t>
      </w:r>
      <w:r w:rsidR="00E63146">
        <w:t>о</w:t>
      </w:r>
      <w:r>
        <w:t xml:space="preserve"> на оптимизацию и пересмотр существующих элементов самооценки Отдела Латинской Америки с целью повышения эффективности, </w:t>
      </w:r>
      <w:r w:rsidR="0076235E">
        <w:t xml:space="preserve">совершенствования </w:t>
      </w:r>
      <w:r>
        <w:t>принятия решений и представления результатов.</w:t>
      </w:r>
    </w:p>
    <w:p w14:paraId="04F4D32C" w14:textId="77777777" w:rsidR="00C46B12" w:rsidRPr="00E32ADE" w:rsidRDefault="00C46B12" w:rsidP="00AC38B6">
      <w:pPr>
        <w:pStyle w:val="Heading1"/>
      </w:pPr>
      <w:bookmarkStart w:id="50" w:name="_Toc39071253"/>
      <w:bookmarkStart w:id="51" w:name="_Toc75781974"/>
      <w:r>
        <w:t>СОТРУДНИЧЕСТВО С ВНЕШНИМИ НАДЗОРНЫМИ ОРГАНАМИ</w:t>
      </w:r>
      <w:bookmarkEnd w:id="50"/>
      <w:bookmarkEnd w:id="51"/>
      <w:r>
        <w:t xml:space="preserve"> </w:t>
      </w:r>
    </w:p>
    <w:p w14:paraId="3F55FCCD" w14:textId="77777777" w:rsidR="00C46B12" w:rsidRPr="00E32ADE" w:rsidRDefault="00C46B12" w:rsidP="00315F3C">
      <w:pPr>
        <w:pStyle w:val="Heading2"/>
      </w:pPr>
      <w:r>
        <w:t>Независимый консультативный комитет по надзору (НККН)</w:t>
      </w:r>
    </w:p>
    <w:p w14:paraId="5137681D" w14:textId="32FB3D03" w:rsidR="00B129CD" w:rsidRPr="00E32ADE" w:rsidRDefault="00C46B12" w:rsidP="00B129CD">
      <w:pPr>
        <w:pStyle w:val="ONUME"/>
      </w:pPr>
      <w:r>
        <w:t>ОВН регулярно участвовал в сессиях НККН, отчитываясь по вопросам осуществления плана внутреннего надзора, обсуждая результаты деятельности по надзору и другие аспекты, касающиеся работы и функционирования Отдела, и запрашивая советы НККН.  В период, охватываемый настоящим отчетом, НККН провел четыре сессии (с 56-й по 59-ю).</w:t>
      </w:r>
    </w:p>
    <w:p w14:paraId="2A501E6F" w14:textId="673757FD" w:rsidR="00C46B12" w:rsidRPr="00E32ADE" w:rsidRDefault="00C46B12" w:rsidP="00252695">
      <w:pPr>
        <w:pStyle w:val="Heading2"/>
      </w:pPr>
      <w:r>
        <w:t>Внешний аудитор</w:t>
      </w:r>
    </w:p>
    <w:p w14:paraId="5EAC63E3" w14:textId="1731235C" w:rsidR="00C46B12" w:rsidRDefault="00C46B12" w:rsidP="002C23BF">
      <w:pPr>
        <w:pStyle w:val="ONUME"/>
      </w:pPr>
      <w:r>
        <w:t xml:space="preserve">ОВН поддерживал хорошие рабочие контакты с внешним аудитором и проводил регулярные встречи по вопросам аудита, внутреннего контроля и управления рисками.  В интересах обеспечения эффективного охвата надзорной деятельности и во избежание потенциального дублирования функций и чрезмерного контроля внешний аудитор и ОВН обменивались информацией о своих стратегиях, годовых планах и содержании конкретных отчетов.  ОВН вел активную работу с внешним </w:t>
      </w:r>
      <w:r w:rsidR="0076235E">
        <w:t xml:space="preserve">аудитором </w:t>
      </w:r>
      <w:r>
        <w:t>в ходе планирования и последующего осуществления мероприятий в 2020</w:t>
      </w:r>
      <w:r w:rsidR="00982C4A">
        <w:t> </w:t>
      </w:r>
      <w:r>
        <w:t>г</w:t>
      </w:r>
      <w:r w:rsidR="00982C4A">
        <w:t>.</w:t>
      </w:r>
      <w:r w:rsidR="00E63146">
        <w:t>, а также</w:t>
      </w:r>
      <w:r>
        <w:t xml:space="preserve"> </w:t>
      </w:r>
      <w:r w:rsidR="00E63146">
        <w:t xml:space="preserve">предоставления необходимой информации </w:t>
      </w:r>
      <w:r>
        <w:t xml:space="preserve">по </w:t>
      </w:r>
      <w:r w:rsidR="0076235E">
        <w:t xml:space="preserve">его </w:t>
      </w:r>
      <w:r>
        <w:t xml:space="preserve">запросам.  </w:t>
      </w:r>
    </w:p>
    <w:p w14:paraId="67502555" w14:textId="77777777" w:rsidR="00C46B12" w:rsidRPr="00AC38B6" w:rsidRDefault="00C46B12" w:rsidP="00315F3C">
      <w:pPr>
        <w:pStyle w:val="Heading2"/>
      </w:pPr>
      <w:r>
        <w:t>Сотрудничество с Омбудсменом и Бюро по вопросам этики</w:t>
      </w:r>
    </w:p>
    <w:p w14:paraId="08B52B16" w14:textId="77777777" w:rsidR="00C46B12" w:rsidRPr="00E32ADE" w:rsidRDefault="00C46B12" w:rsidP="002C23BF">
      <w:pPr>
        <w:pStyle w:val="ONUME"/>
      </w:pPr>
      <w:r>
        <w:t>В течение отчетного периода директор ОВН регулярно встречался с Омбудсменом и Старшим сотрудником по вопросам этики для обеспечения надлежащей координации и взаимодополняемости усилий.</w:t>
      </w:r>
    </w:p>
    <w:p w14:paraId="2942B27A" w14:textId="77777777" w:rsidR="00C46B12" w:rsidRPr="00E32ADE" w:rsidRDefault="00C46B12" w:rsidP="00C46B12">
      <w:pPr>
        <w:pStyle w:val="Heading1"/>
      </w:pPr>
      <w:bookmarkStart w:id="52" w:name="_Toc39071254"/>
      <w:bookmarkStart w:id="53" w:name="_Toc75781975"/>
      <w:r>
        <w:t>ПРОЧИЕ НАПРАВЛЕНИЯ РАБОТЫ ПО ОБЕСПЕЧЕНИЮ НАДЗОРА</w:t>
      </w:r>
      <w:bookmarkEnd w:id="52"/>
      <w:bookmarkEnd w:id="53"/>
    </w:p>
    <w:p w14:paraId="704EE343" w14:textId="3D7E7528" w:rsidR="00A65650" w:rsidRPr="002150AF" w:rsidRDefault="002150AF" w:rsidP="002150AF">
      <w:pPr>
        <w:pStyle w:val="Heading2"/>
      </w:pPr>
      <w:r>
        <w:t>Проект в области анализа данных</w:t>
      </w:r>
    </w:p>
    <w:p w14:paraId="5FEFCE7F" w14:textId="07700DC2" w:rsidR="00252695" w:rsidRDefault="001B7D41" w:rsidP="00BE1D92">
      <w:pPr>
        <w:pStyle w:val="ONUME"/>
      </w:pPr>
      <w:r>
        <w:t>Проект ОВН в области анализа данных для оптимизации постоянной аудиторской деятельности был начат в декабре 2020</w:t>
      </w:r>
      <w:r w:rsidR="00982C4A">
        <w:t> </w:t>
      </w:r>
      <w:r>
        <w:t>г</w:t>
      </w:r>
      <w:r w:rsidR="00982C4A">
        <w:t>.</w:t>
      </w:r>
      <w:r>
        <w:t xml:space="preserve"> и продолжается в настоящее время.  В рамках проекта предстоит решить следующие задачи:  обновить и повысить потенциал ОВН по анализу данных и ведению постоянного аудита, включая разработку сценариев для проведения тестов анализа данных;  составить руководящие принципы по разработке сценариев;  провести обучение персонала ОВН по вопросам использования анализа данных; и оказать помощь в обеспечении возможности визуализации результатов анализа.  Ожидается, что проект будет завершен в течение третьего квартала 2021 г.</w:t>
      </w:r>
    </w:p>
    <w:p w14:paraId="7EC5B0BB" w14:textId="367C418D" w:rsidR="00C46B12" w:rsidRPr="002150AF" w:rsidRDefault="002150AF" w:rsidP="002150AF">
      <w:pPr>
        <w:pStyle w:val="Heading2"/>
      </w:pPr>
      <w:r>
        <w:lastRenderedPageBreak/>
        <w:t>Информационно-разъяснительная работа в рамках Организации</w:t>
      </w:r>
    </w:p>
    <w:p w14:paraId="011A01E7" w14:textId="77777777" w:rsidR="00C46B12" w:rsidRPr="00891DF0" w:rsidRDefault="00C46B12" w:rsidP="002C23BF">
      <w:pPr>
        <w:pStyle w:val="ONUME"/>
        <w:rPr>
          <w:bCs/>
          <w:iCs/>
          <w:caps/>
          <w:szCs w:val="28"/>
        </w:rPr>
      </w:pPr>
      <w:r>
        <w:t xml:space="preserve">В рамках своих постоянных усилий, направленных на формирование более полного представления о функциях внутреннего надзора и разъяснение его задач, ОВН продолжал проводить информационно-разъяснительную работу среди коллег по ВОИС посредством презентаций, проводимых для новых сотрудников в рамках вводного инструктажа, бюллетеня ОВН, информационной панели ОВН и презентаций для директоров и высшего руководства, по мере необходимости. </w:t>
      </w:r>
    </w:p>
    <w:p w14:paraId="70BCD8FD" w14:textId="3DFAB403" w:rsidR="00C46B12" w:rsidRPr="002150AF" w:rsidRDefault="002150AF" w:rsidP="002150AF">
      <w:pPr>
        <w:pStyle w:val="Heading2"/>
      </w:pPr>
      <w:r>
        <w:t>Поддержание контактов с другими надзорными органами</w:t>
      </w:r>
    </w:p>
    <w:p w14:paraId="17DD48F0" w14:textId="70CC84B8" w:rsidR="00C46B12" w:rsidRPr="00E32ADE" w:rsidRDefault="00C46B12" w:rsidP="002C23BF">
      <w:pPr>
        <w:pStyle w:val="ONUME"/>
      </w:pPr>
      <w:r>
        <w:t>УВН содержит конкретные положения</w:t>
      </w:r>
      <w:r>
        <w:rPr>
          <w:rStyle w:val="FootnoteReference"/>
        </w:rPr>
        <w:footnoteReference w:id="15"/>
      </w:r>
      <w:r>
        <w:t xml:space="preserve"> о поддержании связи и сотрудничестве со службами внутреннего надзора других организаций системы ООН и многосторонних финансовых учреждений.  ОВН осознает ценность и значимость развития отношений с другими надзорными органами.  В течение отчетного периода ОВН продолжал активно и плодотворно взаимодействовать и налаживать контакты с другими организациями и учреждениями системы ООН. В частности, ОВН принял активное участие в следующих мероприятиях:</w:t>
      </w:r>
    </w:p>
    <w:p w14:paraId="09C1069F" w14:textId="23863114" w:rsidR="00D61B5E" w:rsidRDefault="00D61B5E" w:rsidP="00D61B5E">
      <w:pPr>
        <w:pStyle w:val="ONUME"/>
        <w:numPr>
          <w:ilvl w:val="1"/>
          <w:numId w:val="6"/>
        </w:numPr>
      </w:pPr>
      <w:r>
        <w:t>Совещание ПСВА ООН в виртуальном формате, посвященное реагированию ООН на вспышку Covid-19 и обмену опытом, проведенное Управлением служб внутреннего надзора (УСВН) ООН 14</w:t>
      </w:r>
      <w:r w:rsidR="00982C4A">
        <w:t> </w:t>
      </w:r>
      <w:r>
        <w:t>мая 2020</w:t>
      </w:r>
      <w:r w:rsidR="00982C4A">
        <w:t> </w:t>
      </w:r>
      <w:r>
        <w:t>г.;</w:t>
      </w:r>
    </w:p>
    <w:p w14:paraId="02738A4A" w14:textId="04403DCF" w:rsidR="00D61B5E" w:rsidRDefault="00D61B5E" w:rsidP="00E74FD4">
      <w:pPr>
        <w:pStyle w:val="ONUME"/>
        <w:numPr>
          <w:ilvl w:val="1"/>
          <w:numId w:val="6"/>
        </w:numPr>
      </w:pPr>
      <w:r>
        <w:t>Групповое обсуждение ПСВА</w:t>
      </w:r>
      <w:r w:rsidR="0097450D">
        <w:t> ООН</w:t>
      </w:r>
      <w:r>
        <w:t xml:space="preserve"> в виртуальном формате, посвященное влиянию Covid-19, проведенное </w:t>
      </w:r>
      <w:r w:rsidR="003C0116" w:rsidRPr="003C0116">
        <w:t>Управлени</w:t>
      </w:r>
      <w:r w:rsidR="003C0116">
        <w:t>ем</w:t>
      </w:r>
      <w:r w:rsidR="003C0116" w:rsidRPr="003C0116">
        <w:t xml:space="preserve"> служб внутреннего надзора</w:t>
      </w:r>
      <w:r w:rsidR="003C0116" w:rsidRPr="003C0116" w:rsidDel="003C0116">
        <w:t xml:space="preserve"> </w:t>
      </w:r>
      <w:r>
        <w:t>Международного агентства по атомной энергии 23</w:t>
      </w:r>
      <w:r w:rsidR="00335AA4">
        <w:t> </w:t>
      </w:r>
      <w:r>
        <w:t>июня 2020</w:t>
      </w:r>
      <w:r w:rsidR="00982C4A">
        <w:t> </w:t>
      </w:r>
      <w:r>
        <w:t>г.;</w:t>
      </w:r>
    </w:p>
    <w:p w14:paraId="0C50E341" w14:textId="37C3511C" w:rsidR="00C46B12" w:rsidRDefault="003C0116" w:rsidP="008071F1">
      <w:pPr>
        <w:pStyle w:val="ONUME"/>
        <w:numPr>
          <w:ilvl w:val="1"/>
          <w:numId w:val="6"/>
        </w:numPr>
      </w:pPr>
      <w:r>
        <w:t xml:space="preserve">Сессия </w:t>
      </w:r>
      <w:r w:rsidR="00A66C8A">
        <w:t xml:space="preserve">ПСВА </w:t>
      </w:r>
      <w:r w:rsidR="0097450D">
        <w:t xml:space="preserve">ООН </w:t>
      </w:r>
      <w:r w:rsidR="00A66C8A">
        <w:t>в виртуальном формате</w:t>
      </w:r>
      <w:r>
        <w:t>, посвященная</w:t>
      </w:r>
      <w:r w:rsidR="00A66C8A">
        <w:t xml:space="preserve"> успеха</w:t>
      </w:r>
      <w:r>
        <w:t>м</w:t>
      </w:r>
      <w:r w:rsidR="00A66C8A">
        <w:t xml:space="preserve"> и </w:t>
      </w:r>
      <w:r>
        <w:t xml:space="preserve">неудачам </w:t>
      </w:r>
      <w:r w:rsidR="00A66C8A">
        <w:t>экспериментов с технологиями в аудите</w:t>
      </w:r>
      <w:r>
        <w:t>, проведенная Азиатским банком развития 28</w:t>
      </w:r>
      <w:r w:rsidR="00982C4A">
        <w:t> </w:t>
      </w:r>
      <w:r>
        <w:t>августа 2020</w:t>
      </w:r>
      <w:r w:rsidR="00982C4A">
        <w:t> </w:t>
      </w:r>
      <w:r>
        <w:t>г.</w:t>
      </w:r>
      <w:r w:rsidR="00A66C8A">
        <w:t xml:space="preserve">; </w:t>
      </w:r>
    </w:p>
    <w:p w14:paraId="0F7A4F7A" w14:textId="76D59923" w:rsidR="00A94048" w:rsidRDefault="00A94048" w:rsidP="00A94048">
      <w:pPr>
        <w:pStyle w:val="ONUME"/>
        <w:numPr>
          <w:ilvl w:val="1"/>
          <w:numId w:val="6"/>
        </w:numPr>
      </w:pPr>
      <w:r>
        <w:t>Сессия ПСВА</w:t>
      </w:r>
      <w:r w:rsidR="0097450D">
        <w:t xml:space="preserve"> ООН</w:t>
      </w:r>
      <w:r>
        <w:t xml:space="preserve"> в виртуальном формате, посвященная динамической модели оценки рисков, проведенная Всемирным банком 3</w:t>
      </w:r>
      <w:r w:rsidR="00982C4A">
        <w:t> </w:t>
      </w:r>
      <w:r>
        <w:t>ноября 2020</w:t>
      </w:r>
      <w:r w:rsidR="00982C4A">
        <w:t> </w:t>
      </w:r>
      <w:r>
        <w:t>г.</w:t>
      </w:r>
      <w:r w:rsidR="0097450D">
        <w:t>;</w:t>
      </w:r>
      <w:r>
        <w:t xml:space="preserve">  </w:t>
      </w:r>
    </w:p>
    <w:p w14:paraId="2834A22A" w14:textId="43E7F655" w:rsidR="00A66C8A" w:rsidRDefault="00A66C8A" w:rsidP="00D61B5E">
      <w:pPr>
        <w:pStyle w:val="ONUME"/>
        <w:numPr>
          <w:ilvl w:val="1"/>
          <w:numId w:val="6"/>
        </w:numPr>
      </w:pPr>
      <w:r>
        <w:t>Обсуждени</w:t>
      </w:r>
      <w:r w:rsidR="003C0116">
        <w:t>е</w:t>
      </w:r>
      <w:r>
        <w:t xml:space="preserve"> ПСВА</w:t>
      </w:r>
      <w:r w:rsidR="0097450D">
        <w:t xml:space="preserve"> ООН</w:t>
      </w:r>
      <w:r>
        <w:t xml:space="preserve"> в виртуальном формате, посвященн</w:t>
      </w:r>
      <w:r w:rsidR="003C0116">
        <w:t>ое</w:t>
      </w:r>
      <w:r>
        <w:t xml:space="preserve"> отчету Комиссии ревизоров ООН и последним событиям, связанным с реформой ООН, проведенн</w:t>
      </w:r>
      <w:r w:rsidR="00E63146">
        <w:t>ое</w:t>
      </w:r>
      <w:r>
        <w:t xml:space="preserve"> УСВН 12</w:t>
      </w:r>
      <w:r w:rsidR="00982C4A">
        <w:t> </w:t>
      </w:r>
      <w:r>
        <w:t>ноября 2020</w:t>
      </w:r>
      <w:r w:rsidR="00982C4A">
        <w:t> </w:t>
      </w:r>
      <w:r>
        <w:t>г.</w:t>
      </w:r>
      <w:r w:rsidR="0097450D">
        <w:t>;</w:t>
      </w:r>
      <w:r>
        <w:t xml:space="preserve">  </w:t>
      </w:r>
    </w:p>
    <w:p w14:paraId="356C9EEF" w14:textId="2008FA32" w:rsidR="00140918" w:rsidRDefault="00E74FD4" w:rsidP="002C23BF">
      <w:pPr>
        <w:pStyle w:val="ONUME"/>
        <w:numPr>
          <w:ilvl w:val="1"/>
          <w:numId w:val="6"/>
        </w:numPr>
      </w:pPr>
      <w:r>
        <w:t>Годовое общее собрание ЮНЕГ 2020</w:t>
      </w:r>
      <w:r w:rsidR="00982C4A">
        <w:t> </w:t>
      </w:r>
      <w:r>
        <w:t>г. и семинар по обмену опытом, проведенные в виртуальном формате 22–23</w:t>
      </w:r>
      <w:r w:rsidR="00982C4A">
        <w:t> </w:t>
      </w:r>
      <w:r>
        <w:t>июня 2020</w:t>
      </w:r>
      <w:r w:rsidR="00982C4A">
        <w:t> </w:t>
      </w:r>
      <w:r>
        <w:t>г.</w:t>
      </w:r>
      <w:r w:rsidR="0097450D">
        <w:t>;</w:t>
      </w:r>
    </w:p>
    <w:p w14:paraId="175DA4A7" w14:textId="2F8FED37" w:rsidR="00140918" w:rsidRDefault="00BC0925" w:rsidP="00140918">
      <w:pPr>
        <w:pStyle w:val="ONUME"/>
        <w:numPr>
          <w:ilvl w:val="1"/>
          <w:numId w:val="6"/>
        </w:numPr>
      </w:pPr>
      <w:r>
        <w:t xml:space="preserve">Участие в работе ЮНЕГ путем выполнения обязанностей заместителя председателя и </w:t>
      </w:r>
      <w:r w:rsidR="003C0116">
        <w:t xml:space="preserve">руководства созданием </w:t>
      </w:r>
      <w:r>
        <w:t>дискуссионной группы</w:t>
      </w:r>
      <w:r w:rsidR="003C0116">
        <w:t xml:space="preserve"> для проведения </w:t>
      </w:r>
      <w:r>
        <w:t>Профессиональн</w:t>
      </w:r>
      <w:r w:rsidR="003C0116">
        <w:t>ой</w:t>
      </w:r>
      <w:r>
        <w:t xml:space="preserve"> </w:t>
      </w:r>
      <w:r w:rsidR="003C0116">
        <w:t xml:space="preserve">экспертной оценки </w:t>
      </w:r>
      <w:r>
        <w:t>Международной организации по миграции</w:t>
      </w:r>
      <w:r w:rsidR="0097450D">
        <w:t>; и</w:t>
      </w:r>
    </w:p>
    <w:p w14:paraId="524093FA" w14:textId="35AF49A4" w:rsidR="003038D9" w:rsidRDefault="003038D9" w:rsidP="003038D9">
      <w:pPr>
        <w:pStyle w:val="ONUME"/>
        <w:numPr>
          <w:ilvl w:val="1"/>
          <w:numId w:val="6"/>
        </w:numPr>
      </w:pPr>
      <w:r>
        <w:t xml:space="preserve">Обучение в режиме онлайн для специалистов по проведению расследований системы ООН по «когнитивным аспектам проведения интервью», организованное </w:t>
      </w:r>
      <w:r w:rsidR="004B3BC9">
        <w:t xml:space="preserve">ОВН </w:t>
      </w:r>
      <w:r>
        <w:t xml:space="preserve">совместно с УСВН. </w:t>
      </w:r>
    </w:p>
    <w:p w14:paraId="10AABDE8" w14:textId="580F551D" w:rsidR="00550057" w:rsidRDefault="00550057" w:rsidP="00B129CD">
      <w:pPr>
        <w:pStyle w:val="Heading1"/>
      </w:pPr>
      <w:bookmarkStart w:id="54" w:name="_Toc75781976"/>
      <w:bookmarkStart w:id="55" w:name="_Toc39071255"/>
      <w:r>
        <w:t xml:space="preserve">ПРОГРАММА </w:t>
      </w:r>
      <w:r w:rsidR="00335AA4">
        <w:t>обеспечения</w:t>
      </w:r>
      <w:r>
        <w:t xml:space="preserve"> И ПОВЫШЕНИЯ КАЧЕСТВА ОВН</w:t>
      </w:r>
      <w:bookmarkEnd w:id="54"/>
    </w:p>
    <w:p w14:paraId="3D0271C9" w14:textId="0901CBBB" w:rsidR="00EA028E" w:rsidRDefault="00550057" w:rsidP="00252695">
      <w:pPr>
        <w:pStyle w:val="ONUME"/>
      </w:pPr>
      <w:r>
        <w:t>Программа обеспечения и повышения качества (ОПОК) ОВН призвана обеспечить разумную уверенность различных заинтересованных сторон</w:t>
      </w:r>
      <w:r w:rsidRPr="00B129CD">
        <w:rPr>
          <w:vertAlign w:val="superscript"/>
        </w:rPr>
        <w:footnoteReference w:id="16"/>
      </w:r>
      <w:r>
        <w:rPr>
          <w:vertAlign w:val="superscript"/>
        </w:rPr>
        <w:t xml:space="preserve"> </w:t>
      </w:r>
      <w:r>
        <w:t>в том, что деятельность в области надзора ведется в соответствии с У</w:t>
      </w:r>
      <w:r w:rsidR="004B3BC9">
        <w:t>ВН и</w:t>
      </w:r>
      <w:r>
        <w:t xml:space="preserve"> соответствующими стандартами и профессиональной практикой каждого подразделения, эффективна и воспринимается </w:t>
      </w:r>
      <w:r>
        <w:lastRenderedPageBreak/>
        <w:t xml:space="preserve">заинтересованными сторонами как создающая дополнительную ценность и постоянно совершенствующаяся.  ОПОК распространяется на области, указанные ниже. </w:t>
      </w:r>
    </w:p>
    <w:p w14:paraId="167C1CA9" w14:textId="282BFD65" w:rsidR="00C46B12" w:rsidRPr="002150AF" w:rsidRDefault="002150AF" w:rsidP="002150AF">
      <w:pPr>
        <w:pStyle w:val="Heading2"/>
      </w:pPr>
      <w:r>
        <w:t>Оперативная независимость</w:t>
      </w:r>
      <w:bookmarkEnd w:id="55"/>
      <w:r>
        <w:t xml:space="preserve"> ОВН</w:t>
      </w:r>
    </w:p>
    <w:p w14:paraId="32643C16" w14:textId="06440348" w:rsidR="00C46B12" w:rsidRDefault="00C46B12" w:rsidP="00FC1072">
      <w:pPr>
        <w:pStyle w:val="ONUME"/>
      </w:pPr>
      <w:r>
        <w:t>В соответствии с УВН</w:t>
      </w:r>
      <w:r>
        <w:rPr>
          <w:rStyle w:val="FootnoteReference"/>
        </w:rPr>
        <w:footnoteReference w:id="17"/>
      </w:r>
      <w:r>
        <w:t xml:space="preserve"> директор ОВН обязан подтверждать организационную независимость функции внутреннего надзора и представлять информацию относительно охвата деятельности по внутреннему надзору и достаточности ресурсов, выделяемых для соответствующих целей.  </w:t>
      </w:r>
    </w:p>
    <w:p w14:paraId="2B450184" w14:textId="60A2137C" w:rsidR="00C46B12" w:rsidRDefault="00C46B12" w:rsidP="002C23BF">
      <w:pPr>
        <w:pStyle w:val="ONUME"/>
      </w:pPr>
      <w:r>
        <w:t>В течение отчетного периода не произошло никаких случаев/действий, которые можно было бы рассматривать как ставящие под угрозу оперативную независимость ОВН.  Не было никаких фактических или предполагаемых вмешательств в работу ОВН.  Решение об охвате надзорной деятельности было принято ОВН с учетом оценки рисков, а также комментариев и отзывов, полученных от руководства ВОИС, НККН и государств-членов, в зависимости от обстоятельств.</w:t>
      </w:r>
      <w:bookmarkStart w:id="56" w:name="_Toc420663573"/>
    </w:p>
    <w:p w14:paraId="49D224C0" w14:textId="4681F15C" w:rsidR="00044A42" w:rsidRDefault="002150AF" w:rsidP="002150AF">
      <w:pPr>
        <w:pStyle w:val="Heading2"/>
      </w:pPr>
      <w:r>
        <w:t>Постоянный контроль и ключевые показатели результативности</w:t>
      </w:r>
    </w:p>
    <w:p w14:paraId="6A546263" w14:textId="11356749" w:rsidR="00044A42" w:rsidRDefault="00044A42">
      <w:pPr>
        <w:pStyle w:val="ONUME"/>
      </w:pPr>
      <w:r>
        <w:t>Постоянный контроль эффективности деятельности по надзору — это повседневное руководство, анализ и измерение показателей деятельности по внутреннему аудиту, встроенные в регламенты, руководства и рутинные процедуры ОВН.  Кроме того, для выполнения руководств и процедур, в том числе для поддержки подачи документов, проведения проверок и утверждений, контроля выполнения рекомендаций и подготовки отчетности, используется система управления аудитом (TeamMate</w:t>
      </w:r>
      <w:r>
        <w:rPr>
          <w:vertAlign w:val="superscript"/>
        </w:rPr>
        <w:t>TM</w:t>
      </w:r>
      <w:r>
        <w:t xml:space="preserve">) . </w:t>
      </w:r>
    </w:p>
    <w:p w14:paraId="6502AB98" w14:textId="3EE9760B" w:rsidR="00044A42" w:rsidRDefault="00044A42" w:rsidP="00252695">
      <w:pPr>
        <w:pStyle w:val="ONUME"/>
      </w:pPr>
      <w:r>
        <w:t>ОВН также ввел показатели результативности для измерения эффективности, результативности и релевантности деятельности по надзору.  Ниже приведены результаты измерения этих показателей за 2020</w:t>
      </w:r>
      <w:r w:rsidR="00982C4A">
        <w:t> </w:t>
      </w:r>
      <w:r>
        <w:t>г.</w:t>
      </w:r>
    </w:p>
    <w:p w14:paraId="2C8D72B0" w14:textId="7D82D953" w:rsidR="0066080A" w:rsidRDefault="0066080A" w:rsidP="00BA3978">
      <w:pPr>
        <w:pStyle w:val="ONUME"/>
        <w:keepNext/>
        <w:numPr>
          <w:ilvl w:val="0"/>
          <w:numId w:val="0"/>
        </w:numPr>
        <w:ind w:left="567"/>
        <w:jc w:val="center"/>
      </w:pPr>
      <w:r>
        <w:rPr>
          <w:b/>
          <w:sz w:val="18"/>
        </w:rPr>
        <w:lastRenderedPageBreak/>
        <w:t>Таблица 3. Показатели результативности ОВН</w:t>
      </w:r>
    </w:p>
    <w:tbl>
      <w:tblPr>
        <w:tblStyle w:val="GridTable5Dark-Accent1"/>
        <w:tblW w:w="0" w:type="auto"/>
        <w:tblLook w:val="04A0" w:firstRow="1" w:lastRow="0" w:firstColumn="1" w:lastColumn="0" w:noHBand="0" w:noVBand="1"/>
        <w:tblCaption w:val="Таблица 3"/>
        <w:tblDescription w:val="Показатели результативности работы ОВН"/>
      </w:tblPr>
      <w:tblGrid>
        <w:gridCol w:w="4672"/>
        <w:gridCol w:w="4673"/>
      </w:tblGrid>
      <w:tr w:rsidR="005328C2" w:rsidRPr="005328C2" w14:paraId="0A163147"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vAlign w:val="center"/>
          </w:tcPr>
          <w:p w14:paraId="3F37D04A" w14:textId="557D0F64" w:rsidR="0066080A" w:rsidRPr="005328C2" w:rsidRDefault="0066080A" w:rsidP="005328C2">
            <w:pPr>
              <w:pStyle w:val="ONUME"/>
              <w:numPr>
                <w:ilvl w:val="0"/>
                <w:numId w:val="0"/>
              </w:numPr>
              <w:jc w:val="center"/>
              <w:rPr>
                <w:color w:val="auto"/>
              </w:rPr>
            </w:pPr>
            <w:r>
              <w:rPr>
                <w:color w:val="auto"/>
              </w:rPr>
              <w:t>Показатель результативности</w:t>
            </w:r>
          </w:p>
        </w:tc>
        <w:tc>
          <w:tcPr>
            <w:tcW w:w="4673" w:type="dxa"/>
            <w:vAlign w:val="center"/>
          </w:tcPr>
          <w:p w14:paraId="5B3E8F8E" w14:textId="3285CF44" w:rsidR="0066080A" w:rsidRPr="005328C2" w:rsidRDefault="0066080A" w:rsidP="005328C2">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Результат в процентах</w:t>
            </w:r>
          </w:p>
        </w:tc>
      </w:tr>
      <w:tr w:rsidR="005328C2" w:rsidRPr="005328C2" w14:paraId="302C67CC"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106D197B" w14:textId="030E8952" w:rsidR="0066080A" w:rsidRPr="005328C2" w:rsidRDefault="0066080A" w:rsidP="0066080A">
            <w:pPr>
              <w:pStyle w:val="ONUME"/>
              <w:numPr>
                <w:ilvl w:val="0"/>
                <w:numId w:val="0"/>
              </w:numPr>
              <w:jc w:val="center"/>
              <w:rPr>
                <w:b w:val="0"/>
                <w:color w:val="auto"/>
              </w:rPr>
            </w:pPr>
            <w:r>
              <w:rPr>
                <w:b w:val="0"/>
                <w:color w:val="auto"/>
              </w:rPr>
              <w:t>Доля (%) плановых проверок, завершенных с предоставлением отчета в течение четырех месяцев после установочного совещания</w:t>
            </w:r>
          </w:p>
        </w:tc>
        <w:tc>
          <w:tcPr>
            <w:tcW w:w="4673" w:type="dxa"/>
          </w:tcPr>
          <w:p w14:paraId="44774F5C" w14:textId="14C9CC97" w:rsidR="0066080A" w:rsidRPr="005328C2" w:rsidRDefault="0066080A" w:rsidP="0066080A">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pPr>
            <w:r>
              <w:t>75%</w:t>
            </w:r>
          </w:p>
        </w:tc>
      </w:tr>
      <w:tr w:rsidR="005328C2" w:rsidRPr="005328C2" w14:paraId="2B69925C"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3296BBC0" w14:textId="7E5F0CD8" w:rsidR="0066080A" w:rsidRPr="005328C2" w:rsidRDefault="0066080A" w:rsidP="0066080A">
            <w:pPr>
              <w:pStyle w:val="ONUME"/>
              <w:numPr>
                <w:ilvl w:val="0"/>
                <w:numId w:val="0"/>
              </w:numPr>
              <w:jc w:val="center"/>
              <w:rPr>
                <w:b w:val="0"/>
                <w:color w:val="auto"/>
              </w:rPr>
            </w:pPr>
            <w:r>
              <w:rPr>
                <w:b w:val="0"/>
                <w:color w:val="auto"/>
              </w:rPr>
              <w:t>Доля (%) плановых проверок, завершенных с предоставлением отчета в течение шести месяцев</w:t>
            </w:r>
          </w:p>
        </w:tc>
        <w:tc>
          <w:tcPr>
            <w:tcW w:w="4673" w:type="dxa"/>
          </w:tcPr>
          <w:p w14:paraId="5BAD88E5" w14:textId="3614149C" w:rsidR="0066080A" w:rsidRPr="005328C2" w:rsidRDefault="0066080A" w:rsidP="0066080A">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pPr>
            <w:r>
              <w:t>75%</w:t>
            </w:r>
          </w:p>
        </w:tc>
      </w:tr>
      <w:tr w:rsidR="005328C2" w:rsidRPr="005328C2" w14:paraId="1C0488EF"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0C208CBF" w14:textId="143B3922" w:rsidR="0066080A" w:rsidRPr="005328C2" w:rsidRDefault="0066080A" w:rsidP="0066080A">
            <w:pPr>
              <w:pStyle w:val="ONUME"/>
              <w:numPr>
                <w:ilvl w:val="0"/>
                <w:numId w:val="0"/>
              </w:numPr>
              <w:jc w:val="center"/>
              <w:rPr>
                <w:b w:val="0"/>
                <w:color w:val="auto"/>
              </w:rPr>
            </w:pPr>
            <w:r>
              <w:rPr>
                <w:b w:val="0"/>
                <w:color w:val="auto"/>
              </w:rPr>
              <w:t>Доля (%) полномасштабных расследований, закрытых в течение шести месяцев</w:t>
            </w:r>
          </w:p>
        </w:tc>
        <w:tc>
          <w:tcPr>
            <w:tcW w:w="4673" w:type="dxa"/>
          </w:tcPr>
          <w:p w14:paraId="57C42D23" w14:textId="266B78F8" w:rsidR="0066080A" w:rsidRPr="005328C2" w:rsidRDefault="0066080A" w:rsidP="0066080A">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pPr>
            <w:r>
              <w:t>100%</w:t>
            </w:r>
          </w:p>
        </w:tc>
      </w:tr>
      <w:tr w:rsidR="005328C2" w:rsidRPr="005328C2" w14:paraId="200622B7"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7505FDE8" w14:textId="40405D57" w:rsidR="0066080A" w:rsidRPr="005328C2" w:rsidRDefault="0066080A" w:rsidP="0066080A">
            <w:pPr>
              <w:pStyle w:val="ONUME"/>
              <w:numPr>
                <w:ilvl w:val="0"/>
                <w:numId w:val="0"/>
              </w:numPr>
              <w:jc w:val="center"/>
              <w:rPr>
                <w:b w:val="0"/>
                <w:color w:val="auto"/>
              </w:rPr>
            </w:pPr>
            <w:r>
              <w:rPr>
                <w:b w:val="0"/>
                <w:color w:val="auto"/>
              </w:rPr>
              <w:t>Доля (%) руководителей, которые считают, что рекомендации ОВН соответствуют критериям SMART</w:t>
            </w:r>
          </w:p>
        </w:tc>
        <w:tc>
          <w:tcPr>
            <w:tcW w:w="4673" w:type="dxa"/>
          </w:tcPr>
          <w:p w14:paraId="01EA9942" w14:textId="48ED98F2" w:rsidR="0066080A" w:rsidRPr="005328C2" w:rsidRDefault="0066080A" w:rsidP="0066080A">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pPr>
            <w:r>
              <w:t>82%</w:t>
            </w:r>
          </w:p>
        </w:tc>
      </w:tr>
      <w:tr w:rsidR="005328C2" w:rsidRPr="005328C2" w14:paraId="335477CE"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266E80A1" w14:textId="68050D78" w:rsidR="0066080A" w:rsidRPr="005328C2" w:rsidRDefault="0066080A" w:rsidP="0066080A">
            <w:pPr>
              <w:pStyle w:val="ONUME"/>
              <w:numPr>
                <w:ilvl w:val="0"/>
                <w:numId w:val="0"/>
              </w:numPr>
              <w:jc w:val="center"/>
              <w:rPr>
                <w:b w:val="0"/>
                <w:color w:val="auto"/>
              </w:rPr>
            </w:pPr>
            <w:r>
              <w:rPr>
                <w:b w:val="0"/>
                <w:color w:val="auto"/>
              </w:rPr>
              <w:t>Доля (%) заинтересованных лиц, которые считают работу ОВН релевантной</w:t>
            </w:r>
          </w:p>
        </w:tc>
        <w:tc>
          <w:tcPr>
            <w:tcW w:w="4673" w:type="dxa"/>
          </w:tcPr>
          <w:p w14:paraId="7849692A" w14:textId="72C8AAD2" w:rsidR="0066080A" w:rsidRPr="005328C2" w:rsidRDefault="0066080A" w:rsidP="0066080A">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pPr>
            <w:r>
              <w:t>81%</w:t>
            </w:r>
          </w:p>
        </w:tc>
      </w:tr>
      <w:tr w:rsidR="005328C2" w:rsidRPr="005328C2" w14:paraId="396EBBAB" w14:textId="77777777" w:rsidTr="00335B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2" w:type="dxa"/>
          </w:tcPr>
          <w:p w14:paraId="4A84E3F1" w14:textId="47F5EBA4" w:rsidR="0066080A" w:rsidRPr="005328C2" w:rsidRDefault="0066080A" w:rsidP="0066080A">
            <w:pPr>
              <w:pStyle w:val="ONUME"/>
              <w:numPr>
                <w:ilvl w:val="0"/>
                <w:numId w:val="0"/>
              </w:numPr>
              <w:jc w:val="center"/>
              <w:rPr>
                <w:b w:val="0"/>
                <w:color w:val="auto"/>
              </w:rPr>
            </w:pPr>
            <w:r>
              <w:rPr>
                <w:b w:val="0"/>
                <w:color w:val="auto"/>
              </w:rPr>
              <w:t>Число принятых рекомендаций по итогам надзора</w:t>
            </w:r>
          </w:p>
        </w:tc>
        <w:tc>
          <w:tcPr>
            <w:tcW w:w="4673" w:type="dxa"/>
          </w:tcPr>
          <w:p w14:paraId="672960AD" w14:textId="15B61506" w:rsidR="0066080A" w:rsidRPr="005328C2" w:rsidRDefault="0066080A" w:rsidP="0066080A">
            <w:pPr>
              <w:pStyle w:val="ONUME"/>
              <w:numPr>
                <w:ilvl w:val="0"/>
                <w:numId w:val="0"/>
              </w:numPr>
              <w:jc w:val="center"/>
              <w:cnfStyle w:val="100000000000" w:firstRow="1" w:lastRow="0" w:firstColumn="0" w:lastColumn="0" w:oddVBand="0" w:evenVBand="0" w:oddHBand="0" w:evenHBand="0" w:firstRowFirstColumn="0" w:firstRowLastColumn="0" w:lastRowFirstColumn="0" w:lastRowLastColumn="0"/>
            </w:pPr>
            <w:r>
              <w:t>100%</w:t>
            </w:r>
          </w:p>
        </w:tc>
      </w:tr>
    </w:tbl>
    <w:p w14:paraId="1157FAE6" w14:textId="40840206" w:rsidR="00C46B12" w:rsidRPr="00315F3C" w:rsidRDefault="007C3613" w:rsidP="00252695">
      <w:pPr>
        <w:pStyle w:val="Heading1"/>
      </w:pPr>
      <w:bookmarkStart w:id="57" w:name="_Toc39071256"/>
      <w:bookmarkStart w:id="58" w:name="_Toc75781977"/>
      <w:r>
        <w:t>РЕСУРСЫ ДЛЯ НАДЗОРНОЙ ДЕЯТЕЛЬНОСТИ</w:t>
      </w:r>
      <w:bookmarkEnd w:id="56"/>
      <w:bookmarkEnd w:id="57"/>
      <w:bookmarkEnd w:id="58"/>
      <w:r>
        <w:t xml:space="preserve"> </w:t>
      </w:r>
    </w:p>
    <w:p w14:paraId="77410A24" w14:textId="77777777" w:rsidR="00C46B12" w:rsidRPr="00EF631C" w:rsidRDefault="00C46B12" w:rsidP="00252695">
      <w:pPr>
        <w:pStyle w:val="Heading2"/>
      </w:pPr>
      <w:r>
        <w:t>Бюджет и штат</w:t>
      </w:r>
    </w:p>
    <w:p w14:paraId="1398BA97" w14:textId="60BF7789" w:rsidR="002F07CD" w:rsidRDefault="002F07CD" w:rsidP="002F07CD">
      <w:pPr>
        <w:pStyle w:val="ONUME"/>
      </w:pPr>
      <w:r>
        <w:t xml:space="preserve">Для выполнения мандата ОВН были выделены средства в рамках бюджета на двухгодичный период в размере 5,283 млн шв. франков, что составляет </w:t>
      </w:r>
      <w:r>
        <w:rPr>
          <w:shd w:val="clear" w:color="auto" w:fill="FFFFFF" w:themeFill="background1"/>
        </w:rPr>
        <w:t>0,69 процента</w:t>
      </w:r>
      <w:r>
        <w:rPr>
          <w:rStyle w:val="FootnoteReference"/>
        </w:rPr>
        <w:footnoteReference w:id="18"/>
      </w:r>
      <w:r>
        <w:t xml:space="preserve"> от всего бюджета ВОИС на двухгодичный период 2020–2021</w:t>
      </w:r>
      <w:r w:rsidR="00982C4A">
        <w:t> </w:t>
      </w:r>
      <w:r>
        <w:t>гг.  В целом текущий объем людских и финансовых ресурсов является достаточным для эффективного выполнения ОВН своих функций в наиболее приоритетных областях в соответствии с планами работы.  Обмен планами работы по надзору и постоянная координация надзорной деятельности с внешним аудитором, а также эффективное использование ИТ-инструментов помогли добиться большей результативности и более эффективного охвата областей риска.</w:t>
      </w:r>
    </w:p>
    <w:p w14:paraId="653AEC40" w14:textId="77777777" w:rsidR="002F07CD" w:rsidRDefault="002F07CD" w:rsidP="002F07CD">
      <w:pPr>
        <w:rPr>
          <w:rFonts w:eastAsia="Times New Roman"/>
          <w:b/>
          <w:bCs/>
          <w:sz w:val="18"/>
          <w:szCs w:val="18"/>
          <w:lang w:eastAsia="en-US"/>
        </w:rPr>
      </w:pPr>
    </w:p>
    <w:p w14:paraId="20863256" w14:textId="06274F59" w:rsidR="002F07CD" w:rsidRDefault="002F07CD" w:rsidP="002F07CD">
      <w:pPr>
        <w:pStyle w:val="NormalWeb"/>
        <w:keepNext/>
        <w:keepLines/>
        <w:spacing w:before="0" w:beforeAutospacing="0" w:after="0" w:afterAutospacing="0"/>
        <w:jc w:val="center"/>
        <w:rPr>
          <w:b/>
          <w:bCs/>
        </w:rPr>
      </w:pPr>
      <w:r>
        <w:rPr>
          <w:b/>
        </w:rPr>
        <w:t>Таблица 4. Бюджет и расходы ОВН в 2020–2021</w:t>
      </w:r>
      <w:r w:rsidR="00982C4A">
        <w:rPr>
          <w:b/>
        </w:rPr>
        <w:t> </w:t>
      </w:r>
      <w:r>
        <w:rPr>
          <w:b/>
        </w:rPr>
        <w:t>гг.</w:t>
      </w:r>
      <w:r w:rsidRPr="00EF631C">
        <w:rPr>
          <w:bCs/>
          <w:vertAlign w:val="superscript"/>
        </w:rPr>
        <w:footnoteReference w:id="19"/>
      </w:r>
      <w:r>
        <w:rPr>
          <w:b/>
        </w:rPr>
        <w:t xml:space="preserve"> </w:t>
      </w:r>
    </w:p>
    <w:p w14:paraId="5745D3F9" w14:textId="77777777" w:rsidR="002F07CD" w:rsidRPr="00543FB7" w:rsidRDefault="002F07CD" w:rsidP="002F07CD">
      <w:pPr>
        <w:pStyle w:val="NormalWeb"/>
        <w:keepNext/>
        <w:keepLines/>
        <w:spacing w:before="0" w:beforeAutospacing="0" w:after="0" w:afterAutospacing="0"/>
        <w:jc w:val="center"/>
        <w:rPr>
          <w:i/>
          <w:iCs/>
          <w:color w:val="000000"/>
          <w:sz w:val="20"/>
          <w:szCs w:val="20"/>
        </w:rPr>
      </w:pPr>
    </w:p>
    <w:tbl>
      <w:tblPr>
        <w:tblStyle w:val="GridTable4-Accent1"/>
        <w:tblW w:w="8624" w:type="dxa"/>
        <w:tblLook w:val="04A0" w:firstRow="1" w:lastRow="0" w:firstColumn="1" w:lastColumn="0" w:noHBand="0" w:noVBand="1"/>
        <w:tblCaption w:val="Таблица 4."/>
        <w:tblDescription w:val="Бюжет ОВН на 2020-2021 гг. и расходы в 2021 г."/>
      </w:tblPr>
      <w:tblGrid>
        <w:gridCol w:w="2470"/>
        <w:gridCol w:w="1463"/>
        <w:gridCol w:w="1332"/>
        <w:gridCol w:w="1670"/>
        <w:gridCol w:w="1689"/>
      </w:tblGrid>
      <w:tr w:rsidR="002F07CD" w:rsidRPr="00302505" w14:paraId="6F5FC18D" w14:textId="77777777" w:rsidTr="00335B35">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2CE1E348" w14:textId="77777777" w:rsidR="002F07CD" w:rsidRPr="00302505" w:rsidRDefault="002F07CD" w:rsidP="00BE1D92">
            <w:pPr>
              <w:rPr>
                <w:color w:val="000000"/>
                <w:sz w:val="18"/>
                <w:szCs w:val="18"/>
              </w:rPr>
            </w:pPr>
            <w:r>
              <w:rPr>
                <w:color w:val="000000"/>
                <w:sz w:val="18"/>
              </w:rPr>
              <w:t> </w:t>
            </w:r>
          </w:p>
        </w:tc>
        <w:tc>
          <w:tcPr>
            <w:tcW w:w="1347" w:type="dxa"/>
            <w:hideMark/>
          </w:tcPr>
          <w:p w14:paraId="70D9033E"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b w:val="0"/>
                <w:color w:val="000000"/>
                <w:sz w:val="18"/>
              </w:rPr>
              <w:t>Утвержденный бюджет на 2020–2021 гг.</w:t>
            </w:r>
          </w:p>
        </w:tc>
        <w:tc>
          <w:tcPr>
            <w:tcW w:w="1347" w:type="dxa"/>
            <w:hideMark/>
          </w:tcPr>
          <w:p w14:paraId="4B48E2D3" w14:textId="7B993B90" w:rsidR="002F07CD" w:rsidRPr="00302505" w:rsidRDefault="002F07CD" w:rsidP="00335AA4">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b w:val="0"/>
                <w:color w:val="000000"/>
                <w:sz w:val="18"/>
              </w:rPr>
              <w:t>Бюджет</w:t>
            </w:r>
            <w:r w:rsidR="00335AA4">
              <w:rPr>
                <w:b w:val="0"/>
                <w:color w:val="000000"/>
                <w:sz w:val="18"/>
              </w:rPr>
              <w:t xml:space="preserve"> на 2020–2021 гг.</w:t>
            </w:r>
            <w:r>
              <w:rPr>
                <w:b w:val="0"/>
                <w:color w:val="000000"/>
                <w:sz w:val="18"/>
              </w:rPr>
              <w:t xml:space="preserve"> после перераспр. средств</w:t>
            </w:r>
          </w:p>
        </w:tc>
        <w:tc>
          <w:tcPr>
            <w:tcW w:w="1730" w:type="dxa"/>
            <w:hideMark/>
          </w:tcPr>
          <w:p w14:paraId="1BEBABCE" w14:textId="2A00F665" w:rsidR="002F07CD" w:rsidRPr="00302505" w:rsidRDefault="002F07CD" w:rsidP="00335AA4">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b w:val="0"/>
                <w:color w:val="000000"/>
                <w:sz w:val="18"/>
              </w:rPr>
              <w:t>Расходы</w:t>
            </w:r>
            <w:r w:rsidR="00335AA4">
              <w:rPr>
                <w:b w:val="0"/>
                <w:color w:val="000000"/>
                <w:sz w:val="18"/>
              </w:rPr>
              <w:t xml:space="preserve"> в 2020 г.</w:t>
            </w:r>
          </w:p>
        </w:tc>
        <w:tc>
          <w:tcPr>
            <w:tcW w:w="1730" w:type="dxa"/>
          </w:tcPr>
          <w:p w14:paraId="3B2AADF1"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b w:val="0"/>
                <w:color w:val="000000"/>
                <w:sz w:val="18"/>
              </w:rPr>
              <w:t>Показатель освоения (%)</w:t>
            </w:r>
          </w:p>
        </w:tc>
      </w:tr>
      <w:tr w:rsidR="002F07CD" w:rsidRPr="00302505" w14:paraId="2767036E" w14:textId="77777777" w:rsidTr="00335B35">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4791379B" w14:textId="77777777" w:rsidR="002F07CD" w:rsidRPr="00302505" w:rsidRDefault="002F07CD" w:rsidP="00BE1D92">
            <w:pPr>
              <w:rPr>
                <w:color w:val="000000"/>
                <w:sz w:val="18"/>
                <w:szCs w:val="18"/>
              </w:rPr>
            </w:pPr>
            <w:r>
              <w:rPr>
                <w:color w:val="000000"/>
                <w:sz w:val="18"/>
              </w:rPr>
              <w:t xml:space="preserve"> Расходы, связанные с персоналом  </w:t>
            </w:r>
          </w:p>
        </w:tc>
        <w:tc>
          <w:tcPr>
            <w:tcW w:w="1347" w:type="dxa"/>
            <w:hideMark/>
          </w:tcPr>
          <w:p w14:paraId="290F190A"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Pr>
                <w:rFonts w:ascii="Arial Narrow" w:hAnsi="Arial Narrow"/>
                <w:color w:val="000000"/>
                <w:sz w:val="18"/>
              </w:rPr>
              <w:t>4 356 000</w:t>
            </w:r>
          </w:p>
        </w:tc>
        <w:tc>
          <w:tcPr>
            <w:tcW w:w="1347" w:type="dxa"/>
            <w:hideMark/>
          </w:tcPr>
          <w:p w14:paraId="43406568"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Pr>
                <w:rFonts w:ascii="Arial Narrow" w:hAnsi="Arial Narrow"/>
                <w:color w:val="000000"/>
                <w:sz w:val="18"/>
              </w:rPr>
              <w:t>4 471 500</w:t>
            </w:r>
          </w:p>
        </w:tc>
        <w:tc>
          <w:tcPr>
            <w:tcW w:w="1730" w:type="dxa"/>
            <w:hideMark/>
          </w:tcPr>
          <w:p w14:paraId="187F1948"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color w:val="000000"/>
                <w:sz w:val="18"/>
                <w:szCs w:val="18"/>
                <w:highlight w:val="yellow"/>
              </w:rPr>
            </w:pPr>
            <w:r>
              <w:rPr>
                <w:rFonts w:ascii="Arial Narrow" w:hAnsi="Arial Narrow"/>
                <w:color w:val="000000"/>
                <w:sz w:val="18"/>
              </w:rPr>
              <w:t>2 219 717</w:t>
            </w:r>
          </w:p>
        </w:tc>
        <w:tc>
          <w:tcPr>
            <w:tcW w:w="1730" w:type="dxa"/>
          </w:tcPr>
          <w:p w14:paraId="5EF9921B"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18"/>
                <w:szCs w:val="18"/>
              </w:rPr>
            </w:pPr>
            <w:r>
              <w:rPr>
                <w:rFonts w:ascii="Arial Narrow" w:hAnsi="Arial Narrow"/>
                <w:color w:val="000000"/>
                <w:sz w:val="18"/>
              </w:rPr>
              <w:t>50%</w:t>
            </w:r>
          </w:p>
        </w:tc>
      </w:tr>
      <w:tr w:rsidR="002F07CD" w:rsidRPr="00302505" w14:paraId="2A8063B9" w14:textId="77777777" w:rsidTr="00335B35">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35FB62D6" w14:textId="77777777" w:rsidR="002F07CD" w:rsidRPr="00302505" w:rsidRDefault="002F07CD" w:rsidP="00BE1D92">
            <w:pPr>
              <w:rPr>
                <w:color w:val="000000"/>
                <w:sz w:val="18"/>
                <w:szCs w:val="18"/>
              </w:rPr>
            </w:pPr>
            <w:r>
              <w:rPr>
                <w:color w:val="000000"/>
                <w:sz w:val="18"/>
              </w:rPr>
              <w:t xml:space="preserve"> Расходы, не связанные с персоналом </w:t>
            </w:r>
          </w:p>
        </w:tc>
        <w:tc>
          <w:tcPr>
            <w:tcW w:w="1347" w:type="dxa"/>
            <w:hideMark/>
          </w:tcPr>
          <w:p w14:paraId="080B7759"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Pr>
                <w:rFonts w:ascii="Arial Narrow" w:hAnsi="Arial Narrow"/>
                <w:color w:val="000000"/>
                <w:sz w:val="18"/>
              </w:rPr>
              <w:t>835 421</w:t>
            </w:r>
          </w:p>
        </w:tc>
        <w:tc>
          <w:tcPr>
            <w:tcW w:w="1347" w:type="dxa"/>
            <w:hideMark/>
          </w:tcPr>
          <w:p w14:paraId="3AEE4F60"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Pr>
                <w:rFonts w:ascii="Arial Narrow" w:hAnsi="Arial Narrow"/>
                <w:color w:val="000000"/>
                <w:sz w:val="18"/>
              </w:rPr>
              <w:t>811 533</w:t>
            </w:r>
          </w:p>
        </w:tc>
        <w:tc>
          <w:tcPr>
            <w:tcW w:w="1730" w:type="dxa"/>
            <w:hideMark/>
          </w:tcPr>
          <w:p w14:paraId="6367D8A2"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color w:val="000000"/>
                <w:sz w:val="18"/>
                <w:szCs w:val="18"/>
                <w:highlight w:val="yellow"/>
              </w:rPr>
            </w:pPr>
            <w:r>
              <w:rPr>
                <w:rFonts w:ascii="Arial Narrow" w:hAnsi="Arial Narrow"/>
                <w:color w:val="000000"/>
                <w:sz w:val="18"/>
              </w:rPr>
              <w:t>136 330</w:t>
            </w:r>
          </w:p>
        </w:tc>
        <w:tc>
          <w:tcPr>
            <w:tcW w:w="1730" w:type="dxa"/>
          </w:tcPr>
          <w:p w14:paraId="21EEB8FD"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18"/>
                <w:szCs w:val="18"/>
              </w:rPr>
            </w:pPr>
            <w:r>
              <w:rPr>
                <w:rFonts w:ascii="Arial Narrow" w:hAnsi="Arial Narrow"/>
                <w:color w:val="000000"/>
                <w:sz w:val="18"/>
              </w:rPr>
              <w:t>17%</w:t>
            </w:r>
          </w:p>
          <w:p w14:paraId="5E3B783B"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18"/>
                <w:szCs w:val="18"/>
              </w:rPr>
            </w:pPr>
          </w:p>
        </w:tc>
      </w:tr>
      <w:tr w:rsidR="002F07CD" w:rsidRPr="00302505" w14:paraId="22507F0E" w14:textId="77777777" w:rsidTr="00335B35">
        <w:trPr>
          <w:cnfStyle w:val="100000000000" w:firstRow="1" w:lastRow="0" w:firstColumn="0" w:lastColumn="0" w:oddVBand="0" w:evenVBand="0" w:oddHBand="0" w:evenHBand="0" w:firstRowFirstColumn="0" w:firstRowLastColumn="0" w:lastRowFirstColumn="0" w:lastRowLastColumn="0"/>
          <w:trHeight w:val="225"/>
          <w:tblHeader/>
        </w:trPr>
        <w:tc>
          <w:tcPr>
            <w:cnfStyle w:val="001000000000" w:firstRow="0" w:lastRow="0" w:firstColumn="1" w:lastColumn="0" w:oddVBand="0" w:evenVBand="0" w:oddHBand="0" w:evenHBand="0" w:firstRowFirstColumn="0" w:firstRowLastColumn="0" w:lastRowFirstColumn="0" w:lastRowLastColumn="0"/>
            <w:tcW w:w="2470" w:type="dxa"/>
            <w:noWrap/>
            <w:hideMark/>
          </w:tcPr>
          <w:p w14:paraId="1A7E8674" w14:textId="77777777" w:rsidR="002F07CD" w:rsidRPr="00302505" w:rsidRDefault="002F07CD" w:rsidP="00BE1D92">
            <w:pPr>
              <w:jc w:val="right"/>
              <w:rPr>
                <w:b w:val="0"/>
                <w:bCs w:val="0"/>
                <w:color w:val="000000"/>
                <w:sz w:val="18"/>
                <w:szCs w:val="18"/>
              </w:rPr>
            </w:pPr>
            <w:r>
              <w:rPr>
                <w:b w:val="0"/>
                <w:color w:val="000000"/>
                <w:sz w:val="18"/>
              </w:rPr>
              <w:t xml:space="preserve"> Итого </w:t>
            </w:r>
          </w:p>
        </w:tc>
        <w:tc>
          <w:tcPr>
            <w:tcW w:w="1347" w:type="dxa"/>
            <w:hideMark/>
          </w:tcPr>
          <w:p w14:paraId="02F8C63E"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rFonts w:ascii="Arial Narrow" w:hAnsi="Arial Narrow"/>
                <w:color w:val="000000"/>
                <w:sz w:val="18"/>
              </w:rPr>
              <w:t>5 191 421</w:t>
            </w:r>
          </w:p>
        </w:tc>
        <w:tc>
          <w:tcPr>
            <w:tcW w:w="1347" w:type="dxa"/>
            <w:hideMark/>
          </w:tcPr>
          <w:p w14:paraId="1CD9F18C"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rFonts w:ascii="Arial Narrow" w:hAnsi="Arial Narrow"/>
                <w:color w:val="000000"/>
                <w:sz w:val="18"/>
              </w:rPr>
              <w:t>5 283 033</w:t>
            </w:r>
          </w:p>
        </w:tc>
        <w:tc>
          <w:tcPr>
            <w:tcW w:w="1730" w:type="dxa"/>
            <w:hideMark/>
          </w:tcPr>
          <w:p w14:paraId="7014441A"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highlight w:val="yellow"/>
              </w:rPr>
            </w:pPr>
            <w:r>
              <w:rPr>
                <w:rFonts w:ascii="Arial Narrow" w:hAnsi="Arial Narrow"/>
                <w:color w:val="000000"/>
                <w:sz w:val="18"/>
              </w:rPr>
              <w:t>2 356 047</w:t>
            </w:r>
          </w:p>
        </w:tc>
        <w:tc>
          <w:tcPr>
            <w:tcW w:w="1730" w:type="dxa"/>
          </w:tcPr>
          <w:p w14:paraId="54858BC9" w14:textId="77777777" w:rsidR="002F07CD" w:rsidRPr="00302505" w:rsidRDefault="002F07CD" w:rsidP="00BE1D92">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000000"/>
                <w:sz w:val="18"/>
                <w:szCs w:val="18"/>
              </w:rPr>
            </w:pPr>
            <w:r>
              <w:rPr>
                <w:rFonts w:ascii="Arial Narrow" w:hAnsi="Arial Narrow"/>
                <w:color w:val="000000"/>
                <w:sz w:val="18"/>
              </w:rPr>
              <w:t>45%</w:t>
            </w:r>
          </w:p>
        </w:tc>
      </w:tr>
    </w:tbl>
    <w:p w14:paraId="0526F82F" w14:textId="77777777" w:rsidR="002F07CD" w:rsidRDefault="002F07CD" w:rsidP="002F07CD">
      <w:pPr>
        <w:rPr>
          <w:sz w:val="20"/>
        </w:rPr>
      </w:pPr>
    </w:p>
    <w:p w14:paraId="6D15D69E" w14:textId="2A66A7A6" w:rsidR="00C46B12" w:rsidRPr="00E32ADE" w:rsidRDefault="00C46B12" w:rsidP="002F07CD">
      <w:pPr>
        <w:pStyle w:val="Heading2"/>
      </w:pPr>
      <w:r>
        <w:t>Профессиональная подготовка и постоянное повышение квалификации</w:t>
      </w:r>
    </w:p>
    <w:p w14:paraId="79D7563E" w14:textId="3889DA64" w:rsidR="00C46B12" w:rsidRDefault="003038D9" w:rsidP="002C23BF">
      <w:pPr>
        <w:pStyle w:val="ONUME"/>
      </w:pPr>
      <w:r>
        <w:t xml:space="preserve">Постоянное повышение квалификации персонала отдела крайне важно для того, чтобы ОВН мог выполнять свою работу и эффективно оказывать услуги Организации.  В соответствии с требованиями политики ВОИС в области профессиональной подготовки сотрудники ОВН принимали участие в различных обучающих мероприятиях для приобретения новых знаний, технических навыков и других умений в интересах повышения эффективности и результативности оперативной деятельности ОВН в области надзора.  </w:t>
      </w:r>
    </w:p>
    <w:p w14:paraId="28777D3A" w14:textId="4EDA6213" w:rsidR="00044A42" w:rsidRDefault="00C46B12" w:rsidP="00044A42">
      <w:pPr>
        <w:pStyle w:val="ONUME"/>
      </w:pPr>
      <w:r>
        <w:t xml:space="preserve">В среднем каждый сотрудник ОВН потратил 10 дней на прохождение профессиональной подготовки, в том числе по таким темам,  как предотвращение и обнаружение мошенничества, методы проведения расследований, анализ данных, инновации в цифровой сфере, информационная безопасность и кибербезопасность, этика, задачи контроля в области информационных и смежных технологий, борьба с коррупцией и нормативно-правовое соответствие, поведенческая наука, принятие решений, ведение переговоров и </w:t>
      </w:r>
      <w:r w:rsidR="004B3BC9">
        <w:t>поведенческая наука («</w:t>
      </w:r>
      <w:r>
        <w:t>подталкивание к правильному поведению</w:t>
      </w:r>
      <w:r w:rsidR="004B3BC9">
        <w:t>»)</w:t>
      </w:r>
      <w:r>
        <w:t xml:space="preserve">.  </w:t>
      </w:r>
    </w:p>
    <w:p w14:paraId="125E81BA" w14:textId="764DB19F" w:rsidR="00044A42" w:rsidRPr="002150AF" w:rsidRDefault="002150AF" w:rsidP="002150AF">
      <w:pPr>
        <w:pStyle w:val="Heading2"/>
      </w:pPr>
      <w:r>
        <w:t>Опросы о качестве обслуживания</w:t>
      </w:r>
    </w:p>
    <w:p w14:paraId="4EA36B8D" w14:textId="71B88548" w:rsidR="00044A42" w:rsidRPr="00C37A90" w:rsidRDefault="00044A42" w:rsidP="00044A42">
      <w:pPr>
        <w:pStyle w:val="ONUME"/>
      </w:pPr>
      <w:r>
        <w:t>ОВН продолжал запрашивать комментарии коллег из прошедших аудиторскую проверку/оценку подразделений ВОИС посредством проведения опросов о степени удовлетворенности после каждого проведенного мероприятия.  Цель этой работы заключается в эффективном сборе и анализе отзывов коллег о надзорной работе.  По состоянию на конец 2020</w:t>
      </w:r>
      <w:r w:rsidR="00982C4A">
        <w:t> </w:t>
      </w:r>
      <w:r>
        <w:t>г. комплексный анализ результатов опросов указывает на индекс удовлетворенности в 85</w:t>
      </w:r>
      <w:r w:rsidR="00982C4A">
        <w:t> </w:t>
      </w:r>
      <w:r>
        <w:t xml:space="preserve">процентов.  </w:t>
      </w:r>
    </w:p>
    <w:p w14:paraId="6E61D5CA" w14:textId="36291412" w:rsidR="00044A42" w:rsidRPr="00C37A90" w:rsidRDefault="00044A42" w:rsidP="00044A42">
      <w:pPr>
        <w:pStyle w:val="ONUME"/>
      </w:pPr>
      <w:r>
        <w:t>Результаты опросов, проведенных через год после мероприятия, которые используются для оценки воздействия надзорной работы, указали на средний индекс удовлетворенности в 78</w:t>
      </w:r>
      <w:r w:rsidR="00982C4A">
        <w:t> </w:t>
      </w:r>
      <w:r>
        <w:t>процентов.  Основываясь на полученных от коллег отзывах, ОВН будет стремиться к дальнейшему увеличению степени воздействия своей надзорной деятельности.</w:t>
      </w:r>
    </w:p>
    <w:p w14:paraId="3A5390DB" w14:textId="7A062343" w:rsidR="00044A42" w:rsidRDefault="00044A42" w:rsidP="00044A42">
      <w:pPr>
        <w:pStyle w:val="ONUME"/>
      </w:pPr>
      <w:r>
        <w:t xml:space="preserve">Дополнительные комментарии, полученные в ходе опросов от подразделений, в которых была проведена аудиторская проверка/оценка, помогли ОВН выявить недостатки и принять меры по их устранению.  </w:t>
      </w:r>
    </w:p>
    <w:p w14:paraId="5883A824" w14:textId="3279615A" w:rsidR="007C3613" w:rsidRPr="002150AF" w:rsidRDefault="002150AF" w:rsidP="002150AF">
      <w:pPr>
        <w:pStyle w:val="Heading2"/>
      </w:pPr>
      <w:r>
        <w:t>Периодические внутренние и внешние оценки</w:t>
      </w:r>
    </w:p>
    <w:p w14:paraId="3AEFF7C2" w14:textId="1FB2E218" w:rsidR="002F07CD" w:rsidRDefault="007C3613" w:rsidP="00BE1D92">
      <w:pPr>
        <w:pStyle w:val="ONUME"/>
      </w:pPr>
      <w:r>
        <w:t xml:space="preserve">Каждое подразделение ОВН проходит самооценку раз в два года и/или внешнюю оценку раз в пять лет, чтобы убедиться в том, что подразделения ОВН выполняют свои обязанности эффективно и результативно в соответствии с применимыми стандартами, профессиональной практикой и соответствующим этическим кодексом.  Элементы программы обеспечения качества ОВН содержатся в соответствующих руководствах, руководящих принципах и оперативных процедурах. </w:t>
      </w:r>
    </w:p>
    <w:p w14:paraId="02FF4CB5" w14:textId="74F26C5C" w:rsidR="00B7799A" w:rsidRDefault="002150AF" w:rsidP="00BE1D92">
      <w:pPr>
        <w:pStyle w:val="ONUME"/>
      </w:pPr>
      <w:r>
        <w:t>Самооценка была проведена подразделением внутреннего аудита в январе 2020</w:t>
      </w:r>
      <w:r w:rsidR="00982C4A">
        <w:t> </w:t>
      </w:r>
      <w:r>
        <w:t>г., отчет о ней предоставлен НККН.  Затем подразделения внутреннего аудита и расследований прошли внешние оценки качества в конце 2020</w:t>
      </w:r>
      <w:r w:rsidR="00982C4A">
        <w:t> </w:t>
      </w:r>
      <w:r>
        <w:t xml:space="preserve">г., которые в обоих случаях показали, что деятельность этих подразделений </w:t>
      </w:r>
      <w:r>
        <w:rPr>
          <w:i/>
        </w:rPr>
        <w:t>в целом соответствует</w:t>
      </w:r>
      <w:r>
        <w:t xml:space="preserve"> требованиям применимых стандартов и профессиональной практики, а также соответствующему этическому кодексу.  По итогам внешних оценок были даны рекомендации по дальнейшему совершенствованию управления, процедур и практики подразделений внутреннего аудита и расследований, которые будут выполн</w:t>
      </w:r>
      <w:r w:rsidR="009A5893">
        <w:t>яться поэтапно</w:t>
      </w:r>
      <w:r>
        <w:t xml:space="preserve"> </w:t>
      </w:r>
      <w:r w:rsidR="009A5893">
        <w:t>в период с</w:t>
      </w:r>
      <w:r>
        <w:t xml:space="preserve"> 2021</w:t>
      </w:r>
      <w:r w:rsidR="00982C4A">
        <w:t> </w:t>
      </w:r>
      <w:r w:rsidR="009A5893">
        <w:t xml:space="preserve">г. по конец </w:t>
      </w:r>
      <w:r>
        <w:t>2025</w:t>
      </w:r>
      <w:r w:rsidR="00982C4A">
        <w:t> </w:t>
      </w:r>
      <w:r>
        <w:t xml:space="preserve">г.  </w:t>
      </w:r>
    </w:p>
    <w:p w14:paraId="3B57CBD8" w14:textId="12BE3362" w:rsidR="00E0105B" w:rsidRDefault="00E0105B" w:rsidP="00BE1D92">
      <w:pPr>
        <w:pStyle w:val="ONUME"/>
      </w:pPr>
      <w:r>
        <w:lastRenderedPageBreak/>
        <w:t>Подразделение оценки прошло оценку в 2019</w:t>
      </w:r>
      <w:r w:rsidR="00982C4A">
        <w:t> </w:t>
      </w:r>
      <w:r>
        <w:t>г., что отражено в годовом отчете о деятельности по надзору в период с 1</w:t>
      </w:r>
      <w:r w:rsidR="00982C4A">
        <w:t> </w:t>
      </w:r>
      <w:r>
        <w:t>июля 2019</w:t>
      </w:r>
      <w:r w:rsidR="00982C4A">
        <w:t> </w:t>
      </w:r>
      <w:r>
        <w:t>г. по 31</w:t>
      </w:r>
      <w:r w:rsidR="00982C4A">
        <w:t> </w:t>
      </w:r>
      <w:r>
        <w:t>декабря 2019</w:t>
      </w:r>
      <w:r w:rsidR="00982C4A">
        <w:t> </w:t>
      </w:r>
      <w:r>
        <w:t xml:space="preserve">г. </w:t>
      </w:r>
    </w:p>
    <w:p w14:paraId="79FE0245" w14:textId="284E473F" w:rsidR="007D131F" w:rsidRDefault="007D131F" w:rsidP="007D131F">
      <w:pPr>
        <w:keepLines/>
        <w:tabs>
          <w:tab w:val="left" w:pos="5529"/>
        </w:tabs>
        <w:ind w:firstLine="5529"/>
      </w:pPr>
      <w:r>
        <w:t>[Приложение следует]</w:t>
      </w:r>
    </w:p>
    <w:p w14:paraId="098D638F" w14:textId="02966291" w:rsidR="00C46B12" w:rsidRDefault="00C46B12" w:rsidP="007D131F">
      <w:pPr>
        <w:keepLines/>
        <w:tabs>
          <w:tab w:val="left" w:pos="5529"/>
          <w:tab w:val="left" w:pos="6930"/>
          <w:tab w:val="right" w:pos="9355"/>
        </w:tabs>
      </w:pPr>
    </w:p>
    <w:p w14:paraId="25B5F6DD" w14:textId="77777777" w:rsidR="00C46B12" w:rsidRDefault="00C46B12" w:rsidP="00C46B12">
      <w:pPr>
        <w:pStyle w:val="ONUME"/>
        <w:keepLines/>
        <w:numPr>
          <w:ilvl w:val="0"/>
          <w:numId w:val="0"/>
        </w:numPr>
        <w:jc w:val="right"/>
        <w:sectPr w:rsidR="00C46B12" w:rsidSect="00E6051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305" w:right="1134" w:bottom="1418" w:left="1418" w:header="510" w:footer="1021" w:gutter="0"/>
          <w:pgNumType w:start="1"/>
          <w:cols w:space="720"/>
          <w:titlePg/>
          <w:docGrid w:linePitch="299"/>
        </w:sectPr>
      </w:pPr>
    </w:p>
    <w:p w14:paraId="50CC4BB5" w14:textId="322D04EC" w:rsidR="00C46B12" w:rsidRDefault="00994D8C" w:rsidP="00C46B12">
      <w:pPr>
        <w:keepLines/>
        <w:jc w:val="center"/>
        <w:rPr>
          <w:b/>
          <w:bCs/>
        </w:rPr>
      </w:pPr>
      <w:r>
        <w:rPr>
          <w:b/>
        </w:rPr>
        <w:lastRenderedPageBreak/>
        <w:t>ПРИЛОЖЕНИЕ — Перечень отчетов ОВН</w:t>
      </w:r>
      <w:r>
        <w:rPr>
          <w:b/>
        </w:rPr>
        <w:br/>
        <w:t>1</w:t>
      </w:r>
      <w:r w:rsidR="00982C4A">
        <w:rPr>
          <w:b/>
        </w:rPr>
        <w:t> </w:t>
      </w:r>
      <w:r>
        <w:rPr>
          <w:b/>
        </w:rPr>
        <w:t>января 2020</w:t>
      </w:r>
      <w:r w:rsidR="00982C4A">
        <w:rPr>
          <w:b/>
        </w:rPr>
        <w:t> </w:t>
      </w:r>
      <w:r>
        <w:rPr>
          <w:b/>
        </w:rPr>
        <w:t>г. — 31</w:t>
      </w:r>
      <w:r w:rsidR="00982C4A">
        <w:rPr>
          <w:b/>
        </w:rPr>
        <w:t> </w:t>
      </w:r>
      <w:r>
        <w:rPr>
          <w:b/>
        </w:rPr>
        <w:t>декабря 2020</w:t>
      </w:r>
      <w:r w:rsidR="00982C4A">
        <w:rPr>
          <w:b/>
        </w:rPr>
        <w:t> </w:t>
      </w:r>
      <w:r>
        <w:rPr>
          <w:b/>
        </w:rPr>
        <w:t>г.</w:t>
      </w:r>
    </w:p>
    <w:p w14:paraId="48814D46" w14:textId="77777777" w:rsidR="00C46B12" w:rsidRDefault="00C46B12" w:rsidP="00C46B12">
      <w:pPr>
        <w:keepLines/>
        <w:jc w:val="center"/>
        <w:rPr>
          <w:b/>
          <w:bCs/>
        </w:rPr>
      </w:pPr>
    </w:p>
    <w:p w14:paraId="237E4D33" w14:textId="77777777" w:rsidR="00C46B12" w:rsidRDefault="00C46B12" w:rsidP="00C46B12">
      <w:pPr>
        <w:keepLines/>
        <w:ind w:left="5533"/>
        <w:jc w:val="right"/>
      </w:pPr>
    </w:p>
    <w:tbl>
      <w:tblPr>
        <w:tblStyle w:val="TableGridLight"/>
        <w:tblW w:w="0" w:type="auto"/>
        <w:tblLook w:val="04A0" w:firstRow="1" w:lastRow="0" w:firstColumn="1" w:lastColumn="0" w:noHBand="0" w:noVBand="1"/>
        <w:tblCaption w:val="Перечень отчетов ОВН"/>
        <w:tblDescription w:val="Перечень отчетов ОВН с 1 января 2020 г. по 31 декабря 2020 г. &#10;"/>
      </w:tblPr>
      <w:tblGrid>
        <w:gridCol w:w="7508"/>
        <w:gridCol w:w="1837"/>
      </w:tblGrid>
      <w:tr w:rsidR="00FF003D" w:rsidRPr="00427FB1" w14:paraId="1400DCA3" w14:textId="77777777" w:rsidTr="00FF1E25">
        <w:trPr>
          <w:trHeight w:val="851"/>
          <w:tblHeader/>
        </w:trPr>
        <w:tc>
          <w:tcPr>
            <w:tcW w:w="7508" w:type="dxa"/>
            <w:vAlign w:val="center"/>
          </w:tcPr>
          <w:p w14:paraId="3F645E0A" w14:textId="3C519D40" w:rsidR="00FF003D" w:rsidRPr="00C11E98" w:rsidRDefault="00721BDA" w:rsidP="00FF003D">
            <w:pPr>
              <w:pStyle w:val="ONUME"/>
              <w:numPr>
                <w:ilvl w:val="0"/>
                <w:numId w:val="0"/>
              </w:numPr>
              <w:jc w:val="center"/>
            </w:pPr>
            <w:r>
              <w:rPr>
                <w:color w:val="000000"/>
                <w:sz w:val="24"/>
              </w:rPr>
              <w:t>Аудит и проверка обоснованности выплат и льгот персоналу</w:t>
            </w:r>
          </w:p>
        </w:tc>
        <w:tc>
          <w:tcPr>
            <w:tcW w:w="1837" w:type="dxa"/>
            <w:vAlign w:val="center"/>
          </w:tcPr>
          <w:p w14:paraId="08788E89" w14:textId="220A62CA" w:rsidR="00FF003D" w:rsidRPr="00427FB1" w:rsidRDefault="00FF003D" w:rsidP="00721BDA">
            <w:pPr>
              <w:pStyle w:val="ONUME"/>
              <w:numPr>
                <w:ilvl w:val="0"/>
                <w:numId w:val="0"/>
              </w:numPr>
              <w:ind w:left="34"/>
              <w:jc w:val="center"/>
            </w:pPr>
            <w:r>
              <w:rPr>
                <w:color w:val="000000"/>
                <w:sz w:val="24"/>
              </w:rPr>
              <w:t>IA 2019-04</w:t>
            </w:r>
          </w:p>
        </w:tc>
      </w:tr>
      <w:tr w:rsidR="00FF003D" w:rsidRPr="00427FB1" w14:paraId="3DE728A7" w14:textId="77777777" w:rsidTr="002670C4">
        <w:trPr>
          <w:trHeight w:val="851"/>
        </w:trPr>
        <w:tc>
          <w:tcPr>
            <w:tcW w:w="7508" w:type="dxa"/>
            <w:vAlign w:val="center"/>
          </w:tcPr>
          <w:p w14:paraId="001D1BE8" w14:textId="037C9E40" w:rsidR="00FF003D" w:rsidRPr="00F736B0" w:rsidRDefault="00FF003D" w:rsidP="00FF003D">
            <w:pPr>
              <w:pStyle w:val="ONUME"/>
              <w:numPr>
                <w:ilvl w:val="0"/>
                <w:numId w:val="0"/>
              </w:numPr>
              <w:jc w:val="center"/>
              <w:rPr>
                <w:rFonts w:eastAsia="Times New Roman"/>
                <w:color w:val="3B3B3B"/>
                <w:sz w:val="24"/>
                <w:szCs w:val="24"/>
              </w:rPr>
            </w:pPr>
            <w:r>
              <w:rPr>
                <w:sz w:val="24"/>
              </w:rPr>
              <w:t>Аудит схемы подтверждения достоверности информации ВОИС</w:t>
            </w:r>
          </w:p>
        </w:tc>
        <w:tc>
          <w:tcPr>
            <w:tcW w:w="1837" w:type="dxa"/>
            <w:vAlign w:val="center"/>
          </w:tcPr>
          <w:p w14:paraId="77C439B7" w14:textId="5ECFBFEF" w:rsidR="00FF003D" w:rsidRPr="00F736B0" w:rsidRDefault="00FF003D" w:rsidP="00721BDA">
            <w:pPr>
              <w:pStyle w:val="ONUME"/>
              <w:numPr>
                <w:ilvl w:val="0"/>
                <w:numId w:val="0"/>
              </w:numPr>
              <w:ind w:left="34"/>
              <w:jc w:val="center"/>
              <w:rPr>
                <w:rFonts w:eastAsia="Times New Roman"/>
                <w:color w:val="000000"/>
                <w:sz w:val="24"/>
                <w:szCs w:val="24"/>
              </w:rPr>
            </w:pPr>
            <w:r>
              <w:rPr>
                <w:color w:val="000000"/>
                <w:sz w:val="24"/>
              </w:rPr>
              <w:t>IA 2020-01</w:t>
            </w:r>
          </w:p>
        </w:tc>
      </w:tr>
      <w:tr w:rsidR="00FF003D" w:rsidRPr="00427FB1" w14:paraId="7CC729E1" w14:textId="77777777" w:rsidTr="002670C4">
        <w:trPr>
          <w:trHeight w:val="851"/>
        </w:trPr>
        <w:tc>
          <w:tcPr>
            <w:tcW w:w="7508" w:type="dxa"/>
            <w:vAlign w:val="center"/>
          </w:tcPr>
          <w:p w14:paraId="680F6A9A" w14:textId="55FFECB4" w:rsidR="00FF003D" w:rsidRPr="00C11E98" w:rsidRDefault="00721BDA" w:rsidP="00FF003D">
            <w:pPr>
              <w:pStyle w:val="ONUME"/>
              <w:numPr>
                <w:ilvl w:val="0"/>
                <w:numId w:val="0"/>
              </w:numPr>
              <w:jc w:val="center"/>
            </w:pPr>
            <w:r>
              <w:rPr>
                <w:color w:val="000000"/>
                <w:sz w:val="24"/>
              </w:rPr>
              <w:t>Обзор и обновление цикла годового планирования работы ОВН</w:t>
            </w:r>
          </w:p>
        </w:tc>
        <w:tc>
          <w:tcPr>
            <w:tcW w:w="1837" w:type="dxa"/>
            <w:vAlign w:val="center"/>
          </w:tcPr>
          <w:p w14:paraId="32799147" w14:textId="15A76869" w:rsidR="00FF003D" w:rsidRPr="00427FB1" w:rsidRDefault="00FF003D" w:rsidP="00D77D44">
            <w:pPr>
              <w:pStyle w:val="ONUME"/>
              <w:numPr>
                <w:ilvl w:val="0"/>
                <w:numId w:val="0"/>
              </w:numPr>
              <w:ind w:left="34"/>
              <w:jc w:val="center"/>
            </w:pPr>
            <w:r>
              <w:rPr>
                <w:color w:val="000000"/>
                <w:sz w:val="24"/>
              </w:rPr>
              <w:t>IA 2020-03</w:t>
            </w:r>
          </w:p>
        </w:tc>
      </w:tr>
      <w:tr w:rsidR="00721BDA" w:rsidRPr="00427FB1" w14:paraId="39AEAAF5" w14:textId="77777777" w:rsidTr="002670C4">
        <w:trPr>
          <w:trHeight w:val="851"/>
        </w:trPr>
        <w:tc>
          <w:tcPr>
            <w:tcW w:w="7508" w:type="dxa"/>
            <w:vAlign w:val="center"/>
          </w:tcPr>
          <w:p w14:paraId="1475A875" w14:textId="19C3C040" w:rsidR="00721BDA" w:rsidRPr="00721BDA" w:rsidRDefault="00721BDA" w:rsidP="00721BDA">
            <w:pPr>
              <w:pStyle w:val="ONUME"/>
              <w:numPr>
                <w:ilvl w:val="0"/>
                <w:numId w:val="0"/>
              </w:numPr>
              <w:jc w:val="center"/>
              <w:rPr>
                <w:rFonts w:eastAsia="Times New Roman"/>
                <w:color w:val="000000"/>
                <w:sz w:val="24"/>
                <w:szCs w:val="24"/>
              </w:rPr>
            </w:pPr>
            <w:r>
              <w:rPr>
                <w:color w:val="000000"/>
                <w:sz w:val="24"/>
              </w:rPr>
              <w:t>Отчет о проверке достоверности информации, представленной в Отчете о результатах работы ВОИС за 2018–2019 гг.</w:t>
            </w:r>
          </w:p>
        </w:tc>
        <w:tc>
          <w:tcPr>
            <w:tcW w:w="1837" w:type="dxa"/>
            <w:vAlign w:val="center"/>
          </w:tcPr>
          <w:p w14:paraId="00CC5392" w14:textId="57C8F597" w:rsidR="00721BDA" w:rsidRPr="00F736B0" w:rsidRDefault="00721BDA" w:rsidP="00721BDA">
            <w:pPr>
              <w:pStyle w:val="ONUME"/>
              <w:numPr>
                <w:ilvl w:val="0"/>
                <w:numId w:val="0"/>
              </w:numPr>
              <w:ind w:left="34"/>
              <w:jc w:val="center"/>
              <w:rPr>
                <w:rFonts w:eastAsia="Times New Roman"/>
                <w:color w:val="000000"/>
                <w:sz w:val="24"/>
                <w:szCs w:val="24"/>
              </w:rPr>
            </w:pPr>
            <w:r>
              <w:rPr>
                <w:color w:val="000000"/>
                <w:sz w:val="24"/>
              </w:rPr>
              <w:t>Valid 2020-01</w:t>
            </w:r>
          </w:p>
        </w:tc>
      </w:tr>
      <w:tr w:rsidR="001C0BFD" w:rsidRPr="00427FB1" w14:paraId="79EA7ECF" w14:textId="77777777" w:rsidTr="002F07CD">
        <w:trPr>
          <w:trHeight w:val="851"/>
        </w:trPr>
        <w:tc>
          <w:tcPr>
            <w:tcW w:w="7508" w:type="dxa"/>
            <w:vAlign w:val="center"/>
          </w:tcPr>
          <w:p w14:paraId="7F9E9BD0" w14:textId="269DF015" w:rsidR="001C0BFD" w:rsidRPr="00721010" w:rsidRDefault="001C0BFD" w:rsidP="001C0BFD">
            <w:pPr>
              <w:pStyle w:val="ONUME"/>
              <w:numPr>
                <w:ilvl w:val="0"/>
                <w:numId w:val="0"/>
              </w:numPr>
              <w:jc w:val="center"/>
              <w:rPr>
                <w:rFonts w:eastAsia="Times New Roman"/>
                <w:color w:val="000000"/>
                <w:sz w:val="24"/>
                <w:szCs w:val="24"/>
              </w:rPr>
            </w:pPr>
            <w:r>
              <w:rPr>
                <w:color w:val="000000"/>
                <w:sz w:val="24"/>
              </w:rPr>
              <w:t>Оценка деятельности Регионального отдела Африки</w:t>
            </w:r>
          </w:p>
        </w:tc>
        <w:tc>
          <w:tcPr>
            <w:tcW w:w="1837" w:type="dxa"/>
            <w:vAlign w:val="center"/>
          </w:tcPr>
          <w:p w14:paraId="02CC7D2B" w14:textId="4E77111D" w:rsidR="001C0BFD" w:rsidRPr="00721010" w:rsidRDefault="001C0BFD" w:rsidP="001C0BFD">
            <w:pPr>
              <w:pStyle w:val="ONUME"/>
              <w:numPr>
                <w:ilvl w:val="0"/>
                <w:numId w:val="0"/>
              </w:numPr>
              <w:ind w:left="34"/>
              <w:jc w:val="center"/>
              <w:rPr>
                <w:rFonts w:eastAsia="Times New Roman"/>
                <w:color w:val="000000"/>
                <w:sz w:val="24"/>
                <w:szCs w:val="24"/>
              </w:rPr>
            </w:pPr>
            <w:r>
              <w:rPr>
                <w:color w:val="000000"/>
                <w:sz w:val="24"/>
              </w:rPr>
              <w:t>EVAL 2019-01</w:t>
            </w:r>
          </w:p>
        </w:tc>
      </w:tr>
      <w:tr w:rsidR="001C0BFD" w:rsidRPr="00427FB1" w14:paraId="69EAD54A" w14:textId="77777777" w:rsidTr="00D845F1">
        <w:trPr>
          <w:trHeight w:val="851"/>
        </w:trPr>
        <w:tc>
          <w:tcPr>
            <w:tcW w:w="7508" w:type="dxa"/>
            <w:vAlign w:val="center"/>
          </w:tcPr>
          <w:p w14:paraId="6CAA180B" w14:textId="77777777" w:rsidR="001C0BFD" w:rsidRPr="00721010" w:rsidRDefault="001C0BFD" w:rsidP="00D845F1">
            <w:pPr>
              <w:pStyle w:val="ONUME"/>
              <w:numPr>
                <w:ilvl w:val="0"/>
                <w:numId w:val="0"/>
              </w:numPr>
              <w:jc w:val="center"/>
              <w:rPr>
                <w:rFonts w:eastAsia="Times New Roman"/>
                <w:color w:val="000000"/>
                <w:sz w:val="24"/>
                <w:szCs w:val="24"/>
              </w:rPr>
            </w:pPr>
            <w:r>
              <w:rPr>
                <w:color w:val="000000"/>
                <w:sz w:val="24"/>
              </w:rPr>
              <w:t>Оценка программы 17 «Обеспечение уважения ИС»</w:t>
            </w:r>
          </w:p>
        </w:tc>
        <w:tc>
          <w:tcPr>
            <w:tcW w:w="1837" w:type="dxa"/>
            <w:vAlign w:val="center"/>
          </w:tcPr>
          <w:p w14:paraId="5469623E" w14:textId="77777777" w:rsidR="001C0BFD" w:rsidRPr="00721010" w:rsidRDefault="001C0BFD" w:rsidP="00D845F1">
            <w:pPr>
              <w:pStyle w:val="ONUME"/>
              <w:numPr>
                <w:ilvl w:val="0"/>
                <w:numId w:val="0"/>
              </w:numPr>
              <w:ind w:left="34"/>
              <w:jc w:val="center"/>
              <w:rPr>
                <w:rFonts w:eastAsia="Times New Roman"/>
                <w:color w:val="000000"/>
                <w:sz w:val="24"/>
                <w:szCs w:val="24"/>
              </w:rPr>
            </w:pPr>
            <w:r>
              <w:rPr>
                <w:color w:val="000000"/>
                <w:sz w:val="24"/>
              </w:rPr>
              <w:t>EVAL 2019-03</w:t>
            </w:r>
          </w:p>
        </w:tc>
      </w:tr>
      <w:tr w:rsidR="001C0BFD" w:rsidRPr="00427FB1" w14:paraId="17A9D001" w14:textId="77777777" w:rsidTr="00D845F1">
        <w:trPr>
          <w:trHeight w:val="851"/>
        </w:trPr>
        <w:tc>
          <w:tcPr>
            <w:tcW w:w="7508" w:type="dxa"/>
            <w:vAlign w:val="center"/>
          </w:tcPr>
          <w:p w14:paraId="1D3405BB" w14:textId="77777777" w:rsidR="001C0BFD" w:rsidRPr="00721010" w:rsidRDefault="001C0BFD" w:rsidP="00D845F1">
            <w:pPr>
              <w:pStyle w:val="ONUME"/>
              <w:numPr>
                <w:ilvl w:val="0"/>
                <w:numId w:val="0"/>
              </w:numPr>
              <w:jc w:val="center"/>
              <w:rPr>
                <w:rFonts w:eastAsia="Times New Roman"/>
                <w:color w:val="000000"/>
                <w:sz w:val="24"/>
                <w:szCs w:val="24"/>
              </w:rPr>
            </w:pPr>
            <w:r>
              <w:rPr>
                <w:color w:val="000000"/>
                <w:sz w:val="24"/>
              </w:rPr>
              <w:t>Оценка программы 32 «Лиссабонская система»</w:t>
            </w:r>
          </w:p>
        </w:tc>
        <w:tc>
          <w:tcPr>
            <w:tcW w:w="1837" w:type="dxa"/>
            <w:vAlign w:val="center"/>
          </w:tcPr>
          <w:p w14:paraId="6FCC9CD7" w14:textId="77777777" w:rsidR="001C0BFD" w:rsidRPr="00721010" w:rsidRDefault="001C0BFD" w:rsidP="00D845F1">
            <w:pPr>
              <w:pStyle w:val="ONUME"/>
              <w:numPr>
                <w:ilvl w:val="0"/>
                <w:numId w:val="0"/>
              </w:numPr>
              <w:ind w:left="34"/>
              <w:jc w:val="center"/>
              <w:rPr>
                <w:rFonts w:eastAsia="Times New Roman"/>
                <w:color w:val="000000"/>
                <w:sz w:val="24"/>
                <w:szCs w:val="24"/>
              </w:rPr>
            </w:pPr>
            <w:r>
              <w:rPr>
                <w:color w:val="000000"/>
                <w:sz w:val="24"/>
              </w:rPr>
              <w:t>EVAL 2019-05</w:t>
            </w:r>
          </w:p>
        </w:tc>
      </w:tr>
      <w:tr w:rsidR="00FF003D" w:rsidRPr="00427FB1" w14:paraId="2405F8E5" w14:textId="77777777" w:rsidTr="002670C4">
        <w:trPr>
          <w:trHeight w:val="851"/>
        </w:trPr>
        <w:tc>
          <w:tcPr>
            <w:tcW w:w="7508" w:type="dxa"/>
            <w:vAlign w:val="center"/>
          </w:tcPr>
          <w:p w14:paraId="340FC124" w14:textId="15FA4E71" w:rsidR="00FF003D" w:rsidRPr="00721010" w:rsidRDefault="00140918" w:rsidP="00D77D44">
            <w:pPr>
              <w:pStyle w:val="ONUME"/>
              <w:numPr>
                <w:ilvl w:val="0"/>
                <w:numId w:val="0"/>
              </w:numPr>
              <w:jc w:val="center"/>
              <w:rPr>
                <w:rFonts w:eastAsia="Times New Roman"/>
                <w:color w:val="000000"/>
                <w:sz w:val="24"/>
                <w:szCs w:val="24"/>
              </w:rPr>
            </w:pPr>
            <w:r>
              <w:rPr>
                <w:color w:val="000000"/>
                <w:sz w:val="24"/>
              </w:rPr>
              <w:t>Консультация по вопросам оценки — предварительная оценка механизмов Регионального отдела Азиатско-Тихоокеанского регион</w:t>
            </w:r>
            <w:r w:rsidR="00335AA4">
              <w:rPr>
                <w:color w:val="000000"/>
                <w:sz w:val="24"/>
              </w:rPr>
              <w:t>а</w:t>
            </w:r>
            <w:r>
              <w:rPr>
                <w:color w:val="000000"/>
                <w:sz w:val="24"/>
              </w:rPr>
              <w:t xml:space="preserve"> в сфере технического сотрудничества</w:t>
            </w:r>
          </w:p>
        </w:tc>
        <w:tc>
          <w:tcPr>
            <w:tcW w:w="1837" w:type="dxa"/>
            <w:vAlign w:val="center"/>
          </w:tcPr>
          <w:p w14:paraId="5B7148E2" w14:textId="4033F16E" w:rsidR="00FF003D" w:rsidRPr="00721010" w:rsidRDefault="00140918" w:rsidP="00721BDA">
            <w:pPr>
              <w:pStyle w:val="ONUME"/>
              <w:numPr>
                <w:ilvl w:val="0"/>
                <w:numId w:val="0"/>
              </w:numPr>
              <w:ind w:left="34"/>
              <w:jc w:val="center"/>
              <w:rPr>
                <w:rFonts w:eastAsia="Times New Roman"/>
                <w:color w:val="000000"/>
                <w:sz w:val="24"/>
                <w:szCs w:val="24"/>
              </w:rPr>
            </w:pPr>
            <w:r>
              <w:rPr>
                <w:color w:val="000000"/>
                <w:sz w:val="24"/>
              </w:rPr>
              <w:t>EVAL 2020-04</w:t>
            </w:r>
          </w:p>
        </w:tc>
      </w:tr>
      <w:tr w:rsidR="00FF003D" w:rsidRPr="00427FB1" w14:paraId="4B2636D4" w14:textId="77777777" w:rsidTr="002670C4">
        <w:trPr>
          <w:trHeight w:val="851"/>
        </w:trPr>
        <w:tc>
          <w:tcPr>
            <w:tcW w:w="7508" w:type="dxa"/>
            <w:vAlign w:val="center"/>
          </w:tcPr>
          <w:p w14:paraId="142A2729" w14:textId="0A48B2E7" w:rsidR="00FF003D" w:rsidRPr="00C11E98" w:rsidRDefault="00FF003D" w:rsidP="00721BDA">
            <w:pPr>
              <w:pStyle w:val="ONUME"/>
              <w:numPr>
                <w:ilvl w:val="0"/>
                <w:numId w:val="0"/>
              </w:numPr>
              <w:jc w:val="center"/>
            </w:pPr>
            <w:r>
              <w:rPr>
                <w:color w:val="000000"/>
                <w:sz w:val="24"/>
              </w:rPr>
              <w:t>Отчет о результатах расследования для руководства (ОРРР) по информации, переданной ГРООН</w:t>
            </w:r>
          </w:p>
        </w:tc>
        <w:tc>
          <w:tcPr>
            <w:tcW w:w="1837" w:type="dxa"/>
            <w:vAlign w:val="center"/>
          </w:tcPr>
          <w:p w14:paraId="302D0BB0" w14:textId="19F56A16" w:rsidR="00FF003D" w:rsidRPr="00427FB1" w:rsidRDefault="00FF003D" w:rsidP="00721BDA">
            <w:pPr>
              <w:pStyle w:val="ONUME"/>
              <w:numPr>
                <w:ilvl w:val="0"/>
                <w:numId w:val="0"/>
              </w:numPr>
              <w:ind w:left="34"/>
              <w:jc w:val="center"/>
            </w:pPr>
            <w:r>
              <w:rPr>
                <w:color w:val="000000"/>
                <w:sz w:val="24"/>
              </w:rPr>
              <w:t>MIR 20-07</w:t>
            </w:r>
          </w:p>
        </w:tc>
      </w:tr>
      <w:tr w:rsidR="00F45565" w:rsidRPr="00427FB1" w14:paraId="748CAA36" w14:textId="3254BF6C" w:rsidTr="002670C4">
        <w:trPr>
          <w:trHeight w:val="851"/>
        </w:trPr>
        <w:tc>
          <w:tcPr>
            <w:tcW w:w="7508" w:type="dxa"/>
            <w:vAlign w:val="center"/>
          </w:tcPr>
          <w:p w14:paraId="14123F55" w14:textId="2EACE48A" w:rsidR="00F45565" w:rsidRPr="000269CE" w:rsidRDefault="00F45565" w:rsidP="00721BDA">
            <w:pPr>
              <w:pStyle w:val="ONUME"/>
              <w:numPr>
                <w:ilvl w:val="0"/>
                <w:numId w:val="0"/>
              </w:numPr>
              <w:jc w:val="center"/>
              <w:rPr>
                <w:rFonts w:eastAsia="Times New Roman"/>
                <w:color w:val="000000"/>
                <w:sz w:val="24"/>
                <w:szCs w:val="24"/>
              </w:rPr>
            </w:pPr>
            <w:r>
              <w:rPr>
                <w:color w:val="000000"/>
                <w:sz w:val="24"/>
              </w:rPr>
              <w:t xml:space="preserve">ОРРР </w:t>
            </w:r>
            <w:r>
              <w:rPr>
                <w:sz w:val="24"/>
              </w:rPr>
              <w:t>по повышению эффективности работы Организации по предотвращению мошенничества со счетами-фактурами в отношении клиентов ВОИС со стороны лиц, не относящихся к Организации</w:t>
            </w:r>
          </w:p>
        </w:tc>
        <w:tc>
          <w:tcPr>
            <w:tcW w:w="1837" w:type="dxa"/>
            <w:vAlign w:val="center"/>
          </w:tcPr>
          <w:p w14:paraId="1B144AF7" w14:textId="53C5906D" w:rsidR="00F45565" w:rsidRPr="00F736B0" w:rsidRDefault="00F45565" w:rsidP="00FF003D">
            <w:pPr>
              <w:jc w:val="center"/>
              <w:rPr>
                <w:rFonts w:eastAsia="Times New Roman"/>
                <w:color w:val="000000"/>
                <w:sz w:val="24"/>
                <w:szCs w:val="24"/>
              </w:rPr>
            </w:pPr>
            <w:r>
              <w:rPr>
                <w:color w:val="000000"/>
                <w:sz w:val="24"/>
              </w:rPr>
              <w:t>MIR 19-11</w:t>
            </w:r>
          </w:p>
        </w:tc>
      </w:tr>
    </w:tbl>
    <w:p w14:paraId="60C7189E" w14:textId="77777777" w:rsidR="00C46B12" w:rsidRDefault="00C46B12" w:rsidP="00C46B12">
      <w:pPr>
        <w:keepLines/>
      </w:pPr>
    </w:p>
    <w:p w14:paraId="51085B09" w14:textId="77777777" w:rsidR="00C46B12" w:rsidRDefault="00C46B12" w:rsidP="00C46B12">
      <w:pPr>
        <w:keepLines/>
        <w:ind w:left="5533"/>
      </w:pPr>
    </w:p>
    <w:p w14:paraId="72B99865" w14:textId="5244FE4C" w:rsidR="00DC7B07" w:rsidRDefault="00C46B12" w:rsidP="00FF1E25">
      <w:pPr>
        <w:keepLines/>
        <w:ind w:left="5533"/>
      </w:pPr>
      <w:r>
        <w:t>[Конец приложения и документа]</w:t>
      </w:r>
    </w:p>
    <w:p w14:paraId="7B4EE85B" w14:textId="77777777" w:rsidR="00EA028E" w:rsidRPr="00721010" w:rsidRDefault="00EA028E">
      <w:pPr>
        <w:rPr>
          <w:rFonts w:ascii="Times New Roman" w:eastAsia="Times New Roman" w:hAnsi="Times New Roman" w:cs="Times New Roman"/>
          <w:sz w:val="20"/>
          <w:lang w:eastAsia="fr-CH"/>
        </w:rPr>
      </w:pPr>
    </w:p>
    <w:sectPr w:rsidR="00EA028E" w:rsidRPr="00721010" w:rsidSect="00E60513">
      <w:headerReference w:type="default" r:id="rId22"/>
      <w:head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FA18A" w14:textId="77777777" w:rsidR="00FC4C32" w:rsidRDefault="00FC4C32">
      <w:r>
        <w:separator/>
      </w:r>
    </w:p>
  </w:endnote>
  <w:endnote w:type="continuationSeparator" w:id="0">
    <w:p w14:paraId="06579D90" w14:textId="77777777" w:rsidR="00FC4C32" w:rsidRDefault="00FC4C32" w:rsidP="003B38C1">
      <w:r>
        <w:separator/>
      </w:r>
    </w:p>
    <w:p w14:paraId="6A44555B" w14:textId="77777777" w:rsidR="00FC4C32" w:rsidRPr="003360AE" w:rsidRDefault="00FC4C32" w:rsidP="003B38C1">
      <w:pPr>
        <w:spacing w:after="60"/>
        <w:rPr>
          <w:sz w:val="17"/>
          <w:lang w:val="en-US"/>
        </w:rPr>
      </w:pPr>
      <w:r w:rsidRPr="003360AE">
        <w:rPr>
          <w:sz w:val="17"/>
          <w:lang w:val="en-US"/>
        </w:rPr>
        <w:t>[Endnote continued from previous page]</w:t>
      </w:r>
    </w:p>
  </w:endnote>
  <w:endnote w:type="continuationNotice" w:id="1">
    <w:p w14:paraId="349A58CF" w14:textId="77777777" w:rsidR="00FC4C32" w:rsidRPr="003360AE" w:rsidRDefault="00FC4C32" w:rsidP="003B38C1">
      <w:pPr>
        <w:spacing w:before="60"/>
        <w:jc w:val="right"/>
        <w:rPr>
          <w:sz w:val="17"/>
          <w:szCs w:val="17"/>
          <w:lang w:val="en-US"/>
        </w:rPr>
      </w:pPr>
      <w:r w:rsidRPr="003360A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3D40" w14:textId="77777777" w:rsidR="00FC05A9" w:rsidRPr="00CD472C" w:rsidRDefault="00FC05A9" w:rsidP="00267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7C7E" w14:textId="77777777" w:rsidR="00FC05A9" w:rsidRPr="00CD472C" w:rsidRDefault="00FC05A9" w:rsidP="00267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B8BE" w14:textId="77777777" w:rsidR="00FC05A9" w:rsidRPr="00CD472C" w:rsidRDefault="00FC05A9" w:rsidP="00267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FC30C" w14:textId="77777777" w:rsidR="00FC4C32" w:rsidRDefault="00FC4C32">
      <w:r>
        <w:separator/>
      </w:r>
    </w:p>
  </w:footnote>
  <w:footnote w:type="continuationSeparator" w:id="0">
    <w:p w14:paraId="68515244" w14:textId="77777777" w:rsidR="00FC4C32" w:rsidRDefault="00FC4C32" w:rsidP="008B60B2">
      <w:r>
        <w:separator/>
      </w:r>
    </w:p>
    <w:p w14:paraId="12CDDDFC" w14:textId="77777777" w:rsidR="00FC4C32" w:rsidRPr="003360AE" w:rsidRDefault="00FC4C32" w:rsidP="008B60B2">
      <w:pPr>
        <w:spacing w:after="60"/>
        <w:rPr>
          <w:sz w:val="17"/>
          <w:szCs w:val="17"/>
          <w:lang w:val="en-US"/>
        </w:rPr>
      </w:pPr>
      <w:r w:rsidRPr="003360AE">
        <w:rPr>
          <w:sz w:val="17"/>
          <w:szCs w:val="17"/>
          <w:lang w:val="en-US"/>
        </w:rPr>
        <w:t>[Footnote continued from previous page]</w:t>
      </w:r>
    </w:p>
  </w:footnote>
  <w:footnote w:type="continuationNotice" w:id="1">
    <w:p w14:paraId="20B82B3D" w14:textId="77777777" w:rsidR="00FC4C32" w:rsidRPr="003360AE" w:rsidRDefault="00FC4C32" w:rsidP="008B60B2">
      <w:pPr>
        <w:spacing w:before="60"/>
        <w:jc w:val="right"/>
        <w:rPr>
          <w:sz w:val="17"/>
          <w:szCs w:val="17"/>
          <w:lang w:val="en-US"/>
        </w:rPr>
      </w:pPr>
      <w:r w:rsidRPr="003360AE">
        <w:rPr>
          <w:sz w:val="17"/>
          <w:szCs w:val="17"/>
          <w:lang w:val="en-US"/>
        </w:rPr>
        <w:t>[Footnote continued on next page]</w:t>
      </w:r>
    </w:p>
  </w:footnote>
  <w:footnote w:id="2">
    <w:p w14:paraId="58431245" w14:textId="77777777" w:rsidR="00FC05A9" w:rsidRPr="001C0542" w:rsidRDefault="00FC05A9" w:rsidP="00C46B12">
      <w:pPr>
        <w:pStyle w:val="FootnoteText"/>
      </w:pPr>
      <w:r>
        <w:rPr>
          <w:rStyle w:val="FootnoteReference"/>
        </w:rPr>
        <w:footnoteRef/>
      </w:r>
      <w:r>
        <w:t xml:space="preserve">  См. пункты 47 и 48 УВН.</w:t>
      </w:r>
    </w:p>
  </w:footnote>
  <w:footnote w:id="3">
    <w:p w14:paraId="230843F2" w14:textId="77777777" w:rsidR="00FC05A9" w:rsidRDefault="00FC05A9" w:rsidP="00C46B12">
      <w:pPr>
        <w:pStyle w:val="FootnoteText"/>
      </w:pPr>
      <w:r>
        <w:rPr>
          <w:rStyle w:val="FootnoteReference"/>
        </w:rPr>
        <w:footnoteRef/>
      </w:r>
      <w:r>
        <w:t xml:space="preserve">  Перечень отчетов содержится в приложении.</w:t>
      </w:r>
    </w:p>
  </w:footnote>
  <w:footnote w:id="4">
    <w:p w14:paraId="0F2367A5" w14:textId="4BFF942E" w:rsidR="00FC05A9" w:rsidRDefault="00FC05A9" w:rsidP="00C46B12">
      <w:pPr>
        <w:pStyle w:val="FootnoteText"/>
      </w:pPr>
      <w:r>
        <w:rPr>
          <w:rStyle w:val="FootnoteReference"/>
        </w:rPr>
        <w:footnoteRef/>
      </w:r>
      <w:r>
        <w:t xml:space="preserve">  Система TeamCentral</w:t>
      </w:r>
      <w:r w:rsidR="0067148E" w:rsidRPr="00BA48F4">
        <w:rPr>
          <w:vertAlign w:val="superscript"/>
        </w:rPr>
        <w:t>TM</w:t>
      </w:r>
      <w:r>
        <w:t> — один из модулей специализированной программной системы TeamMate</w:t>
      </w:r>
      <w:r w:rsidR="0067148E" w:rsidRPr="00BA48F4">
        <w:rPr>
          <w:vertAlign w:val="superscript"/>
        </w:rPr>
        <w:t>TM</w:t>
      </w:r>
      <w:r>
        <w:t>, которая предназначена для проведения аудиторских проверок и включает целый ряд модулей, в частности для работы с электронными документами, контроля выполнения рекомендаций, оценки рисков и составления временных графиков.</w:t>
      </w:r>
    </w:p>
  </w:footnote>
  <w:footnote w:id="5">
    <w:p w14:paraId="60577642" w14:textId="77777777" w:rsidR="00FC05A9" w:rsidRDefault="00FC05A9" w:rsidP="008053D2">
      <w:pPr>
        <w:pStyle w:val="EndnoteText"/>
      </w:pPr>
      <w:r>
        <w:rPr>
          <w:rStyle w:val="FootnoteReference"/>
        </w:rPr>
        <w:footnoteRef/>
      </w:r>
      <w:r>
        <w:t xml:space="preserve">  Система СУАИ ЛР обеспечивает автоматизацию создания, обработки и утверждения различных категорий выплат и льгот персоналу ВОИС.</w:t>
      </w:r>
    </w:p>
  </w:footnote>
  <w:footnote w:id="6">
    <w:p w14:paraId="1660B871" w14:textId="67F1206C" w:rsidR="00FC05A9" w:rsidRDefault="00FC05A9" w:rsidP="008053D2">
      <w:pPr>
        <w:pStyle w:val="FootnoteText"/>
      </w:pPr>
      <w:r>
        <w:rPr>
          <w:rStyle w:val="FootnoteReference"/>
        </w:rPr>
        <w:footnoteRef/>
      </w:r>
      <w:r>
        <w:t xml:space="preserve">  В июле 2018</w:t>
      </w:r>
      <w:r w:rsidR="00556C50">
        <w:t> </w:t>
      </w:r>
      <w:r>
        <w:t>г</w:t>
      </w:r>
      <w:r w:rsidR="00556C50">
        <w:t>.</w:t>
      </w:r>
      <w:r>
        <w:t xml:space="preserve"> ВОИС внедрила систему ведения медицинской документации в электронном виде под названием EarthMed. Новая система предназначена среди прочего для обеспечения более эффективного и результативного управления конфиденциальными медицинскими данными сотрудников.</w:t>
      </w:r>
    </w:p>
  </w:footnote>
  <w:footnote w:id="7">
    <w:p w14:paraId="71F1EB8B" w14:textId="40C33E13" w:rsidR="009A6447" w:rsidRPr="00F55742" w:rsidRDefault="009A6447" w:rsidP="009A6447">
      <w:pPr>
        <w:pStyle w:val="FootnoteText"/>
      </w:pPr>
      <w:r>
        <w:rPr>
          <w:rStyle w:val="FootnoteReference"/>
        </w:rPr>
        <w:footnoteRef/>
      </w:r>
      <w:r w:rsidRPr="00F55742">
        <w:t xml:space="preserve">  </w:t>
      </w:r>
      <w:r>
        <w:t>Без</w:t>
      </w:r>
      <w:r w:rsidRPr="009A6447">
        <w:t xml:space="preserve"> </w:t>
      </w:r>
      <w:r>
        <w:t>учета</w:t>
      </w:r>
      <w:r w:rsidRPr="009A6447">
        <w:t xml:space="preserve"> </w:t>
      </w:r>
      <w:r>
        <w:t>дел</w:t>
      </w:r>
      <w:r w:rsidRPr="009A6447">
        <w:t xml:space="preserve">,  </w:t>
      </w:r>
      <w:r>
        <w:t>приостановленных</w:t>
      </w:r>
      <w:r w:rsidRPr="009A6447">
        <w:t xml:space="preserve"> </w:t>
      </w:r>
      <w:r>
        <w:t>в</w:t>
      </w:r>
      <w:r w:rsidRPr="009A6447">
        <w:t xml:space="preserve"> </w:t>
      </w:r>
      <w:r>
        <w:t>ожидании</w:t>
      </w:r>
      <w:r w:rsidRPr="009A6447">
        <w:t xml:space="preserve"> </w:t>
      </w:r>
      <w:r w:rsidR="00E73EDC">
        <w:t>действий со стороны других организаций</w:t>
      </w:r>
      <w:r w:rsidRPr="009A6447">
        <w:t xml:space="preserve"> </w:t>
      </w:r>
      <w:r>
        <w:t>или</w:t>
      </w:r>
      <w:r w:rsidRPr="009A6447">
        <w:t xml:space="preserve"> </w:t>
      </w:r>
      <w:r>
        <w:t>в</w:t>
      </w:r>
      <w:r w:rsidRPr="009A6447">
        <w:t xml:space="preserve"> </w:t>
      </w:r>
      <w:r>
        <w:t>связи с длительным отсутствием сотрудником,</w:t>
      </w:r>
      <w:r w:rsidR="00E73EDC">
        <w:t xml:space="preserve"> с которых необходимо снять показания</w:t>
      </w:r>
      <w:r w:rsidRPr="00F55742">
        <w:t>.</w:t>
      </w:r>
    </w:p>
  </w:footnote>
  <w:footnote w:id="8">
    <w:p w14:paraId="49330B0E" w14:textId="69B2D62F" w:rsidR="00FC05A9" w:rsidRPr="006B640C" w:rsidRDefault="00FC05A9" w:rsidP="00C46B12">
      <w:pPr>
        <w:pStyle w:val="FootnoteText"/>
      </w:pPr>
      <w:r>
        <w:rPr>
          <w:rStyle w:val="FootnoteReference"/>
        </w:rPr>
        <w:footnoteRef/>
      </w:r>
      <w:r>
        <w:t xml:space="preserve">  УВН, пункты 20, 21, 23, 24 и 25.</w:t>
      </w:r>
    </w:p>
  </w:footnote>
  <w:footnote w:id="9">
    <w:p w14:paraId="2871724B" w14:textId="55C1811D" w:rsidR="00FC05A9" w:rsidRPr="00342383" w:rsidRDefault="00FC05A9">
      <w:pPr>
        <w:pStyle w:val="FootnoteText"/>
      </w:pPr>
      <w:r>
        <w:rPr>
          <w:rStyle w:val="FootnoteReference"/>
        </w:rPr>
        <w:footnoteRef/>
      </w:r>
      <w:r>
        <w:t xml:space="preserve">  УВН, пункт 48 (b).</w:t>
      </w:r>
    </w:p>
  </w:footnote>
  <w:footnote w:id="10">
    <w:p w14:paraId="463BE410" w14:textId="77777777" w:rsidR="00FC05A9" w:rsidRPr="00F87F84" w:rsidRDefault="00FC05A9" w:rsidP="00C46B12">
      <w:pPr>
        <w:pStyle w:val="FootnoteText"/>
        <w:spacing w:after="20"/>
      </w:pPr>
      <w:r>
        <w:rPr>
          <w:rStyle w:val="FootnoteReference"/>
          <w:szCs w:val="18"/>
        </w:rPr>
        <w:footnoteRef/>
      </w:r>
      <w:r>
        <w:t xml:space="preserve">  УВН, пункт 45.</w:t>
      </w:r>
    </w:p>
  </w:footnote>
  <w:footnote w:id="11">
    <w:p w14:paraId="02A91AB3" w14:textId="77777777" w:rsidR="00FC05A9" w:rsidRPr="003C0543" w:rsidRDefault="00FC05A9" w:rsidP="00C46B12">
      <w:pPr>
        <w:pStyle w:val="FootnoteText"/>
        <w:spacing w:after="20"/>
      </w:pPr>
      <w:r>
        <w:rPr>
          <w:rStyle w:val="FootnoteReference"/>
          <w:szCs w:val="18"/>
        </w:rPr>
        <w:footnoteRef/>
      </w:r>
      <w:r>
        <w:t xml:space="preserve">  СИ 16/2010, пункт 7.</w:t>
      </w:r>
    </w:p>
  </w:footnote>
  <w:footnote w:id="12">
    <w:p w14:paraId="2C71F32F" w14:textId="77777777" w:rsidR="00FC05A9" w:rsidRPr="006B640C" w:rsidRDefault="00FC05A9" w:rsidP="00C46B12">
      <w:pPr>
        <w:spacing w:after="20"/>
      </w:pPr>
      <w:r>
        <w:rPr>
          <w:rStyle w:val="FootnoteReference"/>
          <w:sz w:val="18"/>
          <w:szCs w:val="18"/>
        </w:rPr>
        <w:footnoteRef/>
      </w:r>
      <w:r>
        <w:t xml:space="preserve">  </w:t>
      </w:r>
      <w:r w:rsidRPr="00E20D4F">
        <w:rPr>
          <w:sz w:val="18"/>
        </w:rPr>
        <w:t>СИ 16/2010, пункт 8</w:t>
      </w:r>
      <w:r>
        <w:t>.</w:t>
      </w:r>
    </w:p>
  </w:footnote>
  <w:footnote w:id="13">
    <w:p w14:paraId="2A8B27B9" w14:textId="2C8D8D68" w:rsidR="00FC05A9" w:rsidRPr="00210B06" w:rsidRDefault="00FC05A9">
      <w:pPr>
        <w:pStyle w:val="FootnoteText"/>
      </w:pPr>
      <w:r>
        <w:rPr>
          <w:rStyle w:val="FootnoteReference"/>
        </w:rPr>
        <w:footnoteRef/>
      </w:r>
      <w:r>
        <w:t xml:space="preserve">  WO/PBC/30/14 — 18 июня 2019</w:t>
      </w:r>
      <w:r w:rsidR="00982C4A">
        <w:t> </w:t>
      </w:r>
      <w:r>
        <w:t>г.</w:t>
      </w:r>
    </w:p>
  </w:footnote>
  <w:footnote w:id="14">
    <w:p w14:paraId="3E336053" w14:textId="199AD2CE" w:rsidR="00FC05A9" w:rsidRPr="00C70269" w:rsidRDefault="00FC05A9" w:rsidP="0097450D">
      <w:pPr>
        <w:pStyle w:val="FootnoteText"/>
      </w:pPr>
      <w:r>
        <w:rPr>
          <w:rStyle w:val="FootnoteReference"/>
        </w:rPr>
        <w:footnoteRef/>
      </w:r>
      <w:r>
        <w:rPr>
          <w:b/>
        </w:rPr>
        <w:t xml:space="preserve">  Программа 5 </w:t>
      </w:r>
      <w:r>
        <w:t>— Система PCT;</w:t>
      </w:r>
      <w:r>
        <w:rPr>
          <w:b/>
        </w:rPr>
        <w:t xml:space="preserve"> Программа 6 </w:t>
      </w:r>
      <w:r>
        <w:t xml:space="preserve">— Мадридская система;  </w:t>
      </w:r>
      <w:r>
        <w:rPr>
          <w:b/>
        </w:rPr>
        <w:t>Программа 9 </w:t>
      </w:r>
      <w:r>
        <w:t xml:space="preserve">— Африка, арабские страны, Азия и Тихоокеанский регион, Латинская Америка и страны Карибского бассейна, наименее развитые страны;  </w:t>
      </w:r>
      <w:r>
        <w:rPr>
          <w:b/>
          <w:bCs/>
        </w:rPr>
        <w:t>Программа 13</w:t>
      </w:r>
      <w:r>
        <w:t xml:space="preserve"> — Глобальные базы данных;  </w:t>
      </w:r>
      <w:r>
        <w:rPr>
          <w:b/>
        </w:rPr>
        <w:t>Программа 17 </w:t>
      </w:r>
      <w:r>
        <w:t xml:space="preserve">— Обеспечение уважения ИС; </w:t>
      </w:r>
      <w:r>
        <w:rPr>
          <w:b/>
        </w:rPr>
        <w:t>Программа 19 </w:t>
      </w:r>
      <w:r>
        <w:t xml:space="preserve">— Коммуникации;  </w:t>
      </w:r>
      <w:r>
        <w:rPr>
          <w:b/>
        </w:rPr>
        <w:t>Программа 20 </w:t>
      </w:r>
      <w:r>
        <w:t xml:space="preserve">— Внешние связи, партнерства и внешние бюро;  </w:t>
      </w:r>
      <w:r>
        <w:rPr>
          <w:b/>
        </w:rPr>
        <w:t>Программа 21 </w:t>
      </w:r>
      <w:r>
        <w:t xml:space="preserve">— Исполнительное руководство;  </w:t>
      </w:r>
      <w:r>
        <w:rPr>
          <w:b/>
        </w:rPr>
        <w:t>Программа 22 </w:t>
      </w:r>
      <w:r>
        <w:t xml:space="preserve">— Управление программами и ресурсами;  </w:t>
      </w:r>
      <w:r>
        <w:rPr>
          <w:b/>
        </w:rPr>
        <w:t>Программа 23 </w:t>
      </w:r>
      <w:r>
        <w:t xml:space="preserve">— Управление людскими ресурсами и их развитие;  </w:t>
      </w:r>
      <w:r>
        <w:rPr>
          <w:b/>
        </w:rPr>
        <w:t>Программа 24 </w:t>
      </w:r>
      <w:r>
        <w:t xml:space="preserve">— Службы общей поддержки;  </w:t>
      </w:r>
      <w:r>
        <w:rPr>
          <w:b/>
        </w:rPr>
        <w:t>Программа 25 </w:t>
      </w:r>
      <w:r>
        <w:t xml:space="preserve">— Информационные и коммуникационные технологии;  </w:t>
      </w:r>
      <w:r>
        <w:rPr>
          <w:b/>
        </w:rPr>
        <w:t>Программа 26 </w:t>
      </w:r>
      <w:r>
        <w:t xml:space="preserve">— Отдел внутреннего надзора;  </w:t>
      </w:r>
      <w:r>
        <w:rPr>
          <w:b/>
        </w:rPr>
        <w:t>Программа 27 </w:t>
      </w:r>
      <w:r>
        <w:t>—</w:t>
      </w:r>
      <w:r>
        <w:rPr>
          <w:b/>
        </w:rPr>
        <w:t xml:space="preserve"> </w:t>
      </w:r>
      <w:r>
        <w:t xml:space="preserve">Конференционная и лингвистическая службы;  </w:t>
      </w:r>
      <w:r>
        <w:rPr>
          <w:b/>
        </w:rPr>
        <w:t>Программа 28 </w:t>
      </w:r>
      <w:r>
        <w:t xml:space="preserve">— Целостность информации, охрана и безопасность;  </w:t>
      </w:r>
      <w:r>
        <w:rPr>
          <w:b/>
        </w:rPr>
        <w:t>Программа 32</w:t>
      </w:r>
      <w:r>
        <w:t xml:space="preserve"> —Лиссабонская система.</w:t>
      </w:r>
    </w:p>
  </w:footnote>
  <w:footnote w:id="15">
    <w:p w14:paraId="54031828" w14:textId="77777777" w:rsidR="00FC05A9" w:rsidRPr="00072495" w:rsidRDefault="00FC05A9" w:rsidP="00C46B12">
      <w:pPr>
        <w:pStyle w:val="FootnoteText"/>
      </w:pPr>
      <w:r>
        <w:rPr>
          <w:rStyle w:val="FootnoteReference"/>
        </w:rPr>
        <w:footnoteRef/>
      </w:r>
      <w:r>
        <w:t xml:space="preserve">  УВН, пункт 28 (g).</w:t>
      </w:r>
    </w:p>
  </w:footnote>
  <w:footnote w:id="16">
    <w:p w14:paraId="41670D65" w14:textId="4178C06C" w:rsidR="00FC05A9" w:rsidRDefault="00FC05A9" w:rsidP="00550057">
      <w:pPr>
        <w:pStyle w:val="FootnoteText"/>
      </w:pPr>
      <w:r>
        <w:rPr>
          <w:rStyle w:val="FootnoteReference"/>
        </w:rPr>
        <w:footnoteRef/>
      </w:r>
      <w:r>
        <w:t xml:space="preserve">  Основными заинтересованными сторонами являются Генеральный директор, руководители ВОИС, НККН, государства-члены, внешний аудитор и общественность в целом.</w:t>
      </w:r>
    </w:p>
  </w:footnote>
  <w:footnote w:id="17">
    <w:p w14:paraId="15C2A5BA" w14:textId="77777777" w:rsidR="00FC05A9" w:rsidRDefault="00FC05A9" w:rsidP="00C46B12">
      <w:pPr>
        <w:pStyle w:val="FootnoteText"/>
      </w:pPr>
      <w:r>
        <w:rPr>
          <w:rStyle w:val="FootnoteReference"/>
        </w:rPr>
        <w:footnoteRef/>
      </w:r>
      <w:r>
        <w:t xml:space="preserve">  УВН, пункт 48 (i).</w:t>
      </w:r>
    </w:p>
  </w:footnote>
  <w:footnote w:id="18">
    <w:p w14:paraId="430BCA1D" w14:textId="77777777" w:rsidR="00FC05A9" w:rsidRPr="00283D9B" w:rsidRDefault="00FC05A9" w:rsidP="002F07CD">
      <w:pPr>
        <w:pStyle w:val="FootnoteText"/>
      </w:pPr>
      <w:r>
        <w:rPr>
          <w:rStyle w:val="FootnoteReference"/>
        </w:rPr>
        <w:footnoteRef/>
      </w:r>
      <w:r>
        <w:t xml:space="preserve">  Эта процентная величина основана на бюджетном показателе после перераспределения средств на нужды ОВН.</w:t>
      </w:r>
    </w:p>
  </w:footnote>
  <w:footnote w:id="19">
    <w:p w14:paraId="3655865D" w14:textId="66A9AA62" w:rsidR="00FC05A9" w:rsidRDefault="00FC05A9" w:rsidP="002F07CD">
      <w:pPr>
        <w:spacing w:after="40"/>
      </w:pPr>
      <w:r>
        <w:rPr>
          <w:rStyle w:val="FootnoteReference"/>
          <w:sz w:val="16"/>
          <w:szCs w:val="16"/>
        </w:rPr>
        <w:footnoteRef/>
      </w:r>
      <w:r>
        <w:t xml:space="preserve"> </w:t>
      </w:r>
      <w:r w:rsidRPr="00982C4A">
        <w:rPr>
          <w:sz w:val="18"/>
        </w:rPr>
        <w:t>Суммы указаны в тыс. шв. франков.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5633" w14:textId="7F455C3F" w:rsidR="00FC05A9" w:rsidRDefault="00FC05A9" w:rsidP="00477D6B">
    <w:pPr>
      <w:jc w:val="right"/>
    </w:pPr>
    <w:r>
      <w:t>WO/PBC/31/5</w:t>
    </w:r>
  </w:p>
  <w:p w14:paraId="018BED26" w14:textId="01EF18B1" w:rsidR="00FC05A9" w:rsidRDefault="00FC05A9" w:rsidP="00477D6B">
    <w:pPr>
      <w:jc w:val="right"/>
    </w:pPr>
    <w:r>
      <w:t>стр. 3</w:t>
    </w:r>
  </w:p>
  <w:p w14:paraId="70157FC7" w14:textId="77777777" w:rsidR="00FC05A9" w:rsidRDefault="00FC05A9" w:rsidP="00477D6B">
    <w:pPr>
      <w:jc w:val="right"/>
    </w:pPr>
  </w:p>
  <w:p w14:paraId="03D3DF3F" w14:textId="77777777" w:rsidR="00FC05A9" w:rsidRDefault="00FC05A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1B72" w14:textId="77777777" w:rsidR="00FC05A9" w:rsidRPr="00F87303" w:rsidRDefault="00FC05A9" w:rsidP="002670C4">
    <w:pPr>
      <w:jc w:val="right"/>
    </w:pPr>
    <w:r>
      <w:t>WO/PBC/28/5</w:t>
    </w:r>
  </w:p>
  <w:p w14:paraId="77ECC72B" w14:textId="4C92EB2F" w:rsidR="00FC05A9" w:rsidRPr="00E365E6" w:rsidRDefault="00FC05A9" w:rsidP="002670C4">
    <w:pPr>
      <w:pStyle w:val="Header"/>
      <w:jc w:val="right"/>
    </w:pPr>
    <w:r>
      <w:t>стр. 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623F9" w14:textId="613F146D" w:rsidR="00FC05A9" w:rsidRDefault="00FC05A9" w:rsidP="002670C4">
    <w:pPr>
      <w:jc w:val="right"/>
    </w:pPr>
    <w:r>
      <w:t>WO/PBC/33/</w:t>
    </w:r>
    <w:r w:rsidR="00C42028">
      <w:t>6</w:t>
    </w:r>
  </w:p>
  <w:p w14:paraId="3A36E76F" w14:textId="77816F61" w:rsidR="00FC05A9" w:rsidRPr="00F87303" w:rsidRDefault="00FC05A9" w:rsidP="001D1177">
    <w:pPr>
      <w:pStyle w:val="Header"/>
      <w:jc w:val="right"/>
    </w:pPr>
    <w:r>
      <w:t>стр. </w:t>
    </w:r>
    <w:r>
      <w:fldChar w:fldCharType="begin"/>
    </w:r>
    <w:r>
      <w:instrText xml:space="preserve"> PAGE   \* MERGEFORMAT </w:instrText>
    </w:r>
    <w:r>
      <w:fldChar w:fldCharType="separate"/>
    </w:r>
    <w:r w:rsidR="006015AB">
      <w:rPr>
        <w:noProof/>
      </w:rPr>
      <w:t>17</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8BFD" w14:textId="77777777" w:rsidR="00FC05A9" w:rsidRPr="003E573F" w:rsidRDefault="00FC05A9" w:rsidP="00267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63E95" w14:textId="77777777" w:rsidR="00FC05A9" w:rsidRPr="00037F36" w:rsidRDefault="00FC05A9" w:rsidP="00477D6B">
    <w:pPr>
      <w:jc w:val="right"/>
      <w:rPr>
        <w:lang w:val="de-DE"/>
      </w:rPr>
    </w:pPr>
    <w:bookmarkStart w:id="59" w:name="Code2"/>
    <w:bookmarkEnd w:id="59"/>
    <w:r w:rsidRPr="00037F36">
      <w:rPr>
        <w:lang w:val="de-DE"/>
      </w:rPr>
      <w:t>WO/GA/52/4WO/PBC/31/</w:t>
    </w:r>
  </w:p>
  <w:p w14:paraId="365BAAC1" w14:textId="3B553C59" w:rsidR="00FC05A9" w:rsidRPr="00037F36" w:rsidRDefault="00FC05A9" w:rsidP="00477D6B">
    <w:pPr>
      <w:jc w:val="right"/>
      <w:rPr>
        <w:lang w:val="de-DE"/>
      </w:rPr>
    </w:pPr>
    <w:r>
      <w:t>стр</w:t>
    </w:r>
    <w:r w:rsidRPr="00037F36">
      <w:rPr>
        <w:lang w:val="de-DE"/>
      </w:rPr>
      <w:t>. 20</w:t>
    </w:r>
  </w:p>
  <w:p w14:paraId="75B272AB" w14:textId="77777777" w:rsidR="00FC05A9" w:rsidRPr="00282208" w:rsidRDefault="00FC05A9" w:rsidP="00477D6B">
    <w:pPr>
      <w:jc w:val="right"/>
      <w:rPr>
        <w:lang w:val="de-DE"/>
      </w:rPr>
    </w:pPr>
  </w:p>
  <w:p w14:paraId="59E6120A" w14:textId="77777777" w:rsidR="00FC05A9" w:rsidRPr="00282208" w:rsidRDefault="00FC05A9" w:rsidP="00477D6B">
    <w:pPr>
      <w:jc w:val="right"/>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D857E" w14:textId="77777777" w:rsidR="00FC05A9" w:rsidRPr="00524915" w:rsidRDefault="00FC05A9" w:rsidP="00282208">
    <w:pPr>
      <w:jc w:val="right"/>
    </w:pPr>
    <w:r>
      <w:t>WO/PBC/31/4</w:t>
    </w:r>
  </w:p>
  <w:p w14:paraId="5B2705CB" w14:textId="77777777" w:rsidR="00FC05A9" w:rsidRPr="00524915" w:rsidRDefault="00FC05A9" w:rsidP="00282208">
    <w:pPr>
      <w:pStyle w:val="Header"/>
      <w:jc w:val="right"/>
    </w:pPr>
    <w:r>
      <w:t>ПРИЛОЖЕНИЕ</w:t>
    </w:r>
  </w:p>
  <w:p w14:paraId="5E0A27CE" w14:textId="77777777" w:rsidR="00FC05A9" w:rsidRPr="003E573F" w:rsidRDefault="00FC05A9" w:rsidP="0026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7FD"/>
    <w:multiLevelType w:val="hybridMultilevel"/>
    <w:tmpl w:val="21EEF100"/>
    <w:lvl w:ilvl="0" w:tplc="33BC284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B4E67850"/>
    <w:lvl w:ilvl="0">
      <w:start w:val="2"/>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506948"/>
    <w:multiLevelType w:val="hybridMultilevel"/>
    <w:tmpl w:val="87D2E77E"/>
    <w:lvl w:ilvl="0" w:tplc="EF02D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86423"/>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ED17FF"/>
    <w:multiLevelType w:val="multilevel"/>
    <w:tmpl w:val="80BAD626"/>
    <w:lvl w:ilvl="0">
      <w:start w:val="1"/>
      <w:numFmt w:val="bullet"/>
      <w:lvlText w:val=""/>
      <w:lvlJc w:val="left"/>
      <w:pPr>
        <w:tabs>
          <w:tab w:val="num" w:pos="567"/>
        </w:tabs>
        <w:ind w:left="0" w:firstLine="0"/>
      </w:pPr>
      <w:rPr>
        <w:rFonts w:ascii="Symbol" w:hAnsi="Symbol"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160FE7"/>
    <w:multiLevelType w:val="multilevel"/>
    <w:tmpl w:val="8DB6FC18"/>
    <w:lvl w:ilvl="0">
      <w:start w:val="1"/>
      <w:numFmt w:val="lowerLetter"/>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8"/>
  </w:num>
  <w:num w:numId="2">
    <w:abstractNumId w:val="1"/>
  </w:num>
  <w:num w:numId="3">
    <w:abstractNumId w:val="2"/>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7"/>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6"/>
  </w:num>
  <w:num w:numId="17">
    <w:abstractNumId w:val="9"/>
  </w:num>
  <w:num w:numId="18">
    <w:abstractNumId w:val="1"/>
  </w:num>
  <w:num w:numId="19">
    <w:abstractNumId w:val="1"/>
  </w:num>
  <w:num w:numId="20">
    <w:abstractNumId w:val="3"/>
  </w:num>
  <w:num w:numId="21">
    <w:abstractNumId w:val="1"/>
  </w:num>
  <w:num w:numId="22">
    <w:abstractNumId w:val="11"/>
  </w:num>
  <w:num w:numId="23">
    <w:abstractNumId w:val="1"/>
  </w:num>
  <w:num w:numId="24">
    <w:abstractNumId w:val="1"/>
  </w:num>
  <w:num w:numId="25">
    <w:abstractNumId w:val="1"/>
  </w:num>
  <w:num w:numId="26">
    <w:abstractNumId w:val="13"/>
  </w:num>
  <w:num w:numId="27">
    <w:abstractNumId w:val="1"/>
  </w:num>
  <w:num w:numId="28">
    <w:abstractNumId w:val="1"/>
  </w:num>
  <w:num w:numId="29">
    <w:abstractNumId w:val="1"/>
  </w:num>
  <w:num w:numId="30">
    <w:abstractNumId w:val="0"/>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de-DE" w:vendorID="64" w:dllVersion="0" w:nlCheck="1" w:checkStyle="0"/>
  <w:activeWritingStyle w:appName="MSWord" w:lang="ru-RU" w:vendorID="64" w:dllVersion="4096" w:nlCheck="1" w:checkStyle="0"/>
  <w:activeWritingStyle w:appName="MSWord" w:lang="ru-RU" w:vendorID="64" w:dllVersion="6" w:nlCheck="1" w:checkStyle="0"/>
  <w:activeWritingStyle w:appName="MSWord" w:lang="en-US" w:vendorID="64" w:dllVersion="4096" w:nlCheck="1" w:checkStyle="0"/>
  <w:activeWritingStyle w:appName="MSWord" w:lang="ru-RU" w:vendorID="64" w:dllVersion="0" w:nlCheck="1" w:checkStyle="0"/>
  <w:activeWritingStyle w:appName="MSWord" w:lang="ru-RU"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E97"/>
    <w:rsid w:val="0000263F"/>
    <w:rsid w:val="00004205"/>
    <w:rsid w:val="00007C8D"/>
    <w:rsid w:val="00012A0C"/>
    <w:rsid w:val="0001407C"/>
    <w:rsid w:val="00017479"/>
    <w:rsid w:val="000259B5"/>
    <w:rsid w:val="000269CE"/>
    <w:rsid w:val="00027788"/>
    <w:rsid w:val="000331AB"/>
    <w:rsid w:val="00037140"/>
    <w:rsid w:val="0003750A"/>
    <w:rsid w:val="00037F36"/>
    <w:rsid w:val="000402F9"/>
    <w:rsid w:val="00043CAA"/>
    <w:rsid w:val="000449A2"/>
    <w:rsid w:val="00044A42"/>
    <w:rsid w:val="00050B9C"/>
    <w:rsid w:val="0005230C"/>
    <w:rsid w:val="00053BE8"/>
    <w:rsid w:val="00055464"/>
    <w:rsid w:val="00056816"/>
    <w:rsid w:val="00060C46"/>
    <w:rsid w:val="000649AF"/>
    <w:rsid w:val="00066818"/>
    <w:rsid w:val="00067B6A"/>
    <w:rsid w:val="00075432"/>
    <w:rsid w:val="00080C25"/>
    <w:rsid w:val="00083433"/>
    <w:rsid w:val="00083553"/>
    <w:rsid w:val="00087F87"/>
    <w:rsid w:val="00091904"/>
    <w:rsid w:val="000920C6"/>
    <w:rsid w:val="00094B31"/>
    <w:rsid w:val="0009532F"/>
    <w:rsid w:val="000968ED"/>
    <w:rsid w:val="000A003F"/>
    <w:rsid w:val="000A07F8"/>
    <w:rsid w:val="000A12A6"/>
    <w:rsid w:val="000A2877"/>
    <w:rsid w:val="000A3D97"/>
    <w:rsid w:val="000A6E18"/>
    <w:rsid w:val="000A7A2D"/>
    <w:rsid w:val="000B1CEC"/>
    <w:rsid w:val="000D18B9"/>
    <w:rsid w:val="000D62DD"/>
    <w:rsid w:val="000D7F45"/>
    <w:rsid w:val="000E04C7"/>
    <w:rsid w:val="000E0D1B"/>
    <w:rsid w:val="000E1DB8"/>
    <w:rsid w:val="000E2BF2"/>
    <w:rsid w:val="000F16E2"/>
    <w:rsid w:val="000F18C3"/>
    <w:rsid w:val="000F1ACD"/>
    <w:rsid w:val="000F2726"/>
    <w:rsid w:val="000F3D7B"/>
    <w:rsid w:val="000F5D67"/>
    <w:rsid w:val="000F5E56"/>
    <w:rsid w:val="000F6132"/>
    <w:rsid w:val="000F6DA2"/>
    <w:rsid w:val="000F7A31"/>
    <w:rsid w:val="00104BDC"/>
    <w:rsid w:val="001052E2"/>
    <w:rsid w:val="0011081D"/>
    <w:rsid w:val="001123FB"/>
    <w:rsid w:val="001160CB"/>
    <w:rsid w:val="0012193A"/>
    <w:rsid w:val="001243F2"/>
    <w:rsid w:val="00131D66"/>
    <w:rsid w:val="001362EE"/>
    <w:rsid w:val="00140150"/>
    <w:rsid w:val="00140918"/>
    <w:rsid w:val="00143E13"/>
    <w:rsid w:val="0014654C"/>
    <w:rsid w:val="00152E1F"/>
    <w:rsid w:val="00154248"/>
    <w:rsid w:val="001542CE"/>
    <w:rsid w:val="001547C8"/>
    <w:rsid w:val="001635B5"/>
    <w:rsid w:val="00163E3E"/>
    <w:rsid w:val="001643D3"/>
    <w:rsid w:val="001647D5"/>
    <w:rsid w:val="001661F3"/>
    <w:rsid w:val="00173ECB"/>
    <w:rsid w:val="001750C8"/>
    <w:rsid w:val="001775CE"/>
    <w:rsid w:val="001805CB"/>
    <w:rsid w:val="001832A6"/>
    <w:rsid w:val="00191379"/>
    <w:rsid w:val="00193A11"/>
    <w:rsid w:val="00194BF6"/>
    <w:rsid w:val="00195170"/>
    <w:rsid w:val="001952B7"/>
    <w:rsid w:val="00196CD2"/>
    <w:rsid w:val="001A5DC5"/>
    <w:rsid w:val="001A6515"/>
    <w:rsid w:val="001B2E69"/>
    <w:rsid w:val="001B343A"/>
    <w:rsid w:val="001B7D41"/>
    <w:rsid w:val="001C0BFD"/>
    <w:rsid w:val="001C0E37"/>
    <w:rsid w:val="001C123D"/>
    <w:rsid w:val="001C12DE"/>
    <w:rsid w:val="001C669F"/>
    <w:rsid w:val="001C6CA4"/>
    <w:rsid w:val="001D01A8"/>
    <w:rsid w:val="001D1177"/>
    <w:rsid w:val="001D4107"/>
    <w:rsid w:val="001E003B"/>
    <w:rsid w:val="001E1CA7"/>
    <w:rsid w:val="001F21C8"/>
    <w:rsid w:val="001F5477"/>
    <w:rsid w:val="001F799A"/>
    <w:rsid w:val="002026BC"/>
    <w:rsid w:val="00203D24"/>
    <w:rsid w:val="002059E7"/>
    <w:rsid w:val="00210B06"/>
    <w:rsid w:val="0021217E"/>
    <w:rsid w:val="002150AF"/>
    <w:rsid w:val="0021563A"/>
    <w:rsid w:val="00217391"/>
    <w:rsid w:val="00224AED"/>
    <w:rsid w:val="00224D02"/>
    <w:rsid w:val="0022519E"/>
    <w:rsid w:val="002279F2"/>
    <w:rsid w:val="0023270A"/>
    <w:rsid w:val="002415DC"/>
    <w:rsid w:val="0024327F"/>
    <w:rsid w:val="00243430"/>
    <w:rsid w:val="002435DF"/>
    <w:rsid w:val="00243DD8"/>
    <w:rsid w:val="002446E9"/>
    <w:rsid w:val="0024667F"/>
    <w:rsid w:val="00247252"/>
    <w:rsid w:val="00252695"/>
    <w:rsid w:val="0025359D"/>
    <w:rsid w:val="002545F9"/>
    <w:rsid w:val="00255686"/>
    <w:rsid w:val="00257602"/>
    <w:rsid w:val="002630EC"/>
    <w:rsid w:val="002634C4"/>
    <w:rsid w:val="0026534C"/>
    <w:rsid w:val="002654AF"/>
    <w:rsid w:val="002670C4"/>
    <w:rsid w:val="002717D1"/>
    <w:rsid w:val="00282208"/>
    <w:rsid w:val="002830FF"/>
    <w:rsid w:val="00284537"/>
    <w:rsid w:val="00284EFC"/>
    <w:rsid w:val="0028603B"/>
    <w:rsid w:val="0028626A"/>
    <w:rsid w:val="00286DAC"/>
    <w:rsid w:val="0029118F"/>
    <w:rsid w:val="002928D3"/>
    <w:rsid w:val="002936F1"/>
    <w:rsid w:val="002A1916"/>
    <w:rsid w:val="002A213E"/>
    <w:rsid w:val="002B2901"/>
    <w:rsid w:val="002B7C36"/>
    <w:rsid w:val="002C23BF"/>
    <w:rsid w:val="002C3EE1"/>
    <w:rsid w:val="002C485D"/>
    <w:rsid w:val="002C4C35"/>
    <w:rsid w:val="002D2CF9"/>
    <w:rsid w:val="002D6986"/>
    <w:rsid w:val="002E1846"/>
    <w:rsid w:val="002E2DFD"/>
    <w:rsid w:val="002E3A72"/>
    <w:rsid w:val="002E69EB"/>
    <w:rsid w:val="002F07CD"/>
    <w:rsid w:val="002F1FE6"/>
    <w:rsid w:val="002F4E68"/>
    <w:rsid w:val="002F5395"/>
    <w:rsid w:val="002F5D8D"/>
    <w:rsid w:val="0030012B"/>
    <w:rsid w:val="00300D4D"/>
    <w:rsid w:val="0030244D"/>
    <w:rsid w:val="00302505"/>
    <w:rsid w:val="0030340A"/>
    <w:rsid w:val="003038D9"/>
    <w:rsid w:val="00307D39"/>
    <w:rsid w:val="0031229D"/>
    <w:rsid w:val="00312F7F"/>
    <w:rsid w:val="00314917"/>
    <w:rsid w:val="00315F3C"/>
    <w:rsid w:val="0032452C"/>
    <w:rsid w:val="00326E2A"/>
    <w:rsid w:val="00331F89"/>
    <w:rsid w:val="00335AA4"/>
    <w:rsid w:val="00335B35"/>
    <w:rsid w:val="003360AE"/>
    <w:rsid w:val="00342383"/>
    <w:rsid w:val="00342861"/>
    <w:rsid w:val="003453CA"/>
    <w:rsid w:val="00347735"/>
    <w:rsid w:val="00350525"/>
    <w:rsid w:val="0035401B"/>
    <w:rsid w:val="00361450"/>
    <w:rsid w:val="003652CE"/>
    <w:rsid w:val="003673CF"/>
    <w:rsid w:val="00371CD2"/>
    <w:rsid w:val="003728F8"/>
    <w:rsid w:val="0037708F"/>
    <w:rsid w:val="0038146E"/>
    <w:rsid w:val="00383799"/>
    <w:rsid w:val="003845C1"/>
    <w:rsid w:val="00392CEA"/>
    <w:rsid w:val="0039415E"/>
    <w:rsid w:val="00395824"/>
    <w:rsid w:val="0039651E"/>
    <w:rsid w:val="003967ED"/>
    <w:rsid w:val="003A6F89"/>
    <w:rsid w:val="003B0312"/>
    <w:rsid w:val="003B38C1"/>
    <w:rsid w:val="003C0116"/>
    <w:rsid w:val="003C34E9"/>
    <w:rsid w:val="003C4165"/>
    <w:rsid w:val="003C526E"/>
    <w:rsid w:val="003C5909"/>
    <w:rsid w:val="003D125E"/>
    <w:rsid w:val="003D2DCE"/>
    <w:rsid w:val="003D6E1D"/>
    <w:rsid w:val="003F3B76"/>
    <w:rsid w:val="003F48D8"/>
    <w:rsid w:val="003F6C0B"/>
    <w:rsid w:val="00411D92"/>
    <w:rsid w:val="00412F47"/>
    <w:rsid w:val="004137C5"/>
    <w:rsid w:val="00422782"/>
    <w:rsid w:val="00422A71"/>
    <w:rsid w:val="00422B7D"/>
    <w:rsid w:val="00422D2F"/>
    <w:rsid w:val="00423E3E"/>
    <w:rsid w:val="00427AF4"/>
    <w:rsid w:val="00436316"/>
    <w:rsid w:val="0044093E"/>
    <w:rsid w:val="004428AF"/>
    <w:rsid w:val="00450494"/>
    <w:rsid w:val="0045233C"/>
    <w:rsid w:val="0045409D"/>
    <w:rsid w:val="00454D28"/>
    <w:rsid w:val="004647DA"/>
    <w:rsid w:val="0047206B"/>
    <w:rsid w:val="00474062"/>
    <w:rsid w:val="00475956"/>
    <w:rsid w:val="00477894"/>
    <w:rsid w:val="00477CDB"/>
    <w:rsid w:val="00477D6B"/>
    <w:rsid w:val="00482650"/>
    <w:rsid w:val="00484ED0"/>
    <w:rsid w:val="00491135"/>
    <w:rsid w:val="0049212C"/>
    <w:rsid w:val="004B0B41"/>
    <w:rsid w:val="004B3BC9"/>
    <w:rsid w:val="004B5CF4"/>
    <w:rsid w:val="004D2547"/>
    <w:rsid w:val="004D2AF2"/>
    <w:rsid w:val="004E566A"/>
    <w:rsid w:val="004E7E4D"/>
    <w:rsid w:val="004F4316"/>
    <w:rsid w:val="00500A24"/>
    <w:rsid w:val="005019FF"/>
    <w:rsid w:val="005033FF"/>
    <w:rsid w:val="0050351D"/>
    <w:rsid w:val="005120F1"/>
    <w:rsid w:val="005143D7"/>
    <w:rsid w:val="00515A65"/>
    <w:rsid w:val="00516C1E"/>
    <w:rsid w:val="00520248"/>
    <w:rsid w:val="005214D5"/>
    <w:rsid w:val="00524F64"/>
    <w:rsid w:val="00526790"/>
    <w:rsid w:val="00526EA2"/>
    <w:rsid w:val="00530377"/>
    <w:rsid w:val="0053057A"/>
    <w:rsid w:val="00531A5E"/>
    <w:rsid w:val="005328C2"/>
    <w:rsid w:val="005361A2"/>
    <w:rsid w:val="005370EC"/>
    <w:rsid w:val="005463D1"/>
    <w:rsid w:val="00550057"/>
    <w:rsid w:val="005526D5"/>
    <w:rsid w:val="00552A6D"/>
    <w:rsid w:val="00556076"/>
    <w:rsid w:val="00556C50"/>
    <w:rsid w:val="00560574"/>
    <w:rsid w:val="00560A29"/>
    <w:rsid w:val="0056310C"/>
    <w:rsid w:val="00567C6A"/>
    <w:rsid w:val="00571086"/>
    <w:rsid w:val="00577B3F"/>
    <w:rsid w:val="00577C00"/>
    <w:rsid w:val="00582C73"/>
    <w:rsid w:val="0058527F"/>
    <w:rsid w:val="005925C7"/>
    <w:rsid w:val="00592A69"/>
    <w:rsid w:val="00594F1D"/>
    <w:rsid w:val="00596A85"/>
    <w:rsid w:val="00597B4C"/>
    <w:rsid w:val="005A291B"/>
    <w:rsid w:val="005A5B3D"/>
    <w:rsid w:val="005A6DE0"/>
    <w:rsid w:val="005B12AC"/>
    <w:rsid w:val="005C4457"/>
    <w:rsid w:val="005C514B"/>
    <w:rsid w:val="005C6649"/>
    <w:rsid w:val="005C77AE"/>
    <w:rsid w:val="005D13DE"/>
    <w:rsid w:val="005D2036"/>
    <w:rsid w:val="005D3901"/>
    <w:rsid w:val="005E1B27"/>
    <w:rsid w:val="005E27B1"/>
    <w:rsid w:val="006015AB"/>
    <w:rsid w:val="00605827"/>
    <w:rsid w:val="00610A13"/>
    <w:rsid w:val="00613472"/>
    <w:rsid w:val="00614FCE"/>
    <w:rsid w:val="00620A74"/>
    <w:rsid w:val="00620FF9"/>
    <w:rsid w:val="00622355"/>
    <w:rsid w:val="0062686A"/>
    <w:rsid w:val="006268E6"/>
    <w:rsid w:val="0063583F"/>
    <w:rsid w:val="00641250"/>
    <w:rsid w:val="00642BF8"/>
    <w:rsid w:val="00642F0F"/>
    <w:rsid w:val="00646050"/>
    <w:rsid w:val="00646244"/>
    <w:rsid w:val="00650E6D"/>
    <w:rsid w:val="00652BD9"/>
    <w:rsid w:val="00653C33"/>
    <w:rsid w:val="00655B44"/>
    <w:rsid w:val="0066080A"/>
    <w:rsid w:val="00660F42"/>
    <w:rsid w:val="00660F45"/>
    <w:rsid w:val="006713CA"/>
    <w:rsid w:val="0067148E"/>
    <w:rsid w:val="0067209C"/>
    <w:rsid w:val="00672415"/>
    <w:rsid w:val="00676C5C"/>
    <w:rsid w:val="006775DF"/>
    <w:rsid w:val="006775E3"/>
    <w:rsid w:val="006806A8"/>
    <w:rsid w:val="00682FAF"/>
    <w:rsid w:val="00684D26"/>
    <w:rsid w:val="006876B9"/>
    <w:rsid w:val="00690482"/>
    <w:rsid w:val="00690ABA"/>
    <w:rsid w:val="006918F6"/>
    <w:rsid w:val="00692811"/>
    <w:rsid w:val="00694F63"/>
    <w:rsid w:val="006955C9"/>
    <w:rsid w:val="006956E4"/>
    <w:rsid w:val="00696001"/>
    <w:rsid w:val="006961B9"/>
    <w:rsid w:val="00697F4C"/>
    <w:rsid w:val="006B09EC"/>
    <w:rsid w:val="006B0C65"/>
    <w:rsid w:val="006B108F"/>
    <w:rsid w:val="006B1846"/>
    <w:rsid w:val="006B18D6"/>
    <w:rsid w:val="006B314B"/>
    <w:rsid w:val="006B3DA0"/>
    <w:rsid w:val="006B41F2"/>
    <w:rsid w:val="006B5E74"/>
    <w:rsid w:val="006B640C"/>
    <w:rsid w:val="006B668C"/>
    <w:rsid w:val="006C4A8E"/>
    <w:rsid w:val="006C54CF"/>
    <w:rsid w:val="006C6F42"/>
    <w:rsid w:val="006C749E"/>
    <w:rsid w:val="006D09F2"/>
    <w:rsid w:val="006F0074"/>
    <w:rsid w:val="006F02D3"/>
    <w:rsid w:val="006F5456"/>
    <w:rsid w:val="006F55BD"/>
    <w:rsid w:val="006F5D79"/>
    <w:rsid w:val="007001E2"/>
    <w:rsid w:val="00700FA0"/>
    <w:rsid w:val="00710BBE"/>
    <w:rsid w:val="00711B10"/>
    <w:rsid w:val="00711EC7"/>
    <w:rsid w:val="007159D2"/>
    <w:rsid w:val="00720EFD"/>
    <w:rsid w:val="00721010"/>
    <w:rsid w:val="00721BDA"/>
    <w:rsid w:val="00721FE7"/>
    <w:rsid w:val="0072225C"/>
    <w:rsid w:val="00724AC0"/>
    <w:rsid w:val="007271E8"/>
    <w:rsid w:val="007332F9"/>
    <w:rsid w:val="00736FE9"/>
    <w:rsid w:val="00746F3D"/>
    <w:rsid w:val="007470B1"/>
    <w:rsid w:val="0076235E"/>
    <w:rsid w:val="0076638D"/>
    <w:rsid w:val="00772DD9"/>
    <w:rsid w:val="00772E15"/>
    <w:rsid w:val="00775974"/>
    <w:rsid w:val="007853D0"/>
    <w:rsid w:val="00791098"/>
    <w:rsid w:val="00791EA1"/>
    <w:rsid w:val="00793476"/>
    <w:rsid w:val="00793A7C"/>
    <w:rsid w:val="007960E4"/>
    <w:rsid w:val="00796EE3"/>
    <w:rsid w:val="007A398A"/>
    <w:rsid w:val="007A6956"/>
    <w:rsid w:val="007B496E"/>
    <w:rsid w:val="007B4FA8"/>
    <w:rsid w:val="007B5CF7"/>
    <w:rsid w:val="007B7E12"/>
    <w:rsid w:val="007C21BD"/>
    <w:rsid w:val="007C2EFC"/>
    <w:rsid w:val="007C3096"/>
    <w:rsid w:val="007C3613"/>
    <w:rsid w:val="007C6ADE"/>
    <w:rsid w:val="007D131F"/>
    <w:rsid w:val="007D1432"/>
    <w:rsid w:val="007D1613"/>
    <w:rsid w:val="007D44F7"/>
    <w:rsid w:val="007D5876"/>
    <w:rsid w:val="007E0A5F"/>
    <w:rsid w:val="007E4C0E"/>
    <w:rsid w:val="007E5351"/>
    <w:rsid w:val="007E59F9"/>
    <w:rsid w:val="007E72F5"/>
    <w:rsid w:val="007F08E2"/>
    <w:rsid w:val="00800748"/>
    <w:rsid w:val="008053D2"/>
    <w:rsid w:val="00805BD5"/>
    <w:rsid w:val="008071F1"/>
    <w:rsid w:val="00814CBD"/>
    <w:rsid w:val="008220D7"/>
    <w:rsid w:val="0082437A"/>
    <w:rsid w:val="0082532C"/>
    <w:rsid w:val="00826314"/>
    <w:rsid w:val="00831998"/>
    <w:rsid w:val="00836944"/>
    <w:rsid w:val="0084012E"/>
    <w:rsid w:val="008460BA"/>
    <w:rsid w:val="008509E4"/>
    <w:rsid w:val="00851AEC"/>
    <w:rsid w:val="00852119"/>
    <w:rsid w:val="0086216D"/>
    <w:rsid w:val="008631A1"/>
    <w:rsid w:val="00863C7B"/>
    <w:rsid w:val="008657A1"/>
    <w:rsid w:val="00865FD8"/>
    <w:rsid w:val="008676E2"/>
    <w:rsid w:val="008707B4"/>
    <w:rsid w:val="00873384"/>
    <w:rsid w:val="00875495"/>
    <w:rsid w:val="0087559C"/>
    <w:rsid w:val="008759ED"/>
    <w:rsid w:val="00881564"/>
    <w:rsid w:val="00882193"/>
    <w:rsid w:val="008905D3"/>
    <w:rsid w:val="008936EE"/>
    <w:rsid w:val="008A0104"/>
    <w:rsid w:val="008A134B"/>
    <w:rsid w:val="008A3D8D"/>
    <w:rsid w:val="008A551C"/>
    <w:rsid w:val="008B04A1"/>
    <w:rsid w:val="008B2CC1"/>
    <w:rsid w:val="008B5903"/>
    <w:rsid w:val="008B60B2"/>
    <w:rsid w:val="008C096D"/>
    <w:rsid w:val="008C0D32"/>
    <w:rsid w:val="008C5E1F"/>
    <w:rsid w:val="008C784C"/>
    <w:rsid w:val="008D2128"/>
    <w:rsid w:val="008D2A34"/>
    <w:rsid w:val="008D2FE8"/>
    <w:rsid w:val="008D399E"/>
    <w:rsid w:val="008D6E1E"/>
    <w:rsid w:val="008E0230"/>
    <w:rsid w:val="008E49F1"/>
    <w:rsid w:val="008F07CD"/>
    <w:rsid w:val="008F1B61"/>
    <w:rsid w:val="008F5DE9"/>
    <w:rsid w:val="008F70F3"/>
    <w:rsid w:val="008F7571"/>
    <w:rsid w:val="00900737"/>
    <w:rsid w:val="00902985"/>
    <w:rsid w:val="009041C5"/>
    <w:rsid w:val="00904446"/>
    <w:rsid w:val="009061F3"/>
    <w:rsid w:val="0090731E"/>
    <w:rsid w:val="00916EE2"/>
    <w:rsid w:val="009208BA"/>
    <w:rsid w:val="0092308C"/>
    <w:rsid w:val="0092671C"/>
    <w:rsid w:val="0093250A"/>
    <w:rsid w:val="00933438"/>
    <w:rsid w:val="009350CC"/>
    <w:rsid w:val="0093644C"/>
    <w:rsid w:val="00940DDF"/>
    <w:rsid w:val="00940E3D"/>
    <w:rsid w:val="0094451C"/>
    <w:rsid w:val="0094491F"/>
    <w:rsid w:val="00945948"/>
    <w:rsid w:val="0094679E"/>
    <w:rsid w:val="0095085A"/>
    <w:rsid w:val="00962784"/>
    <w:rsid w:val="009668BA"/>
    <w:rsid w:val="00966A22"/>
    <w:rsid w:val="0096722F"/>
    <w:rsid w:val="00971938"/>
    <w:rsid w:val="0097450D"/>
    <w:rsid w:val="00975222"/>
    <w:rsid w:val="00980843"/>
    <w:rsid w:val="00982C02"/>
    <w:rsid w:val="00982C4A"/>
    <w:rsid w:val="00983C6F"/>
    <w:rsid w:val="00986C01"/>
    <w:rsid w:val="00990147"/>
    <w:rsid w:val="009922EC"/>
    <w:rsid w:val="00994D8C"/>
    <w:rsid w:val="00997064"/>
    <w:rsid w:val="0099711F"/>
    <w:rsid w:val="009A1BB2"/>
    <w:rsid w:val="009A5893"/>
    <w:rsid w:val="009A5C31"/>
    <w:rsid w:val="009A5FF0"/>
    <w:rsid w:val="009A6447"/>
    <w:rsid w:val="009B35A7"/>
    <w:rsid w:val="009C7B6D"/>
    <w:rsid w:val="009D0E5C"/>
    <w:rsid w:val="009D1DB4"/>
    <w:rsid w:val="009D48B9"/>
    <w:rsid w:val="009D5455"/>
    <w:rsid w:val="009E1F25"/>
    <w:rsid w:val="009E2791"/>
    <w:rsid w:val="009E3F6F"/>
    <w:rsid w:val="009E7258"/>
    <w:rsid w:val="009E7402"/>
    <w:rsid w:val="009F0FFC"/>
    <w:rsid w:val="009F4424"/>
    <w:rsid w:val="009F499F"/>
    <w:rsid w:val="00A001FC"/>
    <w:rsid w:val="00A12A77"/>
    <w:rsid w:val="00A13D9E"/>
    <w:rsid w:val="00A14287"/>
    <w:rsid w:val="00A16D3F"/>
    <w:rsid w:val="00A20873"/>
    <w:rsid w:val="00A22087"/>
    <w:rsid w:val="00A33BEA"/>
    <w:rsid w:val="00A35641"/>
    <w:rsid w:val="00A372C6"/>
    <w:rsid w:val="00A37342"/>
    <w:rsid w:val="00A37B48"/>
    <w:rsid w:val="00A40699"/>
    <w:rsid w:val="00A40E59"/>
    <w:rsid w:val="00A42DAF"/>
    <w:rsid w:val="00A45BD8"/>
    <w:rsid w:val="00A54660"/>
    <w:rsid w:val="00A567DF"/>
    <w:rsid w:val="00A61861"/>
    <w:rsid w:val="00A624AA"/>
    <w:rsid w:val="00A65650"/>
    <w:rsid w:val="00A66032"/>
    <w:rsid w:val="00A66C8A"/>
    <w:rsid w:val="00A70901"/>
    <w:rsid w:val="00A71BEF"/>
    <w:rsid w:val="00A739FE"/>
    <w:rsid w:val="00A77B1F"/>
    <w:rsid w:val="00A83C19"/>
    <w:rsid w:val="00A8602C"/>
    <w:rsid w:val="00A869B7"/>
    <w:rsid w:val="00A92D24"/>
    <w:rsid w:val="00A93860"/>
    <w:rsid w:val="00A94048"/>
    <w:rsid w:val="00A942E3"/>
    <w:rsid w:val="00AA0381"/>
    <w:rsid w:val="00AA21C3"/>
    <w:rsid w:val="00AA7133"/>
    <w:rsid w:val="00AB20B9"/>
    <w:rsid w:val="00AB3197"/>
    <w:rsid w:val="00AC205C"/>
    <w:rsid w:val="00AC2FB1"/>
    <w:rsid w:val="00AC3480"/>
    <w:rsid w:val="00AC38B6"/>
    <w:rsid w:val="00AC4D8D"/>
    <w:rsid w:val="00AD5C7E"/>
    <w:rsid w:val="00AD7F19"/>
    <w:rsid w:val="00AE2165"/>
    <w:rsid w:val="00AF0A6B"/>
    <w:rsid w:val="00AF0B22"/>
    <w:rsid w:val="00AF3780"/>
    <w:rsid w:val="00B05A69"/>
    <w:rsid w:val="00B11BEF"/>
    <w:rsid w:val="00B129CD"/>
    <w:rsid w:val="00B15707"/>
    <w:rsid w:val="00B15935"/>
    <w:rsid w:val="00B16E03"/>
    <w:rsid w:val="00B17D9C"/>
    <w:rsid w:val="00B22BC0"/>
    <w:rsid w:val="00B2412F"/>
    <w:rsid w:val="00B24F96"/>
    <w:rsid w:val="00B250D0"/>
    <w:rsid w:val="00B2634B"/>
    <w:rsid w:val="00B365FC"/>
    <w:rsid w:val="00B36CEC"/>
    <w:rsid w:val="00B409E9"/>
    <w:rsid w:val="00B55958"/>
    <w:rsid w:val="00B601F0"/>
    <w:rsid w:val="00B65673"/>
    <w:rsid w:val="00B7018C"/>
    <w:rsid w:val="00B70223"/>
    <w:rsid w:val="00B7173D"/>
    <w:rsid w:val="00B75269"/>
    <w:rsid w:val="00B75281"/>
    <w:rsid w:val="00B75BCA"/>
    <w:rsid w:val="00B76083"/>
    <w:rsid w:val="00B7799A"/>
    <w:rsid w:val="00B8093E"/>
    <w:rsid w:val="00B82A9D"/>
    <w:rsid w:val="00B85CAE"/>
    <w:rsid w:val="00B87F6E"/>
    <w:rsid w:val="00B91019"/>
    <w:rsid w:val="00B92F1F"/>
    <w:rsid w:val="00B92F5E"/>
    <w:rsid w:val="00B9734B"/>
    <w:rsid w:val="00BA30E2"/>
    <w:rsid w:val="00BA348D"/>
    <w:rsid w:val="00BA3978"/>
    <w:rsid w:val="00BA48F4"/>
    <w:rsid w:val="00BA62FC"/>
    <w:rsid w:val="00BB11D9"/>
    <w:rsid w:val="00BB5A5A"/>
    <w:rsid w:val="00BC0925"/>
    <w:rsid w:val="00BC172E"/>
    <w:rsid w:val="00BC6543"/>
    <w:rsid w:val="00BD0B7C"/>
    <w:rsid w:val="00BD4813"/>
    <w:rsid w:val="00BD6418"/>
    <w:rsid w:val="00BE1D92"/>
    <w:rsid w:val="00BE33BC"/>
    <w:rsid w:val="00BE6EDF"/>
    <w:rsid w:val="00BE73D1"/>
    <w:rsid w:val="00BF1689"/>
    <w:rsid w:val="00BF16F0"/>
    <w:rsid w:val="00BF1D4E"/>
    <w:rsid w:val="00BF4D62"/>
    <w:rsid w:val="00BF7A39"/>
    <w:rsid w:val="00C0041B"/>
    <w:rsid w:val="00C01E21"/>
    <w:rsid w:val="00C11BFE"/>
    <w:rsid w:val="00C1223E"/>
    <w:rsid w:val="00C124DC"/>
    <w:rsid w:val="00C17C52"/>
    <w:rsid w:val="00C25618"/>
    <w:rsid w:val="00C274D7"/>
    <w:rsid w:val="00C3033F"/>
    <w:rsid w:val="00C307A5"/>
    <w:rsid w:val="00C31A2C"/>
    <w:rsid w:val="00C32317"/>
    <w:rsid w:val="00C35620"/>
    <w:rsid w:val="00C4124B"/>
    <w:rsid w:val="00C42028"/>
    <w:rsid w:val="00C43C60"/>
    <w:rsid w:val="00C43CB4"/>
    <w:rsid w:val="00C44E81"/>
    <w:rsid w:val="00C46B12"/>
    <w:rsid w:val="00C5068F"/>
    <w:rsid w:val="00C558D0"/>
    <w:rsid w:val="00C61062"/>
    <w:rsid w:val="00C61183"/>
    <w:rsid w:val="00C64AF6"/>
    <w:rsid w:val="00C715E8"/>
    <w:rsid w:val="00C80DAE"/>
    <w:rsid w:val="00C816E2"/>
    <w:rsid w:val="00C844BE"/>
    <w:rsid w:val="00C84D33"/>
    <w:rsid w:val="00C86D74"/>
    <w:rsid w:val="00C92C44"/>
    <w:rsid w:val="00C94A70"/>
    <w:rsid w:val="00C95197"/>
    <w:rsid w:val="00C96BC5"/>
    <w:rsid w:val="00CA3BE7"/>
    <w:rsid w:val="00CA69D4"/>
    <w:rsid w:val="00CB17DC"/>
    <w:rsid w:val="00CB337A"/>
    <w:rsid w:val="00CB3542"/>
    <w:rsid w:val="00CB5EF2"/>
    <w:rsid w:val="00CC02DA"/>
    <w:rsid w:val="00CC125F"/>
    <w:rsid w:val="00CC18AF"/>
    <w:rsid w:val="00CC3F53"/>
    <w:rsid w:val="00CC6D3E"/>
    <w:rsid w:val="00CD04F1"/>
    <w:rsid w:val="00CD0EC5"/>
    <w:rsid w:val="00CD4CC9"/>
    <w:rsid w:val="00CD624E"/>
    <w:rsid w:val="00CE575B"/>
    <w:rsid w:val="00CE6A94"/>
    <w:rsid w:val="00CE6BD7"/>
    <w:rsid w:val="00CF1A78"/>
    <w:rsid w:val="00CF4270"/>
    <w:rsid w:val="00CF5EDD"/>
    <w:rsid w:val="00CF681A"/>
    <w:rsid w:val="00D03EA0"/>
    <w:rsid w:val="00D06ECF"/>
    <w:rsid w:val="00D07C78"/>
    <w:rsid w:val="00D1023B"/>
    <w:rsid w:val="00D13999"/>
    <w:rsid w:val="00D21352"/>
    <w:rsid w:val="00D236A5"/>
    <w:rsid w:val="00D25480"/>
    <w:rsid w:val="00D305BA"/>
    <w:rsid w:val="00D3268D"/>
    <w:rsid w:val="00D32887"/>
    <w:rsid w:val="00D351C7"/>
    <w:rsid w:val="00D45252"/>
    <w:rsid w:val="00D4733C"/>
    <w:rsid w:val="00D47FE4"/>
    <w:rsid w:val="00D56594"/>
    <w:rsid w:val="00D6001A"/>
    <w:rsid w:val="00D61B5E"/>
    <w:rsid w:val="00D61B7F"/>
    <w:rsid w:val="00D62562"/>
    <w:rsid w:val="00D6368E"/>
    <w:rsid w:val="00D63C5C"/>
    <w:rsid w:val="00D71B4D"/>
    <w:rsid w:val="00D73FC8"/>
    <w:rsid w:val="00D77D44"/>
    <w:rsid w:val="00D80074"/>
    <w:rsid w:val="00D809FD"/>
    <w:rsid w:val="00D845F1"/>
    <w:rsid w:val="00D846D5"/>
    <w:rsid w:val="00D9184E"/>
    <w:rsid w:val="00D93D55"/>
    <w:rsid w:val="00D96D6A"/>
    <w:rsid w:val="00D970DC"/>
    <w:rsid w:val="00DA01C2"/>
    <w:rsid w:val="00DA1B88"/>
    <w:rsid w:val="00DA56C7"/>
    <w:rsid w:val="00DA77A8"/>
    <w:rsid w:val="00DB694A"/>
    <w:rsid w:val="00DC0370"/>
    <w:rsid w:val="00DC0B40"/>
    <w:rsid w:val="00DC24EC"/>
    <w:rsid w:val="00DC3358"/>
    <w:rsid w:val="00DC7B07"/>
    <w:rsid w:val="00DD3E97"/>
    <w:rsid w:val="00DD6B0E"/>
    <w:rsid w:val="00DD7B7F"/>
    <w:rsid w:val="00DE3BBF"/>
    <w:rsid w:val="00DE3E0C"/>
    <w:rsid w:val="00DE5CAE"/>
    <w:rsid w:val="00DE6CEB"/>
    <w:rsid w:val="00DE7DA7"/>
    <w:rsid w:val="00DF4AF1"/>
    <w:rsid w:val="00E0083A"/>
    <w:rsid w:val="00E0105B"/>
    <w:rsid w:val="00E02027"/>
    <w:rsid w:val="00E07D82"/>
    <w:rsid w:val="00E1424C"/>
    <w:rsid w:val="00E14D25"/>
    <w:rsid w:val="00E15015"/>
    <w:rsid w:val="00E20D4F"/>
    <w:rsid w:val="00E259C3"/>
    <w:rsid w:val="00E3019C"/>
    <w:rsid w:val="00E32B16"/>
    <w:rsid w:val="00E335FE"/>
    <w:rsid w:val="00E37665"/>
    <w:rsid w:val="00E437E1"/>
    <w:rsid w:val="00E4458C"/>
    <w:rsid w:val="00E50A30"/>
    <w:rsid w:val="00E5144A"/>
    <w:rsid w:val="00E51F5D"/>
    <w:rsid w:val="00E60513"/>
    <w:rsid w:val="00E60FEC"/>
    <w:rsid w:val="00E63146"/>
    <w:rsid w:val="00E65304"/>
    <w:rsid w:val="00E73EDC"/>
    <w:rsid w:val="00E74A3E"/>
    <w:rsid w:val="00E74D89"/>
    <w:rsid w:val="00E74FD4"/>
    <w:rsid w:val="00E76583"/>
    <w:rsid w:val="00E808C0"/>
    <w:rsid w:val="00E87EB0"/>
    <w:rsid w:val="00E90850"/>
    <w:rsid w:val="00E96445"/>
    <w:rsid w:val="00EA028E"/>
    <w:rsid w:val="00EA6140"/>
    <w:rsid w:val="00EA7D6E"/>
    <w:rsid w:val="00EB2F76"/>
    <w:rsid w:val="00EC4E49"/>
    <w:rsid w:val="00EC61F1"/>
    <w:rsid w:val="00EC7735"/>
    <w:rsid w:val="00ED0B56"/>
    <w:rsid w:val="00ED0F4C"/>
    <w:rsid w:val="00ED30C5"/>
    <w:rsid w:val="00ED3A15"/>
    <w:rsid w:val="00ED6034"/>
    <w:rsid w:val="00ED636E"/>
    <w:rsid w:val="00ED77FB"/>
    <w:rsid w:val="00EE45FA"/>
    <w:rsid w:val="00EE53F8"/>
    <w:rsid w:val="00EE7A8B"/>
    <w:rsid w:val="00F01160"/>
    <w:rsid w:val="00F043DE"/>
    <w:rsid w:val="00F0451A"/>
    <w:rsid w:val="00F062F0"/>
    <w:rsid w:val="00F10E90"/>
    <w:rsid w:val="00F217CC"/>
    <w:rsid w:val="00F21960"/>
    <w:rsid w:val="00F24F0D"/>
    <w:rsid w:val="00F272E8"/>
    <w:rsid w:val="00F277D5"/>
    <w:rsid w:val="00F362BB"/>
    <w:rsid w:val="00F4478C"/>
    <w:rsid w:val="00F45565"/>
    <w:rsid w:val="00F46A11"/>
    <w:rsid w:val="00F50420"/>
    <w:rsid w:val="00F55742"/>
    <w:rsid w:val="00F620D5"/>
    <w:rsid w:val="00F631B4"/>
    <w:rsid w:val="00F652AD"/>
    <w:rsid w:val="00F657DF"/>
    <w:rsid w:val="00F65CF1"/>
    <w:rsid w:val="00F66152"/>
    <w:rsid w:val="00F736B0"/>
    <w:rsid w:val="00F75053"/>
    <w:rsid w:val="00F85D10"/>
    <w:rsid w:val="00F87F84"/>
    <w:rsid w:val="00F9165B"/>
    <w:rsid w:val="00F93631"/>
    <w:rsid w:val="00F953FF"/>
    <w:rsid w:val="00F96818"/>
    <w:rsid w:val="00FA3957"/>
    <w:rsid w:val="00FA4B1E"/>
    <w:rsid w:val="00FB344D"/>
    <w:rsid w:val="00FC0155"/>
    <w:rsid w:val="00FC05A9"/>
    <w:rsid w:val="00FC1072"/>
    <w:rsid w:val="00FC4C32"/>
    <w:rsid w:val="00FC7E97"/>
    <w:rsid w:val="00FC7FEC"/>
    <w:rsid w:val="00FD61F4"/>
    <w:rsid w:val="00FE4AB7"/>
    <w:rsid w:val="00FF003D"/>
    <w:rsid w:val="00FF11BD"/>
    <w:rsid w:val="00FF1E2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562C8D"/>
  <w15:docId w15:val="{994A53AD-4999-4D92-A042-54AFF6C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315F3C"/>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uiPriority w:val="99"/>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33"/>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nhideWhenUsed/>
    <w:rsid w:val="006961B9"/>
    <w:rPr>
      <w:rFonts w:ascii="Segoe UI" w:hAnsi="Segoe UI" w:cs="Segoe UI"/>
      <w:sz w:val="18"/>
      <w:szCs w:val="18"/>
    </w:rPr>
  </w:style>
  <w:style w:type="character" w:customStyle="1" w:styleId="BalloonTextChar">
    <w:name w:val="Balloon Text Char"/>
    <w:basedOn w:val="DefaultParagraphFont"/>
    <w:link w:val="BalloonText"/>
    <w:rsid w:val="006961B9"/>
    <w:rPr>
      <w:rFonts w:ascii="Segoe UI" w:eastAsia="SimSun" w:hAnsi="Segoe UI" w:cs="Segoe UI"/>
      <w:sz w:val="18"/>
      <w:szCs w:val="18"/>
      <w:lang w:val="ru-RU" w:eastAsia="zh-CN"/>
    </w:rPr>
  </w:style>
  <w:style w:type="character" w:customStyle="1" w:styleId="ONUMEChar">
    <w:name w:val="ONUM E Char"/>
    <w:link w:val="ONUME"/>
    <w:locked/>
    <w:rsid w:val="00FC7E97"/>
    <w:rPr>
      <w:rFonts w:ascii="Arial" w:eastAsia="SimSun" w:hAnsi="Arial" w:cs="Arial"/>
      <w:sz w:val="22"/>
      <w:lang w:val="ru-RU"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ru-RU" w:eastAsia="zh-CN"/>
    </w:rPr>
  </w:style>
  <w:style w:type="character" w:customStyle="1" w:styleId="Heading2Char">
    <w:name w:val="Heading 2 Char"/>
    <w:link w:val="Heading2"/>
    <w:locked/>
    <w:rsid w:val="00315F3C"/>
    <w:rPr>
      <w:rFonts w:ascii="Arial" w:eastAsia="SimSun" w:hAnsi="Arial" w:cs="Arial"/>
      <w:bCs/>
      <w:iCs/>
      <w:caps/>
      <w:sz w:val="22"/>
      <w:szCs w:val="28"/>
      <w:lang w:val="ru-RU" w:eastAsia="zh-CN"/>
    </w:rPr>
  </w:style>
  <w:style w:type="character" w:customStyle="1" w:styleId="BodyTextChar">
    <w:name w:val="Body Text Char"/>
    <w:basedOn w:val="DefaultParagraphFont"/>
    <w:link w:val="BodyText"/>
    <w:rsid w:val="00C46B12"/>
    <w:rPr>
      <w:rFonts w:ascii="Arial" w:eastAsia="SimSun" w:hAnsi="Arial" w:cs="Arial"/>
      <w:sz w:val="22"/>
      <w:lang w:val="ru-RU" w:eastAsia="zh-CN"/>
    </w:rPr>
  </w:style>
  <w:style w:type="character" w:customStyle="1" w:styleId="CaptionChar">
    <w:name w:val="Caption Char"/>
    <w:basedOn w:val="DefaultParagraphFont"/>
    <w:link w:val="Caption"/>
    <w:rsid w:val="00C46B12"/>
    <w:rPr>
      <w:rFonts w:ascii="Arial" w:eastAsia="SimSun" w:hAnsi="Arial" w:cs="Arial"/>
      <w:b/>
      <w:bCs/>
      <w:sz w:val="18"/>
      <w:lang w:val="ru-RU" w:eastAsia="zh-CN"/>
    </w:rPr>
  </w:style>
  <w:style w:type="character" w:customStyle="1" w:styleId="CommentTextChar">
    <w:name w:val="Comment Text Char"/>
    <w:basedOn w:val="DefaultParagraphFont"/>
    <w:semiHidden/>
    <w:rsid w:val="00C46B12"/>
    <w:rPr>
      <w:rFonts w:ascii="Arial" w:eastAsia="SimSun" w:hAnsi="Arial" w:cs="Arial"/>
      <w:sz w:val="18"/>
      <w:lang w:val="ru-RU"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ru-RU"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C46B12"/>
    <w:rPr>
      <w:rFonts w:ascii="Arial" w:eastAsia="SimSun" w:hAnsi="Arial" w:cs="Arial"/>
      <w:sz w:val="18"/>
      <w:lang w:val="ru-RU" w:eastAsia="zh-CN"/>
    </w:rPr>
  </w:style>
  <w:style w:type="character" w:customStyle="1" w:styleId="HeaderChar">
    <w:name w:val="Header Char"/>
    <w:link w:val="Header"/>
    <w:uiPriority w:val="99"/>
    <w:locked/>
    <w:rsid w:val="00C46B12"/>
    <w:rPr>
      <w:rFonts w:ascii="Arial" w:eastAsia="SimSun" w:hAnsi="Arial" w:cs="Arial"/>
      <w:sz w:val="22"/>
      <w:lang w:val="ru-RU" w:eastAsia="zh-CN"/>
    </w:rPr>
  </w:style>
  <w:style w:type="paragraph" w:styleId="NoSpacing">
    <w:name w:val="No Spacing"/>
    <w:uiPriority w:val="1"/>
    <w:qFormat/>
    <w:rsid w:val="00C46B12"/>
    <w:rPr>
      <w:rFonts w:ascii="Arial" w:eastAsia="SimSun" w:hAnsi="Arial" w:cs="Arial"/>
      <w:sz w:val="22"/>
      <w:lang w:eastAsia="zh-CN"/>
    </w:rPr>
  </w:style>
  <w:style w:type="paragraph" w:styleId="TOC1">
    <w:name w:val="toc 1"/>
    <w:basedOn w:val="Normal"/>
    <w:next w:val="Normal"/>
    <w:autoRedefine/>
    <w:uiPriority w:val="39"/>
    <w:qFormat/>
    <w:rsid w:val="00C46B12"/>
    <w:pPr>
      <w:tabs>
        <w:tab w:val="left" w:pos="440"/>
        <w:tab w:val="right" w:leader="dot" w:pos="9345"/>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ru-RU"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ru-RU"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ru-RU"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ru-RU"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uiPriority w:val="99"/>
    <w:locked/>
    <w:rsid w:val="00C46B12"/>
    <w:rPr>
      <w:rFonts w:ascii="Arial" w:hAnsi="Arial"/>
      <w:sz w:val="22"/>
      <w:lang w:val="ru-RU"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7"/>
      </w:numPr>
      <w:spacing w:before="480"/>
    </w:p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eastAsia="fr-CH"/>
    </w:rPr>
  </w:style>
  <w:style w:type="paragraph" w:styleId="Revision">
    <w:name w:val="Revision"/>
    <w:hidden/>
    <w:uiPriority w:val="99"/>
    <w:semiHidden/>
    <w:rsid w:val="00C46B12"/>
    <w:rPr>
      <w:rFonts w:ascii="Arial" w:eastAsia="SimSun" w:hAnsi="Arial" w:cs="Arial"/>
      <w:sz w:val="22"/>
      <w:lang w:eastAsia="zh-CN"/>
    </w:rPr>
  </w:style>
  <w:style w:type="character" w:customStyle="1" w:styleId="Heading1Char">
    <w:name w:val="Heading 1 Char"/>
    <w:basedOn w:val="DefaultParagraphFont"/>
    <w:link w:val="Heading1"/>
    <w:rsid w:val="00C46B12"/>
    <w:rPr>
      <w:rFonts w:ascii="Arial" w:eastAsia="SimSun" w:hAnsi="Arial" w:cs="Arial"/>
      <w:b/>
      <w:bCs/>
      <w:caps/>
      <w:kern w:val="32"/>
      <w:sz w:val="22"/>
      <w:szCs w:val="32"/>
      <w:lang w:val="ru-RU"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eastAsia="en-US"/>
    </w:rPr>
  </w:style>
  <w:style w:type="character" w:customStyle="1" w:styleId="FooterChar">
    <w:name w:val="Footer Char"/>
    <w:basedOn w:val="DefaultParagraphFont"/>
    <w:link w:val="Footer"/>
    <w:rsid w:val="00772E15"/>
    <w:rPr>
      <w:rFonts w:ascii="Arial" w:eastAsia="SimSun" w:hAnsi="Arial" w:cs="Arial"/>
      <w:sz w:val="22"/>
      <w:lang w:val="ru-RU"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MacroTextChar">
    <w:name w:val="Macro Text Char"/>
    <w:basedOn w:val="DefaultParagraphFont"/>
    <w:link w:val="MacroText"/>
    <w:semiHidden/>
    <w:rsid w:val="00775974"/>
    <w:rPr>
      <w:rFonts w:ascii="Courier New" w:hAnsi="Courier New"/>
      <w:sz w:val="16"/>
      <w:lang w:val="ru-RU"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3682">
      <w:bodyDiv w:val="1"/>
      <w:marLeft w:val="0"/>
      <w:marRight w:val="0"/>
      <w:marTop w:val="0"/>
      <w:marBottom w:val="0"/>
      <w:divBdr>
        <w:top w:val="none" w:sz="0" w:space="0" w:color="auto"/>
        <w:left w:val="none" w:sz="0" w:space="0" w:color="auto"/>
        <w:bottom w:val="none" w:sz="0" w:space="0" w:color="auto"/>
        <w:right w:val="none" w:sz="0" w:space="0" w:color="auto"/>
      </w:divBdr>
    </w:div>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175274986">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314024971">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 w:id="208845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0A8EA-95FA-44E4-8958-7052818A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7510</Words>
  <Characters>51426</Characters>
  <Application>Microsoft Office Word</Application>
  <DocSecurity>0</DocSecurity>
  <Lines>1080</Lines>
  <Paragraphs>400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WO/GA/52/</vt:lpstr>
      <vt:lpstr>WO/GA/52/</vt:lpstr>
    </vt:vector>
  </TitlesOfParts>
  <Company>WIPO</Company>
  <LinksUpToDate>false</LinksUpToDate>
  <CharactersWithSpaces>58738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WO/GA/54/3</dc:title>
  <dc:subject/>
  <dc:creator>WIPO</dc:creator>
  <cp:keywords>PUBLIC</cp:keywords>
  <dc:description/>
  <cp:lastModifiedBy>HÄFLIGER Patience</cp:lastModifiedBy>
  <cp:revision>11</cp:revision>
  <cp:lastPrinted>2021-03-30T13:51:00Z</cp:lastPrinted>
  <dcterms:created xsi:type="dcterms:W3CDTF">2021-06-28T12:07:00Z</dcterms:created>
  <dcterms:modified xsi:type="dcterms:W3CDTF">2021-07-12T07:11:00Z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4f6a6777-2785-4237-bb82-602cb23723ae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