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10F37" w:rsidP="00E5566B">
      <w:pPr>
        <w:widowControl w:val="0"/>
        <w:jc w:val="right"/>
        <w:rPr>
          <w:b/>
          <w:sz w:val="2"/>
          <w:szCs w:val="40"/>
        </w:rPr>
      </w:pPr>
      <w:bookmarkStart w:id="0" w:name="_GoBack"/>
      <w:bookmarkEnd w:id="0"/>
      <w:r>
        <w:rPr>
          <w:b/>
          <w:sz w:val="40"/>
          <w:szCs w:val="40"/>
        </w:rPr>
        <w:t>R</w:t>
      </w:r>
    </w:p>
    <w:p w:rsidR="006E4F5F" w:rsidRDefault="007B3AB7" w:rsidP="006E4F5F">
      <w:pPr>
        <w:spacing w:line="360" w:lineRule="auto"/>
        <w:ind w:left="4592"/>
        <w:rPr>
          <w:rFonts w:ascii="Arial Black" w:hAnsi="Arial Black"/>
          <w:caps/>
          <w:sz w:val="15"/>
        </w:rPr>
      </w:pPr>
      <w:r>
        <w:rPr>
          <w:noProof/>
          <w:lang w:val="en-US" w:eastAsia="en-US"/>
        </w:rPr>
        <w:drawing>
          <wp:inline distT="0" distB="0" distL="0" distR="0" wp14:anchorId="3CC1275C" wp14:editId="590FD813">
            <wp:extent cx="1879600" cy="1391920"/>
            <wp:effectExtent l="0" t="0" r="6350" b="0"/>
            <wp:docPr id="20" name="Рисунок 512" descr="Description: WIPO-R-BW"/>
            <wp:cNvGraphicFramePr/>
            <a:graphic xmlns:a="http://schemas.openxmlformats.org/drawingml/2006/main">
              <a:graphicData uri="http://schemas.openxmlformats.org/drawingml/2006/picture">
                <pic:pic xmlns:pic="http://schemas.openxmlformats.org/drawingml/2006/picture">
                  <pic:nvPicPr>
                    <pic:cNvPr id="20" name="Рисунок 512"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Pr>
          <w:rFonts w:ascii="Arial Black" w:hAnsi="Arial Black"/>
          <w:b/>
          <w:caps/>
          <w:sz w:val="15"/>
        </w:rPr>
        <w:t>WO/GA/51/</w:t>
      </w:r>
      <w:bookmarkStart w:id="1" w:name="Code"/>
      <w:bookmarkEnd w:id="1"/>
      <w:r>
        <w:rPr>
          <w:rFonts w:ascii="Arial Black" w:hAnsi="Arial Black"/>
          <w:b/>
          <w:caps/>
          <w:sz w:val="15"/>
        </w:rPr>
        <w:t>3</w:t>
      </w:r>
    </w:p>
    <w:p w:rsidR="006E4F5F" w:rsidRPr="006E4F5F" w:rsidRDefault="006E4F5F" w:rsidP="006E4F5F">
      <w:pPr>
        <w:jc w:val="right"/>
        <w:rPr>
          <w:rFonts w:ascii="Arial Black" w:hAnsi="Arial Black"/>
          <w:b/>
          <w:caps/>
          <w:sz w:val="15"/>
        </w:rPr>
      </w:pPr>
      <w:r>
        <w:rPr>
          <w:rFonts w:ascii="Arial Black" w:hAnsi="Arial Black"/>
          <w:b/>
          <w:caps/>
          <w:sz w:val="15"/>
        </w:rPr>
        <w:t>ОРИГИНАЛ:</w:t>
      </w:r>
      <w:r w:rsidR="00A1090F">
        <w:rPr>
          <w:rFonts w:ascii="Arial Black" w:hAnsi="Arial Black"/>
          <w:b/>
          <w:caps/>
          <w:sz w:val="15"/>
        </w:rPr>
        <w:t xml:space="preserve"> </w:t>
      </w:r>
      <w:bookmarkStart w:id="2" w:name="Original"/>
      <w:bookmarkEnd w:id="2"/>
      <w:r>
        <w:rPr>
          <w:rFonts w:ascii="Arial Black" w:hAnsi="Arial Black"/>
          <w:b/>
          <w:caps/>
          <w:sz w:val="15"/>
        </w:rPr>
        <w:t>английский</w:t>
      </w:r>
    </w:p>
    <w:p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ДАТА:</w:t>
      </w:r>
      <w:r w:rsidR="00A1090F">
        <w:rPr>
          <w:rFonts w:ascii="Arial Black" w:hAnsi="Arial Black"/>
          <w:b/>
          <w:caps/>
          <w:sz w:val="15"/>
        </w:rPr>
        <w:t xml:space="preserve"> </w:t>
      </w:r>
      <w:bookmarkStart w:id="3" w:name="Date"/>
      <w:bookmarkEnd w:id="3"/>
      <w:r>
        <w:rPr>
          <w:rFonts w:ascii="Arial Black" w:hAnsi="Arial Black"/>
          <w:b/>
          <w:caps/>
          <w:sz w:val="15"/>
        </w:rPr>
        <w:t>30 июля 2019 г.</w:t>
      </w:r>
    </w:p>
    <w:p w:rsidR="008B2CC1" w:rsidRPr="003461FE" w:rsidRDefault="00B61109" w:rsidP="002D589E">
      <w:pPr>
        <w:spacing w:after="600"/>
        <w:rPr>
          <w:b/>
          <w:sz w:val="28"/>
          <w:szCs w:val="28"/>
        </w:rPr>
      </w:pPr>
      <w:r>
        <w:rPr>
          <w:b/>
          <w:sz w:val="28"/>
          <w:szCs w:val="28"/>
        </w:rPr>
        <w:t>Генеральная Ассамблея ВОИС</w:t>
      </w:r>
    </w:p>
    <w:p w:rsidR="008B2CC1" w:rsidRPr="009C127D" w:rsidRDefault="00B61109" w:rsidP="003D2030">
      <w:pPr>
        <w:spacing w:after="720"/>
        <w:rPr>
          <w:b/>
          <w:sz w:val="24"/>
        </w:rPr>
      </w:pPr>
      <w:r>
        <w:rPr>
          <w:b/>
          <w:sz w:val="24"/>
        </w:rPr>
        <w:t xml:space="preserve">Пятьдесят первая (24-я очередная) сессия </w:t>
      </w:r>
      <w:r>
        <w:rPr>
          <w:b/>
          <w:sz w:val="24"/>
        </w:rPr>
        <w:br/>
        <w:t>Женева, 30 сентября — 9 октября 2019</w:t>
      </w:r>
      <w:r w:rsidR="003A0479">
        <w:rPr>
          <w:b/>
          <w:sz w:val="24"/>
        </w:rPr>
        <w:t> г.</w:t>
      </w:r>
    </w:p>
    <w:p w:rsidR="008B2CC1" w:rsidRPr="009C127D" w:rsidRDefault="00B63E54" w:rsidP="003D2030">
      <w:pPr>
        <w:spacing w:after="360"/>
        <w:rPr>
          <w:caps/>
          <w:sz w:val="24"/>
        </w:rPr>
      </w:pPr>
      <w:bookmarkStart w:id="4" w:name="TitleOfDoc"/>
      <w:bookmarkEnd w:id="4"/>
      <w:r>
        <w:rPr>
          <w:caps/>
          <w:sz w:val="24"/>
        </w:rPr>
        <w:t>ГОДОВОЙ ОТЧЕТ ДИРЕКТОРА ОТДЕЛА ВНУТРЕННЕГО НАДЗОРА</w:t>
      </w:r>
      <w:r w:rsidR="00C552A7">
        <w:rPr>
          <w:caps/>
          <w:sz w:val="24"/>
        </w:rPr>
        <w:t xml:space="preserve"> (ОВН)</w:t>
      </w:r>
    </w:p>
    <w:p w:rsidR="00B63E54" w:rsidRPr="009C127D" w:rsidRDefault="00B63E54" w:rsidP="00B63E54">
      <w:pPr>
        <w:spacing w:after="960"/>
        <w:rPr>
          <w:i/>
        </w:rPr>
      </w:pPr>
      <w:bookmarkStart w:id="5" w:name="Prepared"/>
      <w:bookmarkEnd w:id="5"/>
      <w:r>
        <w:rPr>
          <w:i/>
        </w:rPr>
        <w:t>подготовлен Секретариатом</w:t>
      </w:r>
    </w:p>
    <w:p w:rsidR="00B63E54" w:rsidRDefault="00B63E54" w:rsidP="00A1090F">
      <w:pPr>
        <w:pStyle w:val="ONUME"/>
        <w:numPr>
          <w:ilvl w:val="0"/>
          <w:numId w:val="4"/>
        </w:numPr>
        <w:jc w:val="both"/>
      </w:pPr>
      <w:r>
        <w:t xml:space="preserve">В настоящем документе содержится Годовой отчет директора Отдела внутреннего надзора (ОВН) (документ WO/PBC/30/5), </w:t>
      </w:r>
      <w:r w:rsidR="00C552A7">
        <w:t>представленный</w:t>
      </w:r>
      <w:r>
        <w:t xml:space="preserve"> Комитету ВОИС по программе и бюджету (КПБ) для рассмотрения на его тридцатой сессии (8–12 июля 2019 г.).</w:t>
      </w:r>
    </w:p>
    <w:p w:rsidR="00B63E54" w:rsidRDefault="00B63E54" w:rsidP="00A1090F">
      <w:pPr>
        <w:pStyle w:val="ONUME"/>
        <w:numPr>
          <w:ilvl w:val="0"/>
          <w:numId w:val="4"/>
        </w:numPr>
        <w:jc w:val="both"/>
      </w:pPr>
      <w:r>
        <w:t>Все решения КПБ в отношении этого документа будут отражены в перечне решений, принятых Комитетом по прог</w:t>
      </w:r>
      <w:r w:rsidR="00973A66">
        <w:t>рамме и бюджету (документ A/59/7</w:t>
      </w:r>
      <w:r>
        <w:t xml:space="preserve">). </w:t>
      </w:r>
    </w:p>
    <w:p w:rsidR="00B63E54" w:rsidRDefault="00B63E54" w:rsidP="00B63E54">
      <w:pPr>
        <w:pStyle w:val="ONUME"/>
        <w:numPr>
          <w:ilvl w:val="0"/>
          <w:numId w:val="0"/>
        </w:numPr>
        <w:tabs>
          <w:tab w:val="left" w:pos="6096"/>
        </w:tabs>
        <w:spacing w:after="0"/>
        <w:ind w:left="5533"/>
        <w:rPr>
          <w:i/>
        </w:rPr>
      </w:pPr>
    </w:p>
    <w:p w:rsidR="00B63E54" w:rsidRDefault="00B63E54" w:rsidP="00B63E54">
      <w:pPr>
        <w:pStyle w:val="Endofdocument-Annex"/>
      </w:pPr>
      <w:r>
        <w:t>[Документ WO/PBC/30/5 следует]</w:t>
      </w:r>
    </w:p>
    <w:p w:rsidR="00B63E54" w:rsidRDefault="00B63E54" w:rsidP="00B63E54">
      <w:pPr>
        <w:pStyle w:val="Endofdocument-Annex"/>
      </w:pPr>
    </w:p>
    <w:p w:rsidR="00B63E54" w:rsidRDefault="00B63E54" w:rsidP="00B63E54">
      <w:pPr>
        <w:pStyle w:val="Endofdocument-Annex"/>
        <w:jc w:val="both"/>
        <w:sectPr w:rsidR="00B63E54" w:rsidSect="00B63E54">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63E54" w:rsidRPr="008B2CC1" w:rsidTr="00B63E54">
        <w:tc>
          <w:tcPr>
            <w:tcW w:w="4513" w:type="dxa"/>
            <w:tcBorders>
              <w:bottom w:val="single" w:sz="4" w:space="0" w:color="auto"/>
            </w:tcBorders>
            <w:tcMar>
              <w:bottom w:w="170" w:type="dxa"/>
            </w:tcMar>
          </w:tcPr>
          <w:p w:rsidR="00B63E54" w:rsidRPr="008B2CC1" w:rsidRDefault="00B63E54" w:rsidP="00186810"/>
        </w:tc>
        <w:tc>
          <w:tcPr>
            <w:tcW w:w="4337" w:type="dxa"/>
            <w:tcBorders>
              <w:bottom w:val="single" w:sz="4" w:space="0" w:color="auto"/>
            </w:tcBorders>
            <w:tcMar>
              <w:left w:w="0" w:type="dxa"/>
              <w:right w:w="0" w:type="dxa"/>
            </w:tcMar>
          </w:tcPr>
          <w:p w:rsidR="00B63E54" w:rsidRPr="008B2CC1" w:rsidRDefault="00A1090F" w:rsidP="00186810">
            <w:r>
              <w:rPr>
                <w:noProof/>
                <w:lang w:val="en-US" w:eastAsia="en-US"/>
              </w:rPr>
              <w:drawing>
                <wp:inline distT="0" distB="0" distL="0" distR="0" wp14:anchorId="1EF5A559" wp14:editId="36DBDC35">
                  <wp:extent cx="1879600" cy="1391920"/>
                  <wp:effectExtent l="0" t="0" r="6350" b="0"/>
                  <wp:docPr id="7" name="Рисунок 512" descr="Description: WIPO-R-BW"/>
                  <wp:cNvGraphicFramePr/>
                  <a:graphic xmlns:a="http://schemas.openxmlformats.org/drawingml/2006/main">
                    <a:graphicData uri="http://schemas.openxmlformats.org/drawingml/2006/picture">
                      <pic:pic xmlns:pic="http://schemas.openxmlformats.org/drawingml/2006/picture">
                        <pic:nvPicPr>
                          <pic:cNvPr id="20" name="Рисунок 512"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63E54" w:rsidRPr="008B2CC1" w:rsidRDefault="00B63E54" w:rsidP="00186810">
            <w:pPr>
              <w:jc w:val="right"/>
            </w:pPr>
            <w:r>
              <w:rPr>
                <w:b/>
                <w:sz w:val="40"/>
                <w:szCs w:val="40"/>
              </w:rPr>
              <w:t>R</w:t>
            </w:r>
          </w:p>
        </w:tc>
      </w:tr>
      <w:tr w:rsidR="00B63E54" w:rsidRPr="001832A6" w:rsidTr="00186810">
        <w:trPr>
          <w:trHeight w:hRule="exact" w:val="357"/>
        </w:trPr>
        <w:tc>
          <w:tcPr>
            <w:tcW w:w="9356" w:type="dxa"/>
            <w:gridSpan w:val="3"/>
            <w:tcBorders>
              <w:top w:val="single" w:sz="4" w:space="0" w:color="auto"/>
            </w:tcBorders>
            <w:tcMar>
              <w:top w:w="170" w:type="dxa"/>
              <w:left w:w="0" w:type="dxa"/>
              <w:right w:w="0" w:type="dxa"/>
            </w:tcMar>
            <w:vAlign w:val="bottom"/>
          </w:tcPr>
          <w:p w:rsidR="00B63E54" w:rsidRPr="0090731E" w:rsidRDefault="00B63E54" w:rsidP="00186810">
            <w:pPr>
              <w:jc w:val="right"/>
              <w:rPr>
                <w:rFonts w:ascii="Arial Black" w:hAnsi="Arial Black"/>
                <w:caps/>
                <w:sz w:val="15"/>
              </w:rPr>
            </w:pPr>
            <w:r>
              <w:rPr>
                <w:rFonts w:ascii="Arial Black" w:hAnsi="Arial Black"/>
                <w:caps/>
                <w:sz w:val="15"/>
              </w:rPr>
              <w:t>WO/PBC/30/5</w:t>
            </w:r>
          </w:p>
        </w:tc>
      </w:tr>
      <w:tr w:rsidR="00B63E54" w:rsidRPr="001832A6" w:rsidTr="00186810">
        <w:trPr>
          <w:trHeight w:hRule="exact" w:val="170"/>
        </w:trPr>
        <w:tc>
          <w:tcPr>
            <w:tcW w:w="9356" w:type="dxa"/>
            <w:gridSpan w:val="3"/>
            <w:noWrap/>
            <w:tcMar>
              <w:left w:w="0" w:type="dxa"/>
              <w:right w:w="0" w:type="dxa"/>
            </w:tcMar>
            <w:vAlign w:val="bottom"/>
          </w:tcPr>
          <w:p w:rsidR="00B63E54" w:rsidRPr="0090731E" w:rsidRDefault="00B63E54" w:rsidP="00186810">
            <w:pPr>
              <w:jc w:val="right"/>
              <w:rPr>
                <w:rFonts w:ascii="Arial Black" w:hAnsi="Arial Black"/>
                <w:caps/>
                <w:sz w:val="15"/>
              </w:rPr>
            </w:pPr>
            <w:r>
              <w:rPr>
                <w:rFonts w:ascii="Arial Black" w:hAnsi="Arial Black"/>
                <w:caps/>
                <w:sz w:val="15"/>
              </w:rPr>
              <w:t>ОРИГИНАЛ:</w:t>
            </w:r>
            <w:r w:rsidR="00A1090F">
              <w:rPr>
                <w:rFonts w:ascii="Arial Black" w:hAnsi="Arial Black"/>
                <w:caps/>
                <w:sz w:val="15"/>
              </w:rPr>
              <w:t xml:space="preserve"> </w:t>
            </w:r>
            <w:r>
              <w:rPr>
                <w:rFonts w:ascii="Arial Black" w:hAnsi="Arial Black"/>
                <w:caps/>
                <w:sz w:val="15"/>
              </w:rPr>
              <w:t xml:space="preserve">английский </w:t>
            </w:r>
          </w:p>
        </w:tc>
      </w:tr>
      <w:tr w:rsidR="00B63E54" w:rsidRPr="001832A6" w:rsidTr="00186810">
        <w:trPr>
          <w:trHeight w:hRule="exact" w:val="198"/>
        </w:trPr>
        <w:tc>
          <w:tcPr>
            <w:tcW w:w="9356" w:type="dxa"/>
            <w:gridSpan w:val="3"/>
            <w:tcMar>
              <w:left w:w="0" w:type="dxa"/>
              <w:right w:w="0" w:type="dxa"/>
            </w:tcMar>
            <w:vAlign w:val="bottom"/>
          </w:tcPr>
          <w:p w:rsidR="00B63E54" w:rsidRPr="0090731E" w:rsidRDefault="00B63E54" w:rsidP="00186810">
            <w:pPr>
              <w:jc w:val="right"/>
              <w:rPr>
                <w:rFonts w:ascii="Arial Black" w:hAnsi="Arial Black"/>
                <w:caps/>
                <w:sz w:val="15"/>
              </w:rPr>
            </w:pPr>
            <w:r>
              <w:rPr>
                <w:rFonts w:ascii="Arial Black" w:hAnsi="Arial Black"/>
                <w:caps/>
                <w:sz w:val="15"/>
              </w:rPr>
              <w:t>ДАТА:</w:t>
            </w:r>
            <w:r w:rsidR="00A1090F">
              <w:rPr>
                <w:rFonts w:ascii="Arial Black" w:hAnsi="Arial Black"/>
                <w:caps/>
                <w:sz w:val="15"/>
              </w:rPr>
              <w:t xml:space="preserve"> </w:t>
            </w:r>
            <w:r>
              <w:rPr>
                <w:rFonts w:ascii="Arial Black" w:hAnsi="Arial Black"/>
                <w:caps/>
                <w:sz w:val="15"/>
              </w:rPr>
              <w:t xml:space="preserve">3 июля 2019 г. </w:t>
            </w:r>
          </w:p>
        </w:tc>
      </w:tr>
    </w:tbl>
    <w:p w:rsidR="00B63E54" w:rsidRPr="008B2CC1" w:rsidRDefault="00B63E54" w:rsidP="00B63E54"/>
    <w:p w:rsidR="00B63E54" w:rsidRPr="008B2CC1" w:rsidRDefault="00B63E54" w:rsidP="00B63E54"/>
    <w:p w:rsidR="00B63E54" w:rsidRPr="008B2CC1" w:rsidRDefault="00B63E54" w:rsidP="00B63E54"/>
    <w:p w:rsidR="00B63E54" w:rsidRPr="008B2CC1" w:rsidRDefault="00B63E54" w:rsidP="00B63E54"/>
    <w:p w:rsidR="00B63E54" w:rsidRPr="008B2CC1" w:rsidRDefault="00B63E54" w:rsidP="00B63E54"/>
    <w:p w:rsidR="00B63E54" w:rsidRPr="003845C1" w:rsidRDefault="00B63E54" w:rsidP="00B63E54">
      <w:pPr>
        <w:rPr>
          <w:b/>
          <w:sz w:val="28"/>
          <w:szCs w:val="28"/>
        </w:rPr>
      </w:pPr>
      <w:r>
        <w:rPr>
          <w:b/>
          <w:sz w:val="28"/>
          <w:szCs w:val="28"/>
        </w:rPr>
        <w:t>Комитет по программе и бюджету</w:t>
      </w:r>
    </w:p>
    <w:p w:rsidR="00B63E54" w:rsidRDefault="00B63E54" w:rsidP="00B63E54"/>
    <w:p w:rsidR="00B63E54" w:rsidRDefault="00B63E54" w:rsidP="00B63E54"/>
    <w:p w:rsidR="00B63E54" w:rsidRPr="00847EA8" w:rsidRDefault="00B63E54" w:rsidP="00B63E54">
      <w:pPr>
        <w:rPr>
          <w:b/>
          <w:sz w:val="24"/>
          <w:szCs w:val="24"/>
        </w:rPr>
      </w:pPr>
      <w:r>
        <w:rPr>
          <w:b/>
          <w:sz w:val="24"/>
          <w:szCs w:val="24"/>
        </w:rPr>
        <w:t>Тридцатая сессия</w:t>
      </w:r>
    </w:p>
    <w:p w:rsidR="00B63E54" w:rsidRPr="003845C1" w:rsidRDefault="00B63E54" w:rsidP="00B63E54">
      <w:pPr>
        <w:rPr>
          <w:b/>
          <w:sz w:val="24"/>
          <w:szCs w:val="24"/>
        </w:rPr>
      </w:pPr>
      <w:r>
        <w:rPr>
          <w:b/>
          <w:sz w:val="24"/>
          <w:szCs w:val="24"/>
        </w:rPr>
        <w:t>Женева, 8–12</w:t>
      </w:r>
      <w:r w:rsidR="00010A39">
        <w:rPr>
          <w:b/>
          <w:sz w:val="24"/>
          <w:szCs w:val="24"/>
        </w:rPr>
        <w:t> </w:t>
      </w:r>
      <w:r>
        <w:rPr>
          <w:b/>
          <w:sz w:val="24"/>
          <w:szCs w:val="24"/>
        </w:rPr>
        <w:t>июля 2019 г.</w:t>
      </w:r>
    </w:p>
    <w:p w:rsidR="00B63E54" w:rsidRPr="008B2CC1" w:rsidRDefault="00B63E54" w:rsidP="00B63E54"/>
    <w:p w:rsidR="00B63E54" w:rsidRPr="008B2CC1" w:rsidRDefault="00B63E54" w:rsidP="00B63E54"/>
    <w:p w:rsidR="00B63E54" w:rsidRPr="008B2CC1" w:rsidRDefault="00B63E54" w:rsidP="00B63E54"/>
    <w:p w:rsidR="00B63E54" w:rsidRPr="003845C1" w:rsidRDefault="00B63E54" w:rsidP="00B63E54">
      <w:pPr>
        <w:rPr>
          <w:caps/>
          <w:sz w:val="24"/>
        </w:rPr>
      </w:pPr>
      <w:r>
        <w:rPr>
          <w:caps/>
          <w:sz w:val="24"/>
        </w:rPr>
        <w:t>ГОДОВОЙ ОТЧЕТ ДИРЕКТОРА ОТДЕЛА ВНУТРЕННЕГО НАДЗОРА (ОВН)</w:t>
      </w:r>
    </w:p>
    <w:p w:rsidR="00B63E54" w:rsidRPr="008B2CC1" w:rsidRDefault="00B63E54" w:rsidP="00B63E54"/>
    <w:p w:rsidR="00B63E54" w:rsidRPr="008B2CC1" w:rsidRDefault="00B63E54" w:rsidP="00B63E54">
      <w:pPr>
        <w:rPr>
          <w:i/>
        </w:rPr>
      </w:pPr>
      <w:r>
        <w:rPr>
          <w:i/>
        </w:rPr>
        <w:t>подготовлен Секретариатом</w:t>
      </w:r>
    </w:p>
    <w:p w:rsidR="00B63E54" w:rsidRDefault="00B63E54" w:rsidP="00B63E54"/>
    <w:p w:rsidR="00B63E54" w:rsidRDefault="00B63E54" w:rsidP="00B63E54"/>
    <w:p w:rsidR="00B63E54" w:rsidRDefault="00B63E54" w:rsidP="00B63E54"/>
    <w:p w:rsidR="00B63E54" w:rsidRDefault="00B63E54" w:rsidP="00B63E54"/>
    <w:p w:rsidR="00B63E54" w:rsidRDefault="00B63E54" w:rsidP="00B63E54"/>
    <w:p w:rsidR="00B63E54" w:rsidRPr="00C765F0" w:rsidRDefault="00B63E54" w:rsidP="00A1090F">
      <w:pPr>
        <w:pStyle w:val="ONUME"/>
        <w:numPr>
          <w:ilvl w:val="0"/>
          <w:numId w:val="5"/>
        </w:numPr>
        <w:jc w:val="both"/>
      </w:pPr>
      <w:r>
        <w:t>В соответствии с пунктом 47 Устава внутреннего надзора (УВН) директор Отдела внутреннего надзора (ОВН) ежегодно представляет Генеральной Ассамблее ВОИС через Комитет по программе и бюджету (КПБ) сводный отчет.</w:t>
      </w:r>
      <w:r w:rsidR="00A1090F">
        <w:t xml:space="preserve"> </w:t>
      </w:r>
      <w:r>
        <w:t>В настоящем отчете содержится общий обзор деятельности по внутреннему надзору, проведенной в течение отчетного периода с 1 июля 2018 г. по 30 июня 2019 г.</w:t>
      </w:r>
    </w:p>
    <w:p w:rsidR="00B63E54" w:rsidRPr="00136900" w:rsidRDefault="00B63E54" w:rsidP="00526183">
      <w:pPr>
        <w:pStyle w:val="ONUME"/>
        <w:numPr>
          <w:ilvl w:val="0"/>
          <w:numId w:val="4"/>
        </w:numPr>
        <w:rPr>
          <w:i/>
        </w:rPr>
      </w:pPr>
      <w:r>
        <w:t>Предлагается следующий пункт решения.</w:t>
      </w:r>
    </w:p>
    <w:p w:rsidR="00B63E54" w:rsidRPr="00B929E3" w:rsidRDefault="00B63E54" w:rsidP="00C552A7">
      <w:pPr>
        <w:spacing w:after="220"/>
        <w:ind w:left="5533"/>
        <w:rPr>
          <w:i/>
        </w:rPr>
      </w:pPr>
      <w:r>
        <w:rPr>
          <w:i/>
        </w:rPr>
        <w:t>3.</w:t>
      </w:r>
      <w:r>
        <w:rPr>
          <w:i/>
        </w:rPr>
        <w:tab/>
        <w:t>Комитет по программе и бюджету (КПБ) принял к сведению Годовой отчет директора Отдела внутреннего надзора (ОВН) (документ</w:t>
      </w:r>
      <w:r w:rsidR="00A1090F">
        <w:rPr>
          <w:i/>
        </w:rPr>
        <w:t xml:space="preserve"> </w:t>
      </w:r>
      <w:r>
        <w:rPr>
          <w:i/>
        </w:rPr>
        <w:t>WO/PBC/30/5).</w:t>
      </w:r>
    </w:p>
    <w:p w:rsidR="00B63E54" w:rsidRPr="00B929E3" w:rsidRDefault="00B63E54" w:rsidP="00B63E54">
      <w:pPr>
        <w:spacing w:after="220"/>
        <w:rPr>
          <w:i/>
        </w:rPr>
      </w:pPr>
    </w:p>
    <w:p w:rsidR="00186810" w:rsidRDefault="00B63E54" w:rsidP="00B63E54">
      <w:pPr>
        <w:ind w:left="5534"/>
        <w:sectPr w:rsidR="00186810" w:rsidSect="00186810">
          <w:endnotePr>
            <w:numFmt w:val="decimal"/>
          </w:endnotePr>
          <w:pgSz w:w="11907" w:h="16840" w:code="9"/>
          <w:pgMar w:top="567" w:right="1134" w:bottom="1418" w:left="1418" w:header="510" w:footer="1021" w:gutter="0"/>
          <w:pgNumType w:start="2"/>
          <w:cols w:space="720"/>
          <w:titlePg/>
          <w:docGrid w:linePitch="299"/>
        </w:sectPr>
      </w:pPr>
      <w:r>
        <w:t>[Годовой отчет директора ОВН следует]</w:t>
      </w:r>
    </w:p>
    <w:p w:rsidR="00B63E54" w:rsidRDefault="00B63E54" w:rsidP="00B63E54">
      <w:pPr>
        <w:ind w:left="5534"/>
      </w:pPr>
    </w:p>
    <w:p w:rsidR="00186810" w:rsidRDefault="00186810">
      <w:r>
        <w:br w:type="page"/>
      </w:r>
    </w:p>
    <w:p w:rsidR="00186810" w:rsidRPr="009A4A4C" w:rsidRDefault="00186810" w:rsidP="00186810">
      <w:pPr>
        <w:jc w:val="center"/>
      </w:pPr>
    </w:p>
    <w:p w:rsidR="00186810" w:rsidRPr="009A4A4C" w:rsidRDefault="00186810" w:rsidP="00186810">
      <w:pPr>
        <w:jc w:val="center"/>
        <w:rPr>
          <w:b/>
        </w:rPr>
      </w:pPr>
      <w:r w:rsidRPr="009A4A4C">
        <w:rPr>
          <w:rStyle w:val="Heading2Char"/>
          <w:b/>
        </w:rPr>
        <w:t>ГОДОВОЙ ОТЧЕТ ДИРЕКТОРА ОТДЕЛА ВНУТРЕННЕГО НАДЗОРА</w:t>
      </w:r>
    </w:p>
    <w:p w:rsidR="00186810" w:rsidRPr="00DA5DBB" w:rsidRDefault="00186810" w:rsidP="00186810">
      <w:pPr>
        <w:keepLines/>
      </w:pPr>
    </w:p>
    <w:p w:rsidR="00186810" w:rsidRDefault="00186810" w:rsidP="00186810">
      <w:pPr>
        <w:keepLines/>
        <w:jc w:val="center"/>
      </w:pPr>
      <w:r>
        <w:t>1 июля 2018 г.— 30 июня 2019 г.</w:t>
      </w:r>
    </w:p>
    <w:p w:rsidR="00186810" w:rsidRPr="00DA5DBB" w:rsidRDefault="00186810" w:rsidP="00186810">
      <w:pPr>
        <w:keepLines/>
        <w:jc w:val="center"/>
      </w:pPr>
    </w:p>
    <w:p w:rsidR="00186810" w:rsidRDefault="00186810" w:rsidP="00186810"/>
    <w:p w:rsidR="00186810" w:rsidRPr="009A4A4C" w:rsidRDefault="00186810" w:rsidP="00186810">
      <w:pPr>
        <w:jc w:val="center"/>
      </w:pPr>
    </w:p>
    <w:p w:rsidR="00186810" w:rsidRPr="001D2703" w:rsidRDefault="00186810" w:rsidP="00186810">
      <w:pPr>
        <w:jc w:val="center"/>
        <w:rPr>
          <w:b/>
        </w:rPr>
      </w:pPr>
      <w:r>
        <w:rPr>
          <w:b/>
        </w:rPr>
        <w:t>СОДЕРЖАНИЕ</w:t>
      </w:r>
    </w:p>
    <w:p w:rsidR="00186810" w:rsidRPr="00DA5DBB" w:rsidRDefault="00186810" w:rsidP="00186810">
      <w:pPr>
        <w:keepLines/>
      </w:pPr>
    </w:p>
    <w:p w:rsidR="002A3C57" w:rsidRDefault="00186810">
      <w:pPr>
        <w:pStyle w:val="TOC1"/>
        <w:rPr>
          <w:rFonts w:asciiTheme="minorHAnsi" w:eastAsiaTheme="minorEastAsia" w:hAnsiTheme="minorHAnsi" w:cstheme="minorBidi"/>
          <w:noProof/>
          <w:szCs w:val="22"/>
          <w:lang w:eastAsia="ru-RU"/>
        </w:rPr>
      </w:pPr>
      <w:r>
        <w:fldChar w:fldCharType="begin"/>
      </w:r>
      <w:r>
        <w:instrText xml:space="preserve"> TOC \o "1-1" \h \z \u </w:instrText>
      </w:r>
      <w:r>
        <w:fldChar w:fldCharType="separate"/>
      </w:r>
      <w:hyperlink w:anchor="_Toc11683735" w:history="1">
        <w:r w:rsidR="002A3C57" w:rsidRPr="00CC1EE4">
          <w:rPr>
            <w:rStyle w:val="Hyperlink"/>
            <w:noProof/>
          </w:rPr>
          <w:t>СПИСОК СОКРАЩЕНИЙ</w:t>
        </w:r>
        <w:r w:rsidR="002A3C57">
          <w:rPr>
            <w:noProof/>
            <w:webHidden/>
          </w:rPr>
          <w:tab/>
        </w:r>
        <w:r w:rsidR="002A3C57">
          <w:rPr>
            <w:noProof/>
            <w:webHidden/>
          </w:rPr>
          <w:fldChar w:fldCharType="begin"/>
        </w:r>
        <w:r w:rsidR="002A3C57">
          <w:rPr>
            <w:noProof/>
            <w:webHidden/>
          </w:rPr>
          <w:instrText xml:space="preserve"> PAGEREF _Toc11683735 \h </w:instrText>
        </w:r>
        <w:r w:rsidR="002A3C57">
          <w:rPr>
            <w:noProof/>
            <w:webHidden/>
          </w:rPr>
        </w:r>
        <w:r w:rsidR="002A3C57">
          <w:rPr>
            <w:noProof/>
            <w:webHidden/>
          </w:rPr>
          <w:fldChar w:fldCharType="separate"/>
        </w:r>
        <w:r w:rsidR="002A3C57">
          <w:rPr>
            <w:noProof/>
            <w:webHidden/>
          </w:rPr>
          <w:t>3</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36" w:history="1">
        <w:r w:rsidR="002A3C57" w:rsidRPr="00CC1EE4">
          <w:rPr>
            <w:rStyle w:val="Hyperlink"/>
            <w:noProof/>
          </w:rPr>
          <w:t>СПРАВОЧНАЯ ИНФОРМАЦИЯ</w:t>
        </w:r>
        <w:r w:rsidR="002A3C57">
          <w:rPr>
            <w:noProof/>
            <w:webHidden/>
          </w:rPr>
          <w:tab/>
        </w:r>
        <w:r w:rsidR="002A3C57">
          <w:rPr>
            <w:noProof/>
            <w:webHidden/>
          </w:rPr>
          <w:fldChar w:fldCharType="begin"/>
        </w:r>
        <w:r w:rsidR="002A3C57">
          <w:rPr>
            <w:noProof/>
            <w:webHidden/>
          </w:rPr>
          <w:instrText xml:space="preserve"> PAGEREF _Toc11683736 \h </w:instrText>
        </w:r>
        <w:r w:rsidR="002A3C57">
          <w:rPr>
            <w:noProof/>
            <w:webHidden/>
          </w:rPr>
        </w:r>
        <w:r w:rsidR="002A3C57">
          <w:rPr>
            <w:noProof/>
            <w:webHidden/>
          </w:rPr>
          <w:fldChar w:fldCharType="separate"/>
        </w:r>
        <w:r w:rsidR="002A3C57">
          <w:rPr>
            <w:noProof/>
            <w:webHidden/>
          </w:rPr>
          <w:t>4</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37" w:history="1">
        <w:r w:rsidR="002A3C57" w:rsidRPr="00CC1EE4">
          <w:rPr>
            <w:rStyle w:val="Hyperlink"/>
            <w:noProof/>
          </w:rPr>
          <w:t>НЕКОТОРЫЕ КЛЮЧЕВЫЕ МОМЕНТЫ РАССМАТРИВАЕМОГО ПЕРИОДА</w:t>
        </w:r>
        <w:r w:rsidR="002A3C57">
          <w:rPr>
            <w:noProof/>
            <w:webHidden/>
          </w:rPr>
          <w:tab/>
        </w:r>
        <w:r w:rsidR="002A3C57">
          <w:rPr>
            <w:noProof/>
            <w:webHidden/>
          </w:rPr>
          <w:fldChar w:fldCharType="begin"/>
        </w:r>
        <w:r w:rsidR="002A3C57">
          <w:rPr>
            <w:noProof/>
            <w:webHidden/>
          </w:rPr>
          <w:instrText xml:space="preserve"> PAGEREF _Toc11683737 \h </w:instrText>
        </w:r>
        <w:r w:rsidR="002A3C57">
          <w:rPr>
            <w:noProof/>
            <w:webHidden/>
          </w:rPr>
        </w:r>
        <w:r w:rsidR="002A3C57">
          <w:rPr>
            <w:noProof/>
            <w:webHidden/>
          </w:rPr>
          <w:fldChar w:fldCharType="separate"/>
        </w:r>
        <w:r w:rsidR="002A3C57">
          <w:rPr>
            <w:noProof/>
            <w:webHidden/>
          </w:rPr>
          <w:t>4</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38" w:history="1">
        <w:r w:rsidR="002A3C57" w:rsidRPr="00CC1EE4">
          <w:rPr>
            <w:rStyle w:val="Hyperlink"/>
            <w:noProof/>
          </w:rPr>
          <w:t>ПРИНЦИПЫ ПЛАНИРОВАНИЯ</w:t>
        </w:r>
        <w:r w:rsidR="002A3C57">
          <w:rPr>
            <w:noProof/>
            <w:webHidden/>
          </w:rPr>
          <w:tab/>
        </w:r>
        <w:r w:rsidR="002A3C57">
          <w:rPr>
            <w:noProof/>
            <w:webHidden/>
          </w:rPr>
          <w:fldChar w:fldCharType="begin"/>
        </w:r>
        <w:r w:rsidR="002A3C57">
          <w:rPr>
            <w:noProof/>
            <w:webHidden/>
          </w:rPr>
          <w:instrText xml:space="preserve"> PAGEREF _Toc11683738 \h </w:instrText>
        </w:r>
        <w:r w:rsidR="002A3C57">
          <w:rPr>
            <w:noProof/>
            <w:webHidden/>
          </w:rPr>
        </w:r>
        <w:r w:rsidR="002A3C57">
          <w:rPr>
            <w:noProof/>
            <w:webHidden/>
          </w:rPr>
          <w:fldChar w:fldCharType="separate"/>
        </w:r>
        <w:r w:rsidR="002A3C57">
          <w:rPr>
            <w:noProof/>
            <w:webHidden/>
          </w:rPr>
          <w:t>5</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39" w:history="1">
        <w:r w:rsidR="002A3C57" w:rsidRPr="00CC1EE4">
          <w:rPr>
            <w:rStyle w:val="Hyperlink"/>
            <w:noProof/>
          </w:rPr>
          <w:t>ПРОФЕССИОНАЛЬНЫЕ СТАНДАРТЫ</w:t>
        </w:r>
        <w:r w:rsidR="002A3C57">
          <w:rPr>
            <w:noProof/>
            <w:webHidden/>
          </w:rPr>
          <w:tab/>
        </w:r>
        <w:r w:rsidR="002A3C57">
          <w:rPr>
            <w:noProof/>
            <w:webHidden/>
          </w:rPr>
          <w:fldChar w:fldCharType="begin"/>
        </w:r>
        <w:r w:rsidR="002A3C57">
          <w:rPr>
            <w:noProof/>
            <w:webHidden/>
          </w:rPr>
          <w:instrText xml:space="preserve"> PAGEREF _Toc11683739 \h </w:instrText>
        </w:r>
        <w:r w:rsidR="002A3C57">
          <w:rPr>
            <w:noProof/>
            <w:webHidden/>
          </w:rPr>
        </w:r>
        <w:r w:rsidR="002A3C57">
          <w:rPr>
            <w:noProof/>
            <w:webHidden/>
          </w:rPr>
          <w:fldChar w:fldCharType="separate"/>
        </w:r>
        <w:r w:rsidR="002A3C57">
          <w:rPr>
            <w:noProof/>
            <w:webHidden/>
          </w:rPr>
          <w:t>5</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0" w:history="1">
        <w:r w:rsidR="002A3C57" w:rsidRPr="00CC1EE4">
          <w:rPr>
            <w:rStyle w:val="Hyperlink"/>
            <w:noProof/>
          </w:rPr>
          <w:t>ВАЖНЫЕ ВОПРОСЫ И ПРИОРИТЕТНЫЕ РЕКОМЕНДАЦИИ ПО ИТОГАМ НАДЗОРА</w:t>
        </w:r>
        <w:r w:rsidR="002A3C57">
          <w:rPr>
            <w:noProof/>
            <w:webHidden/>
          </w:rPr>
          <w:tab/>
        </w:r>
        <w:r w:rsidR="002A3C57">
          <w:rPr>
            <w:noProof/>
            <w:webHidden/>
          </w:rPr>
          <w:fldChar w:fldCharType="begin"/>
        </w:r>
        <w:r w:rsidR="002A3C57">
          <w:rPr>
            <w:noProof/>
            <w:webHidden/>
          </w:rPr>
          <w:instrText xml:space="preserve"> PAGEREF _Toc11683740 \h </w:instrText>
        </w:r>
        <w:r w:rsidR="002A3C57">
          <w:rPr>
            <w:noProof/>
            <w:webHidden/>
          </w:rPr>
        </w:r>
        <w:r w:rsidR="002A3C57">
          <w:rPr>
            <w:noProof/>
            <w:webHidden/>
          </w:rPr>
          <w:fldChar w:fldCharType="separate"/>
        </w:r>
        <w:r w:rsidR="002A3C57">
          <w:rPr>
            <w:noProof/>
            <w:webHidden/>
          </w:rPr>
          <w:t>6</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1" w:history="1">
        <w:r w:rsidR="002A3C57" w:rsidRPr="00CC1EE4">
          <w:rPr>
            <w:rStyle w:val="Hyperlink"/>
            <w:noProof/>
          </w:rPr>
          <w:t>РАССЛЕДОВАНИЯ</w:t>
        </w:r>
        <w:r w:rsidR="002A3C57">
          <w:rPr>
            <w:noProof/>
            <w:webHidden/>
          </w:rPr>
          <w:tab/>
        </w:r>
        <w:r w:rsidR="002A3C57">
          <w:rPr>
            <w:noProof/>
            <w:webHidden/>
          </w:rPr>
          <w:fldChar w:fldCharType="begin"/>
        </w:r>
        <w:r w:rsidR="002A3C57">
          <w:rPr>
            <w:noProof/>
            <w:webHidden/>
          </w:rPr>
          <w:instrText xml:space="preserve"> PAGEREF _Toc11683741 \h </w:instrText>
        </w:r>
        <w:r w:rsidR="002A3C57">
          <w:rPr>
            <w:noProof/>
            <w:webHidden/>
          </w:rPr>
        </w:r>
        <w:r w:rsidR="002A3C57">
          <w:rPr>
            <w:noProof/>
            <w:webHidden/>
          </w:rPr>
          <w:fldChar w:fldCharType="separate"/>
        </w:r>
        <w:r w:rsidR="002A3C57">
          <w:rPr>
            <w:noProof/>
            <w:webHidden/>
          </w:rPr>
          <w:t>13</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2" w:history="1">
        <w:r w:rsidR="002A3C57" w:rsidRPr="00CC1EE4">
          <w:rPr>
            <w:rStyle w:val="Hyperlink"/>
            <w:noProof/>
          </w:rPr>
          <w:t xml:space="preserve">СЛУЧАИ ОТКАЗА В ПРЕДОСТАВЛЕНИИ ИНФОРМАЦИИ ИЛИ ОКАЗАНИИ </w:t>
        </w:r>
        <w:r w:rsidR="00391278">
          <w:rPr>
            <w:rStyle w:val="Hyperlink"/>
            <w:noProof/>
          </w:rPr>
          <w:br/>
        </w:r>
        <w:r w:rsidR="002A3C57" w:rsidRPr="00CC1EE4">
          <w:rPr>
            <w:rStyle w:val="Hyperlink"/>
            <w:noProof/>
          </w:rPr>
          <w:t>ПОДДЕРЖКИ</w:t>
        </w:r>
        <w:r w:rsidR="002A3C57">
          <w:rPr>
            <w:noProof/>
            <w:webHidden/>
          </w:rPr>
          <w:tab/>
        </w:r>
        <w:r w:rsidR="002A3C57">
          <w:rPr>
            <w:noProof/>
            <w:webHidden/>
          </w:rPr>
          <w:fldChar w:fldCharType="begin"/>
        </w:r>
        <w:r w:rsidR="002A3C57">
          <w:rPr>
            <w:noProof/>
            <w:webHidden/>
          </w:rPr>
          <w:instrText xml:space="preserve"> PAGEREF _Toc11683742 \h </w:instrText>
        </w:r>
        <w:r w:rsidR="002A3C57">
          <w:rPr>
            <w:noProof/>
            <w:webHidden/>
          </w:rPr>
        </w:r>
        <w:r w:rsidR="002A3C57">
          <w:rPr>
            <w:noProof/>
            <w:webHidden/>
          </w:rPr>
          <w:fldChar w:fldCharType="separate"/>
        </w:r>
        <w:r w:rsidR="002A3C57">
          <w:rPr>
            <w:noProof/>
            <w:webHidden/>
          </w:rPr>
          <w:t>16</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3" w:history="1">
        <w:r w:rsidR="002A3C57" w:rsidRPr="00CC1EE4">
          <w:rPr>
            <w:rStyle w:val="Hyperlink"/>
            <w:noProof/>
          </w:rPr>
          <w:t>ВЫПОЛНЕНИЕ РЕКОМЕНДАЦИЙ В ОБЛАСТИ ВНУТРЕННЕГО НАДЗОРА</w:t>
        </w:r>
        <w:r w:rsidR="002A3C57">
          <w:rPr>
            <w:noProof/>
            <w:webHidden/>
          </w:rPr>
          <w:tab/>
        </w:r>
        <w:r w:rsidR="002A3C57">
          <w:rPr>
            <w:noProof/>
            <w:webHidden/>
          </w:rPr>
          <w:fldChar w:fldCharType="begin"/>
        </w:r>
        <w:r w:rsidR="002A3C57">
          <w:rPr>
            <w:noProof/>
            <w:webHidden/>
          </w:rPr>
          <w:instrText xml:space="preserve"> PAGEREF _Toc11683743 \h </w:instrText>
        </w:r>
        <w:r w:rsidR="002A3C57">
          <w:rPr>
            <w:noProof/>
            <w:webHidden/>
          </w:rPr>
        </w:r>
        <w:r w:rsidR="002A3C57">
          <w:rPr>
            <w:noProof/>
            <w:webHidden/>
          </w:rPr>
          <w:fldChar w:fldCharType="separate"/>
        </w:r>
        <w:r w:rsidR="002A3C57">
          <w:rPr>
            <w:noProof/>
            <w:webHidden/>
          </w:rPr>
          <w:t>16</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4" w:history="1">
        <w:r w:rsidR="002A3C57" w:rsidRPr="00CC1EE4">
          <w:rPr>
            <w:rStyle w:val="Hyperlink"/>
            <w:noProof/>
          </w:rPr>
          <w:t>КОНСУЛЬТАЦИОННАЯ РАБОТА ПО ВОПРОСАМ НАДЗОРА</w:t>
        </w:r>
        <w:r w:rsidR="002A3C57">
          <w:rPr>
            <w:noProof/>
            <w:webHidden/>
          </w:rPr>
          <w:tab/>
        </w:r>
        <w:r w:rsidR="002A3C57">
          <w:rPr>
            <w:noProof/>
            <w:webHidden/>
          </w:rPr>
          <w:fldChar w:fldCharType="begin"/>
        </w:r>
        <w:r w:rsidR="002A3C57">
          <w:rPr>
            <w:noProof/>
            <w:webHidden/>
          </w:rPr>
          <w:instrText xml:space="preserve"> PAGEREF _Toc11683744 \h </w:instrText>
        </w:r>
        <w:r w:rsidR="002A3C57">
          <w:rPr>
            <w:noProof/>
            <w:webHidden/>
          </w:rPr>
        </w:r>
        <w:r w:rsidR="002A3C57">
          <w:rPr>
            <w:noProof/>
            <w:webHidden/>
          </w:rPr>
          <w:fldChar w:fldCharType="separate"/>
        </w:r>
        <w:r w:rsidR="002A3C57">
          <w:rPr>
            <w:noProof/>
            <w:webHidden/>
          </w:rPr>
          <w:t>19</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5" w:history="1">
        <w:r w:rsidR="002A3C57" w:rsidRPr="00CC1EE4">
          <w:rPr>
            <w:rStyle w:val="Hyperlink"/>
            <w:noProof/>
          </w:rPr>
          <w:t>СОТРУДНИЧЕСТВО С ВНЕШНИМИ НАДЗОРНЫМИ ОРГАНАМИ</w:t>
        </w:r>
        <w:r w:rsidR="002A3C57">
          <w:rPr>
            <w:noProof/>
            <w:webHidden/>
          </w:rPr>
          <w:tab/>
        </w:r>
        <w:r w:rsidR="002A3C57">
          <w:rPr>
            <w:noProof/>
            <w:webHidden/>
          </w:rPr>
          <w:fldChar w:fldCharType="begin"/>
        </w:r>
        <w:r w:rsidR="002A3C57">
          <w:rPr>
            <w:noProof/>
            <w:webHidden/>
          </w:rPr>
          <w:instrText xml:space="preserve"> PAGEREF _Toc11683745 \h </w:instrText>
        </w:r>
        <w:r w:rsidR="002A3C57">
          <w:rPr>
            <w:noProof/>
            <w:webHidden/>
          </w:rPr>
        </w:r>
        <w:r w:rsidR="002A3C57">
          <w:rPr>
            <w:noProof/>
            <w:webHidden/>
          </w:rPr>
          <w:fldChar w:fldCharType="separate"/>
        </w:r>
        <w:r w:rsidR="002A3C57">
          <w:rPr>
            <w:noProof/>
            <w:webHidden/>
          </w:rPr>
          <w:t>20</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6" w:history="1">
        <w:r w:rsidR="002A3C57" w:rsidRPr="00CC1EE4">
          <w:rPr>
            <w:rStyle w:val="Hyperlink"/>
            <w:noProof/>
          </w:rPr>
          <w:t>СОТРУДНИЧЕСТВО С ОМБУДСМЕНОМ И БЮРО ПО ВОПРОСАМ ЭТИКИ</w:t>
        </w:r>
        <w:r w:rsidR="002A3C57">
          <w:rPr>
            <w:noProof/>
            <w:webHidden/>
          </w:rPr>
          <w:tab/>
        </w:r>
        <w:r w:rsidR="002A3C57">
          <w:rPr>
            <w:noProof/>
            <w:webHidden/>
          </w:rPr>
          <w:fldChar w:fldCharType="begin"/>
        </w:r>
        <w:r w:rsidR="002A3C57">
          <w:rPr>
            <w:noProof/>
            <w:webHidden/>
          </w:rPr>
          <w:instrText xml:space="preserve"> PAGEREF _Toc11683746 \h </w:instrText>
        </w:r>
        <w:r w:rsidR="002A3C57">
          <w:rPr>
            <w:noProof/>
            <w:webHidden/>
          </w:rPr>
        </w:r>
        <w:r w:rsidR="002A3C57">
          <w:rPr>
            <w:noProof/>
            <w:webHidden/>
          </w:rPr>
          <w:fldChar w:fldCharType="separate"/>
        </w:r>
        <w:r w:rsidR="002A3C57">
          <w:rPr>
            <w:noProof/>
            <w:webHidden/>
          </w:rPr>
          <w:t>21</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7" w:history="1">
        <w:r w:rsidR="002A3C57" w:rsidRPr="00CC1EE4">
          <w:rPr>
            <w:rStyle w:val="Hyperlink"/>
            <w:noProof/>
          </w:rPr>
          <w:t>ПРОЧИЕ НАПРАВЛЕНИЯ РАБОТЫ ПО ОБЕСПЕЧЕНИЮ НАДЗОРА</w:t>
        </w:r>
        <w:r w:rsidR="002A3C57">
          <w:rPr>
            <w:noProof/>
            <w:webHidden/>
          </w:rPr>
          <w:tab/>
        </w:r>
        <w:r w:rsidR="002A3C57">
          <w:rPr>
            <w:noProof/>
            <w:webHidden/>
          </w:rPr>
          <w:fldChar w:fldCharType="begin"/>
        </w:r>
        <w:r w:rsidR="002A3C57">
          <w:rPr>
            <w:noProof/>
            <w:webHidden/>
          </w:rPr>
          <w:instrText xml:space="preserve"> PAGEREF _Toc11683747 \h </w:instrText>
        </w:r>
        <w:r w:rsidR="002A3C57">
          <w:rPr>
            <w:noProof/>
            <w:webHidden/>
          </w:rPr>
        </w:r>
        <w:r w:rsidR="002A3C57">
          <w:rPr>
            <w:noProof/>
            <w:webHidden/>
          </w:rPr>
          <w:fldChar w:fldCharType="separate"/>
        </w:r>
        <w:r w:rsidR="002A3C57">
          <w:rPr>
            <w:noProof/>
            <w:webHidden/>
          </w:rPr>
          <w:t>21</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8" w:history="1">
        <w:r w:rsidR="002A3C57" w:rsidRPr="00CC1EE4">
          <w:rPr>
            <w:rStyle w:val="Hyperlink"/>
            <w:noProof/>
          </w:rPr>
          <w:t>ОПЕРАТИВНАЯ НЕЗАВИСИМОСТЬ ОВН</w:t>
        </w:r>
        <w:r w:rsidR="002A3C57">
          <w:rPr>
            <w:noProof/>
            <w:webHidden/>
          </w:rPr>
          <w:tab/>
        </w:r>
        <w:r w:rsidR="002A3C57">
          <w:rPr>
            <w:noProof/>
            <w:webHidden/>
          </w:rPr>
          <w:fldChar w:fldCharType="begin"/>
        </w:r>
        <w:r w:rsidR="002A3C57">
          <w:rPr>
            <w:noProof/>
            <w:webHidden/>
          </w:rPr>
          <w:instrText xml:space="preserve"> PAGEREF _Toc11683748 \h </w:instrText>
        </w:r>
        <w:r w:rsidR="002A3C57">
          <w:rPr>
            <w:noProof/>
            <w:webHidden/>
          </w:rPr>
        </w:r>
        <w:r w:rsidR="002A3C57">
          <w:rPr>
            <w:noProof/>
            <w:webHidden/>
          </w:rPr>
          <w:fldChar w:fldCharType="separate"/>
        </w:r>
        <w:r w:rsidR="002A3C57">
          <w:rPr>
            <w:noProof/>
            <w:webHidden/>
          </w:rPr>
          <w:t>22</w:t>
        </w:r>
        <w:r w:rsidR="002A3C57">
          <w:rPr>
            <w:noProof/>
            <w:webHidden/>
          </w:rPr>
          <w:fldChar w:fldCharType="end"/>
        </w:r>
      </w:hyperlink>
    </w:p>
    <w:p w:rsidR="002A3C57" w:rsidRDefault="00024197">
      <w:pPr>
        <w:pStyle w:val="TOC1"/>
        <w:rPr>
          <w:rFonts w:asciiTheme="minorHAnsi" w:eastAsiaTheme="minorEastAsia" w:hAnsiTheme="minorHAnsi" w:cstheme="minorBidi"/>
          <w:noProof/>
          <w:szCs w:val="22"/>
          <w:lang w:eastAsia="ru-RU"/>
        </w:rPr>
      </w:pPr>
      <w:hyperlink w:anchor="_Toc11683749" w:history="1">
        <w:r w:rsidR="002A3C57" w:rsidRPr="00CC1EE4">
          <w:rPr>
            <w:rStyle w:val="Hyperlink"/>
            <w:noProof/>
          </w:rPr>
          <w:t>РЕСУРСЫ ДЛЯ НАДЗОРНОЙ ДЕЯТЕЛЬНОСТИ</w:t>
        </w:r>
        <w:r w:rsidR="002A3C57">
          <w:rPr>
            <w:noProof/>
            <w:webHidden/>
          </w:rPr>
          <w:tab/>
        </w:r>
        <w:r w:rsidR="002A3C57">
          <w:rPr>
            <w:noProof/>
            <w:webHidden/>
          </w:rPr>
          <w:fldChar w:fldCharType="begin"/>
        </w:r>
        <w:r w:rsidR="002A3C57">
          <w:rPr>
            <w:noProof/>
            <w:webHidden/>
          </w:rPr>
          <w:instrText xml:space="preserve"> PAGEREF _Toc11683749 \h </w:instrText>
        </w:r>
        <w:r w:rsidR="002A3C57">
          <w:rPr>
            <w:noProof/>
            <w:webHidden/>
          </w:rPr>
        </w:r>
        <w:r w:rsidR="002A3C57">
          <w:rPr>
            <w:noProof/>
            <w:webHidden/>
          </w:rPr>
          <w:fldChar w:fldCharType="separate"/>
        </w:r>
        <w:r w:rsidR="002A3C57">
          <w:rPr>
            <w:noProof/>
            <w:webHidden/>
          </w:rPr>
          <w:t>22</w:t>
        </w:r>
        <w:r w:rsidR="002A3C57">
          <w:rPr>
            <w:noProof/>
            <w:webHidden/>
          </w:rPr>
          <w:fldChar w:fldCharType="end"/>
        </w:r>
      </w:hyperlink>
    </w:p>
    <w:p w:rsidR="00186810" w:rsidRDefault="00186810" w:rsidP="00186810">
      <w:pPr>
        <w:keepLines/>
        <w:tabs>
          <w:tab w:val="left" w:leader="dot" w:pos="8910"/>
        </w:tabs>
      </w:pPr>
      <w:r>
        <w:fldChar w:fldCharType="end"/>
      </w:r>
    </w:p>
    <w:p w:rsidR="00186810" w:rsidRPr="00DA5DBB" w:rsidRDefault="00186810" w:rsidP="00186810">
      <w:pPr>
        <w:keepLines/>
        <w:tabs>
          <w:tab w:val="left" w:leader="dot" w:pos="8910"/>
        </w:tabs>
        <w:spacing w:before="240" w:after="120" w:line="360" w:lineRule="auto"/>
        <w:rPr>
          <w:b/>
          <w:noProof/>
        </w:rPr>
      </w:pPr>
      <w:r>
        <w:rPr>
          <w:b/>
        </w:rPr>
        <w:t>ПРИЛОЖЕНИЕ</w:t>
      </w:r>
    </w:p>
    <w:p w:rsidR="00186810" w:rsidRDefault="00186810" w:rsidP="00186810">
      <w:pPr>
        <w:keepLines/>
        <w:tabs>
          <w:tab w:val="left" w:pos="1134"/>
          <w:tab w:val="left" w:pos="1560"/>
        </w:tabs>
        <w:rPr>
          <w:noProof/>
        </w:rPr>
      </w:pPr>
      <w:r>
        <w:t xml:space="preserve">Приложение. Перечень отчетов ОВН </w:t>
      </w:r>
    </w:p>
    <w:p w:rsidR="00186810" w:rsidRDefault="00186810" w:rsidP="00186810">
      <w:pPr>
        <w:rPr>
          <w:b/>
          <w:bCs/>
          <w:caps/>
          <w:kern w:val="32"/>
          <w:szCs w:val="32"/>
        </w:rPr>
      </w:pPr>
      <w:r>
        <w:br w:type="page"/>
      </w:r>
    </w:p>
    <w:p w:rsidR="00186810" w:rsidRDefault="00186810" w:rsidP="00484233">
      <w:pPr>
        <w:pStyle w:val="Heading1"/>
      </w:pPr>
      <w:bookmarkStart w:id="7" w:name="_Toc11683735"/>
      <w:r>
        <w:lastRenderedPageBreak/>
        <w:t>СПИСОК СОКРАЩЕНИЙ</w:t>
      </w:r>
      <w:bookmarkEnd w:id="7"/>
    </w:p>
    <w:tbl>
      <w:tblPr>
        <w:tblStyle w:val="TableGridLight"/>
        <w:tblW w:w="0" w:type="auto"/>
        <w:tblLook w:val="01E0" w:firstRow="1" w:lastRow="1" w:firstColumn="1" w:lastColumn="1" w:noHBand="0" w:noVBand="0"/>
      </w:tblPr>
      <w:tblGrid>
        <w:gridCol w:w="1701"/>
        <w:gridCol w:w="7230"/>
      </w:tblGrid>
      <w:tr w:rsidR="00913CE2" w:rsidRPr="00DF27E3" w:rsidTr="00A20B7D">
        <w:trPr>
          <w:trHeight w:val="340"/>
        </w:trPr>
        <w:tc>
          <w:tcPr>
            <w:tcW w:w="1701" w:type="dxa"/>
          </w:tcPr>
          <w:p w:rsidR="00913CE2" w:rsidRPr="00913CE2" w:rsidRDefault="00913CE2" w:rsidP="00747948">
            <w:pPr>
              <w:tabs>
                <w:tab w:val="right" w:pos="6880"/>
              </w:tabs>
              <w:ind w:left="43"/>
              <w:rPr>
                <w:b/>
              </w:rPr>
            </w:pPr>
            <w:r>
              <w:rPr>
                <w:b/>
              </w:rPr>
              <w:t>ИИ</w:t>
            </w:r>
          </w:p>
        </w:tc>
        <w:tc>
          <w:tcPr>
            <w:tcW w:w="7230" w:type="dxa"/>
          </w:tcPr>
          <w:p w:rsidR="00913CE2" w:rsidRDefault="00A1090F" w:rsidP="00747948">
            <w:pPr>
              <w:tabs>
                <w:tab w:val="right" w:pos="6880"/>
              </w:tabs>
              <w:ind w:left="43"/>
            </w:pPr>
            <w:r>
              <w:t>И</w:t>
            </w:r>
            <w:r w:rsidR="00913CE2">
              <w:t>скусственный интеллект</w:t>
            </w:r>
          </w:p>
        </w:tc>
      </w:tr>
      <w:tr w:rsidR="00913CE2" w:rsidRPr="00DF27E3" w:rsidTr="00A20B7D">
        <w:trPr>
          <w:trHeight w:val="340"/>
        </w:trPr>
        <w:tc>
          <w:tcPr>
            <w:tcW w:w="1701" w:type="dxa"/>
          </w:tcPr>
          <w:p w:rsidR="00913CE2" w:rsidRPr="00913CE2" w:rsidRDefault="00913CE2" w:rsidP="00747948">
            <w:pPr>
              <w:tabs>
                <w:tab w:val="right" w:pos="6880"/>
              </w:tabs>
              <w:ind w:left="43"/>
              <w:rPr>
                <w:b/>
              </w:rPr>
            </w:pPr>
            <w:r>
              <w:rPr>
                <w:b/>
              </w:rPr>
              <w:t>СУАИ</w:t>
            </w:r>
          </w:p>
        </w:tc>
        <w:tc>
          <w:tcPr>
            <w:tcW w:w="7230" w:type="dxa"/>
          </w:tcPr>
          <w:p w:rsidR="00913CE2" w:rsidRDefault="00913CE2" w:rsidP="00747948">
            <w:pPr>
              <w:tabs>
                <w:tab w:val="right" w:pos="6880"/>
              </w:tabs>
              <w:ind w:left="43"/>
            </w:pPr>
            <w:r>
              <w:t>Системы управления административной информацией</w:t>
            </w:r>
          </w:p>
        </w:tc>
      </w:tr>
      <w:tr w:rsidR="00913CE2" w:rsidRPr="00DF27E3" w:rsidTr="00A20B7D">
        <w:trPr>
          <w:trHeight w:val="340"/>
        </w:trPr>
        <w:tc>
          <w:tcPr>
            <w:tcW w:w="1701" w:type="dxa"/>
          </w:tcPr>
          <w:p w:rsidR="00913CE2" w:rsidRPr="00913CE2" w:rsidRDefault="00913CE2" w:rsidP="00747948">
            <w:pPr>
              <w:tabs>
                <w:tab w:val="right" w:pos="6880"/>
              </w:tabs>
              <w:ind w:left="43"/>
              <w:rPr>
                <w:b/>
                <w:szCs w:val="22"/>
              </w:rPr>
            </w:pPr>
            <w:r>
              <w:rPr>
                <w:b/>
                <w:szCs w:val="22"/>
              </w:rPr>
              <w:t>АТР</w:t>
            </w:r>
          </w:p>
        </w:tc>
        <w:tc>
          <w:tcPr>
            <w:tcW w:w="7230" w:type="dxa"/>
          </w:tcPr>
          <w:p w:rsidR="00913CE2" w:rsidRDefault="00913CE2" w:rsidP="00747948">
            <w:pPr>
              <w:tabs>
                <w:tab w:val="right" w:pos="6880"/>
              </w:tabs>
              <w:ind w:left="43"/>
            </w:pPr>
            <w:r>
              <w:t>Азиатско-Тихоокеанский регион</w:t>
            </w:r>
          </w:p>
        </w:tc>
      </w:tr>
      <w:tr w:rsidR="00913CE2" w:rsidRPr="00DF27E3" w:rsidTr="00A20B7D">
        <w:trPr>
          <w:trHeight w:val="340"/>
        </w:trPr>
        <w:tc>
          <w:tcPr>
            <w:tcW w:w="1701" w:type="dxa"/>
          </w:tcPr>
          <w:p w:rsidR="00913CE2" w:rsidRPr="00913CE2" w:rsidRDefault="00913CE2" w:rsidP="00747948">
            <w:pPr>
              <w:tabs>
                <w:tab w:val="right" w:pos="6880"/>
              </w:tabs>
              <w:ind w:left="43"/>
              <w:rPr>
                <w:b/>
              </w:rPr>
            </w:pPr>
            <w:r>
              <w:rPr>
                <w:b/>
              </w:rPr>
              <w:t>ИАО</w:t>
            </w:r>
          </w:p>
        </w:tc>
        <w:tc>
          <w:tcPr>
            <w:tcW w:w="7230" w:type="dxa"/>
          </w:tcPr>
          <w:p w:rsidR="00913CE2" w:rsidRPr="00DF27E3" w:rsidRDefault="00913CE2" w:rsidP="00747948">
            <w:pPr>
              <w:tabs>
                <w:tab w:val="right" w:pos="6880"/>
              </w:tabs>
              <w:ind w:left="43"/>
              <w:rPr>
                <w:szCs w:val="22"/>
              </w:rPr>
            </w:pPr>
            <w:r>
              <w:t>Информационно-аналитическое обеспечение</w:t>
            </w:r>
          </w:p>
        </w:tc>
      </w:tr>
      <w:tr w:rsidR="00913CE2" w:rsidRPr="00DF27E3" w:rsidTr="00A20B7D">
        <w:trPr>
          <w:trHeight w:val="340"/>
        </w:trPr>
        <w:tc>
          <w:tcPr>
            <w:tcW w:w="1701" w:type="dxa"/>
          </w:tcPr>
          <w:p w:rsidR="00913CE2" w:rsidRPr="00913CE2" w:rsidRDefault="00913CE2" w:rsidP="00747948">
            <w:pPr>
              <w:tabs>
                <w:tab w:val="right" w:pos="6880"/>
              </w:tabs>
              <w:ind w:left="43"/>
              <w:rPr>
                <w:b/>
                <w:szCs w:val="22"/>
              </w:rPr>
            </w:pPr>
            <w:r>
              <w:rPr>
                <w:b/>
                <w:szCs w:val="22"/>
              </w:rPr>
              <w:t>КРИС</w:t>
            </w:r>
          </w:p>
        </w:tc>
        <w:tc>
          <w:tcPr>
            <w:tcW w:w="7230" w:type="dxa"/>
          </w:tcPr>
          <w:p w:rsidR="00913CE2" w:rsidRPr="00DF27E3" w:rsidRDefault="00913CE2" w:rsidP="00747948">
            <w:pPr>
              <w:tabs>
                <w:tab w:val="right" w:pos="6880"/>
              </w:tabs>
              <w:ind w:left="43"/>
              <w:rPr>
                <w:szCs w:val="22"/>
              </w:rPr>
            </w:pPr>
            <w:r>
              <w:t>Комитет по развитию и интеллектуальной собственности</w:t>
            </w:r>
          </w:p>
        </w:tc>
      </w:tr>
      <w:tr w:rsidR="00913CE2" w:rsidRPr="00DF27E3" w:rsidTr="00A20B7D">
        <w:trPr>
          <w:trHeight w:val="340"/>
        </w:trPr>
        <w:tc>
          <w:tcPr>
            <w:tcW w:w="1701" w:type="dxa"/>
          </w:tcPr>
          <w:p w:rsidR="00913CE2" w:rsidRPr="00913CE2" w:rsidRDefault="00913CE2" w:rsidP="00747948">
            <w:pPr>
              <w:tabs>
                <w:tab w:val="right" w:pos="6880"/>
              </w:tabs>
              <w:ind w:left="43"/>
              <w:rPr>
                <w:b/>
                <w:szCs w:val="22"/>
              </w:rPr>
            </w:pPr>
            <w:r>
              <w:rPr>
                <w:b/>
                <w:szCs w:val="22"/>
              </w:rPr>
              <w:t>КМС</w:t>
            </w:r>
          </w:p>
        </w:tc>
        <w:tc>
          <w:tcPr>
            <w:tcW w:w="7230" w:type="dxa"/>
          </w:tcPr>
          <w:p w:rsidR="00913CE2" w:rsidRPr="00DF27E3" w:rsidRDefault="00913CE2" w:rsidP="00747948">
            <w:pPr>
              <w:tabs>
                <w:tab w:val="right" w:pos="6880"/>
              </w:tabs>
              <w:ind w:left="43"/>
              <w:rPr>
                <w:szCs w:val="22"/>
              </w:rPr>
            </w:pPr>
            <w:r>
              <w:t>Конференция международных следователей</w:t>
            </w:r>
          </w:p>
        </w:tc>
      </w:tr>
      <w:tr w:rsidR="00235A93" w:rsidRPr="00DF27E3" w:rsidTr="00A20B7D">
        <w:trPr>
          <w:trHeight w:val="340"/>
        </w:trPr>
        <w:tc>
          <w:tcPr>
            <w:tcW w:w="1701" w:type="dxa"/>
          </w:tcPr>
          <w:p w:rsidR="00235A93" w:rsidRDefault="00235A93" w:rsidP="00747948">
            <w:pPr>
              <w:tabs>
                <w:tab w:val="right" w:pos="6880"/>
              </w:tabs>
              <w:ind w:left="43"/>
              <w:rPr>
                <w:b/>
                <w:szCs w:val="22"/>
              </w:rPr>
            </w:pPr>
            <w:r>
              <w:rPr>
                <w:b/>
                <w:szCs w:val="22"/>
              </w:rPr>
              <w:t>СУД</w:t>
            </w:r>
          </w:p>
        </w:tc>
        <w:tc>
          <w:tcPr>
            <w:tcW w:w="7230" w:type="dxa"/>
          </w:tcPr>
          <w:p w:rsidR="00235A93" w:rsidRPr="00DF27E3" w:rsidRDefault="00235A93" w:rsidP="00747948">
            <w:pPr>
              <w:tabs>
                <w:tab w:val="right" w:pos="6880"/>
              </w:tabs>
              <w:ind w:left="43"/>
              <w:rPr>
                <w:szCs w:val="22"/>
              </w:rPr>
            </w:pPr>
            <w:r>
              <w:t>Система управления делами</w:t>
            </w:r>
          </w:p>
        </w:tc>
      </w:tr>
      <w:tr w:rsidR="00913CE2" w:rsidRPr="00DF27E3" w:rsidTr="00A20B7D">
        <w:trPr>
          <w:trHeight w:val="340"/>
        </w:trPr>
        <w:tc>
          <w:tcPr>
            <w:tcW w:w="1701" w:type="dxa"/>
          </w:tcPr>
          <w:p w:rsidR="00913CE2" w:rsidRPr="00913CE2" w:rsidRDefault="00913CE2" w:rsidP="00747948">
            <w:pPr>
              <w:tabs>
                <w:tab w:val="right" w:pos="6880"/>
              </w:tabs>
              <w:ind w:left="43"/>
              <w:rPr>
                <w:b/>
              </w:rPr>
            </w:pPr>
            <w:r>
              <w:rPr>
                <w:b/>
              </w:rPr>
              <w:t>ПУД</w:t>
            </w:r>
          </w:p>
        </w:tc>
        <w:tc>
          <w:tcPr>
            <w:tcW w:w="7230" w:type="dxa"/>
          </w:tcPr>
          <w:p w:rsidR="00913CE2" w:rsidRPr="00DF27E3" w:rsidRDefault="00913CE2" w:rsidP="00747948">
            <w:pPr>
              <w:tabs>
                <w:tab w:val="right" w:pos="6880"/>
              </w:tabs>
              <w:ind w:left="43"/>
              <w:rPr>
                <w:szCs w:val="22"/>
              </w:rPr>
            </w:pPr>
            <w:r>
              <w:t>Предупреждение утечки данных</w:t>
            </w:r>
          </w:p>
        </w:tc>
      </w:tr>
      <w:tr w:rsidR="00913CE2" w:rsidRPr="00DF27E3" w:rsidTr="00A20B7D">
        <w:trPr>
          <w:trHeight w:val="340"/>
        </w:trPr>
        <w:tc>
          <w:tcPr>
            <w:tcW w:w="1701" w:type="dxa"/>
          </w:tcPr>
          <w:p w:rsidR="00913CE2" w:rsidRPr="00913CE2" w:rsidRDefault="0076232B" w:rsidP="00747948">
            <w:pPr>
              <w:tabs>
                <w:tab w:val="right" w:pos="6880"/>
              </w:tabs>
              <w:ind w:left="43"/>
              <w:rPr>
                <w:b/>
                <w:szCs w:val="22"/>
              </w:rPr>
            </w:pPr>
            <w:r>
              <w:rPr>
                <w:b/>
                <w:szCs w:val="22"/>
              </w:rPr>
              <w:t>ЭПФ</w:t>
            </w:r>
          </w:p>
        </w:tc>
        <w:tc>
          <w:tcPr>
            <w:tcW w:w="7230" w:type="dxa"/>
          </w:tcPr>
          <w:p w:rsidR="00913CE2" w:rsidRPr="00DF27E3" w:rsidRDefault="00913CE2" w:rsidP="00747948">
            <w:pPr>
              <w:tabs>
                <w:tab w:val="right" w:pos="6880"/>
              </w:tabs>
              <w:ind w:left="43"/>
              <w:rPr>
                <w:szCs w:val="22"/>
              </w:rPr>
            </w:pPr>
            <w:r>
              <w:t>Электронная передача файлов</w:t>
            </w:r>
          </w:p>
        </w:tc>
      </w:tr>
      <w:tr w:rsidR="00913CE2" w:rsidRPr="00DF27E3" w:rsidTr="00A20B7D">
        <w:trPr>
          <w:trHeight w:val="340"/>
        </w:trPr>
        <w:tc>
          <w:tcPr>
            <w:tcW w:w="1701" w:type="dxa"/>
          </w:tcPr>
          <w:p w:rsidR="00913CE2" w:rsidRPr="00913CE2" w:rsidRDefault="0076232B" w:rsidP="00747948">
            <w:pPr>
              <w:ind w:left="43"/>
              <w:rPr>
                <w:b/>
              </w:rPr>
            </w:pPr>
            <w:r>
              <w:rPr>
                <w:b/>
              </w:rPr>
              <w:t>ПОР</w:t>
            </w:r>
          </w:p>
        </w:tc>
        <w:tc>
          <w:tcPr>
            <w:tcW w:w="7230" w:type="dxa"/>
          </w:tcPr>
          <w:p w:rsidR="00913CE2" w:rsidRPr="00B162E5" w:rsidRDefault="00913CE2" w:rsidP="00747948">
            <w:pPr>
              <w:ind w:left="43"/>
            </w:pPr>
            <w:r>
              <w:t>Планирование общеорганизационных ресурсов</w:t>
            </w:r>
          </w:p>
        </w:tc>
      </w:tr>
      <w:tr w:rsidR="00913CE2" w:rsidRPr="00DF27E3" w:rsidTr="00A20B7D">
        <w:trPr>
          <w:trHeight w:val="340"/>
        </w:trPr>
        <w:tc>
          <w:tcPr>
            <w:tcW w:w="1701" w:type="dxa"/>
          </w:tcPr>
          <w:p w:rsidR="00913CE2" w:rsidRPr="00913CE2" w:rsidRDefault="0076232B" w:rsidP="00747948">
            <w:pPr>
              <w:ind w:left="43"/>
              <w:rPr>
                <w:b/>
              </w:rPr>
            </w:pPr>
            <w:r>
              <w:rPr>
                <w:b/>
              </w:rPr>
              <w:t>ЦФ</w:t>
            </w:r>
          </w:p>
        </w:tc>
        <w:tc>
          <w:tcPr>
            <w:tcW w:w="7230" w:type="dxa"/>
          </w:tcPr>
          <w:p w:rsidR="00913CE2" w:rsidRPr="00DF27E3" w:rsidRDefault="00913CE2" w:rsidP="00747948">
            <w:pPr>
              <w:ind w:left="43"/>
              <w:rPr>
                <w:szCs w:val="22"/>
              </w:rPr>
            </w:pPr>
            <w:r>
              <w:t>Целевые фонды</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ДУЛР</w:t>
            </w:r>
          </w:p>
        </w:tc>
        <w:tc>
          <w:tcPr>
            <w:tcW w:w="7230" w:type="dxa"/>
          </w:tcPr>
          <w:p w:rsidR="00913CE2" w:rsidRPr="00DF27E3" w:rsidRDefault="00913CE2" w:rsidP="00747948">
            <w:pPr>
              <w:ind w:left="43"/>
              <w:rPr>
                <w:szCs w:val="22"/>
              </w:rPr>
            </w:pPr>
            <w:r>
              <w:t>Департамент управления людскими ресурсами</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ВА</w:t>
            </w:r>
          </w:p>
        </w:tc>
        <w:tc>
          <w:tcPr>
            <w:tcW w:w="7230" w:type="dxa"/>
          </w:tcPr>
          <w:p w:rsidR="00913CE2" w:rsidRPr="00DF27E3" w:rsidRDefault="00913CE2" w:rsidP="00747948">
            <w:pPr>
              <w:ind w:left="43"/>
              <w:rPr>
                <w:szCs w:val="22"/>
              </w:rPr>
            </w:pPr>
            <w:r>
              <w:t>Внутренний аудит</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НККН</w:t>
            </w:r>
          </w:p>
        </w:tc>
        <w:tc>
          <w:tcPr>
            <w:tcW w:w="7230" w:type="dxa"/>
          </w:tcPr>
          <w:p w:rsidR="00913CE2" w:rsidRPr="00DF27E3" w:rsidRDefault="00913CE2" w:rsidP="00747948">
            <w:pPr>
              <w:ind w:left="43"/>
              <w:rPr>
                <w:szCs w:val="22"/>
              </w:rPr>
            </w:pPr>
            <w:r>
              <w:t>Независимый консультативный комитет по надзору</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ИВА</w:t>
            </w:r>
          </w:p>
        </w:tc>
        <w:tc>
          <w:tcPr>
            <w:tcW w:w="7230" w:type="dxa"/>
          </w:tcPr>
          <w:p w:rsidR="00913CE2" w:rsidRPr="00DF27E3" w:rsidRDefault="00913CE2" w:rsidP="00747948">
            <w:pPr>
              <w:ind w:left="43"/>
              <w:rPr>
                <w:szCs w:val="22"/>
              </w:rPr>
            </w:pPr>
            <w:r>
              <w:t>Институт внутренних аудиторов</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УВН</w:t>
            </w:r>
          </w:p>
        </w:tc>
        <w:tc>
          <w:tcPr>
            <w:tcW w:w="7230" w:type="dxa"/>
          </w:tcPr>
          <w:p w:rsidR="00913CE2" w:rsidRPr="00DF27E3" w:rsidRDefault="00913CE2" w:rsidP="00747948">
            <w:pPr>
              <w:ind w:left="43"/>
              <w:rPr>
                <w:szCs w:val="22"/>
              </w:rPr>
            </w:pPr>
            <w:r>
              <w:t>Устав внутреннего надзора</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ОВН</w:t>
            </w:r>
          </w:p>
        </w:tc>
        <w:tc>
          <w:tcPr>
            <w:tcW w:w="7230" w:type="dxa"/>
          </w:tcPr>
          <w:p w:rsidR="00913CE2" w:rsidRPr="00DF27E3" w:rsidRDefault="00913CE2" w:rsidP="00747948">
            <w:pPr>
              <w:ind w:left="43"/>
              <w:rPr>
                <w:szCs w:val="22"/>
              </w:rPr>
            </w:pPr>
            <w:r>
              <w:t>Отдел внутреннего надзора</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ИС</w:t>
            </w:r>
          </w:p>
        </w:tc>
        <w:tc>
          <w:tcPr>
            <w:tcW w:w="7230" w:type="dxa"/>
          </w:tcPr>
          <w:p w:rsidR="00913CE2" w:rsidRPr="00DF27E3" w:rsidRDefault="00913CE2" w:rsidP="00747948">
            <w:pPr>
              <w:ind w:left="43"/>
              <w:rPr>
                <w:szCs w:val="22"/>
              </w:rPr>
            </w:pPr>
            <w:r>
              <w:t>Интеллектуальная собственность</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ИТ</w:t>
            </w:r>
          </w:p>
        </w:tc>
        <w:tc>
          <w:tcPr>
            <w:tcW w:w="7230" w:type="dxa"/>
          </w:tcPr>
          <w:p w:rsidR="00913CE2" w:rsidRPr="00DF27E3" w:rsidRDefault="00913CE2" w:rsidP="00747948">
            <w:pPr>
              <w:ind w:left="43"/>
              <w:rPr>
                <w:szCs w:val="22"/>
              </w:rPr>
            </w:pPr>
            <w:r>
              <w:t>Информационные технологии</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ОИГ</w:t>
            </w:r>
          </w:p>
        </w:tc>
        <w:tc>
          <w:tcPr>
            <w:tcW w:w="7230" w:type="dxa"/>
          </w:tcPr>
          <w:p w:rsidR="00913CE2" w:rsidRPr="00DF27E3" w:rsidRDefault="00913CE2" w:rsidP="00747948">
            <w:pPr>
              <w:ind w:left="43"/>
              <w:rPr>
                <w:szCs w:val="22"/>
              </w:rPr>
            </w:pPr>
            <w:r>
              <w:t>Объединенная инспекционная группа</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ОРРР</w:t>
            </w:r>
          </w:p>
        </w:tc>
        <w:tc>
          <w:tcPr>
            <w:tcW w:w="7230" w:type="dxa"/>
          </w:tcPr>
          <w:p w:rsidR="00913CE2" w:rsidRPr="00DF27E3" w:rsidRDefault="00913CE2" w:rsidP="00747948">
            <w:pPr>
              <w:ind w:left="43"/>
              <w:rPr>
                <w:szCs w:val="22"/>
              </w:rPr>
            </w:pPr>
            <w:r>
              <w:t>Отчет о результатах расследования для руководства</w:t>
            </w:r>
          </w:p>
        </w:tc>
      </w:tr>
      <w:tr w:rsidR="00913CE2" w:rsidRPr="00DF27E3" w:rsidTr="00A20B7D">
        <w:trPr>
          <w:trHeight w:val="340"/>
        </w:trPr>
        <w:tc>
          <w:tcPr>
            <w:tcW w:w="1701" w:type="dxa"/>
          </w:tcPr>
          <w:p w:rsidR="00913CE2" w:rsidRPr="00913CE2" w:rsidRDefault="0076232B" w:rsidP="00747948">
            <w:pPr>
              <w:ind w:left="43"/>
              <w:rPr>
                <w:b/>
              </w:rPr>
            </w:pPr>
            <w:r>
              <w:rPr>
                <w:b/>
              </w:rPr>
              <w:t>КГД</w:t>
            </w:r>
          </w:p>
        </w:tc>
        <w:tc>
          <w:tcPr>
            <w:tcW w:w="7230" w:type="dxa"/>
          </w:tcPr>
          <w:p w:rsidR="00913CE2" w:rsidRPr="000B377F" w:rsidRDefault="00913CE2" w:rsidP="00747948">
            <w:pPr>
              <w:ind w:left="43"/>
            </w:pPr>
            <w:r>
              <w:t>Канцелярия Генерального директора</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КПБ</w:t>
            </w:r>
          </w:p>
        </w:tc>
        <w:tc>
          <w:tcPr>
            <w:tcW w:w="7230" w:type="dxa"/>
          </w:tcPr>
          <w:p w:rsidR="00913CE2" w:rsidRPr="00DF27E3" w:rsidRDefault="00913CE2" w:rsidP="00747948">
            <w:pPr>
              <w:ind w:left="43"/>
              <w:rPr>
                <w:szCs w:val="22"/>
              </w:rPr>
            </w:pPr>
            <w:r>
              <w:t>Комитет по программе и бюджету</w:t>
            </w:r>
          </w:p>
        </w:tc>
      </w:tr>
      <w:tr w:rsidR="00913CE2" w:rsidRPr="00DF27E3" w:rsidTr="00A20B7D">
        <w:trPr>
          <w:trHeight w:val="340"/>
        </w:trPr>
        <w:tc>
          <w:tcPr>
            <w:tcW w:w="1701" w:type="dxa"/>
          </w:tcPr>
          <w:p w:rsidR="00913CE2" w:rsidRPr="00913CE2" w:rsidRDefault="0076232B" w:rsidP="00747948">
            <w:pPr>
              <w:ind w:left="43"/>
              <w:rPr>
                <w:b/>
              </w:rPr>
            </w:pPr>
            <w:r>
              <w:rPr>
                <w:b/>
              </w:rPr>
              <w:t>РСТ</w:t>
            </w:r>
          </w:p>
        </w:tc>
        <w:tc>
          <w:tcPr>
            <w:tcW w:w="7230" w:type="dxa"/>
          </w:tcPr>
          <w:p w:rsidR="00913CE2" w:rsidRPr="00CE5EDB" w:rsidRDefault="00913CE2" w:rsidP="00747948">
            <w:pPr>
              <w:ind w:left="43"/>
            </w:pPr>
            <w:r>
              <w:t>Договор о патентной кооперации</w:t>
            </w:r>
          </w:p>
        </w:tc>
      </w:tr>
      <w:tr w:rsidR="00913CE2" w:rsidRPr="00DF27E3" w:rsidTr="00A20B7D">
        <w:trPr>
          <w:trHeight w:val="340"/>
        </w:trPr>
        <w:tc>
          <w:tcPr>
            <w:tcW w:w="1701" w:type="dxa"/>
          </w:tcPr>
          <w:p w:rsidR="00913CE2" w:rsidRPr="00913CE2" w:rsidRDefault="0076232B" w:rsidP="00747948">
            <w:pPr>
              <w:ind w:left="43"/>
              <w:rPr>
                <w:b/>
              </w:rPr>
            </w:pPr>
            <w:r>
              <w:rPr>
                <w:b/>
              </w:rPr>
              <w:t>УКР</w:t>
            </w:r>
          </w:p>
        </w:tc>
        <w:tc>
          <w:tcPr>
            <w:tcW w:w="7230" w:type="dxa"/>
          </w:tcPr>
          <w:p w:rsidR="00913CE2" w:rsidRPr="00DF27E3" w:rsidRDefault="00913CE2" w:rsidP="00747948">
            <w:pPr>
              <w:ind w:left="43"/>
              <w:rPr>
                <w:szCs w:val="22"/>
              </w:rPr>
            </w:pPr>
            <w:r>
              <w:t>Управление, ориентированное на конкретные результаты</w:t>
            </w:r>
          </w:p>
        </w:tc>
      </w:tr>
      <w:tr w:rsidR="00913CE2" w:rsidRPr="00DF27E3" w:rsidTr="00A20B7D">
        <w:trPr>
          <w:trHeight w:val="340"/>
        </w:trPr>
        <w:tc>
          <w:tcPr>
            <w:tcW w:w="1701" w:type="dxa"/>
          </w:tcPr>
          <w:p w:rsidR="00913CE2" w:rsidRPr="00913CE2" w:rsidRDefault="0076232B" w:rsidP="00747948">
            <w:pPr>
              <w:ind w:left="43"/>
              <w:rPr>
                <w:b/>
              </w:rPr>
            </w:pPr>
            <w:r>
              <w:rPr>
                <w:b/>
              </w:rPr>
              <w:t>РБЛАК</w:t>
            </w:r>
          </w:p>
        </w:tc>
        <w:tc>
          <w:tcPr>
            <w:tcW w:w="7230" w:type="dxa"/>
          </w:tcPr>
          <w:p w:rsidR="00913CE2" w:rsidRPr="00DF27E3" w:rsidRDefault="00913CE2" w:rsidP="00747948">
            <w:pPr>
              <w:ind w:left="43"/>
              <w:rPr>
                <w:szCs w:val="22"/>
              </w:rPr>
            </w:pPr>
            <w:r>
              <w:t>Региональное бюро для Латинской Америки и Карибского бассейна</w:t>
            </w:r>
          </w:p>
        </w:tc>
      </w:tr>
      <w:tr w:rsidR="00913CE2" w:rsidRPr="00DF27E3" w:rsidTr="00A20B7D">
        <w:trPr>
          <w:trHeight w:val="340"/>
        </w:trPr>
        <w:tc>
          <w:tcPr>
            <w:tcW w:w="1701" w:type="dxa"/>
          </w:tcPr>
          <w:p w:rsidR="00913CE2" w:rsidRPr="00913CE2" w:rsidRDefault="0076232B" w:rsidP="00747948">
            <w:pPr>
              <w:ind w:left="43"/>
              <w:rPr>
                <w:b/>
              </w:rPr>
            </w:pPr>
            <w:r>
              <w:rPr>
                <w:b/>
              </w:rPr>
              <w:t>ОБДИ</w:t>
            </w:r>
          </w:p>
        </w:tc>
        <w:tc>
          <w:tcPr>
            <w:tcW w:w="7230" w:type="dxa"/>
          </w:tcPr>
          <w:p w:rsidR="00913CE2" w:rsidRPr="003C0543" w:rsidRDefault="00913CE2" w:rsidP="00747948">
            <w:pPr>
              <w:ind w:left="43"/>
            </w:pPr>
            <w:r>
              <w:t>Отдел обеспечения безопасности и достоверности информации</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ООН</w:t>
            </w:r>
          </w:p>
        </w:tc>
        <w:tc>
          <w:tcPr>
            <w:tcW w:w="7230" w:type="dxa"/>
          </w:tcPr>
          <w:p w:rsidR="00913CE2" w:rsidRPr="00DF27E3" w:rsidRDefault="00913CE2" w:rsidP="00747948">
            <w:pPr>
              <w:ind w:left="43"/>
              <w:rPr>
                <w:szCs w:val="22"/>
              </w:rPr>
            </w:pPr>
            <w:r>
              <w:t>Организация Объединенных Наций</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ЮНЕГ</w:t>
            </w:r>
          </w:p>
        </w:tc>
        <w:tc>
          <w:tcPr>
            <w:tcW w:w="7230" w:type="dxa"/>
          </w:tcPr>
          <w:p w:rsidR="00913CE2" w:rsidRPr="00DF27E3" w:rsidRDefault="00913CE2" w:rsidP="00747948">
            <w:pPr>
              <w:ind w:left="43"/>
              <w:rPr>
                <w:szCs w:val="22"/>
              </w:rPr>
            </w:pPr>
            <w:r>
              <w:t>Группа Организации Объединенных Наций по оценке</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ПСВА ООН</w:t>
            </w:r>
          </w:p>
        </w:tc>
        <w:tc>
          <w:tcPr>
            <w:tcW w:w="7230" w:type="dxa"/>
          </w:tcPr>
          <w:p w:rsidR="00913CE2" w:rsidRPr="00DF27E3" w:rsidRDefault="0076232B" w:rsidP="00747948">
            <w:pPr>
              <w:ind w:left="43"/>
              <w:rPr>
                <w:szCs w:val="22"/>
              </w:rPr>
            </w:pPr>
            <w:r>
              <w:t>Представители служб внутреннего аудита организаций системы ООН</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ПСР ООН</w:t>
            </w:r>
          </w:p>
        </w:tc>
        <w:tc>
          <w:tcPr>
            <w:tcW w:w="7230" w:type="dxa"/>
          </w:tcPr>
          <w:p w:rsidR="00913CE2" w:rsidRPr="00DF27E3" w:rsidRDefault="00913CE2" w:rsidP="00747948">
            <w:pPr>
              <w:ind w:left="43"/>
              <w:rPr>
                <w:szCs w:val="22"/>
              </w:rPr>
            </w:pPr>
            <w:r>
              <w:t>Представители служб расследований организаций системы ООН</w:t>
            </w:r>
          </w:p>
        </w:tc>
      </w:tr>
      <w:tr w:rsidR="00913CE2" w:rsidRPr="00DF27E3" w:rsidTr="00A20B7D">
        <w:trPr>
          <w:trHeight w:val="340"/>
        </w:trPr>
        <w:tc>
          <w:tcPr>
            <w:tcW w:w="1701" w:type="dxa"/>
          </w:tcPr>
          <w:p w:rsidR="00913CE2" w:rsidRPr="00913CE2" w:rsidRDefault="0076232B" w:rsidP="00747948">
            <w:pPr>
              <w:ind w:left="43"/>
              <w:rPr>
                <w:b/>
                <w:szCs w:val="22"/>
              </w:rPr>
            </w:pPr>
            <w:r>
              <w:rPr>
                <w:b/>
                <w:szCs w:val="22"/>
              </w:rPr>
              <w:t>ВОИС</w:t>
            </w:r>
          </w:p>
        </w:tc>
        <w:tc>
          <w:tcPr>
            <w:tcW w:w="7230" w:type="dxa"/>
          </w:tcPr>
          <w:p w:rsidR="00913CE2" w:rsidRPr="00DF27E3" w:rsidRDefault="00913CE2" w:rsidP="00747948">
            <w:pPr>
              <w:ind w:left="43"/>
              <w:rPr>
                <w:szCs w:val="22"/>
              </w:rPr>
            </w:pPr>
            <w:r>
              <w:t>Всемирная организация интеллектуальной собственности</w:t>
            </w:r>
          </w:p>
        </w:tc>
      </w:tr>
    </w:tbl>
    <w:p w:rsidR="00186810" w:rsidRDefault="00186810" w:rsidP="00186810">
      <w:pPr>
        <w:rPr>
          <w:b/>
        </w:rPr>
      </w:pPr>
      <w:bookmarkStart w:id="8" w:name="_Toc392160703"/>
      <w:bookmarkStart w:id="9" w:name="_Toc392160740"/>
      <w:bookmarkStart w:id="10" w:name="_Toc423530309"/>
      <w:bookmarkStart w:id="11" w:name="_Toc423533365"/>
      <w:bookmarkStart w:id="12" w:name="_Toc423533509"/>
      <w:bookmarkStart w:id="13" w:name="_Toc452648468"/>
      <w:r>
        <w:br w:type="page"/>
      </w:r>
    </w:p>
    <w:p w:rsidR="00186810" w:rsidRPr="00962729" w:rsidRDefault="00186810" w:rsidP="00484233">
      <w:pPr>
        <w:pStyle w:val="Heading1"/>
      </w:pPr>
      <w:bookmarkStart w:id="14" w:name="_Toc420663565"/>
      <w:bookmarkStart w:id="15" w:name="_Toc11683736"/>
      <w:bookmarkEnd w:id="8"/>
      <w:bookmarkEnd w:id="9"/>
      <w:bookmarkEnd w:id="10"/>
      <w:bookmarkEnd w:id="11"/>
      <w:bookmarkEnd w:id="12"/>
      <w:bookmarkEnd w:id="13"/>
      <w:r w:rsidRPr="00962729">
        <w:lastRenderedPageBreak/>
        <w:t>СПРАВОЧНАЯ ИНФОРМАЦИЯ</w:t>
      </w:r>
      <w:bookmarkEnd w:id="14"/>
      <w:bookmarkEnd w:id="15"/>
    </w:p>
    <w:p w:rsidR="00186810" w:rsidRPr="00962729" w:rsidRDefault="00186810" w:rsidP="00A1090F">
      <w:pPr>
        <w:pStyle w:val="ONUME"/>
        <w:numPr>
          <w:ilvl w:val="0"/>
          <w:numId w:val="17"/>
        </w:numPr>
        <w:jc w:val="both"/>
        <w:rPr>
          <w:szCs w:val="22"/>
        </w:rPr>
      </w:pPr>
      <w:r w:rsidRPr="00962729">
        <w:rPr>
          <w:szCs w:val="22"/>
        </w:rPr>
        <w:t>Задача Отдела внутреннего надзора (ОВН) ВОИС состоит в обеспечении независимого и эффективного внутреннего надзора в ВОИС в соответствии с положениями Устава внутреннего надзора (УВН).</w:t>
      </w:r>
    </w:p>
    <w:p w:rsidR="00186810" w:rsidRPr="00962729" w:rsidRDefault="00186810" w:rsidP="00A1090F">
      <w:pPr>
        <w:pStyle w:val="ONUME"/>
        <w:numPr>
          <w:ilvl w:val="0"/>
          <w:numId w:val="17"/>
        </w:numPr>
        <w:jc w:val="both"/>
        <w:rPr>
          <w:szCs w:val="22"/>
        </w:rPr>
      </w:pPr>
      <w:r w:rsidRPr="00962729">
        <w:rPr>
          <w:szCs w:val="22"/>
        </w:rPr>
        <w:t>Согласно требованиям УВН</w:t>
      </w:r>
      <w:r w:rsidRPr="00962729">
        <w:rPr>
          <w:rStyle w:val="FootnoteReference"/>
          <w:szCs w:val="22"/>
        </w:rPr>
        <w:footnoteReference w:id="2"/>
      </w:r>
      <w:r w:rsidRPr="00962729">
        <w:rPr>
          <w:szCs w:val="22"/>
        </w:rPr>
        <w:t xml:space="preserve"> Директор ОВН ежегодно представляет Генеральной Ассамблее ВОИС через Комитет по программе и бюджету (КПБ) сводный отчет.</w:t>
      </w:r>
      <w:r w:rsidR="00A1090F" w:rsidRPr="00962729">
        <w:rPr>
          <w:szCs w:val="22"/>
        </w:rPr>
        <w:t xml:space="preserve"> </w:t>
      </w:r>
      <w:r w:rsidRPr="00962729">
        <w:rPr>
          <w:szCs w:val="22"/>
        </w:rPr>
        <w:t>В годовом отчете содержится общий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bookmarkStart w:id="16" w:name="_Toc420663566"/>
      <w:bookmarkStart w:id="17" w:name="_Toc328920434"/>
    </w:p>
    <w:p w:rsidR="00186810" w:rsidRPr="00962729" w:rsidRDefault="00186810" w:rsidP="00A1090F">
      <w:pPr>
        <w:pStyle w:val="ONUME"/>
        <w:numPr>
          <w:ilvl w:val="0"/>
          <w:numId w:val="17"/>
        </w:numPr>
        <w:jc w:val="both"/>
        <w:rPr>
          <w:b/>
          <w:bCs/>
          <w:caps/>
          <w:kern w:val="32"/>
          <w:szCs w:val="22"/>
        </w:rPr>
      </w:pPr>
      <w:r w:rsidRPr="00962729">
        <w:rPr>
          <w:szCs w:val="22"/>
        </w:rPr>
        <w:t>В соответствии с УВН, проект годового отчета представляется Генеральному директору и Независимому консультативному комитету по надзору (НККН) для их комментариев; полученные комментарии принимаются во внимание при завершении работы над отчетом.</w:t>
      </w:r>
    </w:p>
    <w:p w:rsidR="007B77FF" w:rsidRPr="00962729" w:rsidRDefault="002A3C57" w:rsidP="00484233">
      <w:pPr>
        <w:pStyle w:val="Heading1"/>
      </w:pPr>
      <w:bookmarkStart w:id="18" w:name="_Toc11683737"/>
      <w:r w:rsidRPr="00962729">
        <w:t xml:space="preserve">НЕКОТОРЫЕ </w:t>
      </w:r>
      <w:r w:rsidR="007B77FF" w:rsidRPr="00962729">
        <w:t>КЛЮЧЕВЫЕ МОМЕНТЫ РАССМАТРИВАЕМОГО ПЕРИОДА</w:t>
      </w:r>
      <w:bookmarkEnd w:id="18"/>
    </w:p>
    <w:p w:rsidR="007B77FF" w:rsidRPr="00962729" w:rsidRDefault="007B77FF" w:rsidP="00A1090F">
      <w:pPr>
        <w:pStyle w:val="ONUME"/>
        <w:numPr>
          <w:ilvl w:val="0"/>
          <w:numId w:val="17"/>
        </w:numPr>
        <w:jc w:val="both"/>
        <w:rPr>
          <w:szCs w:val="22"/>
        </w:rPr>
      </w:pPr>
      <w:r w:rsidRPr="00962729">
        <w:rPr>
          <w:szCs w:val="22"/>
        </w:rPr>
        <w:t xml:space="preserve">ОВН продолжает поддерживать ВОИС в укреплении контроля, подотчетности, прозрачности и обучения посредством </w:t>
      </w:r>
      <w:r w:rsidR="002A3C57" w:rsidRPr="00962729">
        <w:rPr>
          <w:szCs w:val="22"/>
        </w:rPr>
        <w:t>внедрения</w:t>
      </w:r>
      <w:r w:rsidRPr="00962729">
        <w:rPr>
          <w:szCs w:val="22"/>
        </w:rPr>
        <w:t xml:space="preserve"> инновационных и соответствующих своей цели инструментов и практик, которые помогают ВОИС, среди прочего, двигаться в сторону обеспечения высочайших стандартов в области управления рисками и реализации программ.</w:t>
      </w:r>
    </w:p>
    <w:p w:rsidR="007B77FF" w:rsidRPr="00962729" w:rsidRDefault="007B77FF" w:rsidP="00A1090F">
      <w:pPr>
        <w:pStyle w:val="ONUME"/>
        <w:numPr>
          <w:ilvl w:val="0"/>
          <w:numId w:val="17"/>
        </w:numPr>
        <w:jc w:val="both"/>
        <w:rPr>
          <w:szCs w:val="22"/>
        </w:rPr>
      </w:pPr>
      <w:r w:rsidRPr="00962729">
        <w:rPr>
          <w:szCs w:val="22"/>
        </w:rPr>
        <w:t>В 2018 г</w:t>
      </w:r>
      <w:r w:rsidR="00430371" w:rsidRPr="00962729">
        <w:rPr>
          <w:szCs w:val="22"/>
        </w:rPr>
        <w:t>.</w:t>
      </w:r>
      <w:r w:rsidRPr="00962729">
        <w:rPr>
          <w:szCs w:val="22"/>
        </w:rPr>
        <w:t xml:space="preserve"> были внесены изменения в Устав внутреннего надзора</w:t>
      </w:r>
      <w:r w:rsidR="002A3C57" w:rsidRPr="00962729">
        <w:rPr>
          <w:szCs w:val="22"/>
        </w:rPr>
        <w:t>:</w:t>
      </w:r>
      <w:r w:rsidRPr="00962729">
        <w:rPr>
          <w:szCs w:val="22"/>
        </w:rPr>
        <w:t xml:space="preserve"> в него была включена конкретная информация об условиях предоставления консультативно-информационных услуг.</w:t>
      </w:r>
      <w:r w:rsidR="00A1090F" w:rsidRPr="00962729">
        <w:rPr>
          <w:szCs w:val="22"/>
        </w:rPr>
        <w:t xml:space="preserve"> </w:t>
      </w:r>
      <w:r w:rsidRPr="00962729">
        <w:rPr>
          <w:szCs w:val="22"/>
        </w:rPr>
        <w:t>Это уточнение позволяет обеспечить, чтобы основами работы ОВН оставались независимость и отсутствие конфликта интересов.</w:t>
      </w:r>
      <w:r w:rsidR="00A1090F" w:rsidRPr="00962729">
        <w:rPr>
          <w:szCs w:val="22"/>
        </w:rPr>
        <w:t xml:space="preserve"> </w:t>
      </w:r>
    </w:p>
    <w:p w:rsidR="007B77FF" w:rsidRPr="00962729" w:rsidRDefault="007B77FF" w:rsidP="00A1090F">
      <w:pPr>
        <w:pStyle w:val="ONUME"/>
        <w:numPr>
          <w:ilvl w:val="0"/>
          <w:numId w:val="17"/>
        </w:numPr>
        <w:jc w:val="both"/>
        <w:rPr>
          <w:szCs w:val="22"/>
        </w:rPr>
      </w:pPr>
      <w:r w:rsidRPr="00962729">
        <w:rPr>
          <w:szCs w:val="22"/>
        </w:rPr>
        <w:t xml:space="preserve">Инструментарий ОВН постоянно расширяется за счет различных технологий: продолжающееся использование систем управления аудитом способствует безбумажному документообороту и интеграции рабочих процессов; использование организационных панелей информационно-аналитического обеспечения (ИАО) позволяет делать управление рекомендациями более информированным; расширение инструментов анализа данных обеспечивает поддержку внутренних механизмов контроля и управления рисками; использование инфографики позволяет оптимизировать отчеты об оценке. ОВН осуществлял сотрудничество с Департаментом информационно-коммуникационных технологий и Отделом закупок и поездок в целях организации обучения по новому инструменту визуализации данных Tableau®, который призван повысить эффективность аналитической работы с данными по всем трем программам. </w:t>
      </w:r>
    </w:p>
    <w:p w:rsidR="007B77FF" w:rsidRPr="00354CBE" w:rsidRDefault="007B77FF" w:rsidP="00A1090F">
      <w:pPr>
        <w:pStyle w:val="ONUME"/>
        <w:numPr>
          <w:ilvl w:val="0"/>
          <w:numId w:val="17"/>
        </w:numPr>
        <w:jc w:val="both"/>
      </w:pPr>
      <w:r w:rsidRPr="00962729">
        <w:rPr>
          <w:szCs w:val="22"/>
        </w:rPr>
        <w:t>Силами Организации была разработана Система управления делами (СУД), и в начале 2019 г. она была внедрена в Секции расследований ОВН.</w:t>
      </w:r>
      <w:r w:rsidR="00A1090F" w:rsidRPr="00962729">
        <w:rPr>
          <w:szCs w:val="22"/>
        </w:rPr>
        <w:t xml:space="preserve"> </w:t>
      </w:r>
      <w:r w:rsidRPr="00962729">
        <w:rPr>
          <w:szCs w:val="22"/>
        </w:rPr>
        <w:t>Цель СУД заключается в том, чтобы служить хранилищем для всех записей и документов, связанных с расследованиями.</w:t>
      </w:r>
      <w:r w:rsidR="00A1090F" w:rsidRPr="00962729">
        <w:rPr>
          <w:szCs w:val="22"/>
        </w:rPr>
        <w:t xml:space="preserve"> </w:t>
      </w:r>
      <w:r w:rsidRPr="00962729">
        <w:rPr>
          <w:szCs w:val="22"/>
        </w:rPr>
        <w:t>Эта система позволяет вести учет всех следственных мероприятий и способствует доступу к документам и доказательствам по каждому отдельному расследованию.</w:t>
      </w:r>
      <w:r w:rsidR="00A1090F" w:rsidRPr="00962729">
        <w:rPr>
          <w:szCs w:val="22"/>
        </w:rPr>
        <w:t xml:space="preserve"> </w:t>
      </w:r>
      <w:r w:rsidRPr="00962729">
        <w:rPr>
          <w:szCs w:val="22"/>
        </w:rPr>
        <w:t>В СУД</w:t>
      </w:r>
      <w:r>
        <w:t xml:space="preserve"> также предусмотрен встроенный механизм контроля за своевременностью проведения следственных действий и соблюдением процедур, а также модуль отчетности о проделанной работе.</w:t>
      </w:r>
    </w:p>
    <w:p w:rsidR="007B77FF" w:rsidRPr="00354CBE" w:rsidRDefault="007B77FF" w:rsidP="00A1090F">
      <w:pPr>
        <w:pStyle w:val="ONUME"/>
        <w:numPr>
          <w:ilvl w:val="0"/>
          <w:numId w:val="17"/>
        </w:numPr>
        <w:jc w:val="both"/>
      </w:pPr>
      <w:r>
        <w:lastRenderedPageBreak/>
        <w:t>ОВН намерен поощрять обучение на рабочем месте посредством разработки онлайнового модуля для изучения того, как использовать оценки в качестве части управленческого цикла.</w:t>
      </w:r>
      <w:r w:rsidR="00A1090F">
        <w:t xml:space="preserve"> </w:t>
      </w:r>
      <w:r>
        <w:t>Отдел расширяет свою роль в борьбе с мошенничеством и злоупотреблениями путем проведения проактивных и профилактических мероприятий, включая участие в оценке рисков мошенничества, и разработки совместно с Бюро Контролера учебного модуля по повышению осведомленности о мошенничестве.</w:t>
      </w:r>
    </w:p>
    <w:p w:rsidR="00235A93" w:rsidRDefault="007B77FF" w:rsidP="00A1090F">
      <w:pPr>
        <w:pStyle w:val="ONUME"/>
        <w:numPr>
          <w:ilvl w:val="0"/>
          <w:numId w:val="17"/>
        </w:numPr>
        <w:jc w:val="both"/>
      </w:pPr>
      <w:r>
        <w:t>ОВН инициировал проведение совместных мероприятий секциями аудита и оценки с целью, в частности, использования потенциала для согласования усили</w:t>
      </w:r>
      <w:r w:rsidR="002A3C57">
        <w:t>й</w:t>
      </w:r>
      <w:r>
        <w:t>, избежания дублирования работы и повышения эффективности.</w:t>
      </w:r>
      <w:r w:rsidR="00A1090F">
        <w:t xml:space="preserve"> </w:t>
      </w:r>
      <w:r>
        <w:t xml:space="preserve">Проводимая в настоящее время совместная аудиторская проверка и оценка Политики ВОИС в области гендерного равенства является пилотным проектом. </w:t>
      </w:r>
    </w:p>
    <w:p w:rsidR="007B77FF" w:rsidRPr="00920B7F" w:rsidRDefault="007B77FF" w:rsidP="00A1090F">
      <w:pPr>
        <w:pStyle w:val="ONUME"/>
        <w:numPr>
          <w:ilvl w:val="0"/>
          <w:numId w:val="17"/>
        </w:numPr>
        <w:jc w:val="both"/>
      </w:pPr>
      <w:r>
        <w:t xml:space="preserve">В рамках обеспечения контроля качества функции оценки в настоящее время проводится Внешняя оценка качества (ВОК). Основное внимание в ходе оценки уделяется сопоставлению деятельности и продуктов Секции оценки со стандартами в области оценки Группы Организации Объединенных Наций по оценке. В 2020 г. ВОК будет проводиться в отношении функций внутренней ревизии и расследований. </w:t>
      </w:r>
    </w:p>
    <w:p w:rsidR="00186810" w:rsidRPr="00962729" w:rsidRDefault="00186810" w:rsidP="00484233">
      <w:pPr>
        <w:pStyle w:val="Heading1"/>
      </w:pPr>
      <w:bookmarkStart w:id="19" w:name="_Toc11683738"/>
      <w:r w:rsidRPr="00962729">
        <w:t>ПРИНЦИПЫ ПЛАНИРОВАНИЯ</w:t>
      </w:r>
      <w:bookmarkEnd w:id="16"/>
      <w:bookmarkEnd w:id="17"/>
      <w:bookmarkEnd w:id="19"/>
    </w:p>
    <w:p w:rsidR="00186810" w:rsidRPr="00E32ADE" w:rsidRDefault="00186810" w:rsidP="00A1090F">
      <w:pPr>
        <w:pStyle w:val="ONUME"/>
        <w:numPr>
          <w:ilvl w:val="0"/>
          <w:numId w:val="17"/>
        </w:numPr>
        <w:jc w:val="both"/>
      </w:pPr>
      <w:r w:rsidRPr="00962729">
        <w:rPr>
          <w:szCs w:val="22"/>
        </w:rPr>
        <w:t>При подгот</w:t>
      </w:r>
      <w:r>
        <w:t>овке своего плана работы в области надзора ОВН учитывал ряд факторов, включая оценку рисков, их значимость, последствия для стран, цикличность надзорной деятельности и замечания, поступившие от руководства ВОИС и государств-членов, а также объем имеющихся ресурсов.</w:t>
      </w:r>
      <w:r w:rsidR="00A1090F">
        <w:t xml:space="preserve"> </w:t>
      </w:r>
      <w:r>
        <w:t>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w:t>
      </w:r>
      <w:r w:rsidR="00430371">
        <w:t> </w:t>
      </w:r>
      <w:r>
        <w:t>28(а) УВН.</w:t>
      </w:r>
    </w:p>
    <w:p w:rsidR="00186810" w:rsidRPr="00E32ADE" w:rsidRDefault="00186810" w:rsidP="00A1090F">
      <w:pPr>
        <w:pStyle w:val="ONUME"/>
        <w:numPr>
          <w:ilvl w:val="0"/>
          <w:numId w:val="17"/>
        </w:numPr>
        <w:jc w:val="both"/>
      </w:pPr>
      <w:r>
        <w:t>Чтобы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 (ОИГ), и результаты оценок, проведенных по поручению Комитета по развитию и интеллектуальной собственности (КРИС).</w:t>
      </w:r>
      <w:r w:rsidR="00A1090F">
        <w:t xml:space="preserve"> </w:t>
      </w:r>
    </w:p>
    <w:p w:rsidR="00186810" w:rsidRDefault="00186810" w:rsidP="00A1090F">
      <w:pPr>
        <w:pStyle w:val="ONUME"/>
        <w:numPr>
          <w:ilvl w:val="0"/>
          <w:numId w:val="17"/>
        </w:numPr>
        <w:jc w:val="both"/>
      </w:pPr>
      <w:r>
        <w:t>План надзорной деятельности на 2019 г. был направлен всем руководителям программ и размещен в сети ВОИС Интранет для ознакомления всеми сотрудниками Организации.</w:t>
      </w:r>
      <w:r w:rsidR="00A1090F">
        <w:t xml:space="preserve"> </w:t>
      </w:r>
      <w:r>
        <w:t>План надзорной деятельности за 2018 г. был выполнен в срок и с соблюдением бюджета.</w:t>
      </w:r>
      <w:r w:rsidR="00A1090F">
        <w:t xml:space="preserve"> </w:t>
      </w:r>
    </w:p>
    <w:p w:rsidR="00186810" w:rsidRPr="00962729" w:rsidRDefault="00186810" w:rsidP="00484233">
      <w:pPr>
        <w:pStyle w:val="Heading1"/>
      </w:pPr>
      <w:bookmarkStart w:id="20" w:name="_Toc420663567"/>
      <w:bookmarkStart w:id="21" w:name="_Toc11683739"/>
      <w:r w:rsidRPr="00962729">
        <w:t>ПРОФЕССИОНАЛЬНЫЕ СТАНДАРТЫ</w:t>
      </w:r>
      <w:bookmarkEnd w:id="20"/>
      <w:bookmarkEnd w:id="21"/>
    </w:p>
    <w:p w:rsidR="00186810" w:rsidRDefault="00186810" w:rsidP="00A1090F">
      <w:pPr>
        <w:pStyle w:val="ONUME"/>
        <w:numPr>
          <w:ilvl w:val="0"/>
          <w:numId w:val="17"/>
        </w:numPr>
        <w:jc w:val="both"/>
      </w:pPr>
      <w:r w:rsidRPr="00962729">
        <w:rPr>
          <w:szCs w:val="22"/>
        </w:rPr>
        <w:t>При проведении</w:t>
      </w:r>
      <w:r>
        <w:t xml:space="preserve"> аудита ОВН руководствуется принципами международной профессиональной практики (ПМПП), опубликованными Институтом внутренних аудиторов (ИВА).</w:t>
      </w:r>
      <w:r w:rsidR="00A1090F">
        <w:t xml:space="preserve"> </w:t>
      </w:r>
      <w:r>
        <w:t>Аналогичным образом, следственная работа ОВН проводится в соответствии с Едиными принципами и руководящими указаниями в отношении проведения расследований, одобренными Конференцией международных следователей (КМС).</w:t>
      </w:r>
      <w:r w:rsidR="00A1090F">
        <w:t xml:space="preserve"> </w:t>
      </w:r>
      <w:r>
        <w:t>При проведении оценки ОВН опирается на международные стандарты оценочной практики, установленные Группой ООН по оценке (ЮНЕГ).</w:t>
      </w:r>
    </w:p>
    <w:p w:rsidR="00186810" w:rsidRPr="00962729" w:rsidRDefault="00186810" w:rsidP="00484233">
      <w:pPr>
        <w:pStyle w:val="Heading1"/>
      </w:pPr>
      <w:bookmarkStart w:id="22" w:name="_Toc420663568"/>
      <w:bookmarkStart w:id="23" w:name="_Toc11683740"/>
      <w:r w:rsidRPr="00962729">
        <w:t>ВАЖНЫЕ ВОПРОСЫ И ПРИОРИТЕТНЫЕ РЕКОМЕНДАЦИИ ПО ИТОГАМ НАДЗОРА</w:t>
      </w:r>
      <w:bookmarkEnd w:id="22"/>
      <w:bookmarkEnd w:id="23"/>
    </w:p>
    <w:p w:rsidR="00186810" w:rsidRPr="00F812A1" w:rsidRDefault="00186810" w:rsidP="00A1090F">
      <w:pPr>
        <w:pStyle w:val="ONUME"/>
        <w:numPr>
          <w:ilvl w:val="0"/>
          <w:numId w:val="17"/>
        </w:numPr>
        <w:jc w:val="both"/>
      </w:pPr>
      <w:r w:rsidRPr="00962729">
        <w:rPr>
          <w:szCs w:val="22"/>
        </w:rPr>
        <w:t>В настоящем разделе приводится информация об основных выводах и рекомендациях</w:t>
      </w:r>
      <w:r>
        <w:t xml:space="preserve"> по устранению высокоприоритетных рисков, которые были </w:t>
      </w:r>
      <w:r>
        <w:lastRenderedPageBreak/>
        <w:t>сформулированы в отчетах о внутреннем надзоре (отчетах об аудиторских проверках, оценках и результатах расследования для руководства (ОРРР)), опубликованных в отчетный период.</w:t>
      </w:r>
    </w:p>
    <w:p w:rsidR="00853893" w:rsidRPr="00F812A1" w:rsidRDefault="00186810" w:rsidP="00A1090F">
      <w:pPr>
        <w:pStyle w:val="ONUME"/>
        <w:numPr>
          <w:ilvl w:val="0"/>
          <w:numId w:val="17"/>
        </w:numPr>
        <w:jc w:val="both"/>
      </w:pPr>
      <w:r>
        <w:t>Основные выводы и рекомендации касаются следующих отчетов, выпущенных в отчетный период</w:t>
      </w:r>
      <w:r w:rsidRPr="00E04B15">
        <w:rPr>
          <w:rStyle w:val="FootnoteReference"/>
        </w:rPr>
        <w:footnoteReference w:id="3"/>
      </w:r>
      <w:r>
        <w:t xml:space="preserve">: </w:t>
      </w:r>
    </w:p>
    <w:p w:rsidR="00186810" w:rsidRDefault="00853893" w:rsidP="00A1090F">
      <w:pPr>
        <w:pStyle w:val="ONUME"/>
        <w:numPr>
          <w:ilvl w:val="1"/>
          <w:numId w:val="17"/>
        </w:numPr>
        <w:jc w:val="both"/>
      </w:pPr>
      <w:r>
        <w:t>Аудиторская проверка систем обеспечения безопасности физического доступа;</w:t>
      </w:r>
      <w:r w:rsidR="00A1090F">
        <w:t xml:space="preserve"> </w:t>
      </w:r>
    </w:p>
    <w:p w:rsidR="00186810" w:rsidRDefault="00853893" w:rsidP="00A1090F">
      <w:pPr>
        <w:pStyle w:val="ONUME"/>
        <w:numPr>
          <w:ilvl w:val="1"/>
          <w:numId w:val="17"/>
        </w:numPr>
        <w:jc w:val="both"/>
      </w:pPr>
      <w:r>
        <w:t>Аудиторская проверка портфеля проектов в области планирования общеорганизационных ресурсов (ПОР);</w:t>
      </w:r>
    </w:p>
    <w:p w:rsidR="00853893" w:rsidRDefault="00853893" w:rsidP="00A1090F">
      <w:pPr>
        <w:pStyle w:val="ONUME"/>
        <w:numPr>
          <w:ilvl w:val="1"/>
          <w:numId w:val="17"/>
        </w:numPr>
        <w:jc w:val="both"/>
      </w:pPr>
      <w:r>
        <w:t>Аудиторская проверка целевых фондов (ЦФ), управляемых ВОИС;</w:t>
      </w:r>
      <w:r w:rsidR="00A1090F">
        <w:t xml:space="preserve"> </w:t>
      </w:r>
    </w:p>
    <w:p w:rsidR="00853893" w:rsidRDefault="00853893" w:rsidP="00A1090F">
      <w:pPr>
        <w:pStyle w:val="ONUME"/>
        <w:numPr>
          <w:ilvl w:val="1"/>
          <w:numId w:val="17"/>
        </w:numPr>
        <w:jc w:val="both"/>
      </w:pPr>
      <w:r>
        <w:t>Аудиторская проверка Стратегии целостности информации ВОИС;</w:t>
      </w:r>
      <w:r w:rsidR="00A1090F">
        <w:t xml:space="preserve"> </w:t>
      </w:r>
    </w:p>
    <w:p w:rsidR="00853893" w:rsidRDefault="00853893" w:rsidP="00A1090F">
      <w:pPr>
        <w:pStyle w:val="ONUME"/>
        <w:numPr>
          <w:ilvl w:val="1"/>
          <w:numId w:val="17"/>
        </w:numPr>
        <w:jc w:val="both"/>
      </w:pPr>
      <w:r>
        <w:t>Аудиторская проверка пилотного проекта PCT в области сальдирования пошлин;</w:t>
      </w:r>
      <w:r w:rsidR="00A1090F">
        <w:t xml:space="preserve"> </w:t>
      </w:r>
    </w:p>
    <w:p w:rsidR="00186810" w:rsidRDefault="00E97ACC" w:rsidP="00A1090F">
      <w:pPr>
        <w:pStyle w:val="ONUME"/>
        <w:numPr>
          <w:ilvl w:val="1"/>
          <w:numId w:val="17"/>
        </w:numPr>
        <w:jc w:val="both"/>
      </w:pPr>
      <w:r>
        <w:t>Оценка пилотной программы содействия карьерному и профессиональному росту (этап 2);</w:t>
      </w:r>
      <w:r w:rsidR="00A1090F">
        <w:t xml:space="preserve"> </w:t>
      </w:r>
    </w:p>
    <w:p w:rsidR="00E97ACC" w:rsidRDefault="00E97ACC" w:rsidP="00A1090F">
      <w:pPr>
        <w:pStyle w:val="ONUME"/>
        <w:numPr>
          <w:ilvl w:val="1"/>
          <w:numId w:val="17"/>
        </w:numPr>
        <w:jc w:val="both"/>
      </w:pPr>
      <w:r>
        <w:t>Обобщающий доклад о мета-оценке продуктов ВОИС, связанных с оценкой;</w:t>
      </w:r>
      <w:r w:rsidR="00A1090F">
        <w:t xml:space="preserve"> </w:t>
      </w:r>
    </w:p>
    <w:p w:rsidR="00E14AEB" w:rsidRDefault="00E97ACC" w:rsidP="00A1090F">
      <w:pPr>
        <w:pStyle w:val="ONUME"/>
        <w:numPr>
          <w:ilvl w:val="1"/>
          <w:numId w:val="17"/>
        </w:numPr>
        <w:jc w:val="both"/>
      </w:pPr>
      <w:r>
        <w:t>Оценка деятельности Регионального бюро для Азиатско-Тихоокеанского региона;</w:t>
      </w:r>
    </w:p>
    <w:p w:rsidR="00361E76" w:rsidRDefault="00E97ACC" w:rsidP="00A1090F">
      <w:pPr>
        <w:pStyle w:val="ONUME"/>
        <w:numPr>
          <w:ilvl w:val="1"/>
          <w:numId w:val="17"/>
        </w:numPr>
        <w:jc w:val="both"/>
      </w:pPr>
      <w:r>
        <w:t>ОРРР по изменениям ex officio в Мадридском реестре;</w:t>
      </w:r>
      <w:r w:rsidR="003461FE">
        <w:t xml:space="preserve">  и</w:t>
      </w:r>
      <w:r>
        <w:t xml:space="preserve"> </w:t>
      </w:r>
    </w:p>
    <w:p w:rsidR="00361E76" w:rsidRDefault="00361E76" w:rsidP="00A1090F">
      <w:pPr>
        <w:pStyle w:val="ONUME"/>
        <w:numPr>
          <w:ilvl w:val="1"/>
          <w:numId w:val="17"/>
        </w:numPr>
        <w:jc w:val="both"/>
      </w:pPr>
      <w:r>
        <w:t>ОРРР по системам управления запросами клиентов</w:t>
      </w:r>
      <w:r w:rsidR="003461FE">
        <w:t xml:space="preserve"> (проект, выпущенный для получения замечаний)</w:t>
      </w:r>
      <w:r>
        <w:t>.</w:t>
      </w:r>
    </w:p>
    <w:p w:rsidR="00186810" w:rsidRDefault="00186810" w:rsidP="00A1090F">
      <w:pPr>
        <w:pStyle w:val="ONUME"/>
        <w:numPr>
          <w:ilvl w:val="0"/>
          <w:numId w:val="17"/>
        </w:numPr>
        <w:jc w:val="both"/>
      </w:pPr>
      <w:r>
        <w:t>ОВН продолжает вести диалог с руководством на предмет регулярного обзора и обновления данных о ходе осуществления невыполненных рекомендаций.</w:t>
      </w:r>
      <w:r w:rsidR="00A1090F">
        <w:t xml:space="preserve"> </w:t>
      </w:r>
      <w:r>
        <w:t>Работа по выполнению всех рекомендаций ведется руководством в рамках плана действий, в котором указаны предлагаемые мероприятия, лица, ответственные за их выполнение, и сроки реализации.</w:t>
      </w:r>
      <w:r w:rsidR="00A1090F">
        <w:t xml:space="preserve"> </w:t>
      </w:r>
      <w:r>
        <w:t>Надзорные рекомендации отражены в системе TeamCentral©</w:t>
      </w:r>
      <w:r w:rsidR="00A10656" w:rsidRPr="00A10656">
        <w:rPr>
          <w:vertAlign w:val="superscript"/>
          <w:lang w:val="en-US"/>
        </w:rPr>
        <w:footnoteReference w:id="4"/>
      </w:r>
      <w:r>
        <w:t>, доступ к которой имеют сотрудники ОВН, руководство ВОИС и внешние аудиторы.</w:t>
      </w:r>
      <w:r w:rsidR="00A1090F">
        <w:t xml:space="preserve"> </w:t>
      </w:r>
    </w:p>
    <w:p w:rsidR="00186810" w:rsidRPr="00962729" w:rsidRDefault="00390574" w:rsidP="00962729">
      <w:pPr>
        <w:pStyle w:val="Heading2"/>
        <w:rPr>
          <w:szCs w:val="20"/>
        </w:rPr>
      </w:pPr>
      <w:bookmarkStart w:id="24" w:name="_Toc466452885"/>
      <w:bookmarkStart w:id="25" w:name="_Toc476745977"/>
      <w:r w:rsidRPr="00962729">
        <w:t xml:space="preserve">Аудиторская проверка систем обеспечения безопасности физического доступа </w:t>
      </w:r>
      <w:bookmarkEnd w:id="24"/>
    </w:p>
    <w:p w:rsidR="00390574" w:rsidRDefault="00390574" w:rsidP="00A1090F">
      <w:pPr>
        <w:pStyle w:val="ONUME"/>
        <w:numPr>
          <w:ilvl w:val="0"/>
          <w:numId w:val="17"/>
        </w:numPr>
        <w:jc w:val="both"/>
      </w:pPr>
      <w:r>
        <w:t xml:space="preserve">Аудиторская проверка показала, что руководство и сотрудники предоставили подтверждение своей приверженности созданию, поддержанию и совершенствованию эффективных процессов управления системами обеспечения безопасности физического доступа, подкрепляемых надлежащей политикой, процедурами и практиками. </w:t>
      </w:r>
    </w:p>
    <w:p w:rsidR="00390574" w:rsidRDefault="00A87A93" w:rsidP="00A1090F">
      <w:pPr>
        <w:pStyle w:val="ONUME"/>
        <w:numPr>
          <w:ilvl w:val="0"/>
          <w:numId w:val="17"/>
        </w:numPr>
        <w:jc w:val="both"/>
      </w:pPr>
      <w:r>
        <w:t>Действуют</w:t>
      </w:r>
      <w:r w:rsidR="00390574">
        <w:t xml:space="preserve"> процессы для защиты систем обеспечения безопасности физического доступа и связанных с ними данных, а также для управления правами доступа.</w:t>
      </w:r>
      <w:r w:rsidR="00A1090F">
        <w:t xml:space="preserve"> </w:t>
      </w:r>
      <w:r w:rsidR="00390574">
        <w:t xml:space="preserve">Проведенные проверки показали, что журналы доступа содержат точную информацию, </w:t>
      </w:r>
      <w:r w:rsidR="00390574">
        <w:lastRenderedPageBreak/>
        <w:t xml:space="preserve">которая </w:t>
      </w:r>
      <w:r>
        <w:t>согласуется</w:t>
      </w:r>
      <w:r w:rsidR="00390574">
        <w:t xml:space="preserve"> с </w:t>
      </w:r>
      <w:r>
        <w:t xml:space="preserve">данными с других </w:t>
      </w:r>
      <w:r w:rsidR="00390574">
        <w:t>инструмент</w:t>
      </w:r>
      <w:r>
        <w:t>ов</w:t>
      </w:r>
      <w:r w:rsidR="00390574">
        <w:t xml:space="preserve"> физического доступа, таки</w:t>
      </w:r>
      <w:r>
        <w:t>х</w:t>
      </w:r>
      <w:r w:rsidR="00390574">
        <w:t xml:space="preserve"> как видеонаблюдение. </w:t>
      </w:r>
    </w:p>
    <w:p w:rsidR="00390574" w:rsidRDefault="00390574" w:rsidP="00A1090F">
      <w:pPr>
        <w:pStyle w:val="ONUME"/>
        <w:numPr>
          <w:ilvl w:val="0"/>
          <w:numId w:val="17"/>
        </w:numPr>
        <w:jc w:val="both"/>
      </w:pPr>
      <w:r>
        <w:t>Хотя некоторые рекомендации касались главным образом дальнейшего документирования существующих процессов и практики в целях совершенствования механизмов внутреннего контроля и управления, Отделу обеспечения безопасности и достоверности информации следует также принять надлежащие меры</w:t>
      </w:r>
      <w:r w:rsidR="001F019E">
        <w:t>, чтобы</w:t>
      </w:r>
      <w:r>
        <w:t xml:space="preserve">: </w:t>
      </w:r>
    </w:p>
    <w:p w:rsidR="00390574" w:rsidRPr="00390574" w:rsidRDefault="00390574" w:rsidP="00A1090F">
      <w:pPr>
        <w:pStyle w:val="ONUME"/>
        <w:numPr>
          <w:ilvl w:val="0"/>
          <w:numId w:val="8"/>
        </w:numPr>
        <w:jc w:val="both"/>
      </w:pPr>
      <w:r>
        <w:t>повысить эффективность своевременного анализа и оповещения о вредоносных соединениях, в частности, поручив поставщику услуг сетевого управления активировать контрольные точки, переключатели и журналы сервера в централизованной системе управления событиями информационной безопасности;</w:t>
      </w:r>
      <w:r w:rsidR="00A1090F">
        <w:t xml:space="preserve"> </w:t>
      </w:r>
    </w:p>
    <w:p w:rsidR="00390574" w:rsidRPr="00390574" w:rsidRDefault="00390574" w:rsidP="00A1090F">
      <w:pPr>
        <w:pStyle w:val="ONUME"/>
        <w:numPr>
          <w:ilvl w:val="0"/>
          <w:numId w:val="8"/>
        </w:numPr>
        <w:jc w:val="both"/>
      </w:pPr>
      <w:r>
        <w:t>обеспечить защиту информационных активов путем ведения и регулярного обновления номинативного реестра систем безопасности физического доступа в целях дальнейшего совершенствования существующих механизмов ведения реестра;</w:t>
      </w:r>
    </w:p>
    <w:p w:rsidR="00390574" w:rsidRPr="00390574" w:rsidRDefault="00390574" w:rsidP="00A1090F">
      <w:pPr>
        <w:pStyle w:val="ONUME"/>
        <w:numPr>
          <w:ilvl w:val="0"/>
          <w:numId w:val="8"/>
        </w:numPr>
        <w:jc w:val="both"/>
      </w:pPr>
      <w:r>
        <w:t xml:space="preserve">укрепить управление рисками и, в частности, рисками третьих сторон, связанными с осуществлением политики ВОИС в отношении поставщиков услуг; и </w:t>
      </w:r>
    </w:p>
    <w:p w:rsidR="00390574" w:rsidRPr="00390574" w:rsidRDefault="00390574" w:rsidP="00A1090F">
      <w:pPr>
        <w:pStyle w:val="ONUME"/>
        <w:numPr>
          <w:ilvl w:val="0"/>
          <w:numId w:val="8"/>
        </w:numPr>
        <w:jc w:val="both"/>
      </w:pPr>
      <w:r>
        <w:t xml:space="preserve">содействовать эффективному мониторингу, подотчетности и наглядности посредством совершенствования существующих шаблонов предоставления отчетности. </w:t>
      </w:r>
    </w:p>
    <w:bookmarkEnd w:id="25"/>
    <w:p w:rsidR="00186810" w:rsidRPr="008E6EC8" w:rsidRDefault="00186810" w:rsidP="00962729">
      <w:pPr>
        <w:pStyle w:val="Heading2"/>
        <w:rPr>
          <w:rStyle w:val="Heading2Char"/>
        </w:rPr>
      </w:pPr>
      <w:r>
        <w:t xml:space="preserve">Аудиторская проверка портфеля проектов в области планирования общеорганизационных ресурсов (ПОР) </w:t>
      </w:r>
    </w:p>
    <w:p w:rsidR="00390574" w:rsidRDefault="00390574" w:rsidP="00A1090F">
      <w:pPr>
        <w:pStyle w:val="ONUME"/>
        <w:numPr>
          <w:ilvl w:val="0"/>
          <w:numId w:val="17"/>
        </w:numPr>
        <w:jc w:val="both"/>
      </w:pPr>
      <w:bookmarkStart w:id="26" w:name="_Toc476745979"/>
      <w:r>
        <w:t>В ходе аудиторской проверки было установлено, что, хотя сроки завершения работы над портфелем ПОР неоднократно пересматривались, запланированная дата завершения (2015 г.) была изменена и официально работа была окончена в июле 2018</w:t>
      </w:r>
      <w:r w:rsidR="00430371">
        <w:t> </w:t>
      </w:r>
      <w:r>
        <w:t>г., ВОИС выполнила проекты в рамках общего бюджета в 25</w:t>
      </w:r>
      <w:r w:rsidR="00430371">
        <w:t> </w:t>
      </w:r>
      <w:r>
        <w:t>млн.</w:t>
      </w:r>
      <w:r w:rsidR="00430371">
        <w:t> </w:t>
      </w:r>
      <w:r>
        <w:t>шв.</w:t>
      </w:r>
      <w:r w:rsidR="00430371">
        <w:t> </w:t>
      </w:r>
      <w:r>
        <w:t>франков, который был утвержден государствами-членами в 2010</w:t>
      </w:r>
      <w:r w:rsidR="00430371">
        <w:t> </w:t>
      </w:r>
      <w:r>
        <w:t xml:space="preserve">г. </w:t>
      </w:r>
    </w:p>
    <w:p w:rsidR="00390574" w:rsidRDefault="00390574" w:rsidP="00A1090F">
      <w:pPr>
        <w:pStyle w:val="ONUME"/>
        <w:numPr>
          <w:ilvl w:val="0"/>
          <w:numId w:val="17"/>
        </w:numPr>
        <w:jc w:val="both"/>
      </w:pPr>
      <w:r>
        <w:t>План достижения положительных результатов в рамках портфеля ПОР содержит 132</w:t>
      </w:r>
      <w:r w:rsidR="00430371">
        <w:t> </w:t>
      </w:r>
      <w:r>
        <w:t>ожидаемых результата, 82</w:t>
      </w:r>
      <w:r w:rsidR="00430371">
        <w:t> </w:t>
      </w:r>
      <w:r>
        <w:t>процента из которых были достигнуты.</w:t>
      </w:r>
      <w:r w:rsidR="00A1090F">
        <w:t xml:space="preserve"> </w:t>
      </w:r>
      <w:r>
        <w:t>Вместе с тем есть возможности для извлечения дополнительных выгод из ПОР путем разработки механизма сотрудничества для содействия получени</w:t>
      </w:r>
      <w:r w:rsidR="001F019E">
        <w:t xml:space="preserve">ю </w:t>
      </w:r>
      <w:r>
        <w:t>в рабочих областях большей отдачи от рабочих решений ПОР и соответствующих процессов.</w:t>
      </w:r>
    </w:p>
    <w:p w:rsidR="00390574" w:rsidRDefault="00390574" w:rsidP="00A1090F">
      <w:pPr>
        <w:pStyle w:val="ONUME"/>
        <w:numPr>
          <w:ilvl w:val="0"/>
          <w:numId w:val="17"/>
        </w:numPr>
        <w:jc w:val="both"/>
      </w:pPr>
      <w:r>
        <w:t>Кроме того, по мере подготовки Организации к переходу на облачные решения Совет по осуществлению портфеля проектов СУАИ должен взять на себя ведущую роль в рассмотрении потенциальных последствий перехода, в частности, для системы ПОР и соответствующей организационной политики, положений, правил и практики в целях обеспечения, среди прочего, адаптируемости, согласованности и непрерывности оперативной деятельности.</w:t>
      </w:r>
    </w:p>
    <w:p w:rsidR="00390574" w:rsidRDefault="00390574" w:rsidP="00A1090F">
      <w:pPr>
        <w:pStyle w:val="ONUME"/>
        <w:numPr>
          <w:ilvl w:val="0"/>
          <w:numId w:val="17"/>
        </w:numPr>
        <w:jc w:val="both"/>
      </w:pPr>
      <w:r>
        <w:t>Кроме того, с точки зрения управления крупными проектами в области ИКТ в ВОИС было бы полезно создать внутренний процесс, в рамках которого с самого начала совместно с Международным вычислительным центром Организации Объединенных Наций были бы разработаны соглашения об оказании услуг и соответствующие учетные записи для заявок на обслуживание.</w:t>
      </w:r>
      <w:r w:rsidR="00A1090F">
        <w:t xml:space="preserve"> </w:t>
      </w:r>
      <w:r>
        <w:t>Это позволило бы более точно учитывать соответствующие расходы и не допускать проблем с согласованием, которые возникали в ходе внедрения портфеля ПОР.</w:t>
      </w:r>
    </w:p>
    <w:p w:rsidR="00390574" w:rsidRDefault="00390574" w:rsidP="00A1090F">
      <w:pPr>
        <w:pStyle w:val="ONUME"/>
        <w:numPr>
          <w:ilvl w:val="0"/>
          <w:numId w:val="17"/>
        </w:numPr>
        <w:jc w:val="both"/>
      </w:pPr>
      <w:r>
        <w:t xml:space="preserve">К числу выявленных возможностей по совершенствованию управления проектами относится разработка общей номенклатуры для классификации, регистрации и </w:t>
      </w:r>
      <w:r>
        <w:lastRenderedPageBreak/>
        <w:t>архивирования соответствующей проектной документации в рамках системы управления общеорганизационными информационными ресурсами в целях повышения точности, полноты и эффективности доступа к проектной документации и обмена ею.</w:t>
      </w:r>
    </w:p>
    <w:p w:rsidR="00390574" w:rsidRPr="00332FB9" w:rsidRDefault="00390574" w:rsidP="00A1090F">
      <w:pPr>
        <w:pStyle w:val="ONUME"/>
        <w:numPr>
          <w:ilvl w:val="0"/>
          <w:numId w:val="17"/>
        </w:numPr>
        <w:jc w:val="both"/>
      </w:pPr>
      <w:r>
        <w:t>Наконец, в рамках аудиторской проверки управления проектами в ВОИС</w:t>
      </w:r>
      <w:r w:rsidRPr="009A3A85">
        <w:rPr>
          <w:vertAlign w:val="superscript"/>
        </w:rPr>
        <w:footnoteReference w:id="5"/>
      </w:r>
      <w:r>
        <w:t xml:space="preserve"> (IA 2016-04), проведенной ОВН в 2016</w:t>
      </w:r>
      <w:r w:rsidR="00010A39">
        <w:t> </w:t>
      </w:r>
      <w:r>
        <w:t>г., были также определены и выделены в качестве системных некоторые вопросы, касающиеся эффективного и результативного управления проектами в рамках портфеля ПОР.</w:t>
      </w:r>
      <w:r w:rsidR="00A1090F">
        <w:t xml:space="preserve"> </w:t>
      </w:r>
      <w:r>
        <w:t>Решению этих вопросов могло бы способствовать выполнение оставшихся рекомендаций, содержащихся в докладе об управлении проектами.</w:t>
      </w:r>
    </w:p>
    <w:p w:rsidR="00186810" w:rsidRDefault="00186810" w:rsidP="00962729">
      <w:pPr>
        <w:pStyle w:val="Heading2"/>
      </w:pPr>
      <w:r>
        <w:t>Аудиторская проверка целевых фондов (ЦФ), управляемых ВОИС</w:t>
      </w:r>
    </w:p>
    <w:p w:rsidR="009A3A85" w:rsidRDefault="009A3A85" w:rsidP="00A1090F">
      <w:pPr>
        <w:pStyle w:val="ONUME"/>
        <w:numPr>
          <w:ilvl w:val="0"/>
          <w:numId w:val="17"/>
        </w:numPr>
        <w:jc w:val="both"/>
      </w:pPr>
      <w:r>
        <w:t>В ходе аудиторской проверки был выявлен ряд позитивных изменений в области управления и административного руководства целевыми фондами.</w:t>
      </w:r>
      <w:r w:rsidR="00A1090F">
        <w:t xml:space="preserve"> </w:t>
      </w:r>
      <w:r>
        <w:t>Например, в целом отмечается высокий уровень соблюдения Финансовых положений и правил ВОИС, положений соответствующих меморандумов о взаимопонимании и других механизмов внутреннего контроля, связанных с административной деятельностью.</w:t>
      </w:r>
    </w:p>
    <w:p w:rsidR="009A3A85" w:rsidRPr="00155884" w:rsidRDefault="009A3A85" w:rsidP="00A1090F">
      <w:pPr>
        <w:pStyle w:val="ONUME"/>
        <w:numPr>
          <w:ilvl w:val="0"/>
          <w:numId w:val="17"/>
        </w:numPr>
        <w:jc w:val="both"/>
      </w:pPr>
      <w:r>
        <w:t>Однако ОВН отмечает, что у Организации имеются возможности для укрепления управления ЦФ.</w:t>
      </w:r>
      <w:r w:rsidR="00A1090F">
        <w:t xml:space="preserve"> </w:t>
      </w:r>
      <w:r>
        <w:t>В частности, соответствующим внутренним заинтересованным сторонам следует сотрудничать с донорами в целях постепенного приведения в соответствие нынешних вспомогательных расходов по ряду ЦФ со ставкой, установленной в Политике ВОИС в области управления добровольными взносами.</w:t>
      </w:r>
      <w:r w:rsidR="00A1090F">
        <w:t xml:space="preserve"> </w:t>
      </w:r>
      <w:r>
        <w:t>Это позволит обеспечить соблюдение Организацией своей политики.</w:t>
      </w:r>
    </w:p>
    <w:p w:rsidR="009A3A85" w:rsidRDefault="009A3A85" w:rsidP="00A1090F">
      <w:pPr>
        <w:pStyle w:val="ONUME"/>
        <w:numPr>
          <w:ilvl w:val="0"/>
          <w:numId w:val="17"/>
        </w:numPr>
        <w:jc w:val="both"/>
      </w:pPr>
      <w:r>
        <w:t xml:space="preserve">Кроме того, следует продолжать укрепление процесса управления рисками в ЦФ посредством совместной работы заинтересованных сторон при поддержке Бюро Контролера в целях обеспечения своевременного выявления рисков и разработки соответствующих стратегий их снижения. </w:t>
      </w:r>
    </w:p>
    <w:p w:rsidR="009A3A85" w:rsidRPr="009C4F9C" w:rsidRDefault="009A3A85" w:rsidP="00A1090F">
      <w:pPr>
        <w:pStyle w:val="ONUME"/>
        <w:numPr>
          <w:ilvl w:val="0"/>
          <w:numId w:val="17"/>
        </w:numPr>
        <w:jc w:val="both"/>
        <w:rPr>
          <w:szCs w:val="22"/>
        </w:rPr>
      </w:pPr>
      <w:r>
        <w:t>ОВН отмечает, что Организации следует принять своевременные и надлежащие меры по улучшению текущего состояния одного целевого фонда, в рамках которого на протяжении почти десяти лет не проводится никаких финансовых или программных мероприятий.</w:t>
      </w:r>
      <w:r w:rsidR="00A1090F">
        <w:t xml:space="preserve"> </w:t>
      </w:r>
      <w:r>
        <w:t>Решение этого вопроса посредством возобновления работы этого ЦФ или его закрытия позволит ВОИС обеспечить соблюдение своей политики.</w:t>
      </w:r>
    </w:p>
    <w:p w:rsidR="009A3A85" w:rsidRPr="00B41FBE" w:rsidRDefault="009A3A85" w:rsidP="00A1090F">
      <w:pPr>
        <w:pStyle w:val="ONUME"/>
        <w:numPr>
          <w:ilvl w:val="0"/>
          <w:numId w:val="17"/>
        </w:numPr>
        <w:jc w:val="both"/>
      </w:pPr>
      <w:r>
        <w:t xml:space="preserve">Кроме того, ВОИС следует оценить необходимость и значимость проведения оценок после завершения работы целевых фондов и их закрытия, включая приведение в соответствие с существующей практикой соответствующих положений Политики управления добровольными взносами. </w:t>
      </w:r>
    </w:p>
    <w:p w:rsidR="009A3A85" w:rsidRPr="00137CF1" w:rsidRDefault="009A3A85" w:rsidP="00A1090F">
      <w:pPr>
        <w:pStyle w:val="ONUME"/>
        <w:numPr>
          <w:ilvl w:val="0"/>
          <w:numId w:val="17"/>
        </w:numPr>
        <w:jc w:val="both"/>
      </w:pPr>
      <w:r>
        <w:t xml:space="preserve">Наконец, в целях дальнейшей поддержки усилий Организации по учету гендерной проблематики в своей работе необходимо включить в план работы ЦФ гендерные аспекты и подходы и учитывать их при проведении деятельности в рамках ЦФ и представлении соответствующей отчетности. </w:t>
      </w:r>
    </w:p>
    <w:p w:rsidR="00186810" w:rsidRDefault="00186810" w:rsidP="00962729">
      <w:pPr>
        <w:pStyle w:val="Heading2"/>
      </w:pPr>
      <w:r>
        <w:t>Аудиторская проверка Стратегии целостности информации ВОИС</w:t>
      </w:r>
    </w:p>
    <w:p w:rsidR="00F918CE" w:rsidRDefault="00F918CE" w:rsidP="00A1090F">
      <w:pPr>
        <w:pStyle w:val="ONUME"/>
        <w:numPr>
          <w:ilvl w:val="0"/>
          <w:numId w:val="17"/>
        </w:numPr>
        <w:jc w:val="both"/>
      </w:pPr>
      <w:r>
        <w:t>ОВН отмечает, что заинтересованные стороны, опрошенные в ходе аудиторской проверки, считают, что различные проекты, определенные в рамках Стратегии целостности информации, соответствуют поставленной цели.</w:t>
      </w:r>
      <w:r w:rsidR="00A1090F">
        <w:t xml:space="preserve"> </w:t>
      </w:r>
      <w:r>
        <w:t>Хотя в ходе разработки Стратегии целостности информации в 2015</w:t>
      </w:r>
      <w:r w:rsidR="00430371">
        <w:t> </w:t>
      </w:r>
      <w:r>
        <w:t xml:space="preserve">г. Организация не приняла решения о переводе своей ИТ-инфраструктуры, платформ и программного обеспечения на облачные </w:t>
      </w:r>
      <w:r w:rsidR="007736CE">
        <w:t>решения</w:t>
      </w:r>
      <w:r>
        <w:t xml:space="preserve">, ОВН отмечает, что эта стратегия была разработана с учетом изменений в </w:t>
      </w:r>
      <w:r>
        <w:lastRenderedPageBreak/>
        <w:t xml:space="preserve">технологиях и соответствующих мерах защиты данных, </w:t>
      </w:r>
      <w:r w:rsidR="007736CE">
        <w:t>включая</w:t>
      </w:r>
      <w:r>
        <w:t xml:space="preserve"> использование облачных сервисов.</w:t>
      </w:r>
      <w:r w:rsidR="00A1090F">
        <w:t xml:space="preserve"> </w:t>
      </w:r>
    </w:p>
    <w:p w:rsidR="00F918CE" w:rsidRDefault="00F918CE" w:rsidP="00A1090F">
      <w:pPr>
        <w:pStyle w:val="ONUME"/>
        <w:numPr>
          <w:ilvl w:val="0"/>
          <w:numId w:val="17"/>
        </w:numPr>
        <w:jc w:val="both"/>
      </w:pPr>
      <w:r>
        <w:t>Согласование Стратегии целостности информации с будущей Политикой защиты данных, работа над которой пока не завершена, позволит еще больше расширить охват этой Стратегии в плане управления инцидентами в области целостности информации и выполнения соответствующих обязательств перед клиентами ВОИС.</w:t>
      </w:r>
    </w:p>
    <w:p w:rsidR="00F918CE" w:rsidRDefault="00F918CE" w:rsidP="00A1090F">
      <w:pPr>
        <w:pStyle w:val="ONUME"/>
        <w:numPr>
          <w:ilvl w:val="0"/>
          <w:numId w:val="17"/>
        </w:numPr>
        <w:jc w:val="both"/>
      </w:pPr>
      <w:r>
        <w:t xml:space="preserve">Шкала зрелости в области обеспечения целостности информации, разработанная Отделом обеспечения безопасности и достоверности информации (ОБДИ), может быть доработана путем уточнения определений компонентов этой шкалы и дальнейшего формулирования соответствующих критериев и параметров. </w:t>
      </w:r>
    </w:p>
    <w:p w:rsidR="00F918CE" w:rsidRDefault="00F918CE" w:rsidP="00A1090F">
      <w:pPr>
        <w:pStyle w:val="ONUME"/>
        <w:numPr>
          <w:ilvl w:val="0"/>
          <w:numId w:val="17"/>
        </w:numPr>
        <w:jc w:val="both"/>
      </w:pPr>
      <w:r>
        <w:t>В Стратегии ВОИС по обеспечению целостности информации в качестве одной из ключевых технологических тенденций и одного из основных рисков был</w:t>
      </w:r>
      <w:r w:rsidR="007736CE">
        <w:t>о</w:t>
      </w:r>
      <w:r>
        <w:t xml:space="preserve"> указан</w:t>
      </w:r>
      <w:r w:rsidR="007736CE">
        <w:t>о</w:t>
      </w:r>
      <w:r>
        <w:t xml:space="preserve"> </w:t>
      </w:r>
      <w:r w:rsidR="007736CE">
        <w:t>потенциальное</w:t>
      </w:r>
      <w:r>
        <w:t xml:space="preserve"> несанкционированно</w:t>
      </w:r>
      <w:r w:rsidR="007736CE">
        <w:t>е</w:t>
      </w:r>
      <w:r>
        <w:t xml:space="preserve"> раскрыти</w:t>
      </w:r>
      <w:r w:rsidR="007736CE">
        <w:t>е</w:t>
      </w:r>
      <w:r>
        <w:t xml:space="preserve"> конфиденциальной информации;</w:t>
      </w:r>
      <w:r w:rsidR="007736CE">
        <w:t xml:space="preserve"> и</w:t>
      </w:r>
      <w:r>
        <w:t xml:space="preserve"> ОБДИ оказал помощь РСТ в выявлении и разработке элементов Системы предупреждения утечки данных (ПУД) в рамках проекта PCT по созданию устойчивой и надежной платформы.</w:t>
      </w:r>
      <w:r w:rsidR="00A1090F">
        <w:t xml:space="preserve"> </w:t>
      </w:r>
      <w:r>
        <w:t>Что касается будущей работы, то ВОИС следует оценить, требуется ли использование решения на основе ПУД в других областях, с учетом классификации рисков и информации с точки зрения безопасности, а также следует выявить инструменты для предупреждения и обнаружения утечки данных различными путями.</w:t>
      </w:r>
    </w:p>
    <w:p w:rsidR="00F918CE" w:rsidRDefault="00F918CE" w:rsidP="00A1090F">
      <w:pPr>
        <w:pStyle w:val="ONUME"/>
        <w:numPr>
          <w:ilvl w:val="0"/>
          <w:numId w:val="17"/>
        </w:numPr>
        <w:jc w:val="both"/>
      </w:pPr>
      <w:r>
        <w:t>ВОИС начала использовать инструменты на основе искусственного интеллекта (ИИ) для обеспечения защиты конечного пользователя, сбора информации об угрозах и реагирования, и Организации следует продолжать оценивать влияние технологических тенденций/изменений, таких как ИИ, на будущую эволюцию Стратегии целостности информации.</w:t>
      </w:r>
    </w:p>
    <w:p w:rsidR="00F918CE" w:rsidRDefault="00F918CE" w:rsidP="00A1090F">
      <w:pPr>
        <w:pStyle w:val="ONUME"/>
        <w:numPr>
          <w:ilvl w:val="0"/>
          <w:numId w:val="17"/>
        </w:numPr>
        <w:jc w:val="both"/>
      </w:pPr>
      <w:r>
        <w:t xml:space="preserve">Также ОБДИ внедрит новое решение по управлению информационной безопасностью, рисками и соблюдением требований для более эффективного учета, мониторинга и контроля целостности информации и связанных с этим рисков, включая возможности документирования угроз и уязвимостей. </w:t>
      </w:r>
    </w:p>
    <w:p w:rsidR="00186810" w:rsidRDefault="00186810" w:rsidP="00962729">
      <w:pPr>
        <w:pStyle w:val="Heading2"/>
      </w:pPr>
      <w:r>
        <w:t>Аудиторская проверка пилотного проекта PCT в области сальдирования пошлин</w:t>
      </w:r>
    </w:p>
    <w:bookmarkEnd w:id="26"/>
    <w:p w:rsidR="00F918CE" w:rsidRDefault="00186810" w:rsidP="00A1090F">
      <w:pPr>
        <w:pStyle w:val="ONUME"/>
        <w:numPr>
          <w:ilvl w:val="0"/>
          <w:numId w:val="17"/>
        </w:numPr>
        <w:jc w:val="both"/>
      </w:pPr>
      <w:r>
        <w:t xml:space="preserve">Аудиторская проверка показала, что рабочие процессы, связанные с пошлинами PCT за поиск, были оптимизированы с учетом того, что Международное бюро отмечает очевидное снижение рабочей нагрузки, </w:t>
      </w:r>
      <w:r w:rsidR="001526C4">
        <w:t>касающейся</w:t>
      </w:r>
      <w:r>
        <w:t xml:space="preserve"> заявлени</w:t>
      </w:r>
      <w:r w:rsidR="001526C4">
        <w:t>й</w:t>
      </w:r>
      <w:r>
        <w:t xml:space="preserve"> об убытках и прибыли из-за колебаний обменных курсов иностранных валют, что </w:t>
      </w:r>
      <w:r w:rsidR="001526C4">
        <w:t>связано с</w:t>
      </w:r>
      <w:r>
        <w:t xml:space="preserve"> правил</w:t>
      </w:r>
      <w:r w:rsidR="001526C4">
        <w:t xml:space="preserve">ом </w:t>
      </w:r>
      <w:r>
        <w:t>PCT</w:t>
      </w:r>
      <w:r w:rsidR="00430371">
        <w:t> </w:t>
      </w:r>
      <w:r>
        <w:t>16.1(e)</w:t>
      </w:r>
      <w:r w:rsidR="00F918CE" w:rsidRPr="005E30EC">
        <w:rPr>
          <w:rStyle w:val="FootnoteReference"/>
          <w:szCs w:val="22"/>
        </w:rPr>
        <w:footnoteReference w:id="6"/>
      </w:r>
      <w:r>
        <w:t>.</w:t>
      </w:r>
      <w:r w:rsidR="00A1090F">
        <w:t xml:space="preserve"> </w:t>
      </w:r>
      <w:r>
        <w:t>В будущем этот процесс будет еще более оптимизированным и эффективным благодаря автоматизации ряда действий, осуществляемых вручную при проведении операций сальдирования.</w:t>
      </w:r>
    </w:p>
    <w:p w:rsidR="00F918CE" w:rsidRDefault="00F918CE" w:rsidP="00A1090F">
      <w:pPr>
        <w:pStyle w:val="ONUME"/>
        <w:numPr>
          <w:ilvl w:val="0"/>
          <w:numId w:val="17"/>
        </w:numPr>
        <w:jc w:val="both"/>
      </w:pPr>
      <w:r>
        <w:t xml:space="preserve">Внедрение календаря сальдирования </w:t>
      </w:r>
      <w:r w:rsidR="001526C4">
        <w:t>повысило эффективность</w:t>
      </w:r>
      <w:r>
        <w:t xml:space="preserve"> планировани</w:t>
      </w:r>
      <w:r w:rsidR="001526C4">
        <w:t>я</w:t>
      </w:r>
      <w:r>
        <w:t xml:space="preserve"> и управлени</w:t>
      </w:r>
      <w:r w:rsidR="001526C4">
        <w:t>я</w:t>
      </w:r>
      <w:r>
        <w:t xml:space="preserve"> наличными денежными средствами в Международном бюро благодаря объединению нескольких платежей в один поток платежей в целях сокращения комиссий </w:t>
      </w:r>
      <w:r>
        <w:lastRenderedPageBreak/>
        <w:t>за проведение операций и установления согласованной даты платежей и поступлений сальдированных сумм.</w:t>
      </w:r>
    </w:p>
    <w:p w:rsidR="00F918CE" w:rsidRPr="00155884" w:rsidRDefault="00F918CE" w:rsidP="00A1090F">
      <w:pPr>
        <w:pStyle w:val="ONUME"/>
        <w:numPr>
          <w:ilvl w:val="0"/>
          <w:numId w:val="17"/>
        </w:numPr>
        <w:jc w:val="both"/>
      </w:pPr>
      <w:r>
        <w:t>В результате внедрения процедуры сальдирования средний условный объем наличных денежных средств в банке (в евро) для пошлин PCT за поиск снизился на 69</w:t>
      </w:r>
      <w:r w:rsidR="00010A39">
        <w:rPr>
          <w:lang w:val="en-GB"/>
        </w:rPr>
        <w:t> </w:t>
      </w:r>
      <w:r w:rsidR="00010A39">
        <w:t>процентов</w:t>
      </w:r>
      <w:r>
        <w:t>.</w:t>
      </w:r>
      <w:r w:rsidR="00A1090F">
        <w:t xml:space="preserve"> </w:t>
      </w:r>
      <w:r>
        <w:t>Это снижение позволило Международному бюро избежать финансовых расходов, связанных с преобладающими отрицательными процентными ставками.</w:t>
      </w:r>
    </w:p>
    <w:p w:rsidR="00F918CE" w:rsidRDefault="00F918CE" w:rsidP="00A1090F">
      <w:pPr>
        <w:pStyle w:val="ONUME"/>
        <w:numPr>
          <w:ilvl w:val="0"/>
          <w:numId w:val="17"/>
        </w:numPr>
        <w:jc w:val="both"/>
        <w:rPr>
          <w:szCs w:val="22"/>
        </w:rPr>
      </w:pPr>
      <w:r>
        <w:t xml:space="preserve">Кроме того, ОВН отметил номинальное снижение в денежном выражении банковских сборов, связанных со сборами за электронную передачу файлов (ЭПФ), которое коррелирует с сокращением объема операций ЭПФ (57 процентов) — как платежей, так и поступлений — и уменьшением числа заявок на возмещение расходов (46 процентов) от участвующих международных поисковых органов. </w:t>
      </w:r>
    </w:p>
    <w:p w:rsidR="00F918CE" w:rsidRDefault="00F918CE" w:rsidP="00A1090F">
      <w:pPr>
        <w:pStyle w:val="ONUME"/>
        <w:numPr>
          <w:ilvl w:val="0"/>
          <w:numId w:val="17"/>
        </w:numPr>
        <w:jc w:val="both"/>
      </w:pPr>
      <w:r>
        <w:t xml:space="preserve">В дальнейшем Международному бюро следует провести обзор ресурсов, необходимых для процедуры сальдирования, с учетом нынешнего и будущего участия в ней, и предложить поправку к Инструкции к РСТ и соответствующей административной инструкции, чтобы, в частности, обеспечить отражение текущих процедур сальдирования и практики работы, а также </w:t>
      </w:r>
      <w:r w:rsidR="001526C4">
        <w:t xml:space="preserve">их </w:t>
      </w:r>
      <w:r>
        <w:t xml:space="preserve">согласования. </w:t>
      </w:r>
    </w:p>
    <w:p w:rsidR="00186810" w:rsidRPr="003C0543" w:rsidRDefault="00186810" w:rsidP="00962729">
      <w:pPr>
        <w:pStyle w:val="Heading2"/>
        <w:rPr>
          <w:szCs w:val="20"/>
        </w:rPr>
      </w:pPr>
      <w:r>
        <w:t>Оценка пилотной программы содействия карьерному и профессиональному росту (этап 2)</w:t>
      </w:r>
    </w:p>
    <w:p w:rsidR="0090521F" w:rsidRDefault="00186810" w:rsidP="00A1090F">
      <w:pPr>
        <w:pStyle w:val="ONUME"/>
        <w:numPr>
          <w:ilvl w:val="0"/>
          <w:numId w:val="17"/>
        </w:numPr>
        <w:jc w:val="both"/>
      </w:pPr>
      <w:r>
        <w:t xml:space="preserve">Цель этой оценки состояла в том, чтобы оценить следующее: </w:t>
      </w:r>
    </w:p>
    <w:p w:rsidR="0090521F" w:rsidRPr="000C759E" w:rsidRDefault="00D177DE" w:rsidP="00A1090F">
      <w:pPr>
        <w:pStyle w:val="ONUME"/>
        <w:numPr>
          <w:ilvl w:val="1"/>
          <w:numId w:val="17"/>
        </w:numPr>
        <w:jc w:val="both"/>
        <w:rPr>
          <w:szCs w:val="24"/>
        </w:rPr>
      </w:pPr>
      <w:r>
        <w:t>текущую стратегию и результаты пилотной программы, а также ее вклад в решение вопросов поддержки карьеры в ВОИС;</w:t>
      </w:r>
    </w:p>
    <w:p w:rsidR="0090521F" w:rsidRPr="000C759E" w:rsidRDefault="00D177DE" w:rsidP="00A1090F">
      <w:pPr>
        <w:pStyle w:val="ONUME"/>
        <w:numPr>
          <w:ilvl w:val="1"/>
          <w:numId w:val="17"/>
        </w:numPr>
        <w:jc w:val="both"/>
        <w:rPr>
          <w:szCs w:val="24"/>
        </w:rPr>
      </w:pPr>
      <w:r>
        <w:t>есть ли возможность для расширения условий и механизмов поддержки карьерного роста и действует ли отлаженная программа поддержки карьерного роста;</w:t>
      </w:r>
      <w:r w:rsidR="00A1090F">
        <w:t xml:space="preserve"> </w:t>
      </w:r>
    </w:p>
    <w:p w:rsidR="0090521F" w:rsidRDefault="00D177DE" w:rsidP="00A1090F">
      <w:pPr>
        <w:pStyle w:val="ONUME"/>
        <w:numPr>
          <w:ilvl w:val="1"/>
          <w:numId w:val="17"/>
        </w:numPr>
        <w:jc w:val="both"/>
        <w:rPr>
          <w:szCs w:val="24"/>
        </w:rPr>
      </w:pPr>
      <w:r>
        <w:t>предполагаемые и фактические последствия, к которым программа поддержки карьеры может привести в будущем</w:t>
      </w:r>
      <w:r w:rsidR="001526C4">
        <w:t>,</w:t>
      </w:r>
      <w:r>
        <w:t xml:space="preserve"> для потенциальных бенефициаров, а также риски и стратегии их снижения.</w:t>
      </w:r>
      <w:r w:rsidR="00A1090F">
        <w:t xml:space="preserve"> </w:t>
      </w:r>
    </w:p>
    <w:p w:rsidR="0090521F" w:rsidRDefault="0090521F" w:rsidP="00A1090F">
      <w:pPr>
        <w:pStyle w:val="ONUME"/>
        <w:numPr>
          <w:ilvl w:val="0"/>
          <w:numId w:val="17"/>
        </w:numPr>
        <w:jc w:val="both"/>
      </w:pPr>
      <w:r>
        <w:t>Основные результаты и рекомендации включают в себя:</w:t>
      </w:r>
    </w:p>
    <w:p w:rsidR="0090521F" w:rsidRDefault="0090521F" w:rsidP="00A1090F">
      <w:pPr>
        <w:pStyle w:val="ONUME"/>
        <w:numPr>
          <w:ilvl w:val="1"/>
          <w:numId w:val="17"/>
        </w:numPr>
        <w:jc w:val="both"/>
      </w:pPr>
      <w:r>
        <w:t>Пилотная программа, проводившая</w:t>
      </w:r>
      <w:r w:rsidR="001526C4">
        <w:t>ся</w:t>
      </w:r>
      <w:r>
        <w:t xml:space="preserve"> в небольших масштабах, доказала свою актуальность для удовлетворения организационных и индивидуальных потребностей персонала, на что указали более 65 процентов респондентов обследования.</w:t>
      </w:r>
      <w:r w:rsidR="00A1090F">
        <w:t xml:space="preserve"> </w:t>
      </w:r>
      <w:r>
        <w:t>Она привела к положительным мотивационным и поведенческим изменениям среди всех бенефициаров.</w:t>
      </w:r>
      <w:r w:rsidR="00A1090F">
        <w:t xml:space="preserve"> </w:t>
      </w:r>
    </w:p>
    <w:p w:rsidR="0090521F" w:rsidRPr="00F85FBB" w:rsidRDefault="0090521F" w:rsidP="00A1090F">
      <w:pPr>
        <w:pStyle w:val="ONUME"/>
        <w:numPr>
          <w:ilvl w:val="1"/>
          <w:numId w:val="17"/>
        </w:numPr>
        <w:jc w:val="both"/>
      </w:pPr>
      <w:r>
        <w:t xml:space="preserve">Пилотная программа достигла необходимой зрелости для более целостного и консолидированного решения существующих организационных проблем, таких как старение персонала, удержание перспективных специалистов и решение гендерных </w:t>
      </w:r>
      <w:r w:rsidR="001526C4">
        <w:t>вопросов</w:t>
      </w:r>
      <w:r>
        <w:t>.</w:t>
      </w:r>
      <w:r w:rsidR="00A1090F">
        <w:t xml:space="preserve"> </w:t>
      </w:r>
    </w:p>
    <w:p w:rsidR="0090521F" w:rsidRPr="00F85FBB" w:rsidRDefault="0090521F" w:rsidP="00A1090F">
      <w:pPr>
        <w:pStyle w:val="ONUME"/>
        <w:numPr>
          <w:ilvl w:val="1"/>
          <w:numId w:val="17"/>
        </w:numPr>
        <w:jc w:val="both"/>
      </w:pPr>
      <w:r>
        <w:t>Конкретные услуги в области мобильности, такие как назначения на должности в целях развития и обучение без отрыва от работы за пределами Организации, могли бы помочь увязать индивидуальные потребности и стремления с потребностями Организации.</w:t>
      </w:r>
      <w:r w:rsidR="00A1090F">
        <w:t xml:space="preserve"> </w:t>
      </w:r>
    </w:p>
    <w:p w:rsidR="0090521F" w:rsidRPr="00F85FBB" w:rsidRDefault="0090521F" w:rsidP="00A1090F">
      <w:pPr>
        <w:pStyle w:val="ONUME"/>
        <w:numPr>
          <w:ilvl w:val="0"/>
          <w:numId w:val="17"/>
        </w:numPr>
        <w:tabs>
          <w:tab w:val="num" w:pos="1134"/>
        </w:tabs>
        <w:jc w:val="both"/>
      </w:pPr>
      <w:r>
        <w:t>Стратегия осуществления доказала свою эффективность.</w:t>
      </w:r>
      <w:r w:rsidR="00A1090F">
        <w:t xml:space="preserve"> </w:t>
      </w:r>
      <w:r>
        <w:t xml:space="preserve">Однако на данном этапе структура и ресурсы ВОИС </w:t>
      </w:r>
      <w:r w:rsidR="001526C4">
        <w:t>в области</w:t>
      </w:r>
      <w:r>
        <w:t xml:space="preserve"> оказания услуг по развитию карьеры являются недостаточными с учетом существующих и будущих организационных потребностей и задач.</w:t>
      </w:r>
      <w:r w:rsidR="00A1090F">
        <w:t xml:space="preserve"> </w:t>
      </w:r>
      <w:r>
        <w:t>В своем нынешнем виде пилотная программа не является устойчивой.</w:t>
      </w:r>
      <w:r w:rsidR="00A1090F">
        <w:t xml:space="preserve"> </w:t>
      </w:r>
    </w:p>
    <w:p w:rsidR="0090521F" w:rsidRDefault="0090521F" w:rsidP="00A1090F">
      <w:pPr>
        <w:pStyle w:val="ONUME"/>
        <w:numPr>
          <w:ilvl w:val="0"/>
          <w:numId w:val="17"/>
        </w:numPr>
        <w:tabs>
          <w:tab w:val="num" w:pos="1134"/>
        </w:tabs>
        <w:jc w:val="both"/>
      </w:pPr>
      <w:r>
        <w:lastRenderedPageBreak/>
        <w:t>Сотрудники подчеркнули необходимость повышения транспарентности и доступности услуг по развитию карьеры.</w:t>
      </w:r>
      <w:r w:rsidR="00A1090F">
        <w:t xml:space="preserve"> </w:t>
      </w:r>
      <w:r>
        <w:t>Поэтому любая будущая услуга по поддержке развития карьеры должна носить инклюзивный характер, обеспечивая доступ для всех сотрудников на основе подхода, основанного на имеющихся запросах.</w:t>
      </w:r>
      <w:r w:rsidR="00A1090F">
        <w:t xml:space="preserve"> </w:t>
      </w:r>
    </w:p>
    <w:p w:rsidR="0090521F" w:rsidRPr="00FA666F" w:rsidRDefault="0090521F" w:rsidP="00A1090F">
      <w:pPr>
        <w:pStyle w:val="ONUME"/>
        <w:numPr>
          <w:ilvl w:val="0"/>
          <w:numId w:val="17"/>
        </w:numPr>
        <w:jc w:val="both"/>
      </w:pPr>
      <w:r>
        <w:t xml:space="preserve">Хотя общая оценка пилотной программы была позитивной, в ходе оценки также были выявлены некоторые аспекты, которые можно </w:t>
      </w:r>
      <w:r w:rsidR="001526C4">
        <w:t>улучшить</w:t>
      </w:r>
      <w:r>
        <w:t>.</w:t>
      </w:r>
      <w:r w:rsidR="00A1090F">
        <w:t xml:space="preserve"> </w:t>
      </w:r>
      <w:r>
        <w:t>С этой целью было вынесено три рекомендации:</w:t>
      </w:r>
    </w:p>
    <w:p w:rsidR="0090521F" w:rsidRPr="0090521F" w:rsidRDefault="0090521F" w:rsidP="00A1090F">
      <w:pPr>
        <w:pStyle w:val="ONUME"/>
        <w:numPr>
          <w:ilvl w:val="1"/>
          <w:numId w:val="17"/>
        </w:numPr>
        <w:tabs>
          <w:tab w:val="num" w:pos="2268"/>
        </w:tabs>
        <w:jc w:val="both"/>
      </w:pPr>
      <w:r>
        <w:t>ДУЛР следует рассмотреть вопрос о разработке всестороннего механизма поддержки служебного роста и вспомогательной архитектуры, в которых должны быть четко обозначены проблемы и вопросы, требующие решения, внутренние и внешние допущения и контекстуальные факторы, а также ожидаемые результаты и цели.</w:t>
      </w:r>
      <w:r w:rsidR="00A1090F">
        <w:t xml:space="preserve"> </w:t>
      </w:r>
    </w:p>
    <w:p w:rsidR="0090521F" w:rsidRPr="00F85FBB" w:rsidRDefault="0090521F" w:rsidP="00A1090F">
      <w:pPr>
        <w:pStyle w:val="ONUME"/>
        <w:numPr>
          <w:ilvl w:val="1"/>
          <w:numId w:val="17"/>
        </w:numPr>
        <w:tabs>
          <w:tab w:val="num" w:pos="2268"/>
        </w:tabs>
        <w:jc w:val="both"/>
      </w:pPr>
      <w:r>
        <w:t>ДУЛР следует обеспечить участие руководства и непосредственных руководителей в предоставлении услуг по поддержке служебного роста, а также транспарентное информирование всех сотрудников о процессе получения доступа к услугам по поддержке служебного роста и выявлению перспективных сотрудников.</w:t>
      </w:r>
    </w:p>
    <w:p w:rsidR="00186810" w:rsidRPr="00DB1108" w:rsidRDefault="0090521F" w:rsidP="00A1090F">
      <w:pPr>
        <w:pStyle w:val="ONUME"/>
        <w:numPr>
          <w:ilvl w:val="1"/>
          <w:numId w:val="17"/>
        </w:numPr>
        <w:tabs>
          <w:tab w:val="num" w:pos="2268"/>
        </w:tabs>
        <w:jc w:val="both"/>
      </w:pPr>
      <w:r>
        <w:t xml:space="preserve">ВОИС следует рассмотреть возможность учета имеющегося опыта и уроков, извлеченных в ходе пилотного проекта </w:t>
      </w:r>
      <w:r w:rsidR="001526C4">
        <w:t>в области</w:t>
      </w:r>
      <w:r>
        <w:t xml:space="preserve"> служебного роста, путем институционализации направления по развитию карьеры в качестве отдельного подразделения</w:t>
      </w:r>
      <w:r w:rsidR="001526C4">
        <w:t xml:space="preserve">, что позволит обеспечить </w:t>
      </w:r>
      <w:r>
        <w:t>субстантивно</w:t>
      </w:r>
      <w:r w:rsidR="001526C4">
        <w:t>е</w:t>
      </w:r>
      <w:r>
        <w:t xml:space="preserve"> решени</w:t>
      </w:r>
      <w:r w:rsidR="001526C4">
        <w:t>е</w:t>
      </w:r>
      <w:r>
        <w:t xml:space="preserve"> существующих организационных проблем.</w:t>
      </w:r>
    </w:p>
    <w:p w:rsidR="00186810" w:rsidRPr="003C0543" w:rsidRDefault="0090521F" w:rsidP="00962729">
      <w:pPr>
        <w:pStyle w:val="Heading2"/>
      </w:pPr>
      <w:r>
        <w:t>Обобщающий отчет о мета-оценке продуктов ВОИС, связанных с оценкой</w:t>
      </w:r>
    </w:p>
    <w:p w:rsidR="00D177DE" w:rsidRDefault="00D177DE" w:rsidP="00A1090F">
      <w:pPr>
        <w:pStyle w:val="ONUME"/>
        <w:numPr>
          <w:ilvl w:val="0"/>
          <w:numId w:val="17"/>
        </w:numPr>
        <w:jc w:val="both"/>
        <w:rPr>
          <w:szCs w:val="22"/>
        </w:rPr>
      </w:pPr>
      <w:r>
        <w:t xml:space="preserve">Основные цели обобщающей мета-оценки заключались в следующем: </w:t>
      </w:r>
    </w:p>
    <w:p w:rsidR="00D177DE" w:rsidRPr="00D177DE" w:rsidRDefault="00D177DE" w:rsidP="00A1090F">
      <w:pPr>
        <w:pStyle w:val="ONUME"/>
        <w:numPr>
          <w:ilvl w:val="1"/>
          <w:numId w:val="17"/>
        </w:numPr>
        <w:jc w:val="both"/>
      </w:pPr>
      <w:r>
        <w:t>анализ и обобщение выводов и рекомендаций по итогам оценок, проведенных в 2011–2017</w:t>
      </w:r>
      <w:r w:rsidR="00430371">
        <w:t> </w:t>
      </w:r>
      <w:r>
        <w:t>гг.;</w:t>
      </w:r>
    </w:p>
    <w:p w:rsidR="00D177DE" w:rsidRPr="00D177DE" w:rsidRDefault="00D177DE" w:rsidP="00A1090F">
      <w:pPr>
        <w:pStyle w:val="ONUME"/>
        <w:numPr>
          <w:ilvl w:val="1"/>
          <w:numId w:val="17"/>
        </w:numPr>
        <w:jc w:val="both"/>
      </w:pPr>
      <w:r>
        <w:t>содействие закрытию цикла обратной связи на основе фактических данных для специалистов по планированию и руководителей Организации путем выявления потенциала преобразования знаний, полученных на основе оценочных данных, в стратегические, предметные, тематические и сквозные рекомендации;</w:t>
      </w:r>
    </w:p>
    <w:p w:rsidR="00D177DE" w:rsidRPr="00D177DE" w:rsidRDefault="00D177DE" w:rsidP="00A1090F">
      <w:pPr>
        <w:pStyle w:val="ONUME"/>
        <w:numPr>
          <w:ilvl w:val="1"/>
          <w:numId w:val="17"/>
        </w:numPr>
        <w:jc w:val="both"/>
      </w:pPr>
      <w:r>
        <w:t>визуализация пробелов в данных и консолидация информации для облегчения доступа и использования клиентами обобщенной мета-оценки.</w:t>
      </w:r>
    </w:p>
    <w:p w:rsidR="00D177DE" w:rsidRDefault="00D177DE" w:rsidP="00A1090F">
      <w:pPr>
        <w:pStyle w:val="ONUME"/>
        <w:numPr>
          <w:ilvl w:val="0"/>
          <w:numId w:val="17"/>
        </w:numPr>
        <w:jc w:val="both"/>
        <w:rPr>
          <w:szCs w:val="22"/>
        </w:rPr>
      </w:pPr>
      <w:r>
        <w:t>Основные выводы отчета включают в себя следующее:</w:t>
      </w:r>
    </w:p>
    <w:p w:rsidR="00D177DE" w:rsidRDefault="00D177DE" w:rsidP="00A1090F">
      <w:pPr>
        <w:pStyle w:val="ONUME"/>
        <w:numPr>
          <w:ilvl w:val="1"/>
          <w:numId w:val="17"/>
        </w:numPr>
        <w:jc w:val="both"/>
        <w:rPr>
          <w:szCs w:val="22"/>
        </w:rPr>
      </w:pPr>
      <w:r>
        <w:t>Программно-географический охват портфеля оценок является адекватным и продолжает расширяться, включая в себя программы и географические области, в которых оценка еще не проводилась.</w:t>
      </w:r>
    </w:p>
    <w:p w:rsidR="00D177DE" w:rsidRPr="008D6C20" w:rsidRDefault="00D177DE" w:rsidP="00A1090F">
      <w:pPr>
        <w:pStyle w:val="ONUME"/>
        <w:numPr>
          <w:ilvl w:val="1"/>
          <w:numId w:val="17"/>
        </w:numPr>
        <w:jc w:val="both"/>
        <w:rPr>
          <w:szCs w:val="22"/>
        </w:rPr>
      </w:pPr>
      <w:r>
        <w:t>Были завершены две сквозные оценки: одна в 2014 г. по управлению знаниями</w:t>
      </w:r>
      <w:r w:rsidR="000C787A">
        <w:t xml:space="preserve"> </w:t>
      </w:r>
      <w:r>
        <w:t xml:space="preserve"> </w:t>
      </w:r>
      <w:r w:rsidR="000C787A">
        <w:t>и</w:t>
      </w:r>
      <w:r>
        <w:t xml:space="preserve"> вторая в 2018 г. по развитию потенциала.</w:t>
      </w:r>
      <w:r w:rsidR="00A1090F">
        <w:t xml:space="preserve"> </w:t>
      </w:r>
      <w:r>
        <w:t>Обе оценки были актуальны с точки зрения измерения способности Организации работать сообща.</w:t>
      </w:r>
      <w:r w:rsidR="00A1090F">
        <w:t xml:space="preserve"> </w:t>
      </w:r>
      <w:r>
        <w:t>Будущие сквозные темы, отобранные для оценки, могут оказаться полезными для разработки систематической, стратегической и основанной на широком участии карты приоритетов в рамках всей Организации.</w:t>
      </w:r>
    </w:p>
    <w:p w:rsidR="00D177DE" w:rsidRPr="008D6C20" w:rsidRDefault="00D177DE" w:rsidP="00A1090F">
      <w:pPr>
        <w:pStyle w:val="ONUME"/>
        <w:numPr>
          <w:ilvl w:val="1"/>
          <w:numId w:val="17"/>
        </w:numPr>
        <w:jc w:val="both"/>
        <w:rPr>
          <w:szCs w:val="22"/>
        </w:rPr>
      </w:pPr>
      <w:r>
        <w:lastRenderedPageBreak/>
        <w:t>Улучшение положения в области гендерного равенства по-прежнему является одним из ключевых элементов, присутствующих во всех пяти критериях оценки, обобщенных либо в качестве выводов, либо в качестве рекомендаций.</w:t>
      </w:r>
    </w:p>
    <w:p w:rsidR="00D177DE" w:rsidRPr="008D6C20" w:rsidRDefault="00D177DE" w:rsidP="00A1090F">
      <w:pPr>
        <w:pStyle w:val="ONUME"/>
        <w:numPr>
          <w:ilvl w:val="1"/>
          <w:numId w:val="17"/>
        </w:numPr>
        <w:jc w:val="both"/>
        <w:rPr>
          <w:szCs w:val="22"/>
        </w:rPr>
      </w:pPr>
      <w:r>
        <w:t>Данные об оказываемых программами долгосрочных значимых результатах в области ИС весьма ограничены в нынешнем портфеле оценок и не дают достаточной информации на уровне воздействия.  </w:t>
      </w:r>
    </w:p>
    <w:p w:rsidR="00D177DE" w:rsidRDefault="00D177DE" w:rsidP="00A1090F">
      <w:pPr>
        <w:pStyle w:val="ONUME"/>
        <w:numPr>
          <w:ilvl w:val="0"/>
          <w:numId w:val="17"/>
        </w:numPr>
        <w:jc w:val="both"/>
        <w:rPr>
          <w:szCs w:val="22"/>
        </w:rPr>
      </w:pPr>
      <w:r>
        <w:t xml:space="preserve">На основе сделанных выводов в Обобщающем отчете о мета-оценке были вынесены следующие рекомендации: </w:t>
      </w:r>
    </w:p>
    <w:p w:rsidR="00D177DE" w:rsidRPr="00D177DE" w:rsidRDefault="00D177DE" w:rsidP="00A1090F">
      <w:pPr>
        <w:pStyle w:val="ONUME"/>
        <w:numPr>
          <w:ilvl w:val="1"/>
          <w:numId w:val="17"/>
        </w:numPr>
        <w:jc w:val="both"/>
        <w:rPr>
          <w:szCs w:val="22"/>
        </w:rPr>
      </w:pPr>
      <w:r>
        <w:t>Секции оценки ОВН следует по мере возможности определять приоритетность охвата программ ВОИС, стратегических целей и секторов, в отношении которых еще не проводилась оценка.</w:t>
      </w:r>
      <w:r w:rsidR="00A1090F">
        <w:t xml:space="preserve"> </w:t>
      </w:r>
      <w:r>
        <w:t>Такой подход должен включать географический охват в качестве одного из элементов принятия такого решения.</w:t>
      </w:r>
      <w:r w:rsidR="00A1090F">
        <w:t xml:space="preserve"> </w:t>
      </w:r>
      <w:r>
        <w:t>Сквозные оценки должны быть тщательно отобраны для обеспечения того, чтобы темы были актуальными для всей Организации.</w:t>
      </w:r>
    </w:p>
    <w:p w:rsidR="00D177DE" w:rsidRPr="00D177DE" w:rsidRDefault="00D177DE" w:rsidP="00A1090F">
      <w:pPr>
        <w:pStyle w:val="ONUME"/>
        <w:numPr>
          <w:ilvl w:val="1"/>
          <w:numId w:val="17"/>
        </w:numPr>
        <w:jc w:val="both"/>
        <w:rPr>
          <w:szCs w:val="22"/>
        </w:rPr>
      </w:pPr>
      <w:r>
        <w:t>Секции оценки ОВН следует увеличить число и повысить качество субстантивных выводов и заключений по ИС в отношении долгосрочного действия и влияния программ.</w:t>
      </w:r>
    </w:p>
    <w:p w:rsidR="00186810" w:rsidRPr="008D54B9" w:rsidRDefault="00D177DE" w:rsidP="00A1090F">
      <w:pPr>
        <w:pStyle w:val="ONUME"/>
        <w:numPr>
          <w:ilvl w:val="1"/>
          <w:numId w:val="17"/>
        </w:numPr>
        <w:jc w:val="both"/>
      </w:pPr>
      <w:r>
        <w:t>Секции оценки ОВН следует усилить меры по совершенствованию и внедрению учитывающих гендерные аспекты элементов в соответствии с гендерной политикой ВОИС и ОСПД ООН.</w:t>
      </w:r>
    </w:p>
    <w:p w:rsidR="00186810" w:rsidRPr="003C0543" w:rsidRDefault="00186810" w:rsidP="00962729">
      <w:pPr>
        <w:pStyle w:val="Heading2"/>
      </w:pPr>
      <w:r>
        <w:t>Оценка деятельности Регионального бюро для Азиатско-Тихоокеанского региона</w:t>
      </w:r>
    </w:p>
    <w:p w:rsidR="00BD669D" w:rsidRDefault="00BD669D" w:rsidP="00A1090F">
      <w:pPr>
        <w:pStyle w:val="ONUME"/>
        <w:numPr>
          <w:ilvl w:val="0"/>
          <w:numId w:val="17"/>
        </w:numPr>
        <w:jc w:val="both"/>
        <w:rPr>
          <w:szCs w:val="22"/>
        </w:rPr>
      </w:pPr>
      <w:r>
        <w:t>Основные цели Оценки деятельности Регионального бюро для Азиатско-Тихоокеанского региона (АТР) заключались в следующем:</w:t>
      </w:r>
      <w:r w:rsidR="00A1090F">
        <w:t xml:space="preserve"> </w:t>
      </w:r>
    </w:p>
    <w:p w:rsidR="00BD669D" w:rsidRPr="00BD669D" w:rsidRDefault="00BD669D" w:rsidP="00A1090F">
      <w:pPr>
        <w:pStyle w:val="ONUME"/>
        <w:numPr>
          <w:ilvl w:val="1"/>
          <w:numId w:val="17"/>
        </w:numPr>
        <w:jc w:val="both"/>
        <w:rPr>
          <w:szCs w:val="22"/>
        </w:rPr>
      </w:pPr>
      <w:r>
        <w:t>оценить актуальность программ</w:t>
      </w:r>
      <w:r w:rsidR="000C787A">
        <w:t>ы</w:t>
      </w:r>
      <w:r>
        <w:t xml:space="preserve"> Бюро для АТР для целевых партнеров, практическую пользу от нее для региона и поддержку, оказываемую ее партнерами;</w:t>
      </w:r>
      <w:r w:rsidR="00A1090F">
        <w:t xml:space="preserve"> </w:t>
      </w:r>
    </w:p>
    <w:p w:rsidR="00BD669D" w:rsidRPr="00BD669D" w:rsidRDefault="00BD669D" w:rsidP="00A1090F">
      <w:pPr>
        <w:pStyle w:val="ONUME"/>
        <w:numPr>
          <w:ilvl w:val="1"/>
          <w:numId w:val="17"/>
        </w:numPr>
        <w:jc w:val="both"/>
        <w:rPr>
          <w:szCs w:val="22"/>
        </w:rPr>
      </w:pPr>
      <w:r>
        <w:t>оценить вклад Бюро для АТР в обеспечение того, чтобы работа в области ИС способствовала устойчивому развитию, и</w:t>
      </w:r>
      <w:r w:rsidR="005A0561" w:rsidRPr="005A0561">
        <w:t xml:space="preserve"> </w:t>
      </w:r>
      <w:r w:rsidR="005A0561">
        <w:t>оценить</w:t>
      </w:r>
      <w:r>
        <w:t xml:space="preserve"> стратегический вклад региональной программы в достижение более широких целей региональной интеграции в рамках Концептуальной основы Глобального инновационного индекса;</w:t>
      </w:r>
      <w:r w:rsidR="00A1090F">
        <w:t xml:space="preserve"> </w:t>
      </w:r>
    </w:p>
    <w:p w:rsidR="00BD669D" w:rsidRPr="00BD669D" w:rsidRDefault="00BD669D" w:rsidP="00A1090F">
      <w:pPr>
        <w:pStyle w:val="ONUME"/>
        <w:numPr>
          <w:ilvl w:val="1"/>
          <w:numId w:val="17"/>
        </w:numPr>
        <w:jc w:val="both"/>
        <w:rPr>
          <w:szCs w:val="22"/>
        </w:rPr>
      </w:pPr>
      <w:r>
        <w:t>проанализировать инструменты, механизмы и методологии</w:t>
      </w:r>
      <w:r w:rsidRPr="00430371">
        <w:rPr>
          <w:szCs w:val="22"/>
          <w:vertAlign w:val="superscript"/>
        </w:rPr>
        <w:footnoteReference w:id="7"/>
      </w:r>
      <w:r>
        <w:t>, используемые Бюро для АТР.</w:t>
      </w:r>
      <w:r w:rsidR="00A1090F">
        <w:t xml:space="preserve"> </w:t>
      </w:r>
      <w:r>
        <w:t>Также задача состоит в том, чтобы выявить извлеченные уроки и примеры передовой практики, которые способствуют работе Бюро для АТР;</w:t>
      </w:r>
    </w:p>
    <w:p w:rsidR="00BD669D" w:rsidRPr="00BD669D" w:rsidRDefault="00BD669D" w:rsidP="00A1090F">
      <w:pPr>
        <w:pStyle w:val="ONUME"/>
        <w:numPr>
          <w:ilvl w:val="1"/>
          <w:numId w:val="17"/>
        </w:numPr>
        <w:jc w:val="both"/>
        <w:rPr>
          <w:szCs w:val="22"/>
        </w:rPr>
      </w:pPr>
      <w:r>
        <w:t>выявить факторы, которые могут быть использованы в других региональных бюро для повышения целесообразности, эффективности и результативности их деятельности, в том числе в вопросах гендерного равенства.</w:t>
      </w:r>
      <w:r w:rsidR="00A1090F">
        <w:t xml:space="preserve"> </w:t>
      </w:r>
    </w:p>
    <w:p w:rsidR="00BD669D" w:rsidRDefault="00BD669D" w:rsidP="00A1090F">
      <w:pPr>
        <w:pStyle w:val="ONUME"/>
        <w:numPr>
          <w:ilvl w:val="0"/>
          <w:numId w:val="17"/>
        </w:numPr>
        <w:jc w:val="both"/>
        <w:rPr>
          <w:szCs w:val="22"/>
        </w:rPr>
      </w:pPr>
      <w:r>
        <w:t xml:space="preserve">Основные выводы доклада включают в себя следующее: </w:t>
      </w:r>
    </w:p>
    <w:p w:rsidR="00BD669D" w:rsidRDefault="005A0561" w:rsidP="00A1090F">
      <w:pPr>
        <w:pStyle w:val="ONUME"/>
        <w:numPr>
          <w:ilvl w:val="1"/>
          <w:numId w:val="17"/>
        </w:numPr>
        <w:jc w:val="both"/>
        <w:rPr>
          <w:szCs w:val="22"/>
        </w:rPr>
      </w:pPr>
      <w:r>
        <w:t xml:space="preserve">Подход Бюро для АТР и его работа развивались в рамках структурированного механизма практической деятельности. </w:t>
      </w:r>
      <w:r w:rsidR="00BD669D">
        <w:t xml:space="preserve">Этот структурированный подход </w:t>
      </w:r>
      <w:r>
        <w:t>очень важен</w:t>
      </w:r>
      <w:r w:rsidR="00BD669D">
        <w:t xml:space="preserve"> для деятельности Бюро для АТР и вносит весомый вклад в повышение эффективности его работы.</w:t>
      </w:r>
      <w:r w:rsidR="00A1090F">
        <w:t xml:space="preserve"> </w:t>
      </w:r>
      <w:r w:rsidR="00BD669D">
        <w:t>Четкие свидетельства</w:t>
      </w:r>
      <w:r w:rsidRPr="005A0561">
        <w:t xml:space="preserve"> </w:t>
      </w:r>
      <w:r>
        <w:t>о важности различных проектов</w:t>
      </w:r>
      <w:r w:rsidR="00BD669D">
        <w:t xml:space="preserve">, получаемые от заинтересованных сторон, укрепляют уверенность в том, что </w:t>
      </w:r>
      <w:r w:rsidR="00BD669D">
        <w:lastRenderedPageBreak/>
        <w:t xml:space="preserve">структурированный подход представляет ценность для государств-членов в </w:t>
      </w:r>
      <w:r>
        <w:t>плане</w:t>
      </w:r>
      <w:r w:rsidR="00BD669D">
        <w:t xml:space="preserve"> разработки рамок и систем ИС.</w:t>
      </w:r>
    </w:p>
    <w:p w:rsidR="00BD669D" w:rsidRPr="00C567BD" w:rsidRDefault="00BD669D" w:rsidP="00A1090F">
      <w:pPr>
        <w:pStyle w:val="ONUME"/>
        <w:numPr>
          <w:ilvl w:val="1"/>
          <w:numId w:val="17"/>
        </w:numPr>
        <w:jc w:val="both"/>
        <w:rPr>
          <w:szCs w:val="22"/>
        </w:rPr>
      </w:pPr>
      <w:r>
        <w:t>Вполне вероятно, что влияние вклада Бюро для АТР в достижение стратегических целей ВОИС будет продолжать расти и станет более заметным по мере того, как все больше государств-членов будут продвигаться по пути развития и будут иметь больше времени для реализации своих национальных стратегий в области интеллектуальной собственности.</w:t>
      </w:r>
      <w:r w:rsidR="00A1090F">
        <w:t xml:space="preserve"> </w:t>
      </w:r>
      <w:r>
        <w:t>В ближайшие годы будет крайне важно обеспечить тщательный мониторинг и пересмотр подхода, ориентированного на проекты, в соответствии с</w:t>
      </w:r>
      <w:r w:rsidR="00A1090F">
        <w:t xml:space="preserve"> </w:t>
      </w:r>
      <w:r>
        <w:t>(i) потребностями государств-членов и (ii) соображениями по поводу эффективности содержания и структуры проектов.</w:t>
      </w:r>
      <w:r w:rsidR="00A1090F">
        <w:t xml:space="preserve"> </w:t>
      </w:r>
    </w:p>
    <w:p w:rsidR="00BD669D" w:rsidRPr="00F10414" w:rsidRDefault="00BD669D" w:rsidP="00A1090F">
      <w:pPr>
        <w:pStyle w:val="ONUME"/>
        <w:numPr>
          <w:ilvl w:val="1"/>
          <w:numId w:val="17"/>
        </w:numPr>
        <w:jc w:val="both"/>
        <w:rPr>
          <w:szCs w:val="22"/>
        </w:rPr>
      </w:pPr>
      <w:r>
        <w:t>Поскольку Бюро для АТР понимает стратегии национальных ведомств ИС и их приоритеты, а также обладает информацией об используемых ими системах диагностики, обеспечение тесной взаимосвязи между подход</w:t>
      </w:r>
      <w:r w:rsidR="005A0561">
        <w:t>ами</w:t>
      </w:r>
      <w:r>
        <w:t xml:space="preserve"> и осуществление сотрудничества между основными секторами и Бюро для АТР может принести преимущества в будущем.</w:t>
      </w:r>
      <w:r w:rsidR="00A1090F">
        <w:t xml:space="preserve"> </w:t>
      </w:r>
      <w:r>
        <w:t>Эти знания могут внести значительный вклад в планирование и осуществление работы основных секторов.</w:t>
      </w:r>
    </w:p>
    <w:p w:rsidR="00BD669D" w:rsidRPr="00FD5ECE" w:rsidRDefault="00BD669D" w:rsidP="00A1090F">
      <w:pPr>
        <w:pStyle w:val="ONUME"/>
        <w:numPr>
          <w:ilvl w:val="1"/>
          <w:numId w:val="17"/>
        </w:numPr>
        <w:jc w:val="both"/>
        <w:rPr>
          <w:szCs w:val="22"/>
        </w:rPr>
      </w:pPr>
      <w:r>
        <w:t>Необходимо усовершенствовать отчетность по проектам Бюро для АТР с уделением особого внимания проектно-ориентированной отчетности / отчетности, специфической для проекта, и предоставлению статистических данных о конкретных мероприятиях в контексте проектов.</w:t>
      </w:r>
      <w:r w:rsidR="00A1090F">
        <w:t xml:space="preserve"> </w:t>
      </w:r>
      <w:r>
        <w:t>В отчетах должно также содержаться описание вклада в плановые мероприятия и результаты, а также анализ вклада в достижение стратегических приоритетов ВОИС.</w:t>
      </w:r>
    </w:p>
    <w:p w:rsidR="00BD669D" w:rsidRDefault="00BD669D" w:rsidP="00A1090F">
      <w:pPr>
        <w:pStyle w:val="ONUME"/>
        <w:numPr>
          <w:ilvl w:val="0"/>
          <w:numId w:val="17"/>
        </w:numPr>
        <w:jc w:val="both"/>
        <w:rPr>
          <w:szCs w:val="22"/>
        </w:rPr>
      </w:pPr>
      <w:r>
        <w:t>На основе этих выводов в Оценке деятельности Регионального бюро для Азиатско-Тихоокеанского региона было рекомендовано</w:t>
      </w:r>
      <w:r w:rsidR="005A0561">
        <w:t xml:space="preserve"> следующее</w:t>
      </w:r>
      <w:r>
        <w:t xml:space="preserve">: </w:t>
      </w:r>
    </w:p>
    <w:p w:rsidR="00BD669D" w:rsidRDefault="00BD669D" w:rsidP="00A1090F">
      <w:pPr>
        <w:pStyle w:val="ONUME"/>
        <w:numPr>
          <w:ilvl w:val="1"/>
          <w:numId w:val="17"/>
        </w:numPr>
        <w:jc w:val="both"/>
        <w:rPr>
          <w:szCs w:val="22"/>
        </w:rPr>
      </w:pPr>
      <w:r>
        <w:t>Бюро для АТР следует опираться на имеющиеся сильные стороны системы мониторинга проектов путем учета таких факторов, как составление бюджета, ориентированного на конечный результат, гендерные элементы и показатели, основанные на ориентированной на результаты отчетности.</w:t>
      </w:r>
    </w:p>
    <w:p w:rsidR="00BD669D" w:rsidRDefault="00BD669D" w:rsidP="00A1090F">
      <w:pPr>
        <w:pStyle w:val="ONUME"/>
        <w:numPr>
          <w:ilvl w:val="1"/>
          <w:numId w:val="17"/>
        </w:numPr>
        <w:jc w:val="both"/>
        <w:rPr>
          <w:szCs w:val="22"/>
        </w:rPr>
      </w:pPr>
      <w:r>
        <w:t>Бюро для АТР не следует увеличивать число проектов сверх уже существующих 10</w:t>
      </w:r>
      <w:r w:rsidR="00010A39">
        <w:rPr>
          <w:lang w:val="en-GB"/>
        </w:rPr>
        <w:t> </w:t>
      </w:r>
      <w:r>
        <w:t>проектов.</w:t>
      </w:r>
      <w:r w:rsidR="00A1090F">
        <w:t xml:space="preserve"> </w:t>
      </w:r>
      <w:r>
        <w:t xml:space="preserve">Основное внимание следует </w:t>
      </w:r>
      <w:r w:rsidR="005A0561">
        <w:t>и впредь</w:t>
      </w:r>
      <w:r>
        <w:t xml:space="preserve"> уделять качеству, а не количеству.</w:t>
      </w:r>
    </w:p>
    <w:p w:rsidR="00186810" w:rsidRPr="00484233" w:rsidRDefault="00186810" w:rsidP="00484233">
      <w:pPr>
        <w:pStyle w:val="Heading1"/>
      </w:pPr>
      <w:bookmarkStart w:id="27" w:name="_Toc11683741"/>
      <w:bookmarkStart w:id="28" w:name="_Toc328920437"/>
      <w:r w:rsidRPr="00484233">
        <w:t>РАССЛЕДОВАНИЯ</w:t>
      </w:r>
      <w:bookmarkEnd w:id="27"/>
    </w:p>
    <w:p w:rsidR="00186810" w:rsidRDefault="00186810" w:rsidP="00962729">
      <w:pPr>
        <w:pStyle w:val="Heading2"/>
      </w:pPr>
      <w:r>
        <w:t>Обзор рабочей нагрузки</w:t>
      </w:r>
    </w:p>
    <w:p w:rsidR="00186810" w:rsidRDefault="00186810" w:rsidP="00A1090F">
      <w:pPr>
        <w:pStyle w:val="ONUME"/>
        <w:numPr>
          <w:ilvl w:val="0"/>
          <w:numId w:val="17"/>
        </w:numPr>
        <w:jc w:val="both"/>
      </w:pPr>
      <w:r>
        <w:t>В течение отчетного периода было зарегистрировано 21</w:t>
      </w:r>
      <w:r w:rsidR="00430371">
        <w:t> </w:t>
      </w:r>
      <w:r>
        <w:t>новое дело (что на 47 процентов больше по сравнению с предыдущим отче</w:t>
      </w:r>
      <w:r w:rsidR="003461FE">
        <w:t>тным периодом) и было закрыто 19</w:t>
      </w:r>
      <w:r w:rsidR="00430371">
        <w:t> </w:t>
      </w:r>
      <w:r>
        <w:t>дел.</w:t>
      </w:r>
      <w:r w:rsidR="00A1090F">
        <w:t xml:space="preserve"> </w:t>
      </w:r>
      <w:r>
        <w:t>По состоянию на 30</w:t>
      </w:r>
      <w:r w:rsidR="00010A39">
        <w:rPr>
          <w:lang w:val="en-GB"/>
        </w:rPr>
        <w:t> </w:t>
      </w:r>
      <w:r>
        <w:t>июня 2019 г. в разработке находились 1</w:t>
      </w:r>
      <w:r w:rsidR="003461FE">
        <w:t>4</w:t>
      </w:r>
      <w:r w:rsidR="00430371">
        <w:t> </w:t>
      </w:r>
      <w:r>
        <w:t xml:space="preserve">дел, в том числе </w:t>
      </w:r>
      <w:r w:rsidR="003461FE">
        <w:t>четыре</w:t>
      </w:r>
      <w:r>
        <w:t xml:space="preserve"> на этапе предварительной оценки, </w:t>
      </w:r>
      <w:r w:rsidR="003461FE">
        <w:t>восемь</w:t>
      </w:r>
      <w:r>
        <w:t xml:space="preserve"> — в процессе полномасштабного расследования и еще </w:t>
      </w:r>
      <w:r w:rsidR="003461FE">
        <w:t>два</w:t>
      </w:r>
      <w:r>
        <w:t xml:space="preserve"> были приостановлены в связи с продолжительным отсутствием соответствующего сотрудника или в ожидании решения сторонней организации.</w:t>
      </w:r>
      <w:r w:rsidR="00A1090F">
        <w:t xml:space="preserve"> </w:t>
      </w:r>
      <w:r>
        <w:t xml:space="preserve">Из незавершенных дел шесть были открыты в 2019 г., </w:t>
      </w:r>
      <w:r w:rsidR="003461FE">
        <w:t>шест</w:t>
      </w:r>
      <w:r>
        <w:t>ь — в 2018 г., одно — в 2017 г. и одно — в 2016</w:t>
      </w:r>
      <w:r w:rsidR="00430371">
        <w:t> </w:t>
      </w:r>
      <w:r>
        <w:t>г.</w:t>
      </w:r>
      <w:r w:rsidR="00A1090F">
        <w:t xml:space="preserve"> </w:t>
      </w:r>
      <w:r>
        <w:t>По состоянию на 1</w:t>
      </w:r>
      <w:r w:rsidR="00430371">
        <w:t> </w:t>
      </w:r>
      <w:r>
        <w:t>июля 2019</w:t>
      </w:r>
      <w:r w:rsidR="00430371">
        <w:t> </w:t>
      </w:r>
      <w:r>
        <w:t xml:space="preserve">г. средний срок расследования дел составляет </w:t>
      </w:r>
      <w:r w:rsidR="003461FE">
        <w:t>5</w:t>
      </w:r>
      <w:r>
        <w:t>,</w:t>
      </w:r>
      <w:r w:rsidR="003461FE">
        <w:t>5</w:t>
      </w:r>
      <w:r>
        <w:t> месяца.</w:t>
      </w:r>
    </w:p>
    <w:p w:rsidR="00484233" w:rsidRDefault="00484233">
      <w:pPr>
        <w:rPr>
          <w:b/>
          <w:sz w:val="18"/>
          <w:szCs w:val="18"/>
        </w:rPr>
      </w:pPr>
      <w:r>
        <w:rPr>
          <w:b/>
          <w:sz w:val="18"/>
          <w:szCs w:val="18"/>
        </w:rPr>
        <w:br w:type="page"/>
      </w:r>
    </w:p>
    <w:p w:rsidR="00186810" w:rsidRDefault="00186810" w:rsidP="00186810">
      <w:pPr>
        <w:pStyle w:val="ONUME"/>
        <w:numPr>
          <w:ilvl w:val="0"/>
          <w:numId w:val="0"/>
        </w:numPr>
        <w:jc w:val="center"/>
        <w:rPr>
          <w:b/>
          <w:sz w:val="18"/>
          <w:szCs w:val="18"/>
        </w:rPr>
      </w:pPr>
      <w:r>
        <w:rPr>
          <w:b/>
          <w:sz w:val="18"/>
          <w:szCs w:val="18"/>
        </w:rPr>
        <w:lastRenderedPageBreak/>
        <w:t>График 1. Сравнительный анализ рабочей нагрузки (расследования)</w:t>
      </w:r>
      <w:r>
        <w:rPr>
          <w:b/>
          <w:sz w:val="18"/>
          <w:szCs w:val="18"/>
        </w:rPr>
        <w:br/>
        <w:t>с 30 июня 2016 г. по 30 июня 2019 г.</w:t>
      </w:r>
    </w:p>
    <w:p w:rsidR="00145105" w:rsidRDefault="00AD69F6" w:rsidP="00186810">
      <w:pPr>
        <w:pStyle w:val="ONUME"/>
        <w:numPr>
          <w:ilvl w:val="0"/>
          <w:numId w:val="0"/>
        </w:numPr>
        <w:jc w:val="center"/>
        <w:rPr>
          <w:b/>
          <w:sz w:val="18"/>
          <w:szCs w:val="18"/>
        </w:rPr>
      </w:pPr>
      <w:r w:rsidRPr="00AD69F6">
        <w:rPr>
          <w:b/>
          <w:noProof/>
          <w:sz w:val="18"/>
          <w:szCs w:val="18"/>
          <w:lang w:val="en-US" w:eastAsia="en-US"/>
        </w:rPr>
        <w:drawing>
          <wp:inline distT="0" distB="0" distL="0" distR="0">
            <wp:extent cx="581025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4219575"/>
                    </a:xfrm>
                    <a:prstGeom prst="rect">
                      <a:avLst/>
                    </a:prstGeom>
                    <a:noFill/>
                    <a:ln>
                      <a:noFill/>
                    </a:ln>
                  </pic:spPr>
                </pic:pic>
              </a:graphicData>
            </a:graphic>
          </wp:inline>
        </w:drawing>
      </w:r>
    </w:p>
    <w:p w:rsidR="00186810" w:rsidRDefault="00186810" w:rsidP="00A1090F">
      <w:pPr>
        <w:pStyle w:val="ONUME"/>
        <w:numPr>
          <w:ilvl w:val="0"/>
          <w:numId w:val="17"/>
        </w:numPr>
        <w:jc w:val="both"/>
      </w:pPr>
      <w:r>
        <w:t>Из 21</w:t>
      </w:r>
      <w:r w:rsidR="00010A39">
        <w:rPr>
          <w:lang w:val="en-GB"/>
        </w:rPr>
        <w:t> </w:t>
      </w:r>
      <w:r>
        <w:t>дела, открытого в течение отчетного периода, три были переданы НККН для консультации в соответствии с соответствующими положениями УВН</w:t>
      </w:r>
      <w:r>
        <w:rPr>
          <w:rStyle w:val="FootnoteReference"/>
        </w:rPr>
        <w:footnoteReference w:id="8"/>
      </w:r>
      <w:r>
        <w:t>.</w:t>
      </w:r>
      <w:r w:rsidR="00A1090F">
        <w:t xml:space="preserve"> </w:t>
      </w:r>
    </w:p>
    <w:p w:rsidR="00186810" w:rsidRDefault="00186810" w:rsidP="00962729">
      <w:pPr>
        <w:pStyle w:val="Heading2"/>
      </w:pPr>
      <w:r>
        <w:t>Результаты проведенных расследований</w:t>
      </w:r>
    </w:p>
    <w:p w:rsidR="00186810" w:rsidRDefault="00186810" w:rsidP="00A1090F">
      <w:pPr>
        <w:pStyle w:val="ONUME"/>
        <w:numPr>
          <w:ilvl w:val="0"/>
          <w:numId w:val="17"/>
        </w:numPr>
        <w:jc w:val="both"/>
      </w:pPr>
      <w:r>
        <w:t>Согласно УВН, годовой отчет должен включать описание связанных с проведением расследования дел, которые были сочтены обоснованными, и решений по таким делам.</w:t>
      </w:r>
      <w:r w:rsidR="00A1090F">
        <w:t xml:space="preserve"> </w:t>
      </w:r>
      <w:r>
        <w:t>В пяти из дел, по которым были проведены расследования, ОВН установил, что обвинения являлись обоснованными, и рекомендовал принять дисциплинарные меры в отношении одного сотрудника.</w:t>
      </w:r>
      <w:r w:rsidR="00A1090F">
        <w:t xml:space="preserve"> </w:t>
      </w:r>
      <w:r>
        <w:t>Из этих пяти дел:</w:t>
      </w:r>
    </w:p>
    <w:p w:rsidR="00186810" w:rsidRDefault="004C1083" w:rsidP="00A1090F">
      <w:pPr>
        <w:pStyle w:val="ONUME"/>
        <w:numPr>
          <w:ilvl w:val="1"/>
          <w:numId w:val="17"/>
        </w:numPr>
        <w:jc w:val="both"/>
      </w:pPr>
      <w:r>
        <w:t>одно дело касалось предоставления сотрудником неправильных сведений о времени, проведенном на работе;</w:t>
      </w:r>
    </w:p>
    <w:p w:rsidR="00186810" w:rsidRDefault="004C1083" w:rsidP="00A1090F">
      <w:pPr>
        <w:pStyle w:val="ONUME"/>
        <w:numPr>
          <w:ilvl w:val="1"/>
          <w:numId w:val="17"/>
        </w:numPr>
        <w:jc w:val="both"/>
      </w:pPr>
      <w:r>
        <w:t xml:space="preserve">два дела касались домогательств и/или злоупотребления своим положением со стороны сотрудника; </w:t>
      </w:r>
    </w:p>
    <w:p w:rsidR="00186810" w:rsidRDefault="00186810" w:rsidP="00A1090F">
      <w:pPr>
        <w:pStyle w:val="ONUME"/>
        <w:numPr>
          <w:ilvl w:val="1"/>
          <w:numId w:val="17"/>
        </w:numPr>
        <w:jc w:val="both"/>
      </w:pPr>
      <w:r>
        <w:t>одно дело касалось внутренней кражи на рабочем месте; и</w:t>
      </w:r>
    </w:p>
    <w:p w:rsidR="00484233" w:rsidRDefault="00186810" w:rsidP="00A1090F">
      <w:pPr>
        <w:pStyle w:val="ONUME"/>
        <w:numPr>
          <w:ilvl w:val="1"/>
          <w:numId w:val="17"/>
        </w:numPr>
        <w:jc w:val="both"/>
      </w:pPr>
      <w:r>
        <w:t>одно дело касалось неразрешенной профессиональной деятельности сотрудника вне Организации.</w:t>
      </w:r>
    </w:p>
    <w:p w:rsidR="00484233" w:rsidRDefault="00484233" w:rsidP="00484233">
      <w:pPr>
        <w:pStyle w:val="ONUME"/>
        <w:numPr>
          <w:ilvl w:val="0"/>
          <w:numId w:val="0"/>
        </w:numPr>
        <w:ind w:left="567"/>
        <w:jc w:val="both"/>
      </w:pPr>
    </w:p>
    <w:p w:rsidR="00484233" w:rsidRDefault="00484233">
      <w:r>
        <w:br w:type="page"/>
      </w:r>
    </w:p>
    <w:p w:rsidR="00186810" w:rsidRDefault="00186810" w:rsidP="00A1090F">
      <w:pPr>
        <w:pStyle w:val="ONUME"/>
        <w:numPr>
          <w:ilvl w:val="0"/>
          <w:numId w:val="17"/>
        </w:numPr>
        <w:jc w:val="both"/>
      </w:pPr>
      <w:r>
        <w:lastRenderedPageBreak/>
        <w:t>После вынесения рекомендаций о возбуждении дисциплинарного производства:</w:t>
      </w:r>
    </w:p>
    <w:p w:rsidR="00186810" w:rsidRDefault="00186810" w:rsidP="00A1090F">
      <w:pPr>
        <w:pStyle w:val="ONUME"/>
        <w:numPr>
          <w:ilvl w:val="1"/>
          <w:numId w:val="17"/>
        </w:numPr>
        <w:jc w:val="both"/>
      </w:pPr>
      <w:r>
        <w:t>в одном случае сотрудник был уволен из Организации;</w:t>
      </w:r>
    </w:p>
    <w:p w:rsidR="00186810" w:rsidRDefault="00186810" w:rsidP="00A1090F">
      <w:pPr>
        <w:pStyle w:val="ONUME"/>
        <w:numPr>
          <w:ilvl w:val="1"/>
          <w:numId w:val="17"/>
        </w:numPr>
        <w:jc w:val="both"/>
      </w:pPr>
      <w:r>
        <w:t xml:space="preserve">в одном случае сотрудник был понижен в должности до более низкого класса; </w:t>
      </w:r>
    </w:p>
    <w:p w:rsidR="00186810" w:rsidRDefault="00186810" w:rsidP="00A1090F">
      <w:pPr>
        <w:pStyle w:val="ONUME"/>
        <w:numPr>
          <w:ilvl w:val="1"/>
          <w:numId w:val="17"/>
        </w:numPr>
        <w:jc w:val="both"/>
      </w:pPr>
      <w:r>
        <w:t xml:space="preserve">в одном случае проведение дисциплинарного производства было невозможно, так как соответствующий сотрудник покинул Организацию; и </w:t>
      </w:r>
    </w:p>
    <w:p w:rsidR="00186810" w:rsidRDefault="00186810" w:rsidP="00A1090F">
      <w:pPr>
        <w:pStyle w:val="ONUME"/>
        <w:numPr>
          <w:ilvl w:val="1"/>
          <w:numId w:val="17"/>
        </w:numPr>
        <w:jc w:val="both"/>
      </w:pPr>
      <w:r>
        <w:t>по двум делам окончательное решение руководства еще не было принято по состоянию на 30 июня 2019 г.</w:t>
      </w:r>
    </w:p>
    <w:p w:rsidR="00D35AD9" w:rsidRDefault="00186810" w:rsidP="00A1090F">
      <w:pPr>
        <w:pStyle w:val="ONUME"/>
        <w:numPr>
          <w:ilvl w:val="0"/>
          <w:numId w:val="17"/>
        </w:numPr>
        <w:jc w:val="both"/>
      </w:pPr>
      <w:bookmarkStart w:id="29" w:name="_Ref10466696"/>
      <w:r>
        <w:t>Кроме того, расследования, проведенные в отчетный период, позволили ОВН извлечь некоторые уроки.</w:t>
      </w:r>
      <w:r w:rsidR="00A1090F">
        <w:t xml:space="preserve"> </w:t>
      </w:r>
      <w:r>
        <w:t xml:space="preserve">В частности, </w:t>
      </w:r>
      <w:r w:rsidR="00982CEA">
        <w:t>в</w:t>
      </w:r>
      <w:r>
        <w:t xml:space="preserve">ыпущен </w:t>
      </w:r>
      <w:r w:rsidR="00982CEA">
        <w:t>один</w:t>
      </w:r>
      <w:r>
        <w:t xml:space="preserve"> ОРРР, </w:t>
      </w:r>
      <w:r w:rsidR="00982CEA">
        <w:t xml:space="preserve">высказана </w:t>
      </w:r>
      <w:r>
        <w:t>рекомендаци</w:t>
      </w:r>
      <w:r w:rsidR="00982CEA">
        <w:t>я</w:t>
      </w:r>
      <w:r>
        <w:t xml:space="preserve"> в отношении изменений ex officio в Мадридском реестре</w:t>
      </w:r>
      <w:r w:rsidR="00982CEA">
        <w:t>.  Второй ОРРР, выпущенный в виде проекта для получения замечаний, касается</w:t>
      </w:r>
      <w:r>
        <w:t> систем управления запросами клиентов.</w:t>
      </w:r>
      <w:bookmarkEnd w:id="29"/>
    </w:p>
    <w:p w:rsidR="00186810" w:rsidRDefault="00186810" w:rsidP="00A1090F">
      <w:pPr>
        <w:pStyle w:val="ONUME"/>
        <w:numPr>
          <w:ilvl w:val="0"/>
          <w:numId w:val="17"/>
        </w:numPr>
        <w:jc w:val="both"/>
      </w:pPr>
      <w:r>
        <w:t>Сравнительный анализ дел, зарегистрированных в период с 1</w:t>
      </w:r>
      <w:r w:rsidR="00430371">
        <w:t> </w:t>
      </w:r>
      <w:r>
        <w:t>июля 2016</w:t>
      </w:r>
      <w:r w:rsidR="00430371">
        <w:t> </w:t>
      </w:r>
      <w:r>
        <w:t>г. по 30</w:t>
      </w:r>
      <w:r w:rsidR="00430371">
        <w:t> </w:t>
      </w:r>
      <w:r>
        <w:t>июня 2019</w:t>
      </w:r>
      <w:r w:rsidR="00430371">
        <w:t> </w:t>
      </w:r>
      <w:r>
        <w:t>г. приводится в таблице ниже:</w:t>
      </w:r>
    </w:p>
    <w:p w:rsidR="00186810" w:rsidRDefault="00186810" w:rsidP="00186810">
      <w:pPr>
        <w:pStyle w:val="ONUME"/>
        <w:keepNext/>
        <w:numPr>
          <w:ilvl w:val="0"/>
          <w:numId w:val="0"/>
        </w:numPr>
        <w:jc w:val="center"/>
        <w:rPr>
          <w:b/>
          <w:sz w:val="18"/>
          <w:szCs w:val="18"/>
        </w:rPr>
      </w:pPr>
      <w:r>
        <w:rPr>
          <w:b/>
          <w:sz w:val="18"/>
          <w:szCs w:val="18"/>
        </w:rPr>
        <w:t>Таблица 1. Анализ жалоб, полученных с 1 июля 2016 г. по 30 июня 2019 г.</w:t>
      </w:r>
    </w:p>
    <w:p w:rsidR="008C4CE1" w:rsidRDefault="00AD69F6" w:rsidP="00397480">
      <w:pPr>
        <w:pStyle w:val="ONUME"/>
        <w:numPr>
          <w:ilvl w:val="0"/>
          <w:numId w:val="0"/>
        </w:numPr>
        <w:jc w:val="center"/>
        <w:rPr>
          <w:b/>
          <w:sz w:val="18"/>
          <w:szCs w:val="18"/>
        </w:rPr>
      </w:pPr>
      <w:r w:rsidRPr="00AD69F6">
        <w:rPr>
          <w:b/>
          <w:noProof/>
          <w:sz w:val="18"/>
          <w:szCs w:val="18"/>
          <w:lang w:val="en-US" w:eastAsia="en-US"/>
        </w:rPr>
        <w:drawing>
          <wp:inline distT="0" distB="0" distL="0" distR="0">
            <wp:extent cx="552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AD69F6">
        <w:rPr>
          <w:b/>
          <w:noProof/>
          <w:sz w:val="18"/>
          <w:szCs w:val="18"/>
          <w:lang w:val="en-US" w:eastAsia="en-US"/>
        </w:rPr>
        <w:drawing>
          <wp:inline distT="0" distB="0" distL="0" distR="0">
            <wp:extent cx="552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AD69F6">
        <w:rPr>
          <w:b/>
          <w:noProof/>
          <w:sz w:val="18"/>
          <w:szCs w:val="18"/>
          <w:lang w:val="en-US" w:eastAsia="en-US"/>
        </w:rPr>
        <w:drawing>
          <wp:inline distT="0" distB="0" distL="0" distR="0">
            <wp:extent cx="5940425" cy="3139939"/>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139939"/>
                    </a:xfrm>
                    <a:prstGeom prst="rect">
                      <a:avLst/>
                    </a:prstGeom>
                    <a:noFill/>
                    <a:ln>
                      <a:noFill/>
                    </a:ln>
                  </pic:spPr>
                </pic:pic>
              </a:graphicData>
            </a:graphic>
          </wp:inline>
        </w:drawing>
      </w:r>
    </w:p>
    <w:p w:rsidR="00186810" w:rsidRDefault="00186810" w:rsidP="00186810">
      <w:pPr>
        <w:pStyle w:val="ONUME"/>
        <w:numPr>
          <w:ilvl w:val="0"/>
          <w:numId w:val="0"/>
        </w:numPr>
        <w:jc w:val="center"/>
      </w:pPr>
    </w:p>
    <w:p w:rsidR="00186810" w:rsidRDefault="00186810" w:rsidP="00186810">
      <w:pPr>
        <w:pStyle w:val="ONUME"/>
        <w:keepNext/>
        <w:numPr>
          <w:ilvl w:val="0"/>
          <w:numId w:val="0"/>
        </w:numPr>
        <w:jc w:val="center"/>
        <w:rPr>
          <w:b/>
          <w:sz w:val="18"/>
          <w:szCs w:val="18"/>
        </w:rPr>
      </w:pPr>
      <w:r>
        <w:rPr>
          <w:b/>
          <w:sz w:val="18"/>
          <w:szCs w:val="18"/>
        </w:rPr>
        <w:lastRenderedPageBreak/>
        <w:t>График 2. Анализ дел, закрытых с 1</w:t>
      </w:r>
      <w:r w:rsidR="00430371">
        <w:rPr>
          <w:b/>
          <w:sz w:val="18"/>
          <w:szCs w:val="18"/>
        </w:rPr>
        <w:t> </w:t>
      </w:r>
      <w:r>
        <w:rPr>
          <w:b/>
          <w:sz w:val="18"/>
          <w:szCs w:val="18"/>
        </w:rPr>
        <w:t>июля 2016 г. по 30</w:t>
      </w:r>
      <w:r w:rsidR="00430371">
        <w:rPr>
          <w:b/>
          <w:sz w:val="18"/>
          <w:szCs w:val="18"/>
        </w:rPr>
        <w:t> </w:t>
      </w:r>
      <w:r>
        <w:rPr>
          <w:b/>
          <w:sz w:val="18"/>
          <w:szCs w:val="18"/>
        </w:rPr>
        <w:t>июня 2019 г.</w:t>
      </w:r>
    </w:p>
    <w:p w:rsidR="00186810" w:rsidRDefault="00AD69F6" w:rsidP="0096299E">
      <w:pPr>
        <w:pStyle w:val="ONUME"/>
        <w:keepNext/>
        <w:numPr>
          <w:ilvl w:val="0"/>
          <w:numId w:val="0"/>
        </w:numPr>
        <w:jc w:val="center"/>
      </w:pPr>
      <w:r w:rsidRPr="00AD69F6">
        <w:rPr>
          <w:noProof/>
          <w:lang w:val="en-US" w:eastAsia="en-US"/>
        </w:rPr>
        <w:drawing>
          <wp:inline distT="0" distB="0" distL="0" distR="0">
            <wp:extent cx="4562475" cy="2733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186810" w:rsidRPr="00DA5DBB" w:rsidRDefault="00186810" w:rsidP="00484233">
      <w:pPr>
        <w:pStyle w:val="Heading1"/>
      </w:pPr>
      <w:bookmarkStart w:id="30" w:name="_Toc11683742"/>
      <w:r>
        <w:t>СЛУЧАИ ОТКАЗА В ПРЕДОСТАВЛЕНИИ ИНФОРМАЦИИ ИЛИ ОКАЗАНИИ ПОДДЕРЖКИ</w:t>
      </w:r>
      <w:bookmarkEnd w:id="30"/>
    </w:p>
    <w:p w:rsidR="00186810" w:rsidRDefault="00186810" w:rsidP="00A1090F">
      <w:pPr>
        <w:pStyle w:val="ONUME"/>
        <w:numPr>
          <w:ilvl w:val="0"/>
          <w:numId w:val="17"/>
        </w:numPr>
        <w:jc w:val="both"/>
      </w:pPr>
      <w:r>
        <w:t>Согласно пункту 48 (g) УВН директор ОВН должен сообщать обо всех случаях, имевших место в отчетный период, когда доступ ОВН к архивам, сотрудникам и помещениям был ограничен.</w:t>
      </w:r>
    </w:p>
    <w:p w:rsidR="00186810" w:rsidRPr="004B2173" w:rsidRDefault="00186810" w:rsidP="00A1090F">
      <w:pPr>
        <w:pStyle w:val="ONUME"/>
        <w:numPr>
          <w:ilvl w:val="0"/>
          <w:numId w:val="17"/>
        </w:numPr>
        <w:jc w:val="both"/>
      </w:pPr>
      <w:r>
        <w:t>ОВН сообщает, что в течение отчетного периода ни один сотрудник Организации не отказывался предоставить информацию или оказать содействие в осуществлении текущих надзорных процедур.</w:t>
      </w:r>
    </w:p>
    <w:p w:rsidR="00186810" w:rsidRPr="00EF631C" w:rsidRDefault="00186810" w:rsidP="00484233">
      <w:pPr>
        <w:pStyle w:val="Heading1"/>
      </w:pPr>
      <w:bookmarkStart w:id="31" w:name="_Toc11683743"/>
      <w:r>
        <w:t>ВЫПОЛНЕНИЕ РЕКОМЕНДАЦИЙ В ОБЛАСТИ ВНУТРЕННЕГО НАДЗОРА</w:t>
      </w:r>
      <w:bookmarkEnd w:id="28"/>
      <w:bookmarkEnd w:id="31"/>
    </w:p>
    <w:p w:rsidR="00186810" w:rsidRPr="004B2173" w:rsidRDefault="00186810" w:rsidP="00A1090F">
      <w:pPr>
        <w:pStyle w:val="ONUME"/>
        <w:numPr>
          <w:ilvl w:val="0"/>
          <w:numId w:val="17"/>
        </w:numPr>
        <w:jc w:val="both"/>
      </w:pPr>
      <w:r>
        <w:t>Генеральный директор несет ответственность за обеспечение оперативного выполнения всех рекомендаций, вынесенных директором ОВН и другими надзорными органами, с указанием мер, принятых руководством в связи с конкретными выводами и рекомендациями, содержащимися в отчете</w:t>
      </w:r>
      <w:r w:rsidRPr="00E04B15">
        <w:rPr>
          <w:rStyle w:val="FootnoteReference"/>
        </w:rPr>
        <w:footnoteReference w:id="9"/>
      </w:r>
      <w:r>
        <w:t>.</w:t>
      </w:r>
      <w:r w:rsidR="00A1090F">
        <w:t xml:space="preserve"> </w:t>
      </w:r>
      <w:r>
        <w:t>Генеральный директор выполняет эту обязанность через руководителей программ, которые отвечают за конкретные направления оперативной деятельности Организации</w:t>
      </w:r>
      <w:r w:rsidRPr="00E04B15">
        <w:rPr>
          <w:rStyle w:val="FootnoteReference"/>
        </w:rPr>
        <w:footnoteReference w:id="10"/>
      </w:r>
      <w:r>
        <w:t>.</w:t>
      </w:r>
      <w:r w:rsidR="00A1090F">
        <w:t xml:space="preserve"> </w:t>
      </w:r>
      <w:r>
        <w:t>ОВН регулярно проверяет ход выполнения всех рекомендаций надзорных органов руководителями программ ВОИС</w:t>
      </w:r>
      <w:r w:rsidRPr="00E04B15">
        <w:rPr>
          <w:rStyle w:val="FootnoteReference"/>
        </w:rPr>
        <w:footnoteReference w:id="11"/>
      </w:r>
      <w:r>
        <w:t>.</w:t>
      </w:r>
    </w:p>
    <w:p w:rsidR="00186810" w:rsidRDefault="00186810" w:rsidP="00A1090F">
      <w:pPr>
        <w:pStyle w:val="ONUME"/>
        <w:numPr>
          <w:ilvl w:val="0"/>
          <w:numId w:val="17"/>
        </w:numPr>
        <w:jc w:val="both"/>
      </w:pPr>
      <w:r>
        <w:t>ОВН по-прежнему контролирует выполнение рекомендаций и отчитывается о проделанной работе с помощью системы TeamCentral©, которая позволяет вести интерактивный диалог с руководителями программ и их представителями для обеспечения эффективного контроля выпо</w:t>
      </w:r>
      <w:r w:rsidR="00480D9B">
        <w:t>лнения остающихся рекомендаций.</w:t>
      </w:r>
    </w:p>
    <w:p w:rsidR="00985997" w:rsidRDefault="00985997" w:rsidP="00A1090F">
      <w:pPr>
        <w:pStyle w:val="ONUME"/>
        <w:numPr>
          <w:ilvl w:val="0"/>
          <w:numId w:val="17"/>
        </w:numPr>
        <w:jc w:val="both"/>
      </w:pPr>
      <w:r>
        <w:t xml:space="preserve">ОВН завершает работу над проектом по информационно-аналитическому обеспечению (ИАО), который предусматривает создание возможностей для контроля за выполнением вынесенных рекомендаций с помощью организационных панелей ИАО. Путем увязывания данных о рекомендациях из системы TeamCentral© с организационными панелями ИАО, а также предоставления установленных прав доступа руководство сможет </w:t>
      </w:r>
      <w:r>
        <w:lastRenderedPageBreak/>
        <w:t xml:space="preserve">получить более четкое каждодневное представление о ходе выполнения рекомендаций, а также возможность готовить отчеты. </w:t>
      </w:r>
    </w:p>
    <w:p w:rsidR="00186810" w:rsidRDefault="00186810" w:rsidP="00A1090F">
      <w:pPr>
        <w:pStyle w:val="ONUME"/>
        <w:numPr>
          <w:ilvl w:val="0"/>
          <w:numId w:val="17"/>
        </w:numPr>
        <w:jc w:val="both"/>
      </w:pPr>
      <w:r>
        <w:t>На дату составления настоящего отчета насчитывается 1</w:t>
      </w:r>
      <w:r w:rsidR="004419F5">
        <w:t>55</w:t>
      </w:r>
      <w:r w:rsidR="00430371">
        <w:t> </w:t>
      </w:r>
      <w:r>
        <w:t xml:space="preserve">невыполненных рекомендаций, включая </w:t>
      </w:r>
      <w:r w:rsidR="00252648">
        <w:t>68</w:t>
      </w:r>
      <w:r w:rsidR="00010A39">
        <w:rPr>
          <w:lang w:val="en-GB"/>
        </w:rPr>
        <w:t> </w:t>
      </w:r>
      <w:r>
        <w:t>рекомендаци</w:t>
      </w:r>
      <w:r w:rsidR="00252648">
        <w:t>й</w:t>
      </w:r>
      <w:r>
        <w:t xml:space="preserve"> с высокой степенью приоритетности и </w:t>
      </w:r>
      <w:r w:rsidR="00252648">
        <w:t>87</w:t>
      </w:r>
      <w:r w:rsidR="00430371">
        <w:t> </w:t>
      </w:r>
      <w:r>
        <w:t>со средней.</w:t>
      </w:r>
      <w:r w:rsidR="00A1090F">
        <w:t xml:space="preserve"> </w:t>
      </w:r>
      <w:r>
        <w:t xml:space="preserve">Рекомендации ОВН составляют </w:t>
      </w:r>
      <w:r w:rsidR="00252648">
        <w:t>85</w:t>
      </w:r>
      <w:r w:rsidR="00430371">
        <w:t> </w:t>
      </w:r>
      <w:r>
        <w:t xml:space="preserve">процентов всех невыполненных надзорных рекомендаций. </w:t>
      </w:r>
    </w:p>
    <w:p w:rsidR="00186810" w:rsidRPr="005D4B14" w:rsidRDefault="00186810" w:rsidP="00186810">
      <w:pPr>
        <w:pStyle w:val="ONUME"/>
        <w:numPr>
          <w:ilvl w:val="0"/>
          <w:numId w:val="0"/>
        </w:numPr>
        <w:jc w:val="center"/>
        <w:rPr>
          <w:b/>
          <w:sz w:val="18"/>
          <w:szCs w:val="18"/>
        </w:rPr>
      </w:pPr>
      <w:r w:rsidRPr="005D4B14">
        <w:rPr>
          <w:b/>
          <w:sz w:val="18"/>
          <w:szCs w:val="18"/>
        </w:rPr>
        <w:t>График 3. Невыполненные рекомендации в разбивке по источникам и степени приоритетности (1</w:t>
      </w:r>
      <w:r w:rsidR="00252648" w:rsidRPr="005D4B14">
        <w:rPr>
          <w:b/>
          <w:sz w:val="18"/>
          <w:szCs w:val="18"/>
        </w:rPr>
        <w:t>55</w:t>
      </w:r>
      <w:r w:rsidRPr="005D4B14">
        <w:rPr>
          <w:b/>
          <w:sz w:val="18"/>
          <w:szCs w:val="18"/>
        </w:rPr>
        <w:t>)</w:t>
      </w:r>
    </w:p>
    <w:p w:rsidR="00A1090F" w:rsidRPr="00C620A2" w:rsidRDefault="00AD69F6" w:rsidP="00186810">
      <w:pPr>
        <w:pStyle w:val="ONUME"/>
        <w:numPr>
          <w:ilvl w:val="0"/>
          <w:numId w:val="0"/>
        </w:numPr>
        <w:jc w:val="center"/>
      </w:pPr>
      <w:r w:rsidRPr="00AD69F6">
        <w:rPr>
          <w:noProof/>
          <w:lang w:val="en-US" w:eastAsia="en-US"/>
        </w:rPr>
        <w:drawing>
          <wp:inline distT="0" distB="0" distL="0" distR="0">
            <wp:extent cx="5257800" cy="3571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3571875"/>
                    </a:xfrm>
                    <a:prstGeom prst="rect">
                      <a:avLst/>
                    </a:prstGeom>
                    <a:noFill/>
                    <a:ln>
                      <a:noFill/>
                    </a:ln>
                  </pic:spPr>
                </pic:pic>
              </a:graphicData>
            </a:graphic>
          </wp:inline>
        </w:drawing>
      </w:r>
    </w:p>
    <w:p w:rsidR="00252648" w:rsidRDefault="00186810" w:rsidP="00A1090F">
      <w:pPr>
        <w:pStyle w:val="ONUME"/>
        <w:numPr>
          <w:ilvl w:val="0"/>
          <w:numId w:val="17"/>
        </w:numPr>
        <w:jc w:val="both"/>
      </w:pPr>
      <w:r>
        <w:t>В ходе отчетного периода было добавлено 16 рекомендаций из доклада внешних аудиторов за 2017–2018 гг</w:t>
      </w:r>
      <w:r w:rsidR="00537457">
        <w:t>.</w:t>
      </w:r>
      <w:r w:rsidR="003C41D6">
        <w:rPr>
          <w:rStyle w:val="FootnoteReference"/>
        </w:rPr>
        <w:footnoteReference w:id="12"/>
      </w:r>
      <w:r w:rsidR="00A1090F">
        <w:t xml:space="preserve"> </w:t>
      </w:r>
      <w:r>
        <w:t>Двадцать четыре рекомендации ОВН получены из пяти отчетов об аудиторских проверках, двух отчет</w:t>
      </w:r>
      <w:r w:rsidR="00C74372">
        <w:t>ов</w:t>
      </w:r>
      <w:r>
        <w:t xml:space="preserve"> об оценке и одного </w:t>
      </w:r>
      <w:r w:rsidR="00252648">
        <w:t>ОРРР</w:t>
      </w:r>
      <w:r>
        <w:t>.</w:t>
      </w:r>
      <w:r w:rsidR="00FF5937">
        <w:t xml:space="preserve">  НКНН вынес две рекомендации по итогам проведенного им обзора ориентировочных сроков, </w:t>
      </w:r>
      <w:r w:rsidR="00FF5937" w:rsidRPr="00FF5937">
        <w:t>установленны</w:t>
      </w:r>
      <w:r w:rsidR="00FF5937">
        <w:t>х</w:t>
      </w:r>
      <w:r w:rsidR="00FF5937" w:rsidRPr="00FF5937">
        <w:t xml:space="preserve"> для процедур отчетности и расследования</w:t>
      </w:r>
      <w:r w:rsidR="00FF5937">
        <w:t xml:space="preserve"> </w:t>
      </w:r>
      <w:r w:rsidR="00FF5937" w:rsidRPr="00FF5937">
        <w:t>(</w:t>
      </w:r>
      <w:r w:rsidR="00FF5937" w:rsidRPr="00FF5937">
        <w:rPr>
          <w:lang w:val="en-US"/>
        </w:rPr>
        <w:t>WO</w:t>
      </w:r>
      <w:r w:rsidR="00FF5937" w:rsidRPr="00FF5937">
        <w:t>/</w:t>
      </w:r>
      <w:r w:rsidR="00FF5937" w:rsidRPr="00FF5937">
        <w:rPr>
          <w:lang w:val="en-US"/>
        </w:rPr>
        <w:t>PBC</w:t>
      </w:r>
      <w:r w:rsidR="00FF5937" w:rsidRPr="00FF5937">
        <w:t>/30/14)</w:t>
      </w:r>
      <w:r w:rsidR="00FF5937">
        <w:t>.</w:t>
      </w:r>
    </w:p>
    <w:p w:rsidR="00186810" w:rsidRDefault="00186810" w:rsidP="00A1090F">
      <w:pPr>
        <w:pStyle w:val="ONUME"/>
        <w:numPr>
          <w:ilvl w:val="0"/>
          <w:numId w:val="17"/>
        </w:numPr>
        <w:jc w:val="both"/>
      </w:pPr>
      <w:r>
        <w:t>В отчетный период ни одна из рекомендаций ОВН не была закрыта без выполнения.</w:t>
      </w:r>
      <w:r w:rsidR="00252648">
        <w:t xml:space="preserve"> </w:t>
      </w:r>
      <w:r>
        <w:t xml:space="preserve"> Внешние аудиторы закрыли четыре рекомендации, вынесенные по итогам проведенной в 2015–2016 гг. аудиторской проверки соблюдения требований в отношении поездок и стипендий, на том основании, что руководство признало соответствующие риски.</w:t>
      </w:r>
      <w:r w:rsidR="00E77F10">
        <w:t xml:space="preserve"> </w:t>
      </w:r>
    </w:p>
    <w:p w:rsidR="00163EB1" w:rsidRDefault="00E77F10" w:rsidP="00E77F10">
      <w:pPr>
        <w:pStyle w:val="ONUME"/>
        <w:numPr>
          <w:ilvl w:val="0"/>
          <w:numId w:val="17"/>
        </w:numPr>
        <w:jc w:val="both"/>
      </w:pPr>
      <w:r>
        <w:t xml:space="preserve">После назначения Контролера и Генерального аудитора Соединенного Королевства внешним аудитором ВОИС с 1 января 2018 г. </w:t>
      </w:r>
      <w:r w:rsidRPr="00E77F10">
        <w:t>Национальное финансово-ревизионное управление Соединенного Королевства</w:t>
      </w:r>
      <w:r>
        <w:t xml:space="preserve"> </w:t>
      </w:r>
      <w:r w:rsidRPr="00E77F10">
        <w:t>(NAO)</w:t>
      </w:r>
      <w:r w:rsidR="00163EB1" w:rsidRPr="00163EB1">
        <w:t xml:space="preserve"> </w:t>
      </w:r>
      <w:r w:rsidR="00163EB1">
        <w:t xml:space="preserve">проанализировало </w:t>
      </w:r>
      <w:r w:rsidR="00537457">
        <w:t>еще невыполненные</w:t>
      </w:r>
      <w:r w:rsidR="00163EB1">
        <w:t xml:space="preserve"> рекомендации предыдущих внешних ревизоров.  </w:t>
      </w:r>
      <w:r w:rsidR="00163EB1">
        <w:rPr>
          <w:lang w:val="en-US"/>
        </w:rPr>
        <w:t>NAO</w:t>
      </w:r>
      <w:r w:rsidR="00163EB1">
        <w:t xml:space="preserve"> рассмотрело 19 из оставшихся 62 рекомендаций, закрыло 12 из них и сочло остальные семь еще не реализованными.  Управление проконтролирует осуществление этих семи рекомендаций.</w:t>
      </w:r>
    </w:p>
    <w:p w:rsidR="00163EB1" w:rsidRPr="00CA247E" w:rsidRDefault="00480D9B" w:rsidP="00CA247E">
      <w:pPr>
        <w:pStyle w:val="ListParagraph"/>
        <w:numPr>
          <w:ilvl w:val="0"/>
          <w:numId w:val="17"/>
        </w:numPr>
      </w:pPr>
      <w:r>
        <w:t>ОВН</w:t>
      </w:r>
      <w:r w:rsidRPr="00480D9B">
        <w:t xml:space="preserve"> </w:t>
      </w:r>
      <w:r>
        <w:t>дополнительно</w:t>
      </w:r>
      <w:r w:rsidRPr="00480D9B">
        <w:t xml:space="preserve"> </w:t>
      </w:r>
      <w:r>
        <w:t>проанализировал</w:t>
      </w:r>
      <w:r w:rsidRPr="00480D9B">
        <w:t xml:space="preserve"> </w:t>
      </w:r>
      <w:r>
        <w:t>остальные</w:t>
      </w:r>
      <w:r w:rsidRPr="00480D9B">
        <w:t xml:space="preserve"> 43 рекомендации предыдущих внешних ревизоров</w:t>
      </w:r>
      <w:r>
        <w:t xml:space="preserve">, которые не были рассмотрены </w:t>
      </w:r>
      <w:r>
        <w:rPr>
          <w:lang w:val="en-US"/>
        </w:rPr>
        <w:t>NAO</w:t>
      </w:r>
      <w:r>
        <w:t>, закрыв 29 рекомендаций.  ОВН</w:t>
      </w:r>
      <w:r w:rsidRPr="00480D9B">
        <w:t xml:space="preserve"> </w:t>
      </w:r>
      <w:r>
        <w:t>проконтролирует</w:t>
      </w:r>
      <w:r w:rsidRPr="00480D9B">
        <w:t xml:space="preserve"> </w:t>
      </w:r>
      <w:r>
        <w:t>осуществление</w:t>
      </w:r>
      <w:r w:rsidRPr="00480D9B">
        <w:t xml:space="preserve"> </w:t>
      </w:r>
      <w:r>
        <w:t>остальных</w:t>
      </w:r>
      <w:r w:rsidRPr="00480D9B">
        <w:t xml:space="preserve"> 14 </w:t>
      </w:r>
      <w:r>
        <w:t>открытых</w:t>
      </w:r>
      <w:r w:rsidRPr="00480D9B">
        <w:t xml:space="preserve"> </w:t>
      </w:r>
      <w:r>
        <w:t>рекомендаций</w:t>
      </w:r>
      <w:r w:rsidRPr="00480D9B">
        <w:t xml:space="preserve"> </w:t>
      </w:r>
      <w:r>
        <w:t>в</w:t>
      </w:r>
      <w:r w:rsidRPr="00480D9B">
        <w:t xml:space="preserve"> </w:t>
      </w:r>
      <w:r>
        <w:t>этой</w:t>
      </w:r>
      <w:r w:rsidRPr="00480D9B">
        <w:t xml:space="preserve"> </w:t>
      </w:r>
      <w:r>
        <w:t>группе</w:t>
      </w:r>
      <w:r w:rsidRPr="00480D9B">
        <w:t xml:space="preserve"> </w:t>
      </w:r>
      <w:r w:rsidRPr="00480D9B">
        <w:lastRenderedPageBreak/>
        <w:t>рекомендаци</w:t>
      </w:r>
      <w:r>
        <w:t>й</w:t>
      </w:r>
      <w:r w:rsidRPr="00480D9B">
        <w:t xml:space="preserve"> предыдущих внешних ревизоров</w:t>
      </w:r>
      <w:r w:rsidR="00163EB1" w:rsidRPr="00480D9B">
        <w:t xml:space="preserve"> (</w:t>
      </w:r>
      <w:r w:rsidR="00CA247E">
        <w:t>в таблиц</w:t>
      </w:r>
      <w:r w:rsidR="00537457">
        <w:t>е</w:t>
      </w:r>
      <w:r w:rsidR="00CA247E">
        <w:t xml:space="preserve"> 2 ниже </w:t>
      </w:r>
      <w:r w:rsidR="00537457">
        <w:t xml:space="preserve">– </w:t>
      </w:r>
      <w:r w:rsidR="00CA247E">
        <w:t>строка «</w:t>
      </w:r>
      <w:r w:rsidR="00CA247E" w:rsidRPr="00CA247E">
        <w:t>Переданные в ОВН рекомендации ВА</w:t>
      </w:r>
      <w:r w:rsidR="00CA247E">
        <w:t>»</w:t>
      </w:r>
      <w:r w:rsidR="00163EB1" w:rsidRPr="00480D9B">
        <w:t xml:space="preserve">).  </w:t>
      </w:r>
      <w:r w:rsidR="00CA247E">
        <w:t>В таблице 2</w:t>
      </w:r>
      <w:r w:rsidR="00CA247E" w:rsidRPr="00CA247E">
        <w:t xml:space="preserve"> показ</w:t>
      </w:r>
      <w:r w:rsidR="00CA247E">
        <w:t>ана</w:t>
      </w:r>
      <w:r w:rsidR="00CA247E" w:rsidRPr="00CA247E">
        <w:t xml:space="preserve"> динамик</w:t>
      </w:r>
      <w:r w:rsidR="00CA247E">
        <w:t>а</w:t>
      </w:r>
      <w:r w:rsidR="00CA247E" w:rsidRPr="00CA247E">
        <w:t xml:space="preserve"> рекомендаций в разбивке по источникам за период с 1 июля 2018 г. по 30 июня 2019 г.</w:t>
      </w:r>
    </w:p>
    <w:p w:rsidR="00AB0CCA" w:rsidRPr="00CA247E" w:rsidRDefault="00AB0CCA" w:rsidP="00AB0CCA">
      <w:pPr>
        <w:pStyle w:val="ListParagraph"/>
        <w:ind w:left="0"/>
      </w:pPr>
    </w:p>
    <w:p w:rsidR="00D04BFA" w:rsidRPr="00AB0CCA" w:rsidRDefault="00AB0CCA" w:rsidP="00CA247E">
      <w:pPr>
        <w:pStyle w:val="ListParagraph"/>
        <w:ind w:left="0"/>
        <w:jc w:val="center"/>
      </w:pPr>
      <w:r>
        <w:rPr>
          <w:b/>
          <w:sz w:val="18"/>
          <w:szCs w:val="18"/>
        </w:rPr>
        <w:t>Таблица 2. Динамика рекомендаций в период с 1 июля 2018 г. по 30 июня 2019 г</w:t>
      </w:r>
      <w:r w:rsidR="00CA247E">
        <w:rPr>
          <w:b/>
          <w:sz w:val="18"/>
          <w:szCs w:val="18"/>
        </w:rPr>
        <w:t>.</w:t>
      </w:r>
    </w:p>
    <w:p w:rsidR="00D04BFA" w:rsidRDefault="00D04BFA" w:rsidP="00D04BFA">
      <w:pPr>
        <w:pStyle w:val="ListParagraph"/>
        <w:ind w:left="0"/>
      </w:pPr>
    </w:p>
    <w:tbl>
      <w:tblPr>
        <w:tblStyle w:val="GridTable6Colorful-Accent1"/>
        <w:tblW w:w="9440" w:type="dxa"/>
        <w:tblInd w:w="-95" w:type="dxa"/>
        <w:tblLook w:val="04A0" w:firstRow="1" w:lastRow="0" w:firstColumn="1" w:lastColumn="0" w:noHBand="0" w:noVBand="1"/>
      </w:tblPr>
      <w:tblGrid>
        <w:gridCol w:w="2237"/>
        <w:gridCol w:w="1257"/>
        <w:gridCol w:w="1367"/>
        <w:gridCol w:w="1349"/>
        <w:gridCol w:w="1859"/>
        <w:gridCol w:w="1371"/>
      </w:tblGrid>
      <w:tr w:rsidR="00AB0CCA" w:rsidRPr="0031505E" w:rsidTr="0053745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37" w:type="dxa"/>
            <w:shd w:val="clear" w:color="auto" w:fill="95B3D7" w:themeFill="accent1" w:themeFillTint="99"/>
            <w:noWrap/>
            <w:hideMark/>
          </w:tcPr>
          <w:p w:rsidR="00AB0CCA" w:rsidRPr="0031505E" w:rsidRDefault="00AB0CCA" w:rsidP="00537457">
            <w:pPr>
              <w:rPr>
                <w:rFonts w:eastAsia="Times New Roman"/>
                <w:b w:val="0"/>
                <w:bCs w:val="0"/>
                <w:color w:val="000000"/>
                <w:sz w:val="20"/>
                <w:lang w:eastAsia="en-US"/>
              </w:rPr>
            </w:pPr>
            <w:r>
              <w:rPr>
                <w:rFonts w:eastAsia="Times New Roman"/>
                <w:b w:val="0"/>
                <w:bCs w:val="0"/>
                <w:color w:val="000000"/>
                <w:sz w:val="20"/>
                <w:lang w:eastAsia="en-US"/>
              </w:rPr>
              <w:t>Источник</w:t>
            </w:r>
          </w:p>
        </w:tc>
        <w:tc>
          <w:tcPr>
            <w:tcW w:w="1257" w:type="dxa"/>
            <w:shd w:val="clear" w:color="auto" w:fill="95B3D7" w:themeFill="accent1" w:themeFillTint="99"/>
            <w:hideMark/>
          </w:tcPr>
          <w:p w:rsidR="00AB0CCA" w:rsidRPr="0031505E" w:rsidRDefault="00AB0CCA" w:rsidP="0053745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E97377">
              <w:rPr>
                <w:rFonts w:eastAsia="Times New Roman"/>
                <w:b w:val="0"/>
                <w:bCs w:val="0"/>
                <w:color w:val="000000"/>
                <w:sz w:val="20"/>
                <w:lang w:eastAsia="en-US"/>
              </w:rPr>
              <w:t>Открыты по состоянию на 1 июля 2018 г.</w:t>
            </w:r>
          </w:p>
        </w:tc>
        <w:tc>
          <w:tcPr>
            <w:tcW w:w="1367" w:type="dxa"/>
            <w:shd w:val="clear" w:color="auto" w:fill="95B3D7" w:themeFill="accent1" w:themeFillTint="99"/>
            <w:hideMark/>
          </w:tcPr>
          <w:p w:rsidR="00AB0CCA" w:rsidRPr="0031505E" w:rsidRDefault="00AB0CCA" w:rsidP="0053745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E97377">
              <w:rPr>
                <w:rFonts w:eastAsia="Times New Roman"/>
                <w:b w:val="0"/>
                <w:bCs w:val="0"/>
                <w:color w:val="000000"/>
                <w:sz w:val="20"/>
                <w:lang w:eastAsia="en-US"/>
              </w:rPr>
              <w:t>Добавлены в течение года</w:t>
            </w:r>
          </w:p>
        </w:tc>
        <w:tc>
          <w:tcPr>
            <w:tcW w:w="1349" w:type="dxa"/>
            <w:shd w:val="clear" w:color="auto" w:fill="95B3D7" w:themeFill="accent1" w:themeFillTint="99"/>
            <w:hideMark/>
          </w:tcPr>
          <w:p w:rsidR="00AB0CCA" w:rsidRPr="0031505E" w:rsidRDefault="00AB0CCA" w:rsidP="0053745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E97377">
              <w:rPr>
                <w:rFonts w:eastAsia="Times New Roman"/>
                <w:b w:val="0"/>
                <w:bCs w:val="0"/>
                <w:color w:val="000000"/>
                <w:sz w:val="20"/>
                <w:lang w:eastAsia="en-US"/>
              </w:rPr>
              <w:t>Закрыты в течение года</w:t>
            </w:r>
          </w:p>
        </w:tc>
        <w:tc>
          <w:tcPr>
            <w:tcW w:w="1859" w:type="dxa"/>
            <w:shd w:val="clear" w:color="auto" w:fill="95B3D7" w:themeFill="accent1" w:themeFillTint="99"/>
          </w:tcPr>
          <w:p w:rsidR="00AB0CCA" w:rsidRPr="00E97377" w:rsidRDefault="00AB0CCA" w:rsidP="0053745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Pr>
                <w:rFonts w:eastAsia="Times New Roman"/>
                <w:b w:val="0"/>
                <w:bCs w:val="0"/>
                <w:color w:val="000000"/>
                <w:sz w:val="20"/>
                <w:lang w:eastAsia="en-US"/>
              </w:rPr>
              <w:t>Переданы в течение года</w:t>
            </w:r>
          </w:p>
        </w:tc>
        <w:tc>
          <w:tcPr>
            <w:tcW w:w="1371" w:type="dxa"/>
            <w:shd w:val="clear" w:color="auto" w:fill="95B3D7" w:themeFill="accent1" w:themeFillTint="99"/>
            <w:hideMark/>
          </w:tcPr>
          <w:p w:rsidR="00AB0CCA" w:rsidRPr="0031505E" w:rsidRDefault="00AB0CCA" w:rsidP="0053745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E97377">
              <w:rPr>
                <w:rFonts w:eastAsia="Times New Roman"/>
                <w:b w:val="0"/>
                <w:bCs w:val="0"/>
                <w:color w:val="000000"/>
                <w:sz w:val="20"/>
                <w:lang w:eastAsia="en-US"/>
              </w:rPr>
              <w:t>Открыты по состоянию на 30 июня 2019 г.</w:t>
            </w:r>
          </w:p>
        </w:tc>
      </w:tr>
      <w:tr w:rsidR="00AB0CCA" w:rsidRPr="0031505E" w:rsidTr="005374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7" w:type="dxa"/>
            <w:noWrap/>
            <w:hideMark/>
          </w:tcPr>
          <w:p w:rsidR="00AB0CCA" w:rsidRPr="0031505E" w:rsidRDefault="00AB0CCA" w:rsidP="00537457">
            <w:pPr>
              <w:rPr>
                <w:rFonts w:eastAsia="Times New Roman"/>
                <w:color w:val="000000"/>
                <w:sz w:val="20"/>
                <w:lang w:eastAsia="en-US"/>
              </w:rPr>
            </w:pPr>
            <w:r>
              <w:rPr>
                <w:rFonts w:eastAsia="Times New Roman"/>
                <w:color w:val="000000"/>
                <w:sz w:val="20"/>
                <w:lang w:eastAsia="en-US"/>
              </w:rPr>
              <w:t>ОВН</w:t>
            </w:r>
          </w:p>
        </w:tc>
        <w:tc>
          <w:tcPr>
            <w:tcW w:w="1257"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134</w:t>
            </w:r>
          </w:p>
        </w:tc>
        <w:tc>
          <w:tcPr>
            <w:tcW w:w="1367"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24</w:t>
            </w:r>
          </w:p>
        </w:tc>
        <w:tc>
          <w:tcPr>
            <w:tcW w:w="1349"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26</w:t>
            </w:r>
          </w:p>
        </w:tc>
        <w:tc>
          <w:tcPr>
            <w:tcW w:w="1859" w:type="dxa"/>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71"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132</w:t>
            </w:r>
          </w:p>
        </w:tc>
      </w:tr>
      <w:tr w:rsidR="00AB0CCA" w:rsidRPr="0031505E" w:rsidTr="00537457">
        <w:trPr>
          <w:trHeight w:val="315"/>
        </w:trPr>
        <w:tc>
          <w:tcPr>
            <w:cnfStyle w:val="001000000000" w:firstRow="0" w:lastRow="0" w:firstColumn="1" w:lastColumn="0" w:oddVBand="0" w:evenVBand="0" w:oddHBand="0" w:evenHBand="0" w:firstRowFirstColumn="0" w:firstRowLastColumn="0" w:lastRowFirstColumn="0" w:lastRowLastColumn="0"/>
            <w:tcW w:w="2237" w:type="dxa"/>
            <w:noWrap/>
            <w:hideMark/>
          </w:tcPr>
          <w:p w:rsidR="00AB0CCA" w:rsidRPr="0031505E" w:rsidRDefault="00AB0CCA" w:rsidP="00537457">
            <w:pPr>
              <w:rPr>
                <w:rFonts w:eastAsia="Times New Roman"/>
                <w:color w:val="000000"/>
                <w:sz w:val="20"/>
                <w:lang w:eastAsia="en-US"/>
              </w:rPr>
            </w:pPr>
            <w:r>
              <w:rPr>
                <w:rFonts w:eastAsia="Times New Roman"/>
                <w:color w:val="000000"/>
                <w:sz w:val="20"/>
                <w:lang w:eastAsia="en-US"/>
              </w:rPr>
              <w:t>Внешний аудитор (ВА)</w:t>
            </w:r>
          </w:p>
        </w:tc>
        <w:tc>
          <w:tcPr>
            <w:tcW w:w="1257" w:type="dxa"/>
            <w:noWrap/>
            <w:hideMark/>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46</w:t>
            </w:r>
          </w:p>
        </w:tc>
        <w:tc>
          <w:tcPr>
            <w:tcW w:w="1367" w:type="dxa"/>
            <w:noWrap/>
            <w:hideMark/>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16</w:t>
            </w:r>
          </w:p>
        </w:tc>
        <w:tc>
          <w:tcPr>
            <w:tcW w:w="1349" w:type="dxa"/>
            <w:noWrap/>
            <w:hideMark/>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41</w:t>
            </w:r>
          </w:p>
        </w:tc>
        <w:tc>
          <w:tcPr>
            <w:tcW w:w="1859" w:type="dxa"/>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371" w:type="dxa"/>
            <w:noWrap/>
            <w:hideMark/>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7</w:t>
            </w:r>
          </w:p>
        </w:tc>
      </w:tr>
      <w:tr w:rsidR="00AB0CCA" w:rsidRPr="0031505E" w:rsidTr="005374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7" w:type="dxa"/>
            <w:noWrap/>
          </w:tcPr>
          <w:p w:rsidR="00AB0CCA" w:rsidRPr="0031505E" w:rsidRDefault="00AB0CCA" w:rsidP="00537457">
            <w:pPr>
              <w:rPr>
                <w:rFonts w:eastAsia="Times New Roman"/>
                <w:color w:val="000000"/>
                <w:sz w:val="20"/>
                <w:lang w:eastAsia="en-US"/>
              </w:rPr>
            </w:pPr>
            <w:r>
              <w:rPr>
                <w:rFonts w:eastAsia="Times New Roman"/>
                <w:color w:val="000000"/>
                <w:sz w:val="20"/>
                <w:lang w:eastAsia="en-US"/>
              </w:rPr>
              <w:t>НКНН</w:t>
            </w:r>
          </w:p>
        </w:tc>
        <w:tc>
          <w:tcPr>
            <w:tcW w:w="1257" w:type="dxa"/>
            <w:noWrap/>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67" w:type="dxa"/>
            <w:noWrap/>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c>
          <w:tcPr>
            <w:tcW w:w="1349" w:type="dxa"/>
            <w:noWrap/>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859" w:type="dxa"/>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71" w:type="dxa"/>
            <w:noWrap/>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r>
      <w:tr w:rsidR="00AB0CCA" w:rsidRPr="0031505E" w:rsidTr="00537457">
        <w:trPr>
          <w:trHeight w:val="315"/>
        </w:trPr>
        <w:tc>
          <w:tcPr>
            <w:cnfStyle w:val="001000000000" w:firstRow="0" w:lastRow="0" w:firstColumn="1" w:lastColumn="0" w:oddVBand="0" w:evenVBand="0" w:oddHBand="0" w:evenHBand="0" w:firstRowFirstColumn="0" w:firstRowLastColumn="0" w:lastRowFirstColumn="0" w:lastRowLastColumn="0"/>
            <w:tcW w:w="2237" w:type="dxa"/>
            <w:noWrap/>
          </w:tcPr>
          <w:p w:rsidR="00AB0CCA" w:rsidRPr="00AB0CCA" w:rsidRDefault="00AB0CCA" w:rsidP="00537457">
            <w:pPr>
              <w:rPr>
                <w:rFonts w:eastAsia="Times New Roman"/>
                <w:color w:val="000000"/>
                <w:sz w:val="20"/>
                <w:lang w:eastAsia="en-US"/>
              </w:rPr>
            </w:pPr>
            <w:r>
              <w:rPr>
                <w:rFonts w:eastAsia="Times New Roman"/>
                <w:color w:val="000000"/>
                <w:sz w:val="20"/>
                <w:lang w:eastAsia="en-US"/>
              </w:rPr>
              <w:t>Переданные в ОВН рекомендации ВА</w:t>
            </w:r>
          </w:p>
        </w:tc>
        <w:tc>
          <w:tcPr>
            <w:tcW w:w="1257" w:type="dxa"/>
            <w:noWrap/>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67" w:type="dxa"/>
            <w:noWrap/>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49" w:type="dxa"/>
            <w:noWrap/>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859" w:type="dxa"/>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371" w:type="dxa"/>
            <w:noWrap/>
          </w:tcPr>
          <w:p w:rsidR="00AB0CCA" w:rsidRPr="0031505E" w:rsidRDefault="00AB0CCA" w:rsidP="0053745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r>
      <w:tr w:rsidR="00AB0CCA" w:rsidRPr="0031505E" w:rsidTr="005374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7" w:type="dxa"/>
            <w:noWrap/>
            <w:hideMark/>
          </w:tcPr>
          <w:p w:rsidR="00AB0CCA" w:rsidRPr="0031505E" w:rsidRDefault="00AB0CCA" w:rsidP="00537457">
            <w:pPr>
              <w:rPr>
                <w:rFonts w:eastAsia="Times New Roman"/>
                <w:b w:val="0"/>
                <w:bCs w:val="0"/>
                <w:color w:val="000000"/>
                <w:sz w:val="20"/>
                <w:lang w:eastAsia="en-US"/>
              </w:rPr>
            </w:pPr>
            <w:r>
              <w:rPr>
                <w:rFonts w:eastAsia="Times New Roman"/>
                <w:b w:val="0"/>
                <w:bCs w:val="0"/>
                <w:color w:val="000000"/>
                <w:sz w:val="20"/>
                <w:lang w:eastAsia="en-US"/>
              </w:rPr>
              <w:t>Итого</w:t>
            </w:r>
          </w:p>
        </w:tc>
        <w:tc>
          <w:tcPr>
            <w:tcW w:w="1257"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180</w:t>
            </w:r>
          </w:p>
        </w:tc>
        <w:tc>
          <w:tcPr>
            <w:tcW w:w="1367"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42</w:t>
            </w:r>
          </w:p>
        </w:tc>
        <w:tc>
          <w:tcPr>
            <w:tcW w:w="1349"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67</w:t>
            </w:r>
          </w:p>
        </w:tc>
        <w:tc>
          <w:tcPr>
            <w:tcW w:w="1859" w:type="dxa"/>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w:t>
            </w:r>
          </w:p>
        </w:tc>
        <w:tc>
          <w:tcPr>
            <w:tcW w:w="1371" w:type="dxa"/>
            <w:noWrap/>
            <w:hideMark/>
          </w:tcPr>
          <w:p w:rsidR="00AB0CCA" w:rsidRPr="0031505E" w:rsidRDefault="00AB0CCA" w:rsidP="00537457">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155</w:t>
            </w:r>
          </w:p>
        </w:tc>
      </w:tr>
    </w:tbl>
    <w:p w:rsidR="00AB0CCA" w:rsidRPr="00D04BFA" w:rsidRDefault="00AB0CCA" w:rsidP="00D04BFA">
      <w:pPr>
        <w:pStyle w:val="ListParagraph"/>
        <w:ind w:left="0"/>
      </w:pPr>
    </w:p>
    <w:p w:rsidR="00186810" w:rsidRPr="00C620A2" w:rsidRDefault="00186810" w:rsidP="00A1090F">
      <w:pPr>
        <w:pStyle w:val="ONUME"/>
        <w:numPr>
          <w:ilvl w:val="0"/>
          <w:numId w:val="17"/>
        </w:numPr>
        <w:spacing w:before="240" w:after="360"/>
        <w:jc w:val="both"/>
      </w:pPr>
      <w:r>
        <w:t xml:space="preserve">График ниже показывает </w:t>
      </w:r>
      <w:r w:rsidR="006F7B69">
        <w:t>давность</w:t>
      </w:r>
      <w:r>
        <w:t xml:space="preserve"> открытых рекомендаций по состоянию на 30 июня 2019 г.</w:t>
      </w:r>
    </w:p>
    <w:p w:rsidR="00186810" w:rsidRPr="00C620A2" w:rsidRDefault="00186810" w:rsidP="00186810">
      <w:pPr>
        <w:pStyle w:val="ONUME"/>
        <w:keepNext/>
        <w:numPr>
          <w:ilvl w:val="0"/>
          <w:numId w:val="0"/>
        </w:numPr>
        <w:spacing w:after="0"/>
        <w:jc w:val="center"/>
        <w:rPr>
          <w:b/>
          <w:sz w:val="18"/>
          <w:szCs w:val="18"/>
        </w:rPr>
      </w:pPr>
      <w:r>
        <w:rPr>
          <w:b/>
          <w:sz w:val="18"/>
          <w:szCs w:val="18"/>
        </w:rPr>
        <w:t>График 4. Давность открытых рекомендаций в области надзора в разбивке по приоритетности (1</w:t>
      </w:r>
      <w:r w:rsidR="00CA247E">
        <w:rPr>
          <w:b/>
          <w:sz w:val="18"/>
          <w:szCs w:val="18"/>
        </w:rPr>
        <w:t>55</w:t>
      </w:r>
      <w:r>
        <w:rPr>
          <w:b/>
          <w:sz w:val="18"/>
          <w:szCs w:val="18"/>
        </w:rPr>
        <w:t>)</w:t>
      </w:r>
    </w:p>
    <w:p w:rsidR="00186810" w:rsidRPr="00C620A2" w:rsidRDefault="00AD69F6" w:rsidP="00186810">
      <w:pPr>
        <w:pStyle w:val="ONUME"/>
        <w:keepLines/>
        <w:numPr>
          <w:ilvl w:val="0"/>
          <w:numId w:val="0"/>
        </w:numPr>
        <w:spacing w:before="240"/>
        <w:jc w:val="center"/>
      </w:pPr>
      <w:r w:rsidRPr="00AD69F6">
        <w:rPr>
          <w:noProof/>
          <w:lang w:val="en-US" w:eastAsia="en-US"/>
        </w:rPr>
        <w:drawing>
          <wp:inline distT="0" distB="0" distL="0" distR="0">
            <wp:extent cx="457200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186810" w:rsidRDefault="00186810" w:rsidP="00A1090F">
      <w:pPr>
        <w:pStyle w:val="ONUME"/>
        <w:numPr>
          <w:ilvl w:val="0"/>
          <w:numId w:val="17"/>
        </w:numPr>
        <w:jc w:val="both"/>
      </w:pPr>
      <w:r>
        <w:t xml:space="preserve">Одна рекомендация с высокой степенью приоритетности остается невыполненной с 2011 г.; в общей сложности к настоящему моменту из рекомендаций, принятых в период с 2011 г. по 2015 г., </w:t>
      </w:r>
      <w:r w:rsidR="00CA247E">
        <w:t>все еще</w:t>
      </w:r>
      <w:r>
        <w:t xml:space="preserve"> не</w:t>
      </w:r>
      <w:r w:rsidR="00CA247E">
        <w:t xml:space="preserve"> </w:t>
      </w:r>
      <w:r>
        <w:t>выполнен</w:t>
      </w:r>
      <w:r w:rsidR="00CA247E">
        <w:t>ы</w:t>
      </w:r>
      <w:r>
        <w:t xml:space="preserve"> </w:t>
      </w:r>
      <w:r w:rsidR="00CA247E">
        <w:t>34</w:t>
      </w:r>
      <w:r w:rsidR="00010A39">
        <w:rPr>
          <w:lang w:val="en-GB"/>
        </w:rPr>
        <w:t> </w:t>
      </w:r>
      <w:r>
        <w:t>рекомендаци</w:t>
      </w:r>
      <w:r w:rsidR="00CA247E">
        <w:t>и</w:t>
      </w:r>
      <w:r>
        <w:t>.</w:t>
      </w:r>
    </w:p>
    <w:p w:rsidR="00186810" w:rsidRPr="00000539" w:rsidRDefault="00CA247E" w:rsidP="00A1090F">
      <w:pPr>
        <w:pStyle w:val="ONUME"/>
        <w:numPr>
          <w:ilvl w:val="0"/>
          <w:numId w:val="17"/>
        </w:numPr>
        <w:jc w:val="both"/>
        <w:rPr>
          <w:szCs w:val="22"/>
        </w:rPr>
      </w:pPr>
      <w:r>
        <w:t xml:space="preserve">Ниже показано </w:t>
      </w:r>
      <w:r w:rsidR="00186810">
        <w:t>число открытых рекомендаций в разбивке по программам ВОИС</w:t>
      </w:r>
      <w:r w:rsidR="00186810" w:rsidRPr="00C620A2">
        <w:rPr>
          <w:vertAlign w:val="superscript"/>
        </w:rPr>
        <w:footnoteReference w:id="13"/>
      </w:r>
      <w:r w:rsidR="00186810">
        <w:t xml:space="preserve"> и по приоритетности </w:t>
      </w:r>
      <w:r>
        <w:t>по состоянию на 30 июня 2019 г.</w:t>
      </w:r>
      <w:r w:rsidR="00186810">
        <w:t xml:space="preserve">: </w:t>
      </w:r>
    </w:p>
    <w:p w:rsidR="00186810" w:rsidRPr="00C620A2" w:rsidRDefault="00186810" w:rsidP="00186810">
      <w:pPr>
        <w:pStyle w:val="ONUME"/>
        <w:keepNext/>
        <w:numPr>
          <w:ilvl w:val="0"/>
          <w:numId w:val="0"/>
        </w:numPr>
        <w:spacing w:after="0"/>
        <w:jc w:val="center"/>
        <w:rPr>
          <w:b/>
          <w:sz w:val="18"/>
          <w:szCs w:val="18"/>
        </w:rPr>
      </w:pPr>
      <w:r>
        <w:rPr>
          <w:b/>
          <w:sz w:val="18"/>
          <w:szCs w:val="18"/>
        </w:rPr>
        <w:lastRenderedPageBreak/>
        <w:t>График 5. Рекомендации в разбивке по программам и степени приоритетности (</w:t>
      </w:r>
      <w:r w:rsidR="00FD1034">
        <w:rPr>
          <w:b/>
          <w:sz w:val="18"/>
          <w:szCs w:val="18"/>
        </w:rPr>
        <w:t>155</w:t>
      </w:r>
      <w:r>
        <w:rPr>
          <w:b/>
          <w:sz w:val="18"/>
          <w:szCs w:val="18"/>
        </w:rPr>
        <w:t>)</w:t>
      </w:r>
    </w:p>
    <w:p w:rsidR="00186810" w:rsidRPr="00C620A2" w:rsidRDefault="00AD69F6" w:rsidP="00186810">
      <w:pPr>
        <w:pStyle w:val="ONUME"/>
        <w:keepLines/>
        <w:numPr>
          <w:ilvl w:val="0"/>
          <w:numId w:val="0"/>
        </w:numPr>
        <w:spacing w:after="360"/>
        <w:jc w:val="center"/>
      </w:pPr>
      <w:r w:rsidRPr="00AD69F6">
        <w:rPr>
          <w:noProof/>
          <w:lang w:val="en-US" w:eastAsia="en-US"/>
        </w:rPr>
        <w:drawing>
          <wp:inline distT="0" distB="0" distL="0" distR="0">
            <wp:extent cx="5940425" cy="3375642"/>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375642"/>
                    </a:xfrm>
                    <a:prstGeom prst="rect">
                      <a:avLst/>
                    </a:prstGeom>
                    <a:noFill/>
                    <a:ln>
                      <a:noFill/>
                    </a:ln>
                  </pic:spPr>
                </pic:pic>
              </a:graphicData>
            </a:graphic>
          </wp:inline>
        </w:drawing>
      </w:r>
    </w:p>
    <w:p w:rsidR="00186810" w:rsidRDefault="00186810" w:rsidP="00A1090F">
      <w:pPr>
        <w:pStyle w:val="ONUME"/>
        <w:numPr>
          <w:ilvl w:val="0"/>
          <w:numId w:val="17"/>
        </w:numPr>
        <w:jc w:val="both"/>
      </w:pPr>
      <w:r>
        <w:t xml:space="preserve">На долю </w:t>
      </w:r>
      <w:r w:rsidR="00FD1034">
        <w:t>четырех</w:t>
      </w:r>
      <w:r>
        <w:t xml:space="preserve"> программ приходится 5</w:t>
      </w:r>
      <w:r w:rsidR="00FD1034">
        <w:t>0</w:t>
      </w:r>
      <w:r w:rsidR="00010A39">
        <w:t> </w:t>
      </w:r>
      <w:r>
        <w:t>процентов от общего числа (</w:t>
      </w:r>
      <w:r w:rsidR="00FD1034">
        <w:t>68</w:t>
      </w:r>
      <w:r>
        <w:t>) рекомендаций с высокой степенью приоритетности, а самое большое число невыполненных приоритетных рекомендаций относится к программе</w:t>
      </w:r>
      <w:r w:rsidR="00010A39">
        <w:t> </w:t>
      </w:r>
      <w:r>
        <w:t>9 (Африка, арабские страны, Азия и Тихоокеанский регион, Латинская Америка и страны Карибского бассе</w:t>
      </w:r>
      <w:r w:rsidR="00FD1034">
        <w:t xml:space="preserve">йна, наименее развитые страны), </w:t>
      </w:r>
      <w:r>
        <w:t>программе</w:t>
      </w:r>
      <w:r w:rsidR="00010A39">
        <w:t> </w:t>
      </w:r>
      <w:r>
        <w:t>23 (Управление людскими ресурсами и их развитие), программе</w:t>
      </w:r>
      <w:r w:rsidR="00010A39">
        <w:t> </w:t>
      </w:r>
      <w:r>
        <w:t xml:space="preserve">19 (Коммуникация) и программе 31 (Гаагская система). </w:t>
      </w:r>
    </w:p>
    <w:p w:rsidR="00186810" w:rsidRPr="00E32ADE" w:rsidRDefault="00186810" w:rsidP="00484233">
      <w:pPr>
        <w:pStyle w:val="Heading1"/>
      </w:pPr>
      <w:bookmarkStart w:id="32" w:name="_Toc11683744"/>
      <w:r>
        <w:t>КОНСУЛЬТАЦИОННАЯ РАБОТА ПО ВОПРОСАМ НАДЗОРА</w:t>
      </w:r>
      <w:bookmarkEnd w:id="32"/>
    </w:p>
    <w:p w:rsidR="00186810" w:rsidRDefault="00186810" w:rsidP="00A1090F">
      <w:pPr>
        <w:pStyle w:val="ONUME"/>
        <w:numPr>
          <w:ilvl w:val="0"/>
          <w:numId w:val="17"/>
        </w:numPr>
        <w:jc w:val="both"/>
      </w:pPr>
      <w:r>
        <w:t>Помимо плановой работы по обеспечению надзорных функций ОВН продолжал оказывать профессиональную консультативную помощь по вопросам организационной политики и практики, управления рисками и механизмов внутреннего контроля.</w:t>
      </w:r>
    </w:p>
    <w:p w:rsidR="00186810" w:rsidRPr="003F2705" w:rsidRDefault="00186810" w:rsidP="00A1090F">
      <w:pPr>
        <w:pStyle w:val="ONUME"/>
        <w:numPr>
          <w:ilvl w:val="0"/>
          <w:numId w:val="17"/>
        </w:numPr>
        <w:jc w:val="both"/>
      </w:pPr>
      <w:r>
        <w:t>ОВН также участвовал, совместно с Бюро контролера Департамента планирования и финансирования Программы, в мероприятиях по предотвращению риска мошенничества.</w:t>
      </w:r>
      <w:r w:rsidR="00A1090F">
        <w:t xml:space="preserve"> </w:t>
      </w:r>
      <w:r>
        <w:t>В частности:</w:t>
      </w:r>
    </w:p>
    <w:p w:rsidR="00186810" w:rsidRPr="003F2705" w:rsidRDefault="00186810" w:rsidP="00A1090F">
      <w:pPr>
        <w:pStyle w:val="ONUME"/>
        <w:numPr>
          <w:ilvl w:val="1"/>
          <w:numId w:val="17"/>
        </w:numPr>
        <w:jc w:val="both"/>
      </w:pPr>
      <w:r>
        <w:lastRenderedPageBreak/>
        <w:t xml:space="preserve">разработана онлайновая учебная программа «Недопущение мошенничества и злоупотреблений в ВОИС», которая будет предложена сотрудникам ВОИС во втором полугодии 2018 г.; </w:t>
      </w:r>
    </w:p>
    <w:p w:rsidR="00186810" w:rsidRPr="003F2705" w:rsidRDefault="00186810" w:rsidP="00A1090F">
      <w:pPr>
        <w:pStyle w:val="ONUME"/>
        <w:numPr>
          <w:ilvl w:val="1"/>
          <w:numId w:val="17"/>
        </w:numPr>
        <w:jc w:val="both"/>
      </w:pPr>
      <w:r>
        <w:t>началась отработка действий по оценке риска мошенничества, для чего приглашена внешняя консалтинговая фирма, и во втором полугодии 2018 г. должны быть проведены мероприятия на местах</w:t>
      </w:r>
      <w:r w:rsidR="00BC4A8A">
        <w:t>;</w:t>
      </w:r>
    </w:p>
    <w:p w:rsidR="00FE5E80" w:rsidRPr="003F2705" w:rsidRDefault="00B26E7D" w:rsidP="00A1090F">
      <w:pPr>
        <w:pStyle w:val="ONUME"/>
        <w:numPr>
          <w:ilvl w:val="1"/>
          <w:numId w:val="17"/>
        </w:numPr>
        <w:jc w:val="both"/>
      </w:pPr>
      <w:r>
        <w:t>ОВН продолжает работать с руководством над выявлением и разработкой общего определения операций, оформленных задним числом, а также над процессом управления ими с целью подготовки отчетов, предоставляющих руководству перечень таких операций</w:t>
      </w:r>
      <w:r w:rsidR="006F7B69">
        <w:t>,</w:t>
      </w:r>
      <w:r>
        <w:t xml:space="preserve"> для обеспечения </w:t>
      </w:r>
      <w:r w:rsidR="006F7B69">
        <w:t xml:space="preserve">их </w:t>
      </w:r>
      <w:r>
        <w:t xml:space="preserve">более эффективного отслеживания и управления ими. </w:t>
      </w:r>
    </w:p>
    <w:p w:rsidR="00186810" w:rsidRPr="00E32ADE" w:rsidRDefault="00186810" w:rsidP="00484233">
      <w:pPr>
        <w:pStyle w:val="Heading1"/>
      </w:pPr>
      <w:bookmarkStart w:id="33" w:name="_Toc11683745"/>
      <w:r>
        <w:t>СОТРУДНИЧЕСТВО С ВНЕШНИМИ НАДЗОРНЫМИ ОРГАНАМИ</w:t>
      </w:r>
      <w:bookmarkEnd w:id="33"/>
      <w:r>
        <w:t xml:space="preserve"> </w:t>
      </w:r>
    </w:p>
    <w:p w:rsidR="00186810" w:rsidRPr="00E32ADE" w:rsidRDefault="00186810" w:rsidP="00962729">
      <w:pPr>
        <w:pStyle w:val="Heading2"/>
      </w:pPr>
      <w:r>
        <w:t>Независимый консультативный комитет по надзору (НККН)</w:t>
      </w:r>
    </w:p>
    <w:p w:rsidR="00186810" w:rsidRPr="00E32ADE" w:rsidRDefault="00186810" w:rsidP="00A1090F">
      <w:pPr>
        <w:pStyle w:val="ONUME"/>
        <w:numPr>
          <w:ilvl w:val="0"/>
          <w:numId w:val="17"/>
        </w:numPr>
        <w:jc w:val="both"/>
      </w:pPr>
      <w:r>
        <w:t>ОВН регулярно участвовал в сессиях НККН, отчитываясь по вопросам осуществления плана внутреннего надзора, обсуждая результаты деятельности по надзору и другие аспекты, касающиеся работы и функционирования Отдела, и запрашивая советы НККН.</w:t>
      </w:r>
      <w:r w:rsidR="00A1090F">
        <w:t xml:space="preserve"> </w:t>
      </w:r>
      <w:r>
        <w:t>В период, охватываемый настоящим отчетом, НККН провел 49-ю — 53-ю сессии.</w:t>
      </w:r>
    </w:p>
    <w:p w:rsidR="00186810" w:rsidRPr="00E32ADE" w:rsidRDefault="00186810" w:rsidP="00962729">
      <w:pPr>
        <w:pStyle w:val="Heading2"/>
      </w:pPr>
      <w:r>
        <w:t>Внешний аудитор</w:t>
      </w:r>
    </w:p>
    <w:p w:rsidR="00186810" w:rsidRDefault="00186810" w:rsidP="00A1090F">
      <w:pPr>
        <w:pStyle w:val="ONUME"/>
        <w:numPr>
          <w:ilvl w:val="0"/>
          <w:numId w:val="17"/>
        </w:numPr>
        <w:jc w:val="both"/>
      </w:pPr>
      <w:r>
        <w:t>ОВН поддерживал хорошие рабочие контакты с внешним аудитором и проводил регулярные встречи по вопросам аудита, внутреннего контроля и управления рисками.</w:t>
      </w:r>
      <w:r w:rsidR="00A1090F">
        <w:t xml:space="preserve"> </w:t>
      </w:r>
      <w:r>
        <w:t xml:space="preserve">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 содержании конкретных отчетов. </w:t>
      </w:r>
    </w:p>
    <w:p w:rsidR="00186810" w:rsidRPr="003F2705" w:rsidRDefault="00186810" w:rsidP="00A1090F">
      <w:pPr>
        <w:pStyle w:val="ONUME"/>
        <w:numPr>
          <w:ilvl w:val="0"/>
          <w:numId w:val="17"/>
        </w:numPr>
        <w:jc w:val="both"/>
      </w:pPr>
      <w:r>
        <w:t>В течение отчетного периода ОВН провел несколько встреч с внешним аудитором из Национального ревизионного управления Соединенного Королевства и поделился с ним годовым планом работы. ОВН вел активную работу с внешними аудиторами в ходе проведения ими аудиторских проверок в 2018 г. и предоставлял необходимую информацию по запросу.</w:t>
      </w:r>
      <w:r w:rsidR="00A1090F">
        <w:t xml:space="preserve"> </w:t>
      </w:r>
    </w:p>
    <w:p w:rsidR="003F2705" w:rsidRDefault="003F2705">
      <w:pPr>
        <w:rPr>
          <w:b/>
          <w:bCs/>
          <w:kern w:val="32"/>
          <w:sz w:val="28"/>
          <w:szCs w:val="32"/>
        </w:rPr>
      </w:pPr>
      <w:r>
        <w:br w:type="page"/>
      </w:r>
    </w:p>
    <w:p w:rsidR="00186810" w:rsidRDefault="00186810" w:rsidP="00484233">
      <w:pPr>
        <w:pStyle w:val="Heading1"/>
      </w:pPr>
      <w:bookmarkStart w:id="34" w:name="_Toc11683746"/>
      <w:r>
        <w:lastRenderedPageBreak/>
        <w:t>СОТРУДНИЧЕСТВО С ОМБУДСМЕНОМ И БЮРО ПО ВОПРОСАМ ЭТИКИ</w:t>
      </w:r>
      <w:bookmarkEnd w:id="34"/>
    </w:p>
    <w:p w:rsidR="00186810" w:rsidRPr="00E32ADE" w:rsidRDefault="00186810" w:rsidP="00A1090F">
      <w:pPr>
        <w:pStyle w:val="ONUME"/>
        <w:numPr>
          <w:ilvl w:val="0"/>
          <w:numId w:val="17"/>
        </w:numPr>
        <w:jc w:val="both"/>
      </w:pPr>
      <w:r>
        <w:t>В течение отчетного периода директор ОВН регулярно встречался с Омбудсменом и Старшим сотрудником по вопросам этики для обеспечения надлежащей координации и взаимодополняемости усилий.</w:t>
      </w:r>
    </w:p>
    <w:p w:rsidR="00186810" w:rsidRPr="00E32ADE" w:rsidRDefault="00186810" w:rsidP="00484233">
      <w:pPr>
        <w:pStyle w:val="Heading1"/>
      </w:pPr>
      <w:bookmarkStart w:id="35" w:name="_Toc11683747"/>
      <w:r>
        <w:t>ПРОЧИЕ НАПРАВЛЕНИЯ РАБОТЫ ПО ОБЕСПЕЧЕНИЮ НАДЗОРА</w:t>
      </w:r>
      <w:bookmarkEnd w:id="35"/>
    </w:p>
    <w:p w:rsidR="00186810" w:rsidRPr="00E32ADE" w:rsidRDefault="00186810" w:rsidP="00962729">
      <w:pPr>
        <w:pStyle w:val="Heading2"/>
      </w:pPr>
      <w:r>
        <w:t>Информационно-разъяснительная работа в рамках Организации</w:t>
      </w:r>
    </w:p>
    <w:p w:rsidR="00186810" w:rsidRPr="00891DF0" w:rsidRDefault="00186810" w:rsidP="00A1090F">
      <w:pPr>
        <w:pStyle w:val="ONUME"/>
        <w:numPr>
          <w:ilvl w:val="0"/>
          <w:numId w:val="17"/>
        </w:numPr>
        <w:jc w:val="both"/>
        <w:rPr>
          <w:bCs/>
          <w:iCs/>
          <w:caps/>
          <w:szCs w:val="28"/>
        </w:rPr>
      </w:pPr>
      <w:r>
        <w:t xml:space="preserve">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проводить информационно-разъяснительную работу среди коллег по ВОИС посредством презентаций, проводимых для новых сотрудников в рамках вводного инструктажа, бюллетеня ОВН, информационной панели ОВН и презентаций для директоров и высшего руководства, по мере необходимости. </w:t>
      </w:r>
    </w:p>
    <w:p w:rsidR="00186810" w:rsidRPr="001A12DA" w:rsidRDefault="00186810" w:rsidP="00962729">
      <w:pPr>
        <w:pStyle w:val="Heading2"/>
      </w:pPr>
      <w:r>
        <w:t>Опросы о качестве обслуживания</w:t>
      </w:r>
    </w:p>
    <w:p w:rsidR="00186810" w:rsidRPr="00C37A90" w:rsidRDefault="00186810" w:rsidP="00A1090F">
      <w:pPr>
        <w:pStyle w:val="ONUME"/>
        <w:numPr>
          <w:ilvl w:val="0"/>
          <w:numId w:val="17"/>
        </w:numPr>
        <w:jc w:val="both"/>
      </w:pPr>
      <w:r>
        <w:t>ОВН продолжал запрашивать комментарии коллег из прошедших аудиторскую проверку/оценку подразделений ВОИС посредством проведения опросов о степени удовлетворенности после каждого проведенного мероприятия.</w:t>
      </w:r>
      <w:r w:rsidR="00A1090F">
        <w:t xml:space="preserve"> </w:t>
      </w:r>
      <w:r>
        <w:t>Цель этой работы заключается в эффективном сборе и анализе отзывов коллег о надзорной работе.</w:t>
      </w:r>
      <w:r w:rsidR="00A1090F">
        <w:t xml:space="preserve"> </w:t>
      </w:r>
      <w:r>
        <w:t>Комплексный анализ результатов опросов указывает на индекс удовлетворенности в 85 процентов.</w:t>
      </w:r>
      <w:r w:rsidR="00A1090F">
        <w:t xml:space="preserve"> </w:t>
      </w:r>
    </w:p>
    <w:p w:rsidR="00186810" w:rsidRPr="00C37A90" w:rsidRDefault="00186810" w:rsidP="00A1090F">
      <w:pPr>
        <w:pStyle w:val="ONUME"/>
        <w:numPr>
          <w:ilvl w:val="0"/>
          <w:numId w:val="17"/>
        </w:numPr>
        <w:jc w:val="both"/>
      </w:pPr>
      <w:r>
        <w:t>Результаты опросов, проведенных через год после мероприятия, которые используются для оценки воздействия надзорной работы, указали на средний индекс удовлетворенности в 77</w:t>
      </w:r>
      <w:r w:rsidR="00010A39">
        <w:t> </w:t>
      </w:r>
      <w:r>
        <w:t>процентов.</w:t>
      </w:r>
      <w:r w:rsidR="00A1090F">
        <w:t xml:space="preserve"> </w:t>
      </w:r>
      <w:r>
        <w:t>Основываясь на полученных от коллег отзывах, ОВН будет стремиться к дальнейшему увеличению степени воздействия своей надзорной деятельности.</w:t>
      </w:r>
    </w:p>
    <w:p w:rsidR="00186810" w:rsidRDefault="00186810" w:rsidP="00A1090F">
      <w:pPr>
        <w:pStyle w:val="ONUME"/>
        <w:numPr>
          <w:ilvl w:val="0"/>
          <w:numId w:val="17"/>
        </w:numPr>
        <w:jc w:val="both"/>
      </w:pPr>
      <w:r>
        <w:t>Дополнительные комментарии, полученные в ходе опросов от подразделений, в которых была проведена аудиторская проверка/оценка, помогли ОВН выявить недостатки и принять меры по их устранению.</w:t>
      </w:r>
      <w:r w:rsidR="00A1090F">
        <w:t xml:space="preserve"> </w:t>
      </w:r>
    </w:p>
    <w:p w:rsidR="00186810" w:rsidRPr="00E32ADE" w:rsidRDefault="00186810" w:rsidP="00962729">
      <w:pPr>
        <w:pStyle w:val="Heading2"/>
      </w:pPr>
      <w:r>
        <w:t>Поддержание контактов с другими надзорными органами</w:t>
      </w:r>
    </w:p>
    <w:p w:rsidR="00186810" w:rsidRPr="00E32ADE" w:rsidRDefault="00186810" w:rsidP="00A1090F">
      <w:pPr>
        <w:pStyle w:val="ONUME"/>
        <w:numPr>
          <w:ilvl w:val="0"/>
          <w:numId w:val="17"/>
        </w:numPr>
        <w:jc w:val="both"/>
      </w:pPr>
      <w:r>
        <w:t>УВН содержит конкретные положения</w:t>
      </w:r>
      <w:r>
        <w:rPr>
          <w:rStyle w:val="FootnoteReference"/>
        </w:rPr>
        <w:footnoteReference w:id="14"/>
      </w:r>
      <w:r>
        <w:t xml:space="preserve"> о поддержании связи и сотрудничестве со службами внутреннего надзора других организаций системы ООН и многосторонних финансовых учреждений.</w:t>
      </w:r>
      <w:r w:rsidR="00A1090F">
        <w:t xml:space="preserve"> </w:t>
      </w:r>
      <w:r>
        <w:t>ОВН осознает ценность и значимость развития отношений с другими надзорными органами.</w:t>
      </w:r>
      <w:r w:rsidR="00A1090F">
        <w:t xml:space="preserve"> </w:t>
      </w:r>
      <w:r>
        <w:t>В отчетный период ОВН продолжал активно и конструктивно сотрудничать и развивать связи с другими организациями и подразделениями системы Организации Объединенных Наций.</w:t>
      </w:r>
      <w:r w:rsidR="00A1090F">
        <w:t xml:space="preserve"> </w:t>
      </w:r>
      <w:r>
        <w:t>В частности, ОВН принял активное участие в следующих мероприятиях:</w:t>
      </w:r>
    </w:p>
    <w:p w:rsidR="00186810" w:rsidRDefault="00186810" w:rsidP="00A1090F">
      <w:pPr>
        <w:pStyle w:val="ONUME"/>
        <w:numPr>
          <w:ilvl w:val="1"/>
          <w:numId w:val="6"/>
        </w:numPr>
        <w:jc w:val="both"/>
      </w:pPr>
      <w:r>
        <w:t>Ежегодное совещание представителей служб внутреннего аудита организаций системы ООН (ПСВА ООН), состоявшееся 9–15</w:t>
      </w:r>
      <w:r w:rsidR="00010A39">
        <w:t> </w:t>
      </w:r>
      <w:r>
        <w:t>сентября 2018 г. в Аддис-Абебе, Эфиопия;</w:t>
      </w:r>
      <w:r w:rsidR="00A1090F">
        <w:t xml:space="preserve"> </w:t>
      </w:r>
    </w:p>
    <w:p w:rsidR="00186810" w:rsidRDefault="00186810" w:rsidP="00A1090F">
      <w:pPr>
        <w:pStyle w:val="ONUME"/>
        <w:numPr>
          <w:ilvl w:val="1"/>
          <w:numId w:val="6"/>
        </w:numPr>
        <w:jc w:val="both"/>
      </w:pPr>
      <w:r>
        <w:lastRenderedPageBreak/>
        <w:t>Ежегодное совещание представителей служб расследований организаций системы ООН (ПСР ООН), состоявшееся 8–12 октября 2018 г. в Сонгдо, Республика Корея;</w:t>
      </w:r>
    </w:p>
    <w:p w:rsidR="00C15889" w:rsidRDefault="00C15889" w:rsidP="00A1090F">
      <w:pPr>
        <w:pStyle w:val="ONUME"/>
        <w:numPr>
          <w:ilvl w:val="1"/>
          <w:numId w:val="6"/>
        </w:numPr>
        <w:jc w:val="both"/>
      </w:pPr>
      <w:r>
        <w:t>представители ВОИС приняли участие в Неделе оценки ЮНЕГ, проведенной 13–17</w:t>
      </w:r>
      <w:r w:rsidR="00010A39">
        <w:t> </w:t>
      </w:r>
      <w:r>
        <w:t>мая 2019 г. в Найроби, Кения;</w:t>
      </w:r>
    </w:p>
    <w:p w:rsidR="00186810" w:rsidRPr="009D3FDB" w:rsidRDefault="00186810" w:rsidP="00A1090F">
      <w:pPr>
        <w:pStyle w:val="ONUME"/>
        <w:numPr>
          <w:ilvl w:val="1"/>
          <w:numId w:val="6"/>
        </w:numPr>
        <w:jc w:val="both"/>
      </w:pPr>
      <w:r>
        <w:t>Ежегодная встреча руководителей служб внутреннего аудита международных организаций в Европе, состоявшаяся 22–24 мая 2019 г. в Риме, Италия.</w:t>
      </w:r>
    </w:p>
    <w:p w:rsidR="00186810" w:rsidRPr="009802E1" w:rsidRDefault="00186810" w:rsidP="00484233">
      <w:pPr>
        <w:pStyle w:val="Heading1"/>
      </w:pPr>
      <w:bookmarkStart w:id="36" w:name="_Toc11683748"/>
      <w:r>
        <w:t>ОПЕРАТИВНАЯ НЕЗАВИСИМОСТЬ ОВН</w:t>
      </w:r>
      <w:bookmarkEnd w:id="36"/>
    </w:p>
    <w:p w:rsidR="00186810" w:rsidRDefault="00186810" w:rsidP="00A1090F">
      <w:pPr>
        <w:pStyle w:val="ONUME"/>
        <w:numPr>
          <w:ilvl w:val="0"/>
          <w:numId w:val="17"/>
        </w:numPr>
        <w:jc w:val="both"/>
      </w:pPr>
      <w:r>
        <w:t>В соответствии с УВН</w:t>
      </w:r>
      <w:r>
        <w:rPr>
          <w:rStyle w:val="FootnoteReference"/>
        </w:rPr>
        <w:footnoteReference w:id="15"/>
      </w:r>
      <w:r>
        <w:t xml:space="preserve"> директор ОВН обязан подтверждать свою оперативную независимость и представлять замечания относительно сферы охвата его деятельности и достаточности ресурсов, выделяемых для выполнения функции внутреннего надзора.</w:t>
      </w:r>
      <w:r w:rsidR="00A1090F">
        <w:t xml:space="preserve"> </w:t>
      </w:r>
    </w:p>
    <w:p w:rsidR="00186810" w:rsidRPr="00FF6721" w:rsidRDefault="00186810" w:rsidP="00A1090F">
      <w:pPr>
        <w:pStyle w:val="ONUME"/>
        <w:numPr>
          <w:ilvl w:val="0"/>
          <w:numId w:val="17"/>
        </w:numPr>
        <w:jc w:val="both"/>
      </w:pPr>
      <w:r>
        <w:t>В течение отчетного периода не произошло никаких случаев/действий, которые можно было бы рассматривать как ставящие под угрозу оперативную независимость ОВН.</w:t>
      </w:r>
      <w:r w:rsidR="00A1090F">
        <w:t xml:space="preserve"> </w:t>
      </w:r>
      <w:r>
        <w:t>Решение об охвате надзорной деятельности было принято ОВН с учетом комментариев и отзывов, полученных от руководства ВОИС, НККН и государств-членов, в зависимости от обстоятельств.</w:t>
      </w:r>
      <w:bookmarkStart w:id="37" w:name="_Toc420663573"/>
    </w:p>
    <w:p w:rsidR="00186810" w:rsidRPr="00EF631C" w:rsidRDefault="00186810" w:rsidP="00484233">
      <w:pPr>
        <w:pStyle w:val="Heading1"/>
      </w:pPr>
      <w:bookmarkStart w:id="38" w:name="_Toc11683749"/>
      <w:r>
        <w:t>РЕСУРСЫ ДЛЯ НАДЗОРНОЙ ДЕЯТЕЛЬНОСТИ</w:t>
      </w:r>
      <w:bookmarkEnd w:id="37"/>
      <w:bookmarkEnd w:id="38"/>
      <w:r>
        <w:t xml:space="preserve"> </w:t>
      </w:r>
    </w:p>
    <w:p w:rsidR="00186810" w:rsidRPr="00EF631C" w:rsidRDefault="00186810" w:rsidP="00962729">
      <w:pPr>
        <w:pStyle w:val="Heading2"/>
      </w:pPr>
      <w:r>
        <w:t>Бюджет и штат</w:t>
      </w:r>
    </w:p>
    <w:p w:rsidR="00186810" w:rsidRDefault="00186810" w:rsidP="00A1090F">
      <w:pPr>
        <w:pStyle w:val="ONUME"/>
        <w:numPr>
          <w:ilvl w:val="0"/>
          <w:numId w:val="17"/>
        </w:numPr>
        <w:jc w:val="both"/>
      </w:pPr>
      <w:r>
        <w:t xml:space="preserve">Для выполнения мандата ОВН были выделены средства в рамках бюджета на двухгодичный период в размере 5,072 млн шв. франков, что составляет </w:t>
      </w:r>
      <w:r>
        <w:rPr>
          <w:shd w:val="clear" w:color="auto" w:fill="FFFFFF" w:themeFill="background1"/>
        </w:rPr>
        <w:t>0,73 процента</w:t>
      </w:r>
      <w:r>
        <w:rPr>
          <w:rStyle w:val="FootnoteReference"/>
        </w:rPr>
        <w:footnoteReference w:id="16"/>
      </w:r>
      <w:r>
        <w:t xml:space="preserve"> от общего бюджета ВОИС на двухгодичный период 2018–2019 гг.</w:t>
      </w:r>
      <w:r w:rsidR="00A1090F">
        <w:t xml:space="preserve"> </w:t>
      </w:r>
      <w:r>
        <w:t>В целом,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w:t>
      </w:r>
      <w:r w:rsidR="00A1090F">
        <w:t xml:space="preserve"> </w:t>
      </w:r>
      <w:r>
        <w:t xml:space="preserve">Обмен планами работы по надзору и постоянная координация надзорной деятельности с внешним аудитором, а также эффективное использование </w:t>
      </w:r>
      <w:r w:rsidR="00BC4A8A">
        <w:t>ИТ-</w:t>
      </w:r>
      <w:r>
        <w:t>инструментов помогли добиться большей результативности и более эффективного охвата областей риска.</w:t>
      </w:r>
    </w:p>
    <w:p w:rsidR="00186810" w:rsidRDefault="00186810" w:rsidP="00186810">
      <w:pPr>
        <w:rPr>
          <w:rFonts w:eastAsia="Times New Roman"/>
          <w:b/>
          <w:bCs/>
          <w:sz w:val="18"/>
          <w:szCs w:val="18"/>
          <w:lang w:eastAsia="en-US"/>
        </w:rPr>
      </w:pPr>
    </w:p>
    <w:p w:rsidR="00186810" w:rsidRDefault="00186810" w:rsidP="00186810">
      <w:pPr>
        <w:pStyle w:val="NormalWeb"/>
        <w:keepNext/>
        <w:keepLines/>
        <w:spacing w:before="0" w:beforeAutospacing="0" w:after="0" w:afterAutospacing="0"/>
        <w:jc w:val="center"/>
        <w:rPr>
          <w:b/>
          <w:bCs/>
        </w:rPr>
      </w:pPr>
      <w:r>
        <w:rPr>
          <w:b/>
          <w:bCs/>
        </w:rPr>
        <w:t>Таблица 3. Бюджет ОВН на 2018–2019 гг. и расходы</w:t>
      </w:r>
      <w:r w:rsidRPr="00EF631C">
        <w:rPr>
          <w:bCs/>
          <w:vertAlign w:val="superscript"/>
        </w:rPr>
        <w:footnoteReference w:id="17"/>
      </w:r>
      <w:r>
        <w:rPr>
          <w:b/>
          <w:bCs/>
        </w:rPr>
        <w:t xml:space="preserve"> </w:t>
      </w:r>
    </w:p>
    <w:p w:rsidR="00186810" w:rsidRPr="00543FB7" w:rsidRDefault="00186810" w:rsidP="00186810">
      <w:pPr>
        <w:pStyle w:val="NormalWeb"/>
        <w:keepNext/>
        <w:keepLines/>
        <w:spacing w:before="0" w:beforeAutospacing="0" w:after="0" w:afterAutospacing="0"/>
        <w:jc w:val="center"/>
        <w:rPr>
          <w:i/>
          <w:iCs/>
          <w:color w:val="000000"/>
          <w:sz w:val="20"/>
          <w:szCs w:val="2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12"/>
        <w:gridCol w:w="1817"/>
        <w:gridCol w:w="1303"/>
        <w:gridCol w:w="1220"/>
      </w:tblGrid>
      <w:tr w:rsidR="00186810" w:rsidRPr="007B1ED7" w:rsidTr="00031373">
        <w:trPr>
          <w:trHeight w:val="720"/>
          <w:jc w:val="center"/>
        </w:trPr>
        <w:tc>
          <w:tcPr>
            <w:tcW w:w="2470" w:type="dxa"/>
            <w:shd w:val="clear" w:color="000000" w:fill="CCFFFF"/>
            <w:noWrap/>
            <w:vAlign w:val="center"/>
            <w:hideMark/>
          </w:tcPr>
          <w:p w:rsidR="00186810" w:rsidRPr="007B1ED7" w:rsidRDefault="00186810" w:rsidP="00186810">
            <w:pPr>
              <w:rPr>
                <w:color w:val="000000"/>
                <w:sz w:val="16"/>
                <w:szCs w:val="16"/>
              </w:rPr>
            </w:pPr>
            <w:r>
              <w:rPr>
                <w:color w:val="000000"/>
                <w:sz w:val="16"/>
                <w:szCs w:val="16"/>
              </w:rPr>
              <w:t> </w:t>
            </w:r>
          </w:p>
        </w:tc>
        <w:tc>
          <w:tcPr>
            <w:tcW w:w="1323" w:type="dxa"/>
            <w:shd w:val="clear" w:color="000000" w:fill="CCFFFF"/>
            <w:vAlign w:val="center"/>
            <w:hideMark/>
          </w:tcPr>
          <w:p w:rsidR="00186810" w:rsidRPr="007B1ED7" w:rsidRDefault="007639E8" w:rsidP="00186810">
            <w:pPr>
              <w:jc w:val="center"/>
              <w:rPr>
                <w:b/>
                <w:bCs/>
                <w:color w:val="000000"/>
                <w:sz w:val="16"/>
                <w:szCs w:val="16"/>
              </w:rPr>
            </w:pPr>
            <w:r>
              <w:rPr>
                <w:b/>
                <w:bCs/>
                <w:color w:val="000000"/>
                <w:sz w:val="16"/>
                <w:szCs w:val="16"/>
              </w:rPr>
              <w:t>Утвержденный бюджет на 2018–2019 гг.</w:t>
            </w:r>
          </w:p>
        </w:tc>
        <w:tc>
          <w:tcPr>
            <w:tcW w:w="1319" w:type="dxa"/>
            <w:shd w:val="clear" w:color="000000" w:fill="CCFFFF"/>
            <w:vAlign w:val="center"/>
            <w:hideMark/>
          </w:tcPr>
          <w:p w:rsidR="00186810" w:rsidRPr="007B1ED7" w:rsidRDefault="009D327D" w:rsidP="00186810">
            <w:pPr>
              <w:jc w:val="center"/>
              <w:rPr>
                <w:b/>
                <w:bCs/>
                <w:color w:val="000000"/>
                <w:sz w:val="16"/>
                <w:szCs w:val="16"/>
              </w:rPr>
            </w:pPr>
            <w:r>
              <w:rPr>
                <w:b/>
                <w:bCs/>
                <w:color w:val="000000"/>
                <w:sz w:val="16"/>
                <w:szCs w:val="16"/>
              </w:rPr>
              <w:t>Бюджет после перераспределения средств на 2018–2019 гг.</w:t>
            </w:r>
          </w:p>
          <w:p w:rsidR="00186810" w:rsidRPr="007B1ED7" w:rsidRDefault="00186810" w:rsidP="00186810">
            <w:pPr>
              <w:jc w:val="center"/>
              <w:rPr>
                <w:b/>
                <w:bCs/>
                <w:color w:val="000000"/>
                <w:sz w:val="16"/>
                <w:szCs w:val="16"/>
              </w:rPr>
            </w:pPr>
          </w:p>
        </w:tc>
        <w:tc>
          <w:tcPr>
            <w:tcW w:w="1782" w:type="dxa"/>
            <w:shd w:val="clear" w:color="000000" w:fill="CCFFFF"/>
            <w:vAlign w:val="center"/>
            <w:hideMark/>
          </w:tcPr>
          <w:p w:rsidR="00031373" w:rsidRPr="007B1ED7" w:rsidRDefault="00022718" w:rsidP="009D327D">
            <w:pPr>
              <w:jc w:val="center"/>
              <w:rPr>
                <w:b/>
                <w:bCs/>
                <w:color w:val="000000"/>
                <w:sz w:val="16"/>
                <w:szCs w:val="16"/>
              </w:rPr>
            </w:pPr>
            <w:r>
              <w:rPr>
                <w:b/>
                <w:bCs/>
                <w:color w:val="000000"/>
                <w:sz w:val="16"/>
                <w:szCs w:val="16"/>
              </w:rPr>
              <w:t>Расходы в 2018 г.</w:t>
            </w:r>
          </w:p>
          <w:p w:rsidR="00186810" w:rsidRPr="007B1ED7" w:rsidRDefault="00186810" w:rsidP="009D327D">
            <w:pPr>
              <w:jc w:val="center"/>
              <w:rPr>
                <w:b/>
                <w:bCs/>
                <w:color w:val="000000"/>
                <w:sz w:val="16"/>
                <w:szCs w:val="16"/>
              </w:rPr>
            </w:pPr>
          </w:p>
        </w:tc>
        <w:tc>
          <w:tcPr>
            <w:tcW w:w="1328" w:type="dxa"/>
            <w:shd w:val="clear" w:color="000000" w:fill="CCFFFF"/>
            <w:vAlign w:val="center"/>
            <w:hideMark/>
          </w:tcPr>
          <w:p w:rsidR="00186810" w:rsidRPr="007B1ED7" w:rsidRDefault="00186810" w:rsidP="00186810">
            <w:pPr>
              <w:jc w:val="center"/>
              <w:rPr>
                <w:b/>
                <w:bCs/>
                <w:color w:val="000000"/>
                <w:sz w:val="16"/>
                <w:szCs w:val="16"/>
              </w:rPr>
            </w:pPr>
            <w:r>
              <w:rPr>
                <w:b/>
                <w:bCs/>
                <w:color w:val="000000"/>
                <w:sz w:val="16"/>
                <w:szCs w:val="16"/>
              </w:rPr>
              <w:t>Показатель освоения (%)</w:t>
            </w:r>
          </w:p>
        </w:tc>
      </w:tr>
      <w:tr w:rsidR="00031373" w:rsidRPr="007B1ED7" w:rsidTr="00031373">
        <w:trPr>
          <w:trHeight w:val="315"/>
          <w:jc w:val="center"/>
        </w:trPr>
        <w:tc>
          <w:tcPr>
            <w:tcW w:w="2470" w:type="dxa"/>
            <w:shd w:val="clear" w:color="auto" w:fill="auto"/>
            <w:noWrap/>
            <w:vAlign w:val="center"/>
            <w:hideMark/>
          </w:tcPr>
          <w:p w:rsidR="00031373" w:rsidRPr="007B1ED7" w:rsidRDefault="00031373" w:rsidP="00031373">
            <w:pPr>
              <w:rPr>
                <w:color w:val="000000"/>
                <w:sz w:val="16"/>
                <w:szCs w:val="16"/>
              </w:rPr>
            </w:pPr>
            <w:r>
              <w:rPr>
                <w:color w:val="000000"/>
                <w:sz w:val="16"/>
                <w:szCs w:val="16"/>
              </w:rPr>
              <w:t>Расходы, связанные с персоналом</w:t>
            </w:r>
            <w:r w:rsidR="00A1090F">
              <w:rPr>
                <w:color w:val="000000"/>
                <w:sz w:val="16"/>
                <w:szCs w:val="16"/>
              </w:rPr>
              <w:t xml:space="preserve"> </w:t>
            </w:r>
          </w:p>
        </w:tc>
        <w:tc>
          <w:tcPr>
            <w:tcW w:w="1323" w:type="dxa"/>
            <w:shd w:val="clear" w:color="auto" w:fill="auto"/>
            <w:hideMark/>
          </w:tcPr>
          <w:p w:rsidR="00031373" w:rsidRPr="007B1ED7" w:rsidRDefault="00031373" w:rsidP="00031373">
            <w:pPr>
              <w:jc w:val="center"/>
              <w:rPr>
                <w:color w:val="000000"/>
                <w:sz w:val="16"/>
                <w:szCs w:val="16"/>
              </w:rPr>
            </w:pPr>
            <w:r>
              <w:rPr>
                <w:sz w:val="16"/>
                <w:szCs w:val="16"/>
              </w:rPr>
              <w:t xml:space="preserve">4 849 </w:t>
            </w:r>
          </w:p>
        </w:tc>
        <w:tc>
          <w:tcPr>
            <w:tcW w:w="1319" w:type="dxa"/>
            <w:shd w:val="clear" w:color="auto" w:fill="auto"/>
            <w:hideMark/>
          </w:tcPr>
          <w:p w:rsidR="00031373" w:rsidRPr="007B1ED7" w:rsidRDefault="00031373" w:rsidP="00031373">
            <w:pPr>
              <w:jc w:val="center"/>
              <w:rPr>
                <w:color w:val="000000"/>
                <w:sz w:val="16"/>
                <w:szCs w:val="16"/>
              </w:rPr>
            </w:pPr>
            <w:r>
              <w:rPr>
                <w:sz w:val="16"/>
                <w:szCs w:val="16"/>
              </w:rPr>
              <w:t xml:space="preserve">4 085 </w:t>
            </w:r>
          </w:p>
        </w:tc>
        <w:tc>
          <w:tcPr>
            <w:tcW w:w="1782" w:type="dxa"/>
            <w:shd w:val="clear" w:color="auto" w:fill="auto"/>
            <w:hideMark/>
          </w:tcPr>
          <w:p w:rsidR="00031373" w:rsidRPr="007B1ED7" w:rsidRDefault="00031373" w:rsidP="00031373">
            <w:pPr>
              <w:jc w:val="center"/>
              <w:rPr>
                <w:color w:val="000000"/>
                <w:sz w:val="16"/>
                <w:szCs w:val="16"/>
                <w:highlight w:val="yellow"/>
              </w:rPr>
            </w:pPr>
            <w:r>
              <w:rPr>
                <w:sz w:val="16"/>
                <w:szCs w:val="16"/>
              </w:rPr>
              <w:t xml:space="preserve">1 797 </w:t>
            </w:r>
          </w:p>
        </w:tc>
        <w:tc>
          <w:tcPr>
            <w:tcW w:w="1328" w:type="dxa"/>
            <w:shd w:val="clear" w:color="auto" w:fill="auto"/>
            <w:hideMark/>
          </w:tcPr>
          <w:p w:rsidR="00031373" w:rsidRPr="007B1ED7" w:rsidRDefault="00031373" w:rsidP="00031373">
            <w:pPr>
              <w:jc w:val="center"/>
              <w:rPr>
                <w:color w:val="000000"/>
                <w:sz w:val="16"/>
                <w:szCs w:val="16"/>
                <w:highlight w:val="yellow"/>
              </w:rPr>
            </w:pPr>
            <w:r>
              <w:rPr>
                <w:sz w:val="16"/>
                <w:szCs w:val="16"/>
              </w:rPr>
              <w:t>44%</w:t>
            </w:r>
          </w:p>
        </w:tc>
      </w:tr>
      <w:tr w:rsidR="00031373" w:rsidRPr="007B1ED7" w:rsidTr="00031373">
        <w:trPr>
          <w:trHeight w:val="315"/>
          <w:jc w:val="center"/>
        </w:trPr>
        <w:tc>
          <w:tcPr>
            <w:tcW w:w="2470" w:type="dxa"/>
            <w:tcBorders>
              <w:bottom w:val="single" w:sz="4" w:space="0" w:color="auto"/>
            </w:tcBorders>
            <w:shd w:val="clear" w:color="auto" w:fill="auto"/>
            <w:noWrap/>
            <w:vAlign w:val="center"/>
            <w:hideMark/>
          </w:tcPr>
          <w:p w:rsidR="00031373" w:rsidRPr="007B1ED7" w:rsidRDefault="00031373" w:rsidP="00031373">
            <w:pPr>
              <w:rPr>
                <w:color w:val="000000"/>
                <w:sz w:val="16"/>
                <w:szCs w:val="16"/>
              </w:rPr>
            </w:pPr>
            <w:r>
              <w:rPr>
                <w:color w:val="000000"/>
                <w:sz w:val="16"/>
                <w:szCs w:val="16"/>
              </w:rPr>
              <w:t xml:space="preserve">Расходы, не связанные с персоналом </w:t>
            </w:r>
          </w:p>
        </w:tc>
        <w:tc>
          <w:tcPr>
            <w:tcW w:w="1323" w:type="dxa"/>
            <w:tcBorders>
              <w:bottom w:val="single" w:sz="4" w:space="0" w:color="auto"/>
            </w:tcBorders>
            <w:shd w:val="clear" w:color="auto" w:fill="auto"/>
            <w:hideMark/>
          </w:tcPr>
          <w:p w:rsidR="00031373" w:rsidRPr="007B1ED7" w:rsidRDefault="00031373" w:rsidP="00031373">
            <w:pPr>
              <w:jc w:val="center"/>
              <w:rPr>
                <w:color w:val="000000"/>
                <w:sz w:val="16"/>
                <w:szCs w:val="16"/>
              </w:rPr>
            </w:pPr>
            <w:r>
              <w:rPr>
                <w:sz w:val="16"/>
                <w:szCs w:val="16"/>
              </w:rPr>
              <w:t xml:space="preserve">700 </w:t>
            </w:r>
          </w:p>
        </w:tc>
        <w:tc>
          <w:tcPr>
            <w:tcW w:w="1319" w:type="dxa"/>
            <w:tcBorders>
              <w:bottom w:val="single" w:sz="4" w:space="0" w:color="auto"/>
            </w:tcBorders>
            <w:shd w:val="clear" w:color="auto" w:fill="auto"/>
            <w:hideMark/>
          </w:tcPr>
          <w:p w:rsidR="00031373" w:rsidRPr="007B1ED7" w:rsidRDefault="00031373" w:rsidP="00031373">
            <w:pPr>
              <w:jc w:val="center"/>
              <w:rPr>
                <w:color w:val="000000"/>
                <w:sz w:val="16"/>
                <w:szCs w:val="16"/>
              </w:rPr>
            </w:pPr>
            <w:r>
              <w:rPr>
                <w:sz w:val="16"/>
                <w:szCs w:val="16"/>
              </w:rPr>
              <w:t xml:space="preserve">987 </w:t>
            </w:r>
          </w:p>
        </w:tc>
        <w:tc>
          <w:tcPr>
            <w:tcW w:w="1782" w:type="dxa"/>
            <w:tcBorders>
              <w:bottom w:val="single" w:sz="4" w:space="0" w:color="auto"/>
            </w:tcBorders>
            <w:shd w:val="clear" w:color="auto" w:fill="auto"/>
            <w:hideMark/>
          </w:tcPr>
          <w:p w:rsidR="00031373" w:rsidRPr="007B1ED7" w:rsidRDefault="00031373" w:rsidP="00031373">
            <w:pPr>
              <w:jc w:val="center"/>
              <w:rPr>
                <w:color w:val="000000"/>
                <w:sz w:val="16"/>
                <w:szCs w:val="16"/>
                <w:highlight w:val="yellow"/>
              </w:rPr>
            </w:pPr>
            <w:r>
              <w:rPr>
                <w:sz w:val="16"/>
                <w:szCs w:val="16"/>
              </w:rPr>
              <w:t xml:space="preserve">544 </w:t>
            </w:r>
          </w:p>
        </w:tc>
        <w:tc>
          <w:tcPr>
            <w:tcW w:w="1328" w:type="dxa"/>
            <w:tcBorders>
              <w:bottom w:val="single" w:sz="4" w:space="0" w:color="auto"/>
            </w:tcBorders>
            <w:shd w:val="clear" w:color="auto" w:fill="auto"/>
            <w:hideMark/>
          </w:tcPr>
          <w:p w:rsidR="00031373" w:rsidRPr="007B1ED7" w:rsidRDefault="00031373" w:rsidP="00031373">
            <w:pPr>
              <w:jc w:val="center"/>
              <w:rPr>
                <w:color w:val="000000"/>
                <w:sz w:val="16"/>
                <w:szCs w:val="16"/>
                <w:highlight w:val="yellow"/>
              </w:rPr>
            </w:pPr>
            <w:r>
              <w:rPr>
                <w:sz w:val="16"/>
                <w:szCs w:val="16"/>
              </w:rPr>
              <w:t>55%</w:t>
            </w:r>
          </w:p>
        </w:tc>
      </w:tr>
      <w:tr w:rsidR="00031373" w:rsidRPr="007B1ED7" w:rsidTr="00031373">
        <w:trPr>
          <w:trHeight w:val="225"/>
          <w:jc w:val="center"/>
        </w:trPr>
        <w:tc>
          <w:tcPr>
            <w:tcW w:w="2470" w:type="dxa"/>
            <w:tcBorders>
              <w:bottom w:val="single" w:sz="4" w:space="0" w:color="auto"/>
            </w:tcBorders>
            <w:shd w:val="clear" w:color="000000" w:fill="CCFFFF"/>
            <w:noWrap/>
            <w:vAlign w:val="center"/>
            <w:hideMark/>
          </w:tcPr>
          <w:p w:rsidR="00031373" w:rsidRPr="007B1ED7" w:rsidRDefault="00031373" w:rsidP="00031373">
            <w:pPr>
              <w:jc w:val="right"/>
              <w:rPr>
                <w:b/>
                <w:bCs/>
                <w:color w:val="000000"/>
                <w:sz w:val="16"/>
                <w:szCs w:val="16"/>
              </w:rPr>
            </w:pPr>
            <w:r>
              <w:rPr>
                <w:b/>
                <w:bCs/>
                <w:color w:val="000000"/>
                <w:sz w:val="16"/>
                <w:szCs w:val="16"/>
              </w:rPr>
              <w:t xml:space="preserve"> Итого </w:t>
            </w:r>
          </w:p>
        </w:tc>
        <w:tc>
          <w:tcPr>
            <w:tcW w:w="1323" w:type="dxa"/>
            <w:tcBorders>
              <w:bottom w:val="single" w:sz="4" w:space="0" w:color="auto"/>
            </w:tcBorders>
            <w:shd w:val="clear" w:color="000000" w:fill="CCFFFF"/>
            <w:hideMark/>
          </w:tcPr>
          <w:p w:rsidR="00031373" w:rsidRPr="007B1ED7" w:rsidRDefault="00031373" w:rsidP="00031373">
            <w:pPr>
              <w:jc w:val="center"/>
              <w:rPr>
                <w:b/>
                <w:bCs/>
                <w:color w:val="000000"/>
                <w:sz w:val="16"/>
                <w:szCs w:val="16"/>
              </w:rPr>
            </w:pPr>
            <w:r>
              <w:rPr>
                <w:sz w:val="16"/>
                <w:szCs w:val="16"/>
              </w:rPr>
              <w:t xml:space="preserve">5 550 </w:t>
            </w:r>
          </w:p>
        </w:tc>
        <w:tc>
          <w:tcPr>
            <w:tcW w:w="1319" w:type="dxa"/>
            <w:tcBorders>
              <w:bottom w:val="single" w:sz="4" w:space="0" w:color="auto"/>
            </w:tcBorders>
            <w:shd w:val="clear" w:color="000000" w:fill="CCFFFF"/>
            <w:hideMark/>
          </w:tcPr>
          <w:p w:rsidR="00031373" w:rsidRPr="007B1ED7" w:rsidRDefault="00031373" w:rsidP="00031373">
            <w:pPr>
              <w:jc w:val="center"/>
              <w:rPr>
                <w:b/>
                <w:bCs/>
                <w:color w:val="000000"/>
                <w:sz w:val="16"/>
                <w:szCs w:val="16"/>
              </w:rPr>
            </w:pPr>
            <w:r>
              <w:rPr>
                <w:sz w:val="16"/>
                <w:szCs w:val="16"/>
              </w:rPr>
              <w:t xml:space="preserve">5 072 </w:t>
            </w:r>
          </w:p>
        </w:tc>
        <w:tc>
          <w:tcPr>
            <w:tcW w:w="1782" w:type="dxa"/>
            <w:tcBorders>
              <w:bottom w:val="single" w:sz="4" w:space="0" w:color="auto"/>
            </w:tcBorders>
            <w:shd w:val="clear" w:color="000000" w:fill="CCFFFF"/>
            <w:hideMark/>
          </w:tcPr>
          <w:p w:rsidR="00031373" w:rsidRPr="007B1ED7" w:rsidRDefault="00031373" w:rsidP="00031373">
            <w:pPr>
              <w:jc w:val="center"/>
              <w:rPr>
                <w:b/>
                <w:bCs/>
                <w:color w:val="000000"/>
                <w:sz w:val="16"/>
                <w:szCs w:val="16"/>
                <w:highlight w:val="yellow"/>
              </w:rPr>
            </w:pPr>
            <w:r>
              <w:rPr>
                <w:sz w:val="16"/>
                <w:szCs w:val="16"/>
              </w:rPr>
              <w:t xml:space="preserve">2 341 </w:t>
            </w:r>
          </w:p>
        </w:tc>
        <w:tc>
          <w:tcPr>
            <w:tcW w:w="1328" w:type="dxa"/>
            <w:tcBorders>
              <w:bottom w:val="single" w:sz="4" w:space="0" w:color="auto"/>
            </w:tcBorders>
            <w:shd w:val="clear" w:color="000000" w:fill="CCFFFF"/>
            <w:hideMark/>
          </w:tcPr>
          <w:p w:rsidR="00031373" w:rsidRPr="007B1ED7" w:rsidRDefault="00031373" w:rsidP="00031373">
            <w:pPr>
              <w:jc w:val="center"/>
              <w:rPr>
                <w:b/>
                <w:bCs/>
                <w:color w:val="000000"/>
                <w:sz w:val="16"/>
                <w:szCs w:val="16"/>
                <w:highlight w:val="yellow"/>
              </w:rPr>
            </w:pPr>
            <w:r>
              <w:rPr>
                <w:sz w:val="16"/>
                <w:szCs w:val="16"/>
              </w:rPr>
              <w:t>46%</w:t>
            </w:r>
          </w:p>
        </w:tc>
      </w:tr>
    </w:tbl>
    <w:p w:rsidR="00186810" w:rsidRPr="00BD2E61" w:rsidRDefault="00186810" w:rsidP="00186810">
      <w:pPr>
        <w:rPr>
          <w:sz w:val="20"/>
        </w:rPr>
      </w:pPr>
    </w:p>
    <w:p w:rsidR="00186810" w:rsidRDefault="00186810" w:rsidP="00A1090F">
      <w:pPr>
        <w:pStyle w:val="ONUME"/>
        <w:numPr>
          <w:ilvl w:val="0"/>
          <w:numId w:val="17"/>
        </w:numPr>
        <w:jc w:val="both"/>
      </w:pPr>
      <w:r>
        <w:t>Завершилось оформление на работу начальника Секции внутреннего аудита, и отобранный кандидат, утвержденный на эту должность, приступил к исполнению своих обязанностей в августе 2018 г.</w:t>
      </w:r>
    </w:p>
    <w:p w:rsidR="006C059E" w:rsidRDefault="006C059E" w:rsidP="00A1090F">
      <w:pPr>
        <w:pStyle w:val="ONUME"/>
        <w:numPr>
          <w:ilvl w:val="0"/>
          <w:numId w:val="17"/>
        </w:numPr>
        <w:jc w:val="both"/>
      </w:pPr>
      <w:r>
        <w:lastRenderedPageBreak/>
        <w:t xml:space="preserve">Завершилось оформление на работу старшего сотрудника по вопросам аудита, и отобранный кандидат приступит к работе 1 августа 2019 г. </w:t>
      </w:r>
    </w:p>
    <w:p w:rsidR="00186810" w:rsidRPr="008D54B9" w:rsidRDefault="00186810" w:rsidP="00A1090F">
      <w:pPr>
        <w:pStyle w:val="ONUME"/>
        <w:numPr>
          <w:ilvl w:val="0"/>
          <w:numId w:val="17"/>
        </w:numPr>
        <w:jc w:val="both"/>
      </w:pPr>
      <w:r>
        <w:t>Завершился процесс поиска кандидата на должность старшего сотрудника по расследованиям на уровне С-4, и отобранный кандидат приступил к работе в январе 2019 г.</w:t>
      </w:r>
    </w:p>
    <w:p w:rsidR="006C059E" w:rsidRDefault="00186810" w:rsidP="00A1090F">
      <w:pPr>
        <w:pStyle w:val="ONUME"/>
        <w:numPr>
          <w:ilvl w:val="0"/>
          <w:numId w:val="17"/>
        </w:numPr>
        <w:jc w:val="both"/>
      </w:pPr>
      <w:r>
        <w:t>Завершился процесс поиска временного сотрудника по оценке категории С-3, и отобранный кандидат приступил к работе в январе 2019 г.</w:t>
      </w:r>
    </w:p>
    <w:p w:rsidR="00186810" w:rsidRDefault="006C059E" w:rsidP="00A1090F">
      <w:pPr>
        <w:pStyle w:val="ONUME"/>
        <w:numPr>
          <w:ilvl w:val="0"/>
          <w:numId w:val="17"/>
        </w:numPr>
        <w:jc w:val="both"/>
      </w:pPr>
      <w:r>
        <w:t>15 мая 2019 г. к ОВН присоединился недавно отобранный стажер.</w:t>
      </w:r>
    </w:p>
    <w:p w:rsidR="009D327D" w:rsidRDefault="009D327D" w:rsidP="00A1090F">
      <w:pPr>
        <w:pStyle w:val="ONUME"/>
        <w:numPr>
          <w:ilvl w:val="0"/>
          <w:numId w:val="17"/>
        </w:numPr>
        <w:jc w:val="both"/>
      </w:pPr>
      <w:r>
        <w:t>Продолжается процесс поиска кандидата на должность секретаря на уровне ОО-4.</w:t>
      </w:r>
    </w:p>
    <w:p w:rsidR="00186810" w:rsidRPr="00E32ADE" w:rsidRDefault="00186810" w:rsidP="00962729">
      <w:pPr>
        <w:pStyle w:val="Heading2"/>
      </w:pPr>
      <w:r>
        <w:t>Обучение персонала</w:t>
      </w:r>
    </w:p>
    <w:p w:rsidR="00186810" w:rsidRDefault="00186810" w:rsidP="00A1090F">
      <w:pPr>
        <w:pStyle w:val="ONUME"/>
        <w:numPr>
          <w:ilvl w:val="0"/>
          <w:numId w:val="17"/>
        </w:numPr>
        <w:jc w:val="both"/>
      </w:pPr>
      <w:r>
        <w:t>С учетом того, что постоянное повышение квалификации является обязательным условием дальнейшего профессионального роста сотрудников, а также в соответствии с требованиями политики ВОИС в области обучения сотрудники ОВН приняли участие в различных обучающих мероприятиях для приобретения новых знаний, специальных навыков и другой компетенции в интересах повышения эффективности и результативности оперативной деятельности ОВН в области надзора.</w:t>
      </w:r>
      <w:r w:rsidR="00A1090F">
        <w:t xml:space="preserve"> </w:t>
      </w:r>
    </w:p>
    <w:p w:rsidR="00186810" w:rsidRPr="00E32ADE" w:rsidRDefault="00186810" w:rsidP="00A1090F">
      <w:pPr>
        <w:pStyle w:val="ONUME"/>
        <w:numPr>
          <w:ilvl w:val="0"/>
          <w:numId w:val="17"/>
        </w:numPr>
        <w:jc w:val="both"/>
      </w:pPr>
      <w:r>
        <w:t>В среднем каждый сотрудник ОВН потратил 10</w:t>
      </w:r>
      <w:r w:rsidR="00010A39">
        <w:t> </w:t>
      </w:r>
      <w:r>
        <w:t>дней на прохождение профессиональной подготовки, в том числе по таким темам, как предотвращение и выявление мошенничества, методы следственного анализа, анализ данных, прикладная система визуального отображения Tableau</w:t>
      </w:r>
      <w:r>
        <w:rPr>
          <w:vertAlign w:val="superscript"/>
        </w:rPr>
        <w:t>TM</w:t>
      </w:r>
      <w:r>
        <w:t>, сбор цифровых данных, кибербезопасность, урегулирование конфликтов, оценка научной и инновационной политики, а также система TeamMate.</w:t>
      </w:r>
    </w:p>
    <w:p w:rsidR="00186810" w:rsidRDefault="00186810" w:rsidP="00186810">
      <w:pPr>
        <w:pStyle w:val="ONUME"/>
        <w:numPr>
          <w:ilvl w:val="0"/>
          <w:numId w:val="0"/>
        </w:numPr>
      </w:pPr>
    </w:p>
    <w:p w:rsidR="00186810" w:rsidRDefault="00186810" w:rsidP="00186810">
      <w:pPr>
        <w:keepLines/>
        <w:tabs>
          <w:tab w:val="left" w:pos="5529"/>
        </w:tabs>
        <w:ind w:firstLine="5529"/>
      </w:pPr>
      <w:r>
        <w:t>[Приложение следует]</w:t>
      </w:r>
    </w:p>
    <w:p w:rsidR="00D564B8" w:rsidRDefault="00D564B8" w:rsidP="00186810">
      <w:pPr>
        <w:keepLines/>
        <w:tabs>
          <w:tab w:val="left" w:pos="5529"/>
        </w:tabs>
        <w:ind w:firstLine="5529"/>
      </w:pPr>
    </w:p>
    <w:p w:rsidR="00186810" w:rsidRDefault="00186810" w:rsidP="00186810">
      <w:pPr>
        <w:pStyle w:val="ONUME"/>
        <w:keepLines/>
        <w:numPr>
          <w:ilvl w:val="0"/>
          <w:numId w:val="0"/>
        </w:numPr>
        <w:jc w:val="right"/>
        <w:sectPr w:rsidR="00186810" w:rsidSect="00186810">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305" w:right="1134" w:bottom="1418" w:left="1418" w:header="510" w:footer="1021" w:gutter="0"/>
          <w:pgNumType w:start="1"/>
          <w:cols w:space="720"/>
          <w:titlePg/>
          <w:docGrid w:linePitch="299"/>
        </w:sectPr>
      </w:pPr>
    </w:p>
    <w:p w:rsidR="00186810" w:rsidRDefault="00186810" w:rsidP="00186810">
      <w:pPr>
        <w:keepLines/>
        <w:jc w:val="center"/>
        <w:rPr>
          <w:b/>
          <w:bCs/>
        </w:rPr>
      </w:pPr>
      <w:r>
        <w:rPr>
          <w:b/>
          <w:bCs/>
        </w:rPr>
        <w:lastRenderedPageBreak/>
        <w:t xml:space="preserve">Перечень отчетов ОВН </w:t>
      </w:r>
      <w:r>
        <w:rPr>
          <w:b/>
          <w:bCs/>
        </w:rPr>
        <w:br/>
        <w:t>1 июля 2018 г. — 30 июня 2019 г.</w:t>
      </w:r>
    </w:p>
    <w:p w:rsidR="00186810" w:rsidRDefault="00186810" w:rsidP="00186810">
      <w:pPr>
        <w:keepLines/>
        <w:jc w:val="center"/>
        <w:rPr>
          <w:b/>
          <w:bCs/>
        </w:rPr>
      </w:pPr>
    </w:p>
    <w:p w:rsidR="00186810" w:rsidRDefault="00186810" w:rsidP="00186810">
      <w:pPr>
        <w:keepLines/>
        <w:ind w:left="5533"/>
        <w:jc w:val="right"/>
      </w:pPr>
    </w:p>
    <w:tbl>
      <w:tblPr>
        <w:tblStyle w:val="TableGridLight"/>
        <w:tblW w:w="0" w:type="auto"/>
        <w:tblLook w:val="04A0" w:firstRow="1" w:lastRow="0" w:firstColumn="1" w:lastColumn="0" w:noHBand="0" w:noVBand="1"/>
      </w:tblPr>
      <w:tblGrid>
        <w:gridCol w:w="7222"/>
        <w:gridCol w:w="2123"/>
      </w:tblGrid>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Аудиторская проверка систем обеспечения безопасности физического доступа</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IA 2018-04</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Аудиторская проверка портфеля проектов в области планирования общеорганизационных ресурсов (ПОР)</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IA 2018-03</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Аудиторская проверка целевых фондов, управляемых ВОИС</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IA 2018-05</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Аудиторская проверка Стратегии целостности информации ВОИС</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IA 2018-06</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Аудиторская проверка пилотного проекта PCT в области сальдирования пошлин</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IA 2019-06</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Оценка пилотной программы содействия карьерному и профессиональному росту (этап 2)</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EVAL 2018-01</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Обобщающий доклад о мета-оценке продуктов ВОИС, связанных с оценкой</w:t>
            </w:r>
          </w:p>
        </w:tc>
        <w:tc>
          <w:tcPr>
            <w:tcW w:w="2123" w:type="dxa"/>
            <w:vAlign w:val="center"/>
          </w:tcPr>
          <w:p w:rsidR="00526183" w:rsidRPr="00427FB1" w:rsidRDefault="00526183" w:rsidP="00752A33">
            <w:pPr>
              <w:pStyle w:val="ONUME"/>
              <w:numPr>
                <w:ilvl w:val="0"/>
                <w:numId w:val="0"/>
              </w:numPr>
              <w:ind w:left="34"/>
              <w:jc w:val="center"/>
            </w:pPr>
            <w:r>
              <w:rPr>
                <w:color w:val="000000"/>
                <w:sz w:val="24"/>
                <w:szCs w:val="24"/>
              </w:rPr>
              <w:t>EVAL 2018-03</w:t>
            </w:r>
          </w:p>
        </w:tc>
      </w:tr>
      <w:tr w:rsidR="00526183" w:rsidRPr="00427FB1" w:rsidTr="003C41D6">
        <w:trPr>
          <w:trHeight w:val="851"/>
        </w:trPr>
        <w:tc>
          <w:tcPr>
            <w:tcW w:w="7222" w:type="dxa"/>
            <w:vAlign w:val="center"/>
          </w:tcPr>
          <w:p w:rsidR="00526183" w:rsidRPr="00C11E98" w:rsidRDefault="00526183" w:rsidP="00A1090F">
            <w:pPr>
              <w:pStyle w:val="ONUME"/>
              <w:numPr>
                <w:ilvl w:val="0"/>
                <w:numId w:val="0"/>
              </w:numPr>
              <w:jc w:val="both"/>
            </w:pPr>
            <w:r>
              <w:t>Оценка деятельности Регионального бюро для Азиатско-Тихоокеанского региона</w:t>
            </w:r>
          </w:p>
        </w:tc>
        <w:tc>
          <w:tcPr>
            <w:tcW w:w="2123" w:type="dxa"/>
            <w:vAlign w:val="center"/>
          </w:tcPr>
          <w:p w:rsidR="00621B97" w:rsidRPr="00427FB1" w:rsidRDefault="00526183" w:rsidP="00752A33">
            <w:pPr>
              <w:keepLines/>
              <w:ind w:left="34"/>
              <w:jc w:val="center"/>
            </w:pPr>
            <w:r>
              <w:rPr>
                <w:color w:val="000000"/>
                <w:sz w:val="24"/>
                <w:szCs w:val="24"/>
              </w:rPr>
              <w:t>EVAL 2018-02</w:t>
            </w:r>
          </w:p>
        </w:tc>
      </w:tr>
      <w:tr w:rsidR="004C3FAD" w:rsidRPr="00427FB1" w:rsidTr="00A1090F">
        <w:trPr>
          <w:trHeight w:val="851"/>
        </w:trPr>
        <w:tc>
          <w:tcPr>
            <w:tcW w:w="7222" w:type="dxa"/>
            <w:vAlign w:val="center"/>
          </w:tcPr>
          <w:p w:rsidR="004C3FAD" w:rsidRPr="00C11E98" w:rsidRDefault="004C3FAD" w:rsidP="00A1090F">
            <w:pPr>
              <w:jc w:val="both"/>
            </w:pPr>
            <w:r>
              <w:t>ОРРР по изменениям ex officio в Мадридском реестре</w:t>
            </w:r>
          </w:p>
        </w:tc>
        <w:tc>
          <w:tcPr>
            <w:tcW w:w="2123" w:type="dxa"/>
            <w:vAlign w:val="center"/>
          </w:tcPr>
          <w:p w:rsidR="004C3FAD" w:rsidRPr="001A149F" w:rsidRDefault="004C3FAD" w:rsidP="00A1090F">
            <w:pPr>
              <w:keepLines/>
              <w:ind w:left="34"/>
              <w:jc w:val="center"/>
              <w:rPr>
                <w:rFonts w:eastAsia="Times New Roman"/>
                <w:color w:val="000000"/>
                <w:sz w:val="24"/>
                <w:szCs w:val="24"/>
              </w:rPr>
            </w:pPr>
            <w:r>
              <w:rPr>
                <w:color w:val="000000"/>
                <w:sz w:val="24"/>
                <w:szCs w:val="24"/>
              </w:rPr>
              <w:t>MIR 2018-15</w:t>
            </w:r>
          </w:p>
        </w:tc>
      </w:tr>
      <w:tr w:rsidR="00526183" w:rsidRPr="00427FB1" w:rsidTr="003C41D6">
        <w:trPr>
          <w:trHeight w:val="851"/>
        </w:trPr>
        <w:tc>
          <w:tcPr>
            <w:tcW w:w="7222" w:type="dxa"/>
            <w:vAlign w:val="center"/>
          </w:tcPr>
          <w:p w:rsidR="00526183" w:rsidRPr="00C11E98" w:rsidRDefault="004C3FAD" w:rsidP="00FD1034">
            <w:pPr>
              <w:jc w:val="both"/>
            </w:pPr>
            <w:r>
              <w:t>ОРРР по системам управления запросами клиентов</w:t>
            </w:r>
            <w:r w:rsidR="00FD1034">
              <w:t xml:space="preserve"> (проект, выпущенный для получения замечаний)</w:t>
            </w:r>
          </w:p>
        </w:tc>
        <w:tc>
          <w:tcPr>
            <w:tcW w:w="2123" w:type="dxa"/>
            <w:vAlign w:val="center"/>
          </w:tcPr>
          <w:p w:rsidR="00526183" w:rsidRPr="001A149F" w:rsidRDefault="004C3FAD" w:rsidP="00752A33">
            <w:pPr>
              <w:keepLines/>
              <w:ind w:left="34"/>
              <w:jc w:val="center"/>
              <w:rPr>
                <w:rFonts w:eastAsia="Times New Roman"/>
                <w:color w:val="000000"/>
                <w:sz w:val="24"/>
                <w:szCs w:val="24"/>
              </w:rPr>
            </w:pPr>
            <w:r>
              <w:rPr>
                <w:color w:val="000000"/>
                <w:sz w:val="24"/>
                <w:szCs w:val="24"/>
              </w:rPr>
              <w:t>MIR 2019-03</w:t>
            </w:r>
          </w:p>
        </w:tc>
      </w:tr>
    </w:tbl>
    <w:p w:rsidR="00186810" w:rsidRDefault="00186810" w:rsidP="00186810">
      <w:pPr>
        <w:keepLines/>
      </w:pPr>
    </w:p>
    <w:p w:rsidR="00186810" w:rsidRDefault="00186810" w:rsidP="00186810">
      <w:pPr>
        <w:keepLines/>
        <w:ind w:left="5533"/>
      </w:pPr>
    </w:p>
    <w:p w:rsidR="00186810" w:rsidRPr="000B6226" w:rsidRDefault="00186810" w:rsidP="00186810">
      <w:pPr>
        <w:keepLines/>
        <w:ind w:left="5533"/>
      </w:pPr>
      <w:r>
        <w:t>[Конец приложения и документа]</w:t>
      </w:r>
    </w:p>
    <w:sectPr w:rsidR="00186810" w:rsidRPr="000B6226" w:rsidSect="00186810">
      <w:headerReference w:type="first" r:id="rId2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9C" w:rsidRDefault="005B329C">
      <w:r>
        <w:separator/>
      </w:r>
    </w:p>
  </w:endnote>
  <w:endnote w:type="continuationSeparator" w:id="0">
    <w:p w:rsidR="005B329C" w:rsidRDefault="005B329C" w:rsidP="003B38C1">
      <w:r>
        <w:separator/>
      </w:r>
    </w:p>
    <w:p w:rsidR="005B329C" w:rsidRPr="007B3AB7" w:rsidRDefault="005B329C" w:rsidP="003B38C1">
      <w:pPr>
        <w:spacing w:after="60"/>
        <w:rPr>
          <w:sz w:val="17"/>
          <w:lang w:val="en-GB"/>
        </w:rPr>
      </w:pPr>
      <w:r w:rsidRPr="007B3AB7">
        <w:rPr>
          <w:sz w:val="17"/>
          <w:lang w:val="en-GB"/>
        </w:rPr>
        <w:t>[Endnote continued from previous page]</w:t>
      </w:r>
    </w:p>
  </w:endnote>
  <w:endnote w:type="continuationNotice" w:id="1">
    <w:p w:rsidR="005B329C" w:rsidRPr="007B3AB7" w:rsidRDefault="005B329C" w:rsidP="003B38C1">
      <w:pPr>
        <w:spacing w:before="60"/>
        <w:jc w:val="right"/>
        <w:rPr>
          <w:sz w:val="17"/>
          <w:szCs w:val="17"/>
          <w:lang w:val="en-GB"/>
        </w:rPr>
      </w:pPr>
      <w:r w:rsidRPr="007B3AB7">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CD472C" w:rsidRDefault="00537457" w:rsidP="0018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CD472C" w:rsidRDefault="00537457" w:rsidP="0018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CD472C" w:rsidRDefault="00537457" w:rsidP="0018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9C" w:rsidRDefault="005B329C">
      <w:r>
        <w:separator/>
      </w:r>
    </w:p>
  </w:footnote>
  <w:footnote w:type="continuationSeparator" w:id="0">
    <w:p w:rsidR="005B329C" w:rsidRDefault="005B329C" w:rsidP="008B60B2">
      <w:r>
        <w:separator/>
      </w:r>
    </w:p>
    <w:p w:rsidR="005B329C" w:rsidRPr="007B3AB7" w:rsidRDefault="005B329C" w:rsidP="008B60B2">
      <w:pPr>
        <w:spacing w:after="60"/>
        <w:rPr>
          <w:sz w:val="17"/>
          <w:szCs w:val="17"/>
          <w:lang w:val="en-GB"/>
        </w:rPr>
      </w:pPr>
      <w:r w:rsidRPr="007B3AB7">
        <w:rPr>
          <w:sz w:val="17"/>
          <w:szCs w:val="17"/>
          <w:lang w:val="en-GB"/>
        </w:rPr>
        <w:t>[Footnote continued from previous page]</w:t>
      </w:r>
    </w:p>
  </w:footnote>
  <w:footnote w:type="continuationNotice" w:id="1">
    <w:p w:rsidR="005B329C" w:rsidRPr="007B3AB7" w:rsidRDefault="005B329C" w:rsidP="008B60B2">
      <w:pPr>
        <w:spacing w:before="60"/>
        <w:jc w:val="right"/>
        <w:rPr>
          <w:sz w:val="17"/>
          <w:szCs w:val="17"/>
          <w:lang w:val="en-GB"/>
        </w:rPr>
      </w:pPr>
      <w:r w:rsidRPr="007B3AB7">
        <w:rPr>
          <w:sz w:val="17"/>
          <w:szCs w:val="17"/>
          <w:lang w:val="en-GB"/>
        </w:rPr>
        <w:t>[Footnote continued on next page]</w:t>
      </w:r>
    </w:p>
  </w:footnote>
  <w:footnote w:id="2">
    <w:p w:rsidR="00537457" w:rsidRPr="001C0542" w:rsidRDefault="00537457" w:rsidP="00186810">
      <w:pPr>
        <w:pStyle w:val="FootnoteText"/>
      </w:pPr>
      <w:r>
        <w:rPr>
          <w:rStyle w:val="FootnoteReference"/>
        </w:rPr>
        <w:footnoteRef/>
      </w:r>
      <w:r>
        <w:tab/>
        <w:t>См. УВН, пункты 47 и 48.</w:t>
      </w:r>
    </w:p>
  </w:footnote>
  <w:footnote w:id="3">
    <w:p w:rsidR="00537457" w:rsidRDefault="00537457" w:rsidP="00186810">
      <w:pPr>
        <w:pStyle w:val="FootnoteText"/>
      </w:pPr>
      <w:r>
        <w:rPr>
          <w:rStyle w:val="FootnoteReference"/>
        </w:rPr>
        <w:footnoteRef/>
      </w:r>
      <w:r>
        <w:tab/>
        <w:t>Перечень отчетов содержится в приложении.</w:t>
      </w:r>
    </w:p>
  </w:footnote>
  <w:footnote w:id="4">
    <w:p w:rsidR="00A10656" w:rsidRPr="00A10656" w:rsidRDefault="00A10656" w:rsidP="00A10656">
      <w:pPr>
        <w:pStyle w:val="FootnoteText"/>
      </w:pPr>
      <w:r>
        <w:rPr>
          <w:rStyle w:val="FootnoteReference"/>
        </w:rPr>
        <w:footnoteRef/>
      </w:r>
      <w:r w:rsidRPr="00A10656">
        <w:tab/>
      </w:r>
      <w:r w:rsidRPr="00A10656">
        <w:rPr>
          <w:lang w:val="en-US"/>
        </w:rPr>
        <w:t>TeamCentral</w:t>
      </w:r>
      <w:r w:rsidRPr="00A10656">
        <w:t xml:space="preserve">© – </w:t>
      </w:r>
      <w:r>
        <w:t>один</w:t>
      </w:r>
      <w:r w:rsidRPr="00A10656">
        <w:t xml:space="preserve"> </w:t>
      </w:r>
      <w:r>
        <w:t>из</w:t>
      </w:r>
      <w:r w:rsidRPr="00A10656">
        <w:t xml:space="preserve"> </w:t>
      </w:r>
      <w:r>
        <w:t>модулей</w:t>
      </w:r>
      <w:r w:rsidRPr="00A10656">
        <w:t xml:space="preserve"> </w:t>
      </w:r>
      <w:r>
        <w:t>специализированной</w:t>
      </w:r>
      <w:r w:rsidRPr="00A10656">
        <w:t xml:space="preserve"> </w:t>
      </w:r>
      <w:r>
        <w:t>программной</w:t>
      </w:r>
      <w:r w:rsidRPr="00A10656">
        <w:t xml:space="preserve"> </w:t>
      </w:r>
      <w:r>
        <w:t>системы</w:t>
      </w:r>
      <w:r w:rsidRPr="00A10656">
        <w:t xml:space="preserve"> </w:t>
      </w:r>
      <w:r w:rsidRPr="00A10656">
        <w:rPr>
          <w:lang w:val="en-US"/>
        </w:rPr>
        <w:t>TeamMate</w:t>
      </w:r>
      <w:r w:rsidRPr="00A10656">
        <w:t xml:space="preserve">, </w:t>
      </w:r>
      <w:r>
        <w:t>которая</w:t>
      </w:r>
      <w:r w:rsidRPr="00A10656">
        <w:t xml:space="preserve"> </w:t>
      </w:r>
      <w:r>
        <w:t>предназначена</w:t>
      </w:r>
      <w:r w:rsidRPr="00A10656">
        <w:t xml:space="preserve"> </w:t>
      </w:r>
      <w:r>
        <w:t>для</w:t>
      </w:r>
      <w:r w:rsidRPr="00A10656">
        <w:t xml:space="preserve"> </w:t>
      </w:r>
      <w:r>
        <w:t>проведения</w:t>
      </w:r>
      <w:r w:rsidRPr="00A10656">
        <w:t xml:space="preserve"> </w:t>
      </w:r>
      <w:r>
        <w:t>аудиторских</w:t>
      </w:r>
      <w:r w:rsidRPr="00A10656">
        <w:t xml:space="preserve"> </w:t>
      </w:r>
      <w:r>
        <w:t xml:space="preserve">проверок и включает целый ряд модулей для, в частности, работы с электронными документами, контроля выполнения рекомендаций, оценки риска и </w:t>
      </w:r>
      <w:r w:rsidR="00977929">
        <w:t>составления временных графиков</w:t>
      </w:r>
      <w:r w:rsidRPr="00A10656">
        <w:t>.</w:t>
      </w:r>
    </w:p>
  </w:footnote>
  <w:footnote w:id="5">
    <w:p w:rsidR="00537457" w:rsidRDefault="00537457" w:rsidP="00390574">
      <w:pPr>
        <w:pStyle w:val="FootnoteText"/>
      </w:pPr>
      <w:r>
        <w:rPr>
          <w:rStyle w:val="FootnoteReference"/>
        </w:rPr>
        <w:footnoteRef/>
      </w:r>
      <w:r>
        <w:tab/>
      </w:r>
      <w:hyperlink r:id="rId1" w:history="1">
        <w:r>
          <w:rPr>
            <w:rStyle w:val="Hyperlink"/>
          </w:rPr>
          <w:t>https://www.wipo.int/export/sites/www/about-wipo/en/oversight/iaod/audit/pdf/project_management.pdf</w:t>
        </w:r>
      </w:hyperlink>
    </w:p>
  </w:footnote>
  <w:footnote w:id="6">
    <w:p w:rsidR="00537457" w:rsidRDefault="00537457" w:rsidP="00A1090F">
      <w:pPr>
        <w:pStyle w:val="FootnoteText"/>
        <w:jc w:val="both"/>
      </w:pPr>
      <w:r>
        <w:rPr>
          <w:rStyle w:val="FootnoteReference"/>
        </w:rPr>
        <w:footnoteRef/>
      </w:r>
      <w:r>
        <w:tab/>
        <w:t>Если применительно к уплате пошлины за поиск в валюте, предписанной ПВ («предписанная валюта»), которая является иной, чем валюта, установленная МПО («установленная валюта»), сумма, фактически полученная в предписанной валюте Международным поисковым органом в соответствии с пунктом (d)(i) настоящего правила, при ее конвертировании этим Органом в установленную валюту окажется меньше, чем установленная им сумма, то разница уплачивается Международному поисковому органу МБ, а если фактически полученная сумма окажется больше, то разница принадлежит МБ.</w:t>
      </w:r>
    </w:p>
  </w:footnote>
  <w:footnote w:id="7">
    <w:p w:rsidR="00537457" w:rsidRPr="00BD2CE2" w:rsidRDefault="00537457" w:rsidP="00BD669D">
      <w:pPr>
        <w:pStyle w:val="FootnoteText"/>
      </w:pPr>
      <w:r>
        <w:rPr>
          <w:rStyle w:val="FootnoteReference"/>
        </w:rPr>
        <w:footnoteRef/>
      </w:r>
      <w:r>
        <w:tab/>
        <w:t>Конференции, совещания, тренинги, миссии и т. д.</w:t>
      </w:r>
    </w:p>
  </w:footnote>
  <w:footnote w:id="8">
    <w:p w:rsidR="00537457" w:rsidRPr="003C0543" w:rsidRDefault="00537457" w:rsidP="00186810">
      <w:pPr>
        <w:pStyle w:val="FootnoteText"/>
      </w:pPr>
      <w:r>
        <w:rPr>
          <w:rStyle w:val="FootnoteReference"/>
        </w:rPr>
        <w:footnoteRef/>
      </w:r>
      <w:r>
        <w:tab/>
        <w:t>УВН, пункты 18, 19, 21, 22 и 23.</w:t>
      </w:r>
    </w:p>
  </w:footnote>
  <w:footnote w:id="9">
    <w:p w:rsidR="00537457" w:rsidRPr="003C0543" w:rsidRDefault="00537457" w:rsidP="00186810">
      <w:pPr>
        <w:pStyle w:val="FootnoteText"/>
        <w:spacing w:after="20"/>
      </w:pPr>
      <w:r>
        <w:rPr>
          <w:rStyle w:val="FootnoteReference"/>
          <w:szCs w:val="18"/>
        </w:rPr>
        <w:footnoteRef/>
      </w:r>
      <w:r>
        <w:tab/>
        <w:t>УВН, пункт 45.</w:t>
      </w:r>
    </w:p>
  </w:footnote>
  <w:footnote w:id="10">
    <w:p w:rsidR="00537457" w:rsidRPr="003C0543" w:rsidRDefault="00537457" w:rsidP="00186810">
      <w:pPr>
        <w:pStyle w:val="FootnoteText"/>
        <w:spacing w:after="20"/>
      </w:pPr>
      <w:r>
        <w:rPr>
          <w:rStyle w:val="FootnoteReference"/>
          <w:szCs w:val="18"/>
        </w:rPr>
        <w:footnoteRef/>
      </w:r>
      <w:r>
        <w:tab/>
        <w:t>СИ 16/2010, пункт 7.</w:t>
      </w:r>
    </w:p>
  </w:footnote>
  <w:footnote w:id="11">
    <w:p w:rsidR="00537457" w:rsidRPr="004335CF" w:rsidRDefault="00537457" w:rsidP="00186810">
      <w:pPr>
        <w:spacing w:after="20"/>
      </w:pPr>
      <w:r>
        <w:rPr>
          <w:rStyle w:val="FootnoteReference"/>
          <w:sz w:val="18"/>
          <w:szCs w:val="18"/>
        </w:rPr>
        <w:footnoteRef/>
      </w:r>
      <w:r>
        <w:tab/>
      </w:r>
      <w:r w:rsidRPr="00A1090F">
        <w:rPr>
          <w:sz w:val="18"/>
        </w:rPr>
        <w:t>СИ 16/2010, пункт 8.</w:t>
      </w:r>
    </w:p>
  </w:footnote>
  <w:footnote w:id="12">
    <w:p w:rsidR="00537457" w:rsidRPr="003C41D6" w:rsidRDefault="00537457">
      <w:pPr>
        <w:pStyle w:val="FootnoteText"/>
      </w:pPr>
      <w:r>
        <w:rPr>
          <w:rStyle w:val="FootnoteReference"/>
        </w:rPr>
        <w:footnoteRef/>
      </w:r>
      <w:r>
        <w:tab/>
        <w:t>WO/PBC/28/4</w:t>
      </w:r>
    </w:p>
  </w:footnote>
  <w:footnote w:id="13">
    <w:p w:rsidR="00537457" w:rsidRPr="00C70269" w:rsidRDefault="00537457" w:rsidP="00A1090F">
      <w:pPr>
        <w:pStyle w:val="FootnoteText"/>
      </w:pPr>
      <w:r>
        <w:rPr>
          <w:rStyle w:val="FootnoteReference"/>
        </w:rPr>
        <w:footnoteRef/>
      </w:r>
      <w:r>
        <w:tab/>
      </w:r>
      <w:r>
        <w:rPr>
          <w:b/>
        </w:rPr>
        <w:t>Программа</w:t>
      </w:r>
      <w:r>
        <w:rPr>
          <w:b/>
          <w:lang w:val="en-GB"/>
        </w:rPr>
        <w:t> </w:t>
      </w:r>
      <w:r>
        <w:rPr>
          <w:b/>
        </w:rPr>
        <w:t>1</w:t>
      </w:r>
      <w:r>
        <w:t xml:space="preserve"> (Патентное право); </w:t>
      </w:r>
      <w:r>
        <w:rPr>
          <w:b/>
        </w:rPr>
        <w:t>Программа</w:t>
      </w:r>
      <w:r>
        <w:rPr>
          <w:b/>
          <w:lang w:val="en-GB"/>
        </w:rPr>
        <w:t> </w:t>
      </w:r>
      <w:r>
        <w:rPr>
          <w:b/>
        </w:rPr>
        <w:t>2</w:t>
      </w:r>
      <w:r>
        <w:t xml:space="preserve"> (Товарные знаки, промышленные образцы и географические указания); </w:t>
      </w:r>
      <w:r>
        <w:rPr>
          <w:b/>
        </w:rPr>
        <w:t>Программа</w:t>
      </w:r>
      <w:r>
        <w:rPr>
          <w:b/>
          <w:lang w:val="en-GB"/>
        </w:rPr>
        <w:t> </w:t>
      </w:r>
      <w:r>
        <w:rPr>
          <w:b/>
        </w:rPr>
        <w:t>3</w:t>
      </w:r>
      <w:r>
        <w:t xml:space="preserve"> (Авторское право и смежные права); </w:t>
      </w:r>
      <w:r>
        <w:rPr>
          <w:b/>
        </w:rPr>
        <w:t>Программа 4</w:t>
      </w:r>
      <w:r>
        <w:t xml:space="preserve"> (Традиционные знания, традиционные выражения культуры и генетические ресурсы); </w:t>
      </w:r>
      <w:r>
        <w:rPr>
          <w:b/>
        </w:rPr>
        <w:t>Программа</w:t>
      </w:r>
      <w:r>
        <w:rPr>
          <w:b/>
          <w:lang w:val="en-GB"/>
        </w:rPr>
        <w:t> </w:t>
      </w:r>
      <w:r>
        <w:rPr>
          <w:b/>
        </w:rPr>
        <w:t>5</w:t>
      </w:r>
      <w:r>
        <w:t xml:space="preserve"> (Система PCT); </w:t>
      </w:r>
      <w:r>
        <w:rPr>
          <w:b/>
        </w:rPr>
        <w:t>Программа</w:t>
      </w:r>
      <w:r>
        <w:rPr>
          <w:b/>
          <w:lang w:val="en-GB"/>
        </w:rPr>
        <w:t> </w:t>
      </w:r>
      <w:r>
        <w:rPr>
          <w:b/>
        </w:rPr>
        <w:t>6</w:t>
      </w:r>
      <w:r>
        <w:t xml:space="preserve"> (Мадридская система); </w:t>
      </w:r>
      <w:r>
        <w:rPr>
          <w:b/>
        </w:rPr>
        <w:t>Программа</w:t>
      </w:r>
      <w:r>
        <w:rPr>
          <w:b/>
          <w:lang w:val="en-GB"/>
        </w:rPr>
        <w:t> </w:t>
      </w:r>
      <w:r>
        <w:rPr>
          <w:b/>
        </w:rPr>
        <w:t>7</w:t>
      </w:r>
      <w:r>
        <w:t xml:space="preserve"> (Центр ВОИС по арбитражу и посредничеству); </w:t>
      </w:r>
      <w:r>
        <w:rPr>
          <w:b/>
        </w:rPr>
        <w:t>Программа</w:t>
      </w:r>
      <w:r>
        <w:rPr>
          <w:b/>
          <w:lang w:val="en-GB"/>
        </w:rPr>
        <w:t> </w:t>
      </w:r>
      <w:r>
        <w:rPr>
          <w:b/>
        </w:rPr>
        <w:t>8</w:t>
      </w:r>
      <w:r>
        <w:t xml:space="preserve"> (Координация деятельности в рамках Повестки дня в области развития); </w:t>
      </w:r>
      <w:r>
        <w:rPr>
          <w:b/>
        </w:rPr>
        <w:t>Программа</w:t>
      </w:r>
      <w:r>
        <w:rPr>
          <w:b/>
          <w:lang w:val="en-GB"/>
        </w:rPr>
        <w:t> </w:t>
      </w:r>
      <w:r>
        <w:rPr>
          <w:b/>
        </w:rPr>
        <w:t>9</w:t>
      </w:r>
      <w:r>
        <w:t xml:space="preserve"> (Африка, арабские страны, Азия и Тихоокеанский регион, Латинская Америка и страны Карибского бассейна, наименее развитые страны); </w:t>
      </w:r>
      <w:r>
        <w:rPr>
          <w:b/>
        </w:rPr>
        <w:t>Программа</w:t>
      </w:r>
      <w:r>
        <w:rPr>
          <w:b/>
          <w:lang w:val="en-GB"/>
        </w:rPr>
        <w:t> </w:t>
      </w:r>
      <w:r>
        <w:rPr>
          <w:b/>
        </w:rPr>
        <w:t>10</w:t>
      </w:r>
      <w:r>
        <w:t xml:space="preserve"> (Страны переходного периода и развитые страны); </w:t>
      </w:r>
      <w:r>
        <w:rPr>
          <w:b/>
        </w:rPr>
        <w:t>Программа 11</w:t>
      </w:r>
      <w:r>
        <w:t xml:space="preserve">(Академия ВОИС); </w:t>
      </w:r>
      <w:r>
        <w:rPr>
          <w:b/>
        </w:rPr>
        <w:t>Программа</w:t>
      </w:r>
      <w:r>
        <w:rPr>
          <w:b/>
          <w:lang w:val="en-GB"/>
        </w:rPr>
        <w:t> </w:t>
      </w:r>
      <w:r>
        <w:rPr>
          <w:b/>
        </w:rPr>
        <w:t>12</w:t>
      </w:r>
      <w:r>
        <w:t xml:space="preserve"> (Международные классификации и стандарты); </w:t>
      </w:r>
      <w:r>
        <w:rPr>
          <w:b/>
        </w:rPr>
        <w:t>Программа 13</w:t>
      </w:r>
      <w:r>
        <w:t xml:space="preserve"> (Глобальные базы данных); </w:t>
      </w:r>
      <w:r>
        <w:rPr>
          <w:b/>
        </w:rPr>
        <w:t>Программа</w:t>
      </w:r>
      <w:r>
        <w:rPr>
          <w:b/>
          <w:lang w:val="en-GB"/>
        </w:rPr>
        <w:t> </w:t>
      </w:r>
      <w:r>
        <w:rPr>
          <w:b/>
        </w:rPr>
        <w:t>14</w:t>
      </w:r>
      <w:r>
        <w:t xml:space="preserve"> (Услуги по обеспечению доступа к информации и знаниям); </w:t>
      </w:r>
      <w:r>
        <w:rPr>
          <w:b/>
        </w:rPr>
        <w:t>Программа</w:t>
      </w:r>
      <w:r>
        <w:rPr>
          <w:b/>
          <w:lang w:val="en-GB"/>
        </w:rPr>
        <w:t> </w:t>
      </w:r>
      <w:r>
        <w:rPr>
          <w:b/>
        </w:rPr>
        <w:t>15</w:t>
      </w:r>
      <w:r>
        <w:t xml:space="preserve"> (Деловые решения для ведомств ИС); </w:t>
      </w:r>
      <w:r>
        <w:rPr>
          <w:b/>
        </w:rPr>
        <w:t>Программа</w:t>
      </w:r>
      <w:r>
        <w:rPr>
          <w:b/>
          <w:lang w:val="en-GB"/>
        </w:rPr>
        <w:t> </w:t>
      </w:r>
      <w:r>
        <w:rPr>
          <w:b/>
        </w:rPr>
        <w:t>16</w:t>
      </w:r>
      <w:r>
        <w:t xml:space="preserve"> (Экономика и статистика); </w:t>
      </w:r>
      <w:r>
        <w:rPr>
          <w:b/>
        </w:rPr>
        <w:t>Программа</w:t>
      </w:r>
      <w:r>
        <w:rPr>
          <w:b/>
          <w:lang w:val="en-GB"/>
        </w:rPr>
        <w:t> </w:t>
      </w:r>
      <w:r>
        <w:rPr>
          <w:b/>
        </w:rPr>
        <w:t>17</w:t>
      </w:r>
      <w:r>
        <w:t xml:space="preserve"> (Обеспечение уважения ИС); </w:t>
      </w:r>
      <w:r>
        <w:rPr>
          <w:b/>
        </w:rPr>
        <w:t>Программа</w:t>
      </w:r>
      <w:r>
        <w:rPr>
          <w:b/>
          <w:lang w:val="en-GB"/>
        </w:rPr>
        <w:t> </w:t>
      </w:r>
      <w:r>
        <w:rPr>
          <w:b/>
        </w:rPr>
        <w:t>18</w:t>
      </w:r>
      <w:r>
        <w:t xml:space="preserve"> (ИС и глобальные задачи); </w:t>
      </w:r>
      <w:r>
        <w:rPr>
          <w:b/>
        </w:rPr>
        <w:t>Программа</w:t>
      </w:r>
      <w:r>
        <w:rPr>
          <w:b/>
          <w:lang w:val="en-GB"/>
        </w:rPr>
        <w:t> </w:t>
      </w:r>
      <w:r>
        <w:rPr>
          <w:b/>
        </w:rPr>
        <w:t>19</w:t>
      </w:r>
      <w:r>
        <w:t xml:space="preserve"> (Коммуникации); </w:t>
      </w:r>
      <w:r>
        <w:rPr>
          <w:b/>
        </w:rPr>
        <w:t>Программа</w:t>
      </w:r>
      <w:r>
        <w:rPr>
          <w:b/>
          <w:lang w:val="en-GB"/>
        </w:rPr>
        <w:t> </w:t>
      </w:r>
      <w:r>
        <w:rPr>
          <w:b/>
        </w:rPr>
        <w:t>20</w:t>
      </w:r>
      <w:r>
        <w:t xml:space="preserve"> (Внешние связи, партнерства и внешние бюро); </w:t>
      </w:r>
      <w:r>
        <w:rPr>
          <w:b/>
        </w:rPr>
        <w:t>Программа</w:t>
      </w:r>
      <w:r>
        <w:rPr>
          <w:b/>
          <w:lang w:val="en-GB"/>
        </w:rPr>
        <w:t> </w:t>
      </w:r>
      <w:r>
        <w:rPr>
          <w:b/>
        </w:rPr>
        <w:t>21</w:t>
      </w:r>
      <w:r>
        <w:t xml:space="preserve"> (Исполнительное руководство); </w:t>
      </w:r>
      <w:r>
        <w:rPr>
          <w:b/>
        </w:rPr>
        <w:t>Программа</w:t>
      </w:r>
      <w:r>
        <w:rPr>
          <w:b/>
          <w:lang w:val="en-GB"/>
        </w:rPr>
        <w:t> </w:t>
      </w:r>
      <w:r>
        <w:rPr>
          <w:b/>
        </w:rPr>
        <w:t>22</w:t>
      </w:r>
      <w:r>
        <w:t xml:space="preserve"> (Управление программами и ресурсами); </w:t>
      </w:r>
      <w:r>
        <w:rPr>
          <w:b/>
        </w:rPr>
        <w:t>Программа</w:t>
      </w:r>
      <w:r>
        <w:rPr>
          <w:b/>
          <w:lang w:val="en-GB"/>
        </w:rPr>
        <w:t> </w:t>
      </w:r>
      <w:r>
        <w:rPr>
          <w:b/>
        </w:rPr>
        <w:t>23</w:t>
      </w:r>
      <w:r>
        <w:t xml:space="preserve">(Управление людскими ресурсами и их развитие); </w:t>
      </w:r>
      <w:r>
        <w:rPr>
          <w:b/>
        </w:rPr>
        <w:t>Программа</w:t>
      </w:r>
      <w:r>
        <w:rPr>
          <w:b/>
          <w:lang w:val="en-GB"/>
        </w:rPr>
        <w:t> </w:t>
      </w:r>
      <w:r>
        <w:rPr>
          <w:b/>
        </w:rPr>
        <w:t>24</w:t>
      </w:r>
      <w:r>
        <w:t xml:space="preserve"> (Службы общей поддержки); </w:t>
      </w:r>
      <w:r>
        <w:rPr>
          <w:b/>
        </w:rPr>
        <w:t>Программа</w:t>
      </w:r>
      <w:r>
        <w:rPr>
          <w:b/>
          <w:lang w:val="en-GB"/>
        </w:rPr>
        <w:t> </w:t>
      </w:r>
      <w:r>
        <w:rPr>
          <w:b/>
        </w:rPr>
        <w:t>25</w:t>
      </w:r>
      <w:r>
        <w:t xml:space="preserve"> (Информационные и коммуникационные технологии); </w:t>
      </w:r>
      <w:r>
        <w:rPr>
          <w:b/>
        </w:rPr>
        <w:t>Программа</w:t>
      </w:r>
      <w:r>
        <w:rPr>
          <w:b/>
          <w:lang w:val="en-GB"/>
        </w:rPr>
        <w:t> </w:t>
      </w:r>
      <w:r>
        <w:rPr>
          <w:b/>
        </w:rPr>
        <w:t>26</w:t>
      </w:r>
      <w:r>
        <w:t xml:space="preserve"> (Отдел внутреннего надзора); </w:t>
      </w:r>
      <w:r>
        <w:rPr>
          <w:b/>
        </w:rPr>
        <w:t>Программа</w:t>
      </w:r>
      <w:r>
        <w:rPr>
          <w:b/>
          <w:lang w:val="en-GB"/>
        </w:rPr>
        <w:t> </w:t>
      </w:r>
      <w:r>
        <w:rPr>
          <w:b/>
        </w:rPr>
        <w:t>27</w:t>
      </w:r>
      <w:r>
        <w:t xml:space="preserve"> (Конференционная и лингвистическая службы); </w:t>
      </w:r>
      <w:r>
        <w:rPr>
          <w:b/>
        </w:rPr>
        <w:t>Программа</w:t>
      </w:r>
      <w:r>
        <w:rPr>
          <w:b/>
          <w:lang w:val="en-GB"/>
        </w:rPr>
        <w:t> </w:t>
      </w:r>
      <w:r>
        <w:rPr>
          <w:b/>
        </w:rPr>
        <w:t>28</w:t>
      </w:r>
      <w:r>
        <w:t xml:space="preserve"> (Целостность информации, охрана и безопасность); </w:t>
      </w:r>
      <w:r>
        <w:rPr>
          <w:b/>
        </w:rPr>
        <w:t>Программа</w:t>
      </w:r>
      <w:r>
        <w:rPr>
          <w:b/>
          <w:lang w:val="en-GB"/>
        </w:rPr>
        <w:t> </w:t>
      </w:r>
      <w:r>
        <w:rPr>
          <w:b/>
        </w:rPr>
        <w:t>30</w:t>
      </w:r>
      <w:r>
        <w:t xml:space="preserve"> (Малые и средние предприятия (МСП) и поддержка предпринимательства); </w:t>
      </w:r>
      <w:r>
        <w:rPr>
          <w:b/>
        </w:rPr>
        <w:t>Программа</w:t>
      </w:r>
      <w:r>
        <w:rPr>
          <w:b/>
          <w:lang w:val="en-GB"/>
        </w:rPr>
        <w:t> </w:t>
      </w:r>
      <w:r>
        <w:rPr>
          <w:b/>
        </w:rPr>
        <w:t>31</w:t>
      </w:r>
      <w:r>
        <w:t xml:space="preserve"> (Гаагская система); </w:t>
      </w:r>
      <w:r>
        <w:rPr>
          <w:b/>
        </w:rPr>
        <w:t>Программа</w:t>
      </w:r>
      <w:r>
        <w:rPr>
          <w:b/>
          <w:lang w:val="en-GB"/>
        </w:rPr>
        <w:t> </w:t>
      </w:r>
      <w:r>
        <w:rPr>
          <w:b/>
        </w:rPr>
        <w:t>32</w:t>
      </w:r>
      <w:r>
        <w:t xml:space="preserve"> (Лиссабонская система).</w:t>
      </w:r>
    </w:p>
  </w:footnote>
  <w:footnote w:id="14">
    <w:p w:rsidR="00537457" w:rsidRPr="00072495" w:rsidRDefault="00537457" w:rsidP="00186810">
      <w:pPr>
        <w:pStyle w:val="FootnoteText"/>
      </w:pPr>
      <w:r>
        <w:rPr>
          <w:rStyle w:val="FootnoteReference"/>
        </w:rPr>
        <w:footnoteRef/>
      </w:r>
      <w:r>
        <w:t xml:space="preserve"> УВН, пункт 28 (g).</w:t>
      </w:r>
    </w:p>
  </w:footnote>
  <w:footnote w:id="15">
    <w:p w:rsidR="00537457" w:rsidRDefault="00537457" w:rsidP="00186810">
      <w:pPr>
        <w:pStyle w:val="FootnoteText"/>
      </w:pPr>
      <w:r>
        <w:rPr>
          <w:rStyle w:val="FootnoteReference"/>
        </w:rPr>
        <w:footnoteRef/>
      </w:r>
      <w:r>
        <w:t xml:space="preserve"> УВН, пункт 48 (i).</w:t>
      </w:r>
    </w:p>
  </w:footnote>
  <w:footnote w:id="16">
    <w:p w:rsidR="00537457" w:rsidRPr="00283D9B" w:rsidRDefault="00537457" w:rsidP="00186810">
      <w:pPr>
        <w:pStyle w:val="FootnoteText"/>
      </w:pPr>
      <w:r>
        <w:rPr>
          <w:rStyle w:val="FootnoteReference"/>
        </w:rPr>
        <w:footnoteRef/>
      </w:r>
      <w:r>
        <w:t xml:space="preserve"> Эта процентная величина основана на бюджетном показателе после перераспределения средств ОВН.</w:t>
      </w:r>
    </w:p>
  </w:footnote>
  <w:footnote w:id="17">
    <w:p w:rsidR="00537457" w:rsidRDefault="00537457" w:rsidP="00186810">
      <w:pPr>
        <w:spacing w:after="40"/>
      </w:pPr>
      <w:r>
        <w:rPr>
          <w:rStyle w:val="FootnoteReference"/>
          <w:sz w:val="16"/>
          <w:szCs w:val="16"/>
        </w:rPr>
        <w:footnoteRef/>
      </w:r>
      <w:r>
        <w:t xml:space="preserve"> </w:t>
      </w:r>
      <w:r w:rsidRPr="00010A39">
        <w:rPr>
          <w:sz w:val="18"/>
        </w:rPr>
        <w:t>Данные в тыс. шв. франков.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Default="00537457" w:rsidP="00477D6B">
    <w:pPr>
      <w:jc w:val="right"/>
    </w:pPr>
    <w:bookmarkStart w:id="6" w:name="Code2"/>
    <w:bookmarkEnd w:id="6"/>
    <w:r>
      <w:t>WO/PBC/30/5</w:t>
    </w:r>
  </w:p>
  <w:p w:rsidR="00537457" w:rsidRDefault="00537457" w:rsidP="00477D6B">
    <w:pPr>
      <w:jc w:val="right"/>
    </w:pPr>
    <w:r>
      <w:t>с. </w:t>
    </w:r>
    <w:r>
      <w:fldChar w:fldCharType="begin"/>
    </w:r>
    <w:r>
      <w:instrText xml:space="preserve"> PAGE   \* MERGEFORMAT </w:instrText>
    </w:r>
    <w:r>
      <w:fldChar w:fldCharType="separate"/>
    </w:r>
    <w:r>
      <w:t>2</w:t>
    </w:r>
    <w:r>
      <w:fldChar w:fldCharType="end"/>
    </w:r>
  </w:p>
  <w:p w:rsidR="00537457" w:rsidRDefault="00537457" w:rsidP="00477D6B">
    <w:pPr>
      <w:jc w:val="right"/>
    </w:pPr>
  </w:p>
  <w:p w:rsidR="00537457" w:rsidRDefault="0053745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F87303" w:rsidRDefault="00537457" w:rsidP="00186810">
    <w:pPr>
      <w:jc w:val="right"/>
    </w:pPr>
    <w:r>
      <w:t>WO/PBC/28/5</w:t>
    </w:r>
  </w:p>
  <w:p w:rsidR="00537457" w:rsidRPr="00E365E6" w:rsidRDefault="00537457" w:rsidP="00186810">
    <w:pPr>
      <w:pStyle w:val="Header"/>
      <w:jc w:val="right"/>
    </w:pPr>
    <w:r>
      <w:t>с.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F87303" w:rsidRDefault="00537457" w:rsidP="00186810">
    <w:pPr>
      <w:jc w:val="right"/>
    </w:pPr>
    <w:r>
      <w:t>WO/PBC/30/5</w:t>
    </w:r>
  </w:p>
  <w:p w:rsidR="00537457" w:rsidRDefault="00537457" w:rsidP="00186810">
    <w:pPr>
      <w:pStyle w:val="Header"/>
      <w:jc w:val="right"/>
      <w:rPr>
        <w:noProof/>
      </w:rPr>
    </w:pPr>
    <w:r>
      <w:t>с</w:t>
    </w:r>
    <w:r w:rsidR="00AD69F6">
      <w:t>тр</w:t>
    </w:r>
    <w:r>
      <w:t>. </w:t>
    </w:r>
    <w:r>
      <w:fldChar w:fldCharType="begin"/>
    </w:r>
    <w:r>
      <w:instrText xml:space="preserve"> PAGE   \* MERGEFORMAT </w:instrText>
    </w:r>
    <w:r>
      <w:fldChar w:fldCharType="separate"/>
    </w:r>
    <w:r w:rsidR="00024197">
      <w:rPr>
        <w:noProof/>
      </w:rPr>
      <w:t>19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457" w:rsidRPr="0049376E" w:rsidRDefault="00537457" w:rsidP="00FD10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B8" w:rsidRDefault="00D564B8" w:rsidP="00FD1034">
    <w:pPr>
      <w:pStyle w:val="Header"/>
      <w:jc w:val="right"/>
      <w:rPr>
        <w:lang w:val="en-US"/>
      </w:rPr>
    </w:pPr>
    <w:r>
      <w:rPr>
        <w:lang w:val="en-US"/>
      </w:rPr>
      <w:t>WO/PBC/30/5</w:t>
    </w:r>
  </w:p>
  <w:p w:rsidR="00D564B8" w:rsidRDefault="00D564B8" w:rsidP="00FD1034">
    <w:pPr>
      <w:pStyle w:val="Header"/>
      <w:jc w:val="right"/>
    </w:pPr>
    <w:r>
      <w:t>ПРИЛОЖЕНИЕ</w:t>
    </w:r>
  </w:p>
  <w:p w:rsidR="00D564B8" w:rsidRPr="00D564B8" w:rsidRDefault="00D564B8" w:rsidP="00FD10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13F790E"/>
    <w:multiLevelType w:val="multilevel"/>
    <w:tmpl w:val="A65C8DC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7"/>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54"/>
    <w:rsid w:val="00010A39"/>
    <w:rsid w:val="00022718"/>
    <w:rsid w:val="00024197"/>
    <w:rsid w:val="00031373"/>
    <w:rsid w:val="00043CAA"/>
    <w:rsid w:val="00056E0C"/>
    <w:rsid w:val="00075432"/>
    <w:rsid w:val="000765C4"/>
    <w:rsid w:val="000968ED"/>
    <w:rsid w:val="000A1248"/>
    <w:rsid w:val="000A74F5"/>
    <w:rsid w:val="000B0A30"/>
    <w:rsid w:val="000C117A"/>
    <w:rsid w:val="000C787A"/>
    <w:rsid w:val="000E5913"/>
    <w:rsid w:val="000E6FDE"/>
    <w:rsid w:val="000F5E56"/>
    <w:rsid w:val="0010331B"/>
    <w:rsid w:val="0013434F"/>
    <w:rsid w:val="001362EE"/>
    <w:rsid w:val="00145105"/>
    <w:rsid w:val="001526C4"/>
    <w:rsid w:val="00156693"/>
    <w:rsid w:val="00163EB1"/>
    <w:rsid w:val="001647D5"/>
    <w:rsid w:val="001832A6"/>
    <w:rsid w:val="00183A52"/>
    <w:rsid w:val="00186810"/>
    <w:rsid w:val="001950FC"/>
    <w:rsid w:val="001D56E1"/>
    <w:rsid w:val="001E4E00"/>
    <w:rsid w:val="001F019E"/>
    <w:rsid w:val="001F05E4"/>
    <w:rsid w:val="0021217E"/>
    <w:rsid w:val="00217917"/>
    <w:rsid w:val="00224DE2"/>
    <w:rsid w:val="00231BB0"/>
    <w:rsid w:val="00235A93"/>
    <w:rsid w:val="0023629D"/>
    <w:rsid w:val="00252648"/>
    <w:rsid w:val="002634C4"/>
    <w:rsid w:val="00291DA3"/>
    <w:rsid w:val="002928D3"/>
    <w:rsid w:val="002955BE"/>
    <w:rsid w:val="002A3BD3"/>
    <w:rsid w:val="002A3C57"/>
    <w:rsid w:val="002D0238"/>
    <w:rsid w:val="002D562A"/>
    <w:rsid w:val="002D589E"/>
    <w:rsid w:val="002E3DF3"/>
    <w:rsid w:val="002F0DAD"/>
    <w:rsid w:val="002F1FE6"/>
    <w:rsid w:val="002F4E68"/>
    <w:rsid w:val="00302E1A"/>
    <w:rsid w:val="00306BE6"/>
    <w:rsid w:val="00306CDB"/>
    <w:rsid w:val="00312F7F"/>
    <w:rsid w:val="003178BA"/>
    <w:rsid w:val="003461FE"/>
    <w:rsid w:val="00350AE2"/>
    <w:rsid w:val="00354CBE"/>
    <w:rsid w:val="00361450"/>
    <w:rsid w:val="00361E76"/>
    <w:rsid w:val="003673CF"/>
    <w:rsid w:val="003845C1"/>
    <w:rsid w:val="00390574"/>
    <w:rsid w:val="00391278"/>
    <w:rsid w:val="00397480"/>
    <w:rsid w:val="003A0479"/>
    <w:rsid w:val="003A6F89"/>
    <w:rsid w:val="003B38C1"/>
    <w:rsid w:val="003C41D6"/>
    <w:rsid w:val="003D2030"/>
    <w:rsid w:val="003D57B0"/>
    <w:rsid w:val="003F2705"/>
    <w:rsid w:val="0041731B"/>
    <w:rsid w:val="00423E3E"/>
    <w:rsid w:val="004254EB"/>
    <w:rsid w:val="00427AF4"/>
    <w:rsid w:val="00430371"/>
    <w:rsid w:val="004419F5"/>
    <w:rsid w:val="00455CB6"/>
    <w:rsid w:val="004647DA"/>
    <w:rsid w:val="00474062"/>
    <w:rsid w:val="00477D6B"/>
    <w:rsid w:val="00480D9B"/>
    <w:rsid w:val="00484233"/>
    <w:rsid w:val="00492FA0"/>
    <w:rsid w:val="004B066A"/>
    <w:rsid w:val="004B55BD"/>
    <w:rsid w:val="004C1083"/>
    <w:rsid w:val="004C3FAD"/>
    <w:rsid w:val="004C6C11"/>
    <w:rsid w:val="004D183A"/>
    <w:rsid w:val="004E4453"/>
    <w:rsid w:val="005019FF"/>
    <w:rsid w:val="00526183"/>
    <w:rsid w:val="0053057A"/>
    <w:rsid w:val="00537457"/>
    <w:rsid w:val="00552606"/>
    <w:rsid w:val="00554B64"/>
    <w:rsid w:val="00560A29"/>
    <w:rsid w:val="005736DB"/>
    <w:rsid w:val="00583C67"/>
    <w:rsid w:val="00593FF3"/>
    <w:rsid w:val="005949DE"/>
    <w:rsid w:val="005A0561"/>
    <w:rsid w:val="005B329C"/>
    <w:rsid w:val="005C2A49"/>
    <w:rsid w:val="005C6649"/>
    <w:rsid w:val="005D4B14"/>
    <w:rsid w:val="00605827"/>
    <w:rsid w:val="00621B97"/>
    <w:rsid w:val="00624032"/>
    <w:rsid w:val="00646050"/>
    <w:rsid w:val="006713CA"/>
    <w:rsid w:val="00676C5C"/>
    <w:rsid w:val="00687FB3"/>
    <w:rsid w:val="006C059E"/>
    <w:rsid w:val="006E4F5F"/>
    <w:rsid w:val="006F7B69"/>
    <w:rsid w:val="00747948"/>
    <w:rsid w:val="00752A33"/>
    <w:rsid w:val="0076232B"/>
    <w:rsid w:val="007639E8"/>
    <w:rsid w:val="007736CE"/>
    <w:rsid w:val="007B1ED7"/>
    <w:rsid w:val="007B3AB7"/>
    <w:rsid w:val="007B77FF"/>
    <w:rsid w:val="007C5E63"/>
    <w:rsid w:val="007D03FC"/>
    <w:rsid w:val="007D1613"/>
    <w:rsid w:val="007D53FA"/>
    <w:rsid w:val="007E4C0E"/>
    <w:rsid w:val="00853893"/>
    <w:rsid w:val="00860537"/>
    <w:rsid w:val="008768F2"/>
    <w:rsid w:val="00877718"/>
    <w:rsid w:val="00887AEB"/>
    <w:rsid w:val="00891DF0"/>
    <w:rsid w:val="00892A40"/>
    <w:rsid w:val="008A134B"/>
    <w:rsid w:val="008B2CC1"/>
    <w:rsid w:val="008B60B2"/>
    <w:rsid w:val="008C4CE1"/>
    <w:rsid w:val="008E064D"/>
    <w:rsid w:val="008E7457"/>
    <w:rsid w:val="00902D16"/>
    <w:rsid w:val="0090521F"/>
    <w:rsid w:val="0090731E"/>
    <w:rsid w:val="00913CE2"/>
    <w:rsid w:val="00916EE2"/>
    <w:rsid w:val="00920B7F"/>
    <w:rsid w:val="00945BC4"/>
    <w:rsid w:val="00962729"/>
    <w:rsid w:val="0096299E"/>
    <w:rsid w:val="00963FB9"/>
    <w:rsid w:val="00966A22"/>
    <w:rsid w:val="0096722F"/>
    <w:rsid w:val="00973A66"/>
    <w:rsid w:val="0097473D"/>
    <w:rsid w:val="00977929"/>
    <w:rsid w:val="00980843"/>
    <w:rsid w:val="00982CEA"/>
    <w:rsid w:val="00984EE5"/>
    <w:rsid w:val="00985997"/>
    <w:rsid w:val="009932C9"/>
    <w:rsid w:val="009A3A85"/>
    <w:rsid w:val="009A4A4C"/>
    <w:rsid w:val="009B6777"/>
    <w:rsid w:val="009C127D"/>
    <w:rsid w:val="009D327D"/>
    <w:rsid w:val="009E2791"/>
    <w:rsid w:val="009E3F6F"/>
    <w:rsid w:val="009F2DB2"/>
    <w:rsid w:val="009F499F"/>
    <w:rsid w:val="009F7DB0"/>
    <w:rsid w:val="00A10656"/>
    <w:rsid w:val="00A1090F"/>
    <w:rsid w:val="00A20B7D"/>
    <w:rsid w:val="00A37342"/>
    <w:rsid w:val="00A42DAF"/>
    <w:rsid w:val="00A45BD8"/>
    <w:rsid w:val="00A510FE"/>
    <w:rsid w:val="00A718F3"/>
    <w:rsid w:val="00A83DE3"/>
    <w:rsid w:val="00A869B7"/>
    <w:rsid w:val="00A87A93"/>
    <w:rsid w:val="00AA2DD4"/>
    <w:rsid w:val="00AB0CCA"/>
    <w:rsid w:val="00AC205C"/>
    <w:rsid w:val="00AC3753"/>
    <w:rsid w:val="00AD69F6"/>
    <w:rsid w:val="00AE14D5"/>
    <w:rsid w:val="00AF0A6B"/>
    <w:rsid w:val="00AF180E"/>
    <w:rsid w:val="00B04697"/>
    <w:rsid w:val="00B05A69"/>
    <w:rsid w:val="00B235AA"/>
    <w:rsid w:val="00B26E7D"/>
    <w:rsid w:val="00B368C7"/>
    <w:rsid w:val="00B61109"/>
    <w:rsid w:val="00B63E54"/>
    <w:rsid w:val="00B70722"/>
    <w:rsid w:val="00B9734B"/>
    <w:rsid w:val="00BA30E2"/>
    <w:rsid w:val="00BC4A8A"/>
    <w:rsid w:val="00BD669D"/>
    <w:rsid w:val="00C11BFE"/>
    <w:rsid w:val="00C15889"/>
    <w:rsid w:val="00C5068F"/>
    <w:rsid w:val="00C552A7"/>
    <w:rsid w:val="00C74372"/>
    <w:rsid w:val="00C86D74"/>
    <w:rsid w:val="00CA247E"/>
    <w:rsid w:val="00CD04F1"/>
    <w:rsid w:val="00CD7F59"/>
    <w:rsid w:val="00D04BFA"/>
    <w:rsid w:val="00D177DE"/>
    <w:rsid w:val="00D17E04"/>
    <w:rsid w:val="00D2706F"/>
    <w:rsid w:val="00D35AD9"/>
    <w:rsid w:val="00D372A1"/>
    <w:rsid w:val="00D377A4"/>
    <w:rsid w:val="00D44A0B"/>
    <w:rsid w:val="00D4523F"/>
    <w:rsid w:val="00D45252"/>
    <w:rsid w:val="00D564B8"/>
    <w:rsid w:val="00D66E37"/>
    <w:rsid w:val="00D679D6"/>
    <w:rsid w:val="00D71B4D"/>
    <w:rsid w:val="00D841BF"/>
    <w:rsid w:val="00D93D55"/>
    <w:rsid w:val="00D97FD9"/>
    <w:rsid w:val="00DA35AC"/>
    <w:rsid w:val="00DB732A"/>
    <w:rsid w:val="00DC0E7C"/>
    <w:rsid w:val="00DC65A7"/>
    <w:rsid w:val="00DF023A"/>
    <w:rsid w:val="00DF383E"/>
    <w:rsid w:val="00E10F37"/>
    <w:rsid w:val="00E14AEB"/>
    <w:rsid w:val="00E15015"/>
    <w:rsid w:val="00E335FE"/>
    <w:rsid w:val="00E362C5"/>
    <w:rsid w:val="00E5566B"/>
    <w:rsid w:val="00E75770"/>
    <w:rsid w:val="00E77F10"/>
    <w:rsid w:val="00E85557"/>
    <w:rsid w:val="00E97377"/>
    <w:rsid w:val="00E97ACC"/>
    <w:rsid w:val="00EA7D6E"/>
    <w:rsid w:val="00EB2210"/>
    <w:rsid w:val="00EC4E49"/>
    <w:rsid w:val="00ED77FB"/>
    <w:rsid w:val="00EE33D6"/>
    <w:rsid w:val="00EE45FA"/>
    <w:rsid w:val="00EE560A"/>
    <w:rsid w:val="00F32A6D"/>
    <w:rsid w:val="00F60456"/>
    <w:rsid w:val="00F6381D"/>
    <w:rsid w:val="00F66152"/>
    <w:rsid w:val="00F918CE"/>
    <w:rsid w:val="00F967F0"/>
    <w:rsid w:val="00FA41DE"/>
    <w:rsid w:val="00FB69A3"/>
    <w:rsid w:val="00FD1034"/>
    <w:rsid w:val="00FD53CC"/>
    <w:rsid w:val="00FE5E80"/>
    <w:rsid w:val="00FF22EB"/>
    <w:rsid w:val="00FF593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FBC57CE-0A67-4979-9156-4596898B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link w:val="Heading1Char"/>
    <w:autoRedefine/>
    <w:qFormat/>
    <w:rsid w:val="00484233"/>
    <w:pPr>
      <w:keepNext/>
      <w:spacing w:after="480"/>
      <w:outlineLvl w:val="0"/>
    </w:pPr>
    <w:rPr>
      <w:b/>
      <w:bCs/>
      <w:kern w:val="32"/>
      <w:szCs w:val="22"/>
    </w:rPr>
  </w:style>
  <w:style w:type="paragraph" w:styleId="Heading2">
    <w:name w:val="heading 2"/>
    <w:basedOn w:val="Normal"/>
    <w:next w:val="Normal"/>
    <w:link w:val="Heading2Char"/>
    <w:autoRedefine/>
    <w:qFormat/>
    <w:rsid w:val="00962729"/>
    <w:pPr>
      <w:keepNext/>
      <w:spacing w:before="240" w:after="220"/>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62729"/>
    <w:rPr>
      <w:rFonts w:ascii="Arial" w:eastAsia="SimSun" w:hAnsi="Arial" w:cs="Arial"/>
      <w:bCs/>
      <w:iCs/>
      <w:caps/>
      <w:sz w:val="22"/>
      <w:szCs w:val="28"/>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86810"/>
    <w:rPr>
      <w:rFonts w:ascii="Arial" w:eastAsia="SimSun" w:hAnsi="Arial" w:cs="Arial"/>
      <w:sz w:val="22"/>
      <w:lang w:val="ru-RU" w:eastAsia="zh-CN"/>
    </w:rPr>
  </w:style>
  <w:style w:type="paragraph" w:styleId="Caption">
    <w:name w:val="caption"/>
    <w:basedOn w:val="Normal"/>
    <w:next w:val="Normal"/>
    <w:link w:val="CaptionChar"/>
    <w:qFormat/>
    <w:rsid w:val="00676C5C"/>
    <w:rPr>
      <w:b/>
      <w:bCs/>
      <w:sz w:val="18"/>
    </w:rPr>
  </w:style>
  <w:style w:type="character" w:customStyle="1" w:styleId="CaptionChar">
    <w:name w:val="Caption Char"/>
    <w:basedOn w:val="DefaultParagraphFont"/>
    <w:link w:val="Caption"/>
    <w:rsid w:val="00186810"/>
    <w:rPr>
      <w:rFonts w:ascii="Arial" w:eastAsia="SimSun" w:hAnsi="Arial" w:cs="Arial"/>
      <w:b/>
      <w:bCs/>
      <w:sz w:val="18"/>
      <w:lang w:val="ru-RU" w:eastAsia="zh-CN"/>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semiHidden/>
    <w:rsid w:val="00186810"/>
    <w:rPr>
      <w:rFonts w:ascii="Arial" w:eastAsia="SimSun" w:hAnsi="Arial" w:cs="Arial"/>
      <w:sz w:val="18"/>
      <w:lang w:val="ru-RU"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186810"/>
    <w:rPr>
      <w:rFonts w:ascii="Arial" w:eastAsia="SimSun" w:hAnsi="Arial" w:cs="Arial"/>
      <w:sz w:val="18"/>
      <w:lang w:val="ru-RU" w:eastAsia="zh-CN"/>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676C5C"/>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186810"/>
    <w:rPr>
      <w:rFonts w:ascii="Arial" w:eastAsia="SimSun" w:hAnsi="Arial" w:cs="Arial"/>
      <w:sz w:val="18"/>
      <w:lang w:val="ru-RU"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186810"/>
    <w:rPr>
      <w:rFonts w:ascii="Arial" w:eastAsia="SimSun" w:hAnsi="Arial" w:cs="Arial"/>
      <w:sz w:val="22"/>
      <w:lang w:val="ru-RU"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character" w:customStyle="1" w:styleId="ONUMEChar">
    <w:name w:val="ONUM E Char"/>
    <w:link w:val="ONUME"/>
    <w:locked/>
    <w:rsid w:val="00B63E54"/>
    <w:rPr>
      <w:rFonts w:ascii="Arial" w:eastAsia="SimSun" w:hAnsi="Arial" w:cs="Arial"/>
      <w:sz w:val="22"/>
      <w:lang w:val="ru-RU"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paragraph" w:styleId="TOC1">
    <w:name w:val="toc 1"/>
    <w:basedOn w:val="Normal"/>
    <w:next w:val="Normal"/>
    <w:autoRedefine/>
    <w:uiPriority w:val="39"/>
    <w:qFormat/>
    <w:rsid w:val="00186810"/>
    <w:pPr>
      <w:tabs>
        <w:tab w:val="left" w:pos="440"/>
        <w:tab w:val="right" w:leader="dot" w:pos="9345"/>
      </w:tabs>
      <w:spacing w:before="240" w:after="240"/>
    </w:pPr>
  </w:style>
  <w:style w:type="character" w:styleId="Hyperlink">
    <w:name w:val="Hyperlink"/>
    <w:basedOn w:val="DefaultParagraphFont"/>
    <w:uiPriority w:val="99"/>
    <w:rsid w:val="00186810"/>
    <w:rPr>
      <w:rFonts w:cs="Times New Roman"/>
      <w:color w:val="0000FF"/>
      <w:u w:val="single"/>
    </w:rPr>
  </w:style>
  <w:style w:type="table" w:styleId="TableGrid">
    <w:name w:val="Table Grid"/>
    <w:basedOn w:val="TableNormal"/>
    <w:uiPriority w:val="59"/>
    <w:rsid w:val="00186810"/>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rsid w:val="00186810"/>
    <w:rPr>
      <w:rFonts w:cs="Times New Roman"/>
      <w:vertAlign w:val="superscript"/>
    </w:rPr>
  </w:style>
  <w:style w:type="paragraph" w:styleId="PlainText">
    <w:name w:val="Plain Text"/>
    <w:basedOn w:val="Normal"/>
    <w:link w:val="PlainTextChar"/>
    <w:uiPriority w:val="99"/>
    <w:rsid w:val="00186810"/>
    <w:rPr>
      <w:rFonts w:ascii="Courier New" w:hAnsi="Courier New" w:cs="Courier New"/>
      <w:sz w:val="20"/>
    </w:rPr>
  </w:style>
  <w:style w:type="character" w:customStyle="1" w:styleId="PlainTextChar">
    <w:name w:val="Plain Text Char"/>
    <w:basedOn w:val="DefaultParagraphFont"/>
    <w:link w:val="PlainText"/>
    <w:uiPriority w:val="99"/>
    <w:rsid w:val="00186810"/>
    <w:rPr>
      <w:rFonts w:ascii="Courier New" w:eastAsia="SimSun" w:hAnsi="Courier New" w:cs="Courier New"/>
      <w:lang w:val="ru-RU" w:eastAsia="zh-CN"/>
    </w:rPr>
  </w:style>
  <w:style w:type="paragraph" w:styleId="ListParagraph">
    <w:name w:val="List Paragraph"/>
    <w:basedOn w:val="Normal"/>
    <w:link w:val="ListParagraphChar"/>
    <w:uiPriority w:val="34"/>
    <w:qFormat/>
    <w:rsid w:val="00186810"/>
    <w:pPr>
      <w:ind w:left="720"/>
      <w:contextualSpacing/>
    </w:pPr>
  </w:style>
  <w:style w:type="character" w:customStyle="1" w:styleId="ListParagraphChar">
    <w:name w:val="List Paragraph Char"/>
    <w:basedOn w:val="DefaultParagraphFont"/>
    <w:link w:val="ListParagraph"/>
    <w:uiPriority w:val="34"/>
    <w:rsid w:val="00186810"/>
    <w:rPr>
      <w:rFonts w:ascii="Arial" w:eastAsia="SimSun" w:hAnsi="Arial" w:cs="Arial"/>
      <w:sz w:val="22"/>
      <w:lang w:val="ru-RU"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186810"/>
    <w:rPr>
      <w:b/>
      <w:bCs/>
    </w:rPr>
  </w:style>
  <w:style w:type="character" w:customStyle="1" w:styleId="CommentSubjectChar">
    <w:name w:val="Comment Subject Char"/>
    <w:basedOn w:val="CommentTextChar"/>
    <w:link w:val="CommentSubject"/>
    <w:rsid w:val="00186810"/>
    <w:rPr>
      <w:rFonts w:ascii="Arial" w:eastAsia="SimSun" w:hAnsi="Arial" w:cs="Arial"/>
      <w:b/>
      <w:bCs/>
      <w:sz w:val="18"/>
      <w:lang w:val="ru-RU" w:eastAsia="zh-CN"/>
    </w:rPr>
  </w:style>
  <w:style w:type="character" w:styleId="EndnoteReference">
    <w:name w:val="endnote reference"/>
    <w:basedOn w:val="DefaultParagraphFont"/>
    <w:rsid w:val="00186810"/>
    <w:rPr>
      <w:vertAlign w:val="superscript"/>
    </w:rPr>
  </w:style>
  <w:style w:type="paragraph" w:styleId="NormalWeb">
    <w:name w:val="Normal (Web)"/>
    <w:basedOn w:val="Normal"/>
    <w:uiPriority w:val="99"/>
    <w:rsid w:val="00186810"/>
    <w:pPr>
      <w:spacing w:before="100" w:beforeAutospacing="1" w:after="100" w:afterAutospacing="1"/>
    </w:pPr>
    <w:rPr>
      <w:rFonts w:eastAsia="Times New Roman"/>
      <w:sz w:val="18"/>
      <w:szCs w:val="18"/>
      <w:lang w:eastAsia="en-US"/>
    </w:rPr>
  </w:style>
  <w:style w:type="character" w:customStyle="1" w:styleId="ONUMECharChar">
    <w:name w:val="ONUM E Char Char"/>
    <w:locked/>
    <w:rsid w:val="00186810"/>
    <w:rPr>
      <w:rFonts w:ascii="Arial" w:hAnsi="Arial"/>
      <w:sz w:val="22"/>
      <w:lang w:val="ru-RU" w:eastAsia="x-none"/>
    </w:rPr>
  </w:style>
  <w:style w:type="character" w:customStyle="1" w:styleId="apple-converted-space">
    <w:name w:val="apple-converted-space"/>
    <w:basedOn w:val="DefaultParagraphFont"/>
    <w:rsid w:val="00186810"/>
  </w:style>
  <w:style w:type="paragraph" w:customStyle="1" w:styleId="Default">
    <w:name w:val="Default"/>
    <w:rsid w:val="00186810"/>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semiHidden/>
    <w:unhideWhenUsed/>
    <w:qFormat/>
    <w:rsid w:val="00853893"/>
    <w:pPr>
      <w:spacing w:after="100"/>
      <w:ind w:left="220"/>
    </w:pPr>
  </w:style>
  <w:style w:type="paragraph" w:customStyle="1" w:styleId="Heading11">
    <w:name w:val="Heading 1.1"/>
    <w:basedOn w:val="Heading1"/>
    <w:qFormat/>
    <w:rsid w:val="00853893"/>
    <w:pPr>
      <w:numPr>
        <w:numId w:val="7"/>
      </w:numPr>
      <w:spacing w:before="480"/>
    </w:pPr>
    <w:rPr>
      <w:caps/>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BD669D"/>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BD669D"/>
    <w:rPr>
      <w:rFonts w:ascii="Arial" w:eastAsia="SimSun" w:hAnsi="Arial" w:cs="Arial"/>
      <w:sz w:val="22"/>
      <w:lang w:eastAsia="zh-CN"/>
    </w:rPr>
  </w:style>
  <w:style w:type="character" w:customStyle="1" w:styleId="Heading1Char">
    <w:name w:val="Heading 1 Char"/>
    <w:basedOn w:val="DefaultParagraphFont"/>
    <w:link w:val="Heading1"/>
    <w:rsid w:val="00484233"/>
    <w:rPr>
      <w:rFonts w:ascii="Arial" w:eastAsia="SimSun" w:hAnsi="Arial" w:cs="Arial"/>
      <w:b/>
      <w:bCs/>
      <w:kern w:val="32"/>
      <w:sz w:val="22"/>
      <w:szCs w:val="22"/>
      <w:lang w:eastAsia="zh-CN"/>
    </w:rPr>
  </w:style>
  <w:style w:type="table" w:styleId="GridTable6Colorful-Accent1">
    <w:name w:val="Grid Table 6 Colorful Accent 1"/>
    <w:basedOn w:val="TableNormal"/>
    <w:uiPriority w:val="51"/>
    <w:rsid w:val="004254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52A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2A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49900">
      <w:bodyDiv w:val="1"/>
      <w:marLeft w:val="0"/>
      <w:marRight w:val="0"/>
      <w:marTop w:val="0"/>
      <w:marBottom w:val="0"/>
      <w:divBdr>
        <w:top w:val="none" w:sz="0" w:space="0" w:color="auto"/>
        <w:left w:val="none" w:sz="0" w:space="0" w:color="auto"/>
        <w:bottom w:val="none" w:sz="0" w:space="0" w:color="auto"/>
        <w:right w:val="none" w:sz="0" w:space="0" w:color="auto"/>
      </w:divBdr>
    </w:div>
    <w:div w:id="2024547241">
      <w:bodyDiv w:val="1"/>
      <w:marLeft w:val="0"/>
      <w:marRight w:val="0"/>
      <w:marTop w:val="0"/>
      <w:marBottom w:val="0"/>
      <w:divBdr>
        <w:top w:val="none" w:sz="0" w:space="0" w:color="auto"/>
        <w:left w:val="none" w:sz="0" w:space="0" w:color="auto"/>
        <w:bottom w:val="none" w:sz="0" w:space="0" w:color="auto"/>
        <w:right w:val="none" w:sz="0" w:space="0" w:color="auto"/>
      </w:divBdr>
    </w:div>
    <w:div w:id="210988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oversight/iaod/audit/pdf/project_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93EE-A165-4E51-8F90-55867553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7615</Words>
  <Characters>41578</Characters>
  <Application>Microsoft Office Word</Application>
  <DocSecurity>4</DocSecurity>
  <Lines>815</Lines>
  <Paragraphs>375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WO/GA/51/3</vt:lpstr>
      <vt:lpstr>WO/GA/51/3</vt:lpstr>
      <vt:lpstr>WO/GA/51/3</vt:lpstr>
    </vt:vector>
  </TitlesOfParts>
  <Company>WIPO</Company>
  <LinksUpToDate>false</LinksUpToDate>
  <CharactersWithSpaces>48818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WO/GA/51/3</dc:title>
  <dc:subject>Fifty-Eighth Series of Meetings</dc:subject>
  <dc:creator>RS/ls</dc:creator>
  <cp:keywords>FOR OFFICIAL USE ONLY</cp:keywords>
  <dc:description/>
  <cp:lastModifiedBy>HÄFLIGER Patience</cp:lastModifiedBy>
  <cp:revision>2</cp:revision>
  <cp:lastPrinted>2019-06-03T13:30:00Z</cp:lastPrinted>
  <dcterms:created xsi:type="dcterms:W3CDTF">2019-07-09T12:32:00Z</dcterms:created>
  <dcterms:modified xsi:type="dcterms:W3CDTF">2019-07-09T12:32:00Z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