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3337F3" w:rsidRDefault="003D4F8D" w:rsidP="006E4F5F">
      <w:pPr>
        <w:widowControl w:val="0"/>
        <w:jc w:val="right"/>
        <w:rPr>
          <w:b/>
          <w:sz w:val="2"/>
          <w:szCs w:val="40"/>
        </w:rPr>
      </w:pPr>
      <w:bookmarkStart w:id="0" w:name="_GoBack"/>
      <w:bookmarkEnd w:id="0"/>
      <w:r w:rsidRPr="003337F3">
        <w:rPr>
          <w:b/>
          <w:sz w:val="40"/>
          <w:szCs w:val="40"/>
        </w:rPr>
        <w:t>R</w:t>
      </w:r>
    </w:p>
    <w:p w:rsidR="006E4F5F" w:rsidRPr="003337F3" w:rsidRDefault="003D4F8D" w:rsidP="006E4F5F">
      <w:pPr>
        <w:spacing w:line="360" w:lineRule="auto"/>
        <w:ind w:left="4592"/>
        <w:rPr>
          <w:rFonts w:ascii="Arial Black" w:hAnsi="Arial Black"/>
          <w:caps/>
          <w:sz w:val="15"/>
        </w:rPr>
      </w:pPr>
      <w:r w:rsidRPr="003337F3">
        <w:rPr>
          <w:rFonts w:ascii="Arial Black" w:hAnsi="Arial Black"/>
          <w:caps/>
          <w:noProof/>
          <w:sz w:val="15"/>
          <w:lang w:eastAsia="en-US"/>
        </w:rPr>
        <w:drawing>
          <wp:inline distT="0" distB="0" distL="0" distR="0" wp14:anchorId="0D7DE02B" wp14:editId="310D8EB0">
            <wp:extent cx="1743710" cy="1292225"/>
            <wp:effectExtent l="0" t="0" r="889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710" cy="1292225"/>
                    </a:xfrm>
                    <a:prstGeom prst="rect">
                      <a:avLst/>
                    </a:prstGeom>
                    <a:noFill/>
                  </pic:spPr>
                </pic:pic>
              </a:graphicData>
            </a:graphic>
          </wp:inline>
        </w:drawing>
      </w:r>
    </w:p>
    <w:p w:rsidR="006E4F5F" w:rsidRPr="00EC6362" w:rsidRDefault="00F96D69" w:rsidP="00AA2DD4">
      <w:pPr>
        <w:pBdr>
          <w:top w:val="single" w:sz="4" w:space="10" w:color="auto"/>
        </w:pBdr>
        <w:spacing w:before="120"/>
        <w:jc w:val="right"/>
        <w:rPr>
          <w:rFonts w:ascii="Arial Black" w:hAnsi="Arial Black"/>
          <w:b/>
          <w:caps/>
          <w:sz w:val="15"/>
          <w:lang w:val="ru-RU"/>
        </w:rPr>
      </w:pPr>
      <w:r w:rsidRPr="003337F3">
        <w:rPr>
          <w:rFonts w:ascii="Arial Black" w:hAnsi="Arial Black"/>
          <w:b/>
          <w:caps/>
          <w:sz w:val="15"/>
        </w:rPr>
        <w:t>WO</w:t>
      </w:r>
      <w:r w:rsidRPr="00EC6362">
        <w:rPr>
          <w:rFonts w:ascii="Arial Black" w:hAnsi="Arial Black"/>
          <w:b/>
          <w:caps/>
          <w:sz w:val="15"/>
          <w:lang w:val="ru-RU"/>
        </w:rPr>
        <w:t>/</w:t>
      </w:r>
      <w:r w:rsidRPr="003337F3">
        <w:rPr>
          <w:rFonts w:ascii="Arial Black" w:hAnsi="Arial Black"/>
          <w:b/>
          <w:caps/>
          <w:sz w:val="15"/>
        </w:rPr>
        <w:t>GA</w:t>
      </w:r>
      <w:r w:rsidRPr="00EC6362">
        <w:rPr>
          <w:rFonts w:ascii="Arial Black" w:hAnsi="Arial Black"/>
          <w:b/>
          <w:caps/>
          <w:sz w:val="15"/>
          <w:lang w:val="ru-RU"/>
        </w:rPr>
        <w:t>/50</w:t>
      </w:r>
      <w:r w:rsidR="006E4F5F" w:rsidRPr="00EC6362">
        <w:rPr>
          <w:rFonts w:ascii="Arial Black" w:hAnsi="Arial Black"/>
          <w:b/>
          <w:caps/>
          <w:sz w:val="15"/>
          <w:lang w:val="ru-RU"/>
        </w:rPr>
        <w:t>/</w:t>
      </w:r>
      <w:bookmarkStart w:id="1" w:name="Code"/>
      <w:bookmarkEnd w:id="1"/>
      <w:r w:rsidR="00667185" w:rsidRPr="00EC6362">
        <w:rPr>
          <w:rFonts w:ascii="Arial Black" w:hAnsi="Arial Black"/>
          <w:b/>
          <w:caps/>
          <w:sz w:val="15"/>
          <w:lang w:val="ru-RU"/>
        </w:rPr>
        <w:t>10</w:t>
      </w:r>
    </w:p>
    <w:p w:rsidR="006E4F5F" w:rsidRPr="00EC6362" w:rsidRDefault="003D4F8D" w:rsidP="006E4F5F">
      <w:pPr>
        <w:jc w:val="right"/>
        <w:rPr>
          <w:rFonts w:ascii="Arial Black" w:hAnsi="Arial Black"/>
          <w:b/>
          <w:caps/>
          <w:sz w:val="15"/>
          <w:lang w:val="ru-RU"/>
        </w:rPr>
      </w:pPr>
      <w:r w:rsidRPr="003337F3">
        <w:rPr>
          <w:rFonts w:ascii="Arial Black" w:hAnsi="Arial Black"/>
          <w:caps/>
          <w:sz w:val="15"/>
          <w:lang w:val="ru-RU"/>
        </w:rPr>
        <w:t>оригинал</w:t>
      </w:r>
      <w:r w:rsidRPr="00EC6362">
        <w:rPr>
          <w:rFonts w:ascii="Arial Black" w:hAnsi="Arial Black"/>
          <w:caps/>
          <w:sz w:val="15"/>
          <w:lang w:val="ru-RU"/>
        </w:rPr>
        <w:t xml:space="preserve">:  </w:t>
      </w:r>
      <w:bookmarkStart w:id="2" w:name="Original"/>
      <w:bookmarkEnd w:id="2"/>
      <w:r w:rsidRPr="003337F3">
        <w:rPr>
          <w:rFonts w:ascii="Arial Black" w:hAnsi="Arial Black"/>
          <w:caps/>
          <w:sz w:val="15"/>
          <w:lang w:val="ru-RU"/>
        </w:rPr>
        <w:t>английский</w:t>
      </w:r>
      <w:r w:rsidR="006E4F5F" w:rsidRPr="00EC6362">
        <w:rPr>
          <w:rFonts w:ascii="Arial Black" w:hAnsi="Arial Black"/>
          <w:b/>
          <w:caps/>
          <w:sz w:val="15"/>
          <w:lang w:val="ru-RU"/>
        </w:rPr>
        <w:t xml:space="preserve"> </w:t>
      </w:r>
    </w:p>
    <w:p w:rsidR="006E4F5F" w:rsidRPr="003337F3" w:rsidRDefault="003D4F8D" w:rsidP="006E4F5F">
      <w:pPr>
        <w:spacing w:line="1680" w:lineRule="auto"/>
        <w:jc w:val="right"/>
        <w:rPr>
          <w:rFonts w:ascii="Arial Black" w:hAnsi="Arial Black"/>
          <w:b/>
          <w:caps/>
          <w:sz w:val="15"/>
          <w:lang w:val="ru-RU"/>
        </w:rPr>
      </w:pPr>
      <w:r w:rsidRPr="003337F3">
        <w:rPr>
          <w:rFonts w:ascii="Arial Black" w:hAnsi="Arial Black"/>
          <w:b/>
          <w:caps/>
          <w:sz w:val="15"/>
          <w:lang w:val="ru-RU"/>
        </w:rPr>
        <w:t>дата</w:t>
      </w:r>
      <w:r w:rsidR="006E4F5F" w:rsidRPr="00EC6362">
        <w:rPr>
          <w:rFonts w:ascii="Arial Black" w:hAnsi="Arial Black"/>
          <w:b/>
          <w:caps/>
          <w:sz w:val="15"/>
          <w:lang w:val="ru-RU"/>
        </w:rPr>
        <w:t>:</w:t>
      </w:r>
      <w:bookmarkStart w:id="3" w:name="Date"/>
      <w:bookmarkEnd w:id="3"/>
      <w:r w:rsidR="00F83CEE" w:rsidRPr="00EC6362">
        <w:rPr>
          <w:rFonts w:ascii="Arial Black" w:hAnsi="Arial Black"/>
          <w:b/>
          <w:caps/>
          <w:sz w:val="15"/>
          <w:lang w:val="ru-RU"/>
        </w:rPr>
        <w:t xml:space="preserve"> </w:t>
      </w:r>
      <w:r w:rsidR="00667185" w:rsidRPr="00EC6362">
        <w:rPr>
          <w:rFonts w:ascii="Arial Black" w:hAnsi="Arial Black"/>
          <w:b/>
          <w:caps/>
          <w:sz w:val="15"/>
          <w:lang w:val="ru-RU"/>
        </w:rPr>
        <w:t>23</w:t>
      </w:r>
      <w:r w:rsidRPr="003337F3">
        <w:rPr>
          <w:rFonts w:ascii="Arial Black" w:hAnsi="Arial Black"/>
          <w:b/>
          <w:caps/>
          <w:sz w:val="15"/>
          <w:lang w:val="ru-RU"/>
        </w:rPr>
        <w:t xml:space="preserve"> июля</w:t>
      </w:r>
      <w:r w:rsidR="00667185" w:rsidRPr="00EC6362">
        <w:rPr>
          <w:rFonts w:ascii="Arial Black" w:hAnsi="Arial Black"/>
          <w:b/>
          <w:caps/>
          <w:sz w:val="15"/>
          <w:lang w:val="ru-RU"/>
        </w:rPr>
        <w:t xml:space="preserve"> 2018</w:t>
      </w:r>
      <w:r w:rsidRPr="003337F3">
        <w:rPr>
          <w:rFonts w:ascii="Arial Black" w:hAnsi="Arial Black"/>
          <w:b/>
          <w:caps/>
          <w:sz w:val="15"/>
          <w:lang w:val="ru-RU"/>
        </w:rPr>
        <w:t xml:space="preserve"> г.</w:t>
      </w:r>
    </w:p>
    <w:p w:rsidR="00F96D69" w:rsidRPr="00EC6362" w:rsidRDefault="003D4F8D" w:rsidP="00034839">
      <w:pPr>
        <w:pStyle w:val="Heading1"/>
        <w:rPr>
          <w:rStyle w:val="BookTitle"/>
          <w:b/>
          <w:szCs w:val="28"/>
          <w:lang w:val="ru-RU"/>
        </w:rPr>
      </w:pPr>
      <w:r w:rsidRPr="003337F3">
        <w:rPr>
          <w:sz w:val="28"/>
          <w:szCs w:val="28"/>
          <w:lang w:val="ru-RU"/>
        </w:rPr>
        <w:t>Генеральная Ассамблея ВОИС</w:t>
      </w:r>
    </w:p>
    <w:p w:rsidR="008B2CC1" w:rsidRPr="00EC6362" w:rsidRDefault="003D4F8D" w:rsidP="00D61DBA">
      <w:pPr>
        <w:spacing w:after="480"/>
        <w:rPr>
          <w:b/>
          <w:sz w:val="24"/>
          <w:lang w:val="ru-RU"/>
        </w:rPr>
      </w:pPr>
      <w:r w:rsidRPr="003337F3">
        <w:rPr>
          <w:b/>
          <w:sz w:val="24"/>
          <w:lang w:val="ru-RU"/>
        </w:rPr>
        <w:t>Пятидесятая</w:t>
      </w:r>
      <w:r w:rsidR="00F96D69" w:rsidRPr="00EC6362">
        <w:rPr>
          <w:b/>
          <w:sz w:val="24"/>
          <w:lang w:val="ru-RU"/>
        </w:rPr>
        <w:t xml:space="preserve"> (27</w:t>
      </w:r>
      <w:r w:rsidRPr="003337F3">
        <w:rPr>
          <w:b/>
          <w:sz w:val="24"/>
          <w:lang w:val="ru-RU"/>
        </w:rPr>
        <w:t>-я внеочередная</w:t>
      </w:r>
      <w:r w:rsidR="00F96D69" w:rsidRPr="00EC6362">
        <w:rPr>
          <w:b/>
          <w:sz w:val="24"/>
          <w:lang w:val="ru-RU"/>
        </w:rPr>
        <w:t xml:space="preserve">) </w:t>
      </w:r>
      <w:r w:rsidRPr="003337F3">
        <w:rPr>
          <w:b/>
          <w:sz w:val="24"/>
          <w:lang w:val="ru-RU"/>
        </w:rPr>
        <w:t>сессия</w:t>
      </w:r>
      <w:r w:rsidR="003D57B0" w:rsidRPr="00EC6362">
        <w:rPr>
          <w:b/>
          <w:sz w:val="24"/>
          <w:lang w:val="ru-RU"/>
        </w:rPr>
        <w:br/>
      </w:r>
      <w:r w:rsidRPr="003337F3">
        <w:rPr>
          <w:b/>
          <w:sz w:val="24"/>
          <w:szCs w:val="24"/>
          <w:lang w:val="ru-RU"/>
        </w:rPr>
        <w:t>Женева</w:t>
      </w:r>
      <w:r w:rsidR="00DF023A" w:rsidRPr="00EC6362">
        <w:rPr>
          <w:b/>
          <w:sz w:val="24"/>
          <w:lang w:val="ru-RU"/>
        </w:rPr>
        <w:t>, 24</w:t>
      </w:r>
      <w:r w:rsidRPr="003337F3">
        <w:rPr>
          <w:b/>
          <w:sz w:val="24"/>
          <w:lang w:val="ru-RU"/>
        </w:rPr>
        <w:t xml:space="preserve"> сентября – 2 октября 2018 г.</w:t>
      </w:r>
    </w:p>
    <w:p w:rsidR="008B2CC1" w:rsidRPr="00EC6362" w:rsidRDefault="003D4F8D" w:rsidP="00D61DBA">
      <w:pPr>
        <w:spacing w:after="600"/>
        <w:rPr>
          <w:caps/>
          <w:sz w:val="24"/>
          <w:lang w:val="ru-RU"/>
        </w:rPr>
      </w:pPr>
      <w:bookmarkStart w:id="4" w:name="TitleOfDoc"/>
      <w:bookmarkEnd w:id="4"/>
      <w:r w:rsidRPr="003337F3">
        <w:rPr>
          <w:caps/>
          <w:sz w:val="24"/>
          <w:lang w:val="ru-RU"/>
        </w:rPr>
        <w:t>Центр ВОИС по арбитражу и посредничеству, включая доменные имена</w:t>
      </w:r>
    </w:p>
    <w:p w:rsidR="008B2CC1" w:rsidRPr="003337F3" w:rsidRDefault="003D4F8D" w:rsidP="00D61DBA">
      <w:pPr>
        <w:spacing w:after="860"/>
        <w:rPr>
          <w:i/>
        </w:rPr>
      </w:pPr>
      <w:bookmarkStart w:id="5" w:name="Prepared"/>
      <w:bookmarkEnd w:id="5"/>
      <w:r w:rsidRPr="003337F3">
        <w:rPr>
          <w:i/>
          <w:lang w:val="ru-RU"/>
        </w:rPr>
        <w:t>Документ подготовлен Секретариатом</w:t>
      </w:r>
    </w:p>
    <w:p w:rsidR="00BF59A8" w:rsidRPr="00EC6362" w:rsidRDefault="003D4F8D" w:rsidP="00B339DE">
      <w:pPr>
        <w:pStyle w:val="ListParagraph"/>
        <w:numPr>
          <w:ilvl w:val="0"/>
          <w:numId w:val="7"/>
        </w:numPr>
        <w:spacing w:after="240"/>
        <w:ind w:left="0" w:firstLine="0"/>
        <w:contextualSpacing w:val="0"/>
        <w:rPr>
          <w:snapToGrid w:val="0"/>
          <w:szCs w:val="22"/>
          <w:lang w:val="ru-RU"/>
        </w:rPr>
      </w:pPr>
      <w:r w:rsidRPr="003337F3">
        <w:rPr>
          <w:snapToGrid w:val="0"/>
          <w:szCs w:val="22"/>
          <w:lang w:val="ru-RU"/>
        </w:rPr>
        <w:t>В настоящем документе содержится обновленная информация о деятельности Центра ВОИС по арбитражу и посредничеству («Центр») как международного ресурса, обеспечивающего функционирование оперативных и экономичных альтернативных механизмов внесудебного урегулирования споров, касающихся интеллектуальной собственности (ИС), и выступающего не только в качестве инстанции рассмотрения споров, но и органа, предоставляющего экспертные консультации по правовым и организационным вопросам в области альтернативного урегулирования споров (АУС</w:t>
      </w:r>
      <w:r w:rsidR="00BF59A8" w:rsidRPr="00EC6362">
        <w:rPr>
          <w:snapToGrid w:val="0"/>
          <w:szCs w:val="22"/>
          <w:lang w:val="ru-RU"/>
        </w:rPr>
        <w:t>).</w:t>
      </w:r>
    </w:p>
    <w:p w:rsidR="00BF59A8" w:rsidRPr="00EC6362" w:rsidRDefault="003D4F8D" w:rsidP="00B339DE">
      <w:pPr>
        <w:pStyle w:val="ListParagraph"/>
        <w:numPr>
          <w:ilvl w:val="0"/>
          <w:numId w:val="7"/>
        </w:numPr>
        <w:spacing w:after="240"/>
        <w:ind w:left="0" w:firstLine="0"/>
        <w:contextualSpacing w:val="0"/>
        <w:rPr>
          <w:rStyle w:val="ONUMEChar"/>
          <w:lang w:val="ru-RU"/>
        </w:rPr>
      </w:pPr>
      <w:r w:rsidRPr="003337F3">
        <w:rPr>
          <w:rStyle w:val="ONUMEChar"/>
          <w:szCs w:val="22"/>
          <w:lang w:val="ru-RU"/>
        </w:rPr>
        <w:t xml:space="preserve">Кроме того, в документе приводится обновленная информация о деятельности ВОИС в области доменных имен, о которой ранее сообщалось в документе </w:t>
      </w:r>
      <w:r w:rsidR="00A86DB6" w:rsidRPr="003337F3">
        <w:rPr>
          <w:rFonts w:eastAsia="SimSun" w:cs="Arial"/>
          <w:szCs w:val="22"/>
          <w:lang w:eastAsia="zh-CN"/>
        </w:rPr>
        <w:t>WO</w:t>
      </w:r>
      <w:r w:rsidR="00A86DB6" w:rsidRPr="00EC6362">
        <w:rPr>
          <w:rFonts w:eastAsia="SimSun" w:cs="Arial"/>
          <w:szCs w:val="22"/>
          <w:lang w:val="ru-RU" w:eastAsia="zh-CN"/>
        </w:rPr>
        <w:t>/</w:t>
      </w:r>
      <w:r w:rsidR="00A86DB6" w:rsidRPr="003337F3">
        <w:rPr>
          <w:rFonts w:eastAsia="SimSun" w:cs="Arial"/>
          <w:szCs w:val="22"/>
          <w:lang w:eastAsia="zh-CN"/>
        </w:rPr>
        <w:t>GA</w:t>
      </w:r>
      <w:r w:rsidR="00A86DB6" w:rsidRPr="00EC6362">
        <w:rPr>
          <w:rFonts w:eastAsia="SimSun" w:cs="Arial"/>
          <w:szCs w:val="22"/>
          <w:lang w:val="ru-RU" w:eastAsia="zh-CN"/>
        </w:rPr>
        <w:t>/49/14</w:t>
      </w:r>
      <w:r w:rsidR="00BF59A8" w:rsidRPr="003337F3">
        <w:rPr>
          <w:rStyle w:val="ONUMEChar"/>
          <w:szCs w:val="22"/>
          <w:vertAlign w:val="superscript"/>
        </w:rPr>
        <w:footnoteReference w:id="2"/>
      </w:r>
      <w:r w:rsidR="008E6339" w:rsidRPr="003337F3">
        <w:rPr>
          <w:rFonts w:eastAsia="SimSun" w:cs="Arial"/>
          <w:szCs w:val="22"/>
          <w:lang w:val="ru-RU" w:eastAsia="zh-CN"/>
        </w:rPr>
        <w:t xml:space="preserve">. </w:t>
      </w:r>
      <w:r w:rsidRPr="003337F3">
        <w:rPr>
          <w:rStyle w:val="ONUMEChar"/>
          <w:szCs w:val="22"/>
          <w:lang w:val="ru-RU"/>
        </w:rPr>
        <w:t>Он касается рассмотрения Центром споров в области доменных имен на основании различных стратегий и в отношении различных соответствующих аспектов системы доменных имен в Интернете (</w:t>
      </w:r>
      <w:r w:rsidRPr="003337F3">
        <w:rPr>
          <w:rStyle w:val="ONUMEChar"/>
          <w:szCs w:val="22"/>
        </w:rPr>
        <w:t>DNS</w:t>
      </w:r>
      <w:r w:rsidR="00BF59A8" w:rsidRPr="00EC6362">
        <w:rPr>
          <w:rStyle w:val="ONUMEChar"/>
          <w:lang w:val="ru-RU"/>
        </w:rPr>
        <w:t xml:space="preserve">), </w:t>
      </w:r>
      <w:r w:rsidRPr="003337F3">
        <w:rPr>
          <w:rStyle w:val="ONUMEChar"/>
          <w:szCs w:val="22"/>
          <w:lang w:val="ru-RU"/>
        </w:rPr>
        <w:t>а также некоторых изменений в подходах – в частности, применения механизмов охраны прав (МОП</w:t>
      </w:r>
      <w:r w:rsidR="00BF59A8" w:rsidRPr="00EC6362">
        <w:rPr>
          <w:rStyle w:val="ONUMEChar"/>
          <w:lang w:val="ru-RU"/>
        </w:rPr>
        <w:t xml:space="preserve">) </w:t>
      </w:r>
      <w:r w:rsidRPr="003337F3">
        <w:rPr>
          <w:rStyle w:val="ONUMEChar"/>
          <w:szCs w:val="22"/>
          <w:lang w:val="ru-RU"/>
        </w:rPr>
        <w:t>при введении новых родовых доменов верхнего уровня (рДВУ</w:t>
      </w:r>
      <w:r w:rsidR="00BF59A8" w:rsidRPr="00EC6362">
        <w:rPr>
          <w:rStyle w:val="ONUMEChar"/>
          <w:lang w:val="ru-RU"/>
        </w:rPr>
        <w:t xml:space="preserve">), </w:t>
      </w:r>
      <w:r w:rsidRPr="003337F3">
        <w:rPr>
          <w:rStyle w:val="ONUMEChar"/>
          <w:szCs w:val="22"/>
          <w:lang w:val="ru-RU"/>
        </w:rPr>
        <w:t>планируемого будущего пересмотра Корпорацией по распределению имен и номеров в Интернете (</w:t>
      </w:r>
      <w:r w:rsidRPr="003337F3">
        <w:rPr>
          <w:rStyle w:val="ONUMEChar"/>
          <w:szCs w:val="22"/>
        </w:rPr>
        <w:t>ICANN</w:t>
      </w:r>
      <w:r w:rsidR="00BF59A8" w:rsidRPr="00EC6362">
        <w:rPr>
          <w:szCs w:val="24"/>
          <w:lang w:val="ru-RU"/>
        </w:rPr>
        <w:t xml:space="preserve">) </w:t>
      </w:r>
      <w:r w:rsidRPr="003337F3">
        <w:rPr>
          <w:rStyle w:val="ONUMEChar"/>
          <w:szCs w:val="22"/>
          <w:lang w:val="ru-RU"/>
        </w:rPr>
        <w:t>Единой политики урегулирования споров в области доменных имен (ЕПУС</w:t>
      </w:r>
      <w:r w:rsidR="00BF59A8" w:rsidRPr="00EC6362">
        <w:rPr>
          <w:szCs w:val="24"/>
          <w:lang w:val="ru-RU"/>
        </w:rPr>
        <w:t xml:space="preserve">) </w:t>
      </w:r>
      <w:r w:rsidRPr="003337F3">
        <w:rPr>
          <w:rStyle w:val="ONUMEChar"/>
          <w:szCs w:val="22"/>
          <w:lang w:val="ru-RU"/>
        </w:rPr>
        <w:t>и других МОП, а также хода выполнения рекомендаций государств-членов ВОИС, сформулированных в рамках Второго процесса ВОИС по доменным именам в Интернете</w:t>
      </w:r>
      <w:r w:rsidR="00BF59A8" w:rsidRPr="00EC6362">
        <w:rPr>
          <w:rStyle w:val="ONUMEChar"/>
          <w:lang w:val="ru-RU"/>
        </w:rPr>
        <w:t>.</w:t>
      </w:r>
    </w:p>
    <w:p w:rsidR="00BF59A8" w:rsidRPr="00EC6362" w:rsidRDefault="00BF59A8" w:rsidP="003D4F8D">
      <w:pPr>
        <w:pStyle w:val="Heading1"/>
        <w:spacing w:after="240"/>
        <w:ind w:left="567" w:hanging="567"/>
        <w:rPr>
          <w:lang w:val="ru-RU"/>
        </w:rPr>
      </w:pPr>
      <w:r w:rsidRPr="003337F3">
        <w:lastRenderedPageBreak/>
        <w:t>I</w:t>
      </w:r>
      <w:r w:rsidRPr="00EC6362">
        <w:rPr>
          <w:lang w:val="ru-RU"/>
        </w:rPr>
        <w:t>.</w:t>
      </w:r>
      <w:r w:rsidRPr="00EC6362">
        <w:rPr>
          <w:lang w:val="ru-RU"/>
        </w:rPr>
        <w:tab/>
      </w:r>
      <w:r w:rsidR="003D4F8D" w:rsidRPr="003337F3">
        <w:rPr>
          <w:lang w:val="ru-RU"/>
        </w:rPr>
        <w:t>АРБИТРАЖ И ПОСРЕДНИЧЕСТВО ПРИ УРЕГУЛИРОВАНИИ СПОРОВ, КАСАЮЩИХСЯ ИС</w:t>
      </w:r>
    </w:p>
    <w:p w:rsidR="00BF59A8" w:rsidRPr="00EC6362" w:rsidRDefault="00BF59A8" w:rsidP="004C6545">
      <w:pPr>
        <w:pStyle w:val="Heading2"/>
        <w:rPr>
          <w:lang w:val="ru-RU"/>
        </w:rPr>
      </w:pPr>
      <w:r w:rsidRPr="003337F3">
        <w:t>A</w:t>
      </w:r>
      <w:r w:rsidRPr="00EC6362">
        <w:rPr>
          <w:lang w:val="ru-RU"/>
        </w:rPr>
        <w:t>.</w:t>
      </w:r>
      <w:r w:rsidRPr="00EC6362">
        <w:rPr>
          <w:lang w:val="ru-RU"/>
        </w:rPr>
        <w:tab/>
      </w:r>
      <w:r w:rsidR="003D4F8D" w:rsidRPr="003337F3">
        <w:rPr>
          <w:lang w:val="ru-RU"/>
        </w:rPr>
        <w:t>РАССМОТРЕНИЕ СПОРОВ С ПРИМЕНЕНИЕМ МЕХАНИЗМОВ АРБИТРАЖА И ПОСРЕДНИЧЕСТВА</w:t>
      </w:r>
    </w:p>
    <w:p w:rsidR="00BF59A8" w:rsidRPr="00EC6362" w:rsidRDefault="003D4F8D" w:rsidP="00B339DE">
      <w:pPr>
        <w:pStyle w:val="ListParagraph"/>
        <w:numPr>
          <w:ilvl w:val="0"/>
          <w:numId w:val="7"/>
        </w:numPr>
        <w:spacing w:after="240"/>
        <w:ind w:left="0" w:firstLine="0"/>
        <w:contextualSpacing w:val="0"/>
        <w:rPr>
          <w:szCs w:val="22"/>
          <w:lang w:val="ru-RU"/>
        </w:rPr>
      </w:pPr>
      <w:r w:rsidRPr="003337F3">
        <w:rPr>
          <w:szCs w:val="22"/>
          <w:lang w:val="ru-RU"/>
        </w:rPr>
        <w:t>Предлагаемые</w:t>
      </w:r>
      <w:r w:rsidRPr="003337F3">
        <w:rPr>
          <w:lang w:val="ru-RU"/>
        </w:rPr>
        <w:t xml:space="preserve"> Центром процедуры посредничества и арбитража имеют целью удовлетворение потребностей сторон в оперативном и экономичном урегулировании споров в отношении прав ИС</w:t>
      </w:r>
      <w:r w:rsidR="008E6339" w:rsidRPr="00EC6362">
        <w:rPr>
          <w:lang w:val="ru-RU"/>
        </w:rPr>
        <w:t xml:space="preserve">. </w:t>
      </w:r>
      <w:r w:rsidR="00B67D28" w:rsidRPr="003337F3">
        <w:rPr>
          <w:lang w:val="ru-RU"/>
        </w:rPr>
        <w:t>Центр занимается рассмотрением и урегулированием споров с применением указанных процедур, что требует проведения подготовки</w:t>
      </w:r>
      <w:r w:rsidR="00BF59A8" w:rsidRPr="003337F3">
        <w:rPr>
          <w:rStyle w:val="FootnoteReference"/>
          <w:rFonts w:eastAsia="SimSun"/>
        </w:rPr>
        <w:footnoteReference w:id="3"/>
      </w:r>
      <w:r w:rsidR="00B67D28" w:rsidRPr="003337F3">
        <w:rPr>
          <w:lang w:val="ru-RU"/>
        </w:rPr>
        <w:t>,</w:t>
      </w:r>
      <w:r w:rsidR="00BF59A8" w:rsidRPr="00EC6362">
        <w:rPr>
          <w:lang w:val="ru-RU"/>
        </w:rPr>
        <w:t xml:space="preserve"> </w:t>
      </w:r>
      <w:r w:rsidR="00B67D28" w:rsidRPr="003337F3">
        <w:rPr>
          <w:lang w:val="ru-RU"/>
        </w:rPr>
        <w:t>назначения квалифицированных арбитров и посредников и обеспечения их работы, а также наличия современной инфраструктуры рассмотрения споров, в том числе основанной на использовании информационных технологий, таких как Электронный модуль ВОИС для рассмотрения споров (</w:t>
      </w:r>
      <w:r w:rsidR="00B67D28" w:rsidRPr="003337F3">
        <w:rPr>
          <w:lang w:val="en-GB"/>
        </w:rPr>
        <w:t>ECAF</w:t>
      </w:r>
      <w:r w:rsidR="006A67B2" w:rsidRPr="003337F3">
        <w:rPr>
          <w:lang w:val="ru-RU"/>
        </w:rPr>
        <w:t>)</w:t>
      </w:r>
      <w:r w:rsidR="006A67B2" w:rsidRPr="003337F3">
        <w:rPr>
          <w:vertAlign w:val="superscript"/>
        </w:rPr>
        <w:footnoteReference w:id="4"/>
      </w:r>
      <w:r w:rsidR="008E6339" w:rsidRPr="003337F3">
        <w:rPr>
          <w:lang w:val="ru-RU"/>
        </w:rPr>
        <w:t xml:space="preserve">. </w:t>
      </w:r>
      <w:r w:rsidR="00B67D28" w:rsidRPr="003337F3">
        <w:rPr>
          <w:lang w:val="ru-RU"/>
        </w:rPr>
        <w:t>Споры, рассмотренные ВОИС в прошлом году, касались патентов</w:t>
      </w:r>
      <w:r w:rsidR="00BF59A8" w:rsidRPr="00EC6362">
        <w:rPr>
          <w:lang w:val="ru-RU"/>
        </w:rPr>
        <w:t xml:space="preserve">, </w:t>
      </w:r>
      <w:r w:rsidR="00B67D28" w:rsidRPr="003337F3">
        <w:rPr>
          <w:lang w:val="ru-RU"/>
        </w:rPr>
        <w:t>товарных знаков</w:t>
      </w:r>
      <w:r w:rsidR="00B67D28" w:rsidRPr="00EC6362">
        <w:rPr>
          <w:lang w:val="ru-RU"/>
        </w:rPr>
        <w:t xml:space="preserve"> </w:t>
      </w:r>
      <w:r w:rsidR="00DC159E" w:rsidRPr="00EC6362">
        <w:rPr>
          <w:lang w:val="ru-RU"/>
        </w:rPr>
        <w:t>(</w:t>
      </w:r>
      <w:r w:rsidR="008A2746" w:rsidRPr="003337F3">
        <w:rPr>
          <w:lang w:val="ru-RU"/>
        </w:rPr>
        <w:t>включая соглашения о сосуществовании товарных знаков и неурегулированные споры о товарных знаках</w:t>
      </w:r>
      <w:r w:rsidR="004162A0" w:rsidRPr="00EC6362">
        <w:rPr>
          <w:lang w:val="ru-RU"/>
        </w:rPr>
        <w:t>)</w:t>
      </w:r>
      <w:r w:rsidR="00BF59A8" w:rsidRPr="00EC6362">
        <w:rPr>
          <w:lang w:val="ru-RU"/>
        </w:rPr>
        <w:t xml:space="preserve">, </w:t>
      </w:r>
      <w:r w:rsidR="00B67D28" w:rsidRPr="003337F3">
        <w:rPr>
          <w:lang w:val="ru-RU"/>
        </w:rPr>
        <w:t xml:space="preserve">авторского права </w:t>
      </w:r>
      <w:r w:rsidR="00BF59A8" w:rsidRPr="00EC6362">
        <w:rPr>
          <w:lang w:val="ru-RU"/>
        </w:rPr>
        <w:t>(</w:t>
      </w:r>
      <w:r w:rsidR="00B67D28" w:rsidRPr="003337F3">
        <w:rPr>
          <w:lang w:val="ru-RU"/>
        </w:rPr>
        <w:t>включая общества по сбору роялти</w:t>
      </w:r>
      <w:r w:rsidR="008A196F" w:rsidRPr="00EC6362">
        <w:rPr>
          <w:lang w:val="ru-RU"/>
        </w:rPr>
        <w:t xml:space="preserve">, </w:t>
      </w:r>
      <w:r w:rsidR="008A2746" w:rsidRPr="003337F3">
        <w:rPr>
          <w:lang w:val="ru-RU"/>
        </w:rPr>
        <w:t>и музыку в цифровом формате</w:t>
      </w:r>
      <w:r w:rsidR="00BF59A8" w:rsidRPr="00EC6362">
        <w:rPr>
          <w:lang w:val="ru-RU"/>
        </w:rPr>
        <w:t xml:space="preserve">), </w:t>
      </w:r>
      <w:r w:rsidR="008A2746" w:rsidRPr="003337F3">
        <w:rPr>
          <w:lang w:val="ru-RU"/>
        </w:rPr>
        <w:t xml:space="preserve">информационно-коммуникационных технологий </w:t>
      </w:r>
      <w:r w:rsidR="004C2277" w:rsidRPr="00EC6362">
        <w:rPr>
          <w:lang w:val="ru-RU"/>
        </w:rPr>
        <w:t>(</w:t>
      </w:r>
      <w:r w:rsidR="008A2746" w:rsidRPr="003337F3">
        <w:rPr>
          <w:lang w:val="ru-RU"/>
        </w:rPr>
        <w:t>ИКТ</w:t>
      </w:r>
      <w:r w:rsidR="004C2277" w:rsidRPr="00EC6362">
        <w:rPr>
          <w:lang w:val="ru-RU"/>
        </w:rPr>
        <w:t>)</w:t>
      </w:r>
      <w:r w:rsidR="00BF59A8" w:rsidRPr="00EC6362">
        <w:rPr>
          <w:lang w:val="ru-RU"/>
        </w:rPr>
        <w:t xml:space="preserve">, </w:t>
      </w:r>
      <w:r w:rsidR="008A2746" w:rsidRPr="003337F3">
        <w:rPr>
          <w:lang w:val="ru-RU"/>
        </w:rPr>
        <w:t>научно-исследовательских и опытно-конструкторских разработок (НИОКР</w:t>
      </w:r>
      <w:r w:rsidR="00BF59A8" w:rsidRPr="00EC6362">
        <w:rPr>
          <w:lang w:val="ru-RU"/>
        </w:rPr>
        <w:t xml:space="preserve">), </w:t>
      </w:r>
      <w:r w:rsidR="008A2746" w:rsidRPr="003337F3">
        <w:rPr>
          <w:lang w:val="ru-RU"/>
        </w:rPr>
        <w:t>естественных наук</w:t>
      </w:r>
      <w:r w:rsidR="00BF59A8" w:rsidRPr="00EC6362">
        <w:rPr>
          <w:lang w:val="ru-RU"/>
        </w:rPr>
        <w:t xml:space="preserve">, </w:t>
      </w:r>
      <w:r w:rsidR="008A2746" w:rsidRPr="003337F3">
        <w:rPr>
          <w:lang w:val="ru-RU"/>
        </w:rPr>
        <w:t>киноиндустрии и СМИ</w:t>
      </w:r>
      <w:r w:rsidR="004162A0" w:rsidRPr="00EC6362">
        <w:rPr>
          <w:lang w:val="ru-RU"/>
        </w:rPr>
        <w:t xml:space="preserve">, </w:t>
      </w:r>
      <w:r w:rsidR="008A2746" w:rsidRPr="003337F3">
        <w:rPr>
          <w:lang w:val="ru-RU"/>
        </w:rPr>
        <w:t>а также франчайзинга, и направлялись сторонами в Центр на основании предварительно согласованных условий контрактов</w:t>
      </w:r>
      <w:r w:rsidR="00BF59A8" w:rsidRPr="00EC6362">
        <w:rPr>
          <w:lang w:val="ru-RU"/>
        </w:rPr>
        <w:t xml:space="preserve">, </w:t>
      </w:r>
      <w:r w:rsidR="008A2746" w:rsidRPr="003337F3">
        <w:rPr>
          <w:lang w:val="ru-RU"/>
        </w:rPr>
        <w:t>соглашений о передаче споров в арбитраж (включая передачу на рассмотрение в суд</w:t>
      </w:r>
      <w:r w:rsidR="00BF59A8" w:rsidRPr="00EC6362">
        <w:rPr>
          <w:lang w:val="ru-RU"/>
        </w:rPr>
        <w:t xml:space="preserve">), </w:t>
      </w:r>
      <w:r w:rsidR="008A2746" w:rsidRPr="003337F3">
        <w:rPr>
          <w:lang w:val="ru-RU"/>
        </w:rPr>
        <w:t>а также на основании односторонней просьбы в соответствии со статьей 4 Правил ВОИС в области посредничества</w:t>
      </w:r>
      <w:r w:rsidR="008E6339" w:rsidRPr="00EC6362">
        <w:rPr>
          <w:lang w:val="ru-RU"/>
        </w:rPr>
        <w:t xml:space="preserve">. </w:t>
      </w:r>
      <w:r w:rsidR="008A2746" w:rsidRPr="003337F3">
        <w:rPr>
          <w:lang w:val="ru-RU"/>
        </w:rPr>
        <w:t>Более половины сторон в таких спорах – это пользователи услуг в рамках системы PCT и Мадридской системы</w:t>
      </w:r>
      <w:r w:rsidR="008E6339" w:rsidRPr="00EC6362">
        <w:rPr>
          <w:lang w:val="ru-RU"/>
        </w:rPr>
        <w:t xml:space="preserve">. </w:t>
      </w:r>
      <w:r w:rsidR="008A2746" w:rsidRPr="003337F3">
        <w:rPr>
          <w:lang w:val="ru-RU"/>
        </w:rPr>
        <w:t>Урегулирование достигается примерно в 70 процентах случаев посредничества ВОИС, а при коэффициенте урегулирования в 40 процентов даже передача спора на арбитраж ВОИС может способствовать достижению договоренности между сторонами</w:t>
      </w:r>
      <w:r w:rsidR="00BF59A8" w:rsidRPr="00EC6362">
        <w:rPr>
          <w:lang w:val="ru-RU"/>
        </w:rPr>
        <w:t>.</w:t>
      </w:r>
      <w:r w:rsidR="00F83CEE" w:rsidRPr="00EC6362">
        <w:rPr>
          <w:szCs w:val="22"/>
          <w:lang w:val="ru-RU"/>
        </w:rPr>
        <w:t xml:space="preserve"> </w:t>
      </w:r>
    </w:p>
    <w:p w:rsidR="00690D13" w:rsidRPr="00EC6362" w:rsidRDefault="00337FAC" w:rsidP="00B339DE">
      <w:pPr>
        <w:pStyle w:val="ListParagraph"/>
        <w:widowControl w:val="0"/>
        <w:numPr>
          <w:ilvl w:val="0"/>
          <w:numId w:val="7"/>
        </w:numPr>
        <w:spacing w:after="240"/>
        <w:ind w:left="0" w:firstLine="0"/>
        <w:contextualSpacing w:val="0"/>
        <w:rPr>
          <w:szCs w:val="22"/>
          <w:lang w:val="ru-RU"/>
        </w:rPr>
      </w:pPr>
      <w:r w:rsidRPr="003337F3">
        <w:rPr>
          <w:lang w:val="ru-RU"/>
        </w:rPr>
        <w:t xml:space="preserve">Центр продолжает работать в рамках инициатив, </w:t>
      </w:r>
      <w:r w:rsidR="006A67B2" w:rsidRPr="003337F3">
        <w:rPr>
          <w:lang w:val="ru-RU"/>
        </w:rPr>
        <w:t>направленных на дальнейшее расширение доступа к системе АУС ВОИС для потенциальных пользователей</w:t>
      </w:r>
      <w:r w:rsidR="008E6339" w:rsidRPr="00EC6362">
        <w:rPr>
          <w:lang w:val="ru-RU"/>
        </w:rPr>
        <w:t xml:space="preserve">. </w:t>
      </w:r>
      <w:r w:rsidR="001D60CE" w:rsidRPr="003337F3">
        <w:rPr>
          <w:lang w:val="ru-RU"/>
        </w:rPr>
        <w:t>К их числу относится обновленное Руководство по посредничеству ВОИС</w:t>
      </w:r>
      <w:r w:rsidR="0082403B" w:rsidRPr="003337F3">
        <w:rPr>
          <w:rStyle w:val="FootnoteReference"/>
        </w:rPr>
        <w:footnoteReference w:id="5"/>
      </w:r>
      <w:r w:rsidR="001D60CE" w:rsidRPr="003337F3">
        <w:rPr>
          <w:lang w:val="ru-RU"/>
        </w:rPr>
        <w:t>,</w:t>
      </w:r>
      <w:r w:rsidR="00690D13" w:rsidRPr="00EC6362">
        <w:rPr>
          <w:lang w:val="ru-RU"/>
        </w:rPr>
        <w:t xml:space="preserve"> </w:t>
      </w:r>
      <w:r w:rsidR="001D60CE" w:rsidRPr="003337F3">
        <w:rPr>
          <w:lang w:val="ru-RU"/>
        </w:rPr>
        <w:t>отражающее последние изменения в Правилах ВОИС в области арбитража и в методах и процедурах работы Центра и служащая для сторон дополнительным источником информации</w:t>
      </w:r>
      <w:r w:rsidR="008E6339" w:rsidRPr="00EC6362">
        <w:rPr>
          <w:lang w:val="ru-RU"/>
        </w:rPr>
        <w:t xml:space="preserve">. </w:t>
      </w:r>
      <w:r w:rsidR="006A67B2" w:rsidRPr="003337F3">
        <w:rPr>
          <w:lang w:val="ru-RU"/>
        </w:rPr>
        <w:t>Обновленная онлайновая программа</w:t>
      </w:r>
      <w:r w:rsidR="001D60CE" w:rsidRPr="003337F3">
        <w:rPr>
          <w:lang w:val="ru-RU"/>
        </w:rPr>
        <w:t xml:space="preserve"> Ц</w:t>
      </w:r>
      <w:r w:rsidR="006A67B2" w:rsidRPr="003337F3">
        <w:rPr>
          <w:lang w:val="ru-RU"/>
        </w:rPr>
        <w:t>ентра позволяет сторонам</w:t>
      </w:r>
      <w:r w:rsidR="00690D13" w:rsidRPr="00EC6362">
        <w:rPr>
          <w:lang w:val="ru-RU"/>
        </w:rPr>
        <w:t xml:space="preserve"> </w:t>
      </w:r>
      <w:r w:rsidR="006A67B2" w:rsidRPr="003337F3">
        <w:rPr>
          <w:lang w:val="ru-RU"/>
        </w:rPr>
        <w:t>формулировать основные статьи и положения соглашений о передаче споров в арбитраж с возможностью выбора дополнительных условий для удовлетворения конкретных потребностей</w:t>
      </w:r>
      <w:r w:rsidR="00690D13" w:rsidRPr="003337F3">
        <w:rPr>
          <w:rStyle w:val="FootnoteReference"/>
        </w:rPr>
        <w:footnoteReference w:id="6"/>
      </w:r>
      <w:r w:rsidR="006A67B2" w:rsidRPr="003337F3">
        <w:rPr>
          <w:lang w:val="ru-RU"/>
        </w:rPr>
        <w:t>.</w:t>
      </w:r>
      <w:r w:rsidR="00F83CEE" w:rsidRPr="00EC6362">
        <w:rPr>
          <w:lang w:val="ru-RU"/>
        </w:rPr>
        <w:t xml:space="preserve"> </w:t>
      </w:r>
    </w:p>
    <w:p w:rsidR="00BF59A8" w:rsidRPr="00EC6362" w:rsidRDefault="00BF59A8" w:rsidP="004C6545">
      <w:pPr>
        <w:pStyle w:val="Heading2"/>
        <w:rPr>
          <w:lang w:val="ru-RU"/>
        </w:rPr>
      </w:pPr>
      <w:r w:rsidRPr="003337F3">
        <w:t>B</w:t>
      </w:r>
      <w:r w:rsidRPr="00EC6362">
        <w:rPr>
          <w:lang w:val="ru-RU"/>
        </w:rPr>
        <w:t>.</w:t>
      </w:r>
      <w:r w:rsidRPr="00EC6362">
        <w:rPr>
          <w:lang w:val="ru-RU"/>
        </w:rPr>
        <w:tab/>
      </w:r>
      <w:r w:rsidR="00B12228" w:rsidRPr="003337F3">
        <w:rPr>
          <w:lang w:val="ru-RU"/>
        </w:rPr>
        <w:t>УСЛУГИ АУС ДЛЯ КОНКРЕТНЫХ СЕКТОРОВ</w:t>
      </w:r>
    </w:p>
    <w:p w:rsidR="00640B9A" w:rsidRPr="003337F3" w:rsidRDefault="00B12228" w:rsidP="00212E34">
      <w:pPr>
        <w:pStyle w:val="Heading3"/>
        <w:ind w:left="1701" w:hanging="567"/>
      </w:pPr>
      <w:r w:rsidRPr="003337F3">
        <w:rPr>
          <w:szCs w:val="22"/>
          <w:lang w:val="ru-RU"/>
        </w:rPr>
        <w:t>Сотрудничество с ведомствами интеллектуальной собственности</w:t>
      </w:r>
    </w:p>
    <w:p w:rsidR="00640B9A" w:rsidRPr="003C71DC" w:rsidRDefault="00B12228" w:rsidP="00056D33">
      <w:pPr>
        <w:pStyle w:val="ListParagraph"/>
        <w:widowControl w:val="0"/>
        <w:numPr>
          <w:ilvl w:val="0"/>
          <w:numId w:val="7"/>
        </w:numPr>
        <w:spacing w:after="240"/>
        <w:ind w:left="0" w:firstLine="0"/>
        <w:contextualSpacing w:val="0"/>
        <w:rPr>
          <w:szCs w:val="22"/>
          <w:lang w:val="ru-RU"/>
        </w:rPr>
      </w:pPr>
      <w:r w:rsidRPr="003337F3">
        <w:rPr>
          <w:lang w:val="ru-RU"/>
        </w:rPr>
        <w:t>Помимо описанных в настоящем документе традиционных услуг Центр также оказывает содействие все возрастающему числу ведомств ИС и авторского права (ВИС) в создании факультативных механизмов АУС</w:t>
      </w:r>
      <w:r w:rsidR="00690D13" w:rsidRPr="00EC6362">
        <w:rPr>
          <w:lang w:val="ru-RU"/>
        </w:rPr>
        <w:t xml:space="preserve">, </w:t>
      </w:r>
      <w:r w:rsidRPr="003337F3">
        <w:rPr>
          <w:lang w:val="ru-RU"/>
        </w:rPr>
        <w:t>организации программ обучения, проведении информационно-разъяснительных мероприятий и рассмотрении споров</w:t>
      </w:r>
      <w:r w:rsidR="008E6339" w:rsidRPr="00EC6362">
        <w:rPr>
          <w:lang w:val="ru-RU"/>
        </w:rPr>
        <w:t xml:space="preserve">. </w:t>
      </w:r>
      <w:r w:rsidR="008E6339" w:rsidRPr="003337F3">
        <w:rPr>
          <w:lang w:val="ru-RU"/>
        </w:rPr>
        <w:t xml:space="preserve">За время, прошедшее после Ассамблей 2017 г., Центр наладил сотрудничество с ведомствами ИС </w:t>
      </w:r>
      <w:r w:rsidR="008E6339" w:rsidRPr="003337F3">
        <w:rPr>
          <w:lang w:val="ru-RU"/>
        </w:rPr>
        <w:lastRenderedPageBreak/>
        <w:t>в целом ряде государств-членов</w:t>
      </w:r>
      <w:r w:rsidR="00690D13" w:rsidRPr="003337F3">
        <w:rPr>
          <w:rStyle w:val="FootnoteReference"/>
          <w:szCs w:val="22"/>
        </w:rPr>
        <w:footnoteReference w:id="7"/>
      </w:r>
      <w:r w:rsidR="008E6339" w:rsidRPr="003337F3">
        <w:rPr>
          <w:lang w:val="ru-RU"/>
        </w:rPr>
        <w:t>.</w:t>
      </w:r>
      <w:r w:rsidR="00F83CEE" w:rsidRPr="00EC6362">
        <w:rPr>
          <w:lang w:val="ru-RU"/>
        </w:rPr>
        <w:t xml:space="preserve"> </w:t>
      </w:r>
      <w:r w:rsidR="008E6339" w:rsidRPr="003337F3">
        <w:rPr>
          <w:lang w:val="ru-RU"/>
        </w:rPr>
        <w:t>В соответствии с потребностями, о которых сообщили государства-члены, это сотрудничество включает работу по перечисленным ниже направлениям</w:t>
      </w:r>
      <w:r w:rsidR="00640B9A" w:rsidRPr="003C71DC">
        <w:rPr>
          <w:lang w:val="ru-RU"/>
        </w:rPr>
        <w:t>.</w:t>
      </w:r>
    </w:p>
    <w:p w:rsidR="00640B9A" w:rsidRPr="00EC6362" w:rsidRDefault="008E6339" w:rsidP="00207DB5">
      <w:pPr>
        <w:pStyle w:val="ListParagraph"/>
        <w:numPr>
          <w:ilvl w:val="0"/>
          <w:numId w:val="7"/>
        </w:numPr>
        <w:spacing w:after="240"/>
        <w:ind w:left="0" w:firstLine="0"/>
        <w:contextualSpacing w:val="0"/>
        <w:rPr>
          <w:szCs w:val="22"/>
          <w:lang w:val="ru-RU"/>
        </w:rPr>
      </w:pPr>
      <w:r w:rsidRPr="003337F3">
        <w:rPr>
          <w:szCs w:val="22"/>
          <w:lang w:val="ru-RU"/>
        </w:rPr>
        <w:t>Повышение осведомленности относительно вариантов АУС</w:t>
      </w:r>
      <w:r w:rsidR="00B422BF" w:rsidRPr="00EC6362">
        <w:rPr>
          <w:szCs w:val="22"/>
          <w:lang w:val="ru-RU"/>
        </w:rPr>
        <w:t>:</w:t>
      </w:r>
      <w:r w:rsidR="00F83CEE" w:rsidRPr="00EC6362">
        <w:rPr>
          <w:szCs w:val="22"/>
          <w:lang w:val="ru-RU"/>
        </w:rPr>
        <w:t xml:space="preserve"> </w:t>
      </w:r>
      <w:r w:rsidR="00215BEF" w:rsidRPr="003337F3">
        <w:rPr>
          <w:szCs w:val="22"/>
          <w:lang w:val="ru-RU"/>
        </w:rPr>
        <w:t>Центр сотрудничает с ВИС</w:t>
      </w:r>
      <w:r w:rsidR="00690D13" w:rsidRPr="003337F3">
        <w:rPr>
          <w:rStyle w:val="FootnoteReference"/>
          <w:szCs w:val="22"/>
        </w:rPr>
        <w:footnoteReference w:id="8"/>
      </w:r>
      <w:r w:rsidR="00215BEF" w:rsidRPr="003337F3">
        <w:rPr>
          <w:szCs w:val="22"/>
          <w:lang w:val="ru-RU"/>
        </w:rPr>
        <w:t>, способствуя повышению осведомленности относительно преимуществ АУС для предотвращения возникновения и урегулирования споров, связанных с технологиями и ИС, во внесудебном порядке или при помощи других учреждений, занимающихся разрешением споров</w:t>
      </w:r>
      <w:r w:rsidR="00690D13" w:rsidRPr="00EC6362">
        <w:rPr>
          <w:szCs w:val="22"/>
          <w:lang w:val="ru-RU"/>
        </w:rPr>
        <w:t>.</w:t>
      </w:r>
      <w:r w:rsidR="00F83CEE" w:rsidRPr="00EC6362">
        <w:rPr>
          <w:szCs w:val="22"/>
          <w:lang w:val="ru-RU"/>
        </w:rPr>
        <w:t xml:space="preserve"> </w:t>
      </w:r>
      <w:r w:rsidR="00215BEF" w:rsidRPr="003337F3">
        <w:rPr>
          <w:szCs w:val="22"/>
          <w:lang w:val="ru-RU"/>
        </w:rPr>
        <w:t>На протяжении этого периода такое сотрудничество включало подготовку для заинтересованных сторон информационных материалов о вариантах АУС, в частности о рассмотрении споров в онлайновом режиме, с учетом потребностей стран</w:t>
      </w:r>
      <w:r w:rsidR="00690D13" w:rsidRPr="003337F3">
        <w:rPr>
          <w:rStyle w:val="FootnoteReference"/>
          <w:szCs w:val="22"/>
        </w:rPr>
        <w:footnoteReference w:id="9"/>
      </w:r>
      <w:r w:rsidR="00215BEF" w:rsidRPr="00EC6362">
        <w:rPr>
          <w:szCs w:val="22"/>
          <w:lang w:val="ru-RU"/>
        </w:rPr>
        <w:t>;</w:t>
      </w:r>
      <w:r w:rsidR="00F83CEE" w:rsidRPr="00EC6362">
        <w:rPr>
          <w:szCs w:val="22"/>
          <w:lang w:val="ru-RU"/>
        </w:rPr>
        <w:t xml:space="preserve"> </w:t>
      </w:r>
      <w:r w:rsidR="00215BEF" w:rsidRPr="003337F3">
        <w:rPr>
          <w:szCs w:val="22"/>
          <w:lang w:val="ru-RU"/>
        </w:rPr>
        <w:t>организацию обучения и совместных мероприятий для заинтересованных сторон в целях популяризации преимуществ посредничества и арбитража при рассмотрении споров, связанных с ИС</w:t>
      </w:r>
      <w:r w:rsidR="00690D13" w:rsidRPr="003337F3">
        <w:rPr>
          <w:rStyle w:val="FootnoteReference"/>
          <w:szCs w:val="22"/>
        </w:rPr>
        <w:footnoteReference w:id="10"/>
      </w:r>
      <w:r w:rsidR="00215BEF" w:rsidRPr="00EC6362">
        <w:rPr>
          <w:szCs w:val="22"/>
          <w:lang w:val="ru-RU"/>
        </w:rPr>
        <w:t>;</w:t>
      </w:r>
      <w:r w:rsidR="00F83CEE" w:rsidRPr="00EC6362">
        <w:rPr>
          <w:szCs w:val="22"/>
          <w:lang w:val="ru-RU"/>
        </w:rPr>
        <w:t xml:space="preserve"> </w:t>
      </w:r>
      <w:r w:rsidR="00215BEF" w:rsidRPr="003337F3">
        <w:rPr>
          <w:szCs w:val="22"/>
          <w:lang w:val="ru-RU"/>
        </w:rPr>
        <w:t>и передачу получаемых ВИС запросов в Центр для дальнейшего оказания содействия в рассмотрении дел (особенно дел о нарушении прав ИС</w:t>
      </w:r>
      <w:r w:rsidR="00640B9A" w:rsidRPr="00EC6362">
        <w:rPr>
          <w:szCs w:val="22"/>
          <w:lang w:val="ru-RU"/>
        </w:rPr>
        <w:t>).</w:t>
      </w:r>
    </w:p>
    <w:p w:rsidR="005C3088" w:rsidRPr="003C71DC" w:rsidRDefault="00960B7C" w:rsidP="00B339DE">
      <w:pPr>
        <w:pStyle w:val="ListParagraph"/>
        <w:widowControl w:val="0"/>
        <w:numPr>
          <w:ilvl w:val="0"/>
          <w:numId w:val="7"/>
        </w:numPr>
        <w:spacing w:after="240"/>
        <w:ind w:left="0" w:firstLine="0"/>
        <w:contextualSpacing w:val="0"/>
        <w:rPr>
          <w:szCs w:val="22"/>
          <w:lang w:val="ru-RU"/>
        </w:rPr>
      </w:pPr>
      <w:r w:rsidRPr="003337F3">
        <w:rPr>
          <w:szCs w:val="22"/>
          <w:lang w:val="ru-RU"/>
        </w:rPr>
        <w:t>Рассмотрение споров</w:t>
      </w:r>
      <w:r w:rsidR="00FD129C" w:rsidRPr="00EC6362">
        <w:rPr>
          <w:szCs w:val="22"/>
          <w:lang w:val="ru-RU"/>
        </w:rPr>
        <w:t>:</w:t>
      </w:r>
      <w:r w:rsidR="00F83CEE" w:rsidRPr="00EC6362">
        <w:rPr>
          <w:szCs w:val="22"/>
          <w:lang w:val="ru-RU"/>
        </w:rPr>
        <w:t xml:space="preserve"> </w:t>
      </w:r>
      <w:r w:rsidRPr="003337F3">
        <w:rPr>
          <w:szCs w:val="22"/>
          <w:lang w:val="ru-RU"/>
        </w:rPr>
        <w:t>некоторые ВИС разработали варианты АУС или стимулируют стороны к использованию таких вариантов при рассмотрении споров, особенно в связи с товарными знаками или возражениями по патентам. Центр сотрудничал с ВИС в разработке механизмов, основанных на посредничестве и вынесении экспертных заключений в рамках таких процедур АУС. Центр также сотрудничал с ВИС в рассмотрении исков, подаваемых сторонами в рамках таких механизмов</w:t>
      </w:r>
      <w:r w:rsidR="00483FA0" w:rsidRPr="003337F3">
        <w:rPr>
          <w:rStyle w:val="FootnoteReference"/>
          <w:szCs w:val="22"/>
        </w:rPr>
        <w:footnoteReference w:id="11"/>
      </w:r>
      <w:r w:rsidRPr="003337F3">
        <w:rPr>
          <w:szCs w:val="22"/>
          <w:lang w:val="ru-RU"/>
        </w:rPr>
        <w:t>.</w:t>
      </w:r>
      <w:r w:rsidR="00F83CEE" w:rsidRPr="00EC6362">
        <w:rPr>
          <w:szCs w:val="22"/>
          <w:lang w:val="ru-RU"/>
        </w:rPr>
        <w:t xml:space="preserve"> </w:t>
      </w:r>
      <w:r w:rsidRPr="003337F3">
        <w:rPr>
          <w:szCs w:val="22"/>
          <w:lang w:val="ru-RU"/>
        </w:rPr>
        <w:t xml:space="preserve">В области </w:t>
      </w:r>
      <w:r w:rsidRPr="003337F3">
        <w:rPr>
          <w:szCs w:val="22"/>
          <w:lang w:val="ru-RU"/>
        </w:rPr>
        <w:lastRenderedPageBreak/>
        <w:t>авторского права некоторые ВИС используют процедуры АУС для урегулирования споров внутри страны и назначают Центр в качестве администратора при урегулировании споров, одна или обе стороны которых имеют местожительство за пределами страны</w:t>
      </w:r>
      <w:r w:rsidR="00EF02A8" w:rsidRPr="003337F3">
        <w:rPr>
          <w:rStyle w:val="FootnoteReference"/>
          <w:szCs w:val="22"/>
        </w:rPr>
        <w:footnoteReference w:id="12"/>
      </w:r>
      <w:r w:rsidRPr="003C71DC">
        <w:rPr>
          <w:szCs w:val="22"/>
          <w:lang w:val="ru-RU"/>
        </w:rPr>
        <w:t>.</w:t>
      </w:r>
    </w:p>
    <w:p w:rsidR="00640B9A" w:rsidRPr="00EC6362" w:rsidRDefault="006F00EE" w:rsidP="00B339DE">
      <w:pPr>
        <w:pStyle w:val="ListParagraph"/>
        <w:widowControl w:val="0"/>
        <w:numPr>
          <w:ilvl w:val="0"/>
          <w:numId w:val="7"/>
        </w:numPr>
        <w:spacing w:after="240"/>
        <w:ind w:left="0" w:firstLine="0"/>
        <w:contextualSpacing w:val="0"/>
        <w:rPr>
          <w:szCs w:val="22"/>
          <w:lang w:val="ru-RU"/>
        </w:rPr>
      </w:pPr>
      <w:r w:rsidRPr="003337F3">
        <w:rPr>
          <w:szCs w:val="22"/>
          <w:lang w:val="ru-RU"/>
        </w:rPr>
        <w:t>Варианты АУС в контексте типовых соглашений научно-исследовательских и опытно-конструкторских разработках (НИОКР)</w:t>
      </w:r>
      <w:r w:rsidR="00FD129C" w:rsidRPr="00EC6362">
        <w:rPr>
          <w:szCs w:val="22"/>
          <w:lang w:val="ru-RU"/>
        </w:rPr>
        <w:t>:</w:t>
      </w:r>
      <w:r w:rsidR="00F83CEE" w:rsidRPr="00EC6362">
        <w:rPr>
          <w:szCs w:val="22"/>
          <w:lang w:val="ru-RU"/>
        </w:rPr>
        <w:t xml:space="preserve"> </w:t>
      </w:r>
      <w:r w:rsidRPr="003337F3">
        <w:rPr>
          <w:szCs w:val="22"/>
          <w:lang w:val="ru-RU"/>
        </w:rPr>
        <w:t>Центр также сотрудничает с ВИС в разработке типовых соглашений в области НИОКР, содержащих положения об урегулировании споров</w:t>
      </w:r>
      <w:r w:rsidR="009F0236" w:rsidRPr="003337F3">
        <w:rPr>
          <w:lang w:val="ru-RU"/>
        </w:rPr>
        <w:t xml:space="preserve"> с применением механизмов посредничества и ускоренного арбитража ВОИС</w:t>
      </w:r>
      <w:r w:rsidR="00690D13" w:rsidRPr="003337F3">
        <w:rPr>
          <w:rStyle w:val="FootnoteReference"/>
        </w:rPr>
        <w:footnoteReference w:id="13"/>
      </w:r>
      <w:r w:rsidR="009F0236" w:rsidRPr="003337F3">
        <w:rPr>
          <w:lang w:val="ru-RU"/>
        </w:rPr>
        <w:t>.</w:t>
      </w:r>
    </w:p>
    <w:p w:rsidR="009B2316" w:rsidRPr="00EC6362" w:rsidRDefault="002354E5" w:rsidP="00207DB5">
      <w:pPr>
        <w:pStyle w:val="ListParagraph"/>
        <w:numPr>
          <w:ilvl w:val="0"/>
          <w:numId w:val="7"/>
        </w:numPr>
        <w:spacing w:after="240"/>
        <w:ind w:left="0" w:firstLine="0"/>
        <w:contextualSpacing w:val="0"/>
        <w:rPr>
          <w:szCs w:val="22"/>
          <w:lang w:val="ru-RU"/>
        </w:rPr>
      </w:pPr>
      <w:r w:rsidRPr="003337F3">
        <w:rPr>
          <w:szCs w:val="22"/>
          <w:lang w:val="ru-RU"/>
        </w:rPr>
        <w:t>В 2018 г. Центр опубликовал второе издание Руководства ВОИС по альтернативному урегулированию споров для ВИС и судебных органов, в котором нашел свое отражение накопленный Центром опыт</w:t>
      </w:r>
      <w:r w:rsidR="00690D13" w:rsidRPr="003337F3">
        <w:rPr>
          <w:rStyle w:val="FootnoteReference"/>
          <w:rFonts w:eastAsia="SimSun" w:cs="Arial"/>
          <w:iCs/>
          <w:lang w:eastAsia="ja-JP"/>
        </w:rPr>
        <w:footnoteReference w:id="14"/>
      </w:r>
      <w:r w:rsidRPr="003337F3">
        <w:rPr>
          <w:szCs w:val="22"/>
          <w:lang w:val="ru-RU"/>
        </w:rPr>
        <w:t>.</w:t>
      </w:r>
      <w:r w:rsidR="00F83CEE" w:rsidRPr="00EC6362">
        <w:rPr>
          <w:rStyle w:val="FootnoteReference"/>
          <w:rFonts w:cs="Arial"/>
          <w:iCs/>
          <w:lang w:val="ru-RU" w:eastAsia="ja-JP"/>
        </w:rPr>
        <w:t xml:space="preserve"> </w:t>
      </w:r>
      <w:r w:rsidRPr="003337F3">
        <w:rPr>
          <w:rFonts w:cs="Arial"/>
          <w:iCs/>
          <w:lang w:val="ru-RU" w:eastAsia="ja-JP"/>
        </w:rPr>
        <w:t>Это Руководство содержит общее описание механизмов АУС применительно к спорам, связанным с ИС, и предлагает заинтересованным ВИС и судебным органам варианты интеграции АУС в существующие процедуры деятельности. В Руководстве также описаны поддерживаемые Центром отношения сотрудничества и представлены примеры соответствующих типовых документов.</w:t>
      </w:r>
    </w:p>
    <w:p w:rsidR="009B2316" w:rsidRPr="00EC6362" w:rsidRDefault="003238EC" w:rsidP="00212E34">
      <w:pPr>
        <w:pStyle w:val="Heading3"/>
        <w:ind w:left="1701" w:hanging="567"/>
        <w:rPr>
          <w:lang w:val="ru-RU"/>
        </w:rPr>
      </w:pPr>
      <w:r w:rsidRPr="003337F3">
        <w:rPr>
          <w:lang w:val="ru-RU"/>
        </w:rPr>
        <w:t>Используемые ВОИС м</w:t>
      </w:r>
      <w:r w:rsidR="00C41B8E" w:rsidRPr="003337F3">
        <w:rPr>
          <w:lang w:val="ru-RU"/>
        </w:rPr>
        <w:t xml:space="preserve">еханизмы </w:t>
      </w:r>
      <w:r w:rsidRPr="003337F3">
        <w:rPr>
          <w:lang w:val="ru-RU"/>
        </w:rPr>
        <w:t xml:space="preserve">АУС для урегулирования споров, касающихся </w:t>
      </w:r>
      <w:r w:rsidR="009B2316" w:rsidRPr="003337F3">
        <w:t>FRAND</w:t>
      </w:r>
    </w:p>
    <w:p w:rsidR="00640B9A" w:rsidRPr="00EC6362" w:rsidRDefault="003238EC" w:rsidP="00B339DE">
      <w:pPr>
        <w:pStyle w:val="ListParagraph"/>
        <w:widowControl w:val="0"/>
        <w:numPr>
          <w:ilvl w:val="0"/>
          <w:numId w:val="7"/>
        </w:numPr>
        <w:spacing w:after="240"/>
        <w:ind w:left="0" w:firstLine="0"/>
        <w:contextualSpacing w:val="0"/>
        <w:rPr>
          <w:lang w:val="ru-RU"/>
        </w:rPr>
      </w:pPr>
      <w:r w:rsidRPr="003337F3">
        <w:rPr>
          <w:lang w:val="ru-RU"/>
        </w:rPr>
        <w:t>Для упрощения процедур передачи споров о справедливых, обоснованных и недискриминационных (</w:t>
      </w:r>
      <w:r w:rsidRPr="003337F3">
        <w:t>FRAND</w:t>
      </w:r>
      <w:r w:rsidRPr="00EC6362">
        <w:rPr>
          <w:lang w:val="ru-RU"/>
        </w:rPr>
        <w:t>)</w:t>
      </w:r>
      <w:r w:rsidR="00262A46" w:rsidRPr="003337F3">
        <w:rPr>
          <w:lang w:val="ru-RU"/>
        </w:rPr>
        <w:t xml:space="preserve"> условиях применительно к стандартообразующим патентам</w:t>
      </w:r>
      <w:r w:rsidRPr="003337F3">
        <w:rPr>
          <w:lang w:val="ru-RU"/>
        </w:rPr>
        <w:t xml:space="preserve"> </w:t>
      </w:r>
      <w:r w:rsidRPr="00EC6362">
        <w:rPr>
          <w:lang w:val="ru-RU"/>
        </w:rPr>
        <w:t>(</w:t>
      </w:r>
      <w:r w:rsidRPr="003337F3">
        <w:t>SEP</w:t>
      </w:r>
      <w:r w:rsidRPr="00EC6362">
        <w:rPr>
          <w:lang w:val="ru-RU"/>
        </w:rPr>
        <w:t xml:space="preserve">), </w:t>
      </w:r>
      <w:r w:rsidRPr="003337F3">
        <w:rPr>
          <w:lang w:val="ru-RU"/>
        </w:rPr>
        <w:t xml:space="preserve">на рассмотрение ВОИС в порядке АУС, Центр, действуя совместно с партнерами в сфере телекоммуникаций и экспертами по патентному арбитражу, разработал Руководство по использованию механизмов АУС ВОИС для определения условий </w:t>
      </w:r>
      <w:r w:rsidR="00640B9A" w:rsidRPr="003337F3">
        <w:t>FRAND</w:t>
      </w:r>
      <w:r w:rsidR="00640B9A" w:rsidRPr="003337F3">
        <w:rPr>
          <w:rStyle w:val="FootnoteReference"/>
        </w:rPr>
        <w:footnoteReference w:id="15"/>
      </w:r>
      <w:r w:rsidRPr="003337F3">
        <w:rPr>
          <w:lang w:val="ru-RU"/>
        </w:rPr>
        <w:t>.</w:t>
      </w:r>
      <w:r w:rsidR="00F83CEE" w:rsidRPr="00EC6362">
        <w:rPr>
          <w:lang w:val="ru-RU"/>
        </w:rPr>
        <w:t xml:space="preserve"> </w:t>
      </w:r>
      <w:r w:rsidR="00262A46" w:rsidRPr="003337F3">
        <w:rPr>
          <w:lang w:val="ru-RU"/>
        </w:rPr>
        <w:t xml:space="preserve">Опубликованное в 2017 г. это Руководство по использованию механизмов АУС ВОИС для определения условий </w:t>
      </w:r>
      <w:r w:rsidR="00262A46" w:rsidRPr="003337F3">
        <w:t>FRAND</w:t>
      </w:r>
      <w:r w:rsidR="00262A46" w:rsidRPr="003337F3">
        <w:rPr>
          <w:lang w:val="ru-RU"/>
        </w:rPr>
        <w:t xml:space="preserve"> призвано помочь сторонам споров и нейтральным сторонам лучше понять и использовать имеющиеся варианты урегулирования споров при ведении переговоров и заключении лицензионных соглашений на условиях </w:t>
      </w:r>
      <w:r w:rsidR="00262A46" w:rsidRPr="003337F3">
        <w:t>FRAND</w:t>
      </w:r>
      <w:r w:rsidR="00262A46" w:rsidRPr="003337F3">
        <w:rPr>
          <w:lang w:val="ru-RU"/>
        </w:rPr>
        <w:t>. Этот документ</w:t>
      </w:r>
      <w:r w:rsidR="00262A46" w:rsidRPr="00EC6362">
        <w:rPr>
          <w:lang w:val="ru-RU"/>
        </w:rPr>
        <w:t xml:space="preserve"> </w:t>
      </w:r>
      <w:r w:rsidR="00262A46" w:rsidRPr="003337F3">
        <w:rPr>
          <w:lang w:val="ru-RU"/>
        </w:rPr>
        <w:t xml:space="preserve">содержит ключевые элементы, которые стороны могут использовать для построения процесса АУС, особенно когда речь идет о крупных портфелях </w:t>
      </w:r>
      <w:r w:rsidR="00262A46" w:rsidRPr="003337F3">
        <w:t>SEP</w:t>
      </w:r>
      <w:r w:rsidR="00262A46" w:rsidRPr="003337F3">
        <w:rPr>
          <w:lang w:val="ru-RU"/>
        </w:rPr>
        <w:t xml:space="preserve">, а также для оптимизации времени и затрат, связанных с </w:t>
      </w:r>
      <w:r w:rsidR="00262A46" w:rsidRPr="003337F3">
        <w:rPr>
          <w:lang w:val="ru-RU"/>
        </w:rPr>
        <w:lastRenderedPageBreak/>
        <w:t xml:space="preserve">рассмотрением споров.  В него также включены специализированные типовые соглашения для передачи споров о </w:t>
      </w:r>
      <w:r w:rsidR="00262A46" w:rsidRPr="003337F3">
        <w:t>FRAND</w:t>
      </w:r>
      <w:r w:rsidR="00262A46" w:rsidRPr="00EC6362">
        <w:rPr>
          <w:lang w:val="ru-RU"/>
        </w:rPr>
        <w:t xml:space="preserve"> </w:t>
      </w:r>
      <w:r w:rsidR="00262A46" w:rsidRPr="003337F3">
        <w:rPr>
          <w:lang w:val="ru-RU"/>
        </w:rPr>
        <w:t>в ВОИС для их рассмотрения в порядке посредничеств или арбитража</w:t>
      </w:r>
      <w:r w:rsidR="00640B9A" w:rsidRPr="00EC6362">
        <w:rPr>
          <w:lang w:val="ru-RU"/>
        </w:rPr>
        <w:t xml:space="preserve">. </w:t>
      </w:r>
    </w:p>
    <w:p w:rsidR="00BF59A8" w:rsidRPr="00EC6362" w:rsidRDefault="007F1C90" w:rsidP="00212E34">
      <w:pPr>
        <w:pStyle w:val="Heading3"/>
        <w:ind w:left="1701" w:hanging="567"/>
        <w:rPr>
          <w:lang w:val="ru-RU"/>
        </w:rPr>
      </w:pPr>
      <w:r w:rsidRPr="003337F3">
        <w:rPr>
          <w:lang w:val="ru-RU"/>
        </w:rPr>
        <w:t>Урегулирование споров, возникающих в связи с проведением торговых ярмарок</w:t>
      </w:r>
    </w:p>
    <w:p w:rsidR="00B339DE" w:rsidRPr="003D6FBB" w:rsidRDefault="007F1C90" w:rsidP="00B339DE">
      <w:pPr>
        <w:pStyle w:val="ListParagraph"/>
        <w:numPr>
          <w:ilvl w:val="0"/>
          <w:numId w:val="7"/>
        </w:numPr>
        <w:tabs>
          <w:tab w:val="left" w:pos="567"/>
        </w:tabs>
        <w:spacing w:after="240"/>
        <w:ind w:left="0" w:firstLine="0"/>
        <w:contextualSpacing w:val="0"/>
        <w:rPr>
          <w:rStyle w:val="ONUMEChar"/>
          <w:rFonts w:eastAsia="Times New Roman" w:cs="Times New Roman"/>
          <w:b/>
          <w:lang w:val="ru-RU" w:eastAsia="en-US"/>
        </w:rPr>
      </w:pPr>
      <w:r w:rsidRPr="003337F3">
        <w:rPr>
          <w:szCs w:val="22"/>
          <w:lang w:val="ru-RU"/>
        </w:rPr>
        <w:t>Сотрудничая с другими организаторами торговых ярмарок, Центр предоставляет рекомендации в отношении урегулирования споров и оказывает соответствующие услуги, помогая сторонам разрешать споры по вопросам ИС, возникающие в связи с проведением торговых ярмарок, что избавляет их от необходимости обращаться в суд во время проведения таких мероприятий</w:t>
      </w:r>
      <w:r w:rsidR="003151C8" w:rsidRPr="003337F3">
        <w:rPr>
          <w:rStyle w:val="FootnoteReference"/>
          <w:szCs w:val="22"/>
        </w:rPr>
        <w:footnoteReference w:id="16"/>
      </w:r>
      <w:r w:rsidRPr="003337F3">
        <w:rPr>
          <w:szCs w:val="22"/>
          <w:lang w:val="ru-RU"/>
        </w:rPr>
        <w:t>.</w:t>
      </w:r>
      <w:r w:rsidR="00F83CEE" w:rsidRPr="00EC6362">
        <w:rPr>
          <w:szCs w:val="22"/>
          <w:lang w:val="ru-RU"/>
        </w:rPr>
        <w:t xml:space="preserve"> </w:t>
      </w:r>
      <w:r w:rsidRPr="003337F3">
        <w:rPr>
          <w:szCs w:val="22"/>
          <w:lang w:val="ru-RU"/>
        </w:rPr>
        <w:t xml:space="preserve">За время, прошедшее после Ассамблей 2017 г., Центр принял участие в урегулировании споров в рамках Процедуры ВОИС для ускоренного разрешения споров по вопросам ИС в связи с проведением торговых ярмарок в центре </w:t>
      </w:r>
      <w:proofErr w:type="spellStart"/>
      <w:r w:rsidR="003151C8" w:rsidRPr="003337F3">
        <w:rPr>
          <w:szCs w:val="22"/>
        </w:rPr>
        <w:t>Palexpo</w:t>
      </w:r>
      <w:proofErr w:type="spellEnd"/>
      <w:r w:rsidR="003151C8" w:rsidRPr="00EC6362">
        <w:rPr>
          <w:szCs w:val="22"/>
          <w:lang w:val="ru-RU"/>
        </w:rPr>
        <w:t xml:space="preserve"> </w:t>
      </w:r>
      <w:r w:rsidRPr="003337F3">
        <w:rPr>
          <w:szCs w:val="22"/>
          <w:lang w:val="ru-RU"/>
        </w:rPr>
        <w:t>в Женеве</w:t>
      </w:r>
      <w:r w:rsidR="00483FA0" w:rsidRPr="003337F3">
        <w:rPr>
          <w:rStyle w:val="FootnoteReference"/>
          <w:szCs w:val="22"/>
        </w:rPr>
        <w:footnoteReference w:id="17"/>
      </w:r>
      <w:r w:rsidRPr="003337F3">
        <w:rPr>
          <w:szCs w:val="22"/>
          <w:lang w:val="ru-RU"/>
        </w:rPr>
        <w:t>.</w:t>
      </w:r>
      <w:r w:rsidR="00F83CEE" w:rsidRPr="00EC6362">
        <w:rPr>
          <w:szCs w:val="22"/>
          <w:lang w:val="ru-RU"/>
        </w:rPr>
        <w:t xml:space="preserve"> </w:t>
      </w:r>
      <w:r w:rsidRPr="003337F3">
        <w:rPr>
          <w:szCs w:val="22"/>
          <w:lang w:val="ru-RU"/>
        </w:rPr>
        <w:t>Центр также сотруднича</w:t>
      </w:r>
      <w:r w:rsidR="001D2E7F" w:rsidRPr="003337F3">
        <w:rPr>
          <w:szCs w:val="22"/>
          <w:lang w:val="ru-RU"/>
        </w:rPr>
        <w:t>ет</w:t>
      </w:r>
      <w:r w:rsidRPr="003337F3">
        <w:rPr>
          <w:szCs w:val="22"/>
          <w:lang w:val="ru-RU"/>
        </w:rPr>
        <w:t xml:space="preserve"> с </w:t>
      </w:r>
      <w:r w:rsidR="001D2E7F" w:rsidRPr="003337F3">
        <w:rPr>
          <w:szCs w:val="22"/>
          <w:lang w:val="ru-RU"/>
        </w:rPr>
        <w:t xml:space="preserve">компанией </w:t>
      </w:r>
      <w:proofErr w:type="spellStart"/>
      <w:r w:rsidR="001D2E7F" w:rsidRPr="003337F3">
        <w:rPr>
          <w:szCs w:val="22"/>
        </w:rPr>
        <w:t>SingEx</w:t>
      </w:r>
      <w:proofErr w:type="spellEnd"/>
      <w:r w:rsidR="001D2E7F" w:rsidRPr="003D6FBB">
        <w:rPr>
          <w:szCs w:val="22"/>
          <w:lang w:val="ru-RU"/>
        </w:rPr>
        <w:t xml:space="preserve">, </w:t>
      </w:r>
      <w:r w:rsidRPr="003337F3">
        <w:rPr>
          <w:szCs w:val="22"/>
          <w:lang w:val="ru-RU"/>
        </w:rPr>
        <w:t>организатором торговых ярмарок в Сингапуре</w:t>
      </w:r>
      <w:r w:rsidR="001D2E7F" w:rsidRPr="003337F3">
        <w:rPr>
          <w:szCs w:val="22"/>
          <w:lang w:val="ru-RU"/>
        </w:rPr>
        <w:t xml:space="preserve">, помогая ей разрабатывать адаптированную с учетом потребностей фирмы процедуру </w:t>
      </w:r>
      <w:r w:rsidRPr="003337F3">
        <w:rPr>
          <w:szCs w:val="22"/>
          <w:lang w:val="ru-RU"/>
        </w:rPr>
        <w:t xml:space="preserve"> </w:t>
      </w:r>
      <w:r w:rsidR="001D2E7F" w:rsidRPr="003337F3">
        <w:rPr>
          <w:szCs w:val="22"/>
          <w:lang w:val="ru-RU"/>
        </w:rPr>
        <w:t xml:space="preserve">ВОИС для ускоренного разрешения споров, работа над которой будет завершена к следующей торговой ярмарке в 2018 г. </w:t>
      </w:r>
      <w:r w:rsidR="00DD4E9F" w:rsidRPr="003337F3">
        <w:rPr>
          <w:szCs w:val="22"/>
          <w:lang w:val="ru-RU"/>
        </w:rPr>
        <w:br/>
      </w:r>
    </w:p>
    <w:p w:rsidR="00BF59A8" w:rsidRPr="00EC6362" w:rsidRDefault="00BF59A8" w:rsidP="008E0A66">
      <w:pPr>
        <w:pStyle w:val="Heading1"/>
        <w:spacing w:after="240"/>
        <w:rPr>
          <w:lang w:val="ru-RU"/>
        </w:rPr>
      </w:pPr>
      <w:r w:rsidRPr="003337F3">
        <w:t>II</w:t>
      </w:r>
      <w:r w:rsidRPr="00EC6362">
        <w:rPr>
          <w:lang w:val="ru-RU"/>
        </w:rPr>
        <w:t>.</w:t>
      </w:r>
      <w:r w:rsidRPr="00EC6362">
        <w:rPr>
          <w:lang w:val="ru-RU"/>
        </w:rPr>
        <w:tab/>
      </w:r>
      <w:r w:rsidR="00DD4E9F" w:rsidRPr="00EC6362">
        <w:rPr>
          <w:lang w:val="ru-RU"/>
        </w:rPr>
        <w:t>РАССМОТРЕНИЕ СПОРОВ, СВЯЗАННЫХ С ДОМЕННЫМИ ИМЕНАМИ</w:t>
      </w:r>
    </w:p>
    <w:p w:rsidR="00BF59A8" w:rsidRPr="003337F3" w:rsidRDefault="00BF59A8" w:rsidP="004C6545">
      <w:pPr>
        <w:pStyle w:val="Heading2"/>
      </w:pPr>
      <w:r w:rsidRPr="003337F3">
        <w:t>A.</w:t>
      </w:r>
      <w:r w:rsidRPr="003337F3">
        <w:tab/>
      </w:r>
      <w:r w:rsidR="00DD4E9F" w:rsidRPr="003337F3">
        <w:rPr>
          <w:lang w:val="ru-RU"/>
        </w:rPr>
        <w:t>ЕПУС</w:t>
      </w:r>
    </w:p>
    <w:p w:rsidR="00BF59A8" w:rsidRPr="00EC6362" w:rsidRDefault="00DD4E9F" w:rsidP="00B339DE">
      <w:pPr>
        <w:pStyle w:val="ListParagraph"/>
        <w:numPr>
          <w:ilvl w:val="0"/>
          <w:numId w:val="7"/>
        </w:numPr>
        <w:spacing w:before="240" w:after="240"/>
        <w:ind w:left="0" w:firstLine="0"/>
        <w:contextualSpacing w:val="0"/>
        <w:rPr>
          <w:szCs w:val="24"/>
          <w:lang w:val="ru-RU"/>
        </w:rPr>
      </w:pPr>
      <w:r w:rsidRPr="003337F3">
        <w:rPr>
          <w:szCs w:val="24"/>
          <w:lang w:val="ru-RU"/>
        </w:rPr>
        <w:t>Существование системы доменных имен (</w:t>
      </w:r>
      <w:r w:rsidRPr="003337F3">
        <w:rPr>
          <w:szCs w:val="24"/>
        </w:rPr>
        <w:t>DNS</w:t>
      </w:r>
      <w:r w:rsidRPr="003337F3">
        <w:rPr>
          <w:szCs w:val="24"/>
          <w:lang w:val="ru-RU"/>
        </w:rPr>
        <w:t>) создает ряд проблем, связанных с охраной ИС, решение которых, в силу глобальной природы Интернета, требует международного подхода</w:t>
      </w:r>
      <w:r w:rsidR="008E6339" w:rsidRPr="00EC6362">
        <w:rPr>
          <w:szCs w:val="24"/>
          <w:lang w:val="ru-RU"/>
        </w:rPr>
        <w:t xml:space="preserve">. </w:t>
      </w:r>
      <w:r w:rsidRPr="003337F3">
        <w:rPr>
          <w:szCs w:val="24"/>
          <w:lang w:val="ru-RU"/>
        </w:rPr>
        <w:t>ВОИС занимается решением этих проблем с 1998 г., разрабатывая конкретные решения, из которых особого упоминания заслуживают Первый</w:t>
      </w:r>
      <w:r w:rsidR="00BF59A8" w:rsidRPr="003337F3">
        <w:rPr>
          <w:rStyle w:val="FootnoteReference"/>
          <w:rFonts w:eastAsia="SimSun"/>
          <w:szCs w:val="24"/>
        </w:rPr>
        <w:footnoteReference w:id="18"/>
      </w:r>
      <w:r w:rsidR="00BF59A8" w:rsidRPr="00EC6362">
        <w:rPr>
          <w:szCs w:val="24"/>
          <w:lang w:val="ru-RU"/>
        </w:rPr>
        <w:t xml:space="preserve"> </w:t>
      </w:r>
      <w:r w:rsidR="00EE0984" w:rsidRPr="003337F3">
        <w:rPr>
          <w:szCs w:val="24"/>
          <w:lang w:val="ru-RU"/>
        </w:rPr>
        <w:t>и Второй</w:t>
      </w:r>
      <w:r w:rsidR="00BF59A8" w:rsidRPr="003337F3">
        <w:rPr>
          <w:rStyle w:val="FootnoteReference"/>
          <w:rFonts w:eastAsia="SimSun"/>
          <w:szCs w:val="24"/>
        </w:rPr>
        <w:footnoteReference w:id="19"/>
      </w:r>
      <w:r w:rsidR="00BF59A8" w:rsidRPr="00EC6362">
        <w:rPr>
          <w:szCs w:val="24"/>
          <w:lang w:val="ru-RU"/>
        </w:rPr>
        <w:t xml:space="preserve"> </w:t>
      </w:r>
      <w:r w:rsidR="00EE0984" w:rsidRPr="003337F3">
        <w:rPr>
          <w:szCs w:val="24"/>
          <w:lang w:val="ru-RU"/>
        </w:rPr>
        <w:t>процессы ВОИС по доменным именам в Интернете</w:t>
      </w:r>
      <w:r w:rsidR="008E6339" w:rsidRPr="00EC6362">
        <w:rPr>
          <w:szCs w:val="24"/>
          <w:lang w:val="ru-RU"/>
        </w:rPr>
        <w:t xml:space="preserve">. </w:t>
      </w:r>
      <w:r w:rsidR="00EE0984" w:rsidRPr="003337F3">
        <w:rPr>
          <w:szCs w:val="24"/>
          <w:lang w:val="ru-RU"/>
        </w:rPr>
        <w:t>Действуя через Центр, ВОИС предлагает владельцам товарных знаков эффективные международные механизмы противодействия недобросовестной регистрации и использованию доменных имен, соответствующие их правам на товарные знаки</w:t>
      </w:r>
      <w:r w:rsidR="008E6339" w:rsidRPr="00EC6362">
        <w:rPr>
          <w:szCs w:val="24"/>
          <w:lang w:val="ru-RU"/>
        </w:rPr>
        <w:t xml:space="preserve">. </w:t>
      </w:r>
      <w:r w:rsidR="00EE0984" w:rsidRPr="003337F3">
        <w:rPr>
          <w:szCs w:val="24"/>
          <w:lang w:val="ru-RU"/>
        </w:rPr>
        <w:t xml:space="preserve">Главный из таких механизмов, применяемых Центром, ЕПУС, была принята </w:t>
      </w:r>
      <w:r w:rsidR="00EE0984" w:rsidRPr="003337F3">
        <w:rPr>
          <w:szCs w:val="24"/>
        </w:rPr>
        <w:t>ICANN</w:t>
      </w:r>
      <w:r w:rsidR="00EE0984" w:rsidRPr="003337F3">
        <w:rPr>
          <w:szCs w:val="24"/>
          <w:lang w:val="ru-RU"/>
        </w:rPr>
        <w:t xml:space="preserve"> на основе рекомендаций, вынесенных ВОИС в рамках Первого процесса ВОИС по доменным именам в Интернете</w:t>
      </w:r>
      <w:r w:rsidR="00BF59A8" w:rsidRPr="00EC6362">
        <w:rPr>
          <w:szCs w:val="24"/>
          <w:lang w:val="ru-RU"/>
        </w:rPr>
        <w:t>.</w:t>
      </w:r>
    </w:p>
    <w:p w:rsidR="004D6A80" w:rsidRPr="00EC6362" w:rsidRDefault="00EE0984" w:rsidP="00B339DE">
      <w:pPr>
        <w:pStyle w:val="ListParagraph"/>
        <w:numPr>
          <w:ilvl w:val="0"/>
          <w:numId w:val="7"/>
        </w:numPr>
        <w:spacing w:after="240"/>
        <w:ind w:left="0" w:firstLine="0"/>
        <w:contextualSpacing w:val="0"/>
        <w:rPr>
          <w:szCs w:val="24"/>
          <w:lang w:val="ru-RU"/>
        </w:rPr>
      </w:pPr>
      <w:r w:rsidRPr="003337F3">
        <w:rPr>
          <w:szCs w:val="24"/>
          <w:lang w:val="ru-RU"/>
        </w:rPr>
        <w:t>Ограниченная случаями явно недобросовестного использования доменных имен, ЕПУС подтвердила свою востребованность для владельцев товарных знаков</w:t>
      </w:r>
      <w:r w:rsidR="00BF59A8" w:rsidRPr="003337F3">
        <w:rPr>
          <w:rStyle w:val="FootnoteReference"/>
          <w:rFonts w:eastAsia="SimSun"/>
          <w:szCs w:val="24"/>
        </w:rPr>
        <w:footnoteReference w:id="20"/>
      </w:r>
      <w:r w:rsidR="008E6339" w:rsidRPr="003337F3">
        <w:rPr>
          <w:szCs w:val="24"/>
          <w:lang w:val="ru-RU"/>
        </w:rPr>
        <w:t xml:space="preserve">. </w:t>
      </w:r>
      <w:r w:rsidRPr="003337F3">
        <w:rPr>
          <w:szCs w:val="24"/>
          <w:lang w:val="ru-RU"/>
        </w:rPr>
        <w:t>С декабря 1999 г. Центр рассмотрел с применением ЕПУС более 41 000 споров</w:t>
      </w:r>
      <w:r w:rsidR="00BF59A8" w:rsidRPr="003337F3">
        <w:rPr>
          <w:vertAlign w:val="superscript"/>
        </w:rPr>
        <w:footnoteReference w:id="21"/>
      </w:r>
      <w:r w:rsidR="008E6339" w:rsidRPr="003337F3">
        <w:rPr>
          <w:szCs w:val="24"/>
          <w:lang w:val="ru-RU"/>
        </w:rPr>
        <w:t xml:space="preserve">. </w:t>
      </w:r>
      <w:r w:rsidRPr="003337F3">
        <w:rPr>
          <w:szCs w:val="24"/>
          <w:lang w:val="ru-RU"/>
        </w:rPr>
        <w:t xml:space="preserve">В 2016 г. </w:t>
      </w:r>
      <w:r w:rsidRPr="003337F3">
        <w:rPr>
          <w:szCs w:val="24"/>
          <w:lang w:val="ru-RU"/>
        </w:rPr>
        <w:lastRenderedPageBreak/>
        <w:t>владельцы товарных знаков подали в Центр</w:t>
      </w:r>
      <w:r w:rsidRPr="00EC6362">
        <w:rPr>
          <w:szCs w:val="24"/>
          <w:lang w:val="ru-RU"/>
        </w:rPr>
        <w:t xml:space="preserve"> 3</w:t>
      </w:r>
      <w:r w:rsidRPr="003337F3">
        <w:rPr>
          <w:szCs w:val="24"/>
          <w:lang w:val="ru-RU"/>
        </w:rPr>
        <w:t xml:space="preserve"> </w:t>
      </w:r>
      <w:r w:rsidR="0030201F" w:rsidRPr="00EC6362">
        <w:rPr>
          <w:szCs w:val="24"/>
          <w:lang w:val="ru-RU"/>
        </w:rPr>
        <w:t>074</w:t>
      </w:r>
      <w:r w:rsidR="00BF59A8" w:rsidRPr="00EC6362">
        <w:rPr>
          <w:szCs w:val="24"/>
          <w:lang w:val="ru-RU"/>
        </w:rPr>
        <w:t xml:space="preserve"> </w:t>
      </w:r>
      <w:r w:rsidRPr="003337F3">
        <w:rPr>
          <w:szCs w:val="24"/>
          <w:lang w:val="ru-RU"/>
        </w:rPr>
        <w:t>жалобы, основанные на положениях ЕПУС</w:t>
      </w:r>
      <w:r w:rsidRPr="00EC6362">
        <w:rPr>
          <w:szCs w:val="24"/>
          <w:lang w:val="ru-RU"/>
        </w:rPr>
        <w:t>;</w:t>
      </w:r>
      <w:r w:rsidRPr="003337F3">
        <w:rPr>
          <w:szCs w:val="24"/>
          <w:lang w:val="ru-RU"/>
        </w:rPr>
        <w:t xml:space="preserve"> и </w:t>
      </w:r>
      <w:r w:rsidR="001D2E7F" w:rsidRPr="003337F3">
        <w:rPr>
          <w:szCs w:val="24"/>
          <w:lang w:val="ru-RU"/>
        </w:rPr>
        <w:t xml:space="preserve">при </w:t>
      </w:r>
      <w:r w:rsidRPr="003337F3">
        <w:rPr>
          <w:szCs w:val="24"/>
          <w:lang w:val="ru-RU"/>
        </w:rPr>
        <w:t>этом число жалоб в области доменных имен</w:t>
      </w:r>
      <w:r w:rsidRPr="00EC6362">
        <w:rPr>
          <w:szCs w:val="24"/>
          <w:lang w:val="ru-RU"/>
        </w:rPr>
        <w:t xml:space="preserve"> </w:t>
      </w:r>
      <w:r w:rsidRPr="003337F3">
        <w:rPr>
          <w:szCs w:val="24"/>
          <w:lang w:val="ru-RU"/>
        </w:rPr>
        <w:t>второй год подряд превысило отметку в 3 000 за один год</w:t>
      </w:r>
      <w:r w:rsidR="008E6339" w:rsidRPr="00EC6362">
        <w:rPr>
          <w:szCs w:val="24"/>
          <w:lang w:val="ru-RU"/>
        </w:rPr>
        <w:t xml:space="preserve">. </w:t>
      </w:r>
      <w:r w:rsidR="0070036D" w:rsidRPr="003337F3">
        <w:rPr>
          <w:szCs w:val="24"/>
          <w:lang w:val="ru-RU"/>
        </w:rPr>
        <w:t xml:space="preserve">К концу июня </w:t>
      </w:r>
      <w:r w:rsidR="00264B78" w:rsidRPr="00EC6362">
        <w:rPr>
          <w:szCs w:val="24"/>
          <w:lang w:val="ru-RU"/>
        </w:rPr>
        <w:t>2018</w:t>
      </w:r>
      <w:r w:rsidR="0070036D" w:rsidRPr="003337F3">
        <w:rPr>
          <w:szCs w:val="24"/>
          <w:lang w:val="ru-RU"/>
        </w:rPr>
        <w:t xml:space="preserve"> г. общее число доменных имен, ставших предметом споров, урегулированных на основе ЕПУС ВОИС, составило почти </w:t>
      </w:r>
      <w:r w:rsidR="0030201F" w:rsidRPr="00EC6362">
        <w:rPr>
          <w:szCs w:val="24"/>
          <w:lang w:val="ru-RU"/>
        </w:rPr>
        <w:t>76</w:t>
      </w:r>
      <w:r w:rsidR="0070036D" w:rsidRPr="003337F3">
        <w:rPr>
          <w:szCs w:val="24"/>
          <w:lang w:val="ru-RU"/>
        </w:rPr>
        <w:t> </w:t>
      </w:r>
      <w:r w:rsidR="00BF59A8" w:rsidRPr="00EC6362">
        <w:rPr>
          <w:szCs w:val="24"/>
          <w:lang w:val="ru-RU"/>
        </w:rPr>
        <w:t>000</w:t>
      </w:r>
      <w:r w:rsidR="00264B78" w:rsidRPr="00EC6362">
        <w:rPr>
          <w:szCs w:val="24"/>
          <w:lang w:val="ru-RU"/>
        </w:rPr>
        <w:t>.</w:t>
      </w:r>
    </w:p>
    <w:p w:rsidR="004D6A80" w:rsidRPr="00EC6362" w:rsidRDefault="0070036D" w:rsidP="00B339DE">
      <w:pPr>
        <w:pStyle w:val="ListParagraph"/>
        <w:numPr>
          <w:ilvl w:val="0"/>
          <w:numId w:val="7"/>
        </w:numPr>
        <w:spacing w:after="240"/>
        <w:ind w:left="0" w:firstLine="0"/>
        <w:contextualSpacing w:val="0"/>
        <w:rPr>
          <w:szCs w:val="24"/>
          <w:lang w:val="ru-RU"/>
        </w:rPr>
      </w:pPr>
      <w:r w:rsidRPr="003337F3">
        <w:rPr>
          <w:szCs w:val="24"/>
          <w:lang w:val="ru-RU"/>
        </w:rPr>
        <w:t>В 2017 г. процедурам Центра по разрешению споров обращались клиенты самых разных категорий: как предприятия и учреждения, так и частные лица</w:t>
      </w:r>
      <w:r w:rsidR="008E6339" w:rsidRPr="00EC6362">
        <w:rPr>
          <w:szCs w:val="24"/>
          <w:lang w:val="ru-RU"/>
        </w:rPr>
        <w:t xml:space="preserve">. </w:t>
      </w:r>
      <w:r w:rsidRPr="003337F3">
        <w:rPr>
          <w:szCs w:val="24"/>
          <w:lang w:val="ru-RU"/>
        </w:rPr>
        <w:t>Наибольшее число запросов поступило из отрасли банковских и финансовых услуг, индустрии моды, сектора интернет-услуг и информационных технологий, тяжелой промышленности и машиностроения</w:t>
      </w:r>
      <w:r w:rsidR="00BF59A8" w:rsidRPr="00EC6362">
        <w:rPr>
          <w:szCs w:val="24"/>
          <w:lang w:val="ru-RU"/>
        </w:rPr>
        <w:t>,</w:t>
      </w:r>
      <w:r w:rsidR="00235972" w:rsidRPr="00EC6362">
        <w:rPr>
          <w:szCs w:val="24"/>
          <w:lang w:val="ru-RU"/>
        </w:rPr>
        <w:t xml:space="preserve"> </w:t>
      </w:r>
      <w:r w:rsidRPr="003337F3">
        <w:rPr>
          <w:szCs w:val="24"/>
          <w:lang w:val="ru-RU"/>
        </w:rPr>
        <w:t>сектора продуктов питания, напитков и ресторанов, розничной торговли, а также биотехнологии и фармацевтики</w:t>
      </w:r>
      <w:r w:rsidR="008E6339" w:rsidRPr="003337F3">
        <w:rPr>
          <w:szCs w:val="24"/>
          <w:lang w:val="ru-RU"/>
        </w:rPr>
        <w:t xml:space="preserve">. </w:t>
      </w:r>
      <w:r w:rsidR="001D2E7F" w:rsidRPr="003337F3">
        <w:rPr>
          <w:szCs w:val="24"/>
          <w:lang w:val="ru-RU"/>
        </w:rPr>
        <w:t xml:space="preserve">Следует отметить, что в заявлениях, поступивших от правообладателей, представляющих банковский и финансовый сектора, предметами споров были </w:t>
      </w:r>
      <w:r w:rsidR="0023629A" w:rsidRPr="003337F3">
        <w:rPr>
          <w:szCs w:val="24"/>
          <w:lang w:val="ru-RU"/>
        </w:rPr>
        <w:t xml:space="preserve">предполагаемые </w:t>
      </w:r>
      <w:r w:rsidR="001D2E7F" w:rsidRPr="003337F3">
        <w:rPr>
          <w:szCs w:val="24"/>
          <w:lang w:val="ru-RU"/>
        </w:rPr>
        <w:t>случаи мошенничества с использованием электронной почты</w:t>
      </w:r>
      <w:r w:rsidR="0023629A" w:rsidRPr="003337F3">
        <w:rPr>
          <w:szCs w:val="24"/>
          <w:lang w:val="ru-RU"/>
        </w:rPr>
        <w:t xml:space="preserve"> и «фишинга», действия, совершаемые нарушителями под видом законного пользователя, и другие виды незаконного использования предназначенных для потребителей веб-сайтов, связанные с оспариваемыми доменными именами.  </w:t>
      </w:r>
    </w:p>
    <w:p w:rsidR="00BF59A8" w:rsidRPr="00EC6362" w:rsidRDefault="00F83CEE" w:rsidP="00B339DE">
      <w:pPr>
        <w:pStyle w:val="ListParagraph"/>
        <w:numPr>
          <w:ilvl w:val="0"/>
          <w:numId w:val="7"/>
        </w:numPr>
        <w:spacing w:after="240"/>
        <w:ind w:left="0" w:firstLine="0"/>
        <w:contextualSpacing w:val="0"/>
        <w:rPr>
          <w:szCs w:val="24"/>
          <w:lang w:val="ru-RU"/>
        </w:rPr>
      </w:pPr>
      <w:r w:rsidRPr="00EC6362">
        <w:rPr>
          <w:szCs w:val="24"/>
          <w:lang w:val="ru-RU"/>
        </w:rPr>
        <w:t xml:space="preserve"> </w:t>
      </w:r>
      <w:r w:rsidR="0070036D" w:rsidRPr="003337F3">
        <w:rPr>
          <w:szCs w:val="24"/>
          <w:lang w:val="ru-RU"/>
        </w:rPr>
        <w:t>За период до конца 2017 г. стороны споров, рассматриваемых в ВОИС, представляли 178 стран, что говорит о поистине глобальной сфере охвата этого механизма разрешения споров</w:t>
      </w:r>
      <w:r w:rsidR="008E6339" w:rsidRPr="00EC6362">
        <w:rPr>
          <w:szCs w:val="24"/>
          <w:lang w:val="ru-RU"/>
        </w:rPr>
        <w:t xml:space="preserve">. </w:t>
      </w:r>
      <w:r w:rsidR="0070036D" w:rsidRPr="003337F3">
        <w:rPr>
          <w:szCs w:val="24"/>
          <w:lang w:val="ru-RU"/>
        </w:rPr>
        <w:t>Что касается языка соответствующих соглашений о регистрации оспариваемых доменных имен, то процедуры ВОИС на основе ЕПУС проводились на 21 языке</w:t>
      </w:r>
      <w:r w:rsidR="00BF59A8" w:rsidRPr="003337F3">
        <w:rPr>
          <w:rStyle w:val="FootnoteReference"/>
          <w:rFonts w:eastAsia="SimSun"/>
          <w:szCs w:val="24"/>
        </w:rPr>
        <w:footnoteReference w:id="22"/>
      </w:r>
      <w:r w:rsidR="0070036D" w:rsidRPr="003337F3">
        <w:rPr>
          <w:szCs w:val="24"/>
          <w:lang w:val="ru-RU"/>
        </w:rPr>
        <w:t>.</w:t>
      </w:r>
    </w:p>
    <w:p w:rsidR="00BF59A8" w:rsidRPr="00EC6362" w:rsidRDefault="0070036D" w:rsidP="00B339DE">
      <w:pPr>
        <w:pStyle w:val="ListParagraph"/>
        <w:numPr>
          <w:ilvl w:val="0"/>
          <w:numId w:val="7"/>
        </w:numPr>
        <w:spacing w:after="240"/>
        <w:ind w:left="0" w:firstLine="0"/>
        <w:contextualSpacing w:val="0"/>
        <w:rPr>
          <w:szCs w:val="24"/>
          <w:lang w:val="ru-RU"/>
        </w:rPr>
      </w:pPr>
      <w:r w:rsidRPr="003337F3">
        <w:rPr>
          <w:szCs w:val="24"/>
          <w:lang w:val="ru-RU"/>
        </w:rPr>
        <w:t>Все решения экспертных комиссий ЕПУС ВОИС публикуются на веб-сайте Центра</w:t>
      </w:r>
      <w:r w:rsidR="008E6339" w:rsidRPr="00EC6362">
        <w:rPr>
          <w:szCs w:val="24"/>
          <w:lang w:val="ru-RU"/>
        </w:rPr>
        <w:t xml:space="preserve">. </w:t>
      </w:r>
      <w:r w:rsidRPr="003337F3">
        <w:rPr>
          <w:lang w:val="ru-RU"/>
        </w:rPr>
        <w:t>В 2017 г. н</w:t>
      </w:r>
      <w:r w:rsidRPr="003337F3">
        <w:rPr>
          <w:szCs w:val="24"/>
          <w:lang w:val="ru-RU"/>
        </w:rPr>
        <w:t xml:space="preserve">а странице Центра также было опубликовано третье издание «Обзора мнений </w:t>
      </w:r>
      <w:r w:rsidR="0023629A" w:rsidRPr="003337F3">
        <w:rPr>
          <w:szCs w:val="24"/>
          <w:lang w:val="ru-RU"/>
        </w:rPr>
        <w:t xml:space="preserve">экспертных </w:t>
      </w:r>
      <w:r w:rsidRPr="003337F3">
        <w:rPr>
          <w:szCs w:val="24"/>
          <w:lang w:val="ru-RU"/>
        </w:rPr>
        <w:t xml:space="preserve">комиссий ВОИС по </w:t>
      </w:r>
      <w:r w:rsidR="0023629A" w:rsidRPr="003337F3">
        <w:rPr>
          <w:szCs w:val="24"/>
          <w:lang w:val="ru-RU"/>
        </w:rPr>
        <w:t>отдельным</w:t>
      </w:r>
      <w:r w:rsidRPr="003337F3">
        <w:rPr>
          <w:szCs w:val="24"/>
          <w:lang w:val="ru-RU"/>
        </w:rPr>
        <w:t xml:space="preserve"> вопросам</w:t>
      </w:r>
      <w:r w:rsidR="0023629A" w:rsidRPr="003337F3">
        <w:rPr>
          <w:szCs w:val="24"/>
          <w:lang w:val="ru-RU"/>
        </w:rPr>
        <w:t>, рассмотренным на основе</w:t>
      </w:r>
      <w:r w:rsidRPr="003337F3">
        <w:rPr>
          <w:szCs w:val="24"/>
          <w:lang w:val="ru-RU"/>
        </w:rPr>
        <w:t xml:space="preserve"> ЕПУС» (WIPO Overview 3.0</w:t>
      </w:r>
      <w:r w:rsidR="00BF59A8" w:rsidRPr="00EC6362">
        <w:rPr>
          <w:lang w:val="ru-RU"/>
        </w:rPr>
        <w:t>)</w:t>
      </w:r>
      <w:r w:rsidR="0023629A" w:rsidRPr="003337F3">
        <w:rPr>
          <w:lang w:val="ru-RU"/>
        </w:rPr>
        <w:t xml:space="preserve">, которое </w:t>
      </w:r>
      <w:r w:rsidR="002D49EB" w:rsidRPr="003337F3">
        <w:rPr>
          <w:lang w:val="ru-RU"/>
        </w:rPr>
        <w:t>упоминается в целом ряде публикаций и используется при организации многих мероприятий</w:t>
      </w:r>
      <w:r w:rsidR="00DA120E" w:rsidRPr="003337F3">
        <w:rPr>
          <w:rStyle w:val="FootnoteReference"/>
          <w:szCs w:val="24"/>
        </w:rPr>
        <w:footnoteReference w:id="23"/>
      </w:r>
      <w:r w:rsidR="002D49EB" w:rsidRPr="003337F3">
        <w:rPr>
          <w:lang w:val="ru-RU"/>
        </w:rPr>
        <w:t xml:space="preserve">. Этот используемый во всем мире обзор общих тенденций принятия решений по важным спорам, охватывает более 100 тем и содержит ссылки на почти 1 000 типовых решений, принятых более чем 265 </w:t>
      </w:r>
      <w:r w:rsidR="003A76D0" w:rsidRPr="003337F3">
        <w:rPr>
          <w:szCs w:val="24"/>
          <w:lang w:val="ru-RU"/>
        </w:rPr>
        <w:t>экспертами ВОИС</w:t>
      </w:r>
      <w:r w:rsidR="008E6339" w:rsidRPr="00EC6362">
        <w:rPr>
          <w:szCs w:val="24"/>
          <w:lang w:val="ru-RU"/>
        </w:rPr>
        <w:t xml:space="preserve">. </w:t>
      </w:r>
      <w:r w:rsidR="003A76D0" w:rsidRPr="003337F3">
        <w:rPr>
          <w:szCs w:val="24"/>
          <w:lang w:val="ru-RU"/>
        </w:rPr>
        <w:t>Для облегчения доступа к этим решениям по тематическим рубрикам Центр также публикует «Юридический справочник решений ВОИС по процедуре ЕПУС»</w:t>
      </w:r>
      <w:r w:rsidR="00BF59A8" w:rsidRPr="003337F3">
        <w:rPr>
          <w:vertAlign w:val="superscript"/>
        </w:rPr>
        <w:footnoteReference w:id="24"/>
      </w:r>
      <w:r w:rsidR="003A76D0" w:rsidRPr="003337F3">
        <w:rPr>
          <w:szCs w:val="24"/>
          <w:lang w:val="ru-RU"/>
        </w:rPr>
        <w:t xml:space="preserve"> с возможностью онлайнового контекстного поиска</w:t>
      </w:r>
      <w:r w:rsidR="008E6339" w:rsidRPr="003337F3">
        <w:rPr>
          <w:szCs w:val="24"/>
          <w:lang w:val="ru-RU"/>
        </w:rPr>
        <w:t xml:space="preserve">. </w:t>
      </w:r>
      <w:r w:rsidR="003A76D0" w:rsidRPr="003337F3">
        <w:rPr>
          <w:szCs w:val="24"/>
          <w:lang w:val="ru-RU"/>
        </w:rPr>
        <w:t>Эти ресурсы ВОИС доступны для бесплатного использования во всем мире</w:t>
      </w:r>
      <w:r w:rsidR="00BF59A8" w:rsidRPr="00EC6362">
        <w:rPr>
          <w:szCs w:val="24"/>
          <w:lang w:val="ru-RU"/>
        </w:rPr>
        <w:t>.</w:t>
      </w:r>
    </w:p>
    <w:p w:rsidR="00BF59A8" w:rsidRPr="003D6FBB" w:rsidRDefault="003A76D0" w:rsidP="00B339DE">
      <w:pPr>
        <w:pStyle w:val="ListParagraph"/>
        <w:numPr>
          <w:ilvl w:val="0"/>
          <w:numId w:val="7"/>
        </w:numPr>
        <w:spacing w:after="240"/>
        <w:ind w:left="0" w:firstLine="0"/>
        <w:contextualSpacing w:val="0"/>
        <w:rPr>
          <w:szCs w:val="24"/>
          <w:lang w:val="ru-RU"/>
        </w:rPr>
      </w:pPr>
      <w:r w:rsidRPr="003337F3">
        <w:rPr>
          <w:szCs w:val="24"/>
          <w:lang w:val="ru-RU"/>
        </w:rPr>
        <w:t xml:space="preserve">Учитывая ключевую роль ВОИС в разработке ЕПУС, Центр следит за развитием процессов в области </w:t>
      </w:r>
      <w:r w:rsidRPr="003337F3">
        <w:rPr>
          <w:szCs w:val="24"/>
        </w:rPr>
        <w:t>DNS</w:t>
      </w:r>
      <w:r w:rsidRPr="003337F3">
        <w:rPr>
          <w:szCs w:val="24"/>
          <w:lang w:val="ru-RU"/>
        </w:rPr>
        <w:t>, стремясь адаптировать к нему свои ресурсы и методы своей работы</w:t>
      </w:r>
      <w:r w:rsidR="00BF59A8" w:rsidRPr="003337F3">
        <w:rPr>
          <w:rStyle w:val="FootnoteReference"/>
          <w:rFonts w:eastAsia="SimSun"/>
          <w:szCs w:val="24"/>
        </w:rPr>
        <w:footnoteReference w:id="25"/>
      </w:r>
      <w:r w:rsidR="008E6339" w:rsidRPr="003337F3">
        <w:rPr>
          <w:szCs w:val="24"/>
          <w:lang w:val="ru-RU"/>
        </w:rPr>
        <w:t xml:space="preserve">. </w:t>
      </w:r>
      <w:r w:rsidRPr="003337F3">
        <w:rPr>
          <w:szCs w:val="24"/>
          <w:lang w:val="ru-RU"/>
        </w:rPr>
        <w:t xml:space="preserve">Центр регулярно организует семинары-практикумы по вопросам урегулирования споров в области доменных имен для информирования </w:t>
      </w:r>
      <w:r w:rsidRPr="003337F3">
        <w:rPr>
          <w:szCs w:val="24"/>
          <w:lang w:val="ru-RU"/>
        </w:rPr>
        <w:lastRenderedPageBreak/>
        <w:t>заинтересованных сторон</w:t>
      </w:r>
      <w:r w:rsidR="00BF59A8" w:rsidRPr="003337F3">
        <w:rPr>
          <w:rStyle w:val="FootnoteReference"/>
          <w:rFonts w:eastAsia="SimSun"/>
        </w:rPr>
        <w:footnoteReference w:id="26"/>
      </w:r>
      <w:r w:rsidR="00BF59A8" w:rsidRPr="003D6FBB">
        <w:rPr>
          <w:lang w:val="ru-RU"/>
        </w:rPr>
        <w:t xml:space="preserve"> </w:t>
      </w:r>
      <w:r w:rsidRPr="003337F3">
        <w:rPr>
          <w:szCs w:val="24"/>
          <w:lang w:val="ru-RU"/>
        </w:rPr>
        <w:t>о последних тенденциях, а также совещания членов комиссий по рассмотрению споров о доменных именах</w:t>
      </w:r>
      <w:r w:rsidR="00BF59A8" w:rsidRPr="003D6FBB">
        <w:rPr>
          <w:lang w:val="ru-RU"/>
        </w:rPr>
        <w:t>.</w:t>
      </w:r>
    </w:p>
    <w:p w:rsidR="00BF59A8" w:rsidRPr="00EC6362" w:rsidRDefault="00BF59A8" w:rsidP="004C6545">
      <w:pPr>
        <w:pStyle w:val="Heading2"/>
        <w:rPr>
          <w:lang w:val="ru-RU"/>
        </w:rPr>
      </w:pPr>
      <w:r w:rsidRPr="003337F3">
        <w:t>B</w:t>
      </w:r>
      <w:r w:rsidRPr="00EC6362">
        <w:rPr>
          <w:lang w:val="ru-RU"/>
        </w:rPr>
        <w:t>.</w:t>
      </w:r>
      <w:r w:rsidRPr="00EC6362">
        <w:rPr>
          <w:lang w:val="ru-RU"/>
        </w:rPr>
        <w:tab/>
      </w:r>
      <w:r w:rsidR="003A76D0" w:rsidRPr="003337F3">
        <w:rPr>
          <w:lang w:val="ru-RU"/>
        </w:rPr>
        <w:t>домены верхнего уровня с кодом стран (ксДВУ</w:t>
      </w:r>
      <w:r w:rsidRPr="00EC6362">
        <w:rPr>
          <w:lang w:val="ru-RU"/>
        </w:rPr>
        <w:t>)</w:t>
      </w:r>
    </w:p>
    <w:p w:rsidR="00BF59A8" w:rsidRPr="00EC6362" w:rsidRDefault="003A76D0" w:rsidP="003A76D0">
      <w:pPr>
        <w:pStyle w:val="ListParagraph"/>
        <w:numPr>
          <w:ilvl w:val="0"/>
          <w:numId w:val="7"/>
        </w:numPr>
        <w:spacing w:after="240"/>
        <w:ind w:left="0" w:firstLine="0"/>
        <w:contextualSpacing w:val="0"/>
        <w:rPr>
          <w:spacing w:val="-6"/>
          <w:lang w:val="ru-RU"/>
        </w:rPr>
      </w:pPr>
      <w:r w:rsidRPr="003337F3">
        <w:rPr>
          <w:lang w:val="ru-RU"/>
        </w:rPr>
        <w:t>Хотя обязательное применение ЕПУС ограничивается доменными именами, зарегистрированными в таких рДВУ, как .</w:t>
      </w:r>
      <w:r w:rsidRPr="003337F3">
        <w:t>com</w:t>
      </w:r>
      <w:r w:rsidRPr="003337F3">
        <w:rPr>
          <w:lang w:val="ru-RU"/>
        </w:rPr>
        <w:t xml:space="preserve">, а также в недавно созданных новых рДВУ, Центр также оказывает помощь в разработке условий регистрации и процедур разрешения споров, соответствующих передовому регистрационному опыту и нормам охраны прав ИС, </w:t>
      </w:r>
      <w:r w:rsidR="00BA5FFF" w:rsidRPr="003337F3">
        <w:rPr>
          <w:lang w:val="ru-RU"/>
        </w:rPr>
        <w:t xml:space="preserve">регистраторам </w:t>
      </w:r>
      <w:r w:rsidRPr="003337F3">
        <w:rPr>
          <w:lang w:val="ru-RU"/>
        </w:rPr>
        <w:t>ксДВУ</w:t>
      </w:r>
      <w:r w:rsidR="00BF59A8" w:rsidRPr="003337F3">
        <w:rPr>
          <w:rStyle w:val="FootnoteReference"/>
          <w:rFonts w:eastAsia="SimSun"/>
          <w:spacing w:val="-6"/>
        </w:rPr>
        <w:footnoteReference w:id="27"/>
      </w:r>
      <w:r w:rsidR="008E6339" w:rsidRPr="003337F3">
        <w:rPr>
          <w:lang w:val="ru-RU"/>
        </w:rPr>
        <w:t xml:space="preserve">. </w:t>
      </w:r>
      <w:r w:rsidR="00D44D31" w:rsidRPr="003337F3">
        <w:rPr>
          <w:lang w:val="ru-RU"/>
        </w:rPr>
        <w:t>Некоторые ре</w:t>
      </w:r>
      <w:r w:rsidR="00BA5FFF" w:rsidRPr="003337F3">
        <w:rPr>
          <w:lang w:val="ru-RU"/>
        </w:rPr>
        <w:t xml:space="preserve">гистраторы </w:t>
      </w:r>
      <w:r w:rsidR="00D44D31" w:rsidRPr="003337F3">
        <w:rPr>
          <w:lang w:val="ru-RU"/>
        </w:rPr>
        <w:t>ксДВУ приняли ЕПУС полностью, в то время как другие взяли на вооружение основанные на ЕПУС процедуры, учитывающие конкретные обстоятельств</w:t>
      </w:r>
      <w:r w:rsidR="00751FE5" w:rsidRPr="003337F3">
        <w:rPr>
          <w:lang w:val="ru-RU"/>
        </w:rPr>
        <w:t>а</w:t>
      </w:r>
      <w:r w:rsidR="00D44D31" w:rsidRPr="003337F3">
        <w:rPr>
          <w:lang w:val="ru-RU"/>
        </w:rPr>
        <w:t xml:space="preserve"> и потребности </w:t>
      </w:r>
      <w:r w:rsidR="00751FE5" w:rsidRPr="003337F3">
        <w:rPr>
          <w:lang w:val="ru-RU"/>
        </w:rPr>
        <w:t xml:space="preserve">ксДВУ. </w:t>
      </w:r>
      <w:r w:rsidR="00E44751" w:rsidRPr="003337F3">
        <w:rPr>
          <w:lang w:val="ru-RU"/>
        </w:rPr>
        <w:t xml:space="preserve">Центр также оказывает услуги по рассмотрению споров о доменных именах более чем </w:t>
      </w:r>
      <w:r w:rsidR="002E2229" w:rsidRPr="00EC6362">
        <w:rPr>
          <w:spacing w:val="-6"/>
          <w:lang w:val="ru-RU"/>
        </w:rPr>
        <w:t>70</w:t>
      </w:r>
      <w:r w:rsidR="00BF59A8" w:rsidRPr="00EC6362">
        <w:rPr>
          <w:spacing w:val="-6"/>
          <w:lang w:val="ru-RU"/>
        </w:rPr>
        <w:t xml:space="preserve"> </w:t>
      </w:r>
      <w:r w:rsidR="00BA5FFF" w:rsidRPr="003337F3">
        <w:rPr>
          <w:lang w:val="ru-RU"/>
        </w:rPr>
        <w:t>регистраторам</w:t>
      </w:r>
      <w:r w:rsidR="00E44751" w:rsidRPr="003337F3">
        <w:rPr>
          <w:lang w:val="ru-RU"/>
        </w:rPr>
        <w:t xml:space="preserve"> ксДВУ</w:t>
      </w:r>
      <w:r w:rsidR="0011227A" w:rsidRPr="00EC6362">
        <w:rPr>
          <w:spacing w:val="-6"/>
          <w:lang w:val="ru-RU"/>
        </w:rPr>
        <w:t xml:space="preserve">, </w:t>
      </w:r>
      <w:r w:rsidR="00E44751" w:rsidRPr="003337F3">
        <w:rPr>
          <w:spacing w:val="-6"/>
          <w:lang w:val="ru-RU"/>
        </w:rPr>
        <w:t xml:space="preserve">в том числе домену </w:t>
      </w:r>
      <w:r w:rsidR="0011227A" w:rsidRPr="00EC6362">
        <w:rPr>
          <w:spacing w:val="-6"/>
          <w:lang w:val="ru-RU"/>
        </w:rPr>
        <w:t>.</w:t>
      </w:r>
      <w:r w:rsidR="0011227A" w:rsidRPr="003337F3">
        <w:rPr>
          <w:spacing w:val="-6"/>
        </w:rPr>
        <w:t>GE</w:t>
      </w:r>
      <w:r w:rsidR="0011227A" w:rsidRPr="00EC6362">
        <w:rPr>
          <w:spacing w:val="-6"/>
          <w:lang w:val="ru-RU"/>
        </w:rPr>
        <w:t xml:space="preserve"> (</w:t>
      </w:r>
      <w:r w:rsidR="0011227A" w:rsidRPr="003337F3">
        <w:rPr>
          <w:spacing w:val="-6"/>
        </w:rPr>
        <w:t>Georgia</w:t>
      </w:r>
      <w:r w:rsidR="00E44751" w:rsidRPr="00EC6362">
        <w:rPr>
          <w:spacing w:val="-6"/>
          <w:lang w:val="ru-RU"/>
        </w:rPr>
        <w:t xml:space="preserve">), добавленному в реестр в </w:t>
      </w:r>
      <w:r w:rsidR="0011227A" w:rsidRPr="00EC6362">
        <w:rPr>
          <w:spacing w:val="-6"/>
          <w:lang w:val="ru-RU"/>
        </w:rPr>
        <w:t>2018</w:t>
      </w:r>
      <w:r w:rsidR="00E44751" w:rsidRPr="003337F3">
        <w:rPr>
          <w:spacing w:val="-6"/>
          <w:lang w:val="ru-RU"/>
        </w:rPr>
        <w:t xml:space="preserve"> г</w:t>
      </w:r>
      <w:r w:rsidR="00BF59A8" w:rsidRPr="00EC6362">
        <w:rPr>
          <w:spacing w:val="-6"/>
          <w:lang w:val="ru-RU"/>
        </w:rPr>
        <w:t>.</w:t>
      </w:r>
      <w:r w:rsidR="00BF59A8" w:rsidRPr="003337F3">
        <w:rPr>
          <w:spacing w:val="-6"/>
          <w:vertAlign w:val="superscript"/>
        </w:rPr>
        <w:footnoteReference w:id="28"/>
      </w:r>
    </w:p>
    <w:p w:rsidR="004162A0" w:rsidRPr="00EC6362" w:rsidRDefault="00751FE5" w:rsidP="00B339DE">
      <w:pPr>
        <w:pStyle w:val="ListParagraph"/>
        <w:numPr>
          <w:ilvl w:val="0"/>
          <w:numId w:val="7"/>
        </w:numPr>
        <w:spacing w:after="240"/>
        <w:ind w:left="0" w:firstLine="0"/>
        <w:contextualSpacing w:val="0"/>
        <w:rPr>
          <w:lang w:val="ru-RU"/>
        </w:rPr>
      </w:pPr>
      <w:r w:rsidRPr="003337F3">
        <w:rPr>
          <w:lang w:val="ru-RU"/>
        </w:rPr>
        <w:t>В 2018 г. Центр значительно увеличил объем публикуемой информации для всех ксДВУ, в том числе критерии приемлемости для регистрации, поддерживаемые наборы символов, а также типовые состязательные документы и заявления на многих языках</w:t>
      </w:r>
      <w:r w:rsidR="004162A0" w:rsidRPr="003337F3">
        <w:rPr>
          <w:rStyle w:val="FootnoteReference"/>
        </w:rPr>
        <w:footnoteReference w:id="29"/>
      </w:r>
      <w:r w:rsidR="000B0B4B" w:rsidRPr="003337F3">
        <w:rPr>
          <w:lang w:val="ru-RU"/>
        </w:rPr>
        <w:t xml:space="preserve"> и краткую информацию о важных различиях между основанными на ЕПУС процедурами, применяемыми ксДВУ, и непосредственно ЕПУС</w:t>
      </w:r>
      <w:r w:rsidR="004162A0" w:rsidRPr="003337F3">
        <w:rPr>
          <w:rStyle w:val="FootnoteReference"/>
        </w:rPr>
        <w:footnoteReference w:id="30"/>
      </w:r>
      <w:r w:rsidR="000B0B4B" w:rsidRPr="003337F3">
        <w:rPr>
          <w:lang w:val="ru-RU"/>
        </w:rPr>
        <w:t>.</w:t>
      </w:r>
      <w:r w:rsidR="00F83CEE" w:rsidRPr="00EC6362">
        <w:rPr>
          <w:lang w:val="ru-RU"/>
        </w:rPr>
        <w:t xml:space="preserve"> </w:t>
      </w:r>
    </w:p>
    <w:p w:rsidR="00263C54" w:rsidRPr="00EC6362" w:rsidRDefault="00E44751" w:rsidP="008E0A66">
      <w:pPr>
        <w:pStyle w:val="Heading1"/>
        <w:spacing w:after="240"/>
        <w:rPr>
          <w:lang w:val="ru-RU"/>
        </w:rPr>
      </w:pPr>
      <w:r w:rsidRPr="003337F3">
        <w:rPr>
          <w:lang w:val="ru-RU"/>
        </w:rPr>
        <w:br/>
      </w:r>
      <w:r w:rsidR="00263C54" w:rsidRPr="003337F3">
        <w:t>III</w:t>
      </w:r>
      <w:r w:rsidR="00263C54" w:rsidRPr="00EC6362">
        <w:rPr>
          <w:lang w:val="ru-RU"/>
        </w:rPr>
        <w:t>.</w:t>
      </w:r>
      <w:r w:rsidR="00263C54" w:rsidRPr="00EC6362">
        <w:rPr>
          <w:lang w:val="ru-RU"/>
        </w:rPr>
        <w:tab/>
      </w:r>
      <w:r w:rsidRPr="00EC6362">
        <w:rPr>
          <w:lang w:val="ru-RU"/>
        </w:rPr>
        <w:t xml:space="preserve">ИЗМЕНЕНИЯ В ПОЛИТИКЕ В ОТНОШЕНИИ </w:t>
      </w:r>
      <w:r w:rsidRPr="003337F3">
        <w:t>DNS</w:t>
      </w:r>
    </w:p>
    <w:p w:rsidR="00263C54" w:rsidRPr="00EC6362" w:rsidRDefault="00E44751" w:rsidP="00B44019">
      <w:pPr>
        <w:pStyle w:val="ListParagraph"/>
        <w:widowControl w:val="0"/>
        <w:numPr>
          <w:ilvl w:val="0"/>
          <w:numId w:val="7"/>
        </w:numPr>
        <w:spacing w:before="240" w:after="240"/>
        <w:ind w:left="0" w:firstLine="0"/>
        <w:contextualSpacing w:val="0"/>
        <w:rPr>
          <w:lang w:val="ru-RU"/>
        </w:rPr>
      </w:pPr>
      <w:r w:rsidRPr="003337F3">
        <w:rPr>
          <w:lang w:val="ru-RU"/>
        </w:rPr>
        <w:t xml:space="preserve">Ряд изменений в политике </w:t>
      </w:r>
      <w:r w:rsidRPr="003337F3">
        <w:t>ICANN</w:t>
      </w:r>
      <w:r w:rsidRPr="003337F3">
        <w:rPr>
          <w:lang w:val="ru-RU"/>
        </w:rPr>
        <w:t xml:space="preserve"> создает не только возможности, но и проблемы для обладателей и пользователей прав ИС</w:t>
      </w:r>
      <w:r w:rsidR="008E6339" w:rsidRPr="00EC6362">
        <w:rPr>
          <w:lang w:val="ru-RU"/>
        </w:rPr>
        <w:t xml:space="preserve">. </w:t>
      </w:r>
      <w:r w:rsidRPr="003337F3">
        <w:rPr>
          <w:lang w:val="ru-RU"/>
        </w:rPr>
        <w:t xml:space="preserve">Одна из таких проблем связана с введением </w:t>
      </w:r>
      <w:r w:rsidRPr="003337F3">
        <w:t>ICANN</w:t>
      </w:r>
      <w:r w:rsidRPr="003337F3">
        <w:rPr>
          <w:lang w:val="ru-RU"/>
        </w:rPr>
        <w:t xml:space="preserve"> значительного числа новых рДВУ</w:t>
      </w:r>
      <w:r w:rsidR="008E6339" w:rsidRPr="00EC6362">
        <w:rPr>
          <w:lang w:val="ru-RU"/>
        </w:rPr>
        <w:t xml:space="preserve">. </w:t>
      </w:r>
      <w:r w:rsidRPr="003337F3">
        <w:rPr>
          <w:lang w:val="ru-RU"/>
        </w:rPr>
        <w:t>Такие новые рДВУ могут быть как «открытыми» по своему характеру (аналогично .</w:t>
      </w:r>
      <w:r w:rsidRPr="003337F3">
        <w:t>com</w:t>
      </w:r>
      <w:r w:rsidRPr="003337F3">
        <w:rPr>
          <w:lang w:val="ru-RU"/>
        </w:rPr>
        <w:t xml:space="preserve">), так и </w:t>
      </w:r>
      <w:r w:rsidRPr="003337F3">
        <w:rPr>
          <w:rFonts w:cs="Arial"/>
          <w:lang w:val="ru-RU"/>
        </w:rPr>
        <w:t>приобре</w:t>
      </w:r>
      <w:r w:rsidRPr="003337F3">
        <w:rPr>
          <w:lang w:val="ru-RU"/>
        </w:rPr>
        <w:t>тать более специализированный или ограничительный характер, принимая такую форму, как .[бренд], .[город], .[сообщество], .[культура], .[отрасль] или .[язык]</w:t>
      </w:r>
      <w:r w:rsidR="008E6339" w:rsidRPr="003337F3">
        <w:rPr>
          <w:lang w:val="ru-RU"/>
        </w:rPr>
        <w:t xml:space="preserve">. </w:t>
      </w:r>
      <w:r w:rsidRPr="003337F3">
        <w:rPr>
          <w:lang w:val="ru-RU"/>
        </w:rPr>
        <w:t>Еще одно важное и связанное с этим изменение – появление интернационализированных доменных имен (ИДИ) верхнего уровня</w:t>
      </w:r>
      <w:r w:rsidR="008E6339" w:rsidRPr="003337F3">
        <w:rPr>
          <w:lang w:val="ru-RU"/>
        </w:rPr>
        <w:t xml:space="preserve">. </w:t>
      </w:r>
      <w:r w:rsidRPr="003337F3">
        <w:rPr>
          <w:lang w:val="ru-RU"/>
        </w:rPr>
        <w:t xml:space="preserve">Кроме того, планируемое </w:t>
      </w:r>
      <w:r w:rsidRPr="003337F3">
        <w:t>ICANN</w:t>
      </w:r>
      <w:r w:rsidRPr="003337F3">
        <w:rPr>
          <w:lang w:val="ru-RU"/>
        </w:rPr>
        <w:t xml:space="preserve"> расширение </w:t>
      </w:r>
      <w:r w:rsidRPr="003337F3">
        <w:t>DNS</w:t>
      </w:r>
      <w:r w:rsidRPr="003337F3">
        <w:rPr>
          <w:lang w:val="ru-RU"/>
        </w:rPr>
        <w:t xml:space="preserve"> вызывает вопросы охраны прав с точки зрения Второго процесса ВОИС по доменным именам в Интернете</w:t>
      </w:r>
      <w:r w:rsidR="00263C54" w:rsidRPr="00EC6362">
        <w:rPr>
          <w:lang w:val="ru-RU"/>
        </w:rPr>
        <w:t>.</w:t>
      </w:r>
    </w:p>
    <w:p w:rsidR="00263C54" w:rsidRPr="003337F3" w:rsidRDefault="00263C54" w:rsidP="004C6545">
      <w:pPr>
        <w:pStyle w:val="Heading2"/>
      </w:pPr>
      <w:r w:rsidRPr="003337F3">
        <w:t>A.</w:t>
      </w:r>
      <w:r w:rsidRPr="003337F3">
        <w:tab/>
      </w:r>
      <w:r w:rsidR="00E44751" w:rsidRPr="003337F3">
        <w:rPr>
          <w:lang w:val="ru-RU"/>
        </w:rPr>
        <w:t>новые РДВУ</w:t>
      </w:r>
    </w:p>
    <w:p w:rsidR="00263C54" w:rsidRPr="003D6FBB" w:rsidRDefault="00E44751" w:rsidP="00B44019">
      <w:pPr>
        <w:pStyle w:val="ListParagraph"/>
        <w:widowControl w:val="0"/>
        <w:numPr>
          <w:ilvl w:val="0"/>
          <w:numId w:val="7"/>
        </w:numPr>
        <w:spacing w:before="240" w:after="240"/>
        <w:ind w:left="0" w:firstLine="0"/>
        <w:contextualSpacing w:val="0"/>
        <w:rPr>
          <w:szCs w:val="22"/>
          <w:lang w:val="ru-RU"/>
        </w:rPr>
      </w:pPr>
      <w:r w:rsidRPr="003337F3">
        <w:rPr>
          <w:szCs w:val="22"/>
          <w:lang w:val="ru-RU"/>
        </w:rPr>
        <w:t xml:space="preserve">Подробная </w:t>
      </w:r>
      <w:r w:rsidRPr="003337F3">
        <w:rPr>
          <w:rFonts w:eastAsia="SimSun" w:cs="Arial"/>
          <w:szCs w:val="22"/>
          <w:lang w:val="ru-RU" w:eastAsia="zh-CN"/>
        </w:rPr>
        <w:t>информация, касающаяся реализации программы введ</w:t>
      </w:r>
      <w:r w:rsidR="000B0B4B" w:rsidRPr="003337F3">
        <w:rPr>
          <w:rFonts w:eastAsia="SimSun" w:cs="Arial"/>
          <w:szCs w:val="22"/>
          <w:lang w:val="ru-RU" w:eastAsia="zh-CN"/>
        </w:rPr>
        <w:t>е</w:t>
      </w:r>
      <w:r w:rsidRPr="003337F3">
        <w:rPr>
          <w:rFonts w:eastAsia="SimSun" w:cs="Arial"/>
          <w:szCs w:val="22"/>
          <w:lang w:val="ru-RU" w:eastAsia="zh-CN"/>
        </w:rPr>
        <w:t xml:space="preserve">ния новых рДВУ, официально одобренной </w:t>
      </w:r>
      <w:r w:rsidRPr="003337F3">
        <w:rPr>
          <w:rFonts w:eastAsia="SimSun" w:cs="Arial"/>
          <w:szCs w:val="22"/>
          <w:lang w:eastAsia="zh-CN"/>
        </w:rPr>
        <w:t>ICANN</w:t>
      </w:r>
      <w:r w:rsidRPr="003337F3">
        <w:rPr>
          <w:rFonts w:eastAsia="SimSun" w:cs="Arial"/>
          <w:szCs w:val="22"/>
          <w:lang w:val="ru-RU" w:eastAsia="zh-CN"/>
        </w:rPr>
        <w:t xml:space="preserve"> в июне 2011</w:t>
      </w:r>
      <w:r w:rsidRPr="003337F3">
        <w:rPr>
          <w:rFonts w:eastAsia="SimSun" w:cs="Arial"/>
          <w:szCs w:val="22"/>
          <w:lang w:eastAsia="zh-CN"/>
        </w:rPr>
        <w:t> </w:t>
      </w:r>
      <w:r w:rsidRPr="003337F3">
        <w:rPr>
          <w:rFonts w:eastAsia="SimSun" w:cs="Arial"/>
          <w:szCs w:val="22"/>
          <w:lang w:val="ru-RU" w:eastAsia="zh-CN"/>
        </w:rPr>
        <w:t>г.</w:t>
      </w:r>
      <w:r w:rsidR="00263C54" w:rsidRPr="003337F3">
        <w:rPr>
          <w:rStyle w:val="FootnoteReference"/>
          <w:rFonts w:eastAsia="SimSun"/>
          <w:szCs w:val="22"/>
        </w:rPr>
        <w:footnoteReference w:id="31"/>
      </w:r>
      <w:r w:rsidRPr="003337F3">
        <w:rPr>
          <w:rFonts w:eastAsia="SimSun" w:cs="Arial"/>
          <w:szCs w:val="22"/>
          <w:lang w:val="ru-RU" w:eastAsia="zh-CN"/>
        </w:rPr>
        <w:t>,</w:t>
      </w:r>
      <w:r w:rsidR="00263C54" w:rsidRPr="00EC6362">
        <w:rPr>
          <w:szCs w:val="22"/>
          <w:lang w:val="ru-RU"/>
        </w:rPr>
        <w:t xml:space="preserve"> </w:t>
      </w:r>
      <w:r w:rsidRPr="003337F3">
        <w:rPr>
          <w:rFonts w:eastAsia="SimSun" w:cs="Arial"/>
          <w:szCs w:val="22"/>
          <w:lang w:val="ru-RU" w:eastAsia="zh-CN"/>
        </w:rPr>
        <w:t xml:space="preserve">публикуется в постоянно переиздаваемом </w:t>
      </w:r>
      <w:r w:rsidRPr="003337F3">
        <w:rPr>
          <w:rFonts w:eastAsia="SimSun" w:cs="Arial"/>
          <w:szCs w:val="22"/>
          <w:lang w:eastAsia="zh-CN"/>
        </w:rPr>
        <w:t>ICANN</w:t>
      </w:r>
      <w:r w:rsidRPr="003337F3">
        <w:rPr>
          <w:rFonts w:eastAsia="SimSun" w:cs="Arial"/>
          <w:szCs w:val="22"/>
          <w:lang w:val="ru-RU" w:eastAsia="zh-CN"/>
        </w:rPr>
        <w:t xml:space="preserve"> «Руководстве для заявителя</w:t>
      </w:r>
      <w:r w:rsidR="000B0B4B" w:rsidRPr="003337F3">
        <w:rPr>
          <w:rFonts w:eastAsia="SimSun" w:cs="Arial"/>
          <w:szCs w:val="22"/>
          <w:lang w:val="ru-RU" w:eastAsia="zh-CN"/>
        </w:rPr>
        <w:t>»</w:t>
      </w:r>
      <w:r w:rsidR="000B0B4B" w:rsidRPr="003337F3">
        <w:rPr>
          <w:vertAlign w:val="superscript"/>
        </w:rPr>
        <w:footnoteReference w:id="32"/>
      </w:r>
      <w:r w:rsidR="000B0B4B" w:rsidRPr="003337F3">
        <w:rPr>
          <w:rFonts w:eastAsia="SimSun" w:cs="Arial"/>
          <w:szCs w:val="22"/>
          <w:lang w:val="ru-RU" w:eastAsia="zh-CN"/>
        </w:rPr>
        <w:t>.</w:t>
      </w:r>
      <w:r w:rsidR="004D7B0A" w:rsidRPr="003337F3">
        <w:rPr>
          <w:rFonts w:eastAsia="SimSun" w:cs="Arial"/>
          <w:szCs w:val="22"/>
          <w:lang w:val="ru-RU" w:eastAsia="zh-CN"/>
        </w:rPr>
        <w:t xml:space="preserve"> Первые новые рДВУ в корневой зоне Интернета были делегированы в октябре 2013</w:t>
      </w:r>
      <w:r w:rsidR="004D7B0A" w:rsidRPr="003337F3">
        <w:rPr>
          <w:rFonts w:eastAsia="SimSun" w:cs="Arial"/>
          <w:szCs w:val="22"/>
          <w:lang w:eastAsia="zh-CN"/>
        </w:rPr>
        <w:t> </w:t>
      </w:r>
      <w:r w:rsidR="004D7B0A" w:rsidRPr="003337F3">
        <w:rPr>
          <w:rFonts w:eastAsia="SimSun" w:cs="Arial"/>
          <w:szCs w:val="22"/>
          <w:lang w:val="ru-RU" w:eastAsia="zh-CN"/>
        </w:rPr>
        <w:t xml:space="preserve">г., а к июню 2018 г было </w:t>
      </w:r>
      <w:r w:rsidR="004D7B0A" w:rsidRPr="003337F3">
        <w:rPr>
          <w:rFonts w:eastAsia="SimSun" w:cs="Arial"/>
          <w:szCs w:val="22"/>
          <w:lang w:val="ru-RU" w:eastAsia="zh-CN"/>
        </w:rPr>
        <w:lastRenderedPageBreak/>
        <w:t>делегировано еще свыше 1200 рДВУ</w:t>
      </w:r>
      <w:r w:rsidR="00263C54" w:rsidRPr="003337F3">
        <w:rPr>
          <w:rStyle w:val="FootnoteReference"/>
          <w:rFonts w:eastAsia="SimSun"/>
          <w:szCs w:val="22"/>
        </w:rPr>
        <w:footnoteReference w:id="33"/>
      </w:r>
      <w:r w:rsidR="004D7B0A" w:rsidRPr="003337F3">
        <w:rPr>
          <w:rFonts w:eastAsia="SimSun" w:cs="Arial"/>
          <w:szCs w:val="22"/>
          <w:lang w:val="ru-RU" w:eastAsia="zh-CN"/>
        </w:rPr>
        <w:t>.</w:t>
      </w:r>
    </w:p>
    <w:p w:rsidR="00263C54" w:rsidRPr="003C71DC" w:rsidRDefault="004D7B0A" w:rsidP="00B44019">
      <w:pPr>
        <w:pStyle w:val="ListParagraph"/>
        <w:keepNext/>
        <w:keepLines/>
        <w:numPr>
          <w:ilvl w:val="0"/>
          <w:numId w:val="7"/>
        </w:numPr>
        <w:spacing w:after="240"/>
        <w:ind w:left="0" w:firstLine="0"/>
        <w:contextualSpacing w:val="0"/>
        <w:rPr>
          <w:szCs w:val="22"/>
          <w:lang w:val="ru-RU"/>
        </w:rPr>
      </w:pPr>
      <w:r w:rsidRPr="003337F3">
        <w:rPr>
          <w:rFonts w:eastAsia="SimSun" w:cs="Arial"/>
          <w:szCs w:val="22"/>
          <w:lang w:val="ru-RU" w:eastAsia="zh-CN"/>
        </w:rPr>
        <w:t>Центр по-прежнему стремится сотрудничать с заинтересованными сторонами</w:t>
      </w:r>
      <w:r w:rsidR="000B0B4B" w:rsidRPr="003337F3">
        <w:rPr>
          <w:rFonts w:eastAsia="SimSun" w:cs="Arial"/>
          <w:szCs w:val="22"/>
          <w:lang w:val="ru-RU" w:eastAsia="zh-CN"/>
        </w:rPr>
        <w:t>, стараясь</w:t>
      </w:r>
      <w:r w:rsidRPr="003337F3">
        <w:rPr>
          <w:rFonts w:eastAsia="SimSun" w:cs="Arial"/>
          <w:szCs w:val="22"/>
          <w:lang w:val="ru-RU" w:eastAsia="zh-CN"/>
        </w:rPr>
        <w:t xml:space="preserve"> обеспечить соблюдение общих принципов охраны ИС в новых рДВУ</w:t>
      </w:r>
      <w:r w:rsidR="000B0B4B" w:rsidRPr="003337F3">
        <w:rPr>
          <w:rFonts w:eastAsia="SimSun" w:cs="Arial"/>
          <w:szCs w:val="22"/>
          <w:lang w:val="ru-RU" w:eastAsia="zh-CN"/>
        </w:rPr>
        <w:t>.</w:t>
      </w:r>
      <w:r w:rsidRPr="003337F3">
        <w:rPr>
          <w:rFonts w:eastAsia="SimSun" w:cs="Arial"/>
          <w:szCs w:val="22"/>
          <w:lang w:val="ru-RU" w:eastAsia="zh-CN"/>
        </w:rPr>
        <w:t xml:space="preserve"> В результате </w:t>
      </w:r>
      <w:r w:rsidR="000B0B4B" w:rsidRPr="003337F3">
        <w:rPr>
          <w:rFonts w:eastAsia="SimSun" w:cs="Arial"/>
          <w:szCs w:val="22"/>
          <w:lang w:val="ru-RU" w:eastAsia="zh-CN"/>
        </w:rPr>
        <w:t xml:space="preserve">нескольких </w:t>
      </w:r>
      <w:r w:rsidRPr="003337F3">
        <w:rPr>
          <w:rFonts w:eastAsia="SimSun" w:cs="Arial"/>
          <w:szCs w:val="22"/>
          <w:lang w:val="ru-RU" w:eastAsia="zh-CN"/>
        </w:rPr>
        <w:t xml:space="preserve">заседаний комитетов </w:t>
      </w:r>
      <w:r w:rsidRPr="003337F3">
        <w:rPr>
          <w:rFonts w:eastAsia="SimSun" w:cs="Arial"/>
          <w:szCs w:val="22"/>
          <w:lang w:eastAsia="zh-CN"/>
        </w:rPr>
        <w:t>ICANN</w:t>
      </w:r>
      <w:r w:rsidRPr="003337F3">
        <w:rPr>
          <w:rFonts w:eastAsia="SimSun" w:cs="Arial"/>
          <w:szCs w:val="22"/>
          <w:lang w:val="ru-RU" w:eastAsia="zh-CN"/>
        </w:rPr>
        <w:t xml:space="preserve"> и процедур создания новых рДВУ был выработан ряд МОП</w:t>
      </w:r>
      <w:r w:rsidR="00263C54" w:rsidRPr="003337F3">
        <w:rPr>
          <w:rStyle w:val="FootnoteReference"/>
          <w:rFonts w:eastAsia="SimSun"/>
          <w:szCs w:val="22"/>
        </w:rPr>
        <w:footnoteReference w:id="34"/>
      </w:r>
      <w:r w:rsidR="008E6339" w:rsidRPr="003337F3">
        <w:rPr>
          <w:rFonts w:eastAsia="SimSun" w:cs="Arial"/>
          <w:szCs w:val="22"/>
          <w:lang w:val="ru-RU" w:eastAsia="zh-CN"/>
        </w:rPr>
        <w:t xml:space="preserve">. </w:t>
      </w:r>
      <w:r w:rsidRPr="003337F3">
        <w:rPr>
          <w:rFonts w:eastAsia="SimSun" w:cs="Arial"/>
          <w:szCs w:val="22"/>
          <w:lang w:val="ru-RU" w:eastAsia="zh-CN"/>
        </w:rPr>
        <w:t xml:space="preserve">Ниже приводится общее описание таких МОП, одобренных </w:t>
      </w:r>
      <w:r w:rsidRPr="003337F3">
        <w:rPr>
          <w:rFonts w:eastAsia="SimSun" w:cs="Arial"/>
          <w:szCs w:val="22"/>
          <w:lang w:eastAsia="zh-CN"/>
        </w:rPr>
        <w:t>ICANN</w:t>
      </w:r>
      <w:r w:rsidRPr="003337F3">
        <w:rPr>
          <w:rFonts w:eastAsia="SimSun" w:cs="Arial"/>
          <w:szCs w:val="22"/>
          <w:lang w:val="ru-RU" w:eastAsia="zh-CN"/>
        </w:rPr>
        <w:t xml:space="preserve"> для доменов верхнего и второго уровней, соответственно.</w:t>
      </w:r>
    </w:p>
    <w:p w:rsidR="00263C54" w:rsidRPr="003337F3" w:rsidRDefault="004D7B0A" w:rsidP="00212E34">
      <w:pPr>
        <w:pStyle w:val="Heading3"/>
        <w:numPr>
          <w:ilvl w:val="0"/>
          <w:numId w:val="38"/>
        </w:numPr>
        <w:ind w:left="1701" w:hanging="567"/>
      </w:pPr>
      <w:r w:rsidRPr="003337F3">
        <w:rPr>
          <w:szCs w:val="22"/>
          <w:lang w:val="ru-RU"/>
        </w:rPr>
        <w:t>МОП для доменов верхнего уровня</w:t>
      </w:r>
    </w:p>
    <w:p w:rsidR="00263C54" w:rsidRPr="003337F3" w:rsidRDefault="00263C54" w:rsidP="004D7B0A">
      <w:pPr>
        <w:pStyle w:val="Heading4"/>
        <w:ind w:left="2268" w:hanging="567"/>
      </w:pPr>
      <w:r w:rsidRPr="00EC6362">
        <w:rPr>
          <w:lang w:val="ru-RU"/>
        </w:rPr>
        <w:t>(</w:t>
      </w:r>
      <w:proofErr w:type="spellStart"/>
      <w:r w:rsidRPr="003337F3">
        <w:t>i</w:t>
      </w:r>
      <w:proofErr w:type="spellEnd"/>
      <w:r w:rsidRPr="00EC6362">
        <w:rPr>
          <w:lang w:val="ru-RU"/>
        </w:rPr>
        <w:t>)</w:t>
      </w:r>
      <w:r w:rsidRPr="00EC6362">
        <w:rPr>
          <w:lang w:val="ru-RU"/>
        </w:rPr>
        <w:tab/>
      </w:r>
      <w:r w:rsidR="004D7B0A" w:rsidRPr="003337F3">
        <w:rPr>
          <w:szCs w:val="22"/>
          <w:u w:val="single"/>
          <w:lang w:val="ru-RU"/>
        </w:rPr>
        <w:t>Процедура урегулирования споров, предшествующая делегированию (ДВУ</w:t>
      </w:r>
      <w:r w:rsidR="004D7B0A" w:rsidRPr="003337F3">
        <w:rPr>
          <w:szCs w:val="22"/>
          <w:lang w:val="ru-RU"/>
        </w:rPr>
        <w:t>)</w:t>
      </w:r>
    </w:p>
    <w:p w:rsidR="00263C54" w:rsidRPr="003D6FBB" w:rsidRDefault="004D7B0A" w:rsidP="00B44019">
      <w:pPr>
        <w:pStyle w:val="ListParagraph"/>
        <w:numPr>
          <w:ilvl w:val="0"/>
          <w:numId w:val="7"/>
        </w:numPr>
        <w:spacing w:before="240"/>
        <w:ind w:left="0" w:firstLine="0"/>
        <w:contextualSpacing w:val="0"/>
        <w:rPr>
          <w:szCs w:val="22"/>
          <w:lang w:val="ru-RU"/>
        </w:rPr>
      </w:pPr>
      <w:r w:rsidRPr="003337F3">
        <w:rPr>
          <w:rFonts w:eastAsia="SimSun" w:cs="Arial"/>
          <w:szCs w:val="22"/>
          <w:lang w:val="ru-RU" w:eastAsia="zh-CN"/>
        </w:rPr>
        <w:t xml:space="preserve">Данный механизм дал владельцам товарных знаков возможность направлять в связи с заявками на создание новых </w:t>
      </w:r>
      <w:r w:rsidR="000B0B4B" w:rsidRPr="003337F3">
        <w:rPr>
          <w:rFonts w:eastAsia="SimSun" w:cs="Arial"/>
          <w:szCs w:val="22"/>
          <w:lang w:val="ru-RU" w:eastAsia="zh-CN"/>
        </w:rPr>
        <w:t xml:space="preserve">рДВУ </w:t>
      </w:r>
      <w:r w:rsidRPr="003337F3">
        <w:rPr>
          <w:rFonts w:eastAsia="SimSun" w:cs="Arial"/>
          <w:szCs w:val="22"/>
          <w:lang w:val="ru-RU" w:eastAsia="zh-CN"/>
        </w:rPr>
        <w:t>«возражения на основании юридических прав» (</w:t>
      </w:r>
      <w:r w:rsidRPr="003337F3">
        <w:rPr>
          <w:rFonts w:eastAsia="SimSun" w:cs="Arial"/>
          <w:szCs w:val="22"/>
          <w:lang w:eastAsia="zh-CN"/>
        </w:rPr>
        <w:t>LRO</w:t>
      </w:r>
      <w:r w:rsidRPr="003337F3">
        <w:rPr>
          <w:rFonts w:eastAsia="SimSun" w:cs="Arial"/>
          <w:szCs w:val="22"/>
          <w:lang w:val="ru-RU" w:eastAsia="zh-CN"/>
        </w:rPr>
        <w:t>) при условии соблюдения некоторых основных критериев</w:t>
      </w:r>
      <w:r w:rsidR="00263C54" w:rsidRPr="003337F3">
        <w:rPr>
          <w:rStyle w:val="FootnoteReference"/>
          <w:rFonts w:eastAsia="SimSun"/>
          <w:szCs w:val="22"/>
        </w:rPr>
        <w:footnoteReference w:id="35"/>
      </w:r>
      <w:r w:rsidR="008E6339" w:rsidRPr="003337F3">
        <w:rPr>
          <w:rFonts w:eastAsia="SimSun" w:cs="Arial"/>
          <w:szCs w:val="22"/>
          <w:lang w:val="ru-RU" w:eastAsia="zh-CN"/>
        </w:rPr>
        <w:t xml:space="preserve">. </w:t>
      </w:r>
      <w:r w:rsidRPr="003337F3">
        <w:rPr>
          <w:rFonts w:eastAsia="SimSun" w:cs="Arial"/>
          <w:szCs w:val="22"/>
          <w:lang w:val="ru-RU" w:eastAsia="zh-CN"/>
        </w:rPr>
        <w:t xml:space="preserve">Центр оказал </w:t>
      </w:r>
      <w:r w:rsidRPr="003337F3">
        <w:rPr>
          <w:rFonts w:eastAsia="SimSun" w:cs="Arial"/>
          <w:szCs w:val="22"/>
          <w:lang w:eastAsia="zh-CN"/>
        </w:rPr>
        <w:t>ICANN</w:t>
      </w:r>
      <w:r w:rsidRPr="003337F3">
        <w:rPr>
          <w:rFonts w:eastAsia="SimSun" w:cs="Arial"/>
          <w:szCs w:val="22"/>
          <w:lang w:val="ru-RU" w:eastAsia="zh-CN"/>
        </w:rPr>
        <w:t xml:space="preserve"> помощь в разработке таких критериев на основе «Совместной рекомендации ВОИС в отношении норм, касающихся охраны знаков и других прав промышленной собственности на обозначения, используемые в сети Интернет»</w:t>
      </w:r>
      <w:r w:rsidR="00263C54" w:rsidRPr="003337F3">
        <w:rPr>
          <w:vertAlign w:val="superscript"/>
        </w:rPr>
        <w:footnoteReference w:id="36"/>
      </w:r>
      <w:r w:rsidRPr="003337F3">
        <w:rPr>
          <w:rFonts w:eastAsia="SimSun" w:cs="Arial"/>
          <w:szCs w:val="22"/>
          <w:lang w:val="ru-RU" w:eastAsia="zh-CN"/>
        </w:rPr>
        <w:t>.</w:t>
      </w:r>
    </w:p>
    <w:p w:rsidR="00263C54" w:rsidRPr="003C71DC" w:rsidRDefault="004D7B0A" w:rsidP="00B44019">
      <w:pPr>
        <w:pStyle w:val="ListParagraph"/>
        <w:numPr>
          <w:ilvl w:val="0"/>
          <w:numId w:val="7"/>
        </w:numPr>
        <w:spacing w:before="240" w:after="240"/>
        <w:ind w:left="0" w:firstLine="0"/>
        <w:contextualSpacing w:val="0"/>
        <w:rPr>
          <w:szCs w:val="22"/>
          <w:lang w:val="ru-RU"/>
        </w:rPr>
      </w:pPr>
      <w:r w:rsidRPr="003337F3">
        <w:rPr>
          <w:rFonts w:eastAsia="SimSun" w:cs="Arial"/>
          <w:szCs w:val="22"/>
          <w:lang w:eastAsia="zh-CN"/>
        </w:rPr>
        <w:t>ICANN</w:t>
      </w:r>
      <w:r w:rsidRPr="003337F3">
        <w:rPr>
          <w:rFonts w:eastAsia="SimSun" w:cs="Arial"/>
          <w:szCs w:val="22"/>
          <w:lang w:val="ru-RU" w:eastAsia="zh-CN"/>
        </w:rPr>
        <w:t xml:space="preserve"> назначила Центр эксклюзивным органом рассмотрения споров, возбуждаемых путем подачи </w:t>
      </w:r>
      <w:r w:rsidRPr="003337F3">
        <w:rPr>
          <w:rFonts w:eastAsia="SimSun" w:cs="Arial"/>
          <w:szCs w:val="22"/>
          <w:lang w:eastAsia="zh-CN"/>
        </w:rPr>
        <w:t>LRO</w:t>
      </w:r>
      <w:r w:rsidR="00263C54" w:rsidRPr="003337F3">
        <w:rPr>
          <w:rStyle w:val="FootnoteReference"/>
          <w:rFonts w:eastAsia="SimSun"/>
          <w:szCs w:val="22"/>
        </w:rPr>
        <w:footnoteReference w:id="37"/>
      </w:r>
      <w:r w:rsidRPr="003337F3">
        <w:rPr>
          <w:rFonts w:eastAsia="SimSun" w:cs="Arial"/>
          <w:szCs w:val="22"/>
          <w:lang w:val="ru-RU" w:eastAsia="zh-CN"/>
        </w:rPr>
        <w:t>,</w:t>
      </w:r>
      <w:r w:rsidR="00263C54" w:rsidRPr="00EC6362">
        <w:rPr>
          <w:bCs/>
          <w:szCs w:val="22"/>
          <w:lang w:val="ru-RU"/>
        </w:rPr>
        <w:t xml:space="preserve"> </w:t>
      </w:r>
      <w:r w:rsidRPr="003337F3">
        <w:rPr>
          <w:rFonts w:eastAsia="SimSun" w:cs="Arial"/>
          <w:szCs w:val="22"/>
          <w:lang w:val="ru-RU" w:eastAsia="zh-CN"/>
        </w:rPr>
        <w:t>после чего в него поступило 69</w:t>
      </w:r>
      <w:r w:rsidRPr="003337F3">
        <w:rPr>
          <w:rFonts w:eastAsia="SimSun" w:cs="Arial"/>
          <w:szCs w:val="22"/>
          <w:lang w:eastAsia="zh-CN"/>
        </w:rPr>
        <w:t> LRO</w:t>
      </w:r>
      <w:r w:rsidRPr="003337F3">
        <w:rPr>
          <w:rFonts w:eastAsia="SimSun" w:cs="Arial"/>
          <w:szCs w:val="22"/>
          <w:lang w:val="ru-RU" w:eastAsia="zh-CN"/>
        </w:rPr>
        <w:t>, которые были признаны соответствующими установленным процедурным требованиям и рассмотрены к сентябрю 2013</w:t>
      </w:r>
      <w:r w:rsidRPr="003337F3">
        <w:rPr>
          <w:rFonts w:eastAsia="SimSun" w:cs="Arial"/>
          <w:szCs w:val="22"/>
          <w:lang w:eastAsia="zh-CN"/>
        </w:rPr>
        <w:t> </w:t>
      </w:r>
      <w:r w:rsidRPr="003337F3">
        <w:rPr>
          <w:rFonts w:eastAsia="SimSun" w:cs="Arial"/>
          <w:szCs w:val="22"/>
          <w:lang w:val="ru-RU" w:eastAsia="zh-CN"/>
        </w:rPr>
        <w:t>г.</w:t>
      </w:r>
      <w:r w:rsidR="00263C54" w:rsidRPr="003337F3">
        <w:rPr>
          <w:rStyle w:val="FootnoteReference"/>
          <w:rFonts w:eastAsia="SimSun"/>
          <w:szCs w:val="22"/>
        </w:rPr>
        <w:footnoteReference w:id="38"/>
      </w:r>
      <w:r w:rsidRPr="003337F3">
        <w:rPr>
          <w:rFonts w:eastAsia="SimSun" w:cs="Arial"/>
          <w:szCs w:val="22"/>
          <w:lang w:val="ru-RU" w:eastAsia="zh-CN"/>
        </w:rPr>
        <w:t xml:space="preserve"> </w:t>
      </w:r>
      <w:r w:rsidR="00F83CEE" w:rsidRPr="003C71DC">
        <w:rPr>
          <w:szCs w:val="22"/>
          <w:lang w:val="ru-RU"/>
        </w:rPr>
        <w:t xml:space="preserve"> </w:t>
      </w:r>
      <w:r w:rsidRPr="003337F3">
        <w:rPr>
          <w:rFonts w:eastAsia="SimSun" w:cs="Arial"/>
          <w:szCs w:val="22"/>
          <w:lang w:val="ru-RU" w:eastAsia="zh-CN"/>
        </w:rPr>
        <w:t>На веб-сайте Центра опубликованы все решения экспертной комиссии ВОИС</w:t>
      </w:r>
      <w:r w:rsidR="00263C54" w:rsidRPr="003337F3">
        <w:rPr>
          <w:rStyle w:val="FootnoteReference"/>
          <w:rFonts w:eastAsia="SimSun"/>
          <w:szCs w:val="22"/>
        </w:rPr>
        <w:footnoteReference w:id="39"/>
      </w:r>
      <w:r w:rsidRPr="003337F3">
        <w:rPr>
          <w:szCs w:val="22"/>
          <w:lang w:val="ru-RU"/>
        </w:rPr>
        <w:t xml:space="preserve">, </w:t>
      </w:r>
      <w:r w:rsidRPr="003337F3">
        <w:rPr>
          <w:rFonts w:eastAsia="SimSun" w:cs="Arial"/>
          <w:szCs w:val="22"/>
          <w:lang w:val="ru-RU" w:eastAsia="zh-CN"/>
        </w:rPr>
        <w:t xml:space="preserve">а также отчет Центра по процедурам, инициируемым </w:t>
      </w:r>
      <w:r w:rsidRPr="003337F3">
        <w:rPr>
          <w:rFonts w:eastAsia="SimSun" w:cs="Arial"/>
          <w:szCs w:val="22"/>
          <w:lang w:eastAsia="zh-CN"/>
        </w:rPr>
        <w:t>LRO</w:t>
      </w:r>
      <w:r w:rsidR="00263C54" w:rsidRPr="003337F3">
        <w:rPr>
          <w:rStyle w:val="FootnoteReference"/>
          <w:rFonts w:eastAsia="SimSun"/>
          <w:szCs w:val="22"/>
        </w:rPr>
        <w:footnoteReference w:id="40"/>
      </w:r>
      <w:r w:rsidRPr="003337F3">
        <w:rPr>
          <w:szCs w:val="22"/>
          <w:lang w:val="ru-RU"/>
        </w:rPr>
        <w:t>.</w:t>
      </w:r>
    </w:p>
    <w:p w:rsidR="00263C54" w:rsidRPr="00EC6362" w:rsidRDefault="00263C54" w:rsidP="000A5374">
      <w:pPr>
        <w:pStyle w:val="Heading4"/>
        <w:ind w:left="2268" w:hanging="567"/>
        <w:rPr>
          <w:lang w:val="ru-RU"/>
        </w:rPr>
      </w:pPr>
      <w:r w:rsidRPr="00EC6362">
        <w:rPr>
          <w:lang w:val="ru-RU"/>
        </w:rPr>
        <w:lastRenderedPageBreak/>
        <w:t>(</w:t>
      </w:r>
      <w:r w:rsidRPr="003337F3">
        <w:t>ii</w:t>
      </w:r>
      <w:r w:rsidRPr="00EC6362">
        <w:rPr>
          <w:lang w:val="ru-RU"/>
        </w:rPr>
        <w:t>)</w:t>
      </w:r>
      <w:r w:rsidRPr="00EC6362">
        <w:rPr>
          <w:lang w:val="ru-RU"/>
        </w:rPr>
        <w:tab/>
      </w:r>
      <w:r w:rsidR="000A5374" w:rsidRPr="003337F3">
        <w:rPr>
          <w:szCs w:val="22"/>
          <w:u w:val="single"/>
          <w:lang w:val="ru-RU"/>
        </w:rPr>
        <w:t>Процедура урегулирования споров после делегирования (ДВУ) (</w:t>
      </w:r>
      <w:r w:rsidR="000A5374" w:rsidRPr="003337F3">
        <w:rPr>
          <w:szCs w:val="22"/>
          <w:u w:val="single"/>
        </w:rPr>
        <w:t>PDDRP</w:t>
      </w:r>
      <w:r w:rsidR="000A5374" w:rsidRPr="003337F3">
        <w:rPr>
          <w:szCs w:val="22"/>
          <w:lang w:val="ru-RU"/>
        </w:rPr>
        <w:t>)</w:t>
      </w:r>
      <w:r w:rsidRPr="00EC6362">
        <w:rPr>
          <w:lang w:val="ru-RU"/>
        </w:rPr>
        <w:t xml:space="preserve"> </w:t>
      </w:r>
    </w:p>
    <w:p w:rsidR="00263C54" w:rsidRPr="00EC6362" w:rsidRDefault="000A5374" w:rsidP="00B44019">
      <w:pPr>
        <w:pStyle w:val="ListParagraph"/>
        <w:numPr>
          <w:ilvl w:val="0"/>
          <w:numId w:val="7"/>
        </w:numPr>
        <w:spacing w:before="240" w:after="240"/>
        <w:ind w:left="0" w:firstLine="0"/>
        <w:contextualSpacing w:val="0"/>
        <w:rPr>
          <w:szCs w:val="22"/>
          <w:lang w:val="ru-RU"/>
        </w:rPr>
      </w:pPr>
      <w:r w:rsidRPr="003337F3">
        <w:rPr>
          <w:rFonts w:eastAsia="SimSun" w:cs="Arial"/>
          <w:szCs w:val="22"/>
          <w:lang w:val="ru-RU" w:eastAsia="zh-CN"/>
        </w:rPr>
        <w:t>В начале 2009</w:t>
      </w:r>
      <w:r w:rsidRPr="003337F3">
        <w:rPr>
          <w:rFonts w:eastAsia="SimSun" w:cs="Arial"/>
          <w:szCs w:val="22"/>
          <w:lang w:eastAsia="zh-CN"/>
        </w:rPr>
        <w:t> </w:t>
      </w:r>
      <w:r w:rsidRPr="003337F3">
        <w:rPr>
          <w:rFonts w:eastAsia="SimSun" w:cs="Arial"/>
          <w:szCs w:val="22"/>
          <w:lang w:val="ru-RU" w:eastAsia="zh-CN"/>
        </w:rPr>
        <w:t xml:space="preserve">г Центр направил в </w:t>
      </w:r>
      <w:r w:rsidRPr="003337F3">
        <w:rPr>
          <w:rFonts w:eastAsia="SimSun" w:cs="Arial"/>
          <w:szCs w:val="22"/>
          <w:lang w:eastAsia="zh-CN"/>
        </w:rPr>
        <w:t>ICANN</w:t>
      </w:r>
      <w:r w:rsidRPr="003337F3">
        <w:rPr>
          <w:rFonts w:eastAsia="SimSun" w:cs="Arial"/>
          <w:szCs w:val="22"/>
          <w:lang w:val="ru-RU" w:eastAsia="zh-CN"/>
        </w:rPr>
        <w:t xml:space="preserve"> конкретное содержательное предложение в отношении введения постоянного административного механизма, позволяющего подавать жалобы на регистраторов вновь делегированных рДВУ, чьи действия по управлению реестром предположительно привели к злоупотреблениям товарными знаками или в значительной мере способствовали таким злоупотреблениям</w:t>
      </w:r>
      <w:r w:rsidR="00263C54" w:rsidRPr="003337F3">
        <w:rPr>
          <w:vertAlign w:val="superscript"/>
        </w:rPr>
        <w:footnoteReference w:id="41"/>
      </w:r>
      <w:r w:rsidR="008E6339" w:rsidRPr="003337F3">
        <w:rPr>
          <w:rFonts w:eastAsia="SimSun" w:cs="Arial"/>
          <w:szCs w:val="22"/>
          <w:lang w:val="ru-RU" w:eastAsia="zh-CN"/>
        </w:rPr>
        <w:t xml:space="preserve">. </w:t>
      </w:r>
      <w:r w:rsidRPr="003337F3">
        <w:rPr>
          <w:rFonts w:eastAsia="SimSun" w:cs="Arial"/>
          <w:szCs w:val="22"/>
          <w:lang w:val="ru-RU" w:eastAsia="zh-CN"/>
        </w:rPr>
        <w:t xml:space="preserve">Цель данного предложения заключалась в том, чтобы поддержать собственные функции </w:t>
      </w:r>
      <w:r w:rsidRPr="003337F3">
        <w:rPr>
          <w:rFonts w:eastAsia="SimSun" w:cs="Arial"/>
          <w:szCs w:val="22"/>
          <w:lang w:eastAsia="zh-CN"/>
        </w:rPr>
        <w:t>ICANN</w:t>
      </w:r>
      <w:r w:rsidRPr="003337F3">
        <w:rPr>
          <w:rFonts w:eastAsia="SimSun" w:cs="Arial"/>
          <w:szCs w:val="22"/>
          <w:lang w:val="ru-RU" w:eastAsia="zh-CN"/>
        </w:rPr>
        <w:t xml:space="preserve"> по надзору за соблюдением законодательства стандартизированной процедурой, основанной на административной альтернативе судебному разбирательству, обеспечивающей ответственное поведение соответствующих сторон и предусматривающей соответствующие «зоны безопасности»</w:t>
      </w:r>
      <w:r w:rsidR="00263C54" w:rsidRPr="003337F3">
        <w:rPr>
          <w:rStyle w:val="FootnoteReference"/>
          <w:rFonts w:eastAsia="SimSun"/>
          <w:szCs w:val="22"/>
        </w:rPr>
        <w:footnoteReference w:id="42"/>
      </w:r>
      <w:r w:rsidRPr="003337F3">
        <w:rPr>
          <w:rFonts w:eastAsia="SimSun" w:cs="Arial"/>
          <w:szCs w:val="22"/>
          <w:lang w:val="ru-RU" w:eastAsia="zh-CN"/>
        </w:rPr>
        <w:t>.</w:t>
      </w:r>
      <w:r w:rsidR="00F83CEE" w:rsidRPr="00EC6362">
        <w:rPr>
          <w:szCs w:val="22"/>
          <w:lang w:val="ru-RU"/>
        </w:rPr>
        <w:t xml:space="preserve"> </w:t>
      </w:r>
    </w:p>
    <w:p w:rsidR="00263C54" w:rsidRPr="00EC6362" w:rsidRDefault="000A5374" w:rsidP="00B44019">
      <w:pPr>
        <w:pStyle w:val="ListParagraph"/>
        <w:numPr>
          <w:ilvl w:val="0"/>
          <w:numId w:val="7"/>
        </w:numPr>
        <w:spacing w:after="240"/>
        <w:ind w:left="0" w:firstLine="0"/>
        <w:contextualSpacing w:val="0"/>
        <w:rPr>
          <w:szCs w:val="22"/>
          <w:lang w:val="ru-RU"/>
        </w:rPr>
      </w:pPr>
      <w:r w:rsidRPr="003337F3">
        <w:rPr>
          <w:szCs w:val="22"/>
          <w:lang w:val="ru-RU"/>
        </w:rPr>
        <w:t xml:space="preserve">После различных процессов </w:t>
      </w:r>
      <w:r w:rsidRPr="003337F3">
        <w:rPr>
          <w:szCs w:val="22"/>
        </w:rPr>
        <w:t>ICANN</w:t>
      </w:r>
      <w:r w:rsidRPr="003337F3">
        <w:rPr>
          <w:szCs w:val="22"/>
          <w:lang w:val="ru-RU"/>
        </w:rPr>
        <w:t xml:space="preserve">, включая консультации с регистраторами, эффективность этой процедуры </w:t>
      </w:r>
      <w:r w:rsidRPr="003337F3">
        <w:rPr>
          <w:szCs w:val="22"/>
        </w:rPr>
        <w:t>PDDRP</w:t>
      </w:r>
      <w:r w:rsidRPr="003337F3">
        <w:rPr>
          <w:szCs w:val="22"/>
          <w:lang w:val="ru-RU"/>
        </w:rPr>
        <w:t xml:space="preserve"> в том виде, в каком она принята </w:t>
      </w:r>
      <w:r w:rsidRPr="003337F3">
        <w:rPr>
          <w:szCs w:val="22"/>
        </w:rPr>
        <w:t>ICANN</w:t>
      </w:r>
      <w:r w:rsidRPr="003337F3">
        <w:rPr>
          <w:szCs w:val="22"/>
          <w:lang w:val="ru-RU"/>
        </w:rPr>
        <w:t>, по-прежнему вызывает сомнения, в частности в связи с добавлением дублирующих друг друга процедурных слоев и вопросов, касающихся планируемого фактического объема применения этого механизма</w:t>
      </w:r>
      <w:r w:rsidR="008E6339" w:rsidRPr="003337F3">
        <w:rPr>
          <w:szCs w:val="22"/>
          <w:lang w:val="ru-RU"/>
        </w:rPr>
        <w:t xml:space="preserve">. </w:t>
      </w:r>
      <w:r w:rsidRPr="003337F3">
        <w:rPr>
          <w:szCs w:val="22"/>
          <w:lang w:val="ru-RU"/>
        </w:rPr>
        <w:t>Учитывая более общие стратегические интересы, в 2013</w:t>
      </w:r>
      <w:r w:rsidRPr="003337F3">
        <w:rPr>
          <w:szCs w:val="22"/>
        </w:rPr>
        <w:t> </w:t>
      </w:r>
      <w:r w:rsidRPr="003337F3">
        <w:rPr>
          <w:szCs w:val="22"/>
          <w:lang w:val="ru-RU"/>
        </w:rPr>
        <w:t xml:space="preserve">г. Центр и </w:t>
      </w:r>
      <w:r w:rsidRPr="003337F3">
        <w:rPr>
          <w:szCs w:val="22"/>
        </w:rPr>
        <w:t>ICANN</w:t>
      </w:r>
      <w:r w:rsidRPr="003337F3">
        <w:rPr>
          <w:szCs w:val="22"/>
          <w:lang w:val="ru-RU"/>
        </w:rPr>
        <w:t xml:space="preserve"> договорились о том, что Центр станет органом рассмотрения споров по процедуре </w:t>
      </w:r>
      <w:r w:rsidRPr="003337F3">
        <w:rPr>
          <w:szCs w:val="22"/>
        </w:rPr>
        <w:t>PDDRP</w:t>
      </w:r>
      <w:r w:rsidRPr="003337F3">
        <w:rPr>
          <w:szCs w:val="22"/>
          <w:lang w:val="ru-RU"/>
        </w:rPr>
        <w:t xml:space="preserve"> применительно к товарным знакам.</w:t>
      </w:r>
    </w:p>
    <w:p w:rsidR="00263C54" w:rsidRPr="003337F3" w:rsidRDefault="000A5374" w:rsidP="00212E34">
      <w:pPr>
        <w:pStyle w:val="Heading3"/>
        <w:ind w:left="1701" w:hanging="567"/>
      </w:pPr>
      <w:r w:rsidRPr="003337F3">
        <w:rPr>
          <w:szCs w:val="22"/>
          <w:lang w:val="ru-RU"/>
        </w:rPr>
        <w:t>МОП для доменов второго уровня</w:t>
      </w:r>
    </w:p>
    <w:p w:rsidR="00263C54" w:rsidRPr="00EC6362" w:rsidRDefault="00263C54" w:rsidP="004D0223">
      <w:pPr>
        <w:pStyle w:val="Heading4"/>
        <w:keepNext w:val="0"/>
        <w:rPr>
          <w:lang w:val="ru-RU"/>
        </w:rPr>
      </w:pPr>
      <w:r w:rsidRPr="00EC6362">
        <w:rPr>
          <w:lang w:val="ru-RU"/>
        </w:rPr>
        <w:t>(</w:t>
      </w:r>
      <w:proofErr w:type="spellStart"/>
      <w:r w:rsidRPr="003337F3">
        <w:t>i</w:t>
      </w:r>
      <w:proofErr w:type="spellEnd"/>
      <w:r w:rsidRPr="00EC6362">
        <w:rPr>
          <w:lang w:val="ru-RU"/>
        </w:rPr>
        <w:t>)</w:t>
      </w:r>
      <w:r w:rsidRPr="00EC6362">
        <w:rPr>
          <w:lang w:val="ru-RU"/>
        </w:rPr>
        <w:tab/>
      </w:r>
      <w:r w:rsidR="000A5374" w:rsidRPr="003337F3">
        <w:rPr>
          <w:szCs w:val="22"/>
          <w:u w:val="single"/>
          <w:lang w:val="ru-RU"/>
        </w:rPr>
        <w:t>Центр обмена информацией о товарных знаках</w:t>
      </w:r>
      <w:r w:rsidR="000A5374" w:rsidRPr="00EC6362">
        <w:rPr>
          <w:u w:val="single"/>
          <w:lang w:val="ru-RU"/>
        </w:rPr>
        <w:t xml:space="preserve"> </w:t>
      </w:r>
      <w:r w:rsidRPr="00EC6362">
        <w:rPr>
          <w:u w:val="single"/>
          <w:lang w:val="ru-RU"/>
        </w:rPr>
        <w:t>(</w:t>
      </w:r>
      <w:r w:rsidR="000A5374" w:rsidRPr="003337F3">
        <w:rPr>
          <w:u w:val="single"/>
          <w:lang w:val="ru-RU"/>
        </w:rPr>
        <w:t>ЦОИТЗ</w:t>
      </w:r>
      <w:r w:rsidRPr="00EC6362">
        <w:rPr>
          <w:u w:val="single"/>
          <w:lang w:val="ru-RU"/>
        </w:rPr>
        <w:t>)</w:t>
      </w:r>
    </w:p>
    <w:p w:rsidR="00263C54" w:rsidRPr="00EC6362" w:rsidRDefault="000A5374" w:rsidP="004D0223">
      <w:pPr>
        <w:pStyle w:val="ListParagraph"/>
        <w:numPr>
          <w:ilvl w:val="0"/>
          <w:numId w:val="7"/>
        </w:numPr>
        <w:spacing w:before="240" w:after="240"/>
        <w:ind w:left="0" w:firstLine="0"/>
        <w:contextualSpacing w:val="0"/>
        <w:rPr>
          <w:lang w:val="ru-RU"/>
        </w:rPr>
      </w:pPr>
      <w:r w:rsidRPr="003337F3">
        <w:rPr>
          <w:rFonts w:eastAsia="SimSun" w:cs="Arial"/>
          <w:lang w:val="ru-RU" w:eastAsia="zh-CN"/>
        </w:rPr>
        <w:t xml:space="preserve">Программа </w:t>
      </w:r>
      <w:r w:rsidRPr="003337F3">
        <w:rPr>
          <w:rFonts w:eastAsia="SimSun" w:cs="Arial"/>
          <w:lang w:eastAsia="zh-CN"/>
        </w:rPr>
        <w:t>ICANN</w:t>
      </w:r>
      <w:r w:rsidRPr="003337F3">
        <w:rPr>
          <w:rFonts w:eastAsia="SimSun" w:cs="Arial"/>
          <w:lang w:val="ru-RU" w:eastAsia="zh-CN"/>
        </w:rPr>
        <w:t xml:space="preserve"> по введению новых рДВУ предусматривает создание Центра обмена информацией о товарных знаках (ЦОИТЗ) – централизованного хранилища проверенных данных о товарных знаках, которые могут использоваться в качестве оснований для подачи жалоб на основании МОП, предусмотренных для новых рДВУ</w:t>
      </w:r>
      <w:r w:rsidR="00263C54" w:rsidRPr="003337F3">
        <w:rPr>
          <w:rStyle w:val="FootnoteReference"/>
          <w:rFonts w:eastAsia="SimSun"/>
        </w:rPr>
        <w:footnoteReference w:id="43"/>
      </w:r>
      <w:r w:rsidR="008E6339" w:rsidRPr="003337F3">
        <w:rPr>
          <w:rFonts w:eastAsia="SimSun" w:cs="Arial"/>
          <w:lang w:val="ru-RU" w:eastAsia="zh-CN"/>
        </w:rPr>
        <w:t xml:space="preserve">. </w:t>
      </w:r>
      <w:r w:rsidR="0046584B" w:rsidRPr="003337F3">
        <w:rPr>
          <w:lang w:val="ru-RU"/>
        </w:rPr>
        <w:t xml:space="preserve">Центр отметил, что ЦОИТЗ не должен </w:t>
      </w:r>
      <w:r w:rsidR="0046584B" w:rsidRPr="003337F3">
        <w:rPr>
          <w:rFonts w:eastAsia="SimSun" w:cs="Arial"/>
          <w:lang w:val="ru-RU" w:eastAsia="zh-CN"/>
        </w:rPr>
        <w:t xml:space="preserve">создавать неоправданных проблем для </w:t>
      </w:r>
      <w:r w:rsidR="0046584B" w:rsidRPr="003337F3">
        <w:rPr>
          <w:rFonts w:eastAsia="SimSun" w:cs="Arial"/>
          <w:lang w:val="ru-RU" w:eastAsia="zh-CN"/>
        </w:rPr>
        <w:lastRenderedPageBreak/>
        <w:t>правообладателей в подходе к их правам на товарные знак</w:t>
      </w:r>
      <w:r w:rsidR="00BA5FFF" w:rsidRPr="003337F3">
        <w:rPr>
          <w:rFonts w:eastAsia="SimSun" w:cs="Arial"/>
          <w:lang w:val="ru-RU" w:eastAsia="zh-CN"/>
        </w:rPr>
        <w:t>и, правомерно зарегистрированным</w:t>
      </w:r>
      <w:r w:rsidR="0046584B" w:rsidRPr="003337F3">
        <w:rPr>
          <w:rFonts w:eastAsia="SimSun" w:cs="Arial"/>
          <w:lang w:val="ru-RU" w:eastAsia="zh-CN"/>
        </w:rPr>
        <w:t xml:space="preserve"> путем использования экспертных и регистрационных систем, применяемых во многих странах мира, и в соответствующих случаях могут быть предусмотрены практические меры для выявления каких-то предположительно неправомерных ссылок на наличие прав в конкретных ситуациях</w:t>
      </w:r>
      <w:r w:rsidR="008E6339" w:rsidRPr="003337F3">
        <w:rPr>
          <w:rFonts w:eastAsia="SimSun" w:cs="Arial"/>
          <w:lang w:val="ru-RU" w:eastAsia="zh-CN"/>
        </w:rPr>
        <w:t xml:space="preserve">. </w:t>
      </w:r>
      <w:r w:rsidR="0046584B" w:rsidRPr="003337F3">
        <w:rPr>
          <w:lang w:val="ru-RU"/>
        </w:rPr>
        <w:t xml:space="preserve">По имеющейся информации, по состоянию на май 2018 г. </w:t>
      </w:r>
      <w:r w:rsidR="0046584B" w:rsidRPr="003337F3">
        <w:rPr>
          <w:rFonts w:eastAsia="SimSun" w:cs="Arial"/>
          <w:lang w:val="ru-RU" w:eastAsia="zh-CN"/>
        </w:rPr>
        <w:t xml:space="preserve">число товарных знаков, данные о которых получены Центром обмена информацией, превысило </w:t>
      </w:r>
      <w:r w:rsidR="0046584B" w:rsidRPr="00EC6362">
        <w:rPr>
          <w:lang w:val="ru-RU"/>
        </w:rPr>
        <w:t>44</w:t>
      </w:r>
      <w:r w:rsidR="0046584B" w:rsidRPr="003337F3">
        <w:rPr>
          <w:lang w:val="ru-RU"/>
        </w:rPr>
        <w:t xml:space="preserve"> </w:t>
      </w:r>
      <w:r w:rsidR="00263C54" w:rsidRPr="00EC6362">
        <w:rPr>
          <w:lang w:val="ru-RU"/>
        </w:rPr>
        <w:t>000</w:t>
      </w:r>
      <w:r w:rsidR="00263C54" w:rsidRPr="003337F3">
        <w:rPr>
          <w:rStyle w:val="FootnoteReference"/>
          <w:rFonts w:eastAsia="SimSun"/>
          <w:szCs w:val="22"/>
        </w:rPr>
        <w:footnoteReference w:id="44"/>
      </w:r>
      <w:r w:rsidR="0046584B" w:rsidRPr="003337F3">
        <w:rPr>
          <w:lang w:val="ru-RU"/>
        </w:rPr>
        <w:t>.</w:t>
      </w:r>
      <w:r w:rsidR="00F83CEE" w:rsidRPr="00EC6362">
        <w:rPr>
          <w:lang w:val="ru-RU"/>
        </w:rPr>
        <w:t xml:space="preserve"> </w:t>
      </w:r>
    </w:p>
    <w:p w:rsidR="00263C54" w:rsidRPr="00EC6362" w:rsidRDefault="00263C54" w:rsidP="004D0223">
      <w:pPr>
        <w:pStyle w:val="Heading4"/>
        <w:rPr>
          <w:u w:val="single"/>
          <w:lang w:val="ru-RU"/>
        </w:rPr>
      </w:pPr>
      <w:r w:rsidRPr="00EC6362">
        <w:rPr>
          <w:lang w:val="ru-RU"/>
        </w:rPr>
        <w:t>(</w:t>
      </w:r>
      <w:r w:rsidRPr="003337F3">
        <w:t>ii</w:t>
      </w:r>
      <w:r w:rsidRPr="00EC6362">
        <w:rPr>
          <w:lang w:val="ru-RU"/>
        </w:rPr>
        <w:t>)</w:t>
      </w:r>
      <w:r w:rsidRPr="00EC6362">
        <w:rPr>
          <w:lang w:val="ru-RU"/>
        </w:rPr>
        <w:tab/>
      </w:r>
      <w:r w:rsidR="0046584B" w:rsidRPr="003337F3">
        <w:rPr>
          <w:szCs w:val="22"/>
          <w:u w:val="single"/>
          <w:lang w:val="ru-RU"/>
        </w:rPr>
        <w:t xml:space="preserve">Единая система быстрого приостановления действия </w:t>
      </w:r>
      <w:r w:rsidRPr="00EC6362">
        <w:rPr>
          <w:u w:val="single"/>
          <w:lang w:val="ru-RU"/>
        </w:rPr>
        <w:t>(</w:t>
      </w:r>
      <w:r w:rsidRPr="003337F3">
        <w:rPr>
          <w:u w:val="single"/>
        </w:rPr>
        <w:t>URS</w:t>
      </w:r>
      <w:r w:rsidRPr="00EC6362">
        <w:rPr>
          <w:u w:val="single"/>
          <w:lang w:val="ru-RU"/>
        </w:rPr>
        <w:t>)</w:t>
      </w:r>
    </w:p>
    <w:p w:rsidR="00263C54" w:rsidRPr="00EC6362" w:rsidRDefault="0046584B" w:rsidP="00B44019">
      <w:pPr>
        <w:pStyle w:val="ListParagraph"/>
        <w:numPr>
          <w:ilvl w:val="0"/>
          <w:numId w:val="7"/>
        </w:numPr>
        <w:spacing w:before="240"/>
        <w:ind w:left="0" w:firstLine="0"/>
        <w:contextualSpacing w:val="0"/>
        <w:rPr>
          <w:lang w:val="ru-RU"/>
        </w:rPr>
      </w:pPr>
      <w:r w:rsidRPr="003337F3">
        <w:rPr>
          <w:lang w:val="ru-RU"/>
        </w:rPr>
        <w:t xml:space="preserve">Хотя важно сохранять ЕПУС в качестве основного инструмента исправления нарушений в рамках споров по поводу новых рДВУ, связанных с рассматриваемой передачей оспариваемого доменного имени владельцу товарного знака, </w:t>
      </w:r>
      <w:r w:rsidRPr="003337F3">
        <w:t>ICANN</w:t>
      </w:r>
      <w:r w:rsidRPr="003337F3">
        <w:rPr>
          <w:lang w:val="ru-RU"/>
        </w:rPr>
        <w:t xml:space="preserve"> внедрила процедуру, которая должна служить более простым механизмом охраны прав на домены второго уровня при возникновении соответствующих споров</w:t>
      </w:r>
      <w:r w:rsidR="00263C54" w:rsidRPr="003337F3">
        <w:rPr>
          <w:rStyle w:val="FootnoteReference"/>
          <w:rFonts w:eastAsia="SimSun"/>
        </w:rPr>
        <w:footnoteReference w:id="45"/>
      </w:r>
      <w:r w:rsidRPr="003337F3">
        <w:rPr>
          <w:lang w:val="ru-RU"/>
        </w:rPr>
        <w:t>.</w:t>
      </w:r>
      <w:r w:rsidR="00263C54" w:rsidRPr="00EC6362">
        <w:rPr>
          <w:lang w:val="ru-RU"/>
        </w:rPr>
        <w:t xml:space="preserve"> </w:t>
      </w:r>
    </w:p>
    <w:p w:rsidR="00263C54" w:rsidRPr="003337F3" w:rsidRDefault="0046584B" w:rsidP="00B44019">
      <w:pPr>
        <w:pStyle w:val="ListParagraph"/>
        <w:numPr>
          <w:ilvl w:val="0"/>
          <w:numId w:val="7"/>
        </w:numPr>
        <w:spacing w:before="240" w:after="240"/>
        <w:ind w:left="0" w:firstLine="0"/>
        <w:contextualSpacing w:val="0"/>
      </w:pPr>
      <w:r w:rsidRPr="003337F3">
        <w:rPr>
          <w:rFonts w:eastAsia="SimSun" w:cs="Arial"/>
          <w:lang w:val="ru-RU" w:eastAsia="zh-CN"/>
        </w:rPr>
        <w:t xml:space="preserve">Система </w:t>
      </w:r>
      <w:r w:rsidRPr="003337F3">
        <w:rPr>
          <w:rFonts w:eastAsia="SimSun" w:cs="Arial"/>
          <w:lang w:eastAsia="zh-CN"/>
        </w:rPr>
        <w:t>URS</w:t>
      </w:r>
      <w:r w:rsidRPr="003337F3">
        <w:rPr>
          <w:rFonts w:eastAsia="SimSun" w:cs="Arial"/>
          <w:lang w:val="ru-RU" w:eastAsia="zh-CN"/>
        </w:rPr>
        <w:t xml:space="preserve">, разработанная в результате целого ряда процедур и заседаний комитетов в рамках </w:t>
      </w:r>
      <w:r w:rsidRPr="003337F3">
        <w:rPr>
          <w:rFonts w:eastAsia="SimSun" w:cs="Arial"/>
          <w:lang w:eastAsia="zh-CN"/>
        </w:rPr>
        <w:t>ICANN</w:t>
      </w:r>
      <w:r w:rsidRPr="003337F3">
        <w:rPr>
          <w:rFonts w:eastAsia="SimSun" w:cs="Arial"/>
          <w:lang w:val="ru-RU" w:eastAsia="zh-CN"/>
        </w:rPr>
        <w:t>, по-прежнему вызывает ряд вопросов, включая вопрос о ее взаимосвязи с ЕПУС</w:t>
      </w:r>
      <w:r w:rsidR="00263C54" w:rsidRPr="003337F3">
        <w:rPr>
          <w:rStyle w:val="FootnoteReference"/>
          <w:rFonts w:eastAsia="SimSun"/>
          <w:szCs w:val="22"/>
        </w:rPr>
        <w:footnoteReference w:id="46"/>
      </w:r>
      <w:r w:rsidR="008E6339" w:rsidRPr="00EC6362">
        <w:rPr>
          <w:rFonts w:eastAsia="SimSun" w:cs="Arial"/>
          <w:lang w:val="ru-RU" w:eastAsia="zh-CN"/>
        </w:rPr>
        <w:t xml:space="preserve">. </w:t>
      </w:r>
      <w:r w:rsidRPr="003337F3">
        <w:rPr>
          <w:rFonts w:eastAsia="SimSun" w:cs="Arial"/>
          <w:lang w:eastAsia="zh-CN"/>
        </w:rPr>
        <w:t>ICANN</w:t>
      </w:r>
      <w:r w:rsidRPr="003337F3">
        <w:rPr>
          <w:rFonts w:eastAsia="SimSun" w:cs="Arial"/>
          <w:lang w:val="ru-RU" w:eastAsia="zh-CN"/>
        </w:rPr>
        <w:t xml:space="preserve"> предложила потенциальным провайдерам услуг, связанных с </w:t>
      </w:r>
      <w:r w:rsidRPr="003337F3">
        <w:rPr>
          <w:rFonts w:eastAsia="SimSun" w:cs="Arial"/>
          <w:lang w:eastAsia="zh-CN"/>
        </w:rPr>
        <w:t>URS</w:t>
      </w:r>
      <w:r w:rsidRPr="003337F3">
        <w:rPr>
          <w:rFonts w:eastAsia="SimSun" w:cs="Arial"/>
          <w:lang w:val="ru-RU" w:eastAsia="zh-CN"/>
        </w:rPr>
        <w:t xml:space="preserve">, подать конкурсные заявки, однако Центр, после тщательного рассмотрения принятой </w:t>
      </w:r>
      <w:r w:rsidRPr="003337F3">
        <w:rPr>
          <w:rFonts w:eastAsia="SimSun" w:cs="Arial"/>
          <w:lang w:eastAsia="zh-CN"/>
        </w:rPr>
        <w:t>ICANN</w:t>
      </w:r>
      <w:r w:rsidRPr="003337F3">
        <w:rPr>
          <w:rFonts w:eastAsia="SimSun" w:cs="Arial"/>
          <w:lang w:val="ru-RU" w:eastAsia="zh-CN"/>
        </w:rPr>
        <w:t xml:space="preserve"> модели </w:t>
      </w:r>
      <w:r w:rsidRPr="003337F3">
        <w:rPr>
          <w:rFonts w:eastAsia="SimSun" w:cs="Arial"/>
          <w:lang w:eastAsia="zh-CN"/>
        </w:rPr>
        <w:t>URS</w:t>
      </w:r>
      <w:r w:rsidRPr="003337F3">
        <w:rPr>
          <w:rFonts w:eastAsia="SimSun" w:cs="Arial"/>
          <w:lang w:val="ru-RU" w:eastAsia="zh-CN"/>
        </w:rPr>
        <w:t xml:space="preserve"> и соответствующих вопросов ресурсного обеспечения, пришел к выводу о том, что он не имеет возможности подать такую заявку</w:t>
      </w:r>
      <w:r w:rsidR="00263C54" w:rsidRPr="003337F3">
        <w:rPr>
          <w:rStyle w:val="FootnoteReference"/>
          <w:rFonts w:eastAsia="SimSun"/>
        </w:rPr>
        <w:footnoteReference w:id="47"/>
      </w:r>
      <w:r w:rsidR="008E6339" w:rsidRPr="003337F3">
        <w:rPr>
          <w:rFonts w:eastAsia="SimSun" w:cs="Arial"/>
          <w:lang w:val="ru-RU" w:eastAsia="zh-CN"/>
        </w:rPr>
        <w:t xml:space="preserve">. </w:t>
      </w:r>
      <w:r w:rsidRPr="003337F3">
        <w:rPr>
          <w:rFonts w:eastAsia="SimSun" w:cs="Arial"/>
          <w:lang w:val="ru-RU" w:eastAsia="zh-CN"/>
        </w:rPr>
        <w:t>Центр</w:t>
      </w:r>
      <w:r w:rsidRPr="003337F3">
        <w:rPr>
          <w:rFonts w:eastAsia="SimSun" w:cs="Arial"/>
          <w:lang w:eastAsia="zh-CN"/>
        </w:rPr>
        <w:t xml:space="preserve"> </w:t>
      </w:r>
      <w:r w:rsidRPr="003337F3">
        <w:rPr>
          <w:rFonts w:eastAsia="SimSun" w:cs="Arial"/>
          <w:lang w:val="ru-RU" w:eastAsia="zh-CN"/>
        </w:rPr>
        <w:t>продолжает</w:t>
      </w:r>
      <w:r w:rsidRPr="003337F3">
        <w:rPr>
          <w:rFonts w:eastAsia="SimSun" w:cs="Arial"/>
          <w:lang w:eastAsia="zh-CN"/>
        </w:rPr>
        <w:t xml:space="preserve"> </w:t>
      </w:r>
      <w:r w:rsidRPr="003337F3">
        <w:rPr>
          <w:rFonts w:eastAsia="SimSun" w:cs="Arial"/>
          <w:lang w:val="ru-RU" w:eastAsia="zh-CN"/>
        </w:rPr>
        <w:t>внимательно следить</w:t>
      </w:r>
      <w:r w:rsidRPr="003337F3">
        <w:rPr>
          <w:rFonts w:eastAsia="SimSun" w:cs="Arial"/>
          <w:lang w:eastAsia="zh-CN"/>
        </w:rPr>
        <w:t xml:space="preserve"> </w:t>
      </w:r>
      <w:r w:rsidRPr="003337F3">
        <w:rPr>
          <w:rFonts w:eastAsia="SimSun" w:cs="Arial"/>
          <w:lang w:val="ru-RU" w:eastAsia="zh-CN"/>
        </w:rPr>
        <w:t>за</w:t>
      </w:r>
      <w:r w:rsidRPr="003337F3">
        <w:rPr>
          <w:rFonts w:eastAsia="SimSun" w:cs="Arial"/>
          <w:lang w:eastAsia="zh-CN"/>
        </w:rPr>
        <w:t xml:space="preserve"> </w:t>
      </w:r>
      <w:r w:rsidRPr="003337F3">
        <w:rPr>
          <w:rFonts w:eastAsia="SimSun" w:cs="Arial"/>
          <w:lang w:val="ru-RU" w:eastAsia="zh-CN"/>
        </w:rPr>
        <w:t>развитием</w:t>
      </w:r>
      <w:r w:rsidRPr="003337F3">
        <w:rPr>
          <w:rFonts w:eastAsia="SimSun" w:cs="Arial"/>
          <w:lang w:eastAsia="zh-CN"/>
        </w:rPr>
        <w:t xml:space="preserve"> </w:t>
      </w:r>
      <w:r w:rsidRPr="003337F3">
        <w:rPr>
          <w:rFonts w:eastAsia="SimSun" w:cs="Arial"/>
          <w:lang w:val="ru-RU" w:eastAsia="zh-CN"/>
        </w:rPr>
        <w:t>ситуации.</w:t>
      </w:r>
    </w:p>
    <w:p w:rsidR="00263C54" w:rsidRPr="00EC6362" w:rsidRDefault="00263C54" w:rsidP="004C6545">
      <w:pPr>
        <w:pStyle w:val="Heading2"/>
        <w:rPr>
          <w:lang w:val="ru-RU"/>
        </w:rPr>
      </w:pPr>
      <w:r w:rsidRPr="003337F3">
        <w:t>B</w:t>
      </w:r>
      <w:r w:rsidRPr="00EC6362">
        <w:rPr>
          <w:lang w:val="ru-RU"/>
        </w:rPr>
        <w:t>.</w:t>
      </w:r>
      <w:r w:rsidRPr="00EC6362">
        <w:rPr>
          <w:lang w:val="ru-RU"/>
        </w:rPr>
        <w:tab/>
      </w:r>
      <w:r w:rsidR="0090146B" w:rsidRPr="003337F3">
        <w:rPr>
          <w:lang w:val="ru-RU"/>
        </w:rPr>
        <w:t xml:space="preserve">планируемый </w:t>
      </w:r>
      <w:r w:rsidR="0090146B" w:rsidRPr="003337F3">
        <w:t>ICANN</w:t>
      </w:r>
      <w:r w:rsidR="0090146B" w:rsidRPr="003337F3">
        <w:rPr>
          <w:lang w:val="ru-RU"/>
        </w:rPr>
        <w:t xml:space="preserve"> пересмотр ЕПУС, разработанной ВОИС, и других МОП</w:t>
      </w:r>
    </w:p>
    <w:p w:rsidR="00263C54" w:rsidRPr="00EC6362" w:rsidRDefault="0090146B" w:rsidP="00B44019">
      <w:pPr>
        <w:pStyle w:val="ListParagraph"/>
        <w:widowControl w:val="0"/>
        <w:numPr>
          <w:ilvl w:val="0"/>
          <w:numId w:val="7"/>
        </w:numPr>
        <w:spacing w:before="240" w:after="240"/>
        <w:ind w:left="0" w:firstLine="0"/>
        <w:contextualSpacing w:val="0"/>
        <w:rPr>
          <w:szCs w:val="22"/>
          <w:lang w:val="ru-RU"/>
        </w:rPr>
      </w:pPr>
      <w:r w:rsidRPr="003337F3">
        <w:rPr>
          <w:rFonts w:eastAsia="SimSun" w:cs="Arial"/>
          <w:lang w:val="ru-RU" w:eastAsia="zh-CN"/>
        </w:rPr>
        <w:t xml:space="preserve">В условиях динамичного развития </w:t>
      </w:r>
      <w:r w:rsidRPr="003337F3">
        <w:rPr>
          <w:rFonts w:eastAsia="SimSun" w:cs="Arial"/>
          <w:lang w:eastAsia="zh-CN"/>
        </w:rPr>
        <w:t>DNS</w:t>
      </w:r>
      <w:r w:rsidRPr="003337F3">
        <w:rPr>
          <w:rFonts w:eastAsia="SimSun" w:cs="Arial"/>
          <w:lang w:val="ru-RU" w:eastAsia="zh-CN"/>
        </w:rPr>
        <w:t xml:space="preserve"> ЕПУС обеспечивает владельцам товарных знаков, </w:t>
      </w:r>
      <w:r w:rsidR="003337F3" w:rsidRPr="003337F3">
        <w:rPr>
          <w:rFonts w:eastAsia="SimSun" w:cs="Arial"/>
          <w:lang w:val="ru-RU" w:eastAsia="zh-CN"/>
        </w:rPr>
        <w:t>регистрантам</w:t>
      </w:r>
      <w:r w:rsidRPr="003337F3">
        <w:rPr>
          <w:rFonts w:eastAsia="SimSun" w:cs="Arial"/>
          <w:lang w:val="ru-RU" w:eastAsia="zh-CN"/>
        </w:rPr>
        <w:t xml:space="preserve"> доменных имен и регистрационным органам эффективную альтернативу судебному разбирательству</w:t>
      </w:r>
      <w:r w:rsidR="008E6339" w:rsidRPr="003337F3">
        <w:rPr>
          <w:rFonts w:eastAsia="SimSun" w:cs="Arial"/>
          <w:lang w:val="ru-RU" w:eastAsia="zh-CN"/>
        </w:rPr>
        <w:t xml:space="preserve">. </w:t>
      </w:r>
      <w:r w:rsidRPr="003337F3">
        <w:rPr>
          <w:rFonts w:eastAsia="SimSun" w:cs="Arial"/>
          <w:lang w:val="ru-RU" w:eastAsia="zh-CN"/>
        </w:rPr>
        <w:t>Тем не менее</w:t>
      </w:r>
      <w:r w:rsidR="00BA5FFF" w:rsidRPr="003337F3">
        <w:rPr>
          <w:rFonts w:eastAsia="SimSun" w:cs="Arial"/>
          <w:lang w:val="ru-RU" w:eastAsia="zh-CN"/>
        </w:rPr>
        <w:t>,</w:t>
      </w:r>
      <w:r w:rsidRPr="003337F3">
        <w:rPr>
          <w:rFonts w:eastAsia="SimSun" w:cs="Arial"/>
          <w:lang w:val="ru-RU" w:eastAsia="zh-CN"/>
        </w:rPr>
        <w:t xml:space="preserve"> после состоявшихся в 2011 г. обсуждений, в ходе которых явное большинство участников высказали мнение о том, что любой пересмотр ЕПУС со стороны </w:t>
      </w:r>
      <w:r w:rsidRPr="003337F3">
        <w:rPr>
          <w:rFonts w:eastAsia="SimSun" w:cs="Arial"/>
          <w:lang w:eastAsia="zh-CN"/>
        </w:rPr>
        <w:t>ICANN</w:t>
      </w:r>
      <w:r w:rsidRPr="003337F3">
        <w:rPr>
          <w:rFonts w:eastAsia="SimSun" w:cs="Arial"/>
          <w:lang w:val="ru-RU" w:eastAsia="zh-CN"/>
        </w:rPr>
        <w:t xml:space="preserve"> как органа, основной функцией которого является обеспечение регистраций, может принести больше вреда, чем пользы</w:t>
      </w:r>
      <w:r w:rsidR="00263C54" w:rsidRPr="003337F3">
        <w:rPr>
          <w:vertAlign w:val="superscript"/>
        </w:rPr>
        <w:footnoteReference w:id="48"/>
      </w:r>
      <w:r w:rsidRPr="003337F3">
        <w:rPr>
          <w:rFonts w:eastAsia="SimSun" w:cs="Arial"/>
          <w:lang w:val="ru-RU" w:eastAsia="zh-CN"/>
        </w:rPr>
        <w:t>,</w:t>
      </w:r>
      <w:r w:rsidR="00263C54" w:rsidRPr="00EC6362">
        <w:rPr>
          <w:szCs w:val="22"/>
          <w:lang w:val="ru-RU"/>
        </w:rPr>
        <w:t xml:space="preserve"> </w:t>
      </w:r>
      <w:r w:rsidRPr="003337F3">
        <w:rPr>
          <w:rFonts w:eastAsia="SimSun" w:cs="Arial"/>
          <w:lang w:val="ru-RU" w:eastAsia="zh-CN"/>
        </w:rPr>
        <w:t>Организация поддержки родовых имен (</w:t>
      </w:r>
      <w:r w:rsidRPr="003337F3">
        <w:rPr>
          <w:rFonts w:eastAsia="SimSun" w:cs="Arial"/>
          <w:lang w:eastAsia="zh-CN"/>
        </w:rPr>
        <w:t>GNSO</w:t>
      </w:r>
      <w:r w:rsidRPr="003337F3">
        <w:rPr>
          <w:rFonts w:eastAsia="SimSun" w:cs="Arial"/>
          <w:lang w:val="ru-RU" w:eastAsia="zh-CN"/>
        </w:rPr>
        <w:t xml:space="preserve">) </w:t>
      </w:r>
      <w:r w:rsidRPr="003337F3">
        <w:rPr>
          <w:rFonts w:eastAsia="SimSun" w:cs="Arial"/>
          <w:lang w:eastAsia="zh-CN"/>
        </w:rPr>
        <w:t>ICANN</w:t>
      </w:r>
      <w:r w:rsidRPr="003337F3">
        <w:rPr>
          <w:rFonts w:eastAsia="SimSun" w:cs="Arial"/>
          <w:lang w:val="ru-RU" w:eastAsia="zh-CN"/>
        </w:rPr>
        <w:t xml:space="preserve"> все же приняла решение о пересмотре ЕПУС после введения в действие новых рДВУ</w:t>
      </w:r>
      <w:r w:rsidR="008E6339" w:rsidRPr="003337F3">
        <w:rPr>
          <w:rFonts w:eastAsia="SimSun" w:cs="Arial"/>
          <w:lang w:val="ru-RU" w:eastAsia="zh-CN"/>
        </w:rPr>
        <w:t xml:space="preserve">. </w:t>
      </w:r>
      <w:r w:rsidRPr="003337F3">
        <w:rPr>
          <w:rFonts w:eastAsia="SimSun" w:cs="Arial"/>
          <w:lang w:val="ru-RU" w:eastAsia="zh-CN"/>
        </w:rPr>
        <w:t xml:space="preserve">В октябре 2015 г. был опубликован предварительный тематический доклад </w:t>
      </w:r>
      <w:r w:rsidRPr="003337F3">
        <w:rPr>
          <w:rFonts w:eastAsia="SimSun" w:cs="Arial"/>
          <w:lang w:eastAsia="zh-CN"/>
        </w:rPr>
        <w:t>ICANN</w:t>
      </w:r>
      <w:r w:rsidRPr="003337F3">
        <w:rPr>
          <w:rFonts w:eastAsia="SimSun" w:cs="Arial"/>
          <w:lang w:val="ru-RU" w:eastAsia="zh-CN"/>
        </w:rPr>
        <w:t>, в котором излагается целый ряд сложных вопросов, касающихся существа и процедуры</w:t>
      </w:r>
      <w:r w:rsidR="00263C54" w:rsidRPr="003337F3">
        <w:rPr>
          <w:szCs w:val="22"/>
          <w:vertAlign w:val="superscript"/>
        </w:rPr>
        <w:footnoteReference w:id="49"/>
      </w:r>
      <w:r w:rsidR="008E6339" w:rsidRPr="003337F3">
        <w:rPr>
          <w:rFonts w:eastAsia="SimSun" w:cs="Arial"/>
          <w:lang w:val="ru-RU" w:eastAsia="zh-CN"/>
        </w:rPr>
        <w:t xml:space="preserve">. </w:t>
      </w:r>
      <w:r w:rsidRPr="003337F3">
        <w:rPr>
          <w:rFonts w:eastAsia="SimSun" w:cs="Arial"/>
          <w:lang w:val="ru-RU" w:eastAsia="zh-CN"/>
        </w:rPr>
        <w:t xml:space="preserve">В этой связи Центр высказал ряд замечаний, отметив не только факт длительного успешного применения ЕПУС, но и риски, которыми чреваты любые попытки ее пересмотра со стороны </w:t>
      </w:r>
      <w:r w:rsidRPr="003337F3">
        <w:rPr>
          <w:rFonts w:eastAsia="SimSun" w:cs="Arial"/>
          <w:lang w:eastAsia="zh-CN"/>
        </w:rPr>
        <w:t>ICANN</w:t>
      </w:r>
      <w:r w:rsidR="008E6339" w:rsidRPr="003337F3">
        <w:rPr>
          <w:rFonts w:eastAsia="SimSun" w:cs="Arial"/>
          <w:lang w:val="ru-RU" w:eastAsia="zh-CN"/>
        </w:rPr>
        <w:t xml:space="preserve">. </w:t>
      </w:r>
      <w:r w:rsidRPr="003337F3">
        <w:rPr>
          <w:rFonts w:eastAsia="SimSun" w:cs="Arial"/>
          <w:lang w:val="ru-RU" w:eastAsia="zh-CN"/>
        </w:rPr>
        <w:lastRenderedPageBreak/>
        <w:t xml:space="preserve">После периода общественного обсуждения </w:t>
      </w:r>
      <w:r w:rsidRPr="003337F3">
        <w:rPr>
          <w:rFonts w:eastAsia="SimSun" w:cs="Arial"/>
          <w:lang w:eastAsia="zh-CN"/>
        </w:rPr>
        <w:t>ICANN</w:t>
      </w:r>
      <w:r w:rsidRPr="003337F3">
        <w:rPr>
          <w:rFonts w:eastAsia="SimSun" w:cs="Arial"/>
          <w:lang w:val="ru-RU" w:eastAsia="zh-CN"/>
        </w:rPr>
        <w:t xml:space="preserve"> опубликовала в январе 2016 г. заключительный тематический доклад, содержащий рекомендацию о том, чтобы </w:t>
      </w:r>
      <w:r w:rsidRPr="003337F3">
        <w:rPr>
          <w:rFonts w:eastAsia="SimSun" w:cs="Arial"/>
          <w:lang w:eastAsia="zh-CN"/>
        </w:rPr>
        <w:t>GNSO</w:t>
      </w:r>
      <w:r w:rsidRPr="003337F3">
        <w:rPr>
          <w:rFonts w:eastAsia="SimSun" w:cs="Arial"/>
          <w:lang w:val="ru-RU" w:eastAsia="zh-CN"/>
        </w:rPr>
        <w:t xml:space="preserve"> инициировала процесс разработки политики (ПРП) в целях критического анализа всех МОП в два этапа: на первом этапе, который осуществляется в настоящее время, такому анализу подвергаются МОП, разработанные для программы ввода новых рДВУ, в частности Центр обмена информацией (включая услуги «санрайз» и «претензии») и единую систему быстрого приостановления действия </w:t>
      </w:r>
      <w:r w:rsidRPr="003337F3">
        <w:rPr>
          <w:szCs w:val="22"/>
        </w:rPr>
        <w:t>URS</w:t>
      </w:r>
      <w:r w:rsidRPr="003337F3">
        <w:rPr>
          <w:rFonts w:eastAsia="SimSun" w:cs="Arial"/>
          <w:lang w:val="ru-RU" w:eastAsia="zh-CN"/>
        </w:rPr>
        <w:t>, а на втором будет рассматриваться ЕПУС</w:t>
      </w:r>
      <w:r w:rsidR="00263C54" w:rsidRPr="003337F3">
        <w:rPr>
          <w:szCs w:val="22"/>
          <w:vertAlign w:val="superscript"/>
        </w:rPr>
        <w:footnoteReference w:id="50"/>
      </w:r>
      <w:r w:rsidR="008E6339" w:rsidRPr="003337F3">
        <w:rPr>
          <w:rFonts w:eastAsia="SimSun" w:cs="Arial"/>
          <w:lang w:val="ru-RU" w:eastAsia="zh-CN"/>
        </w:rPr>
        <w:t xml:space="preserve">. </w:t>
      </w:r>
      <w:r w:rsidRPr="003337F3">
        <w:rPr>
          <w:rFonts w:eastAsia="SimSun" w:cs="Arial"/>
          <w:lang w:val="ru-RU" w:eastAsia="zh-CN"/>
        </w:rPr>
        <w:t xml:space="preserve">Этот вопрос вызывает серьезную обеспокоенность, и Центр продолжает внимательно следить за намерениями партнеров </w:t>
      </w:r>
      <w:r w:rsidRPr="003337F3">
        <w:rPr>
          <w:rFonts w:eastAsia="SimSun" w:cs="Arial"/>
          <w:lang w:eastAsia="zh-CN"/>
        </w:rPr>
        <w:t>ICANN</w:t>
      </w:r>
      <w:r w:rsidRPr="003337F3">
        <w:rPr>
          <w:rFonts w:eastAsia="SimSun" w:cs="Arial"/>
          <w:lang w:val="ru-RU" w:eastAsia="zh-CN"/>
        </w:rPr>
        <w:t xml:space="preserve"> в отношении ЕПУС и МОП, используемых для товарных знаков, в целом. В рамках данных усилий Центр находится в контакте с партнерами, занимающимися товарными знаками, такими как Международная ассоциация по товарным знакам (</w:t>
      </w:r>
      <w:r w:rsidRPr="003337F3">
        <w:rPr>
          <w:szCs w:val="22"/>
        </w:rPr>
        <w:t>INTA</w:t>
      </w:r>
      <w:r w:rsidRPr="003337F3">
        <w:rPr>
          <w:szCs w:val="22"/>
          <w:lang w:val="ru-RU"/>
        </w:rPr>
        <w:t xml:space="preserve">) и </w:t>
      </w:r>
      <w:r w:rsidRPr="003337F3">
        <w:rPr>
          <w:rFonts w:eastAsia="SimSun" w:cs="Arial"/>
          <w:lang w:val="ru-RU" w:eastAsia="zh-CN"/>
        </w:rPr>
        <w:t>Ассоциация европейских владельцев товарных знаков (</w:t>
      </w:r>
      <w:r w:rsidRPr="003337F3">
        <w:rPr>
          <w:szCs w:val="22"/>
        </w:rPr>
        <w:t>MARQUES</w:t>
      </w:r>
      <w:r w:rsidRPr="003337F3">
        <w:rPr>
          <w:szCs w:val="22"/>
          <w:lang w:val="ru-RU"/>
        </w:rPr>
        <w:t>)</w:t>
      </w:r>
      <w:r w:rsidR="00263C54" w:rsidRPr="00EC6362">
        <w:rPr>
          <w:szCs w:val="22"/>
          <w:lang w:val="ru-RU"/>
        </w:rPr>
        <w:t>.</w:t>
      </w:r>
    </w:p>
    <w:p w:rsidR="00263C54" w:rsidRPr="00EC6362" w:rsidRDefault="0011227A" w:rsidP="004C6545">
      <w:pPr>
        <w:pStyle w:val="Heading2"/>
        <w:rPr>
          <w:lang w:val="ru-RU"/>
        </w:rPr>
      </w:pPr>
      <w:r w:rsidRPr="003337F3">
        <w:t>C</w:t>
      </w:r>
      <w:r w:rsidRPr="00EC6362">
        <w:rPr>
          <w:lang w:val="ru-RU"/>
        </w:rPr>
        <w:t>.</w:t>
      </w:r>
      <w:r w:rsidRPr="00EC6362">
        <w:rPr>
          <w:lang w:val="ru-RU"/>
        </w:rPr>
        <w:tab/>
      </w:r>
      <w:r w:rsidR="00043B50" w:rsidRPr="003337F3">
        <w:t>GDPR</w:t>
      </w:r>
      <w:r w:rsidR="00263C54" w:rsidRPr="00EC6362">
        <w:rPr>
          <w:lang w:val="ru-RU"/>
        </w:rPr>
        <w:t xml:space="preserve"> </w:t>
      </w:r>
      <w:r w:rsidR="004C6545" w:rsidRPr="003337F3">
        <w:rPr>
          <w:lang w:val="ru-RU"/>
        </w:rPr>
        <w:t>и база данных</w:t>
      </w:r>
      <w:r w:rsidR="00263C54" w:rsidRPr="00EC6362">
        <w:rPr>
          <w:lang w:val="ru-RU"/>
        </w:rPr>
        <w:t xml:space="preserve"> </w:t>
      </w:r>
      <w:r w:rsidR="00263C54" w:rsidRPr="003337F3">
        <w:t>WHOIS</w:t>
      </w:r>
      <w:r w:rsidR="00263C54" w:rsidRPr="00EC6362">
        <w:rPr>
          <w:lang w:val="ru-RU"/>
        </w:rPr>
        <w:t xml:space="preserve"> </w:t>
      </w:r>
    </w:p>
    <w:p w:rsidR="00263C54" w:rsidRPr="003C71DC" w:rsidRDefault="004C6545" w:rsidP="00B44019">
      <w:pPr>
        <w:pStyle w:val="ListParagraph"/>
        <w:widowControl w:val="0"/>
        <w:numPr>
          <w:ilvl w:val="0"/>
          <w:numId w:val="7"/>
        </w:numPr>
        <w:spacing w:before="240"/>
        <w:ind w:left="0" w:firstLine="0"/>
        <w:contextualSpacing w:val="0"/>
        <w:rPr>
          <w:szCs w:val="22"/>
          <w:lang w:val="ru-RU"/>
        </w:rPr>
      </w:pPr>
      <w:r w:rsidRPr="003337F3">
        <w:rPr>
          <w:szCs w:val="22"/>
          <w:lang w:val="ru-RU"/>
        </w:rPr>
        <w:t xml:space="preserve">Общий регламент Европейского союза по защите данных </w:t>
      </w:r>
      <w:r w:rsidR="00263C54" w:rsidRPr="00EC6362">
        <w:rPr>
          <w:szCs w:val="22"/>
          <w:lang w:val="ru-RU"/>
        </w:rPr>
        <w:t>(</w:t>
      </w:r>
      <w:r w:rsidR="00263C54" w:rsidRPr="003337F3">
        <w:rPr>
          <w:szCs w:val="22"/>
        </w:rPr>
        <w:t>GDPR</w:t>
      </w:r>
      <w:r w:rsidR="00263C54" w:rsidRPr="00EC6362">
        <w:rPr>
          <w:szCs w:val="22"/>
          <w:lang w:val="ru-RU"/>
        </w:rPr>
        <w:t xml:space="preserve">) </w:t>
      </w:r>
      <w:r w:rsidRPr="003337F3">
        <w:rPr>
          <w:szCs w:val="22"/>
          <w:lang w:val="ru-RU"/>
        </w:rPr>
        <w:t xml:space="preserve">вступил в силу 25 мая 2018 г. Как было заявлено Европейской комиссией, главной целью </w:t>
      </w:r>
      <w:r w:rsidRPr="003337F3">
        <w:rPr>
          <w:szCs w:val="22"/>
        </w:rPr>
        <w:t>GDPR</w:t>
      </w:r>
      <w:r w:rsidRPr="003C71DC">
        <w:rPr>
          <w:szCs w:val="22"/>
          <w:lang w:val="ru-RU"/>
        </w:rPr>
        <w:t xml:space="preserve"> </w:t>
      </w:r>
      <w:r w:rsidRPr="003337F3">
        <w:rPr>
          <w:szCs w:val="22"/>
          <w:lang w:val="ru-RU"/>
        </w:rPr>
        <w:t>является решение проблем, связанных с соблюдением конфиденциальности информации и защит</w:t>
      </w:r>
      <w:r w:rsidR="004B776F" w:rsidRPr="003337F3">
        <w:rPr>
          <w:szCs w:val="22"/>
          <w:lang w:val="ru-RU"/>
        </w:rPr>
        <w:t>ой</w:t>
      </w:r>
      <w:r w:rsidRPr="003337F3">
        <w:rPr>
          <w:szCs w:val="22"/>
          <w:lang w:val="ru-RU"/>
        </w:rPr>
        <w:t xml:space="preserve"> персональных данных</w:t>
      </w:r>
      <w:r w:rsidR="004B776F" w:rsidRPr="003337F3">
        <w:rPr>
          <w:szCs w:val="22"/>
          <w:lang w:val="ru-RU"/>
        </w:rPr>
        <w:t xml:space="preserve">, </w:t>
      </w:r>
      <w:r w:rsidR="00A260DD" w:rsidRPr="003337F3">
        <w:rPr>
          <w:szCs w:val="22"/>
          <w:lang w:val="ru-RU"/>
        </w:rPr>
        <w:t>но с учетом того, что при достижении этих целей необходимо учитывать законные интересы третьих сторон, например, зафиксированные в договорах и судебных решениях.</w:t>
      </w:r>
    </w:p>
    <w:p w:rsidR="00263C54" w:rsidRPr="00EC6362" w:rsidRDefault="004B776F" w:rsidP="00B44019">
      <w:pPr>
        <w:pStyle w:val="ListParagraph"/>
        <w:widowControl w:val="0"/>
        <w:numPr>
          <w:ilvl w:val="0"/>
          <w:numId w:val="7"/>
        </w:numPr>
        <w:spacing w:before="240" w:after="240"/>
        <w:ind w:left="0" w:firstLine="0"/>
        <w:contextualSpacing w:val="0"/>
        <w:rPr>
          <w:szCs w:val="22"/>
          <w:lang w:val="ru-RU"/>
        </w:rPr>
      </w:pPr>
      <w:r w:rsidRPr="003337F3">
        <w:rPr>
          <w:szCs w:val="22"/>
          <w:lang w:val="ru-RU"/>
        </w:rPr>
        <w:t xml:space="preserve">Важно отметить, что начиная с 25 мая 2018 г. открытая база данных </w:t>
      </w:r>
      <w:r w:rsidRPr="003337F3">
        <w:rPr>
          <w:szCs w:val="22"/>
        </w:rPr>
        <w:t>WhoIs</w:t>
      </w:r>
      <w:r w:rsidRPr="003337F3">
        <w:rPr>
          <w:szCs w:val="22"/>
          <w:lang w:val="ru-RU"/>
        </w:rPr>
        <w:t xml:space="preserve"> более не содержит полную контактную информацию о </w:t>
      </w:r>
      <w:r w:rsidR="00A260DD" w:rsidRPr="003337F3">
        <w:rPr>
          <w:szCs w:val="22"/>
          <w:lang w:val="ru-RU"/>
        </w:rPr>
        <w:t>регистрантах</w:t>
      </w:r>
      <w:r w:rsidR="00341FF8" w:rsidRPr="003337F3">
        <w:rPr>
          <w:szCs w:val="22"/>
          <w:lang w:val="ru-RU"/>
        </w:rPr>
        <w:t xml:space="preserve"> </w:t>
      </w:r>
      <w:r w:rsidRPr="003337F3">
        <w:rPr>
          <w:szCs w:val="22"/>
          <w:lang w:val="ru-RU"/>
        </w:rPr>
        <w:t xml:space="preserve">доменных имен. Теперь открытые данные </w:t>
      </w:r>
      <w:r w:rsidRPr="003337F3">
        <w:rPr>
          <w:szCs w:val="22"/>
        </w:rPr>
        <w:t>WhoIs</w:t>
      </w:r>
      <w:r w:rsidR="00C23D6C" w:rsidRPr="003337F3">
        <w:rPr>
          <w:szCs w:val="22"/>
          <w:lang w:val="ru-RU"/>
        </w:rPr>
        <w:t xml:space="preserve"> ограничиваются информацией об организации и стране регистранта.</w:t>
      </w:r>
      <w:r w:rsidR="00341FF8" w:rsidRPr="003337F3">
        <w:rPr>
          <w:szCs w:val="22"/>
          <w:lang w:val="ru-RU"/>
        </w:rPr>
        <w:t xml:space="preserve"> В частности, имя и адрес электронной почты регистранта в большинстве случаев не раскрываются. </w:t>
      </w:r>
      <w:r w:rsidR="00A260DD" w:rsidRPr="003337F3">
        <w:rPr>
          <w:szCs w:val="22"/>
          <w:lang w:val="ru-RU"/>
        </w:rPr>
        <w:t xml:space="preserve">Однако для упрощения контакта с регистрантом доменного имени, регистратор обязан указать обезличенный адрес электронной почты или предоставить форму обратной связи. Несмотря на эти ограничения, в тех случаях, когда поданная по процедуре ЕПУС жалоба передается провайдеру ЕПУС, соответствующие требованиям </w:t>
      </w:r>
      <w:r w:rsidR="00A260DD" w:rsidRPr="003337F3">
        <w:rPr>
          <w:szCs w:val="22"/>
        </w:rPr>
        <w:t>ICANN</w:t>
      </w:r>
      <w:r w:rsidR="00A260DD" w:rsidRPr="00EC6362">
        <w:rPr>
          <w:szCs w:val="22"/>
          <w:lang w:val="ru-RU"/>
        </w:rPr>
        <w:t xml:space="preserve"> </w:t>
      </w:r>
      <w:r w:rsidR="00A260DD" w:rsidRPr="003337F3">
        <w:rPr>
          <w:szCs w:val="22"/>
          <w:lang w:val="ru-RU"/>
        </w:rPr>
        <w:t xml:space="preserve">регистраторы обычно предоставляют информацию из базы данных </w:t>
      </w:r>
      <w:proofErr w:type="spellStart"/>
      <w:r w:rsidR="00A260DD" w:rsidRPr="003337F3">
        <w:rPr>
          <w:szCs w:val="22"/>
        </w:rPr>
        <w:t>WhoIs</w:t>
      </w:r>
      <w:proofErr w:type="spellEnd"/>
      <w:r w:rsidR="00A260DD" w:rsidRPr="003337F3">
        <w:rPr>
          <w:szCs w:val="22"/>
          <w:lang w:val="ru-RU"/>
        </w:rPr>
        <w:t xml:space="preserve"> по запросу такого провайдера (в то же время, «запирая» регистрацию доменного имени и подробную информацию о регистраторе) в соответствии с надлежащими процедурами, </w:t>
      </w:r>
      <w:r w:rsidR="00BA500F" w:rsidRPr="003337F3">
        <w:rPr>
          <w:szCs w:val="22"/>
          <w:lang w:val="ru-RU"/>
        </w:rPr>
        <w:t xml:space="preserve">предусмотренными правилами ЕПУС. Во «временных условиях </w:t>
      </w:r>
      <w:r w:rsidR="00BA500F" w:rsidRPr="00EC6362">
        <w:rPr>
          <w:szCs w:val="22"/>
          <w:lang w:val="ru-RU"/>
        </w:rPr>
        <w:t>[</w:t>
      </w:r>
      <w:r w:rsidR="00BA500F" w:rsidRPr="003337F3">
        <w:rPr>
          <w:szCs w:val="22"/>
          <w:lang w:val="ru-RU"/>
        </w:rPr>
        <w:t>контракта</w:t>
      </w:r>
      <w:r w:rsidR="00BA500F" w:rsidRPr="00EC6362">
        <w:rPr>
          <w:szCs w:val="22"/>
          <w:lang w:val="ru-RU"/>
        </w:rPr>
        <w:t>]</w:t>
      </w:r>
      <w:r w:rsidR="00BA500F" w:rsidRPr="003337F3">
        <w:rPr>
          <w:szCs w:val="22"/>
          <w:lang w:val="ru-RU"/>
        </w:rPr>
        <w:t xml:space="preserve">», установленных </w:t>
      </w:r>
      <w:r w:rsidR="00BA500F" w:rsidRPr="003337F3">
        <w:rPr>
          <w:szCs w:val="22"/>
        </w:rPr>
        <w:t>ICANN</w:t>
      </w:r>
      <w:r w:rsidR="00BA500F" w:rsidRPr="00EC6362">
        <w:rPr>
          <w:szCs w:val="22"/>
          <w:lang w:val="ru-RU"/>
        </w:rPr>
        <w:t xml:space="preserve"> </w:t>
      </w:r>
      <w:r w:rsidR="00BA500F" w:rsidRPr="003337F3">
        <w:rPr>
          <w:szCs w:val="22"/>
          <w:lang w:val="ru-RU"/>
        </w:rPr>
        <w:t xml:space="preserve">применительно к регистрации данных для </w:t>
      </w:r>
      <w:r w:rsidR="00BA500F" w:rsidRPr="003337F3">
        <w:rPr>
          <w:rFonts w:eastAsia="SimSun" w:cs="Arial"/>
          <w:szCs w:val="22"/>
          <w:lang w:val="ru-RU" w:eastAsia="zh-CN"/>
        </w:rPr>
        <w:t>рДВУ, четко прописано, что регистратор должен предоставить полные «данные о регистрации» провайдеру ЕПУС</w:t>
      </w:r>
      <w:r w:rsidR="00263C54" w:rsidRPr="003337F3">
        <w:rPr>
          <w:rStyle w:val="FootnoteReference"/>
          <w:szCs w:val="22"/>
        </w:rPr>
        <w:footnoteReference w:id="51"/>
      </w:r>
      <w:r w:rsidR="00BA500F" w:rsidRPr="003337F3">
        <w:rPr>
          <w:rFonts w:eastAsia="SimSun" w:cs="Arial"/>
          <w:szCs w:val="22"/>
          <w:lang w:val="ru-RU" w:eastAsia="zh-CN"/>
        </w:rPr>
        <w:t>.</w:t>
      </w:r>
      <w:r w:rsidR="00F83CEE" w:rsidRPr="00EC6362">
        <w:rPr>
          <w:szCs w:val="22"/>
          <w:lang w:val="ru-RU"/>
        </w:rPr>
        <w:t xml:space="preserve"> </w:t>
      </w:r>
      <w:r w:rsidR="00BA500F" w:rsidRPr="003337F3">
        <w:rPr>
          <w:szCs w:val="22"/>
          <w:lang w:val="ru-RU"/>
        </w:rPr>
        <w:t>При этом, судя по всему, исходят из того, что провайдеры ЕПУС соответствуют критериям статьи 6(1)</w:t>
      </w:r>
      <w:r w:rsidR="00263C54" w:rsidRPr="00EC6362">
        <w:rPr>
          <w:szCs w:val="22"/>
          <w:lang w:val="ru-RU"/>
        </w:rPr>
        <w:t>(</w:t>
      </w:r>
      <w:r w:rsidR="00263C54" w:rsidRPr="003337F3">
        <w:rPr>
          <w:szCs w:val="22"/>
        </w:rPr>
        <w:t>f</w:t>
      </w:r>
      <w:r w:rsidR="00263C54" w:rsidRPr="00EC6362">
        <w:rPr>
          <w:szCs w:val="22"/>
          <w:lang w:val="ru-RU"/>
        </w:rPr>
        <w:t xml:space="preserve">) </w:t>
      </w:r>
      <w:r w:rsidR="00BA500F" w:rsidRPr="003337F3">
        <w:rPr>
          <w:szCs w:val="22"/>
          <w:lang w:val="ru-RU"/>
        </w:rPr>
        <w:t xml:space="preserve">(«законные цели») и статьи </w:t>
      </w:r>
      <w:r w:rsidR="00263C54" w:rsidRPr="00EC6362">
        <w:rPr>
          <w:szCs w:val="22"/>
          <w:lang w:val="ru-RU"/>
        </w:rPr>
        <w:t>6(1)(</w:t>
      </w:r>
      <w:r w:rsidR="00263C54" w:rsidRPr="003337F3">
        <w:rPr>
          <w:szCs w:val="22"/>
        </w:rPr>
        <w:t>b</w:t>
      </w:r>
      <w:r w:rsidR="00263C54" w:rsidRPr="00EC6362">
        <w:rPr>
          <w:szCs w:val="22"/>
          <w:lang w:val="ru-RU"/>
        </w:rPr>
        <w:t xml:space="preserve">) </w:t>
      </w:r>
      <w:r w:rsidR="00BA500F" w:rsidRPr="003337F3">
        <w:rPr>
          <w:szCs w:val="22"/>
          <w:lang w:val="ru-RU"/>
        </w:rPr>
        <w:t xml:space="preserve">(«исполнение контракта») </w:t>
      </w:r>
      <w:r w:rsidR="00BA500F" w:rsidRPr="003337F3">
        <w:rPr>
          <w:szCs w:val="22"/>
        </w:rPr>
        <w:t>GDRP</w:t>
      </w:r>
      <w:r w:rsidR="00BA500F" w:rsidRPr="003337F3">
        <w:rPr>
          <w:szCs w:val="22"/>
          <w:lang w:val="ru-RU"/>
        </w:rPr>
        <w:t xml:space="preserve">, в соответствии с которыми регистраторы обязаны предоставлять провайдерами ЕПУС данные </w:t>
      </w:r>
      <w:r w:rsidR="00263C54" w:rsidRPr="003337F3">
        <w:rPr>
          <w:szCs w:val="22"/>
        </w:rPr>
        <w:t>WhoIs</w:t>
      </w:r>
      <w:r w:rsidR="00BA500F" w:rsidRPr="003337F3">
        <w:rPr>
          <w:szCs w:val="22"/>
          <w:lang w:val="ru-RU"/>
        </w:rPr>
        <w:t>.</w:t>
      </w:r>
    </w:p>
    <w:p w:rsidR="00263C54" w:rsidRPr="00EC6362" w:rsidRDefault="00BA500F" w:rsidP="00B44019">
      <w:pPr>
        <w:pStyle w:val="ListParagraph"/>
        <w:widowControl w:val="0"/>
        <w:numPr>
          <w:ilvl w:val="0"/>
          <w:numId w:val="7"/>
        </w:numPr>
        <w:spacing w:after="240"/>
        <w:ind w:left="0" w:firstLine="0"/>
        <w:contextualSpacing w:val="0"/>
        <w:rPr>
          <w:szCs w:val="22"/>
          <w:lang w:val="ru-RU"/>
        </w:rPr>
      </w:pPr>
      <w:r w:rsidRPr="003337F3">
        <w:rPr>
          <w:szCs w:val="22"/>
          <w:lang w:val="ru-RU"/>
        </w:rPr>
        <w:t xml:space="preserve">Центр продолжает внимательно наблюдать за тем, как </w:t>
      </w:r>
      <w:r w:rsidR="00263C54" w:rsidRPr="003337F3">
        <w:rPr>
          <w:szCs w:val="22"/>
        </w:rPr>
        <w:t>GDPR</w:t>
      </w:r>
      <w:r w:rsidR="00263C54" w:rsidRPr="00EC6362">
        <w:rPr>
          <w:szCs w:val="22"/>
          <w:lang w:val="ru-RU"/>
        </w:rPr>
        <w:t xml:space="preserve"> </w:t>
      </w:r>
      <w:r w:rsidRPr="003337F3">
        <w:rPr>
          <w:szCs w:val="22"/>
          <w:lang w:val="ru-RU"/>
        </w:rPr>
        <w:t>влияют на рассмотрение споров по процедуре ЕПУС</w:t>
      </w:r>
      <w:r w:rsidR="00263C54" w:rsidRPr="00EC6362">
        <w:rPr>
          <w:szCs w:val="22"/>
          <w:lang w:val="ru-RU"/>
        </w:rPr>
        <w:t>.</w:t>
      </w:r>
      <w:r w:rsidR="00F83CEE" w:rsidRPr="00EC6362">
        <w:rPr>
          <w:szCs w:val="22"/>
          <w:lang w:val="ru-RU"/>
        </w:rPr>
        <w:t xml:space="preserve"> </w:t>
      </w:r>
      <w:r w:rsidR="008A7AE5" w:rsidRPr="003337F3">
        <w:rPr>
          <w:szCs w:val="22"/>
          <w:lang w:val="ru-RU"/>
        </w:rPr>
        <w:t xml:space="preserve">Помимо выполняемых Центром функций по решению более широких задач защиты прав ИС в связи с введением </w:t>
      </w:r>
      <w:r w:rsidR="00263C54" w:rsidRPr="003337F3">
        <w:rPr>
          <w:szCs w:val="22"/>
        </w:rPr>
        <w:t>GDPR</w:t>
      </w:r>
      <w:r w:rsidR="00263C54" w:rsidRPr="00EC6362">
        <w:rPr>
          <w:szCs w:val="22"/>
          <w:lang w:val="ru-RU"/>
        </w:rPr>
        <w:t xml:space="preserve">, </w:t>
      </w:r>
      <w:r w:rsidR="008A7AE5" w:rsidRPr="003337F3">
        <w:rPr>
          <w:szCs w:val="22"/>
          <w:lang w:val="ru-RU"/>
        </w:rPr>
        <w:t xml:space="preserve">заинтересованные стороны активно обсуждают возможную модель «аккредитации и доступа» применительно к </w:t>
      </w:r>
      <w:r w:rsidR="00E760C0" w:rsidRPr="003337F3">
        <w:rPr>
          <w:szCs w:val="22"/>
        </w:rPr>
        <w:t>WhoIs</w:t>
      </w:r>
      <w:r w:rsidR="008A7AE5" w:rsidRPr="003337F3">
        <w:rPr>
          <w:szCs w:val="22"/>
          <w:lang w:val="ru-RU"/>
        </w:rPr>
        <w:t xml:space="preserve">, в том числе потенциальную роль ВОИС в сертификации правообладателей для получения такого </w:t>
      </w:r>
      <w:r w:rsidR="0009409B" w:rsidRPr="003337F3">
        <w:rPr>
          <w:szCs w:val="22"/>
          <w:lang w:val="ru-RU"/>
        </w:rPr>
        <w:t>доступа</w:t>
      </w:r>
      <w:r w:rsidR="00263C54" w:rsidRPr="003337F3">
        <w:rPr>
          <w:rStyle w:val="FootnoteReference"/>
          <w:szCs w:val="22"/>
        </w:rPr>
        <w:footnoteReference w:id="52"/>
      </w:r>
      <w:r w:rsidR="008A7AE5" w:rsidRPr="003337F3">
        <w:rPr>
          <w:szCs w:val="22"/>
          <w:lang w:val="ru-RU"/>
        </w:rPr>
        <w:t>.</w:t>
      </w:r>
      <w:r w:rsidR="00263C54" w:rsidRPr="00EC6362">
        <w:rPr>
          <w:szCs w:val="22"/>
          <w:lang w:val="ru-RU"/>
        </w:rPr>
        <w:t xml:space="preserve"> </w:t>
      </w:r>
    </w:p>
    <w:p w:rsidR="00263C54" w:rsidRPr="003337F3" w:rsidRDefault="00263C54" w:rsidP="004C6545">
      <w:pPr>
        <w:pStyle w:val="Heading2"/>
      </w:pPr>
      <w:r w:rsidRPr="003337F3">
        <w:lastRenderedPageBreak/>
        <w:t>D.</w:t>
      </w:r>
      <w:r w:rsidRPr="003337F3">
        <w:tab/>
      </w:r>
      <w:r w:rsidR="002D5E85" w:rsidRPr="003337F3">
        <w:rPr>
          <w:lang w:val="ru-RU"/>
        </w:rPr>
        <w:t>ИДИ</w:t>
      </w:r>
    </w:p>
    <w:p w:rsidR="00263C54" w:rsidRPr="003C71DC" w:rsidRDefault="002D5E85" w:rsidP="00B44019">
      <w:pPr>
        <w:pStyle w:val="ListParagraph"/>
        <w:widowControl w:val="0"/>
        <w:numPr>
          <w:ilvl w:val="0"/>
          <w:numId w:val="7"/>
        </w:numPr>
        <w:spacing w:before="240" w:after="240"/>
        <w:ind w:left="0" w:firstLine="0"/>
        <w:contextualSpacing w:val="0"/>
        <w:rPr>
          <w:szCs w:val="22"/>
          <w:lang w:val="ru-RU"/>
        </w:rPr>
      </w:pPr>
      <w:r w:rsidRPr="003337F3">
        <w:rPr>
          <w:rFonts w:eastAsia="SimSun" w:cs="Arial"/>
          <w:szCs w:val="22"/>
          <w:lang w:val="ru-RU" w:eastAsia="zh-CN"/>
        </w:rPr>
        <w:t xml:space="preserve">Как отмечалось в пункте </w:t>
      </w:r>
      <w:r w:rsidR="00355914" w:rsidRPr="00EC6362">
        <w:rPr>
          <w:szCs w:val="22"/>
          <w:lang w:val="ru-RU"/>
        </w:rPr>
        <w:t>20</w:t>
      </w:r>
      <w:r w:rsidR="00263C54" w:rsidRPr="00EC6362">
        <w:rPr>
          <w:szCs w:val="22"/>
          <w:lang w:val="ru-RU"/>
        </w:rPr>
        <w:t xml:space="preserve">, </w:t>
      </w:r>
      <w:r w:rsidRPr="003337F3">
        <w:rPr>
          <w:rFonts w:eastAsia="SimSun" w:cs="Arial"/>
          <w:szCs w:val="22"/>
          <w:lang w:val="ru-RU" w:eastAsia="zh-CN"/>
        </w:rPr>
        <w:t xml:space="preserve">еще одним важным новым явлением в политике в отношении </w:t>
      </w:r>
      <w:r w:rsidRPr="003337F3">
        <w:rPr>
          <w:rFonts w:eastAsia="SimSun" w:cs="Arial"/>
          <w:szCs w:val="22"/>
          <w:lang w:eastAsia="zh-CN"/>
        </w:rPr>
        <w:t>DNS</w:t>
      </w:r>
      <w:r w:rsidRPr="003337F3">
        <w:rPr>
          <w:rFonts w:eastAsia="SimSun" w:cs="Arial"/>
          <w:szCs w:val="22"/>
          <w:lang w:val="ru-RU" w:eastAsia="zh-CN"/>
        </w:rPr>
        <w:t xml:space="preserve"> стало введение на верхнем уровне системы </w:t>
      </w:r>
      <w:r w:rsidRPr="003337F3">
        <w:rPr>
          <w:rFonts w:eastAsia="SimSun" w:cs="Arial"/>
          <w:lang w:val="ru-RU" w:eastAsia="zh-CN"/>
        </w:rPr>
        <w:t>интернационализированных доменных имен (ИДИ</w:t>
      </w:r>
      <w:r w:rsidRPr="003337F3">
        <w:rPr>
          <w:rFonts w:eastAsia="SimSun" w:cs="Arial"/>
          <w:szCs w:val="22"/>
          <w:lang w:val="ru-RU" w:eastAsia="zh-CN"/>
        </w:rPr>
        <w:t>) (нелатинский шрифт)</w:t>
      </w:r>
      <w:r w:rsidR="00263C54" w:rsidRPr="003337F3">
        <w:rPr>
          <w:rStyle w:val="FootnoteReference"/>
          <w:rFonts w:eastAsia="SimSun"/>
          <w:szCs w:val="22"/>
        </w:rPr>
        <w:footnoteReference w:id="53"/>
      </w:r>
      <w:r w:rsidR="008E6339" w:rsidRPr="003337F3">
        <w:rPr>
          <w:rFonts w:eastAsia="SimSun" w:cs="Arial"/>
          <w:szCs w:val="22"/>
          <w:lang w:val="ru-RU" w:eastAsia="zh-CN"/>
        </w:rPr>
        <w:t xml:space="preserve">. </w:t>
      </w:r>
      <w:r w:rsidRPr="003337F3">
        <w:rPr>
          <w:rFonts w:eastAsia="SimSun" w:cs="Arial"/>
          <w:szCs w:val="22"/>
          <w:lang w:val="ru-RU" w:eastAsia="zh-CN"/>
        </w:rPr>
        <w:t xml:space="preserve">Многие из таких имен вошли в число первых новых рДВУ, которые, по информации </w:t>
      </w:r>
      <w:r w:rsidRPr="003337F3">
        <w:rPr>
          <w:rFonts w:eastAsia="SimSun" w:cs="Arial"/>
          <w:szCs w:val="22"/>
          <w:lang w:eastAsia="zh-CN"/>
        </w:rPr>
        <w:t>ICANN</w:t>
      </w:r>
      <w:r w:rsidRPr="003337F3">
        <w:rPr>
          <w:rFonts w:eastAsia="SimSun" w:cs="Arial"/>
          <w:szCs w:val="22"/>
          <w:lang w:val="ru-RU" w:eastAsia="zh-CN"/>
        </w:rPr>
        <w:t xml:space="preserve">, будут делегироваться в корневой зоне </w:t>
      </w:r>
      <w:r w:rsidRPr="003337F3">
        <w:rPr>
          <w:rFonts w:eastAsia="SimSun" w:cs="Arial"/>
          <w:szCs w:val="22"/>
          <w:lang w:eastAsia="zh-CN"/>
        </w:rPr>
        <w:t>DNS</w:t>
      </w:r>
      <w:r w:rsidRPr="003337F3">
        <w:rPr>
          <w:rFonts w:eastAsia="SimSun" w:cs="Arial"/>
          <w:szCs w:val="22"/>
          <w:lang w:val="ru-RU" w:eastAsia="zh-CN"/>
        </w:rPr>
        <w:t>.</w:t>
      </w:r>
    </w:p>
    <w:p w:rsidR="00263C54" w:rsidRPr="003337F3" w:rsidRDefault="00263C54" w:rsidP="004C6545">
      <w:pPr>
        <w:pStyle w:val="Heading2"/>
      </w:pPr>
      <w:r w:rsidRPr="003337F3">
        <w:t>E.</w:t>
      </w:r>
      <w:r w:rsidRPr="003337F3">
        <w:tab/>
      </w:r>
      <w:r w:rsidR="00D17DED" w:rsidRPr="003337F3">
        <w:rPr>
          <w:lang w:val="ru-RU"/>
        </w:rPr>
        <w:t>другие идентификаторы</w:t>
      </w:r>
    </w:p>
    <w:p w:rsidR="00263C54" w:rsidRPr="00EC6362" w:rsidRDefault="00D17DED" w:rsidP="00F83CEE">
      <w:pPr>
        <w:pStyle w:val="ListParagraph"/>
        <w:numPr>
          <w:ilvl w:val="0"/>
          <w:numId w:val="7"/>
        </w:numPr>
        <w:spacing w:before="240" w:after="240"/>
        <w:ind w:left="0" w:firstLine="0"/>
        <w:contextualSpacing w:val="0"/>
        <w:rPr>
          <w:szCs w:val="22"/>
          <w:lang w:val="ru-RU"/>
        </w:rPr>
      </w:pPr>
      <w:r w:rsidRPr="003337F3">
        <w:rPr>
          <w:szCs w:val="22"/>
          <w:lang w:val="ru-RU"/>
        </w:rPr>
        <w:t xml:space="preserve">Помимо упомянутых выше инициатив, а также в связи с ними, в </w:t>
      </w:r>
      <w:r w:rsidRPr="003337F3">
        <w:rPr>
          <w:szCs w:val="22"/>
        </w:rPr>
        <w:t>ICANN</w:t>
      </w:r>
      <w:r w:rsidRPr="003337F3">
        <w:rPr>
          <w:szCs w:val="22"/>
          <w:lang w:val="ru-RU"/>
        </w:rPr>
        <w:t xml:space="preserve"> имеют место и другие новые события в области охраны идентификаторов, не связанных с товарными знаками.</w:t>
      </w:r>
    </w:p>
    <w:p w:rsidR="00263C54" w:rsidRPr="003337F3" w:rsidRDefault="00D17DED" w:rsidP="00212E34">
      <w:pPr>
        <w:pStyle w:val="Heading3"/>
        <w:numPr>
          <w:ilvl w:val="0"/>
          <w:numId w:val="41"/>
        </w:numPr>
        <w:ind w:left="1701" w:hanging="567"/>
      </w:pPr>
      <w:r w:rsidRPr="003337F3">
        <w:rPr>
          <w:lang w:val="ru-RU"/>
        </w:rPr>
        <w:t xml:space="preserve">Международные правительственные организации </w:t>
      </w:r>
      <w:r w:rsidRPr="003337F3">
        <w:rPr>
          <w:szCs w:val="22"/>
        </w:rPr>
        <w:t>(</w:t>
      </w:r>
      <w:r w:rsidRPr="003337F3">
        <w:rPr>
          <w:szCs w:val="22"/>
          <w:lang w:val="ru-RU"/>
        </w:rPr>
        <w:t>МПО</w:t>
      </w:r>
      <w:r w:rsidR="00263C54" w:rsidRPr="003337F3">
        <w:rPr>
          <w:szCs w:val="22"/>
        </w:rPr>
        <w:t>)</w:t>
      </w:r>
    </w:p>
    <w:p w:rsidR="00263C54" w:rsidRPr="00EC6362" w:rsidRDefault="00D17DED" w:rsidP="00F83CEE">
      <w:pPr>
        <w:pStyle w:val="ListParagraph"/>
        <w:numPr>
          <w:ilvl w:val="0"/>
          <w:numId w:val="7"/>
        </w:numPr>
        <w:spacing w:before="240" w:after="240"/>
        <w:ind w:left="0" w:firstLine="0"/>
        <w:contextualSpacing w:val="0"/>
        <w:rPr>
          <w:szCs w:val="22"/>
          <w:lang w:val="ru-RU"/>
        </w:rPr>
      </w:pPr>
      <w:r w:rsidRPr="003337F3">
        <w:rPr>
          <w:szCs w:val="22"/>
          <w:lang w:val="ru-RU"/>
        </w:rPr>
        <w:t>Следует напомнить, что Первый процесс ВОИС по доменным именам в Интернете касался взаимосвязи между доменными именами и товарными знаками. Второй процесс в рамках ВОИС по доменным именам в Интернете был посвящен связи между доменными именами и другими идентификаторами, которые до этого не рассматривались, включая названия стран и полные и сокращенные наименования МПО.</w:t>
      </w:r>
    </w:p>
    <w:p w:rsidR="00263C54" w:rsidRPr="003337F3" w:rsidRDefault="00D17DED" w:rsidP="00B339DE">
      <w:pPr>
        <w:pStyle w:val="ListParagraph"/>
        <w:keepNext/>
        <w:keepLines/>
        <w:numPr>
          <w:ilvl w:val="0"/>
          <w:numId w:val="7"/>
        </w:numPr>
        <w:ind w:left="0" w:firstLine="0"/>
        <w:contextualSpacing w:val="0"/>
        <w:rPr>
          <w:szCs w:val="22"/>
        </w:rPr>
      </w:pPr>
      <w:r w:rsidRPr="003337F3">
        <w:rPr>
          <w:rFonts w:eastAsia="SimSun" w:cs="Arial"/>
          <w:szCs w:val="22"/>
          <w:lang w:val="ru-RU" w:eastAsia="zh-CN"/>
        </w:rPr>
        <w:t>Генеральная Ассамблея ВОИС 2002</w:t>
      </w:r>
      <w:r w:rsidRPr="003337F3">
        <w:rPr>
          <w:rFonts w:eastAsia="SimSun" w:cs="Arial"/>
          <w:szCs w:val="22"/>
          <w:lang w:eastAsia="zh-CN"/>
        </w:rPr>
        <w:t> </w:t>
      </w:r>
      <w:r w:rsidRPr="003337F3">
        <w:rPr>
          <w:rFonts w:eastAsia="SimSun" w:cs="Arial"/>
          <w:szCs w:val="22"/>
          <w:lang w:val="ru-RU" w:eastAsia="zh-CN"/>
        </w:rPr>
        <w:t>г. приняла рекомендацию о внесении в ЕПУС изменений, обеспечивающих охрану названий стран, а также полных и сокращенных названий МПО</w:t>
      </w:r>
      <w:r w:rsidR="00263C54" w:rsidRPr="003337F3">
        <w:rPr>
          <w:vertAlign w:val="superscript"/>
        </w:rPr>
        <w:footnoteReference w:id="54"/>
      </w:r>
      <w:r w:rsidR="008E6339" w:rsidRPr="003337F3">
        <w:rPr>
          <w:rFonts w:eastAsia="SimSun" w:cs="Arial"/>
          <w:szCs w:val="22"/>
          <w:lang w:val="ru-RU" w:eastAsia="zh-CN"/>
        </w:rPr>
        <w:t xml:space="preserve">. </w:t>
      </w:r>
      <w:r w:rsidRPr="003337F3">
        <w:rPr>
          <w:rFonts w:eastAsia="SimSun" w:cs="Arial"/>
          <w:szCs w:val="22"/>
          <w:lang w:val="ru-RU" w:eastAsia="zh-CN"/>
        </w:rPr>
        <w:t xml:space="preserve">Секретариат ВОИС передал эти рекомендации </w:t>
      </w:r>
      <w:r w:rsidRPr="003337F3">
        <w:rPr>
          <w:rFonts w:eastAsia="SimSun" w:cs="Arial"/>
          <w:szCs w:val="22"/>
          <w:lang w:eastAsia="zh-CN"/>
        </w:rPr>
        <w:t>ICANN</w:t>
      </w:r>
      <w:r w:rsidRPr="003337F3">
        <w:rPr>
          <w:rFonts w:eastAsia="SimSun" w:cs="Arial"/>
          <w:szCs w:val="22"/>
          <w:lang w:val="ru-RU" w:eastAsia="zh-CN"/>
        </w:rPr>
        <w:t xml:space="preserve"> в феврале 2003</w:t>
      </w:r>
      <w:r w:rsidRPr="003337F3">
        <w:rPr>
          <w:rFonts w:eastAsia="SimSun" w:cs="Arial"/>
          <w:szCs w:val="22"/>
          <w:lang w:eastAsia="zh-CN"/>
        </w:rPr>
        <w:t> </w:t>
      </w:r>
      <w:r w:rsidRPr="003337F3">
        <w:rPr>
          <w:rFonts w:eastAsia="SimSun" w:cs="Arial"/>
          <w:szCs w:val="22"/>
          <w:lang w:val="ru-RU" w:eastAsia="zh-CN"/>
        </w:rPr>
        <w:t>г.</w:t>
      </w:r>
      <w:r w:rsidR="00263C54" w:rsidRPr="003337F3">
        <w:rPr>
          <w:vertAlign w:val="superscript"/>
        </w:rPr>
        <w:footnoteReference w:id="55"/>
      </w:r>
    </w:p>
    <w:p w:rsidR="00263C54" w:rsidRPr="00EC6362" w:rsidRDefault="00D17DED" w:rsidP="00F83CEE">
      <w:pPr>
        <w:pStyle w:val="ListParagraph"/>
        <w:numPr>
          <w:ilvl w:val="0"/>
          <w:numId w:val="7"/>
        </w:numPr>
        <w:spacing w:before="240" w:after="240"/>
        <w:ind w:left="0" w:firstLine="0"/>
        <w:contextualSpacing w:val="0"/>
        <w:rPr>
          <w:szCs w:val="22"/>
          <w:lang w:val="ru-RU"/>
        </w:rPr>
      </w:pPr>
      <w:r w:rsidRPr="003337F3">
        <w:rPr>
          <w:rFonts w:eastAsia="SimSun" w:cs="Arial"/>
          <w:szCs w:val="22"/>
          <w:lang w:val="ru-RU" w:eastAsia="zh-CN"/>
        </w:rPr>
        <w:t xml:space="preserve">После обсуждений, состоявшихся в рамках </w:t>
      </w:r>
      <w:r w:rsidRPr="003337F3">
        <w:rPr>
          <w:rFonts w:eastAsia="SimSun" w:cs="Arial"/>
          <w:szCs w:val="22"/>
          <w:lang w:eastAsia="zh-CN"/>
        </w:rPr>
        <w:t>ICANN</w:t>
      </w:r>
      <w:r w:rsidR="00263C54" w:rsidRPr="003337F3">
        <w:rPr>
          <w:rStyle w:val="FootnoteReference"/>
          <w:rFonts w:eastAsia="SimSun"/>
          <w:szCs w:val="22"/>
        </w:rPr>
        <w:footnoteReference w:id="56"/>
      </w:r>
      <w:r w:rsidRPr="003337F3">
        <w:rPr>
          <w:rFonts w:eastAsia="SimSun" w:cs="Arial"/>
          <w:szCs w:val="22"/>
          <w:lang w:val="ru-RU" w:eastAsia="zh-CN"/>
        </w:rPr>
        <w:t>,</w:t>
      </w:r>
      <w:r w:rsidR="00263C54" w:rsidRPr="00EC6362">
        <w:rPr>
          <w:szCs w:val="22"/>
          <w:lang w:val="ru-RU"/>
        </w:rPr>
        <w:t xml:space="preserve"> </w:t>
      </w:r>
      <w:r w:rsidRPr="003337F3">
        <w:rPr>
          <w:rFonts w:eastAsia="SimSun" w:cs="Arial"/>
          <w:szCs w:val="22"/>
          <w:lang w:val="ru-RU" w:eastAsia="zh-CN"/>
        </w:rPr>
        <w:t xml:space="preserve">в обновленном «Руководстве для заявителя» </w:t>
      </w:r>
      <w:r w:rsidRPr="003337F3">
        <w:rPr>
          <w:rFonts w:eastAsia="SimSun" w:cs="Arial"/>
          <w:szCs w:val="22"/>
          <w:lang w:eastAsia="zh-CN"/>
        </w:rPr>
        <w:t>ICANN</w:t>
      </w:r>
      <w:r w:rsidRPr="003337F3">
        <w:rPr>
          <w:rFonts w:eastAsia="SimSun" w:cs="Arial"/>
          <w:szCs w:val="22"/>
          <w:lang w:val="ru-RU" w:eastAsia="zh-CN"/>
        </w:rPr>
        <w:t>, касающемся новых рДВУ, возможности охраны полных и сокращенных названий МПО были ограничены введением процедуры возражений в отношении доменов верхнего уровня (т.е. ДВУ, в отношении которых направлены заявки), подаваемых до делегирования ДВУ, которая рассмотрена в пунктах</w:t>
      </w:r>
      <w:r w:rsidRPr="003337F3">
        <w:rPr>
          <w:rFonts w:eastAsia="SimSun" w:cs="Arial"/>
          <w:szCs w:val="22"/>
          <w:lang w:eastAsia="zh-CN"/>
        </w:rPr>
        <w:t> </w:t>
      </w:r>
      <w:r w:rsidRPr="003337F3">
        <w:rPr>
          <w:rFonts w:eastAsia="SimSun" w:cs="Arial"/>
          <w:szCs w:val="22"/>
          <w:lang w:val="ru-RU" w:eastAsia="zh-CN"/>
        </w:rPr>
        <w:t xml:space="preserve">22 и 23 выше. Однако после настойчивых усилий МПО Правительственный консультативный комитет </w:t>
      </w:r>
      <w:r w:rsidRPr="003337F3">
        <w:rPr>
          <w:rFonts w:eastAsia="SimSun" w:cs="Arial"/>
          <w:szCs w:val="22"/>
          <w:lang w:eastAsia="zh-CN"/>
        </w:rPr>
        <w:t>ICANN</w:t>
      </w:r>
      <w:r w:rsidRPr="003337F3">
        <w:rPr>
          <w:rFonts w:eastAsia="SimSun" w:cs="Arial"/>
          <w:szCs w:val="22"/>
          <w:lang w:val="ru-RU" w:eastAsia="zh-CN"/>
        </w:rPr>
        <w:t xml:space="preserve"> (ПКК) рекомендовал Совету </w:t>
      </w:r>
      <w:r w:rsidRPr="003337F3">
        <w:rPr>
          <w:rFonts w:eastAsia="SimSun" w:cs="Arial"/>
          <w:szCs w:val="22"/>
          <w:lang w:eastAsia="zh-CN"/>
        </w:rPr>
        <w:t>ICANN</w:t>
      </w:r>
      <w:r w:rsidRPr="003337F3">
        <w:rPr>
          <w:rFonts w:eastAsia="SimSun" w:cs="Arial"/>
          <w:szCs w:val="22"/>
          <w:lang w:val="ru-RU" w:eastAsia="zh-CN"/>
        </w:rPr>
        <w:t xml:space="preserve"> предусмотреть охрану полных и сокращенных наименований МПО от ненадлежащей регистрации третьими сторонами в </w:t>
      </w:r>
      <w:r w:rsidRPr="003337F3">
        <w:rPr>
          <w:rFonts w:eastAsia="SimSun" w:cs="Arial"/>
          <w:szCs w:val="22"/>
          <w:lang w:eastAsia="zh-CN"/>
        </w:rPr>
        <w:t>DNS</w:t>
      </w:r>
      <w:r w:rsidRPr="003337F3">
        <w:rPr>
          <w:rFonts w:eastAsia="SimSun" w:cs="Arial"/>
          <w:szCs w:val="22"/>
          <w:lang w:val="ru-RU" w:eastAsia="zh-CN"/>
        </w:rPr>
        <w:t xml:space="preserve"> до делегирования любых новых рДВУ</w:t>
      </w:r>
      <w:r w:rsidR="00263C54" w:rsidRPr="003337F3">
        <w:rPr>
          <w:rStyle w:val="FootnoteReference"/>
          <w:rFonts w:eastAsia="SimSun"/>
          <w:szCs w:val="22"/>
        </w:rPr>
        <w:footnoteReference w:id="57"/>
      </w:r>
      <w:r w:rsidR="008E6339" w:rsidRPr="003337F3">
        <w:rPr>
          <w:rFonts w:eastAsia="SimSun" w:cs="Arial"/>
          <w:szCs w:val="22"/>
          <w:lang w:val="ru-RU" w:eastAsia="zh-CN"/>
        </w:rPr>
        <w:t xml:space="preserve">. </w:t>
      </w:r>
      <w:r w:rsidRPr="003337F3">
        <w:rPr>
          <w:rFonts w:eastAsia="SimSun" w:cs="Arial"/>
          <w:szCs w:val="22"/>
          <w:lang w:val="ru-RU" w:eastAsia="zh-CN"/>
        </w:rPr>
        <w:t xml:space="preserve">Кроме того, ПКК рекомендовал Совету </w:t>
      </w:r>
      <w:r w:rsidRPr="003337F3">
        <w:rPr>
          <w:rFonts w:eastAsia="SimSun" w:cs="Arial"/>
          <w:szCs w:val="22"/>
          <w:lang w:eastAsia="zh-CN"/>
        </w:rPr>
        <w:t>ICANN</w:t>
      </w:r>
      <w:r w:rsidRPr="003337F3">
        <w:rPr>
          <w:rFonts w:eastAsia="SimSun" w:cs="Arial"/>
          <w:szCs w:val="22"/>
          <w:lang w:val="ru-RU" w:eastAsia="zh-CN"/>
        </w:rPr>
        <w:t xml:space="preserve"> разработать, опираясь на существующие критерии, применяемые при регистрации имен доменов второго уровня в зоне .</w:t>
      </w:r>
      <w:r w:rsidRPr="003337F3">
        <w:rPr>
          <w:rFonts w:eastAsia="SimSun" w:cs="Arial"/>
          <w:szCs w:val="22"/>
          <w:lang w:eastAsia="zh-CN"/>
        </w:rPr>
        <w:t>int</w:t>
      </w:r>
      <w:r w:rsidRPr="003337F3">
        <w:rPr>
          <w:rFonts w:eastAsia="SimSun" w:cs="Arial"/>
          <w:szCs w:val="22"/>
          <w:lang w:val="ru-RU" w:eastAsia="zh-CN"/>
        </w:rPr>
        <w:t xml:space="preserve">, и во взаимодействии с МПО, список полных и сокращенных названий МПО, которые должны пользоваться охраной по крайней мере в рамках текущего раунда делегирования новых рДВУ. ПКК также рекомендовал Совету, впредь до завершения работы над вопросами будущей </w:t>
      </w:r>
      <w:r w:rsidRPr="003337F3">
        <w:rPr>
          <w:rFonts w:eastAsia="SimSun" w:cs="Arial"/>
          <w:bCs/>
          <w:szCs w:val="22"/>
          <w:lang w:val="ru-RU" w:eastAsia="zh-CN"/>
        </w:rPr>
        <w:t>имплементаци</w:t>
      </w:r>
      <w:r w:rsidRPr="003337F3">
        <w:rPr>
          <w:rFonts w:eastAsia="SimSun" w:cs="Arial"/>
          <w:szCs w:val="22"/>
          <w:lang w:val="ru-RU" w:eastAsia="zh-CN"/>
        </w:rPr>
        <w:t xml:space="preserve">и, предусмотреть временный режим охраны полных и сокращенных наименований МПО посредством </w:t>
      </w:r>
      <w:r w:rsidRPr="003337F3">
        <w:rPr>
          <w:rFonts w:eastAsia="SimSun" w:cs="Arial"/>
          <w:szCs w:val="22"/>
          <w:lang w:val="ru-RU" w:eastAsia="zh-CN"/>
        </w:rPr>
        <w:lastRenderedPageBreak/>
        <w:t>введения моратория на регистрацию имен третьими сторонами до урегулирования этого вопроса.</w:t>
      </w:r>
    </w:p>
    <w:p w:rsidR="00263C54" w:rsidRPr="00EC6362" w:rsidRDefault="00D17DED" w:rsidP="00B339DE">
      <w:pPr>
        <w:pStyle w:val="ListParagraph"/>
        <w:widowControl w:val="0"/>
        <w:numPr>
          <w:ilvl w:val="0"/>
          <w:numId w:val="7"/>
        </w:numPr>
        <w:ind w:left="0" w:firstLine="0"/>
        <w:contextualSpacing w:val="0"/>
        <w:rPr>
          <w:szCs w:val="22"/>
          <w:lang w:val="ru-RU"/>
        </w:rPr>
      </w:pPr>
      <w:r w:rsidRPr="003337F3">
        <w:rPr>
          <w:rFonts w:eastAsia="SimSun" w:cs="Arial"/>
          <w:szCs w:val="22"/>
          <w:lang w:val="ru-RU" w:eastAsia="zh-CN"/>
        </w:rPr>
        <w:t xml:space="preserve">В своем ответе ПКК Совет </w:t>
      </w:r>
      <w:r w:rsidRPr="003337F3">
        <w:rPr>
          <w:rFonts w:eastAsia="SimSun" w:cs="Arial"/>
          <w:szCs w:val="22"/>
          <w:lang w:eastAsia="zh-CN"/>
        </w:rPr>
        <w:t>ICANN</w:t>
      </w:r>
      <w:r w:rsidRPr="003337F3">
        <w:rPr>
          <w:rFonts w:eastAsia="SimSun" w:cs="Arial"/>
          <w:szCs w:val="22"/>
          <w:lang w:val="ru-RU" w:eastAsia="zh-CN"/>
        </w:rPr>
        <w:t xml:space="preserve"> указал на то, что он принял резолюцию, закладывающую основу для такой временной охраны на втором уровне на базе существующих критериев, применяемых при регистрации имен доменов второго уровня в зоне .</w:t>
      </w:r>
      <w:r w:rsidRPr="003337F3">
        <w:rPr>
          <w:rFonts w:eastAsia="SimSun" w:cs="Arial"/>
          <w:szCs w:val="22"/>
          <w:lang w:eastAsia="zh-CN"/>
        </w:rPr>
        <w:t>int</w:t>
      </w:r>
      <w:r w:rsidRPr="003337F3">
        <w:rPr>
          <w:rFonts w:eastAsia="SimSun" w:cs="Arial"/>
          <w:szCs w:val="22"/>
          <w:lang w:val="ru-RU" w:eastAsia="zh-CN"/>
        </w:rPr>
        <w:t xml:space="preserve">, используя имеющийся в </w:t>
      </w:r>
      <w:r w:rsidRPr="003337F3">
        <w:rPr>
          <w:rFonts w:eastAsia="SimSun" w:cs="Arial"/>
          <w:szCs w:val="22"/>
          <w:lang w:eastAsia="zh-CN"/>
        </w:rPr>
        <w:t>ICANN</w:t>
      </w:r>
      <w:r w:rsidRPr="003337F3">
        <w:rPr>
          <w:rFonts w:eastAsia="SimSun" w:cs="Arial"/>
          <w:szCs w:val="22"/>
          <w:lang w:val="ru-RU" w:eastAsia="zh-CN"/>
        </w:rPr>
        <w:t xml:space="preserve"> перечень зарезервированных наименований МПО, которые не должны использоваться для регистрации третьими сторонами, согласно Соглашению с реестрами относительно новых рДВУ</w:t>
      </w:r>
      <w:r w:rsidR="008E6339" w:rsidRPr="003337F3">
        <w:rPr>
          <w:rFonts w:eastAsia="SimSun" w:cs="Arial"/>
          <w:szCs w:val="22"/>
          <w:lang w:val="ru-RU" w:eastAsia="zh-CN"/>
        </w:rPr>
        <w:t xml:space="preserve">. </w:t>
      </w:r>
      <w:r w:rsidRPr="003337F3">
        <w:rPr>
          <w:rFonts w:eastAsia="SimSun" w:cs="Arial"/>
          <w:szCs w:val="22"/>
          <w:lang w:eastAsia="zh-CN"/>
        </w:rPr>
        <w:t>ICANN</w:t>
      </w:r>
      <w:r w:rsidRPr="003337F3">
        <w:rPr>
          <w:rFonts w:eastAsia="SimSun" w:cs="Arial"/>
          <w:szCs w:val="22"/>
          <w:lang w:val="ru-RU" w:eastAsia="zh-CN"/>
        </w:rPr>
        <w:t xml:space="preserve"> предложила, чтобы МПО, отвечающие соответствующим требованиям, направили в </w:t>
      </w:r>
      <w:r w:rsidRPr="003337F3">
        <w:rPr>
          <w:rFonts w:eastAsia="SimSun" w:cs="Arial"/>
          <w:szCs w:val="22"/>
          <w:lang w:eastAsia="zh-CN"/>
        </w:rPr>
        <w:t>ICANN</w:t>
      </w:r>
      <w:r w:rsidRPr="003337F3">
        <w:rPr>
          <w:rFonts w:eastAsia="SimSun" w:cs="Arial"/>
          <w:szCs w:val="22"/>
          <w:lang w:val="ru-RU" w:eastAsia="zh-CN"/>
        </w:rPr>
        <w:t xml:space="preserve"> свои данные и чтобы ПКК (совместно с МПО) составил единый пакет документов по МПО, включающий соответствующие критерии и перечень полных и сокращенных наименований МПО, для которых ПКК рекомендует предусмотреть охрану</w:t>
      </w:r>
      <w:r w:rsidR="008A7AE5" w:rsidRPr="003337F3">
        <w:rPr>
          <w:rStyle w:val="FootnoteReference"/>
          <w:rFonts w:eastAsia="SimSun"/>
          <w:szCs w:val="22"/>
        </w:rPr>
        <w:footnoteReference w:id="58"/>
      </w:r>
      <w:r w:rsidR="008A7AE5" w:rsidRPr="003337F3">
        <w:rPr>
          <w:rFonts w:eastAsia="SimSun" w:cs="Arial"/>
          <w:szCs w:val="22"/>
          <w:lang w:val="ru-RU" w:eastAsia="zh-CN"/>
        </w:rPr>
        <w:t xml:space="preserve">. </w:t>
      </w:r>
      <w:r w:rsidRPr="003337F3">
        <w:rPr>
          <w:rFonts w:eastAsia="SimSun" w:cs="Arial"/>
          <w:szCs w:val="22"/>
          <w:lang w:val="ru-RU" w:eastAsia="zh-CN"/>
        </w:rPr>
        <w:t>В ответ на это коалиция МПО разработала критерии охраны МПО на базе существующих критериев, применяемых при регистрации доменов в зоне .</w:t>
      </w:r>
      <w:r w:rsidRPr="003337F3">
        <w:rPr>
          <w:rFonts w:eastAsia="SimSun" w:cs="Arial"/>
          <w:szCs w:val="22"/>
          <w:lang w:eastAsia="zh-CN"/>
        </w:rPr>
        <w:t>int</w:t>
      </w:r>
      <w:r w:rsidRPr="003337F3">
        <w:rPr>
          <w:rFonts w:eastAsia="SimSun" w:cs="Arial"/>
          <w:szCs w:val="22"/>
          <w:lang w:val="ru-RU" w:eastAsia="zh-CN"/>
        </w:rPr>
        <w:t xml:space="preserve"> и соответствующий перечень МПО, которые были направлены Совету </w:t>
      </w:r>
      <w:r w:rsidRPr="003337F3">
        <w:rPr>
          <w:rFonts w:eastAsia="SimSun" w:cs="Arial"/>
          <w:szCs w:val="22"/>
          <w:lang w:eastAsia="zh-CN"/>
        </w:rPr>
        <w:t>ICANN</w:t>
      </w:r>
      <w:r w:rsidRPr="003337F3">
        <w:rPr>
          <w:rFonts w:eastAsia="SimSun" w:cs="Arial"/>
          <w:szCs w:val="22"/>
          <w:lang w:val="ru-RU" w:eastAsia="zh-CN"/>
        </w:rPr>
        <w:t xml:space="preserve"> в феврале 2013</w:t>
      </w:r>
      <w:r w:rsidRPr="003337F3">
        <w:rPr>
          <w:rFonts w:eastAsia="SimSun" w:cs="Arial"/>
          <w:szCs w:val="22"/>
          <w:lang w:eastAsia="zh-CN"/>
        </w:rPr>
        <w:t> </w:t>
      </w:r>
      <w:r w:rsidRPr="003337F3">
        <w:rPr>
          <w:rFonts w:eastAsia="SimSun" w:cs="Arial"/>
          <w:szCs w:val="22"/>
          <w:lang w:val="ru-RU" w:eastAsia="zh-CN"/>
        </w:rPr>
        <w:t xml:space="preserve">г. Затем ПКК направил в адрес Совета </w:t>
      </w:r>
      <w:r w:rsidRPr="003337F3">
        <w:rPr>
          <w:rFonts w:eastAsia="SimSun" w:cs="Arial"/>
          <w:szCs w:val="22"/>
          <w:lang w:eastAsia="zh-CN"/>
        </w:rPr>
        <w:t>ICANN</w:t>
      </w:r>
      <w:r w:rsidRPr="003337F3">
        <w:rPr>
          <w:rFonts w:eastAsia="SimSun" w:cs="Arial"/>
          <w:szCs w:val="22"/>
          <w:lang w:val="ru-RU" w:eastAsia="zh-CN"/>
        </w:rPr>
        <w:t xml:space="preserve"> письма, содержащее рекомендуемые ПКК критерии определения МПО, имеющих право на охрану</w:t>
      </w:r>
      <w:r w:rsidR="008A7AE5" w:rsidRPr="003337F3">
        <w:rPr>
          <w:rStyle w:val="FootnoteReference"/>
          <w:rFonts w:eastAsia="SimSun"/>
          <w:szCs w:val="22"/>
        </w:rPr>
        <w:footnoteReference w:id="59"/>
      </w:r>
      <w:r w:rsidRPr="003337F3">
        <w:rPr>
          <w:rFonts w:eastAsia="SimSun" w:cs="Arial"/>
          <w:szCs w:val="22"/>
          <w:lang w:val="ru-RU" w:eastAsia="zh-CN"/>
        </w:rPr>
        <w:t>,</w:t>
      </w:r>
      <w:r w:rsidR="00263C54" w:rsidRPr="00EC6362">
        <w:rPr>
          <w:szCs w:val="22"/>
          <w:lang w:val="ru-RU"/>
        </w:rPr>
        <w:t xml:space="preserve"> </w:t>
      </w:r>
      <w:r w:rsidRPr="003337F3">
        <w:rPr>
          <w:rFonts w:eastAsia="SimSun" w:cs="Arial"/>
          <w:szCs w:val="22"/>
          <w:lang w:val="ru-RU" w:eastAsia="zh-CN"/>
        </w:rPr>
        <w:t>к которому был приложен перечень подлежащих охране полных и сокращенных наименований МПО</w:t>
      </w:r>
      <w:r w:rsidR="00263C54" w:rsidRPr="003337F3">
        <w:rPr>
          <w:rStyle w:val="FootnoteReference"/>
          <w:rFonts w:eastAsia="SimSun"/>
          <w:szCs w:val="22"/>
        </w:rPr>
        <w:footnoteReference w:id="60"/>
      </w:r>
      <w:r w:rsidRPr="003337F3">
        <w:rPr>
          <w:rFonts w:eastAsia="SimSun" w:cs="Arial"/>
          <w:szCs w:val="22"/>
          <w:lang w:val="ru-RU" w:eastAsia="zh-CN"/>
        </w:rPr>
        <w:t>.</w:t>
      </w:r>
    </w:p>
    <w:p w:rsidR="00263C54" w:rsidRPr="00EC6362" w:rsidRDefault="00D17DED" w:rsidP="00F83CEE">
      <w:pPr>
        <w:pStyle w:val="ListParagraph"/>
        <w:widowControl w:val="0"/>
        <w:numPr>
          <w:ilvl w:val="0"/>
          <w:numId w:val="7"/>
        </w:numPr>
        <w:spacing w:before="240" w:after="240"/>
        <w:ind w:left="0" w:firstLine="0"/>
        <w:contextualSpacing w:val="0"/>
        <w:rPr>
          <w:szCs w:val="22"/>
          <w:lang w:val="ru-RU"/>
        </w:rPr>
      </w:pPr>
      <w:r w:rsidRPr="003337F3">
        <w:rPr>
          <w:rFonts w:eastAsia="SimSun" w:cs="Arial"/>
          <w:szCs w:val="22"/>
          <w:lang w:val="ru-RU" w:eastAsia="zh-CN"/>
        </w:rPr>
        <w:t>Первого апреля 2013</w:t>
      </w:r>
      <w:r w:rsidRPr="003337F3">
        <w:rPr>
          <w:rFonts w:eastAsia="SimSun" w:cs="Arial"/>
          <w:szCs w:val="22"/>
          <w:lang w:eastAsia="zh-CN"/>
        </w:rPr>
        <w:t> </w:t>
      </w:r>
      <w:r w:rsidRPr="003337F3">
        <w:rPr>
          <w:rFonts w:eastAsia="SimSun" w:cs="Arial"/>
          <w:szCs w:val="22"/>
          <w:lang w:val="ru-RU" w:eastAsia="zh-CN"/>
        </w:rPr>
        <w:t xml:space="preserve">г. Совет изложил в письме ПКК </w:t>
      </w:r>
      <w:r w:rsidR="008A7AE5" w:rsidRPr="003337F3">
        <w:rPr>
          <w:rFonts w:eastAsia="SimSun" w:cs="Arial"/>
          <w:szCs w:val="22"/>
          <w:lang w:val="ru-RU" w:eastAsia="zh-CN"/>
        </w:rPr>
        <w:t xml:space="preserve">беспокоящие его </w:t>
      </w:r>
      <w:r w:rsidRPr="003337F3">
        <w:rPr>
          <w:rFonts w:eastAsia="SimSun" w:cs="Arial"/>
          <w:szCs w:val="22"/>
          <w:lang w:val="ru-RU" w:eastAsia="zh-CN"/>
        </w:rPr>
        <w:t>вопросы согласования охраны сокращенных названий МПО с некоторыми потенциально правомерными попытками третьих сторон регистрировать доменные имена, соответствующие охраняемым сокращенным наименованиям МПО, и в связи с этим попросил ПКК представить дополнительные соображения относительно возможных средств практического урегулирования ситуаций, связанных с потенциально правомерным совместным использованием</w:t>
      </w:r>
      <w:r w:rsidR="00263C54" w:rsidRPr="003337F3">
        <w:rPr>
          <w:rStyle w:val="FootnoteReference"/>
          <w:rFonts w:eastAsia="SimSun"/>
          <w:szCs w:val="22"/>
        </w:rPr>
        <w:footnoteReference w:id="61"/>
      </w:r>
      <w:r w:rsidRPr="003337F3">
        <w:rPr>
          <w:rFonts w:eastAsia="SimSun" w:cs="Arial"/>
          <w:szCs w:val="22"/>
          <w:lang w:val="ru-RU" w:eastAsia="zh-CN"/>
        </w:rPr>
        <w:t>.</w:t>
      </w:r>
      <w:r w:rsidR="00F83CEE" w:rsidRPr="00EC6362">
        <w:rPr>
          <w:szCs w:val="22"/>
          <w:lang w:val="ru-RU"/>
        </w:rPr>
        <w:t xml:space="preserve"> </w:t>
      </w:r>
      <w:r w:rsidRPr="003337F3">
        <w:rPr>
          <w:rFonts w:eastAsia="SimSun" w:cs="Arial"/>
          <w:szCs w:val="22"/>
          <w:lang w:val="ru-RU" w:eastAsia="zh-CN"/>
        </w:rPr>
        <w:t xml:space="preserve">В июле 2013 г. после новых обсуждений с </w:t>
      </w:r>
      <w:r w:rsidRPr="003337F3">
        <w:rPr>
          <w:rFonts w:eastAsia="SimSun" w:cs="Arial"/>
          <w:szCs w:val="22"/>
          <w:lang w:eastAsia="zh-CN"/>
        </w:rPr>
        <w:t>ICANN</w:t>
      </w:r>
      <w:r w:rsidRPr="003337F3">
        <w:rPr>
          <w:rFonts w:eastAsia="SimSun" w:cs="Arial"/>
          <w:szCs w:val="22"/>
          <w:lang w:val="ru-RU" w:eastAsia="zh-CN"/>
        </w:rPr>
        <w:t xml:space="preserve"> и настойчивых усилий со стороны МПО ПКК направил Совету </w:t>
      </w:r>
      <w:r w:rsidRPr="003337F3">
        <w:rPr>
          <w:rFonts w:eastAsia="SimSun" w:cs="Arial"/>
          <w:szCs w:val="22"/>
          <w:lang w:eastAsia="zh-CN"/>
        </w:rPr>
        <w:t>ICANN</w:t>
      </w:r>
      <w:r w:rsidRPr="003337F3">
        <w:rPr>
          <w:rFonts w:eastAsia="SimSun" w:cs="Arial"/>
          <w:szCs w:val="22"/>
          <w:lang w:val="ru-RU" w:eastAsia="zh-CN"/>
        </w:rPr>
        <w:t xml:space="preserve"> рекомендацию, в которой подчеркивалась необходимость особой превентивной охраны полных и сокращенных названий МПО в </w:t>
      </w:r>
      <w:r w:rsidRPr="003337F3">
        <w:rPr>
          <w:szCs w:val="22"/>
        </w:rPr>
        <w:t>DNS</w:t>
      </w:r>
      <w:r w:rsidR="00263C54" w:rsidRPr="003337F3">
        <w:rPr>
          <w:rStyle w:val="FootnoteReference"/>
          <w:rFonts w:eastAsia="SimSun"/>
          <w:szCs w:val="22"/>
        </w:rPr>
        <w:footnoteReference w:id="62"/>
      </w:r>
      <w:r w:rsidR="008E6339" w:rsidRPr="003337F3">
        <w:rPr>
          <w:szCs w:val="22"/>
          <w:lang w:val="ru-RU"/>
        </w:rPr>
        <w:t xml:space="preserve">. </w:t>
      </w:r>
      <w:r w:rsidR="0076240F" w:rsidRPr="003337F3">
        <w:rPr>
          <w:szCs w:val="22"/>
          <w:lang w:val="ru-RU"/>
        </w:rPr>
        <w:t>В порядке выполнения этой рекомендации Совет ICANN принял решение, расширяющее объем временной охраны наименований МПО впредь до проведения первого заседания Программного комитета ICANN по новым рДВУ (NGPC) после сессии ICANN в ноябре 2013 г.</w:t>
      </w:r>
      <w:r w:rsidR="00263C54" w:rsidRPr="003337F3">
        <w:rPr>
          <w:rStyle w:val="FootnoteReference"/>
          <w:rFonts w:eastAsia="SimSun"/>
          <w:szCs w:val="22"/>
        </w:rPr>
        <w:footnoteReference w:id="63"/>
      </w:r>
      <w:r w:rsidR="00263C54" w:rsidRPr="00EC6362">
        <w:rPr>
          <w:szCs w:val="22"/>
          <w:lang w:val="ru-RU"/>
        </w:rPr>
        <w:t xml:space="preserve"> </w:t>
      </w:r>
    </w:p>
    <w:p w:rsidR="00263C54" w:rsidRPr="00EC6362" w:rsidRDefault="0076240F" w:rsidP="00B339DE">
      <w:pPr>
        <w:pStyle w:val="ListParagraph"/>
        <w:numPr>
          <w:ilvl w:val="0"/>
          <w:numId w:val="7"/>
        </w:numPr>
        <w:ind w:left="0" w:firstLine="0"/>
        <w:contextualSpacing w:val="0"/>
        <w:rPr>
          <w:szCs w:val="22"/>
          <w:lang w:val="ru-RU"/>
        </w:rPr>
      </w:pPr>
      <w:r w:rsidRPr="003337F3">
        <w:rPr>
          <w:rFonts w:eastAsia="SimSun" w:cs="Arial"/>
          <w:szCs w:val="22"/>
          <w:lang w:val="ru-RU" w:eastAsia="zh-CN"/>
        </w:rPr>
        <w:t>В октябре 2013</w:t>
      </w:r>
      <w:r w:rsidRPr="003337F3">
        <w:rPr>
          <w:rFonts w:eastAsia="SimSun" w:cs="Arial"/>
          <w:szCs w:val="22"/>
          <w:lang w:eastAsia="zh-CN"/>
        </w:rPr>
        <w:t> </w:t>
      </w:r>
      <w:r w:rsidRPr="003337F3">
        <w:rPr>
          <w:rFonts w:eastAsia="SimSun" w:cs="Arial"/>
          <w:szCs w:val="22"/>
          <w:lang w:val="ru-RU" w:eastAsia="zh-CN"/>
        </w:rPr>
        <w:t xml:space="preserve">г. </w:t>
      </w:r>
      <w:r w:rsidRPr="003337F3">
        <w:rPr>
          <w:rFonts w:eastAsia="SimSun" w:cs="Arial"/>
          <w:szCs w:val="22"/>
          <w:lang w:eastAsia="zh-CN"/>
        </w:rPr>
        <w:t>NGPC</w:t>
      </w:r>
      <w:r w:rsidRPr="003337F3">
        <w:rPr>
          <w:rFonts w:eastAsia="SimSun" w:cs="Arial"/>
          <w:szCs w:val="22"/>
          <w:lang w:val="ru-RU" w:eastAsia="zh-CN"/>
        </w:rPr>
        <w:t xml:space="preserve"> выступил с предложением об охране сокращенных названий МПО на втором уровне </w:t>
      </w:r>
      <w:r w:rsidRPr="003337F3">
        <w:rPr>
          <w:rFonts w:eastAsia="SimSun" w:cs="Arial"/>
          <w:szCs w:val="22"/>
          <w:lang w:eastAsia="zh-CN"/>
        </w:rPr>
        <w:t>DNS</w:t>
      </w:r>
      <w:r w:rsidRPr="003337F3">
        <w:rPr>
          <w:rFonts w:eastAsia="SimSun" w:cs="Arial"/>
          <w:szCs w:val="22"/>
          <w:lang w:val="ru-RU" w:eastAsia="zh-CN"/>
        </w:rPr>
        <w:t xml:space="preserve">, которое оказалось более ограниченным по своему объему </w:t>
      </w:r>
      <w:r w:rsidRPr="003337F3">
        <w:rPr>
          <w:rFonts w:eastAsia="SimSun" w:cs="Arial"/>
          <w:szCs w:val="18"/>
          <w:lang w:val="ru-RU" w:eastAsia="zh-CN"/>
        </w:rPr>
        <w:t>по сравнению</w:t>
      </w:r>
      <w:r w:rsidRPr="003337F3">
        <w:rPr>
          <w:rFonts w:eastAsia="SimSun" w:cs="Arial"/>
          <w:szCs w:val="22"/>
          <w:lang w:val="ru-RU" w:eastAsia="zh-CN"/>
        </w:rPr>
        <w:t xml:space="preserve"> с режимом постоянной превентивной охраны сокращенных наименований МПО, рекомендованным в предыдущих коммюнике ПКК</w:t>
      </w:r>
      <w:r w:rsidR="00263C54" w:rsidRPr="003337F3">
        <w:rPr>
          <w:rStyle w:val="FootnoteReference"/>
          <w:rFonts w:eastAsia="SimSun"/>
          <w:szCs w:val="22"/>
        </w:rPr>
        <w:footnoteReference w:id="64"/>
      </w:r>
      <w:r w:rsidRPr="003337F3">
        <w:rPr>
          <w:rFonts w:eastAsia="SimSun" w:cs="Arial"/>
          <w:szCs w:val="22"/>
          <w:lang w:val="ru-RU" w:eastAsia="zh-CN"/>
        </w:rPr>
        <w:t>.</w:t>
      </w:r>
      <w:r w:rsidR="00F83CEE" w:rsidRPr="00EC6362">
        <w:rPr>
          <w:szCs w:val="22"/>
          <w:lang w:val="ru-RU"/>
        </w:rPr>
        <w:t xml:space="preserve"> </w:t>
      </w:r>
    </w:p>
    <w:p w:rsidR="00263C54" w:rsidRPr="00EC6362" w:rsidRDefault="0076240F" w:rsidP="00F83CEE">
      <w:pPr>
        <w:pStyle w:val="ListParagraph"/>
        <w:numPr>
          <w:ilvl w:val="0"/>
          <w:numId w:val="7"/>
        </w:numPr>
        <w:spacing w:before="240" w:after="240"/>
        <w:ind w:left="0" w:firstLine="0"/>
        <w:contextualSpacing w:val="0"/>
        <w:rPr>
          <w:szCs w:val="22"/>
          <w:lang w:val="ru-RU"/>
        </w:rPr>
      </w:pPr>
      <w:r w:rsidRPr="003337F3">
        <w:rPr>
          <w:szCs w:val="22"/>
          <w:lang w:val="ru-RU"/>
        </w:rPr>
        <w:lastRenderedPageBreak/>
        <w:t>Параллельно с усилиями, предпринимаемыми NGPC, ПКК и МПО</w:t>
      </w:r>
      <w:r w:rsidR="00263C54" w:rsidRPr="003337F3">
        <w:rPr>
          <w:rStyle w:val="FootnoteReference"/>
          <w:rFonts w:eastAsia="SimSun"/>
          <w:szCs w:val="22"/>
        </w:rPr>
        <w:footnoteReference w:id="65"/>
      </w:r>
      <w:r w:rsidRPr="003337F3">
        <w:rPr>
          <w:szCs w:val="22"/>
          <w:lang w:val="ru-RU"/>
        </w:rPr>
        <w:t>,</w:t>
      </w:r>
      <w:r w:rsidR="00263C54" w:rsidRPr="00EC6362">
        <w:rPr>
          <w:szCs w:val="22"/>
          <w:lang w:val="ru-RU"/>
        </w:rPr>
        <w:t xml:space="preserve"> </w:t>
      </w:r>
      <w:r w:rsidRPr="003337F3">
        <w:rPr>
          <w:szCs w:val="22"/>
        </w:rPr>
        <w:t>GNSO</w:t>
      </w:r>
      <w:r w:rsidRPr="003337F3">
        <w:rPr>
          <w:szCs w:val="22"/>
          <w:lang w:val="ru-RU"/>
        </w:rPr>
        <w:t xml:space="preserve"> инициировал ПРП по вопросу охраны МПО, в котором, наряду с другими представителями МПО, участвовал Центр</w:t>
      </w:r>
      <w:r w:rsidR="008E6339" w:rsidRPr="003337F3">
        <w:rPr>
          <w:szCs w:val="22"/>
          <w:lang w:val="ru-RU"/>
        </w:rPr>
        <w:t xml:space="preserve">. </w:t>
      </w:r>
      <w:r w:rsidRPr="003337F3">
        <w:rPr>
          <w:szCs w:val="22"/>
          <w:lang w:val="ru-RU"/>
        </w:rPr>
        <w:t xml:space="preserve">Вопреки возражениям МПО, в рамках данной процедуры </w:t>
      </w:r>
      <w:r w:rsidRPr="003337F3">
        <w:rPr>
          <w:szCs w:val="22"/>
        </w:rPr>
        <w:t>GNSO</w:t>
      </w:r>
      <w:r w:rsidRPr="003337F3">
        <w:rPr>
          <w:szCs w:val="22"/>
          <w:lang w:val="ru-RU"/>
        </w:rPr>
        <w:t xml:space="preserve"> вынесла решение, в значительной мере отвергающее идею превентивной охраны сокращенных названий МПО на втором уровне</w:t>
      </w:r>
      <w:r w:rsidR="008E6339" w:rsidRPr="003337F3">
        <w:rPr>
          <w:szCs w:val="22"/>
          <w:lang w:val="ru-RU"/>
        </w:rPr>
        <w:t xml:space="preserve">. </w:t>
      </w:r>
      <w:r w:rsidRPr="003337F3">
        <w:rPr>
          <w:szCs w:val="22"/>
        </w:rPr>
        <w:t>GNSO</w:t>
      </w:r>
      <w:r w:rsidRPr="003337F3">
        <w:rPr>
          <w:szCs w:val="22"/>
          <w:lang w:val="ru-RU"/>
        </w:rPr>
        <w:t xml:space="preserve"> рекомендовала лишь корректирующие механизмы охраны прав на сокращенные наименования МПО, а также отмену уже вступивших в силу временных мер охраны сокращенных названий МПО. Совет </w:t>
      </w:r>
      <w:r w:rsidRPr="003337F3">
        <w:rPr>
          <w:szCs w:val="22"/>
        </w:rPr>
        <w:t>GNSO</w:t>
      </w:r>
      <w:r w:rsidRPr="003337F3">
        <w:rPr>
          <w:szCs w:val="22"/>
          <w:lang w:val="ru-RU"/>
        </w:rPr>
        <w:t xml:space="preserve"> единогласно принял эти рекомендации в ноябре 2013</w:t>
      </w:r>
      <w:r w:rsidRPr="003337F3">
        <w:rPr>
          <w:szCs w:val="22"/>
        </w:rPr>
        <w:t> </w:t>
      </w:r>
      <w:r w:rsidRPr="003337F3">
        <w:rPr>
          <w:szCs w:val="22"/>
          <w:lang w:val="ru-RU"/>
        </w:rPr>
        <w:t>г</w:t>
      </w:r>
      <w:r w:rsidR="008E6339" w:rsidRPr="003337F3">
        <w:rPr>
          <w:szCs w:val="22"/>
          <w:lang w:val="ru-RU"/>
        </w:rPr>
        <w:t xml:space="preserve">. </w:t>
      </w:r>
      <w:r w:rsidRPr="003337F3">
        <w:rPr>
          <w:szCs w:val="22"/>
          <w:lang w:val="ru-RU"/>
        </w:rPr>
        <w:t xml:space="preserve">В апреле 2014 г. Совет </w:t>
      </w:r>
      <w:r w:rsidRPr="003337F3">
        <w:rPr>
          <w:szCs w:val="22"/>
        </w:rPr>
        <w:t>ICANN</w:t>
      </w:r>
      <w:r w:rsidRPr="003337F3">
        <w:rPr>
          <w:szCs w:val="22"/>
          <w:lang w:val="ru-RU"/>
        </w:rPr>
        <w:t xml:space="preserve"> постановил принять рекомендации Совета </w:t>
      </w:r>
      <w:r w:rsidRPr="003337F3">
        <w:rPr>
          <w:szCs w:val="22"/>
        </w:rPr>
        <w:t>GNSO</w:t>
      </w:r>
      <w:r w:rsidRPr="003337F3">
        <w:rPr>
          <w:szCs w:val="22"/>
          <w:lang w:val="ru-RU"/>
        </w:rPr>
        <w:t xml:space="preserve">, не противоречащие рекомендациям ПКК, в частности касающиеся резервирования при регистрации полных наименований МПО на двух языках на верхнем и втором уровнях </w:t>
      </w:r>
      <w:r w:rsidRPr="003337F3">
        <w:rPr>
          <w:szCs w:val="22"/>
          <w:lang w:val="en-GB"/>
        </w:rPr>
        <w:t>DNS</w:t>
      </w:r>
      <w:r w:rsidRPr="003337F3">
        <w:rPr>
          <w:szCs w:val="22"/>
          <w:lang w:val="ru-RU"/>
        </w:rPr>
        <w:t>.</w:t>
      </w:r>
      <w:r w:rsidR="00F83CEE" w:rsidRPr="00EC6362">
        <w:rPr>
          <w:szCs w:val="22"/>
          <w:lang w:val="ru-RU"/>
        </w:rPr>
        <w:t xml:space="preserve"> </w:t>
      </w:r>
    </w:p>
    <w:p w:rsidR="00263C54" w:rsidRPr="00EC6362" w:rsidRDefault="0076240F" w:rsidP="00F83CEE">
      <w:pPr>
        <w:pStyle w:val="ListParagraph"/>
        <w:numPr>
          <w:ilvl w:val="0"/>
          <w:numId w:val="7"/>
        </w:numPr>
        <w:tabs>
          <w:tab w:val="left" w:pos="567"/>
        </w:tabs>
        <w:spacing w:after="240"/>
        <w:ind w:left="0" w:firstLine="0"/>
        <w:contextualSpacing w:val="0"/>
        <w:rPr>
          <w:szCs w:val="22"/>
          <w:lang w:val="ru-RU"/>
        </w:rPr>
      </w:pPr>
      <w:r w:rsidRPr="003337F3">
        <w:rPr>
          <w:szCs w:val="22"/>
          <w:lang w:val="ru-RU"/>
        </w:rPr>
        <w:t>Несмотря на эту рекомендацию ПКК и мнение МПО, в июне 2014</w:t>
      </w:r>
      <w:r w:rsidRPr="003337F3">
        <w:rPr>
          <w:szCs w:val="22"/>
        </w:rPr>
        <w:t> </w:t>
      </w:r>
      <w:r w:rsidRPr="003337F3">
        <w:rPr>
          <w:szCs w:val="22"/>
          <w:lang w:val="ru-RU"/>
        </w:rPr>
        <w:t xml:space="preserve">г. Совет </w:t>
      </w:r>
      <w:r w:rsidRPr="003337F3">
        <w:rPr>
          <w:szCs w:val="22"/>
        </w:rPr>
        <w:t>GNSO</w:t>
      </w:r>
      <w:r w:rsidRPr="003337F3">
        <w:rPr>
          <w:szCs w:val="22"/>
          <w:lang w:val="ru-RU"/>
        </w:rPr>
        <w:t xml:space="preserve"> принял решение об инициировании второго ПРП, посвященного целесообразности и формах предоставления в распоряжение МПО корректирующих МОП (таких как ЕПУС или </w:t>
      </w:r>
      <w:r w:rsidRPr="003337F3">
        <w:rPr>
          <w:szCs w:val="22"/>
        </w:rPr>
        <w:t>URS</w:t>
      </w:r>
      <w:r w:rsidRPr="003337F3">
        <w:rPr>
          <w:szCs w:val="22"/>
          <w:lang w:val="ru-RU"/>
        </w:rPr>
        <w:t>) для решения вопроса о неправомерной регистрации сокращенных наименований МПО или полных наименований МПО, на которые не распространяются вышеуказанные исключения</w:t>
      </w:r>
      <w:r w:rsidR="008E6339" w:rsidRPr="003337F3">
        <w:rPr>
          <w:szCs w:val="22"/>
          <w:lang w:val="ru-RU"/>
        </w:rPr>
        <w:t xml:space="preserve">. </w:t>
      </w:r>
      <w:r w:rsidRPr="003337F3">
        <w:rPr>
          <w:szCs w:val="22"/>
          <w:lang w:val="ru-RU"/>
        </w:rPr>
        <w:t xml:space="preserve">Несмотря на продолжающееся обсуждение, в том числе на всех последующих совещаниях </w:t>
      </w:r>
      <w:r w:rsidR="00263C54" w:rsidRPr="003337F3">
        <w:rPr>
          <w:szCs w:val="22"/>
        </w:rPr>
        <w:t>ICANN</w:t>
      </w:r>
      <w:r w:rsidRPr="003337F3">
        <w:rPr>
          <w:szCs w:val="22"/>
          <w:lang w:val="ru-RU"/>
        </w:rPr>
        <w:t xml:space="preserve">, окончательная рекомендация </w:t>
      </w:r>
      <w:r w:rsidR="00263C54" w:rsidRPr="003337F3">
        <w:rPr>
          <w:szCs w:val="22"/>
        </w:rPr>
        <w:t>GNSO</w:t>
      </w:r>
      <w:r w:rsidR="00263C54" w:rsidRPr="00EC6362">
        <w:rPr>
          <w:szCs w:val="22"/>
          <w:lang w:val="ru-RU"/>
        </w:rPr>
        <w:t xml:space="preserve"> </w:t>
      </w:r>
      <w:r w:rsidRPr="003337F3">
        <w:rPr>
          <w:szCs w:val="22"/>
          <w:lang w:val="ru-RU"/>
        </w:rPr>
        <w:t>пока еще не представлена</w:t>
      </w:r>
      <w:r w:rsidR="008E6339" w:rsidRPr="00EC6362">
        <w:rPr>
          <w:szCs w:val="22"/>
          <w:lang w:val="ru-RU"/>
        </w:rPr>
        <w:t xml:space="preserve">. </w:t>
      </w:r>
      <w:r w:rsidRPr="003337F3">
        <w:rPr>
          <w:szCs w:val="22"/>
          <w:lang w:val="ru-RU"/>
        </w:rPr>
        <w:t xml:space="preserve">Вместе с тем, </w:t>
      </w:r>
      <w:r w:rsidR="00263C54" w:rsidRPr="00EC6362">
        <w:rPr>
          <w:szCs w:val="22"/>
          <w:lang w:val="ru-RU"/>
        </w:rPr>
        <w:t xml:space="preserve"> </w:t>
      </w:r>
      <w:r w:rsidRPr="003337F3">
        <w:rPr>
          <w:szCs w:val="22"/>
          <w:lang w:val="ru-RU"/>
        </w:rPr>
        <w:t>ПКК еще раз подтвердил, что любой механизм по МПО, основанный на действу</w:t>
      </w:r>
      <w:r w:rsidR="00C0621C" w:rsidRPr="003337F3">
        <w:rPr>
          <w:szCs w:val="22"/>
          <w:lang w:val="ru-RU"/>
        </w:rPr>
        <w:t>ю</w:t>
      </w:r>
      <w:r w:rsidRPr="003337F3">
        <w:rPr>
          <w:szCs w:val="22"/>
          <w:lang w:val="ru-RU"/>
        </w:rPr>
        <w:t>щей</w:t>
      </w:r>
      <w:r w:rsidR="00C0621C" w:rsidRPr="003337F3">
        <w:rPr>
          <w:szCs w:val="22"/>
          <w:lang w:val="ru-RU"/>
        </w:rPr>
        <w:t xml:space="preserve"> ЕПУС, должен уважать статус МПО в соответствии с международным правом, но не должен менять существующую ЕПУС</w:t>
      </w:r>
      <w:r w:rsidR="008E6339" w:rsidRPr="00EC6362">
        <w:rPr>
          <w:szCs w:val="22"/>
          <w:lang w:val="ru-RU"/>
        </w:rPr>
        <w:t xml:space="preserve">. </w:t>
      </w:r>
      <w:r w:rsidR="00131C85" w:rsidRPr="003337F3">
        <w:rPr>
          <w:szCs w:val="22"/>
          <w:lang w:val="ru-RU"/>
        </w:rPr>
        <w:t xml:space="preserve">Совет </w:t>
      </w:r>
      <w:r w:rsidR="00B0432D" w:rsidRPr="003337F3">
        <w:rPr>
          <w:szCs w:val="22"/>
        </w:rPr>
        <w:t>ICANN</w:t>
      </w:r>
      <w:r w:rsidR="00B0432D" w:rsidRPr="003C71DC">
        <w:rPr>
          <w:szCs w:val="22"/>
          <w:lang w:val="ru-RU"/>
        </w:rPr>
        <w:t xml:space="preserve"> </w:t>
      </w:r>
      <w:r w:rsidR="00131C85" w:rsidRPr="003337F3">
        <w:rPr>
          <w:szCs w:val="22"/>
          <w:lang w:val="ru-RU"/>
        </w:rPr>
        <w:t xml:space="preserve">также признал предыдущую рекомендацию ПКК относительно необходимости охраны сокращенных названий МПО в </w:t>
      </w:r>
      <w:r w:rsidR="00131C85" w:rsidRPr="003337F3">
        <w:rPr>
          <w:szCs w:val="22"/>
        </w:rPr>
        <w:t>DNS</w:t>
      </w:r>
      <w:r w:rsidR="00263C54" w:rsidRPr="003337F3">
        <w:rPr>
          <w:rStyle w:val="FootnoteReference"/>
          <w:szCs w:val="22"/>
        </w:rPr>
        <w:footnoteReference w:id="66"/>
      </w:r>
      <w:r w:rsidR="00131C85" w:rsidRPr="003337F3">
        <w:rPr>
          <w:szCs w:val="22"/>
          <w:lang w:val="ru-RU"/>
        </w:rPr>
        <w:t>.</w:t>
      </w:r>
      <w:r w:rsidR="00F83CEE" w:rsidRPr="003C71DC">
        <w:rPr>
          <w:szCs w:val="22"/>
          <w:lang w:val="ru-RU"/>
        </w:rPr>
        <w:t xml:space="preserve"> </w:t>
      </w:r>
      <w:r w:rsidR="00C0621C" w:rsidRPr="003337F3">
        <w:rPr>
          <w:szCs w:val="22"/>
          <w:lang w:val="ru-RU"/>
        </w:rPr>
        <w:t xml:space="preserve">Совместно с другими заинтересованными МПО Центр продолжает внимательно следить за ходом работы по этому уже давно существующему проекту </w:t>
      </w:r>
      <w:r w:rsidR="00C0621C" w:rsidRPr="003337F3">
        <w:rPr>
          <w:szCs w:val="22"/>
        </w:rPr>
        <w:t>ICANN</w:t>
      </w:r>
      <w:r w:rsidR="008E6339" w:rsidRPr="003337F3">
        <w:rPr>
          <w:szCs w:val="22"/>
          <w:lang w:val="ru-RU"/>
        </w:rPr>
        <w:t xml:space="preserve">. </w:t>
      </w:r>
      <w:r w:rsidR="00C0621C" w:rsidRPr="003337F3">
        <w:rPr>
          <w:szCs w:val="22"/>
          <w:lang w:val="ru-RU"/>
        </w:rPr>
        <w:t xml:space="preserve">В конечном итоге Совету </w:t>
      </w:r>
      <w:r w:rsidR="00B0432D" w:rsidRPr="003337F3">
        <w:rPr>
          <w:szCs w:val="22"/>
        </w:rPr>
        <w:t>ICANN</w:t>
      </w:r>
      <w:r w:rsidR="00B0432D" w:rsidRPr="00EC6362">
        <w:rPr>
          <w:szCs w:val="22"/>
          <w:lang w:val="ru-RU"/>
        </w:rPr>
        <w:t xml:space="preserve"> </w:t>
      </w:r>
      <w:r w:rsidR="00C0621C" w:rsidRPr="003337F3">
        <w:rPr>
          <w:szCs w:val="22"/>
          <w:lang w:val="ru-RU"/>
        </w:rPr>
        <w:t xml:space="preserve">может потребоваться урегулировать различия между рекомендациями ПКК и </w:t>
      </w:r>
      <w:r w:rsidR="00C0621C" w:rsidRPr="003337F3">
        <w:rPr>
          <w:szCs w:val="22"/>
        </w:rPr>
        <w:t>GNSO</w:t>
      </w:r>
      <w:r w:rsidR="00C0621C" w:rsidRPr="003337F3">
        <w:rPr>
          <w:szCs w:val="22"/>
          <w:lang w:val="ru-RU"/>
        </w:rPr>
        <w:t xml:space="preserve"> в отношении механизмов, имеющих отношение к МПО</w:t>
      </w:r>
      <w:r w:rsidR="00263C54" w:rsidRPr="00EC6362">
        <w:rPr>
          <w:szCs w:val="22"/>
          <w:lang w:val="ru-RU"/>
        </w:rPr>
        <w:t>.</w:t>
      </w:r>
    </w:p>
    <w:p w:rsidR="00263C54" w:rsidRPr="003337F3" w:rsidRDefault="00C0621C" w:rsidP="00212E34">
      <w:pPr>
        <w:pStyle w:val="Heading3"/>
        <w:ind w:left="1701" w:hanging="567"/>
      </w:pPr>
      <w:r w:rsidRPr="003337F3">
        <w:rPr>
          <w:szCs w:val="22"/>
          <w:lang w:val="ru-RU"/>
        </w:rPr>
        <w:t>Географические термины</w:t>
      </w:r>
    </w:p>
    <w:p w:rsidR="00263C54" w:rsidRPr="003C71DC" w:rsidRDefault="00C0621C" w:rsidP="00F83CEE">
      <w:pPr>
        <w:pStyle w:val="ListParagraph"/>
        <w:numPr>
          <w:ilvl w:val="0"/>
          <w:numId w:val="7"/>
        </w:numPr>
        <w:spacing w:before="240" w:after="240"/>
        <w:ind w:left="0" w:right="-143" w:firstLine="0"/>
        <w:contextualSpacing w:val="0"/>
        <w:rPr>
          <w:iCs/>
          <w:szCs w:val="22"/>
          <w:lang w:val="ru-RU"/>
        </w:rPr>
      </w:pPr>
      <w:r w:rsidRPr="003337F3">
        <w:rPr>
          <w:rFonts w:eastAsia="SimSun" w:cs="Arial"/>
          <w:szCs w:val="22"/>
          <w:lang w:val="ru-RU" w:eastAsia="zh-CN"/>
        </w:rPr>
        <w:t>В области охраны географических терминов ПКК, в частности, выразил обеспокоенность по поводу их использования и охраны в новых рДВУ</w:t>
      </w:r>
      <w:r w:rsidR="00263C54" w:rsidRPr="003337F3">
        <w:rPr>
          <w:vertAlign w:val="superscript"/>
        </w:rPr>
        <w:footnoteReference w:id="67"/>
      </w:r>
      <w:r w:rsidR="008E6339" w:rsidRPr="003337F3">
        <w:rPr>
          <w:rFonts w:eastAsia="SimSun" w:cs="Arial"/>
          <w:szCs w:val="22"/>
          <w:lang w:val="ru-RU" w:eastAsia="zh-CN"/>
        </w:rPr>
        <w:t xml:space="preserve">. </w:t>
      </w:r>
      <w:r w:rsidRPr="003337F3">
        <w:rPr>
          <w:rFonts w:eastAsia="SimSun" w:cs="Arial"/>
          <w:szCs w:val="22"/>
          <w:lang w:val="ru-RU" w:eastAsia="zh-CN"/>
        </w:rPr>
        <w:t>По вопросу о регистрации доменов верхнего уровня</w:t>
      </w:r>
      <w:r w:rsidR="00263C54" w:rsidRPr="003337F3">
        <w:rPr>
          <w:rStyle w:val="FootnoteReference"/>
          <w:rFonts w:eastAsia="SimSun"/>
          <w:szCs w:val="22"/>
        </w:rPr>
        <w:footnoteReference w:id="68"/>
      </w:r>
      <w:r w:rsidR="008E6339" w:rsidRPr="003337F3">
        <w:rPr>
          <w:rFonts w:eastAsia="SimSun" w:cs="Arial"/>
          <w:szCs w:val="22"/>
          <w:lang w:val="ru-RU" w:eastAsia="zh-CN"/>
        </w:rPr>
        <w:t xml:space="preserve">. </w:t>
      </w:r>
      <w:r w:rsidR="008778D0" w:rsidRPr="003337F3">
        <w:rPr>
          <w:rFonts w:eastAsia="SimSun" w:cs="Arial"/>
          <w:szCs w:val="22"/>
          <w:lang w:val="ru-RU" w:eastAsia="zh-CN"/>
        </w:rPr>
        <w:t>«Руководство ICANN для заявителя» предусматривает, что «заявки на регистрацию доменных строк, представляющих собой названия стран или территорий, не будут утверждаться, поскольку в соответствии с программой ввода новых рДВУ они не предоставляются в ходе данного раунда приема заявок»</w:t>
      </w:r>
      <w:r w:rsidR="00263C54" w:rsidRPr="003337F3">
        <w:rPr>
          <w:rStyle w:val="FootnoteReference"/>
          <w:rFonts w:eastAsia="SimSun"/>
          <w:szCs w:val="22"/>
        </w:rPr>
        <w:footnoteReference w:id="69"/>
      </w:r>
      <w:r w:rsidR="008E6339" w:rsidRPr="003337F3">
        <w:rPr>
          <w:rFonts w:eastAsia="SimSun" w:cs="Arial"/>
          <w:szCs w:val="22"/>
          <w:lang w:val="ru-RU" w:eastAsia="zh-CN"/>
        </w:rPr>
        <w:t xml:space="preserve">. </w:t>
      </w:r>
      <w:r w:rsidR="008778D0" w:rsidRPr="003337F3">
        <w:rPr>
          <w:rFonts w:eastAsia="SimSun" w:cs="Arial"/>
          <w:szCs w:val="22"/>
          <w:lang w:val="ru-RU" w:eastAsia="zh-CN"/>
        </w:rPr>
        <w:t xml:space="preserve">К заявкам на регистрацию доменных строк, которые ICANN относит к группе </w:t>
      </w:r>
      <w:r w:rsidR="008778D0" w:rsidRPr="003337F3">
        <w:rPr>
          <w:rFonts w:eastAsia="SimSun" w:cs="Arial"/>
          <w:szCs w:val="22"/>
          <w:lang w:val="ru-RU" w:eastAsia="zh-CN"/>
        </w:rPr>
        <w:lastRenderedPageBreak/>
        <w:t>«некоторых иных географических наименований», например названия столиц стран мира, должны прилагаться документы, подтверждающие, что правительства или государственные органы соответствующих стран поддерживают такие заявки или не имеют возражений против использования таких наименований</w:t>
      </w:r>
      <w:r w:rsidR="00263C54" w:rsidRPr="003337F3">
        <w:rPr>
          <w:rStyle w:val="FootnoteReference"/>
          <w:rFonts w:eastAsia="SimSun"/>
          <w:szCs w:val="22"/>
        </w:rPr>
        <w:footnoteReference w:id="70"/>
      </w:r>
      <w:r w:rsidR="008778D0" w:rsidRPr="003337F3">
        <w:rPr>
          <w:rFonts w:eastAsia="SimSun" w:cs="Arial"/>
          <w:szCs w:val="22"/>
          <w:lang w:val="ru-RU" w:eastAsia="zh-CN"/>
        </w:rPr>
        <w:t>.</w:t>
      </w:r>
      <w:r w:rsidR="00263C54" w:rsidRPr="003C71DC">
        <w:rPr>
          <w:szCs w:val="22"/>
          <w:lang w:val="ru-RU"/>
        </w:rPr>
        <w:t xml:space="preserve"> </w:t>
      </w:r>
    </w:p>
    <w:p w:rsidR="00263C54" w:rsidRPr="00EC6362" w:rsidRDefault="008778D0" w:rsidP="00B339DE">
      <w:pPr>
        <w:pStyle w:val="ListParagraph"/>
        <w:numPr>
          <w:ilvl w:val="0"/>
          <w:numId w:val="7"/>
        </w:numPr>
        <w:ind w:left="0" w:firstLine="0"/>
        <w:contextualSpacing w:val="0"/>
        <w:rPr>
          <w:szCs w:val="22"/>
          <w:lang w:val="ru-RU"/>
        </w:rPr>
      </w:pPr>
      <w:r w:rsidRPr="003337F3">
        <w:rPr>
          <w:iCs/>
          <w:szCs w:val="22"/>
          <w:lang w:val="ru-RU"/>
        </w:rPr>
        <w:t xml:space="preserve">Члены ПКК высказали дополнительные оговорки относительно некоторых заявок на создание новых рДВУ по основаниям их близости или совпадения с географическими наименованиями или иными наименованиями, требующими «особого подхода», рекомендовав Совету </w:t>
      </w:r>
      <w:r w:rsidRPr="003337F3">
        <w:rPr>
          <w:iCs/>
          <w:szCs w:val="22"/>
        </w:rPr>
        <w:t>ICANN</w:t>
      </w:r>
      <w:r w:rsidRPr="003337F3">
        <w:rPr>
          <w:iCs/>
          <w:szCs w:val="22"/>
          <w:lang w:val="ru-RU"/>
        </w:rPr>
        <w:t xml:space="preserve"> не принимать по ним никаких решений помимо проведения первоначальной экспертизы, и запросили у Совета дальнейших разъяснений по поводу возможности исправления заявителями поданных ими заявок на создание новых рДВУ для учета конкретных вопросов, вызывающих озабоченность ПКК</w:t>
      </w:r>
      <w:r w:rsidR="00263C54" w:rsidRPr="003337F3">
        <w:rPr>
          <w:rStyle w:val="FootnoteReference"/>
          <w:rFonts w:eastAsia="SimSun"/>
          <w:iCs/>
          <w:szCs w:val="22"/>
        </w:rPr>
        <w:footnoteReference w:id="71"/>
      </w:r>
      <w:r w:rsidRPr="003337F3">
        <w:rPr>
          <w:iCs/>
          <w:szCs w:val="22"/>
          <w:lang w:val="ru-RU"/>
        </w:rPr>
        <w:t>.</w:t>
      </w:r>
    </w:p>
    <w:p w:rsidR="00131C85" w:rsidRPr="00EC6362" w:rsidRDefault="008778D0" w:rsidP="00F83CEE">
      <w:pPr>
        <w:pStyle w:val="ListParagraph"/>
        <w:keepLines/>
        <w:numPr>
          <w:ilvl w:val="0"/>
          <w:numId w:val="7"/>
        </w:numPr>
        <w:spacing w:before="240" w:after="240"/>
        <w:ind w:left="0" w:firstLine="0"/>
        <w:contextualSpacing w:val="0"/>
        <w:rPr>
          <w:szCs w:val="24"/>
          <w:lang w:val="ru-RU"/>
        </w:rPr>
      </w:pPr>
      <w:r w:rsidRPr="003337F3">
        <w:rPr>
          <w:szCs w:val="22"/>
          <w:lang w:val="ru-RU"/>
        </w:rPr>
        <w:t xml:space="preserve">В декабре 2016 г. </w:t>
      </w:r>
      <w:r w:rsidRPr="003337F3">
        <w:rPr>
          <w:szCs w:val="22"/>
        </w:rPr>
        <w:t>ICANN</w:t>
      </w:r>
      <w:r w:rsidRPr="003337F3">
        <w:rPr>
          <w:szCs w:val="22"/>
          <w:lang w:val="ru-RU"/>
        </w:rPr>
        <w:t xml:space="preserve"> санкционировал выдачу всех ранее зарезервированных двухсимвольных доменных имен на втором уровне в новых рДВУ при условии, что операторы реестров установят 30-дневный срок для выкупа соответствующими правительствами таких доменных имен, потребуют от </w:t>
      </w:r>
      <w:r w:rsidR="003337F3" w:rsidRPr="003337F3">
        <w:rPr>
          <w:szCs w:val="22"/>
          <w:lang w:val="ru-RU"/>
        </w:rPr>
        <w:t xml:space="preserve">регистрантов </w:t>
      </w:r>
      <w:r w:rsidRPr="003337F3">
        <w:rPr>
          <w:szCs w:val="22"/>
          <w:lang w:val="ru-RU"/>
        </w:rPr>
        <w:t>взять обязательства не создавать в результате использования таких двухсимвольных доменных имен ошибочного впечатления, что они связны с государственными органами, и обеспечат процедуру рассмотрения жалоб после регистрации</w:t>
      </w:r>
      <w:r w:rsidR="00263C54" w:rsidRPr="003337F3">
        <w:rPr>
          <w:rStyle w:val="FootnoteReference"/>
          <w:rFonts w:eastAsia="SimSun"/>
          <w:szCs w:val="22"/>
        </w:rPr>
        <w:footnoteReference w:id="72"/>
      </w:r>
      <w:r w:rsidR="008E6339" w:rsidRPr="003337F3">
        <w:rPr>
          <w:szCs w:val="22"/>
          <w:lang w:val="ru-RU"/>
        </w:rPr>
        <w:t xml:space="preserve">. </w:t>
      </w:r>
      <w:r w:rsidRPr="003337F3">
        <w:rPr>
          <w:szCs w:val="22"/>
          <w:lang w:val="ru-RU"/>
        </w:rPr>
        <w:t>В этой связи Центр представил комментарии ICANN, отметив, что Второй процесс в рамках ВОИС по доменным именам в Интернете рассмотрел возможность изучения мер для применения ЕПУС к регистрациям на третьем уровне с целью уменьшить вероятность злоупотреблений в отношении товарных знаков</w:t>
      </w:r>
      <w:r w:rsidR="00263C54" w:rsidRPr="003337F3">
        <w:rPr>
          <w:rStyle w:val="FootnoteReference"/>
          <w:rFonts w:eastAsia="SimSun"/>
          <w:szCs w:val="22"/>
        </w:rPr>
        <w:footnoteReference w:id="73"/>
      </w:r>
      <w:r w:rsidR="008E6339" w:rsidRPr="003337F3">
        <w:rPr>
          <w:szCs w:val="22"/>
          <w:lang w:val="ru-RU"/>
        </w:rPr>
        <w:t xml:space="preserve">. </w:t>
      </w:r>
      <w:r w:rsidRPr="003337F3">
        <w:rPr>
          <w:szCs w:val="22"/>
          <w:lang w:val="ru-RU"/>
        </w:rPr>
        <w:t xml:space="preserve">В ходе недавно состоявшихся обсуждений, члены </w:t>
      </w:r>
      <w:r w:rsidR="00131C85" w:rsidRPr="003337F3">
        <w:rPr>
          <w:szCs w:val="22"/>
          <w:lang w:val="ru-RU"/>
        </w:rPr>
        <w:t xml:space="preserve">ПКК обратились к </w:t>
      </w:r>
      <w:r w:rsidR="00263C54" w:rsidRPr="003337F3">
        <w:rPr>
          <w:szCs w:val="22"/>
        </w:rPr>
        <w:t>ICANN</w:t>
      </w:r>
      <w:r w:rsidR="00263C54" w:rsidRPr="00EC6362">
        <w:rPr>
          <w:szCs w:val="22"/>
          <w:lang w:val="ru-RU"/>
        </w:rPr>
        <w:t xml:space="preserve"> </w:t>
      </w:r>
      <w:r w:rsidR="00131C85" w:rsidRPr="003337F3">
        <w:rPr>
          <w:szCs w:val="22"/>
          <w:lang w:val="ru-RU"/>
        </w:rPr>
        <w:t>с просьбой предоставить согласованную информацию о соответствующих запросах и делегированиях</w:t>
      </w:r>
      <w:r w:rsidR="00263C54" w:rsidRPr="003337F3">
        <w:rPr>
          <w:rStyle w:val="FootnoteReference"/>
          <w:szCs w:val="22"/>
        </w:rPr>
        <w:footnoteReference w:id="74"/>
      </w:r>
      <w:r w:rsidR="00131C85" w:rsidRPr="003337F3">
        <w:rPr>
          <w:szCs w:val="22"/>
          <w:lang w:val="ru-RU"/>
        </w:rPr>
        <w:t>.</w:t>
      </w:r>
      <w:r w:rsidR="00263C54" w:rsidRPr="00EC6362">
        <w:rPr>
          <w:szCs w:val="22"/>
          <w:lang w:val="ru-RU"/>
        </w:rPr>
        <w:t xml:space="preserve"> </w:t>
      </w:r>
    </w:p>
    <w:p w:rsidR="00263C54" w:rsidRPr="003C71DC" w:rsidRDefault="008778D0" w:rsidP="00F83CEE">
      <w:pPr>
        <w:pStyle w:val="ListParagraph"/>
        <w:keepLines/>
        <w:numPr>
          <w:ilvl w:val="0"/>
          <w:numId w:val="7"/>
        </w:numPr>
        <w:spacing w:before="240" w:after="240"/>
        <w:ind w:left="0" w:firstLine="0"/>
        <w:contextualSpacing w:val="0"/>
        <w:rPr>
          <w:szCs w:val="24"/>
          <w:lang w:val="ru-RU"/>
        </w:rPr>
      </w:pPr>
      <w:r w:rsidRPr="003337F3">
        <w:rPr>
          <w:szCs w:val="22"/>
          <w:lang w:val="ru-RU"/>
        </w:rPr>
        <w:lastRenderedPageBreak/>
        <w:t xml:space="preserve">По этим и другим относящимся к </w:t>
      </w:r>
      <w:r w:rsidRPr="003337F3">
        <w:rPr>
          <w:szCs w:val="22"/>
        </w:rPr>
        <w:t>DNS</w:t>
      </w:r>
      <w:r w:rsidRPr="003337F3">
        <w:rPr>
          <w:szCs w:val="22"/>
          <w:lang w:val="ru-RU"/>
        </w:rPr>
        <w:t xml:space="preserve"> вопросам Центр стремится информировать соответствующие отделы Секретариата, в том числе в порядке обеспечения работы Постоянного комитета по законодательству в области товарных знаков, промышленных образцов и географических указаний (ПКТЗ)</w:t>
      </w:r>
      <w:r w:rsidR="00263C54" w:rsidRPr="003337F3">
        <w:rPr>
          <w:rStyle w:val="FootnoteReference"/>
          <w:rFonts w:eastAsia="SimSun"/>
          <w:szCs w:val="22"/>
        </w:rPr>
        <w:footnoteReference w:id="75"/>
      </w:r>
      <w:r w:rsidR="008E6339" w:rsidRPr="003337F3">
        <w:rPr>
          <w:szCs w:val="22"/>
          <w:lang w:val="ru-RU"/>
        </w:rPr>
        <w:t xml:space="preserve">. </w:t>
      </w:r>
      <w:r w:rsidR="00131C85" w:rsidRPr="003337F3">
        <w:rPr>
          <w:szCs w:val="22"/>
          <w:lang w:val="ru-RU"/>
        </w:rPr>
        <w:t xml:space="preserve">В этой связи к 39-й сессии ПКТЗ, состоявшейся в марте 2018 г., в соответствии с Планом работы в области географических указаний и по запросу Председателя ПКТЗ, Центр, действуя совместно с Секретариатом ПКТЗ, подготовил положительно воспринятый обзор текущего положения дел с географическими указаниями, названиями стран и другими терминами в </w:t>
      </w:r>
      <w:r w:rsidR="00263C54" w:rsidRPr="003337F3">
        <w:rPr>
          <w:szCs w:val="22"/>
        </w:rPr>
        <w:t>DNS</w:t>
      </w:r>
      <w:r w:rsidR="00263C54" w:rsidRPr="003337F3">
        <w:rPr>
          <w:rStyle w:val="FootnoteReference"/>
          <w:szCs w:val="22"/>
        </w:rPr>
        <w:footnoteReference w:id="76"/>
      </w:r>
      <w:r w:rsidR="00131C85" w:rsidRPr="003337F3">
        <w:rPr>
          <w:szCs w:val="22"/>
          <w:lang w:val="ru-RU"/>
        </w:rPr>
        <w:t>.</w:t>
      </w:r>
      <w:r w:rsidR="00F83CEE" w:rsidRPr="00EC6362">
        <w:rPr>
          <w:szCs w:val="22"/>
          <w:lang w:val="ru-RU"/>
        </w:rPr>
        <w:t xml:space="preserve"> </w:t>
      </w:r>
      <w:r w:rsidRPr="003337F3">
        <w:rPr>
          <w:rFonts w:eastAsia="SimSun"/>
          <w:szCs w:val="22"/>
          <w:lang w:val="ru-RU"/>
        </w:rPr>
        <w:t>Секретариат будет продолжать следить за развитием ситуации в этой области и высказывать свои соображения по мере возможности.</w:t>
      </w:r>
    </w:p>
    <w:p w:rsidR="00263C54" w:rsidRPr="00EC6362" w:rsidRDefault="00B07B13" w:rsidP="00B07B13">
      <w:pPr>
        <w:pStyle w:val="DecisionInvitingPara"/>
        <w:rPr>
          <w:sz w:val="22"/>
          <w:szCs w:val="22"/>
          <w:lang w:val="ru-RU"/>
        </w:rPr>
      </w:pPr>
      <w:r w:rsidRPr="00EC6362">
        <w:rPr>
          <w:sz w:val="22"/>
          <w:szCs w:val="22"/>
          <w:lang w:val="ru-RU"/>
        </w:rPr>
        <w:t>48.</w:t>
      </w:r>
      <w:r w:rsidRPr="00EC6362">
        <w:rPr>
          <w:sz w:val="22"/>
          <w:szCs w:val="22"/>
          <w:lang w:val="ru-RU"/>
        </w:rPr>
        <w:tab/>
      </w:r>
      <w:r w:rsidR="008778D0" w:rsidRPr="003337F3">
        <w:rPr>
          <w:sz w:val="22"/>
          <w:szCs w:val="22"/>
          <w:lang w:val="ru-RU"/>
        </w:rPr>
        <w:t xml:space="preserve">Генеральной Ассамблее ВОИС предлагается принять к сведению содержание документа «Центр ВОИС по арбитражу и посредничеству, включая доменные имена» (документ </w:t>
      </w:r>
      <w:r w:rsidR="00263C54" w:rsidRPr="003337F3">
        <w:rPr>
          <w:sz w:val="22"/>
          <w:szCs w:val="22"/>
        </w:rPr>
        <w:t>WO</w:t>
      </w:r>
      <w:r w:rsidR="00263C54" w:rsidRPr="00EC6362">
        <w:rPr>
          <w:sz w:val="22"/>
          <w:szCs w:val="22"/>
          <w:lang w:val="ru-RU"/>
        </w:rPr>
        <w:t>/</w:t>
      </w:r>
      <w:r w:rsidR="00263C54" w:rsidRPr="003337F3">
        <w:rPr>
          <w:sz w:val="22"/>
          <w:szCs w:val="22"/>
        </w:rPr>
        <w:t>GA</w:t>
      </w:r>
      <w:r w:rsidR="00263C54" w:rsidRPr="00EC6362">
        <w:rPr>
          <w:sz w:val="22"/>
          <w:szCs w:val="22"/>
          <w:lang w:val="ru-RU"/>
        </w:rPr>
        <w:t>/50/10).</w:t>
      </w:r>
    </w:p>
    <w:p w:rsidR="000765C4" w:rsidRPr="003337F3" w:rsidRDefault="00263C54" w:rsidP="00F83CEE">
      <w:pPr>
        <w:spacing w:before="960"/>
        <w:ind w:left="5533"/>
      </w:pPr>
      <w:r w:rsidRPr="003337F3">
        <w:rPr>
          <w:szCs w:val="22"/>
        </w:rPr>
        <w:t>[</w:t>
      </w:r>
      <w:r w:rsidR="008778D0" w:rsidRPr="003337F3">
        <w:rPr>
          <w:szCs w:val="22"/>
          <w:lang w:val="ru-RU"/>
        </w:rPr>
        <w:t>Конец документа</w:t>
      </w:r>
      <w:r w:rsidRPr="003337F3">
        <w:rPr>
          <w:szCs w:val="22"/>
        </w:rPr>
        <w:t>]</w:t>
      </w:r>
    </w:p>
    <w:sectPr w:rsidR="000765C4" w:rsidRPr="003337F3" w:rsidSect="0066718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3BF" w:rsidRDefault="006963BF">
      <w:r>
        <w:separator/>
      </w:r>
    </w:p>
  </w:endnote>
  <w:endnote w:type="continuationSeparator" w:id="0">
    <w:p w:rsidR="006963BF" w:rsidRDefault="006963BF" w:rsidP="003B38C1">
      <w:r>
        <w:separator/>
      </w:r>
    </w:p>
    <w:p w:rsidR="006963BF" w:rsidRPr="003B38C1" w:rsidRDefault="006963BF" w:rsidP="003B38C1">
      <w:pPr>
        <w:spacing w:after="60"/>
        <w:rPr>
          <w:sz w:val="17"/>
        </w:rPr>
      </w:pPr>
      <w:r>
        <w:rPr>
          <w:sz w:val="17"/>
        </w:rPr>
        <w:t>[Endnote continued from previous page]</w:t>
      </w:r>
    </w:p>
  </w:endnote>
  <w:endnote w:type="continuationNotice" w:id="1">
    <w:p w:rsidR="006963BF" w:rsidRPr="003B38C1" w:rsidRDefault="006963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3BF" w:rsidRDefault="006963BF">
      <w:r>
        <w:separator/>
      </w:r>
    </w:p>
  </w:footnote>
  <w:footnote w:type="continuationSeparator" w:id="0">
    <w:p w:rsidR="006963BF" w:rsidRDefault="006963BF" w:rsidP="008B60B2">
      <w:r>
        <w:separator/>
      </w:r>
    </w:p>
    <w:p w:rsidR="006963BF" w:rsidRPr="00ED77FB" w:rsidRDefault="006963BF" w:rsidP="008B60B2">
      <w:pPr>
        <w:spacing w:after="60"/>
        <w:rPr>
          <w:sz w:val="17"/>
          <w:szCs w:val="17"/>
        </w:rPr>
      </w:pPr>
      <w:r w:rsidRPr="00ED77FB">
        <w:rPr>
          <w:sz w:val="17"/>
          <w:szCs w:val="17"/>
        </w:rPr>
        <w:t>[Footnote continued from previous page]</w:t>
      </w:r>
    </w:p>
  </w:footnote>
  <w:footnote w:type="continuationNotice" w:id="1">
    <w:p w:rsidR="006963BF" w:rsidRPr="00ED77FB" w:rsidRDefault="006963BF" w:rsidP="008B60B2">
      <w:pPr>
        <w:spacing w:before="60"/>
        <w:jc w:val="right"/>
        <w:rPr>
          <w:sz w:val="17"/>
          <w:szCs w:val="17"/>
        </w:rPr>
      </w:pPr>
      <w:r w:rsidRPr="00ED77FB">
        <w:rPr>
          <w:sz w:val="17"/>
          <w:szCs w:val="17"/>
        </w:rPr>
        <w:t>[Footnote continued on next page]</w:t>
      </w:r>
    </w:p>
  </w:footnote>
  <w:footnote w:id="2">
    <w:p w:rsidR="002D49EB" w:rsidRPr="00EC6362" w:rsidRDefault="002D49EB" w:rsidP="00BF59A8">
      <w:pPr>
        <w:pStyle w:val="FootnoteText"/>
        <w:tabs>
          <w:tab w:val="left" w:pos="567"/>
        </w:tabs>
        <w:rPr>
          <w:szCs w:val="18"/>
          <w:u w:val="single"/>
          <w:lang w:val="ru-RU"/>
        </w:rPr>
      </w:pPr>
      <w:r w:rsidRPr="003337F3">
        <w:rPr>
          <w:rStyle w:val="FootnoteReference"/>
          <w:szCs w:val="18"/>
        </w:rPr>
        <w:footnoteRef/>
      </w:r>
      <w:r w:rsidRPr="00EC6362">
        <w:rPr>
          <w:szCs w:val="18"/>
          <w:lang w:val="ru-RU"/>
        </w:rPr>
        <w:tab/>
      </w:r>
      <w:r w:rsidRPr="003337F3">
        <w:rPr>
          <w:szCs w:val="18"/>
          <w:lang w:val="ru-RU"/>
        </w:rPr>
        <w:t>См.</w:t>
      </w:r>
      <w:r w:rsidRPr="00EC6362">
        <w:rPr>
          <w:szCs w:val="18"/>
          <w:lang w:val="ru-RU"/>
        </w:rPr>
        <w:t xml:space="preserve"> </w:t>
      </w:r>
      <w:r w:rsidRPr="003337F3">
        <w:rPr>
          <w:szCs w:val="18"/>
        </w:rPr>
        <w:t>http</w:t>
      </w:r>
      <w:r w:rsidRPr="00EC6362">
        <w:rPr>
          <w:szCs w:val="18"/>
          <w:lang w:val="ru-RU"/>
        </w:rPr>
        <w:t>://</w:t>
      </w:r>
      <w:r w:rsidRPr="003337F3">
        <w:rPr>
          <w:szCs w:val="18"/>
        </w:rPr>
        <w:t>www</w:t>
      </w:r>
      <w:r w:rsidRPr="00EC6362">
        <w:rPr>
          <w:szCs w:val="18"/>
          <w:lang w:val="ru-RU"/>
        </w:rPr>
        <w:t>.</w:t>
      </w:r>
      <w:r w:rsidRPr="003337F3">
        <w:rPr>
          <w:szCs w:val="18"/>
        </w:rPr>
        <w:t>wipo</w:t>
      </w:r>
      <w:r w:rsidRPr="00EC6362">
        <w:rPr>
          <w:szCs w:val="18"/>
          <w:lang w:val="ru-RU"/>
        </w:rPr>
        <w:t>.</w:t>
      </w:r>
      <w:r w:rsidRPr="003337F3">
        <w:rPr>
          <w:szCs w:val="18"/>
        </w:rPr>
        <w:t>int</w:t>
      </w:r>
      <w:r w:rsidRPr="00EC6362">
        <w:rPr>
          <w:szCs w:val="18"/>
          <w:lang w:val="ru-RU"/>
        </w:rPr>
        <w:t>/</w:t>
      </w:r>
      <w:r w:rsidRPr="003337F3">
        <w:rPr>
          <w:szCs w:val="18"/>
        </w:rPr>
        <w:t>edocs</w:t>
      </w:r>
      <w:r w:rsidRPr="00EC6362">
        <w:rPr>
          <w:szCs w:val="18"/>
          <w:lang w:val="ru-RU"/>
        </w:rPr>
        <w:t>/</w:t>
      </w:r>
      <w:r w:rsidRPr="003337F3">
        <w:rPr>
          <w:szCs w:val="18"/>
        </w:rPr>
        <w:t>mdocs</w:t>
      </w:r>
      <w:r w:rsidRPr="00EC6362">
        <w:rPr>
          <w:szCs w:val="18"/>
          <w:lang w:val="ru-RU"/>
        </w:rPr>
        <w:t>/</w:t>
      </w:r>
      <w:r w:rsidRPr="003337F3">
        <w:rPr>
          <w:szCs w:val="18"/>
        </w:rPr>
        <w:t>govbody</w:t>
      </w:r>
      <w:r w:rsidRPr="00EC6362">
        <w:rPr>
          <w:szCs w:val="18"/>
          <w:lang w:val="ru-RU"/>
        </w:rPr>
        <w:t>/</w:t>
      </w:r>
      <w:r w:rsidRPr="003337F3">
        <w:rPr>
          <w:szCs w:val="18"/>
        </w:rPr>
        <w:t>en</w:t>
      </w:r>
      <w:r w:rsidRPr="00EC6362">
        <w:rPr>
          <w:szCs w:val="18"/>
          <w:lang w:val="ru-RU"/>
        </w:rPr>
        <w:t>/</w:t>
      </w:r>
      <w:r w:rsidRPr="003337F3">
        <w:rPr>
          <w:szCs w:val="18"/>
        </w:rPr>
        <w:t>wo</w:t>
      </w:r>
      <w:r w:rsidRPr="00EC6362">
        <w:rPr>
          <w:szCs w:val="18"/>
          <w:lang w:val="ru-RU"/>
        </w:rPr>
        <w:t>_</w:t>
      </w:r>
      <w:r w:rsidRPr="003337F3">
        <w:rPr>
          <w:szCs w:val="18"/>
        </w:rPr>
        <w:t>ga</w:t>
      </w:r>
      <w:r w:rsidRPr="00EC6362">
        <w:rPr>
          <w:szCs w:val="18"/>
          <w:lang w:val="ru-RU"/>
        </w:rPr>
        <w:t>_49/</w:t>
      </w:r>
      <w:r w:rsidRPr="003337F3">
        <w:rPr>
          <w:szCs w:val="18"/>
        </w:rPr>
        <w:t>wo</w:t>
      </w:r>
      <w:r w:rsidRPr="00EC6362">
        <w:rPr>
          <w:szCs w:val="18"/>
          <w:lang w:val="ru-RU"/>
        </w:rPr>
        <w:t>_</w:t>
      </w:r>
      <w:r w:rsidRPr="003337F3">
        <w:rPr>
          <w:szCs w:val="18"/>
        </w:rPr>
        <w:t>ga</w:t>
      </w:r>
      <w:r w:rsidRPr="00EC6362">
        <w:rPr>
          <w:szCs w:val="18"/>
          <w:lang w:val="ru-RU"/>
        </w:rPr>
        <w:t>_49_14.</w:t>
      </w:r>
      <w:r w:rsidRPr="003337F3">
        <w:rPr>
          <w:szCs w:val="18"/>
        </w:rPr>
        <w:t>pdf</w:t>
      </w:r>
      <w:r w:rsidRPr="00EC6362">
        <w:rPr>
          <w:szCs w:val="18"/>
          <w:lang w:val="ru-RU"/>
        </w:rPr>
        <w:t xml:space="preserve">. </w:t>
      </w:r>
      <w:r w:rsidRPr="00EC6362">
        <w:rPr>
          <w:szCs w:val="18"/>
          <w:u w:val="single"/>
          <w:lang w:val="ru-RU"/>
        </w:rPr>
        <w:t xml:space="preserve"> </w:t>
      </w:r>
    </w:p>
  </w:footnote>
  <w:footnote w:id="3">
    <w:p w:rsidR="002D49EB" w:rsidRPr="00EC6362" w:rsidRDefault="002D49EB" w:rsidP="00BF59A8">
      <w:pPr>
        <w:pStyle w:val="FootnoteText"/>
        <w:rPr>
          <w:szCs w:val="18"/>
          <w:lang w:val="ru-RU"/>
        </w:rPr>
      </w:pPr>
      <w:r w:rsidRPr="003337F3">
        <w:rPr>
          <w:rStyle w:val="FootnoteReference"/>
        </w:rPr>
        <w:footnoteRef/>
      </w:r>
      <w:r w:rsidRPr="00EC6362">
        <w:rPr>
          <w:lang w:val="ru-RU"/>
        </w:rPr>
        <w:t xml:space="preserve"> </w:t>
      </w:r>
      <w:r w:rsidRPr="00EC6362">
        <w:rPr>
          <w:lang w:val="ru-RU"/>
        </w:rPr>
        <w:tab/>
      </w:r>
      <w:r w:rsidRPr="003337F3">
        <w:rPr>
          <w:szCs w:val="18"/>
          <w:lang w:val="ru-RU"/>
        </w:rPr>
        <w:t>С перечнем всех проводимых Центром семинаров и других мероприятий можно ознакомиться по адресу</w:t>
      </w:r>
      <w:r w:rsidRPr="00EC6362">
        <w:rPr>
          <w:szCs w:val="18"/>
          <w:lang w:val="ru-RU"/>
        </w:rPr>
        <w:t xml:space="preserve"> </w:t>
      </w:r>
      <w:r w:rsidRPr="003337F3">
        <w:rPr>
          <w:szCs w:val="18"/>
        </w:rPr>
        <w:t>http</w:t>
      </w:r>
      <w:r w:rsidRPr="00EC6362">
        <w:rPr>
          <w:szCs w:val="18"/>
          <w:lang w:val="ru-RU"/>
        </w:rPr>
        <w:t>://</w:t>
      </w:r>
      <w:r w:rsidRPr="003337F3">
        <w:rPr>
          <w:szCs w:val="18"/>
        </w:rPr>
        <w:t>www</w:t>
      </w:r>
      <w:r w:rsidRPr="00EC6362">
        <w:rPr>
          <w:szCs w:val="18"/>
          <w:lang w:val="ru-RU"/>
        </w:rPr>
        <w:t>.</w:t>
      </w:r>
      <w:r w:rsidRPr="003337F3">
        <w:rPr>
          <w:szCs w:val="18"/>
        </w:rPr>
        <w:t>wipo</w:t>
      </w:r>
      <w:r w:rsidRPr="00EC6362">
        <w:rPr>
          <w:szCs w:val="18"/>
          <w:lang w:val="ru-RU"/>
        </w:rPr>
        <w:t>.</w:t>
      </w:r>
      <w:r w:rsidRPr="003337F3">
        <w:rPr>
          <w:szCs w:val="18"/>
        </w:rPr>
        <w:t>int</w:t>
      </w:r>
      <w:r w:rsidRPr="00EC6362">
        <w:rPr>
          <w:szCs w:val="18"/>
          <w:lang w:val="ru-RU"/>
        </w:rPr>
        <w:t>/</w:t>
      </w:r>
      <w:r w:rsidRPr="003337F3">
        <w:rPr>
          <w:szCs w:val="18"/>
        </w:rPr>
        <w:t>amc</w:t>
      </w:r>
      <w:r w:rsidRPr="00EC6362">
        <w:rPr>
          <w:szCs w:val="18"/>
          <w:lang w:val="ru-RU"/>
        </w:rPr>
        <w:t>/</w:t>
      </w:r>
      <w:r w:rsidRPr="003337F3">
        <w:rPr>
          <w:szCs w:val="18"/>
        </w:rPr>
        <w:t>en</w:t>
      </w:r>
      <w:r w:rsidRPr="00EC6362">
        <w:rPr>
          <w:szCs w:val="18"/>
          <w:lang w:val="ru-RU"/>
        </w:rPr>
        <w:t>/</w:t>
      </w:r>
      <w:r w:rsidRPr="003337F3">
        <w:rPr>
          <w:szCs w:val="18"/>
        </w:rPr>
        <w:t>events</w:t>
      </w:r>
      <w:r w:rsidRPr="00EC6362">
        <w:rPr>
          <w:szCs w:val="18"/>
          <w:lang w:val="ru-RU"/>
        </w:rPr>
        <w:t>.</w:t>
      </w:r>
    </w:p>
  </w:footnote>
  <w:footnote w:id="4">
    <w:p w:rsidR="002D49EB" w:rsidRPr="003337F3" w:rsidRDefault="002D49EB" w:rsidP="006A67B2">
      <w:pPr>
        <w:pStyle w:val="FootnoteText"/>
        <w:rPr>
          <w:szCs w:val="18"/>
          <w:lang w:val="ru-RU"/>
        </w:rPr>
      </w:pPr>
      <w:r w:rsidRPr="003337F3">
        <w:rPr>
          <w:rStyle w:val="FootnoteReference"/>
          <w:szCs w:val="18"/>
        </w:rPr>
        <w:footnoteRef/>
      </w:r>
      <w:r w:rsidRPr="003337F3">
        <w:rPr>
          <w:szCs w:val="18"/>
          <w:lang w:val="ru-RU"/>
        </w:rPr>
        <w:t xml:space="preserve"> </w:t>
      </w:r>
      <w:r w:rsidRPr="003337F3">
        <w:rPr>
          <w:szCs w:val="18"/>
          <w:lang w:val="ru-RU"/>
        </w:rPr>
        <w:tab/>
        <w:t xml:space="preserve">ECAF обеспечивает электронную передачу материалов дел и хранение документов в электронном виде, что позволяет экономить время и финансовые ресурсы при осуществлении процедур посредничества и арбитража. См. </w:t>
      </w:r>
      <w:r w:rsidRPr="003337F3">
        <w:rPr>
          <w:szCs w:val="18"/>
        </w:rPr>
        <w:t>http</w:t>
      </w:r>
      <w:r w:rsidRPr="003337F3">
        <w:rPr>
          <w:szCs w:val="18"/>
          <w:lang w:val="ru-RU"/>
        </w:rPr>
        <w:t>://</w:t>
      </w:r>
      <w:r w:rsidRPr="003337F3">
        <w:rPr>
          <w:szCs w:val="18"/>
        </w:rPr>
        <w:t>www</w:t>
      </w:r>
      <w:r w:rsidRPr="003337F3">
        <w:rPr>
          <w:szCs w:val="18"/>
          <w:lang w:val="ru-RU"/>
        </w:rPr>
        <w:t>.</w:t>
      </w:r>
      <w:r w:rsidRPr="003337F3">
        <w:rPr>
          <w:szCs w:val="18"/>
        </w:rPr>
        <w:t>wipo</w:t>
      </w:r>
      <w:r w:rsidRPr="003337F3">
        <w:rPr>
          <w:szCs w:val="18"/>
          <w:lang w:val="ru-RU"/>
        </w:rPr>
        <w:t>.</w:t>
      </w:r>
      <w:r w:rsidRPr="003337F3">
        <w:rPr>
          <w:szCs w:val="18"/>
        </w:rPr>
        <w:t>int</w:t>
      </w:r>
      <w:r w:rsidRPr="003337F3">
        <w:rPr>
          <w:szCs w:val="18"/>
          <w:lang w:val="ru-RU"/>
        </w:rPr>
        <w:t>/</w:t>
      </w:r>
      <w:r w:rsidRPr="003337F3">
        <w:rPr>
          <w:szCs w:val="18"/>
        </w:rPr>
        <w:t>amc</w:t>
      </w:r>
      <w:r w:rsidRPr="003337F3">
        <w:rPr>
          <w:szCs w:val="18"/>
          <w:lang w:val="ru-RU"/>
        </w:rPr>
        <w:t>/</w:t>
      </w:r>
      <w:r w:rsidRPr="003337F3">
        <w:rPr>
          <w:szCs w:val="18"/>
        </w:rPr>
        <w:t>en</w:t>
      </w:r>
      <w:r w:rsidRPr="003337F3">
        <w:rPr>
          <w:szCs w:val="18"/>
          <w:lang w:val="ru-RU"/>
        </w:rPr>
        <w:t>/</w:t>
      </w:r>
      <w:r w:rsidRPr="003337F3">
        <w:rPr>
          <w:szCs w:val="18"/>
        </w:rPr>
        <w:t>ecaf</w:t>
      </w:r>
      <w:r w:rsidRPr="003337F3">
        <w:rPr>
          <w:szCs w:val="18"/>
          <w:lang w:val="ru-RU"/>
        </w:rPr>
        <w:t>/</w:t>
      </w:r>
      <w:r w:rsidRPr="003337F3">
        <w:rPr>
          <w:szCs w:val="18"/>
        </w:rPr>
        <w:t>index</w:t>
      </w:r>
      <w:r w:rsidRPr="003337F3">
        <w:rPr>
          <w:szCs w:val="18"/>
          <w:lang w:val="ru-RU"/>
        </w:rPr>
        <w:t>.</w:t>
      </w:r>
      <w:r w:rsidRPr="003337F3">
        <w:rPr>
          <w:szCs w:val="18"/>
        </w:rPr>
        <w:t>html</w:t>
      </w:r>
      <w:r w:rsidRPr="003337F3">
        <w:rPr>
          <w:szCs w:val="18"/>
          <w:lang w:val="ru-RU"/>
        </w:rPr>
        <w:t>.</w:t>
      </w:r>
    </w:p>
  </w:footnote>
  <w:footnote w:id="5">
    <w:p w:rsidR="002D49EB" w:rsidRPr="00EC6362" w:rsidRDefault="002D49EB" w:rsidP="0082403B">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См.</w:t>
      </w:r>
      <w:r w:rsidRPr="00EC6362">
        <w:rPr>
          <w:lang w:val="ru-RU"/>
        </w:rPr>
        <w:t xml:space="preserve"> </w:t>
      </w:r>
      <w:r w:rsidRPr="003337F3">
        <w:t>http</w:t>
      </w:r>
      <w:r w:rsidRPr="00EC6362">
        <w:rPr>
          <w:lang w:val="ru-RU"/>
        </w:rPr>
        <w:t>://</w:t>
      </w:r>
      <w:r w:rsidRPr="003337F3">
        <w:t>www</w:t>
      </w:r>
      <w:r w:rsidRPr="00EC6362">
        <w:rPr>
          <w:lang w:val="ru-RU"/>
        </w:rPr>
        <w:t>.</w:t>
      </w:r>
      <w:r w:rsidRPr="003337F3">
        <w:t>wipo</w:t>
      </w:r>
      <w:r w:rsidRPr="00EC6362">
        <w:rPr>
          <w:lang w:val="ru-RU"/>
        </w:rPr>
        <w:t>.</w:t>
      </w:r>
      <w:r w:rsidRPr="003337F3">
        <w:t>int</w:t>
      </w:r>
      <w:r w:rsidRPr="00EC6362">
        <w:rPr>
          <w:lang w:val="ru-RU"/>
        </w:rPr>
        <w:t>/</w:t>
      </w:r>
      <w:r w:rsidRPr="003337F3">
        <w:t>amc</w:t>
      </w:r>
      <w:r w:rsidRPr="00EC6362">
        <w:rPr>
          <w:lang w:val="ru-RU"/>
        </w:rPr>
        <w:t>/</w:t>
      </w:r>
      <w:r w:rsidRPr="003337F3">
        <w:t>en</w:t>
      </w:r>
      <w:r w:rsidRPr="00EC6362">
        <w:rPr>
          <w:lang w:val="ru-RU"/>
        </w:rPr>
        <w:t>/</w:t>
      </w:r>
      <w:r w:rsidRPr="003337F3">
        <w:t>publications</w:t>
      </w:r>
      <w:r w:rsidRPr="00EC6362">
        <w:rPr>
          <w:lang w:val="ru-RU"/>
        </w:rPr>
        <w:t>/.</w:t>
      </w:r>
      <w:r w:rsidRPr="00EC6362">
        <w:rPr>
          <w:b/>
          <w:lang w:val="ru-RU"/>
        </w:rPr>
        <w:t xml:space="preserve"> </w:t>
      </w:r>
    </w:p>
  </w:footnote>
  <w:footnote w:id="6">
    <w:p w:rsidR="002D49EB" w:rsidRPr="00EC6362" w:rsidRDefault="002D49EB" w:rsidP="00690D13">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 xml:space="preserve">Программа </w:t>
      </w:r>
      <w:r w:rsidRPr="003337F3">
        <w:t>WIPO</w:t>
      </w:r>
      <w:r w:rsidRPr="00EC6362">
        <w:rPr>
          <w:lang w:val="ru-RU"/>
        </w:rPr>
        <w:t xml:space="preserve"> </w:t>
      </w:r>
      <w:r w:rsidRPr="003337F3">
        <w:t>Clause</w:t>
      </w:r>
      <w:r w:rsidRPr="00EC6362">
        <w:rPr>
          <w:lang w:val="ru-RU"/>
        </w:rPr>
        <w:t xml:space="preserve"> </w:t>
      </w:r>
      <w:r w:rsidRPr="003337F3">
        <w:t>Generator</w:t>
      </w:r>
      <w:r w:rsidRPr="00EC6362">
        <w:rPr>
          <w:lang w:val="ru-RU"/>
        </w:rPr>
        <w:t xml:space="preserve"> </w:t>
      </w:r>
      <w:r w:rsidRPr="003337F3">
        <w:rPr>
          <w:lang w:val="ru-RU"/>
        </w:rPr>
        <w:t xml:space="preserve">размещена на следующей странице: </w:t>
      </w:r>
      <w:r w:rsidRPr="00EC6362">
        <w:rPr>
          <w:lang w:val="ru-RU"/>
        </w:rPr>
        <w:t>//</w:t>
      </w:r>
      <w:r w:rsidRPr="003337F3">
        <w:t>www</w:t>
      </w:r>
      <w:r w:rsidRPr="00EC6362">
        <w:rPr>
          <w:lang w:val="ru-RU"/>
        </w:rPr>
        <w:t>.</w:t>
      </w:r>
      <w:r w:rsidRPr="003337F3">
        <w:t>wipo</w:t>
      </w:r>
      <w:r w:rsidRPr="00EC6362">
        <w:rPr>
          <w:lang w:val="ru-RU"/>
        </w:rPr>
        <w:t>.</w:t>
      </w:r>
      <w:r w:rsidRPr="003337F3">
        <w:t>int</w:t>
      </w:r>
      <w:r w:rsidRPr="00EC6362">
        <w:rPr>
          <w:lang w:val="ru-RU"/>
        </w:rPr>
        <w:t>/</w:t>
      </w:r>
      <w:r w:rsidRPr="003337F3">
        <w:t>amc</w:t>
      </w:r>
      <w:r w:rsidRPr="00EC6362">
        <w:rPr>
          <w:lang w:val="ru-RU"/>
        </w:rPr>
        <w:t>-</w:t>
      </w:r>
      <w:r w:rsidRPr="003337F3">
        <w:t>apps</w:t>
      </w:r>
      <w:r w:rsidRPr="00EC6362">
        <w:rPr>
          <w:lang w:val="ru-RU"/>
        </w:rPr>
        <w:t>/</w:t>
      </w:r>
      <w:r w:rsidRPr="003337F3">
        <w:t>clause</w:t>
      </w:r>
      <w:r w:rsidRPr="00EC6362">
        <w:rPr>
          <w:lang w:val="ru-RU"/>
        </w:rPr>
        <w:t>-</w:t>
      </w:r>
      <w:r w:rsidRPr="003337F3">
        <w:t>generator</w:t>
      </w:r>
      <w:r w:rsidRPr="00EC6362">
        <w:rPr>
          <w:lang w:val="ru-RU"/>
        </w:rPr>
        <w:t>/.</w:t>
      </w:r>
    </w:p>
  </w:footnote>
  <w:footnote w:id="7">
    <w:p w:rsidR="002D49EB" w:rsidRPr="00EC6362" w:rsidRDefault="002D49EB" w:rsidP="00690D13">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 xml:space="preserve">К их числу относятся Национальный институт промышленной собственности </w:t>
      </w:r>
      <w:r w:rsidRPr="00EC6362">
        <w:rPr>
          <w:lang w:val="ru-RU"/>
        </w:rPr>
        <w:t>(</w:t>
      </w:r>
      <w:r w:rsidRPr="003337F3">
        <w:t>INPI</w:t>
      </w:r>
      <w:r w:rsidRPr="00EC6362">
        <w:rPr>
          <w:lang w:val="ru-RU"/>
        </w:rPr>
        <w:t xml:space="preserve">) </w:t>
      </w:r>
      <w:r w:rsidRPr="003337F3">
        <w:rPr>
          <w:lang w:val="ru-RU"/>
        </w:rPr>
        <w:t>Аргентины</w:t>
      </w:r>
      <w:r w:rsidRPr="00EC6362">
        <w:rPr>
          <w:lang w:val="ru-RU"/>
        </w:rPr>
        <w:t xml:space="preserve">, </w:t>
      </w:r>
      <w:r w:rsidRPr="003337F3">
        <w:rPr>
          <w:lang w:val="ru-RU"/>
        </w:rPr>
        <w:t xml:space="preserve">Государственное ведомство интеллектуальной собственности Китайской Народной Республики </w:t>
      </w:r>
      <w:r w:rsidRPr="00EC6362">
        <w:rPr>
          <w:lang w:val="ru-RU"/>
        </w:rPr>
        <w:t>(</w:t>
      </w:r>
      <w:r w:rsidRPr="003337F3">
        <w:t>SIPO</w:t>
      </w:r>
      <w:r w:rsidRPr="00EC6362">
        <w:rPr>
          <w:lang w:val="ru-RU"/>
        </w:rPr>
        <w:t xml:space="preserve">), </w:t>
      </w:r>
      <w:r w:rsidRPr="003337F3">
        <w:rPr>
          <w:lang w:val="ru-RU"/>
        </w:rPr>
        <w:t>Национальный реестр Коста-Рики</w:t>
      </w:r>
      <w:r w:rsidRPr="00EC6362">
        <w:rPr>
          <w:lang w:val="ru-RU"/>
        </w:rPr>
        <w:t>,</w:t>
      </w:r>
      <w:r w:rsidRPr="003337F3">
        <w:rPr>
          <w:lang w:val="ru-RU"/>
        </w:rPr>
        <w:t xml:space="preserve"> Национальное ведомство по авторскому праву Доминиканской Республики </w:t>
      </w:r>
      <w:r w:rsidRPr="00EC6362">
        <w:rPr>
          <w:lang w:val="ru-RU"/>
        </w:rPr>
        <w:t>(</w:t>
      </w:r>
      <w:r w:rsidRPr="003337F3">
        <w:t>ONDA</w:t>
      </w:r>
      <w:r w:rsidRPr="00EC6362">
        <w:rPr>
          <w:lang w:val="ru-RU"/>
        </w:rPr>
        <w:t xml:space="preserve">), </w:t>
      </w:r>
      <w:r w:rsidRPr="003337F3">
        <w:rPr>
          <w:lang w:val="ru-RU"/>
        </w:rPr>
        <w:t>Совет по авторскому праву Кении</w:t>
      </w:r>
      <w:r w:rsidRPr="00EC6362">
        <w:rPr>
          <w:lang w:val="ru-RU"/>
        </w:rPr>
        <w:t xml:space="preserve"> (</w:t>
      </w:r>
      <w:r w:rsidRPr="003337F3">
        <w:t>KECOBO</w:t>
      </w:r>
      <w:r w:rsidRPr="00EC6362">
        <w:rPr>
          <w:lang w:val="ru-RU"/>
        </w:rPr>
        <w:t xml:space="preserve">), </w:t>
      </w:r>
      <w:r w:rsidRPr="003337F3">
        <w:rPr>
          <w:lang w:val="ru-RU"/>
        </w:rPr>
        <w:t xml:space="preserve">Корейское ведомство интеллектуальной собственности </w:t>
      </w:r>
      <w:r w:rsidRPr="00EC6362">
        <w:rPr>
          <w:lang w:val="ru-RU"/>
        </w:rPr>
        <w:t>(</w:t>
      </w:r>
      <w:r w:rsidRPr="003337F3">
        <w:t>KIPO</w:t>
      </w:r>
      <w:r w:rsidRPr="00EC6362">
        <w:rPr>
          <w:lang w:val="ru-RU"/>
        </w:rPr>
        <w:t xml:space="preserve">), </w:t>
      </w:r>
      <w:r w:rsidRPr="003337F3">
        <w:rPr>
          <w:lang w:val="ru-RU"/>
        </w:rPr>
        <w:t>Министерство культуры Литовской Республики, Патентное ведомство Республики Польша</w:t>
      </w:r>
      <w:r w:rsidRPr="00EC6362">
        <w:rPr>
          <w:lang w:val="ru-RU"/>
        </w:rPr>
        <w:t xml:space="preserve"> (</w:t>
      </w:r>
      <w:r w:rsidRPr="003337F3">
        <w:t>UPRP</w:t>
      </w:r>
      <w:r w:rsidRPr="00EC6362">
        <w:rPr>
          <w:lang w:val="ru-RU"/>
        </w:rPr>
        <w:t xml:space="preserve">), </w:t>
      </w:r>
      <w:r w:rsidRPr="003337F3">
        <w:rPr>
          <w:lang w:val="ru-RU"/>
        </w:rPr>
        <w:t>Румынское ведомство по авторскому праву</w:t>
      </w:r>
      <w:r w:rsidRPr="00EC6362">
        <w:rPr>
          <w:lang w:val="ru-RU"/>
        </w:rPr>
        <w:t xml:space="preserve"> (</w:t>
      </w:r>
      <w:r w:rsidRPr="003337F3">
        <w:t>ORDA</w:t>
      </w:r>
      <w:r w:rsidRPr="00EC6362">
        <w:rPr>
          <w:lang w:val="ru-RU"/>
        </w:rPr>
        <w:t xml:space="preserve">), </w:t>
      </w:r>
      <w:r w:rsidRPr="003337F3">
        <w:rPr>
          <w:lang w:val="ru-RU"/>
        </w:rPr>
        <w:t>Федеральная служба по интеллектуальной собственности Российской Федерации (Роспатент)</w:t>
      </w:r>
      <w:r w:rsidRPr="00EC6362">
        <w:rPr>
          <w:lang w:val="ru-RU"/>
        </w:rPr>
        <w:t xml:space="preserve">, </w:t>
      </w:r>
      <w:r w:rsidRPr="003337F3">
        <w:rPr>
          <w:lang w:val="ru-RU"/>
        </w:rPr>
        <w:t>Ведомство интеллектуальной собственности Республики Сербия и Швейцарский федеральный институт интеллектуальной собственности</w:t>
      </w:r>
      <w:r w:rsidRPr="00EC6362">
        <w:rPr>
          <w:lang w:val="ru-RU"/>
        </w:rPr>
        <w:t xml:space="preserve"> (</w:t>
      </w:r>
      <w:r w:rsidRPr="003337F3">
        <w:t>IPI</w:t>
      </w:r>
      <w:r w:rsidRPr="00EC6362">
        <w:rPr>
          <w:lang w:val="ru-RU"/>
        </w:rPr>
        <w:t xml:space="preserve">). </w:t>
      </w:r>
      <w:r w:rsidRPr="003337F3">
        <w:rPr>
          <w:lang w:val="ru-RU"/>
        </w:rPr>
        <w:t xml:space="preserve">Полный перечень ВИС, сотрудничающих с Центром см. на следующей странице: </w:t>
      </w:r>
      <w:r w:rsidRPr="003337F3">
        <w:t>http</w:t>
      </w:r>
      <w:r w:rsidRPr="00EC6362">
        <w:rPr>
          <w:lang w:val="ru-RU"/>
        </w:rPr>
        <w:t>://</w:t>
      </w:r>
      <w:r w:rsidRPr="003337F3">
        <w:t>www</w:t>
      </w:r>
      <w:r w:rsidRPr="00EC6362">
        <w:rPr>
          <w:lang w:val="ru-RU"/>
        </w:rPr>
        <w:t>.</w:t>
      </w:r>
      <w:r w:rsidRPr="003337F3">
        <w:t>wipo</w:t>
      </w:r>
      <w:r w:rsidRPr="00EC6362">
        <w:rPr>
          <w:lang w:val="ru-RU"/>
        </w:rPr>
        <w:t>.</w:t>
      </w:r>
      <w:r w:rsidRPr="003337F3">
        <w:t>int</w:t>
      </w:r>
      <w:r w:rsidRPr="00EC6362">
        <w:rPr>
          <w:lang w:val="ru-RU"/>
        </w:rPr>
        <w:t>/</w:t>
      </w:r>
      <w:r w:rsidRPr="003337F3">
        <w:t>amc</w:t>
      </w:r>
      <w:r w:rsidRPr="00EC6362">
        <w:rPr>
          <w:lang w:val="ru-RU"/>
        </w:rPr>
        <w:t>/</w:t>
      </w:r>
      <w:r w:rsidRPr="003337F3">
        <w:t>en</w:t>
      </w:r>
      <w:r w:rsidRPr="00EC6362">
        <w:rPr>
          <w:lang w:val="ru-RU"/>
        </w:rPr>
        <w:t>/</w:t>
      </w:r>
      <w:r w:rsidRPr="003337F3">
        <w:t>center</w:t>
      </w:r>
      <w:r w:rsidRPr="00EC6362">
        <w:rPr>
          <w:lang w:val="ru-RU"/>
        </w:rPr>
        <w:t>/</w:t>
      </w:r>
      <w:r w:rsidRPr="003337F3">
        <w:t>specific</w:t>
      </w:r>
      <w:r w:rsidRPr="00EC6362">
        <w:rPr>
          <w:lang w:val="ru-RU"/>
        </w:rPr>
        <w:t>-</w:t>
      </w:r>
      <w:r w:rsidRPr="003337F3">
        <w:t>sectors</w:t>
      </w:r>
      <w:r w:rsidRPr="00EC6362">
        <w:rPr>
          <w:lang w:val="ru-RU"/>
        </w:rPr>
        <w:t>/</w:t>
      </w:r>
      <w:r w:rsidRPr="003337F3">
        <w:t>ipoffices</w:t>
      </w:r>
      <w:r w:rsidRPr="00EC6362">
        <w:rPr>
          <w:lang w:val="ru-RU"/>
        </w:rPr>
        <w:t xml:space="preserve">/. </w:t>
      </w:r>
    </w:p>
  </w:footnote>
  <w:footnote w:id="8">
    <w:p w:rsidR="002D49EB" w:rsidRPr="00EC6362" w:rsidRDefault="002D49EB" w:rsidP="00690D13">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 xml:space="preserve">К их числу относятся Национальный институт промышленной собственности </w:t>
      </w:r>
      <w:r w:rsidRPr="00EC6362">
        <w:rPr>
          <w:lang w:val="ru-RU"/>
        </w:rPr>
        <w:t>(</w:t>
      </w:r>
      <w:r w:rsidRPr="003337F3">
        <w:t>INPI</w:t>
      </w:r>
      <w:r w:rsidRPr="00EC6362">
        <w:rPr>
          <w:lang w:val="ru-RU"/>
        </w:rPr>
        <w:t xml:space="preserve">) </w:t>
      </w:r>
      <w:r w:rsidRPr="003337F3">
        <w:rPr>
          <w:lang w:val="ru-RU"/>
        </w:rPr>
        <w:t>Аргентины</w:t>
      </w:r>
      <w:r w:rsidRPr="00EC6362">
        <w:rPr>
          <w:lang w:val="ru-RU"/>
        </w:rPr>
        <w:t xml:space="preserve">, </w:t>
      </w:r>
      <w:r w:rsidRPr="003337F3">
        <w:rPr>
          <w:lang w:val="ru-RU"/>
        </w:rPr>
        <w:t>Ведомство ИС Австралии</w:t>
      </w:r>
      <w:r w:rsidRPr="00EC6362">
        <w:rPr>
          <w:lang w:val="ru-RU"/>
        </w:rPr>
        <w:t>,</w:t>
      </w:r>
      <w:r w:rsidRPr="003337F3">
        <w:rPr>
          <w:lang w:val="ru-RU"/>
        </w:rPr>
        <w:t xml:space="preserve"> Бразильский национальный институт промышленной собственности </w:t>
      </w:r>
      <w:r w:rsidRPr="00EC6362">
        <w:rPr>
          <w:lang w:val="ru-RU"/>
        </w:rPr>
        <w:t>(</w:t>
      </w:r>
      <w:r w:rsidRPr="003337F3">
        <w:t>INPI</w:t>
      </w:r>
      <w:r w:rsidRPr="00EC6362">
        <w:rPr>
          <w:lang w:val="ru-RU"/>
        </w:rPr>
        <w:t>-</w:t>
      </w:r>
      <w:r w:rsidRPr="003337F3">
        <w:t>BR</w:t>
      </w:r>
      <w:r w:rsidRPr="00EC6362">
        <w:rPr>
          <w:lang w:val="ru-RU"/>
        </w:rPr>
        <w:t xml:space="preserve">), </w:t>
      </w:r>
      <w:r w:rsidRPr="003337F3">
        <w:rPr>
          <w:lang w:val="ru-RU"/>
        </w:rPr>
        <w:t xml:space="preserve">Государственное ведомство интеллектуальной собственности Китайской Народной Республики </w:t>
      </w:r>
      <w:r w:rsidRPr="00EC6362">
        <w:rPr>
          <w:lang w:val="ru-RU"/>
        </w:rPr>
        <w:t>(</w:t>
      </w:r>
      <w:r w:rsidRPr="003337F3">
        <w:t>SIPO</w:t>
      </w:r>
      <w:r w:rsidRPr="00EC6362">
        <w:rPr>
          <w:lang w:val="ru-RU"/>
        </w:rPr>
        <w:t xml:space="preserve">), </w:t>
      </w:r>
      <w:r w:rsidRPr="003337F3">
        <w:rPr>
          <w:lang w:val="ru-RU"/>
        </w:rPr>
        <w:t xml:space="preserve">Национальное управление авторского права Колумбии </w:t>
      </w:r>
      <w:r w:rsidRPr="00EC6362">
        <w:rPr>
          <w:lang w:val="ru-RU"/>
        </w:rPr>
        <w:t>(</w:t>
      </w:r>
      <w:r w:rsidRPr="003337F3">
        <w:t>DNDA</w:t>
      </w:r>
      <w:r w:rsidRPr="00EC6362">
        <w:rPr>
          <w:lang w:val="ru-RU"/>
        </w:rPr>
        <w:t xml:space="preserve">), </w:t>
      </w:r>
      <w:r w:rsidRPr="003337F3">
        <w:rPr>
          <w:lang w:val="ru-RU"/>
        </w:rPr>
        <w:t>Национальный реестр Коста-Рики</w:t>
      </w:r>
      <w:r w:rsidRPr="00EC6362">
        <w:rPr>
          <w:lang w:val="ru-RU"/>
        </w:rPr>
        <w:t xml:space="preserve">, </w:t>
      </w:r>
      <w:r w:rsidRPr="003337F3">
        <w:rPr>
          <w:lang w:val="ru-RU"/>
        </w:rPr>
        <w:t xml:space="preserve">Кубинское ведомство промышленной собственности </w:t>
      </w:r>
      <w:r w:rsidRPr="00EC6362">
        <w:rPr>
          <w:lang w:val="ru-RU"/>
        </w:rPr>
        <w:t>(</w:t>
      </w:r>
      <w:r w:rsidRPr="003337F3">
        <w:t>ONDA</w:t>
      </w:r>
      <w:r w:rsidRPr="00EC6362">
        <w:rPr>
          <w:lang w:val="ru-RU"/>
        </w:rPr>
        <w:t xml:space="preserve">), </w:t>
      </w:r>
      <w:r w:rsidRPr="003337F3">
        <w:rPr>
          <w:lang w:val="ru-RU"/>
        </w:rPr>
        <w:t>Национальный центр реестров Эль-Сальвадора</w:t>
      </w:r>
      <w:r w:rsidRPr="00EC6362">
        <w:rPr>
          <w:lang w:val="ru-RU"/>
        </w:rPr>
        <w:t xml:space="preserve"> (</w:t>
      </w:r>
      <w:r w:rsidRPr="003337F3">
        <w:t>CNR</w:t>
      </w:r>
      <w:r w:rsidRPr="00EC6362">
        <w:rPr>
          <w:lang w:val="ru-RU"/>
        </w:rPr>
        <w:t xml:space="preserve">), </w:t>
      </w:r>
      <w:r w:rsidRPr="003337F3">
        <w:rPr>
          <w:lang w:val="ru-RU"/>
        </w:rPr>
        <w:t xml:space="preserve">Генеральный директорат интеллектуальной собственности Индонезии </w:t>
      </w:r>
      <w:r w:rsidRPr="00EC6362">
        <w:rPr>
          <w:lang w:val="ru-RU"/>
        </w:rPr>
        <w:t>(</w:t>
      </w:r>
      <w:r w:rsidRPr="003337F3">
        <w:t>DGIP</w:t>
      </w:r>
      <w:r w:rsidRPr="00EC6362">
        <w:rPr>
          <w:lang w:val="ru-RU"/>
        </w:rPr>
        <w:t xml:space="preserve">), </w:t>
      </w:r>
      <w:r w:rsidRPr="003337F3">
        <w:rPr>
          <w:lang w:val="ru-RU"/>
        </w:rPr>
        <w:t xml:space="preserve">Патентное ведомство Израиля </w:t>
      </w:r>
      <w:r w:rsidRPr="00EC6362">
        <w:rPr>
          <w:lang w:val="ru-RU"/>
        </w:rPr>
        <w:t>(</w:t>
      </w:r>
      <w:r w:rsidRPr="003337F3">
        <w:t>ILPO</w:t>
      </w:r>
      <w:r w:rsidRPr="00EC6362">
        <w:rPr>
          <w:lang w:val="ru-RU"/>
        </w:rPr>
        <w:t xml:space="preserve">), </w:t>
      </w:r>
      <w:r w:rsidRPr="003337F3">
        <w:rPr>
          <w:lang w:val="ru-RU"/>
        </w:rPr>
        <w:t>Совет по авторскому праву Кении</w:t>
      </w:r>
      <w:r w:rsidRPr="00EC6362">
        <w:rPr>
          <w:lang w:val="ru-RU"/>
        </w:rPr>
        <w:t xml:space="preserve"> (</w:t>
      </w:r>
      <w:r w:rsidRPr="003337F3">
        <w:t>KECOBO</w:t>
      </w:r>
      <w:r w:rsidRPr="00EC6362">
        <w:rPr>
          <w:lang w:val="ru-RU"/>
        </w:rPr>
        <w:t>),</w:t>
      </w:r>
      <w:r w:rsidRPr="003337F3">
        <w:rPr>
          <w:lang w:val="ru-RU"/>
        </w:rPr>
        <w:t xml:space="preserve"> Министерство культуры, спорта и туризма Республики Корея </w:t>
      </w:r>
      <w:r w:rsidRPr="00EC6362">
        <w:rPr>
          <w:lang w:val="ru-RU"/>
        </w:rPr>
        <w:t>(</w:t>
      </w:r>
      <w:r w:rsidRPr="003337F3">
        <w:t>MCST</w:t>
      </w:r>
      <w:r w:rsidRPr="00EC6362">
        <w:rPr>
          <w:lang w:val="ru-RU"/>
        </w:rPr>
        <w:t xml:space="preserve">), </w:t>
      </w:r>
      <w:r w:rsidRPr="003337F3">
        <w:rPr>
          <w:lang w:val="ru-RU"/>
        </w:rPr>
        <w:t xml:space="preserve">Корейское ведомство интеллектуальной собственности </w:t>
      </w:r>
      <w:r w:rsidRPr="00EC6362">
        <w:rPr>
          <w:lang w:val="ru-RU"/>
        </w:rPr>
        <w:t>(</w:t>
      </w:r>
      <w:r w:rsidRPr="003337F3">
        <w:t>KIPO</w:t>
      </w:r>
      <w:r w:rsidRPr="00EC6362">
        <w:rPr>
          <w:lang w:val="ru-RU"/>
        </w:rPr>
        <w:t xml:space="preserve">), </w:t>
      </w:r>
      <w:r w:rsidRPr="003337F3">
        <w:rPr>
          <w:lang w:val="ru-RU"/>
        </w:rPr>
        <w:t>Министерство культуры Литовской Республики</w:t>
      </w:r>
      <w:r w:rsidRPr="00EC6362">
        <w:rPr>
          <w:lang w:val="ru-RU"/>
        </w:rPr>
        <w:t xml:space="preserve">, </w:t>
      </w:r>
      <w:r w:rsidRPr="003337F3">
        <w:rPr>
          <w:lang w:val="ru-RU"/>
        </w:rPr>
        <w:t xml:space="preserve">Мексиканский институт промышленной собственности </w:t>
      </w:r>
      <w:r w:rsidRPr="00EC6362">
        <w:rPr>
          <w:lang w:val="ru-RU"/>
        </w:rPr>
        <w:t>(</w:t>
      </w:r>
      <w:r w:rsidRPr="003337F3">
        <w:t>IMPI</w:t>
      </w:r>
      <w:r w:rsidRPr="00EC6362">
        <w:rPr>
          <w:lang w:val="ru-RU"/>
        </w:rPr>
        <w:t xml:space="preserve">), </w:t>
      </w:r>
      <w:r w:rsidRPr="003337F3">
        <w:rPr>
          <w:lang w:val="ru-RU"/>
        </w:rPr>
        <w:t xml:space="preserve">Национальное ведомство интеллектуальной собственности Парагвая </w:t>
      </w:r>
      <w:r w:rsidRPr="00EC6362">
        <w:rPr>
          <w:lang w:val="ru-RU"/>
        </w:rPr>
        <w:t>(</w:t>
      </w:r>
      <w:r w:rsidRPr="003337F3">
        <w:t>DINAPI</w:t>
      </w:r>
      <w:r w:rsidRPr="00EC6362">
        <w:rPr>
          <w:lang w:val="ru-RU"/>
        </w:rPr>
        <w:t xml:space="preserve">), </w:t>
      </w:r>
      <w:r w:rsidRPr="003337F3">
        <w:rPr>
          <w:lang w:val="ru-RU"/>
        </w:rPr>
        <w:t xml:space="preserve">Ведомство интеллектуальной собственности Филиппин </w:t>
      </w:r>
      <w:r w:rsidRPr="00EC6362">
        <w:rPr>
          <w:lang w:val="ru-RU"/>
        </w:rPr>
        <w:t>(</w:t>
      </w:r>
      <w:r w:rsidRPr="003337F3">
        <w:t>IPOPHL</w:t>
      </w:r>
      <w:r w:rsidRPr="00EC6362">
        <w:rPr>
          <w:lang w:val="ru-RU"/>
        </w:rPr>
        <w:t xml:space="preserve">), </w:t>
      </w:r>
      <w:r w:rsidRPr="003337F3">
        <w:rPr>
          <w:lang w:val="ru-RU"/>
        </w:rPr>
        <w:t>Патентное ведомство Республики Польша</w:t>
      </w:r>
      <w:r w:rsidRPr="00EC6362">
        <w:rPr>
          <w:lang w:val="ru-RU"/>
        </w:rPr>
        <w:t xml:space="preserve"> (</w:t>
      </w:r>
      <w:r w:rsidRPr="003337F3">
        <w:t>UPRP</w:t>
      </w:r>
      <w:r w:rsidRPr="00EC6362">
        <w:rPr>
          <w:lang w:val="ru-RU"/>
        </w:rPr>
        <w:t xml:space="preserve">), </w:t>
      </w:r>
      <w:r w:rsidRPr="003337F3">
        <w:rPr>
          <w:lang w:val="ru-RU"/>
        </w:rPr>
        <w:t>Румынское ведомство по авторскому праву</w:t>
      </w:r>
      <w:r w:rsidRPr="00EC6362">
        <w:rPr>
          <w:lang w:val="ru-RU"/>
        </w:rPr>
        <w:t xml:space="preserve"> (</w:t>
      </w:r>
      <w:r w:rsidRPr="003337F3">
        <w:t>ORDA</w:t>
      </w:r>
      <w:r w:rsidRPr="00EC6362">
        <w:rPr>
          <w:lang w:val="ru-RU"/>
        </w:rPr>
        <w:t xml:space="preserve">), </w:t>
      </w:r>
      <w:r w:rsidRPr="003337F3">
        <w:rPr>
          <w:lang w:val="ru-RU"/>
        </w:rPr>
        <w:t>Федеральная служба по интеллектуальной собственности Российской Федерации (Роспатент</w:t>
      </w:r>
      <w:r w:rsidRPr="00EC6362">
        <w:rPr>
          <w:lang w:val="ru-RU"/>
        </w:rPr>
        <w:t xml:space="preserve">), </w:t>
      </w:r>
      <w:r w:rsidRPr="003337F3">
        <w:rPr>
          <w:lang w:val="ru-RU"/>
        </w:rPr>
        <w:t>Ведомство интеллектуальной собственности Республики Сербия</w:t>
      </w:r>
      <w:r w:rsidRPr="00EC6362">
        <w:rPr>
          <w:lang w:val="ru-RU"/>
        </w:rPr>
        <w:t xml:space="preserve">, </w:t>
      </w:r>
      <w:r w:rsidRPr="003337F3">
        <w:rPr>
          <w:lang w:val="ru-RU"/>
        </w:rPr>
        <w:t xml:space="preserve">Ведомство интеллектуальной собственности Сингапура </w:t>
      </w:r>
      <w:r w:rsidRPr="00EC6362">
        <w:rPr>
          <w:lang w:val="ru-RU"/>
        </w:rPr>
        <w:t>(</w:t>
      </w:r>
      <w:r w:rsidRPr="003337F3">
        <w:t>IPOS</w:t>
      </w:r>
      <w:r w:rsidRPr="00EC6362">
        <w:rPr>
          <w:lang w:val="ru-RU"/>
        </w:rPr>
        <w:t xml:space="preserve">), </w:t>
      </w:r>
      <w:r w:rsidRPr="003337F3">
        <w:rPr>
          <w:lang w:val="ru-RU"/>
        </w:rPr>
        <w:t>Испанское ведомство по патентам и товарным знакам</w:t>
      </w:r>
      <w:r w:rsidRPr="00EC6362">
        <w:rPr>
          <w:lang w:val="ru-RU"/>
        </w:rPr>
        <w:t xml:space="preserve"> (</w:t>
      </w:r>
      <w:r w:rsidRPr="003337F3">
        <w:t>OEPM</w:t>
      </w:r>
      <w:r w:rsidRPr="00EC6362">
        <w:rPr>
          <w:lang w:val="ru-RU"/>
        </w:rPr>
        <w:t xml:space="preserve">), </w:t>
      </w:r>
      <w:r w:rsidRPr="003337F3">
        <w:rPr>
          <w:lang w:val="ru-RU"/>
        </w:rPr>
        <w:t>Швейцарский федеральный институт интеллектуальной собственности</w:t>
      </w:r>
      <w:r w:rsidRPr="00EC6362">
        <w:rPr>
          <w:lang w:val="ru-RU"/>
        </w:rPr>
        <w:t xml:space="preserve"> (</w:t>
      </w:r>
      <w:r w:rsidRPr="003337F3">
        <w:t>IPI</w:t>
      </w:r>
      <w:r w:rsidRPr="00EC6362">
        <w:rPr>
          <w:lang w:val="ru-RU"/>
        </w:rPr>
        <w:t>), Ведомство интеллектуальной собственности Соединенного Королевства (</w:t>
      </w:r>
      <w:r w:rsidRPr="003337F3">
        <w:t>UKIPO</w:t>
      </w:r>
      <w:r w:rsidRPr="00EC6362">
        <w:rPr>
          <w:lang w:val="ru-RU"/>
        </w:rPr>
        <w:t>)</w:t>
      </w:r>
      <w:r w:rsidRPr="003337F3">
        <w:rPr>
          <w:lang w:val="ru-RU"/>
        </w:rPr>
        <w:t xml:space="preserve"> и Ведомство Соединенных Штатов по патентам и товарным знакам </w:t>
      </w:r>
      <w:r w:rsidRPr="00EC6362">
        <w:rPr>
          <w:lang w:val="ru-RU"/>
        </w:rPr>
        <w:t>(</w:t>
      </w:r>
      <w:r w:rsidRPr="003337F3">
        <w:t>USPTO</w:t>
      </w:r>
      <w:r w:rsidRPr="00EC6362">
        <w:rPr>
          <w:lang w:val="ru-RU"/>
        </w:rPr>
        <w:t xml:space="preserve">). </w:t>
      </w:r>
    </w:p>
  </w:footnote>
  <w:footnote w:id="9">
    <w:p w:rsidR="002D49EB" w:rsidRPr="00EC6362" w:rsidRDefault="002D49EB" w:rsidP="00690D13">
      <w:pPr>
        <w:pStyle w:val="FootnoteText"/>
        <w:rPr>
          <w:lang w:val="ru-RU"/>
        </w:rPr>
      </w:pPr>
      <w:r w:rsidRPr="003337F3">
        <w:rPr>
          <w:rStyle w:val="FootnoteReference"/>
        </w:rPr>
        <w:footnoteRef/>
      </w:r>
      <w:r w:rsidRPr="00EC6362">
        <w:rPr>
          <w:lang w:val="ru-RU"/>
        </w:rPr>
        <w:tab/>
      </w:r>
      <w:r w:rsidRPr="003337F3">
        <w:rPr>
          <w:lang w:val="ru-RU"/>
        </w:rPr>
        <w:t xml:space="preserve">Центр предоставляет сторонам возможность использования </w:t>
      </w:r>
      <w:r w:rsidRPr="003337F3">
        <w:t>ECAF</w:t>
      </w:r>
      <w:r w:rsidRPr="00EC6362">
        <w:rPr>
          <w:lang w:val="ru-RU"/>
        </w:rPr>
        <w:t xml:space="preserve"> </w:t>
      </w:r>
      <w:r w:rsidRPr="003337F3">
        <w:rPr>
          <w:lang w:val="ru-RU"/>
        </w:rPr>
        <w:t>и своих средств видеоконференцсвязи</w:t>
      </w:r>
      <w:r w:rsidRPr="00EC6362">
        <w:rPr>
          <w:lang w:val="ru-RU"/>
        </w:rPr>
        <w:t xml:space="preserve">. </w:t>
      </w:r>
      <w:r w:rsidRPr="003337F3">
        <w:rPr>
          <w:lang w:val="ru-RU"/>
        </w:rPr>
        <w:t xml:space="preserve">См. </w:t>
      </w:r>
      <w:r w:rsidRPr="003337F3">
        <w:t>http</w:t>
      </w:r>
      <w:r w:rsidRPr="00EC6362">
        <w:rPr>
          <w:lang w:val="ru-RU"/>
        </w:rPr>
        <w:t>://</w:t>
      </w:r>
      <w:r w:rsidRPr="003337F3">
        <w:t>www</w:t>
      </w:r>
      <w:r w:rsidRPr="00EC6362">
        <w:rPr>
          <w:lang w:val="ru-RU"/>
        </w:rPr>
        <w:t>.</w:t>
      </w:r>
      <w:r w:rsidRPr="003337F3">
        <w:t>wipo</w:t>
      </w:r>
      <w:r w:rsidRPr="00EC6362">
        <w:rPr>
          <w:lang w:val="ru-RU"/>
        </w:rPr>
        <w:t>.</w:t>
      </w:r>
      <w:r w:rsidRPr="003337F3">
        <w:t>int</w:t>
      </w:r>
      <w:r w:rsidRPr="00EC6362">
        <w:rPr>
          <w:lang w:val="ru-RU"/>
        </w:rPr>
        <w:t>/</w:t>
      </w:r>
      <w:r w:rsidRPr="003337F3">
        <w:t>amc</w:t>
      </w:r>
      <w:r w:rsidRPr="00EC6362">
        <w:rPr>
          <w:lang w:val="ru-RU"/>
        </w:rPr>
        <w:t>/</w:t>
      </w:r>
      <w:r w:rsidRPr="003337F3">
        <w:t>en</w:t>
      </w:r>
      <w:r w:rsidRPr="00EC6362">
        <w:rPr>
          <w:lang w:val="ru-RU"/>
        </w:rPr>
        <w:t>/</w:t>
      </w:r>
      <w:r w:rsidRPr="003337F3">
        <w:t>ecaf</w:t>
      </w:r>
      <w:r w:rsidRPr="00EC6362">
        <w:rPr>
          <w:lang w:val="ru-RU"/>
        </w:rPr>
        <w:t>/</w:t>
      </w:r>
      <w:r w:rsidRPr="003337F3">
        <w:t>index</w:t>
      </w:r>
      <w:r w:rsidRPr="00EC6362">
        <w:rPr>
          <w:lang w:val="ru-RU"/>
        </w:rPr>
        <w:t>.</w:t>
      </w:r>
      <w:r w:rsidRPr="003337F3">
        <w:t>html</w:t>
      </w:r>
      <w:r w:rsidRPr="00EC6362">
        <w:rPr>
          <w:lang w:val="ru-RU"/>
        </w:rPr>
        <w:t>.</w:t>
      </w:r>
    </w:p>
  </w:footnote>
  <w:footnote w:id="10">
    <w:p w:rsidR="002D49EB" w:rsidRPr="00EC6362" w:rsidRDefault="002D49EB" w:rsidP="00690D13">
      <w:pPr>
        <w:pStyle w:val="FootnoteText"/>
        <w:rPr>
          <w:lang w:val="ru-RU"/>
        </w:rPr>
      </w:pPr>
      <w:r w:rsidRPr="003337F3">
        <w:rPr>
          <w:rStyle w:val="FootnoteReference"/>
        </w:rPr>
        <w:footnoteRef/>
      </w:r>
      <w:r w:rsidRPr="00EC6362">
        <w:rPr>
          <w:lang w:val="ru-RU"/>
        </w:rPr>
        <w:tab/>
      </w:r>
      <w:r w:rsidRPr="003337F3">
        <w:rPr>
          <w:lang w:val="ru-RU"/>
        </w:rPr>
        <w:t xml:space="preserve">Примеры мероприятий, организуемых Центром в сотрудничестве с ВИС, см. на странице </w:t>
      </w:r>
      <w:r w:rsidRPr="003337F3">
        <w:t>http</w:t>
      </w:r>
      <w:r w:rsidRPr="00EC6362">
        <w:rPr>
          <w:lang w:val="ru-RU"/>
        </w:rPr>
        <w:t>://</w:t>
      </w:r>
      <w:r w:rsidRPr="003337F3">
        <w:t>www</w:t>
      </w:r>
      <w:r w:rsidRPr="00EC6362">
        <w:rPr>
          <w:lang w:val="ru-RU"/>
        </w:rPr>
        <w:t>.</w:t>
      </w:r>
      <w:r w:rsidRPr="003337F3">
        <w:t>wipo</w:t>
      </w:r>
      <w:r w:rsidRPr="00EC6362">
        <w:rPr>
          <w:lang w:val="ru-RU"/>
        </w:rPr>
        <w:t>.</w:t>
      </w:r>
      <w:r w:rsidRPr="003337F3">
        <w:t>int</w:t>
      </w:r>
      <w:r w:rsidRPr="00EC6362">
        <w:rPr>
          <w:lang w:val="ru-RU"/>
        </w:rPr>
        <w:t>/</w:t>
      </w:r>
      <w:r w:rsidRPr="003337F3">
        <w:t>amc</w:t>
      </w:r>
      <w:r w:rsidRPr="00EC6362">
        <w:rPr>
          <w:lang w:val="ru-RU"/>
        </w:rPr>
        <w:t>/</w:t>
      </w:r>
      <w:r w:rsidRPr="003337F3">
        <w:t>en</w:t>
      </w:r>
      <w:r w:rsidRPr="00EC6362">
        <w:rPr>
          <w:lang w:val="ru-RU"/>
        </w:rPr>
        <w:t>/</w:t>
      </w:r>
      <w:r w:rsidRPr="003337F3">
        <w:t>center</w:t>
      </w:r>
      <w:r w:rsidRPr="00EC6362">
        <w:rPr>
          <w:lang w:val="ru-RU"/>
        </w:rPr>
        <w:t>/</w:t>
      </w:r>
      <w:r w:rsidRPr="003337F3">
        <w:t>specific</w:t>
      </w:r>
      <w:r w:rsidRPr="00EC6362">
        <w:rPr>
          <w:lang w:val="ru-RU"/>
        </w:rPr>
        <w:t>-</w:t>
      </w:r>
      <w:r w:rsidRPr="003337F3">
        <w:t>sectors</w:t>
      </w:r>
      <w:r w:rsidRPr="00EC6362">
        <w:rPr>
          <w:lang w:val="ru-RU"/>
        </w:rPr>
        <w:t>/</w:t>
      </w:r>
      <w:r w:rsidRPr="003337F3">
        <w:t>ipoffices</w:t>
      </w:r>
      <w:r w:rsidRPr="00EC6362">
        <w:rPr>
          <w:lang w:val="ru-RU"/>
        </w:rPr>
        <w:t xml:space="preserve">/. </w:t>
      </w:r>
      <w:r w:rsidRPr="003337F3">
        <w:rPr>
          <w:lang w:val="ru-RU"/>
        </w:rPr>
        <w:t xml:space="preserve">АУС также является частью программ выездных семинаров ВОИС, организуемых совместно с ВИС. См. </w:t>
      </w:r>
      <w:r w:rsidRPr="003337F3">
        <w:t>http</w:t>
      </w:r>
      <w:r w:rsidRPr="00EC6362">
        <w:rPr>
          <w:lang w:val="ru-RU"/>
        </w:rPr>
        <w:t>://</w:t>
      </w:r>
      <w:r w:rsidRPr="003337F3">
        <w:t>www</w:t>
      </w:r>
      <w:r w:rsidRPr="00EC6362">
        <w:rPr>
          <w:lang w:val="ru-RU"/>
        </w:rPr>
        <w:t>.</w:t>
      </w:r>
      <w:r w:rsidRPr="003337F3">
        <w:t>wipo</w:t>
      </w:r>
      <w:r w:rsidRPr="00EC6362">
        <w:rPr>
          <w:lang w:val="ru-RU"/>
        </w:rPr>
        <w:t>.</w:t>
      </w:r>
      <w:r w:rsidRPr="003337F3">
        <w:t>int</w:t>
      </w:r>
      <w:r w:rsidRPr="00EC6362">
        <w:rPr>
          <w:lang w:val="ru-RU"/>
        </w:rPr>
        <w:t>/</w:t>
      </w:r>
      <w:r w:rsidRPr="003337F3">
        <w:t>dcea</w:t>
      </w:r>
      <w:r w:rsidRPr="00EC6362">
        <w:rPr>
          <w:lang w:val="ru-RU"/>
        </w:rPr>
        <w:t>/</w:t>
      </w:r>
      <w:r w:rsidRPr="003337F3">
        <w:t>en</w:t>
      </w:r>
      <w:r w:rsidRPr="00EC6362">
        <w:rPr>
          <w:lang w:val="ru-RU"/>
        </w:rPr>
        <w:t>/</w:t>
      </w:r>
      <w:r w:rsidRPr="003337F3">
        <w:t>roving</w:t>
      </w:r>
      <w:r w:rsidRPr="00EC6362">
        <w:rPr>
          <w:lang w:val="ru-RU"/>
        </w:rPr>
        <w:t>_</w:t>
      </w:r>
      <w:r w:rsidRPr="003337F3">
        <w:t>seminars</w:t>
      </w:r>
      <w:r w:rsidRPr="00EC6362">
        <w:rPr>
          <w:lang w:val="ru-RU"/>
        </w:rPr>
        <w:t>/.</w:t>
      </w:r>
    </w:p>
  </w:footnote>
  <w:footnote w:id="11">
    <w:p w:rsidR="002D49EB" w:rsidRPr="009D6030" w:rsidRDefault="002D49EB" w:rsidP="00483FA0">
      <w:pPr>
        <w:pStyle w:val="FootnoteText"/>
        <w:rPr>
          <w:lang w:val="ru-RU"/>
        </w:rPr>
      </w:pPr>
      <w:r w:rsidRPr="003337F3">
        <w:rPr>
          <w:rStyle w:val="FootnoteReference"/>
        </w:rPr>
        <w:footnoteRef/>
      </w:r>
      <w:r w:rsidRPr="00EC6362">
        <w:rPr>
          <w:lang w:val="ru-RU"/>
        </w:rPr>
        <w:t xml:space="preserve">  </w:t>
      </w:r>
      <w:r w:rsidRPr="00EC6362">
        <w:rPr>
          <w:lang w:val="ru-RU"/>
        </w:rPr>
        <w:tab/>
      </w:r>
      <w:r w:rsidR="009D6030">
        <w:rPr>
          <w:lang w:val="ru-RU"/>
        </w:rPr>
        <w:t xml:space="preserve">Например, в порядке сотрудничества с Ведомством интеллектуальной собственности Сингапура </w:t>
      </w:r>
      <w:r w:rsidRPr="00EC6362">
        <w:rPr>
          <w:lang w:val="ru-RU"/>
        </w:rPr>
        <w:t>(</w:t>
      </w:r>
      <w:r w:rsidRPr="003337F3">
        <w:t>IPOS</w:t>
      </w:r>
      <w:r w:rsidRPr="00EC6362">
        <w:rPr>
          <w:lang w:val="ru-RU"/>
        </w:rPr>
        <w:t>)</w:t>
      </w:r>
      <w:r w:rsidR="009D6030">
        <w:rPr>
          <w:lang w:val="ru-RU"/>
        </w:rPr>
        <w:t xml:space="preserve"> Центр принимает участие в разработке механизма посредничества при рассмотрении споров о товарных знаках и патентах и вынесения экспертных решений по спорам о патентах, рассматриваемых </w:t>
      </w:r>
      <w:r w:rsidR="009D6030" w:rsidRPr="003337F3">
        <w:t>IPOS</w:t>
      </w:r>
      <w:r w:rsidR="009D6030">
        <w:rPr>
          <w:lang w:val="ru-RU"/>
        </w:rPr>
        <w:t xml:space="preserve">, и в применении соответствующих процедур. Центр также сотрудничает с Ведомством интеллектуальной собственности Филиппин </w:t>
      </w:r>
      <w:r w:rsidR="009D6030" w:rsidRPr="00EC6362">
        <w:rPr>
          <w:lang w:val="ru-RU"/>
        </w:rPr>
        <w:t>(</w:t>
      </w:r>
      <w:r w:rsidR="009D6030">
        <w:t>IPOPHL</w:t>
      </w:r>
      <w:r w:rsidR="009D6030" w:rsidRPr="00EC6362">
        <w:rPr>
          <w:lang w:val="ru-RU"/>
        </w:rPr>
        <w:t>)</w:t>
      </w:r>
      <w:r w:rsidR="009D6030">
        <w:rPr>
          <w:lang w:val="ru-RU"/>
        </w:rPr>
        <w:t xml:space="preserve"> в том, что касается применения процедур посредничества для рассмотрения споров, связанных с правами ИС на Филиппинах. Совет по рассмотрению споров и апелляций в связи с товарными знаками (</w:t>
      </w:r>
      <w:r w:rsidR="009D6030">
        <w:t>TTAB</w:t>
      </w:r>
      <w:r w:rsidR="009D6030" w:rsidRPr="00EC6362">
        <w:rPr>
          <w:lang w:val="ru-RU"/>
        </w:rPr>
        <w:t>)</w:t>
      </w:r>
      <w:r w:rsidR="009D6030">
        <w:rPr>
          <w:lang w:val="ru-RU"/>
        </w:rPr>
        <w:t xml:space="preserve"> и Совет по рассмотрению споров и апелляций в связи с патентами (</w:t>
      </w:r>
      <w:r w:rsidR="009D6030">
        <w:t>PTAB</w:t>
      </w:r>
      <w:r w:rsidR="009D6030" w:rsidRPr="00EC6362">
        <w:rPr>
          <w:lang w:val="ru-RU"/>
        </w:rPr>
        <w:t>)</w:t>
      </w:r>
      <w:r w:rsidR="009D6030">
        <w:rPr>
          <w:lang w:val="ru-RU"/>
        </w:rPr>
        <w:t xml:space="preserve"> Ведомства по патентам и товарным знакам США (</w:t>
      </w:r>
      <w:r w:rsidR="009D6030">
        <w:t>USPTO</w:t>
      </w:r>
      <w:r w:rsidR="009D6030" w:rsidRPr="00EC6362">
        <w:rPr>
          <w:lang w:val="ru-RU"/>
        </w:rPr>
        <w:t xml:space="preserve">) </w:t>
      </w:r>
      <w:r w:rsidR="009D6030">
        <w:rPr>
          <w:lang w:val="ru-RU"/>
        </w:rPr>
        <w:t xml:space="preserve">рекомендуют сторонам рассматривать АУС как средство разрешения вопросов, возникающих в ходе разбирательств в этих советах. Центр также включен в перечень возможных провайдеров услуг в области урегулирования споров в связи с разбирательствами в </w:t>
      </w:r>
      <w:r w:rsidR="009D6030">
        <w:t>TTAB</w:t>
      </w:r>
      <w:r w:rsidR="009D6030" w:rsidRPr="00EC6362">
        <w:rPr>
          <w:lang w:val="ru-RU"/>
        </w:rPr>
        <w:t xml:space="preserve"> </w:t>
      </w:r>
      <w:r w:rsidR="009D6030">
        <w:rPr>
          <w:lang w:val="ru-RU"/>
        </w:rPr>
        <w:t xml:space="preserve">и </w:t>
      </w:r>
      <w:r w:rsidR="009D6030">
        <w:t>PTAB</w:t>
      </w:r>
      <w:r w:rsidR="009D6030">
        <w:rPr>
          <w:lang w:val="ru-RU"/>
        </w:rPr>
        <w:t xml:space="preserve">. Сотрудничая с Патентным ведомством Республики Польша </w:t>
      </w:r>
      <w:r w:rsidR="009D6030" w:rsidRPr="00EC6362">
        <w:rPr>
          <w:lang w:val="ru-RU"/>
        </w:rPr>
        <w:t>(</w:t>
      </w:r>
      <w:r w:rsidR="009D6030">
        <w:t>UPRP</w:t>
      </w:r>
      <w:r w:rsidR="009D6030" w:rsidRPr="00EC6362">
        <w:rPr>
          <w:lang w:val="ru-RU"/>
        </w:rPr>
        <w:t>)</w:t>
      </w:r>
      <w:r w:rsidR="009D6030">
        <w:rPr>
          <w:lang w:val="ru-RU"/>
        </w:rPr>
        <w:t>, Центр принял участие в разработке механизма посредничества в рассмотрении дел об оспаривании товарных знаков</w:t>
      </w:r>
      <w:r w:rsidR="009C4924">
        <w:rPr>
          <w:lang w:val="ru-RU"/>
        </w:rPr>
        <w:t xml:space="preserve"> и собирается рассматривать такие споры.</w:t>
      </w:r>
    </w:p>
  </w:footnote>
  <w:footnote w:id="12">
    <w:p w:rsidR="002D49EB" w:rsidRPr="003C71DC" w:rsidRDefault="002D49EB" w:rsidP="00EF02A8">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 xml:space="preserve">Это касается, в частности, сотрудничества между Центром и Национальным управлением авторского права Колумбии </w:t>
      </w:r>
      <w:r w:rsidRPr="00EC6362">
        <w:rPr>
          <w:lang w:val="ru-RU"/>
        </w:rPr>
        <w:t>(</w:t>
      </w:r>
      <w:r w:rsidRPr="003337F3">
        <w:t>DNDA</w:t>
      </w:r>
      <w:r w:rsidRPr="00EC6362">
        <w:rPr>
          <w:lang w:val="ru-RU"/>
        </w:rPr>
        <w:t xml:space="preserve">), </w:t>
      </w:r>
      <w:r w:rsidRPr="003337F3">
        <w:rPr>
          <w:lang w:val="ru-RU"/>
        </w:rPr>
        <w:t xml:space="preserve">Корейской комиссией по авторскому праву </w:t>
      </w:r>
      <w:r w:rsidRPr="00EC6362">
        <w:rPr>
          <w:lang w:val="ru-RU"/>
        </w:rPr>
        <w:t>(</w:t>
      </w:r>
      <w:r w:rsidRPr="003337F3">
        <w:t>KCC</w:t>
      </w:r>
      <w:r w:rsidRPr="00EC6362">
        <w:rPr>
          <w:lang w:val="ru-RU"/>
        </w:rPr>
        <w:t>)</w:t>
      </w:r>
      <w:r w:rsidRPr="003337F3">
        <w:rPr>
          <w:lang w:val="ru-RU"/>
        </w:rPr>
        <w:t xml:space="preserve"> и Корейским агентством по охране </w:t>
      </w:r>
      <w:r w:rsidRPr="003337F3">
        <w:rPr>
          <w:lang w:val="ru-RU"/>
        </w:rPr>
        <w:t>результатов творческой деятельности</w:t>
      </w:r>
      <w:r w:rsidRPr="00EC6362">
        <w:rPr>
          <w:lang w:val="ru-RU"/>
        </w:rPr>
        <w:t xml:space="preserve"> </w:t>
      </w:r>
      <w:hyperlink r:id="rId1" w:history="1">
        <w:r w:rsidRPr="00EC6362">
          <w:rPr>
            <w:lang w:val="ru-RU"/>
          </w:rPr>
          <w:t>(</w:t>
        </w:r>
        <w:r w:rsidRPr="003337F3">
          <w:t>KOCCA</w:t>
        </w:r>
        <w:r w:rsidRPr="00EC6362">
          <w:rPr>
            <w:lang w:val="ru-RU"/>
          </w:rPr>
          <w:t>)</w:t>
        </w:r>
      </w:hyperlink>
      <w:r w:rsidRPr="00EC6362">
        <w:rPr>
          <w:lang w:val="ru-RU"/>
        </w:rPr>
        <w:t xml:space="preserve">. </w:t>
      </w:r>
      <w:r w:rsidRPr="003337F3">
        <w:rPr>
          <w:lang w:val="ru-RU"/>
        </w:rPr>
        <w:t>См.</w:t>
      </w:r>
      <w:r w:rsidRPr="003C71DC">
        <w:rPr>
          <w:lang w:val="ru-RU"/>
        </w:rPr>
        <w:t xml:space="preserve"> </w:t>
      </w:r>
      <w:r w:rsidRPr="003337F3">
        <w:t>http</w:t>
      </w:r>
      <w:r w:rsidRPr="003C71DC">
        <w:rPr>
          <w:lang w:val="ru-RU"/>
        </w:rPr>
        <w:t>://</w:t>
      </w:r>
      <w:r w:rsidRPr="003337F3">
        <w:t>www</w:t>
      </w:r>
      <w:r w:rsidRPr="003C71DC">
        <w:rPr>
          <w:lang w:val="ru-RU"/>
        </w:rPr>
        <w:t>.</w:t>
      </w:r>
      <w:proofErr w:type="spellStart"/>
      <w:r w:rsidRPr="003337F3">
        <w:t>wipo</w:t>
      </w:r>
      <w:proofErr w:type="spellEnd"/>
      <w:r w:rsidRPr="003C71DC">
        <w:rPr>
          <w:lang w:val="ru-RU"/>
        </w:rPr>
        <w:t>.</w:t>
      </w:r>
      <w:proofErr w:type="spellStart"/>
      <w:r w:rsidRPr="003337F3">
        <w:t>int</w:t>
      </w:r>
      <w:proofErr w:type="spellEnd"/>
      <w:r w:rsidRPr="003C71DC">
        <w:rPr>
          <w:lang w:val="ru-RU"/>
        </w:rPr>
        <w:t>/</w:t>
      </w:r>
      <w:proofErr w:type="spellStart"/>
      <w:r w:rsidRPr="003337F3">
        <w:t>amc</w:t>
      </w:r>
      <w:proofErr w:type="spellEnd"/>
      <w:r w:rsidRPr="003C71DC">
        <w:rPr>
          <w:lang w:val="ru-RU"/>
        </w:rPr>
        <w:t>/</w:t>
      </w:r>
      <w:proofErr w:type="spellStart"/>
      <w:r w:rsidRPr="003337F3">
        <w:t>en</w:t>
      </w:r>
      <w:proofErr w:type="spellEnd"/>
      <w:r w:rsidRPr="003C71DC">
        <w:rPr>
          <w:lang w:val="ru-RU"/>
        </w:rPr>
        <w:t>/</w:t>
      </w:r>
      <w:r w:rsidRPr="003337F3">
        <w:t>center</w:t>
      </w:r>
      <w:r w:rsidRPr="003C71DC">
        <w:rPr>
          <w:lang w:val="ru-RU"/>
        </w:rPr>
        <w:t>/</w:t>
      </w:r>
      <w:r w:rsidRPr="003337F3">
        <w:t>specific</w:t>
      </w:r>
      <w:r w:rsidRPr="003C71DC">
        <w:rPr>
          <w:lang w:val="ru-RU"/>
        </w:rPr>
        <w:t>-</w:t>
      </w:r>
      <w:r w:rsidRPr="003337F3">
        <w:t>sectors</w:t>
      </w:r>
      <w:r w:rsidRPr="003C71DC">
        <w:rPr>
          <w:lang w:val="ru-RU"/>
        </w:rPr>
        <w:t>/</w:t>
      </w:r>
      <w:proofErr w:type="spellStart"/>
      <w:r w:rsidRPr="003337F3">
        <w:t>ipoffices</w:t>
      </w:r>
      <w:proofErr w:type="spellEnd"/>
      <w:r w:rsidRPr="003C71DC">
        <w:rPr>
          <w:lang w:val="ru-RU"/>
        </w:rPr>
        <w:t>/.</w:t>
      </w:r>
    </w:p>
  </w:footnote>
  <w:footnote w:id="13">
    <w:p w:rsidR="002D49EB" w:rsidRPr="00EC6362" w:rsidRDefault="002D49EB" w:rsidP="00690D13">
      <w:pPr>
        <w:pStyle w:val="FootnoteText"/>
        <w:rPr>
          <w:lang w:val="ru-RU"/>
        </w:rPr>
      </w:pPr>
      <w:r w:rsidRPr="003337F3">
        <w:rPr>
          <w:rStyle w:val="FootnoteReference"/>
        </w:rPr>
        <w:footnoteRef/>
      </w:r>
      <w:r w:rsidRPr="00EC6362">
        <w:rPr>
          <w:lang w:val="ru-RU"/>
        </w:rPr>
        <w:tab/>
      </w:r>
      <w:r w:rsidRPr="003337F3">
        <w:rPr>
          <w:lang w:val="ru-RU"/>
        </w:rPr>
        <w:t xml:space="preserve">Например, Центр разработал такие типовые соглашения совместно с Испанским ведомством по патентам и товарным знакам </w:t>
      </w:r>
      <w:r w:rsidRPr="00EC6362">
        <w:rPr>
          <w:szCs w:val="18"/>
          <w:lang w:val="ru-RU"/>
        </w:rPr>
        <w:t>(</w:t>
      </w:r>
      <w:r w:rsidRPr="003337F3">
        <w:rPr>
          <w:szCs w:val="18"/>
        </w:rPr>
        <w:t>OEPM</w:t>
      </w:r>
      <w:r w:rsidRPr="00EC6362">
        <w:rPr>
          <w:szCs w:val="18"/>
          <w:lang w:val="ru-RU"/>
        </w:rPr>
        <w:t xml:space="preserve">). </w:t>
      </w:r>
      <w:r w:rsidRPr="003337F3">
        <w:rPr>
          <w:szCs w:val="18"/>
          <w:lang w:val="ru-RU"/>
        </w:rPr>
        <w:t xml:space="preserve">К числу других соглашений в области НИОКР, предусматривающих </w:t>
      </w:r>
      <w:r w:rsidRPr="003337F3">
        <w:rPr>
          <w:lang w:val="ru-RU"/>
        </w:rPr>
        <w:t xml:space="preserve">разрешение споров с применением механизмов посредничества и ускоренного арбитража ВОИС, относятся </w:t>
      </w:r>
      <w:r w:rsidRPr="00EC6362">
        <w:rPr>
          <w:lang w:val="ru-RU"/>
        </w:rPr>
        <w:t xml:space="preserve"> </w:t>
      </w:r>
      <w:r w:rsidRPr="003337F3">
        <w:rPr>
          <w:lang w:val="ru-RU"/>
        </w:rPr>
        <w:t xml:space="preserve">Типовое соглашение о создании консорциума </w:t>
      </w:r>
      <w:r w:rsidRPr="003337F3">
        <w:t>DESCA</w:t>
      </w:r>
      <w:r w:rsidRPr="00EC6362">
        <w:rPr>
          <w:lang w:val="ru-RU"/>
        </w:rPr>
        <w:t xml:space="preserve"> </w:t>
      </w:r>
      <w:r w:rsidRPr="003337F3">
        <w:rPr>
          <w:lang w:val="ru-RU"/>
        </w:rPr>
        <w:t xml:space="preserve">для программы Европейского </w:t>
      </w:r>
      <w:r w:rsidRPr="003337F3">
        <w:rPr>
          <w:lang w:val="ru-RU"/>
        </w:rPr>
        <w:t>союза по финансированию НИОКР</w:t>
      </w:r>
      <w:r w:rsidRPr="003C71DC">
        <w:rPr>
          <w:lang w:val="ru-RU"/>
        </w:rPr>
        <w:t xml:space="preserve">; </w:t>
      </w:r>
      <w:r w:rsidRPr="003337F3">
        <w:rPr>
          <w:lang w:val="ru-RU"/>
        </w:rPr>
        <w:t xml:space="preserve">Руководство по соглашениям в области интеллектуальной собственности </w:t>
      </w:r>
      <w:r w:rsidRPr="003C71DC">
        <w:rPr>
          <w:lang w:val="ru-RU"/>
        </w:rPr>
        <w:t>(</w:t>
      </w:r>
      <w:r w:rsidRPr="003337F3">
        <w:rPr>
          <w:lang w:val="en"/>
        </w:rPr>
        <w:t>IPAG</w:t>
      </w:r>
      <w:r w:rsidRPr="003C71DC">
        <w:rPr>
          <w:lang w:val="ru-RU"/>
        </w:rPr>
        <w:t xml:space="preserve">) </w:t>
      </w:r>
      <w:r w:rsidRPr="003337F3">
        <w:rPr>
          <w:lang w:val="ru-RU"/>
        </w:rPr>
        <w:t>в Австрии</w:t>
      </w:r>
      <w:r w:rsidRPr="003C71DC">
        <w:rPr>
          <w:lang w:val="ru-RU"/>
        </w:rPr>
        <w:t xml:space="preserve">; </w:t>
      </w:r>
      <w:r w:rsidRPr="003337F3">
        <w:rPr>
          <w:lang w:val="ru-RU"/>
        </w:rPr>
        <w:t>и типовые соглашения о сотрудничестве в области НИОКР в Германии. Дополнительную информацию см. на следующей странице:</w:t>
      </w:r>
      <w:r w:rsidRPr="00EC6362">
        <w:rPr>
          <w:lang w:val="ru-RU"/>
        </w:rPr>
        <w:t xml:space="preserve"> </w:t>
      </w:r>
      <w:r w:rsidRPr="003337F3">
        <w:rPr>
          <w:lang w:val="en"/>
        </w:rPr>
        <w:t>http</w:t>
      </w:r>
      <w:r w:rsidRPr="00EC6362">
        <w:rPr>
          <w:lang w:val="ru-RU"/>
        </w:rPr>
        <w:t>://</w:t>
      </w:r>
      <w:r w:rsidRPr="003337F3">
        <w:rPr>
          <w:lang w:val="en"/>
        </w:rPr>
        <w:t>www</w:t>
      </w:r>
      <w:r w:rsidRPr="00EC6362">
        <w:rPr>
          <w:lang w:val="ru-RU"/>
        </w:rPr>
        <w:t>.</w:t>
      </w:r>
      <w:r w:rsidRPr="003337F3">
        <w:rPr>
          <w:lang w:val="en"/>
        </w:rPr>
        <w:t>wipo</w:t>
      </w:r>
      <w:r w:rsidRPr="00EC6362">
        <w:rPr>
          <w:lang w:val="ru-RU"/>
        </w:rPr>
        <w:t>.</w:t>
      </w:r>
      <w:r w:rsidRPr="003337F3">
        <w:rPr>
          <w:lang w:val="en"/>
        </w:rPr>
        <w:t>int</w:t>
      </w:r>
      <w:r w:rsidRPr="00EC6362">
        <w:rPr>
          <w:lang w:val="ru-RU"/>
        </w:rPr>
        <w:t>/</w:t>
      </w:r>
      <w:r w:rsidRPr="003337F3">
        <w:rPr>
          <w:lang w:val="en"/>
        </w:rPr>
        <w:t>amc</w:t>
      </w:r>
      <w:r w:rsidRPr="00EC6362">
        <w:rPr>
          <w:lang w:val="ru-RU"/>
        </w:rPr>
        <w:t>/</w:t>
      </w:r>
      <w:r w:rsidRPr="003337F3">
        <w:rPr>
          <w:lang w:val="en"/>
        </w:rPr>
        <w:t>en</w:t>
      </w:r>
      <w:r w:rsidRPr="00EC6362">
        <w:rPr>
          <w:lang w:val="ru-RU"/>
        </w:rPr>
        <w:t>/</w:t>
      </w:r>
      <w:r w:rsidRPr="003337F3">
        <w:rPr>
          <w:lang w:val="en"/>
        </w:rPr>
        <w:t>center</w:t>
      </w:r>
      <w:r w:rsidRPr="00EC6362">
        <w:rPr>
          <w:lang w:val="ru-RU"/>
        </w:rPr>
        <w:t>/</w:t>
      </w:r>
      <w:r w:rsidRPr="003337F3">
        <w:rPr>
          <w:lang w:val="en"/>
        </w:rPr>
        <w:t>specific</w:t>
      </w:r>
      <w:r w:rsidRPr="00EC6362">
        <w:rPr>
          <w:lang w:val="ru-RU"/>
        </w:rPr>
        <w:t>-</w:t>
      </w:r>
      <w:r w:rsidRPr="003337F3">
        <w:rPr>
          <w:lang w:val="en"/>
        </w:rPr>
        <w:t>sectors</w:t>
      </w:r>
      <w:r w:rsidRPr="00EC6362">
        <w:rPr>
          <w:lang w:val="ru-RU"/>
        </w:rPr>
        <w:t>/</w:t>
      </w:r>
      <w:r w:rsidRPr="003337F3">
        <w:rPr>
          <w:lang w:val="en"/>
        </w:rPr>
        <w:t>rd</w:t>
      </w:r>
      <w:r w:rsidRPr="00EC6362">
        <w:rPr>
          <w:lang w:val="ru-RU"/>
        </w:rPr>
        <w:t>/.</w:t>
      </w:r>
    </w:p>
  </w:footnote>
  <w:footnote w:id="14">
    <w:p w:rsidR="002D49EB" w:rsidRPr="00EC6362" w:rsidRDefault="002D49EB" w:rsidP="00690D13">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 xml:space="preserve">Второе издание руководства см. на следующей странице: </w:t>
      </w:r>
      <w:r w:rsidRPr="003337F3">
        <w:t>http</w:t>
      </w:r>
      <w:r w:rsidRPr="00EC6362">
        <w:rPr>
          <w:lang w:val="ru-RU"/>
        </w:rPr>
        <w:t>://</w:t>
      </w:r>
      <w:r w:rsidRPr="003337F3">
        <w:t>www</w:t>
      </w:r>
      <w:r w:rsidRPr="00EC6362">
        <w:rPr>
          <w:lang w:val="ru-RU"/>
        </w:rPr>
        <w:t>.</w:t>
      </w:r>
      <w:r w:rsidRPr="003337F3">
        <w:t>wipo</w:t>
      </w:r>
      <w:r w:rsidRPr="00EC6362">
        <w:rPr>
          <w:lang w:val="ru-RU"/>
        </w:rPr>
        <w:t>.</w:t>
      </w:r>
      <w:r w:rsidRPr="003337F3">
        <w:t>int</w:t>
      </w:r>
      <w:r w:rsidRPr="00EC6362">
        <w:rPr>
          <w:lang w:val="ru-RU"/>
        </w:rPr>
        <w:t>/</w:t>
      </w:r>
      <w:r w:rsidRPr="003337F3">
        <w:t>export</w:t>
      </w:r>
      <w:r w:rsidRPr="00EC6362">
        <w:rPr>
          <w:lang w:val="ru-RU"/>
        </w:rPr>
        <w:t>/</w:t>
      </w:r>
      <w:r w:rsidRPr="003337F3">
        <w:t>sites</w:t>
      </w:r>
      <w:r w:rsidRPr="00EC6362">
        <w:rPr>
          <w:lang w:val="ru-RU"/>
        </w:rPr>
        <w:t>/</w:t>
      </w:r>
      <w:r w:rsidRPr="003337F3">
        <w:t>www</w:t>
      </w:r>
      <w:r w:rsidRPr="00EC6362">
        <w:rPr>
          <w:lang w:val="ru-RU"/>
        </w:rPr>
        <w:t>/</w:t>
      </w:r>
      <w:r w:rsidRPr="003337F3">
        <w:t>amc</w:t>
      </w:r>
      <w:r w:rsidRPr="00EC6362">
        <w:rPr>
          <w:lang w:val="ru-RU"/>
        </w:rPr>
        <w:t>/</w:t>
      </w:r>
      <w:r w:rsidRPr="003337F3">
        <w:t>en</w:t>
      </w:r>
      <w:r w:rsidRPr="00EC6362">
        <w:rPr>
          <w:lang w:val="ru-RU"/>
        </w:rPr>
        <w:t>/</w:t>
      </w:r>
      <w:r w:rsidRPr="003337F3">
        <w:t>docs</w:t>
      </w:r>
      <w:r w:rsidRPr="00EC6362">
        <w:rPr>
          <w:lang w:val="ru-RU"/>
        </w:rPr>
        <w:t>/</w:t>
      </w:r>
      <w:r w:rsidRPr="003337F3">
        <w:t>adrguidejuly</w:t>
      </w:r>
      <w:r w:rsidRPr="00EC6362">
        <w:rPr>
          <w:lang w:val="ru-RU"/>
        </w:rPr>
        <w:t>2015.</w:t>
      </w:r>
      <w:r w:rsidRPr="003337F3">
        <w:t>pdf</w:t>
      </w:r>
      <w:r w:rsidRPr="00EC6362">
        <w:rPr>
          <w:lang w:val="ru-RU"/>
        </w:rPr>
        <w:t xml:space="preserve">. </w:t>
      </w:r>
    </w:p>
  </w:footnote>
  <w:footnote w:id="15">
    <w:p w:rsidR="002D49EB" w:rsidRPr="00EC6362" w:rsidRDefault="002D49EB" w:rsidP="00640B9A">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См.</w:t>
      </w:r>
      <w:r w:rsidRPr="00EC6362">
        <w:rPr>
          <w:lang w:val="ru-RU"/>
        </w:rPr>
        <w:t xml:space="preserve"> </w:t>
      </w:r>
      <w:r w:rsidRPr="003337F3">
        <w:t>http</w:t>
      </w:r>
      <w:r w:rsidRPr="00EC6362">
        <w:rPr>
          <w:lang w:val="ru-RU"/>
        </w:rPr>
        <w:t>://</w:t>
      </w:r>
      <w:r w:rsidRPr="003337F3">
        <w:t>www</w:t>
      </w:r>
      <w:r w:rsidRPr="00EC6362">
        <w:rPr>
          <w:lang w:val="ru-RU"/>
        </w:rPr>
        <w:t>.</w:t>
      </w:r>
      <w:r w:rsidRPr="003337F3">
        <w:t>wipo</w:t>
      </w:r>
      <w:r w:rsidRPr="00EC6362">
        <w:rPr>
          <w:lang w:val="ru-RU"/>
        </w:rPr>
        <w:t>.</w:t>
      </w:r>
      <w:r w:rsidRPr="003337F3">
        <w:t>int</w:t>
      </w:r>
      <w:r w:rsidRPr="00EC6362">
        <w:rPr>
          <w:lang w:val="ru-RU"/>
        </w:rPr>
        <w:t>/</w:t>
      </w:r>
      <w:r w:rsidRPr="003337F3">
        <w:t>export</w:t>
      </w:r>
      <w:r w:rsidRPr="00EC6362">
        <w:rPr>
          <w:lang w:val="ru-RU"/>
        </w:rPr>
        <w:t>/</w:t>
      </w:r>
      <w:r w:rsidRPr="003337F3">
        <w:t>sites</w:t>
      </w:r>
      <w:r w:rsidRPr="00EC6362">
        <w:rPr>
          <w:lang w:val="ru-RU"/>
        </w:rPr>
        <w:t>/</w:t>
      </w:r>
      <w:r w:rsidRPr="003337F3">
        <w:t>www</w:t>
      </w:r>
      <w:r w:rsidRPr="00EC6362">
        <w:rPr>
          <w:lang w:val="ru-RU"/>
        </w:rPr>
        <w:t>/</w:t>
      </w:r>
      <w:r w:rsidRPr="003337F3">
        <w:t>amc</w:t>
      </w:r>
      <w:r w:rsidRPr="00EC6362">
        <w:rPr>
          <w:lang w:val="ru-RU"/>
        </w:rPr>
        <w:t>/</w:t>
      </w:r>
      <w:r w:rsidRPr="003337F3">
        <w:t>en</w:t>
      </w:r>
      <w:r w:rsidRPr="00EC6362">
        <w:rPr>
          <w:lang w:val="ru-RU"/>
        </w:rPr>
        <w:t>/</w:t>
      </w:r>
      <w:r w:rsidRPr="003337F3">
        <w:t>docs</w:t>
      </w:r>
      <w:r w:rsidRPr="00EC6362">
        <w:rPr>
          <w:lang w:val="ru-RU"/>
        </w:rPr>
        <w:t>/</w:t>
      </w:r>
      <w:r w:rsidRPr="003337F3">
        <w:t>wipofrandadrguidance</w:t>
      </w:r>
      <w:r w:rsidRPr="00EC6362">
        <w:rPr>
          <w:lang w:val="ru-RU"/>
        </w:rPr>
        <w:t>.</w:t>
      </w:r>
      <w:r w:rsidRPr="003337F3">
        <w:t>pdf</w:t>
      </w:r>
      <w:r w:rsidRPr="00EC6362">
        <w:rPr>
          <w:lang w:val="ru-RU"/>
        </w:rPr>
        <w:t xml:space="preserve">. </w:t>
      </w:r>
    </w:p>
  </w:footnote>
  <w:footnote w:id="16">
    <w:p w:rsidR="002D49EB" w:rsidRPr="00EC6362" w:rsidRDefault="002D49EB" w:rsidP="003151C8">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См.</w:t>
      </w:r>
      <w:r w:rsidRPr="00EC6362">
        <w:rPr>
          <w:lang w:val="ru-RU"/>
        </w:rPr>
        <w:t xml:space="preserve"> </w:t>
      </w:r>
      <w:r w:rsidRPr="003337F3">
        <w:t>http</w:t>
      </w:r>
      <w:r w:rsidRPr="00EC6362">
        <w:rPr>
          <w:lang w:val="ru-RU"/>
        </w:rPr>
        <w:t>://</w:t>
      </w:r>
      <w:r w:rsidRPr="003337F3">
        <w:t>www</w:t>
      </w:r>
      <w:r w:rsidRPr="00EC6362">
        <w:rPr>
          <w:lang w:val="ru-RU"/>
        </w:rPr>
        <w:t>.</w:t>
      </w:r>
      <w:r w:rsidRPr="003337F3">
        <w:t>wipo</w:t>
      </w:r>
      <w:r w:rsidRPr="00EC6362">
        <w:rPr>
          <w:lang w:val="ru-RU"/>
        </w:rPr>
        <w:t>.</w:t>
      </w:r>
      <w:r w:rsidRPr="003337F3">
        <w:t>int</w:t>
      </w:r>
      <w:r w:rsidRPr="00EC6362">
        <w:rPr>
          <w:lang w:val="ru-RU"/>
        </w:rPr>
        <w:t>/</w:t>
      </w:r>
      <w:r w:rsidRPr="003337F3">
        <w:t>amc</w:t>
      </w:r>
      <w:r w:rsidRPr="00EC6362">
        <w:rPr>
          <w:lang w:val="ru-RU"/>
        </w:rPr>
        <w:t>/</w:t>
      </w:r>
      <w:r w:rsidRPr="003337F3">
        <w:t>en</w:t>
      </w:r>
      <w:r w:rsidRPr="00EC6362">
        <w:rPr>
          <w:lang w:val="ru-RU"/>
        </w:rPr>
        <w:t>/</w:t>
      </w:r>
      <w:r w:rsidRPr="003337F3">
        <w:t>center</w:t>
      </w:r>
      <w:r w:rsidRPr="00EC6362">
        <w:rPr>
          <w:lang w:val="ru-RU"/>
        </w:rPr>
        <w:t>/</w:t>
      </w:r>
      <w:r w:rsidRPr="003337F3">
        <w:t>specific</w:t>
      </w:r>
      <w:r w:rsidRPr="00EC6362">
        <w:rPr>
          <w:lang w:val="ru-RU"/>
        </w:rPr>
        <w:t>-</w:t>
      </w:r>
      <w:r w:rsidRPr="003337F3">
        <w:t>sectors</w:t>
      </w:r>
      <w:r w:rsidRPr="00EC6362">
        <w:rPr>
          <w:lang w:val="ru-RU"/>
        </w:rPr>
        <w:t>/</w:t>
      </w:r>
      <w:r w:rsidRPr="003337F3">
        <w:t>tradefairs</w:t>
      </w:r>
      <w:r w:rsidRPr="00EC6362">
        <w:rPr>
          <w:lang w:val="ru-RU"/>
        </w:rPr>
        <w:t xml:space="preserve">/. </w:t>
      </w:r>
    </w:p>
  </w:footnote>
  <w:footnote w:id="17">
    <w:p w:rsidR="002D49EB" w:rsidRPr="00EC6362" w:rsidRDefault="002D49EB" w:rsidP="00483FA0">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Одним из таких мероприятий была 87-я Международная автомобильная выставка, состоявшаяся в Женеве в марте 2018 г.</w:t>
      </w:r>
    </w:p>
  </w:footnote>
  <w:footnote w:id="18">
    <w:p w:rsidR="002D49EB" w:rsidRPr="00EC6362" w:rsidRDefault="002D49EB" w:rsidP="00BF59A8">
      <w:pPr>
        <w:pStyle w:val="FootnoteText"/>
        <w:rPr>
          <w:szCs w:val="18"/>
          <w:lang w:val="ru-RU"/>
        </w:rPr>
      </w:pPr>
      <w:r w:rsidRPr="003337F3">
        <w:rPr>
          <w:rStyle w:val="FootnoteReference"/>
          <w:szCs w:val="18"/>
        </w:rPr>
        <w:footnoteRef/>
      </w:r>
      <w:r w:rsidRPr="00EC6362">
        <w:rPr>
          <w:szCs w:val="18"/>
          <w:lang w:val="ru-RU"/>
        </w:rPr>
        <w:t xml:space="preserve"> </w:t>
      </w:r>
      <w:r w:rsidRPr="00EC6362">
        <w:rPr>
          <w:szCs w:val="18"/>
          <w:lang w:val="ru-RU"/>
        </w:rPr>
        <w:tab/>
      </w:r>
      <w:r w:rsidRPr="003337F3">
        <w:rPr>
          <w:szCs w:val="18"/>
          <w:lang w:val="ru-RU"/>
        </w:rPr>
        <w:t xml:space="preserve">«Управление именами и адресами в Интернете:  вопросы интеллектуальной собственности. </w:t>
      </w:r>
      <w:r w:rsidRPr="003337F3">
        <w:rPr>
          <w:szCs w:val="18"/>
          <w:lang w:val="ru-RU"/>
        </w:rPr>
        <w:t>Итоговый отчет о Первом процессе ВОИС по доменным именам в Интернете», публикация ВОИС № 439 (также размещена по адресу:</w:t>
      </w:r>
      <w:r w:rsidRPr="00EC6362">
        <w:rPr>
          <w:szCs w:val="18"/>
          <w:lang w:val="ru-RU"/>
        </w:rPr>
        <w:t xml:space="preserve"> </w:t>
      </w:r>
      <w:r w:rsidRPr="003337F3">
        <w:rPr>
          <w:szCs w:val="18"/>
        </w:rPr>
        <w:t>http</w:t>
      </w:r>
      <w:r w:rsidRPr="00EC6362">
        <w:rPr>
          <w:szCs w:val="18"/>
          <w:lang w:val="ru-RU"/>
        </w:rPr>
        <w:t>://</w:t>
      </w:r>
      <w:r w:rsidRPr="003337F3">
        <w:rPr>
          <w:szCs w:val="18"/>
        </w:rPr>
        <w:t>www</w:t>
      </w:r>
      <w:r w:rsidRPr="00EC6362">
        <w:rPr>
          <w:szCs w:val="18"/>
          <w:lang w:val="ru-RU"/>
        </w:rPr>
        <w:t>.</w:t>
      </w:r>
      <w:r w:rsidRPr="003337F3">
        <w:rPr>
          <w:szCs w:val="18"/>
        </w:rPr>
        <w:t>wipo</w:t>
      </w:r>
      <w:r w:rsidRPr="00EC6362">
        <w:rPr>
          <w:szCs w:val="18"/>
          <w:lang w:val="ru-RU"/>
        </w:rPr>
        <w:t>.</w:t>
      </w:r>
      <w:r w:rsidRPr="003337F3">
        <w:rPr>
          <w:szCs w:val="18"/>
        </w:rPr>
        <w:t>int</w:t>
      </w:r>
      <w:r w:rsidRPr="00EC6362">
        <w:rPr>
          <w:szCs w:val="18"/>
          <w:lang w:val="ru-RU"/>
        </w:rPr>
        <w:t>/</w:t>
      </w:r>
      <w:r w:rsidRPr="003337F3">
        <w:rPr>
          <w:szCs w:val="18"/>
        </w:rPr>
        <w:t>amc</w:t>
      </w:r>
      <w:r w:rsidRPr="00EC6362">
        <w:rPr>
          <w:szCs w:val="18"/>
          <w:lang w:val="ru-RU"/>
        </w:rPr>
        <w:t>/</w:t>
      </w:r>
      <w:r w:rsidRPr="003337F3">
        <w:rPr>
          <w:szCs w:val="18"/>
        </w:rPr>
        <w:t>en</w:t>
      </w:r>
      <w:r w:rsidRPr="00EC6362">
        <w:rPr>
          <w:szCs w:val="18"/>
          <w:lang w:val="ru-RU"/>
        </w:rPr>
        <w:t>/</w:t>
      </w:r>
      <w:r w:rsidRPr="003337F3">
        <w:rPr>
          <w:szCs w:val="18"/>
        </w:rPr>
        <w:t>processes</w:t>
      </w:r>
      <w:r w:rsidRPr="00EC6362">
        <w:rPr>
          <w:szCs w:val="18"/>
          <w:lang w:val="ru-RU"/>
        </w:rPr>
        <w:t>/</w:t>
      </w:r>
      <w:r w:rsidRPr="003337F3">
        <w:rPr>
          <w:szCs w:val="18"/>
        </w:rPr>
        <w:t>process</w:t>
      </w:r>
      <w:r w:rsidRPr="00EC6362">
        <w:rPr>
          <w:szCs w:val="18"/>
          <w:lang w:val="ru-RU"/>
        </w:rPr>
        <w:t>1/</w:t>
      </w:r>
      <w:r w:rsidRPr="003337F3">
        <w:rPr>
          <w:szCs w:val="18"/>
        </w:rPr>
        <w:t>report</w:t>
      </w:r>
      <w:r w:rsidRPr="00EC6362">
        <w:rPr>
          <w:szCs w:val="18"/>
          <w:lang w:val="ru-RU"/>
        </w:rPr>
        <w:t>.</w:t>
      </w:r>
    </w:p>
  </w:footnote>
  <w:footnote w:id="19">
    <w:p w:rsidR="002D49EB" w:rsidRPr="00EC6362" w:rsidRDefault="002D49EB" w:rsidP="00BF59A8">
      <w:pPr>
        <w:pStyle w:val="FootnoteText"/>
        <w:rPr>
          <w:szCs w:val="18"/>
          <w:lang w:val="ru-RU"/>
        </w:rPr>
      </w:pPr>
      <w:r w:rsidRPr="003337F3">
        <w:rPr>
          <w:rStyle w:val="FootnoteReference"/>
          <w:szCs w:val="18"/>
        </w:rPr>
        <w:footnoteRef/>
      </w:r>
      <w:r w:rsidRPr="00EC6362">
        <w:rPr>
          <w:szCs w:val="18"/>
          <w:lang w:val="ru-RU"/>
        </w:rPr>
        <w:t xml:space="preserve"> </w:t>
      </w:r>
      <w:r w:rsidRPr="00EC6362">
        <w:rPr>
          <w:szCs w:val="18"/>
          <w:lang w:val="ru-RU"/>
        </w:rPr>
        <w:tab/>
      </w:r>
      <w:r w:rsidRPr="003337F3">
        <w:rPr>
          <w:szCs w:val="18"/>
          <w:lang w:val="ru-RU"/>
        </w:rPr>
        <w:t xml:space="preserve">«Признание прав и использование имен в </w:t>
      </w:r>
      <w:r w:rsidRPr="003337F3">
        <w:rPr>
          <w:szCs w:val="24"/>
          <w:lang w:val="ru-RU"/>
        </w:rPr>
        <w:t xml:space="preserve">системе доменных имен </w:t>
      </w:r>
      <w:r w:rsidRPr="003337F3">
        <w:rPr>
          <w:szCs w:val="18"/>
          <w:lang w:val="ru-RU"/>
        </w:rPr>
        <w:t xml:space="preserve">в Интернете. Отчет о Втором процессе ВОИС по доменным именам в Интернете», публикация ВОИС № 843 (также размещена по адресу: </w:t>
      </w:r>
      <w:r w:rsidRPr="003337F3">
        <w:rPr>
          <w:szCs w:val="18"/>
        </w:rPr>
        <w:t>http</w:t>
      </w:r>
      <w:r w:rsidRPr="003337F3">
        <w:rPr>
          <w:szCs w:val="18"/>
          <w:lang w:val="ru-RU"/>
        </w:rPr>
        <w:t>://</w:t>
      </w:r>
      <w:r w:rsidRPr="003337F3">
        <w:rPr>
          <w:szCs w:val="18"/>
        </w:rPr>
        <w:t>www</w:t>
      </w:r>
      <w:r w:rsidRPr="003337F3">
        <w:rPr>
          <w:szCs w:val="18"/>
          <w:lang w:val="ru-RU"/>
        </w:rPr>
        <w:t>.</w:t>
      </w:r>
      <w:r w:rsidRPr="003337F3">
        <w:rPr>
          <w:szCs w:val="18"/>
        </w:rPr>
        <w:t>wipo</w:t>
      </w:r>
      <w:r w:rsidRPr="003337F3">
        <w:rPr>
          <w:szCs w:val="18"/>
          <w:lang w:val="ru-RU"/>
        </w:rPr>
        <w:t>.</w:t>
      </w:r>
      <w:r w:rsidRPr="003337F3">
        <w:rPr>
          <w:szCs w:val="18"/>
        </w:rPr>
        <w:t>int</w:t>
      </w:r>
      <w:r w:rsidRPr="003337F3">
        <w:rPr>
          <w:szCs w:val="18"/>
          <w:lang w:val="ru-RU"/>
        </w:rPr>
        <w:t>/</w:t>
      </w:r>
      <w:r w:rsidRPr="003337F3">
        <w:rPr>
          <w:szCs w:val="18"/>
        </w:rPr>
        <w:t>amc</w:t>
      </w:r>
      <w:r w:rsidRPr="003337F3">
        <w:rPr>
          <w:szCs w:val="18"/>
          <w:lang w:val="ru-RU"/>
        </w:rPr>
        <w:t>/</w:t>
      </w:r>
      <w:r w:rsidRPr="003337F3">
        <w:rPr>
          <w:szCs w:val="18"/>
        </w:rPr>
        <w:t>en</w:t>
      </w:r>
      <w:r w:rsidRPr="003337F3">
        <w:rPr>
          <w:szCs w:val="18"/>
          <w:lang w:val="ru-RU"/>
        </w:rPr>
        <w:t>/</w:t>
      </w:r>
      <w:r w:rsidRPr="003337F3">
        <w:rPr>
          <w:szCs w:val="18"/>
        </w:rPr>
        <w:t>processes</w:t>
      </w:r>
      <w:r w:rsidRPr="003337F3">
        <w:rPr>
          <w:szCs w:val="18"/>
          <w:lang w:val="ru-RU"/>
        </w:rPr>
        <w:t>/</w:t>
      </w:r>
      <w:r w:rsidRPr="003337F3">
        <w:rPr>
          <w:szCs w:val="18"/>
        </w:rPr>
        <w:t>process</w:t>
      </w:r>
      <w:r w:rsidRPr="003337F3">
        <w:rPr>
          <w:szCs w:val="18"/>
          <w:lang w:val="ru-RU"/>
        </w:rPr>
        <w:t>2/</w:t>
      </w:r>
      <w:r w:rsidRPr="003337F3">
        <w:rPr>
          <w:szCs w:val="18"/>
        </w:rPr>
        <w:t>report</w:t>
      </w:r>
      <w:r w:rsidRPr="003337F3">
        <w:rPr>
          <w:szCs w:val="18"/>
          <w:lang w:val="ru-RU"/>
        </w:rPr>
        <w:t>)</w:t>
      </w:r>
    </w:p>
  </w:footnote>
  <w:footnote w:id="20">
    <w:p w:rsidR="002D49EB" w:rsidRPr="00EC6362" w:rsidRDefault="002D49EB" w:rsidP="00BF59A8">
      <w:pPr>
        <w:pStyle w:val="FootnoteText"/>
        <w:rPr>
          <w:szCs w:val="18"/>
          <w:lang w:val="ru-RU"/>
        </w:rPr>
      </w:pPr>
      <w:r w:rsidRPr="003337F3">
        <w:rPr>
          <w:rStyle w:val="FootnoteReference"/>
          <w:szCs w:val="18"/>
        </w:rPr>
        <w:footnoteRef/>
      </w:r>
      <w:r w:rsidRPr="00EC6362">
        <w:rPr>
          <w:szCs w:val="18"/>
          <w:lang w:val="ru-RU"/>
        </w:rPr>
        <w:tab/>
      </w:r>
      <w:r w:rsidRPr="003337F3">
        <w:rPr>
          <w:szCs w:val="18"/>
          <w:lang w:val="ru-RU"/>
        </w:rPr>
        <w:t xml:space="preserve">ЕПУС не лишает ни одну из сторон права передать спор в компетентный суд, однако лишь очень немногие споры, по которым было принято решение на основе ЕПУС, были в дальнейшем переданы в национальные суды. </w:t>
      </w:r>
      <w:r w:rsidRPr="003337F3">
        <w:rPr>
          <w:szCs w:val="18"/>
        </w:rPr>
        <w:t>C</w:t>
      </w:r>
      <w:r w:rsidRPr="003337F3">
        <w:rPr>
          <w:szCs w:val="18"/>
          <w:lang w:val="ru-RU"/>
        </w:rPr>
        <w:t xml:space="preserve">м. подборку судебных дел, решенных на основе ЕПУС, по адресу: </w:t>
      </w:r>
      <w:r w:rsidRPr="003337F3">
        <w:rPr>
          <w:szCs w:val="18"/>
        </w:rPr>
        <w:t>http</w:t>
      </w:r>
      <w:r w:rsidRPr="003337F3">
        <w:rPr>
          <w:szCs w:val="18"/>
          <w:lang w:val="ru-RU"/>
        </w:rPr>
        <w:t>://</w:t>
      </w:r>
      <w:r w:rsidRPr="003337F3">
        <w:rPr>
          <w:szCs w:val="18"/>
        </w:rPr>
        <w:t>www</w:t>
      </w:r>
      <w:r w:rsidRPr="003337F3">
        <w:rPr>
          <w:szCs w:val="18"/>
          <w:lang w:val="ru-RU"/>
        </w:rPr>
        <w:t>.</w:t>
      </w:r>
      <w:r w:rsidRPr="003337F3">
        <w:rPr>
          <w:szCs w:val="18"/>
        </w:rPr>
        <w:t>wipo</w:t>
      </w:r>
      <w:r w:rsidRPr="003337F3">
        <w:rPr>
          <w:szCs w:val="18"/>
          <w:lang w:val="ru-RU"/>
        </w:rPr>
        <w:t>.</w:t>
      </w:r>
      <w:r w:rsidRPr="003337F3">
        <w:rPr>
          <w:szCs w:val="18"/>
        </w:rPr>
        <w:t>int</w:t>
      </w:r>
      <w:r w:rsidRPr="003337F3">
        <w:rPr>
          <w:szCs w:val="18"/>
          <w:lang w:val="ru-RU"/>
        </w:rPr>
        <w:t>/</w:t>
      </w:r>
      <w:r w:rsidRPr="003337F3">
        <w:rPr>
          <w:szCs w:val="18"/>
        </w:rPr>
        <w:t>amc</w:t>
      </w:r>
      <w:r w:rsidRPr="003337F3">
        <w:rPr>
          <w:szCs w:val="18"/>
          <w:lang w:val="ru-RU"/>
        </w:rPr>
        <w:t>/</w:t>
      </w:r>
      <w:r w:rsidRPr="003337F3">
        <w:rPr>
          <w:szCs w:val="18"/>
        </w:rPr>
        <w:t>en</w:t>
      </w:r>
      <w:r w:rsidRPr="003337F3">
        <w:rPr>
          <w:szCs w:val="18"/>
          <w:lang w:val="ru-RU"/>
        </w:rPr>
        <w:t>/</w:t>
      </w:r>
      <w:r w:rsidRPr="003337F3">
        <w:rPr>
          <w:szCs w:val="18"/>
        </w:rPr>
        <w:t>domains</w:t>
      </w:r>
      <w:r w:rsidRPr="003337F3">
        <w:rPr>
          <w:szCs w:val="18"/>
          <w:lang w:val="ru-RU"/>
        </w:rPr>
        <w:t>/</w:t>
      </w:r>
      <w:r w:rsidRPr="003337F3">
        <w:rPr>
          <w:szCs w:val="18"/>
        </w:rPr>
        <w:t>challenged</w:t>
      </w:r>
      <w:r w:rsidRPr="003337F3">
        <w:rPr>
          <w:szCs w:val="18"/>
          <w:lang w:val="ru-RU"/>
        </w:rPr>
        <w:t>).</w:t>
      </w:r>
    </w:p>
  </w:footnote>
  <w:footnote w:id="21">
    <w:p w:rsidR="002D49EB" w:rsidRPr="00EC6362" w:rsidRDefault="002D49EB" w:rsidP="00BF59A8">
      <w:pPr>
        <w:pStyle w:val="FootnoteText"/>
        <w:rPr>
          <w:szCs w:val="18"/>
          <w:lang w:val="ru-RU"/>
        </w:rPr>
      </w:pPr>
      <w:r w:rsidRPr="003337F3">
        <w:rPr>
          <w:rStyle w:val="FootnoteReference"/>
          <w:szCs w:val="18"/>
        </w:rPr>
        <w:footnoteRef/>
      </w:r>
      <w:r w:rsidRPr="00EC6362">
        <w:rPr>
          <w:szCs w:val="18"/>
          <w:lang w:val="ru-RU"/>
        </w:rPr>
        <w:t xml:space="preserve"> </w:t>
      </w:r>
      <w:r w:rsidRPr="00EC6362">
        <w:rPr>
          <w:szCs w:val="18"/>
          <w:lang w:val="ru-RU"/>
        </w:rPr>
        <w:tab/>
      </w:r>
      <w:r w:rsidRPr="003337F3">
        <w:rPr>
          <w:szCs w:val="18"/>
          <w:lang w:val="ru-RU"/>
        </w:rPr>
        <w:t xml:space="preserve">Центр публикует в Интернете статистические данные в режиме реального времени, которыми могут пользоваться стороны споров, рассматриваемых органами ВОИС на базе ЕПУС, нейтральные лица, поверенные по товарным знакам, </w:t>
      </w:r>
      <w:r w:rsidR="003337F3" w:rsidRPr="003337F3">
        <w:rPr>
          <w:lang w:val="ru-RU"/>
        </w:rPr>
        <w:t>регистранты</w:t>
      </w:r>
      <w:r w:rsidRPr="003337F3">
        <w:rPr>
          <w:szCs w:val="18"/>
          <w:lang w:val="ru-RU"/>
        </w:rPr>
        <w:t xml:space="preserve"> доменных имен, директивные органы в области доменных имен, средства массовой информации и ученые. Статистические данные представлены в разбивке по многим категориям, таким как «сфера деятельности истца», «строка доменного имени» или «25 решений, наиболее часто цитируемых в жалобе». См. </w:t>
      </w:r>
      <w:r w:rsidRPr="003337F3">
        <w:rPr>
          <w:szCs w:val="18"/>
        </w:rPr>
        <w:t>http</w:t>
      </w:r>
      <w:r w:rsidRPr="003337F3">
        <w:rPr>
          <w:szCs w:val="18"/>
          <w:lang w:val="ru-RU"/>
        </w:rPr>
        <w:t>://</w:t>
      </w:r>
      <w:r w:rsidRPr="003337F3">
        <w:rPr>
          <w:szCs w:val="18"/>
        </w:rPr>
        <w:t>www</w:t>
      </w:r>
      <w:r w:rsidRPr="003337F3">
        <w:rPr>
          <w:szCs w:val="18"/>
          <w:lang w:val="ru-RU"/>
        </w:rPr>
        <w:t>.</w:t>
      </w:r>
      <w:r w:rsidRPr="003337F3">
        <w:rPr>
          <w:szCs w:val="18"/>
        </w:rPr>
        <w:t>wipo</w:t>
      </w:r>
      <w:r w:rsidRPr="003337F3">
        <w:rPr>
          <w:szCs w:val="18"/>
          <w:lang w:val="ru-RU"/>
        </w:rPr>
        <w:t>.</w:t>
      </w:r>
      <w:r w:rsidRPr="003337F3">
        <w:rPr>
          <w:szCs w:val="18"/>
        </w:rPr>
        <w:t>int</w:t>
      </w:r>
      <w:r w:rsidRPr="003337F3">
        <w:rPr>
          <w:szCs w:val="18"/>
          <w:lang w:val="ru-RU"/>
        </w:rPr>
        <w:t>/</w:t>
      </w:r>
      <w:r w:rsidRPr="003337F3">
        <w:rPr>
          <w:szCs w:val="18"/>
        </w:rPr>
        <w:t>amc</w:t>
      </w:r>
      <w:r w:rsidRPr="003337F3">
        <w:rPr>
          <w:szCs w:val="18"/>
          <w:lang w:val="ru-RU"/>
        </w:rPr>
        <w:t>/</w:t>
      </w:r>
      <w:r w:rsidRPr="003337F3">
        <w:rPr>
          <w:szCs w:val="18"/>
        </w:rPr>
        <w:t>en</w:t>
      </w:r>
      <w:r w:rsidRPr="003337F3">
        <w:rPr>
          <w:szCs w:val="18"/>
          <w:lang w:val="ru-RU"/>
        </w:rPr>
        <w:t>/</w:t>
      </w:r>
      <w:r w:rsidRPr="003337F3">
        <w:rPr>
          <w:szCs w:val="18"/>
        </w:rPr>
        <w:t>domains</w:t>
      </w:r>
      <w:r w:rsidRPr="003337F3">
        <w:rPr>
          <w:szCs w:val="18"/>
          <w:lang w:val="ru-RU"/>
        </w:rPr>
        <w:t>/</w:t>
      </w:r>
      <w:r w:rsidRPr="003337F3">
        <w:rPr>
          <w:szCs w:val="18"/>
        </w:rPr>
        <w:t>statistics</w:t>
      </w:r>
      <w:r w:rsidRPr="003337F3">
        <w:rPr>
          <w:szCs w:val="18"/>
          <w:lang w:val="ru-RU"/>
        </w:rPr>
        <w:t>.</w:t>
      </w:r>
    </w:p>
  </w:footnote>
  <w:footnote w:id="22">
    <w:p w:rsidR="002D49EB" w:rsidRPr="00EC6362" w:rsidRDefault="002D49EB" w:rsidP="00BF59A8">
      <w:pPr>
        <w:pStyle w:val="FootnoteText"/>
        <w:rPr>
          <w:szCs w:val="18"/>
          <w:lang w:val="ru-RU"/>
        </w:rPr>
      </w:pPr>
      <w:r w:rsidRPr="003337F3">
        <w:rPr>
          <w:rStyle w:val="FootnoteReference"/>
          <w:szCs w:val="18"/>
        </w:rPr>
        <w:footnoteRef/>
      </w:r>
      <w:r w:rsidRPr="00EC6362">
        <w:rPr>
          <w:szCs w:val="18"/>
          <w:lang w:val="ru-RU"/>
        </w:rPr>
        <w:t xml:space="preserve"> </w:t>
      </w:r>
      <w:r w:rsidRPr="00EC6362">
        <w:rPr>
          <w:szCs w:val="18"/>
          <w:lang w:val="ru-RU"/>
        </w:rPr>
        <w:tab/>
      </w:r>
      <w:r w:rsidRPr="003337F3">
        <w:rPr>
          <w:szCs w:val="18"/>
          <w:lang w:val="ru-RU"/>
        </w:rPr>
        <w:t>Китайский, чешский, датский, голландский, английский, французский, немецкий, иврит, итальянский, японский, корейский, норвежский, польский, португальский, румынский, русский, словацкий, испанский, шведский, турецкий и вьетнамский (в порядке английского алфавита).</w:t>
      </w:r>
    </w:p>
  </w:footnote>
  <w:footnote w:id="23">
    <w:p w:rsidR="002D49EB" w:rsidRPr="00EC6362" w:rsidRDefault="002D49EB" w:rsidP="00DA120E">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См.</w:t>
      </w:r>
      <w:r w:rsidRPr="00EC6362">
        <w:rPr>
          <w:lang w:val="ru-RU"/>
        </w:rPr>
        <w:t xml:space="preserve"> </w:t>
      </w:r>
      <w:r w:rsidRPr="003337F3">
        <w:t>http</w:t>
      </w:r>
      <w:r w:rsidRPr="00EC6362">
        <w:rPr>
          <w:lang w:val="ru-RU"/>
        </w:rPr>
        <w:t>://</w:t>
      </w:r>
      <w:r w:rsidRPr="003337F3">
        <w:t>www</w:t>
      </w:r>
      <w:r w:rsidRPr="00EC6362">
        <w:rPr>
          <w:lang w:val="ru-RU"/>
        </w:rPr>
        <w:t>.</w:t>
      </w:r>
      <w:r w:rsidRPr="003337F3">
        <w:t>wipo</w:t>
      </w:r>
      <w:r w:rsidRPr="00EC6362">
        <w:rPr>
          <w:lang w:val="ru-RU"/>
        </w:rPr>
        <w:t>.</w:t>
      </w:r>
      <w:r w:rsidRPr="003337F3">
        <w:t>int</w:t>
      </w:r>
      <w:r w:rsidRPr="00EC6362">
        <w:rPr>
          <w:lang w:val="ru-RU"/>
        </w:rPr>
        <w:t>/</w:t>
      </w:r>
      <w:r w:rsidRPr="003337F3">
        <w:t>amc</w:t>
      </w:r>
      <w:r w:rsidRPr="00EC6362">
        <w:rPr>
          <w:lang w:val="ru-RU"/>
        </w:rPr>
        <w:t>/</w:t>
      </w:r>
      <w:r w:rsidRPr="003337F3">
        <w:t>en</w:t>
      </w:r>
      <w:r w:rsidRPr="00EC6362">
        <w:rPr>
          <w:lang w:val="ru-RU"/>
        </w:rPr>
        <w:t>/</w:t>
      </w:r>
      <w:r w:rsidRPr="003337F3">
        <w:t>domains</w:t>
      </w:r>
      <w:r w:rsidRPr="00EC6362">
        <w:rPr>
          <w:lang w:val="ru-RU"/>
        </w:rPr>
        <w:t>/</w:t>
      </w:r>
      <w:r w:rsidRPr="003337F3">
        <w:t>search</w:t>
      </w:r>
      <w:r w:rsidRPr="00EC6362">
        <w:rPr>
          <w:lang w:val="ru-RU"/>
        </w:rPr>
        <w:t>/</w:t>
      </w:r>
      <w:r w:rsidRPr="003337F3">
        <w:t>overview</w:t>
      </w:r>
      <w:r w:rsidRPr="00EC6362">
        <w:rPr>
          <w:lang w:val="ru-RU"/>
        </w:rPr>
        <w:t xml:space="preserve">3.0/. </w:t>
      </w:r>
      <w:r w:rsidRPr="003337F3">
        <w:rPr>
          <w:lang w:val="ru-RU"/>
        </w:rPr>
        <w:t xml:space="preserve">Расширение охвата </w:t>
      </w:r>
      <w:r w:rsidRPr="003337F3">
        <w:rPr>
          <w:szCs w:val="24"/>
        </w:rPr>
        <w:t>WIPO</w:t>
      </w:r>
      <w:r w:rsidRPr="003C71DC">
        <w:rPr>
          <w:szCs w:val="24"/>
          <w:lang w:val="ru-RU"/>
        </w:rPr>
        <w:t xml:space="preserve"> </w:t>
      </w:r>
      <w:r w:rsidRPr="003337F3">
        <w:rPr>
          <w:szCs w:val="24"/>
        </w:rPr>
        <w:t>Overview</w:t>
      </w:r>
      <w:r w:rsidRPr="003C71DC">
        <w:rPr>
          <w:szCs w:val="24"/>
          <w:lang w:val="ru-RU"/>
        </w:rPr>
        <w:t xml:space="preserve"> 3.0 </w:t>
      </w:r>
      <w:r w:rsidRPr="003337F3">
        <w:rPr>
          <w:szCs w:val="24"/>
          <w:lang w:val="ru-RU"/>
        </w:rPr>
        <w:t xml:space="preserve">по сравнению со вторым изданием, опубликованным в 2011 г., свидетельствует об изменениях в области </w:t>
      </w:r>
      <w:r w:rsidRPr="003337F3">
        <w:rPr>
          <w:szCs w:val="24"/>
        </w:rPr>
        <w:t>DNS</w:t>
      </w:r>
      <w:r w:rsidRPr="003C71DC">
        <w:rPr>
          <w:szCs w:val="24"/>
          <w:lang w:val="ru-RU"/>
        </w:rPr>
        <w:t xml:space="preserve"> </w:t>
      </w:r>
      <w:r w:rsidRPr="003337F3">
        <w:rPr>
          <w:szCs w:val="24"/>
          <w:lang w:val="ru-RU"/>
        </w:rPr>
        <w:t>и увеличении почти в два раза числа дел, ра</w:t>
      </w:r>
      <w:r w:rsidR="00D44D31" w:rsidRPr="003337F3">
        <w:rPr>
          <w:szCs w:val="24"/>
          <w:lang w:val="ru-RU"/>
        </w:rPr>
        <w:t>ссмотренных центром за последнее время. Этот обзор играет важную роль в обеспечении и поддержке согласованных решений, принимаемых на основе ЕПУС ВОИС.</w:t>
      </w:r>
    </w:p>
  </w:footnote>
  <w:footnote w:id="24">
    <w:p w:rsidR="002D49EB" w:rsidRPr="00EC6362" w:rsidRDefault="002D49EB" w:rsidP="00BF59A8">
      <w:pPr>
        <w:pStyle w:val="FootnoteText"/>
        <w:rPr>
          <w:szCs w:val="18"/>
          <w:lang w:val="ru-RU"/>
        </w:rPr>
      </w:pPr>
      <w:r w:rsidRPr="003337F3">
        <w:rPr>
          <w:rStyle w:val="FootnoteReference"/>
          <w:szCs w:val="18"/>
        </w:rPr>
        <w:footnoteRef/>
      </w:r>
      <w:r w:rsidRPr="00EC6362">
        <w:rPr>
          <w:szCs w:val="18"/>
          <w:lang w:val="ru-RU"/>
        </w:rPr>
        <w:tab/>
      </w:r>
      <w:r w:rsidRPr="003337F3">
        <w:rPr>
          <w:szCs w:val="18"/>
          <w:lang w:val="ru-RU"/>
        </w:rPr>
        <w:t>См.</w:t>
      </w:r>
      <w:r w:rsidRPr="00EC6362">
        <w:rPr>
          <w:szCs w:val="18"/>
          <w:lang w:val="ru-RU"/>
        </w:rPr>
        <w:t xml:space="preserve"> </w:t>
      </w:r>
      <w:r w:rsidRPr="003337F3">
        <w:t>http</w:t>
      </w:r>
      <w:r w:rsidRPr="00EC6362">
        <w:rPr>
          <w:lang w:val="ru-RU"/>
        </w:rPr>
        <w:t>://</w:t>
      </w:r>
      <w:r w:rsidRPr="003337F3">
        <w:t>www</w:t>
      </w:r>
      <w:r w:rsidRPr="00EC6362">
        <w:rPr>
          <w:lang w:val="ru-RU"/>
        </w:rPr>
        <w:t>.</w:t>
      </w:r>
      <w:r w:rsidRPr="003337F3">
        <w:t>wipo</w:t>
      </w:r>
      <w:r w:rsidRPr="00EC6362">
        <w:rPr>
          <w:lang w:val="ru-RU"/>
        </w:rPr>
        <w:t>.</w:t>
      </w:r>
      <w:r w:rsidRPr="003337F3">
        <w:t>int</w:t>
      </w:r>
      <w:r w:rsidRPr="00EC6362">
        <w:rPr>
          <w:lang w:val="ru-RU"/>
        </w:rPr>
        <w:t>/</w:t>
      </w:r>
      <w:r w:rsidRPr="003337F3">
        <w:t>amc</w:t>
      </w:r>
      <w:r w:rsidRPr="00EC6362">
        <w:rPr>
          <w:lang w:val="ru-RU"/>
        </w:rPr>
        <w:t>/</w:t>
      </w:r>
      <w:r w:rsidRPr="003337F3">
        <w:t>en</w:t>
      </w:r>
      <w:r w:rsidRPr="00EC6362">
        <w:rPr>
          <w:lang w:val="ru-RU"/>
        </w:rPr>
        <w:t>/</w:t>
      </w:r>
      <w:r w:rsidRPr="003337F3">
        <w:t>domains</w:t>
      </w:r>
      <w:r w:rsidRPr="00EC6362">
        <w:rPr>
          <w:lang w:val="ru-RU"/>
        </w:rPr>
        <w:t>/</w:t>
      </w:r>
      <w:r w:rsidRPr="003337F3">
        <w:t>search</w:t>
      </w:r>
      <w:r w:rsidRPr="00EC6362">
        <w:rPr>
          <w:lang w:val="ru-RU"/>
        </w:rPr>
        <w:t>/</w:t>
      </w:r>
      <w:r w:rsidRPr="003337F3">
        <w:t>legalindex</w:t>
      </w:r>
      <w:r w:rsidRPr="00EC6362">
        <w:rPr>
          <w:lang w:val="ru-RU"/>
        </w:rPr>
        <w:t>/.</w:t>
      </w:r>
    </w:p>
  </w:footnote>
  <w:footnote w:id="25">
    <w:p w:rsidR="002D49EB" w:rsidRPr="00EC6362" w:rsidRDefault="002D49EB" w:rsidP="00827322">
      <w:pPr>
        <w:rPr>
          <w:i/>
          <w:lang w:val="ru-RU"/>
        </w:rPr>
      </w:pPr>
      <w:r w:rsidRPr="003337F3">
        <w:rPr>
          <w:rStyle w:val="FootnoteReference"/>
        </w:rPr>
        <w:footnoteRef/>
      </w:r>
      <w:r w:rsidRPr="00EC6362">
        <w:rPr>
          <w:lang w:val="ru-RU"/>
        </w:rPr>
        <w:t xml:space="preserve"> </w:t>
      </w:r>
      <w:r w:rsidRPr="00EC6362">
        <w:rPr>
          <w:lang w:val="ru-RU"/>
        </w:rPr>
        <w:tab/>
      </w:r>
      <w:r w:rsidR="00D44D31" w:rsidRPr="003337F3">
        <w:rPr>
          <w:sz w:val="18"/>
          <w:szCs w:val="18"/>
          <w:lang w:val="ru-RU"/>
        </w:rPr>
        <w:t xml:space="preserve">В 2018 г. Центр опубликовал неофициальные рекомендации ВОИС для сторон относительно практического значения </w:t>
      </w:r>
      <w:r w:rsidR="00222C8C" w:rsidRPr="003337F3">
        <w:rPr>
          <w:sz w:val="18"/>
          <w:szCs w:val="18"/>
          <w:lang w:val="ru-RU"/>
        </w:rPr>
        <w:t>Общ</w:t>
      </w:r>
      <w:r w:rsidR="004C6545" w:rsidRPr="003337F3">
        <w:rPr>
          <w:sz w:val="18"/>
          <w:szCs w:val="18"/>
          <w:lang w:val="ru-RU"/>
        </w:rPr>
        <w:t xml:space="preserve">его регламента </w:t>
      </w:r>
      <w:r w:rsidR="00D44D31" w:rsidRPr="003337F3">
        <w:rPr>
          <w:sz w:val="18"/>
          <w:szCs w:val="18"/>
          <w:lang w:val="ru-RU"/>
        </w:rPr>
        <w:t xml:space="preserve">Европейского Союза </w:t>
      </w:r>
      <w:r w:rsidR="004C6545" w:rsidRPr="003337F3">
        <w:rPr>
          <w:sz w:val="18"/>
          <w:szCs w:val="18"/>
          <w:lang w:val="ru-RU"/>
        </w:rPr>
        <w:t xml:space="preserve">по защите данных </w:t>
      </w:r>
      <w:r w:rsidRPr="00EC6362">
        <w:rPr>
          <w:sz w:val="18"/>
          <w:lang w:val="ru-RU"/>
        </w:rPr>
        <w:t>(</w:t>
      </w:r>
      <w:r w:rsidRPr="003337F3">
        <w:rPr>
          <w:sz w:val="18"/>
        </w:rPr>
        <w:t>GDPR</w:t>
      </w:r>
      <w:r w:rsidRPr="00EC6362">
        <w:rPr>
          <w:sz w:val="18"/>
          <w:lang w:val="ru-RU"/>
        </w:rPr>
        <w:t xml:space="preserve">) </w:t>
      </w:r>
      <w:r w:rsidR="00D44D31" w:rsidRPr="003337F3">
        <w:rPr>
          <w:sz w:val="18"/>
          <w:lang w:val="ru-RU"/>
        </w:rPr>
        <w:t xml:space="preserve">для процедур ЕПУС. См. пункты 31-33 ниже. См. также </w:t>
      </w:r>
      <w:r w:rsidRPr="003337F3">
        <w:rPr>
          <w:sz w:val="18"/>
        </w:rPr>
        <w:t>WO</w:t>
      </w:r>
      <w:r w:rsidRPr="00EC6362">
        <w:rPr>
          <w:sz w:val="18"/>
          <w:lang w:val="ru-RU"/>
        </w:rPr>
        <w:t>/</w:t>
      </w:r>
      <w:r w:rsidRPr="003337F3">
        <w:rPr>
          <w:sz w:val="18"/>
        </w:rPr>
        <w:t>GA</w:t>
      </w:r>
      <w:r w:rsidRPr="00EC6362">
        <w:rPr>
          <w:sz w:val="18"/>
          <w:lang w:val="ru-RU"/>
        </w:rPr>
        <w:t xml:space="preserve">/47/14, </w:t>
      </w:r>
      <w:r w:rsidR="00D44D31" w:rsidRPr="003337F3">
        <w:rPr>
          <w:sz w:val="18"/>
          <w:lang w:val="ru-RU"/>
        </w:rPr>
        <w:t>пункт </w:t>
      </w:r>
      <w:r w:rsidRPr="00EC6362">
        <w:rPr>
          <w:sz w:val="18"/>
          <w:lang w:val="ru-RU"/>
        </w:rPr>
        <w:t xml:space="preserve">30, </w:t>
      </w:r>
      <w:r w:rsidR="00D44D31" w:rsidRPr="003337F3">
        <w:rPr>
          <w:sz w:val="18"/>
          <w:lang w:val="ru-RU"/>
        </w:rPr>
        <w:t xml:space="preserve">и </w:t>
      </w:r>
      <w:r w:rsidRPr="003337F3">
        <w:rPr>
          <w:sz w:val="18"/>
        </w:rPr>
        <w:t>WO</w:t>
      </w:r>
      <w:r w:rsidRPr="00EC6362">
        <w:rPr>
          <w:sz w:val="18"/>
          <w:lang w:val="ru-RU"/>
        </w:rPr>
        <w:t>/</w:t>
      </w:r>
      <w:r w:rsidRPr="003337F3">
        <w:rPr>
          <w:sz w:val="18"/>
        </w:rPr>
        <w:t>GA</w:t>
      </w:r>
      <w:r w:rsidRPr="00EC6362">
        <w:rPr>
          <w:sz w:val="18"/>
          <w:lang w:val="ru-RU"/>
        </w:rPr>
        <w:t xml:space="preserve">/41/17 </w:t>
      </w:r>
      <w:r w:rsidRPr="003337F3">
        <w:rPr>
          <w:sz w:val="18"/>
        </w:rPr>
        <w:t>Rev</w:t>
      </w:r>
      <w:r w:rsidRPr="00EC6362">
        <w:rPr>
          <w:sz w:val="18"/>
          <w:lang w:val="ru-RU"/>
        </w:rPr>
        <w:t xml:space="preserve">.2, </w:t>
      </w:r>
      <w:r w:rsidR="00D44D31" w:rsidRPr="003337F3">
        <w:rPr>
          <w:sz w:val="18"/>
          <w:lang w:val="ru-RU"/>
        </w:rPr>
        <w:t>пункты 14-16</w:t>
      </w:r>
      <w:r w:rsidRPr="00EC6362">
        <w:rPr>
          <w:sz w:val="18"/>
          <w:lang w:val="ru-RU"/>
        </w:rPr>
        <w:t xml:space="preserve"> </w:t>
      </w:r>
    </w:p>
  </w:footnote>
  <w:footnote w:id="26">
    <w:p w:rsidR="002D49EB" w:rsidRPr="00EC6362" w:rsidRDefault="002D49EB" w:rsidP="00BF59A8">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См. сноску 2 выше.</w:t>
      </w:r>
    </w:p>
  </w:footnote>
  <w:footnote w:id="27">
    <w:p w:rsidR="002D49EB" w:rsidRPr="00EC6362" w:rsidRDefault="002D49EB" w:rsidP="00BF59A8">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См.</w:t>
      </w:r>
      <w:r w:rsidRPr="00EC6362">
        <w:rPr>
          <w:lang w:val="ru-RU"/>
        </w:rPr>
        <w:t xml:space="preserve"> </w:t>
      </w:r>
      <w:r w:rsidRPr="003337F3">
        <w:t>http</w:t>
      </w:r>
      <w:r w:rsidRPr="00EC6362">
        <w:rPr>
          <w:lang w:val="ru-RU"/>
        </w:rPr>
        <w:t>://</w:t>
      </w:r>
      <w:r w:rsidRPr="003337F3">
        <w:t>www</w:t>
      </w:r>
      <w:r w:rsidRPr="00EC6362">
        <w:rPr>
          <w:lang w:val="ru-RU"/>
        </w:rPr>
        <w:t>.</w:t>
      </w:r>
      <w:r w:rsidRPr="003337F3">
        <w:t>wipo</w:t>
      </w:r>
      <w:r w:rsidRPr="00EC6362">
        <w:rPr>
          <w:lang w:val="ru-RU"/>
        </w:rPr>
        <w:t>.</w:t>
      </w:r>
      <w:r w:rsidRPr="003337F3">
        <w:t>int</w:t>
      </w:r>
      <w:r w:rsidRPr="00EC6362">
        <w:rPr>
          <w:lang w:val="ru-RU"/>
        </w:rPr>
        <w:t>/</w:t>
      </w:r>
      <w:r w:rsidRPr="003337F3">
        <w:t>amc</w:t>
      </w:r>
      <w:r w:rsidRPr="00EC6362">
        <w:rPr>
          <w:lang w:val="ru-RU"/>
        </w:rPr>
        <w:t>/</w:t>
      </w:r>
      <w:r w:rsidRPr="003337F3">
        <w:t>en</w:t>
      </w:r>
      <w:r w:rsidRPr="00EC6362">
        <w:rPr>
          <w:lang w:val="ru-RU"/>
        </w:rPr>
        <w:t>/</w:t>
      </w:r>
      <w:r w:rsidRPr="003337F3">
        <w:t>new</w:t>
      </w:r>
      <w:r w:rsidRPr="00EC6362">
        <w:rPr>
          <w:lang w:val="ru-RU"/>
        </w:rPr>
        <w:t>/</w:t>
      </w:r>
      <w:r w:rsidRPr="003337F3">
        <w:t>eu</w:t>
      </w:r>
      <w:r w:rsidRPr="00EC6362">
        <w:rPr>
          <w:lang w:val="ru-RU"/>
        </w:rPr>
        <w:t>.</w:t>
      </w:r>
      <w:r w:rsidRPr="003337F3">
        <w:t>html</w:t>
      </w:r>
      <w:r w:rsidRPr="00EC6362">
        <w:rPr>
          <w:lang w:val="ru-RU"/>
        </w:rPr>
        <w:t>.</w:t>
      </w:r>
    </w:p>
  </w:footnote>
  <w:footnote w:id="28">
    <w:p w:rsidR="002D49EB" w:rsidRPr="00EC6362" w:rsidRDefault="002D49EB" w:rsidP="00BF59A8">
      <w:pPr>
        <w:pStyle w:val="FootnoteText"/>
        <w:rPr>
          <w:szCs w:val="18"/>
          <w:lang w:val="ru-RU"/>
        </w:rPr>
      </w:pPr>
      <w:r w:rsidRPr="003337F3">
        <w:rPr>
          <w:rStyle w:val="FootnoteReference"/>
          <w:szCs w:val="18"/>
        </w:rPr>
        <w:footnoteRef/>
      </w:r>
      <w:r w:rsidRPr="00EC6362">
        <w:rPr>
          <w:szCs w:val="18"/>
          <w:lang w:val="ru-RU"/>
        </w:rPr>
        <w:tab/>
      </w:r>
      <w:r w:rsidRPr="003337F3">
        <w:rPr>
          <w:szCs w:val="18"/>
          <w:lang w:val="ru-RU"/>
        </w:rPr>
        <w:t xml:space="preserve">С полным списком ксДВУ, в отношении которых Центр выбран в качестве провайдера услуг по урегулированию споров в области доменных имен, можно ознакомиться по адресу: </w:t>
      </w:r>
      <w:r w:rsidR="003C71DC">
        <w:fldChar w:fldCharType="begin"/>
      </w:r>
      <w:r w:rsidR="003C71DC" w:rsidRPr="003D6FBB">
        <w:rPr>
          <w:lang w:val="ru-RU"/>
        </w:rPr>
        <w:instrText xml:space="preserve"> </w:instrText>
      </w:r>
      <w:r w:rsidR="003C71DC">
        <w:instrText>HYPERLINK</w:instrText>
      </w:r>
      <w:r w:rsidR="003C71DC" w:rsidRPr="003D6FBB">
        <w:rPr>
          <w:lang w:val="ru-RU"/>
        </w:rPr>
        <w:instrText xml:space="preserve"> "</w:instrText>
      </w:r>
      <w:r w:rsidR="003C71DC">
        <w:instrText>http</w:instrText>
      </w:r>
      <w:r w:rsidR="003C71DC" w:rsidRPr="003D6FBB">
        <w:rPr>
          <w:lang w:val="ru-RU"/>
        </w:rPr>
        <w:instrText>://</w:instrText>
      </w:r>
      <w:r w:rsidR="003C71DC">
        <w:instrText>www</w:instrText>
      </w:r>
      <w:r w:rsidR="003C71DC" w:rsidRPr="003D6FBB">
        <w:rPr>
          <w:lang w:val="ru-RU"/>
        </w:rPr>
        <w:instrText>.</w:instrText>
      </w:r>
      <w:r w:rsidR="003C71DC">
        <w:instrText>wipo</w:instrText>
      </w:r>
      <w:r w:rsidR="003C71DC" w:rsidRPr="003D6FBB">
        <w:rPr>
          <w:lang w:val="ru-RU"/>
        </w:rPr>
        <w:instrText>.</w:instrText>
      </w:r>
      <w:r w:rsidR="003C71DC">
        <w:instrText>int</w:instrText>
      </w:r>
      <w:r w:rsidR="003C71DC" w:rsidRPr="003D6FBB">
        <w:rPr>
          <w:lang w:val="ru-RU"/>
        </w:rPr>
        <w:instrText>/</w:instrText>
      </w:r>
      <w:r w:rsidR="003C71DC">
        <w:instrText>amc</w:instrText>
      </w:r>
      <w:r w:rsidR="003C71DC" w:rsidRPr="003D6FBB">
        <w:rPr>
          <w:lang w:val="ru-RU"/>
        </w:rPr>
        <w:instrText>/</w:instrText>
      </w:r>
      <w:r w:rsidR="003C71DC">
        <w:instrText>en</w:instrText>
      </w:r>
      <w:r w:rsidR="003C71DC" w:rsidRPr="003D6FBB">
        <w:rPr>
          <w:lang w:val="ru-RU"/>
        </w:rPr>
        <w:instrText>/</w:instrText>
      </w:r>
      <w:r w:rsidR="003C71DC">
        <w:instrText>domains</w:instrText>
      </w:r>
      <w:r w:rsidR="003C71DC" w:rsidRPr="003D6FBB">
        <w:rPr>
          <w:lang w:val="ru-RU"/>
        </w:rPr>
        <w:instrText>/</w:instrText>
      </w:r>
      <w:r w:rsidR="003C71DC">
        <w:instrText>cctld</w:instrText>
      </w:r>
      <w:r w:rsidR="003C71DC" w:rsidRPr="003D6FBB">
        <w:rPr>
          <w:lang w:val="ru-RU"/>
        </w:rPr>
        <w:instrText xml:space="preserve">" </w:instrText>
      </w:r>
      <w:r w:rsidR="003C71DC">
        <w:fldChar w:fldCharType="separate"/>
      </w:r>
      <w:r w:rsidRPr="003337F3">
        <w:rPr>
          <w:rStyle w:val="Hyperlink"/>
          <w:color w:val="auto"/>
          <w:szCs w:val="18"/>
        </w:rPr>
        <w:t>http</w:t>
      </w:r>
      <w:r w:rsidRPr="003337F3">
        <w:rPr>
          <w:rStyle w:val="Hyperlink"/>
          <w:color w:val="auto"/>
          <w:szCs w:val="18"/>
          <w:lang w:val="ru-RU"/>
        </w:rPr>
        <w:t>://</w:t>
      </w:r>
      <w:r w:rsidRPr="003337F3">
        <w:rPr>
          <w:rStyle w:val="Hyperlink"/>
          <w:color w:val="auto"/>
          <w:szCs w:val="18"/>
        </w:rPr>
        <w:t>www</w:t>
      </w:r>
      <w:r w:rsidRPr="003337F3">
        <w:rPr>
          <w:rStyle w:val="Hyperlink"/>
          <w:color w:val="auto"/>
          <w:szCs w:val="18"/>
          <w:lang w:val="ru-RU"/>
        </w:rPr>
        <w:t>.</w:t>
      </w:r>
      <w:proofErr w:type="spellStart"/>
      <w:r w:rsidRPr="003337F3">
        <w:rPr>
          <w:rStyle w:val="Hyperlink"/>
          <w:color w:val="auto"/>
          <w:szCs w:val="18"/>
        </w:rPr>
        <w:t>wipo</w:t>
      </w:r>
      <w:proofErr w:type="spellEnd"/>
      <w:r w:rsidRPr="003337F3">
        <w:rPr>
          <w:rStyle w:val="Hyperlink"/>
          <w:color w:val="auto"/>
          <w:szCs w:val="18"/>
          <w:lang w:val="ru-RU"/>
        </w:rPr>
        <w:t>.</w:t>
      </w:r>
      <w:proofErr w:type="spellStart"/>
      <w:r w:rsidRPr="003337F3">
        <w:rPr>
          <w:rStyle w:val="Hyperlink"/>
          <w:color w:val="auto"/>
          <w:szCs w:val="18"/>
        </w:rPr>
        <w:t>int</w:t>
      </w:r>
      <w:proofErr w:type="spellEnd"/>
      <w:r w:rsidRPr="003337F3">
        <w:rPr>
          <w:rStyle w:val="Hyperlink"/>
          <w:color w:val="auto"/>
          <w:szCs w:val="18"/>
          <w:lang w:val="ru-RU"/>
        </w:rPr>
        <w:t>/</w:t>
      </w:r>
      <w:proofErr w:type="spellStart"/>
      <w:r w:rsidRPr="003337F3">
        <w:rPr>
          <w:rStyle w:val="Hyperlink"/>
          <w:color w:val="auto"/>
          <w:szCs w:val="18"/>
        </w:rPr>
        <w:t>amc</w:t>
      </w:r>
      <w:proofErr w:type="spellEnd"/>
      <w:r w:rsidRPr="003337F3">
        <w:rPr>
          <w:rStyle w:val="Hyperlink"/>
          <w:color w:val="auto"/>
          <w:szCs w:val="18"/>
          <w:lang w:val="ru-RU"/>
        </w:rPr>
        <w:t>/</w:t>
      </w:r>
      <w:proofErr w:type="spellStart"/>
      <w:r w:rsidRPr="003337F3">
        <w:rPr>
          <w:rStyle w:val="Hyperlink"/>
          <w:color w:val="auto"/>
          <w:szCs w:val="18"/>
        </w:rPr>
        <w:t>en</w:t>
      </w:r>
      <w:proofErr w:type="spellEnd"/>
      <w:r w:rsidRPr="003337F3">
        <w:rPr>
          <w:rStyle w:val="Hyperlink"/>
          <w:color w:val="auto"/>
          <w:szCs w:val="18"/>
          <w:lang w:val="ru-RU"/>
        </w:rPr>
        <w:t>/</w:t>
      </w:r>
      <w:r w:rsidRPr="003337F3">
        <w:rPr>
          <w:rStyle w:val="Hyperlink"/>
          <w:color w:val="auto"/>
          <w:szCs w:val="18"/>
        </w:rPr>
        <w:t>domains</w:t>
      </w:r>
      <w:r w:rsidRPr="003337F3">
        <w:rPr>
          <w:rStyle w:val="Hyperlink"/>
          <w:color w:val="auto"/>
          <w:szCs w:val="18"/>
          <w:lang w:val="ru-RU"/>
        </w:rPr>
        <w:t>/</w:t>
      </w:r>
      <w:proofErr w:type="spellStart"/>
      <w:r w:rsidRPr="003337F3">
        <w:rPr>
          <w:rStyle w:val="Hyperlink"/>
          <w:color w:val="auto"/>
          <w:szCs w:val="18"/>
        </w:rPr>
        <w:t>cctld</w:t>
      </w:r>
      <w:proofErr w:type="spellEnd"/>
      <w:r w:rsidR="003C71DC">
        <w:rPr>
          <w:rStyle w:val="Hyperlink"/>
          <w:color w:val="auto"/>
          <w:szCs w:val="18"/>
        </w:rPr>
        <w:fldChar w:fldCharType="end"/>
      </w:r>
      <w:r w:rsidRPr="003337F3">
        <w:rPr>
          <w:szCs w:val="18"/>
          <w:lang w:val="ru-RU"/>
        </w:rPr>
        <w:t xml:space="preserve">. </w:t>
      </w:r>
      <w:r w:rsidR="00751FE5" w:rsidRPr="003337F3">
        <w:rPr>
          <w:szCs w:val="18"/>
          <w:lang w:val="ru-RU"/>
        </w:rPr>
        <w:t xml:space="preserve">Начиная с середины 2017 г., Центр оказывает услуги по регистрации доменных имен в доменах </w:t>
      </w:r>
      <w:r w:rsidRPr="00EC6362">
        <w:rPr>
          <w:lang w:val="ru-RU"/>
        </w:rPr>
        <w:t>.</w:t>
      </w:r>
      <w:r w:rsidRPr="003337F3">
        <w:t>eu</w:t>
      </w:r>
      <w:r w:rsidRPr="00EC6362">
        <w:rPr>
          <w:lang w:val="ru-RU"/>
        </w:rPr>
        <w:t xml:space="preserve"> </w:t>
      </w:r>
      <w:r w:rsidR="00751FE5" w:rsidRPr="003337F3">
        <w:rPr>
          <w:lang w:val="ru-RU"/>
        </w:rPr>
        <w:t>и</w:t>
      </w:r>
      <w:r w:rsidRPr="00EC6362">
        <w:rPr>
          <w:lang w:val="ru-RU"/>
        </w:rPr>
        <w:t>.ею (</w:t>
      </w:r>
      <w:r w:rsidR="000B0B4B" w:rsidRPr="003337F3">
        <w:rPr>
          <w:lang w:val="ru-RU"/>
        </w:rPr>
        <w:t>кириллица</w:t>
      </w:r>
      <w:r w:rsidRPr="00EC6362">
        <w:rPr>
          <w:lang w:val="ru-RU"/>
        </w:rPr>
        <w:t xml:space="preserve">) </w:t>
      </w:r>
      <w:r w:rsidR="000B0B4B" w:rsidRPr="003337F3">
        <w:rPr>
          <w:lang w:val="ru-RU"/>
        </w:rPr>
        <w:t>на всех 24 официальных языках ЕС, а также реестру</w:t>
      </w:r>
      <w:r w:rsidRPr="00EC6362">
        <w:rPr>
          <w:lang w:val="ru-RU"/>
        </w:rPr>
        <w:t>.</w:t>
      </w:r>
      <w:r w:rsidRPr="003337F3">
        <w:t>SE</w:t>
      </w:r>
      <w:r w:rsidRPr="00EC6362">
        <w:rPr>
          <w:lang w:val="ru-RU"/>
        </w:rPr>
        <w:t xml:space="preserve"> (</w:t>
      </w:r>
      <w:r w:rsidR="000B0B4B" w:rsidRPr="003337F3">
        <w:rPr>
          <w:lang w:val="ru-RU"/>
        </w:rPr>
        <w:t>Швеция</w:t>
      </w:r>
      <w:r w:rsidRPr="00EC6362">
        <w:rPr>
          <w:lang w:val="ru-RU"/>
        </w:rPr>
        <w:t xml:space="preserve">). </w:t>
      </w:r>
    </w:p>
  </w:footnote>
  <w:footnote w:id="29">
    <w:p w:rsidR="002D49EB" w:rsidRPr="003337F3" w:rsidRDefault="002D49EB" w:rsidP="004162A0">
      <w:pPr>
        <w:pStyle w:val="FootnoteText"/>
        <w:rPr>
          <w:lang w:val="ru-RU"/>
        </w:rPr>
      </w:pPr>
      <w:r w:rsidRPr="003337F3">
        <w:rPr>
          <w:rStyle w:val="FootnoteReference"/>
        </w:rPr>
        <w:footnoteRef/>
      </w:r>
      <w:r w:rsidRPr="00EC6362">
        <w:rPr>
          <w:lang w:val="ru-RU"/>
        </w:rPr>
        <w:t xml:space="preserve"> </w:t>
      </w:r>
      <w:r w:rsidRPr="00EC6362">
        <w:rPr>
          <w:lang w:val="ru-RU"/>
        </w:rPr>
        <w:tab/>
      </w:r>
      <w:r w:rsidR="000B0B4B" w:rsidRPr="003337F3">
        <w:rPr>
          <w:lang w:val="ru-RU"/>
        </w:rPr>
        <w:t xml:space="preserve">Например, страница Центра, посвященная </w:t>
      </w:r>
      <w:r w:rsidRPr="00EC6362">
        <w:rPr>
          <w:lang w:val="ru-RU"/>
        </w:rPr>
        <w:t>.</w:t>
      </w:r>
      <w:r w:rsidRPr="003337F3">
        <w:t>CH</w:t>
      </w:r>
      <w:r w:rsidRPr="00EC6362">
        <w:rPr>
          <w:lang w:val="ru-RU"/>
        </w:rPr>
        <w:t xml:space="preserve"> (</w:t>
      </w:r>
      <w:r w:rsidR="000B0B4B" w:rsidRPr="003337F3">
        <w:rPr>
          <w:lang w:val="ru-RU"/>
        </w:rPr>
        <w:t>Швейцария</w:t>
      </w:r>
      <w:r w:rsidRPr="00EC6362">
        <w:rPr>
          <w:lang w:val="ru-RU"/>
        </w:rPr>
        <w:t xml:space="preserve">) </w:t>
      </w:r>
      <w:r w:rsidR="000B0B4B" w:rsidRPr="003337F3">
        <w:rPr>
          <w:lang w:val="ru-RU"/>
        </w:rPr>
        <w:t>теперь публикуется не только на английском, французском и испанском языках, но также на немецком и итальянском.</w:t>
      </w:r>
    </w:p>
  </w:footnote>
  <w:footnote w:id="30">
    <w:p w:rsidR="002D49EB" w:rsidRPr="00EC6362" w:rsidRDefault="002D49EB" w:rsidP="004162A0">
      <w:pPr>
        <w:pStyle w:val="FootnoteText"/>
        <w:rPr>
          <w:lang w:val="ru-RU"/>
        </w:rPr>
      </w:pPr>
      <w:r w:rsidRPr="003337F3">
        <w:rPr>
          <w:rStyle w:val="FootnoteReference"/>
        </w:rPr>
        <w:footnoteRef/>
      </w:r>
      <w:r w:rsidRPr="00EC6362">
        <w:rPr>
          <w:lang w:val="ru-RU"/>
        </w:rPr>
        <w:t xml:space="preserve"> </w:t>
      </w:r>
      <w:r w:rsidRPr="00EC6362">
        <w:rPr>
          <w:lang w:val="ru-RU"/>
        </w:rPr>
        <w:tab/>
      </w:r>
      <w:r w:rsidR="000B0B4B" w:rsidRPr="003337F3">
        <w:rPr>
          <w:lang w:val="ru-RU"/>
        </w:rPr>
        <w:t>См.</w:t>
      </w:r>
      <w:r w:rsidRPr="00EC6362">
        <w:rPr>
          <w:lang w:val="ru-RU"/>
        </w:rPr>
        <w:t xml:space="preserve"> </w:t>
      </w:r>
      <w:r w:rsidRPr="003337F3">
        <w:t>http</w:t>
      </w:r>
      <w:r w:rsidRPr="00EC6362">
        <w:rPr>
          <w:lang w:val="ru-RU"/>
        </w:rPr>
        <w:t>://</w:t>
      </w:r>
      <w:r w:rsidRPr="003337F3">
        <w:t>www</w:t>
      </w:r>
      <w:r w:rsidRPr="00EC6362">
        <w:rPr>
          <w:lang w:val="ru-RU"/>
        </w:rPr>
        <w:t>.</w:t>
      </w:r>
      <w:r w:rsidRPr="003337F3">
        <w:t>wipo</w:t>
      </w:r>
      <w:r w:rsidRPr="00EC6362">
        <w:rPr>
          <w:lang w:val="ru-RU"/>
        </w:rPr>
        <w:t>.</w:t>
      </w:r>
      <w:r w:rsidRPr="003337F3">
        <w:t>int</w:t>
      </w:r>
      <w:r w:rsidRPr="00EC6362">
        <w:rPr>
          <w:lang w:val="ru-RU"/>
        </w:rPr>
        <w:t>/</w:t>
      </w:r>
      <w:r w:rsidRPr="003337F3">
        <w:t>amc</w:t>
      </w:r>
      <w:r w:rsidRPr="00EC6362">
        <w:rPr>
          <w:lang w:val="ru-RU"/>
        </w:rPr>
        <w:t>/</w:t>
      </w:r>
      <w:r w:rsidRPr="003337F3">
        <w:t>en</w:t>
      </w:r>
      <w:r w:rsidRPr="00EC6362">
        <w:rPr>
          <w:lang w:val="ru-RU"/>
        </w:rPr>
        <w:t>/</w:t>
      </w:r>
      <w:r w:rsidRPr="003337F3">
        <w:t>domains</w:t>
      </w:r>
      <w:r w:rsidRPr="00EC6362">
        <w:rPr>
          <w:lang w:val="ru-RU"/>
        </w:rPr>
        <w:t>/</w:t>
      </w:r>
      <w:r w:rsidRPr="003337F3">
        <w:t>cctld</w:t>
      </w:r>
      <w:r w:rsidRPr="00EC6362">
        <w:rPr>
          <w:lang w:val="ru-RU"/>
        </w:rPr>
        <w:t xml:space="preserve">/. </w:t>
      </w:r>
    </w:p>
  </w:footnote>
  <w:footnote w:id="31">
    <w:p w:rsidR="002D49EB" w:rsidRPr="00EC6362" w:rsidRDefault="002D49EB" w:rsidP="00263C54">
      <w:pPr>
        <w:pStyle w:val="FootnoteText"/>
        <w:rPr>
          <w:szCs w:val="18"/>
          <w:lang w:val="ru-RU"/>
        </w:rPr>
      </w:pPr>
      <w:r w:rsidRPr="003337F3">
        <w:rPr>
          <w:rStyle w:val="FootnoteReference"/>
          <w:szCs w:val="18"/>
        </w:rPr>
        <w:footnoteRef/>
      </w:r>
      <w:r w:rsidRPr="00EC6362">
        <w:rPr>
          <w:szCs w:val="18"/>
          <w:lang w:val="ru-RU"/>
        </w:rPr>
        <w:t xml:space="preserve"> </w:t>
      </w:r>
      <w:r w:rsidRPr="00EC6362">
        <w:rPr>
          <w:szCs w:val="18"/>
          <w:lang w:val="ru-RU"/>
        </w:rPr>
        <w:tab/>
      </w:r>
      <w:r w:rsidRPr="003337F3">
        <w:rPr>
          <w:szCs w:val="18"/>
          <w:lang w:val="ru-RU"/>
        </w:rPr>
        <w:t xml:space="preserve">См. </w:t>
      </w:r>
      <w:r w:rsidRPr="003337F3">
        <w:rPr>
          <w:szCs w:val="18"/>
        </w:rPr>
        <w:t>http</w:t>
      </w:r>
      <w:r w:rsidRPr="003337F3">
        <w:rPr>
          <w:szCs w:val="18"/>
          <w:lang w:val="ru-RU"/>
        </w:rPr>
        <w:t>://</w:t>
      </w:r>
      <w:r w:rsidRPr="003337F3">
        <w:rPr>
          <w:szCs w:val="18"/>
        </w:rPr>
        <w:t>www</w:t>
      </w:r>
      <w:r w:rsidRPr="003337F3">
        <w:rPr>
          <w:szCs w:val="18"/>
          <w:lang w:val="ru-RU"/>
        </w:rPr>
        <w:t>.</w:t>
      </w:r>
      <w:r w:rsidRPr="003337F3">
        <w:rPr>
          <w:szCs w:val="18"/>
        </w:rPr>
        <w:t>icann</w:t>
      </w:r>
      <w:r w:rsidRPr="003337F3">
        <w:rPr>
          <w:szCs w:val="18"/>
          <w:lang w:val="ru-RU"/>
        </w:rPr>
        <w:t>.</w:t>
      </w:r>
      <w:r w:rsidRPr="003337F3">
        <w:rPr>
          <w:szCs w:val="18"/>
        </w:rPr>
        <w:t>org</w:t>
      </w:r>
      <w:r w:rsidRPr="003337F3">
        <w:rPr>
          <w:szCs w:val="18"/>
          <w:lang w:val="ru-RU"/>
        </w:rPr>
        <w:t>/</w:t>
      </w:r>
      <w:r w:rsidRPr="003337F3">
        <w:rPr>
          <w:szCs w:val="18"/>
        </w:rPr>
        <w:t>en</w:t>
      </w:r>
      <w:r w:rsidRPr="003337F3">
        <w:rPr>
          <w:szCs w:val="18"/>
          <w:lang w:val="ru-RU"/>
        </w:rPr>
        <w:t>/</w:t>
      </w:r>
      <w:r w:rsidRPr="003337F3">
        <w:rPr>
          <w:szCs w:val="18"/>
        </w:rPr>
        <w:t>minutes</w:t>
      </w:r>
      <w:r w:rsidRPr="003337F3">
        <w:rPr>
          <w:szCs w:val="18"/>
          <w:lang w:val="ru-RU"/>
        </w:rPr>
        <w:t>/</w:t>
      </w:r>
      <w:r w:rsidRPr="003337F3">
        <w:rPr>
          <w:szCs w:val="18"/>
        </w:rPr>
        <w:t>resolutions</w:t>
      </w:r>
      <w:r w:rsidRPr="003337F3">
        <w:rPr>
          <w:szCs w:val="18"/>
          <w:lang w:val="ru-RU"/>
        </w:rPr>
        <w:t>-20</w:t>
      </w:r>
      <w:r w:rsidRPr="003337F3">
        <w:rPr>
          <w:szCs w:val="18"/>
        </w:rPr>
        <w:t>jun</w:t>
      </w:r>
      <w:r w:rsidRPr="003337F3">
        <w:rPr>
          <w:szCs w:val="18"/>
          <w:lang w:val="ru-RU"/>
        </w:rPr>
        <w:t>11-</w:t>
      </w:r>
      <w:r w:rsidRPr="003337F3">
        <w:rPr>
          <w:szCs w:val="18"/>
        </w:rPr>
        <w:t>en</w:t>
      </w:r>
      <w:r w:rsidRPr="003337F3">
        <w:rPr>
          <w:szCs w:val="18"/>
          <w:lang w:val="ru-RU"/>
        </w:rPr>
        <w:t>.</w:t>
      </w:r>
      <w:r w:rsidRPr="003337F3">
        <w:rPr>
          <w:szCs w:val="18"/>
        </w:rPr>
        <w:t>htm</w:t>
      </w:r>
      <w:r w:rsidRPr="003337F3">
        <w:rPr>
          <w:szCs w:val="18"/>
          <w:lang w:val="ru-RU"/>
        </w:rPr>
        <w:t xml:space="preserve">. Дополнительная справочная информация, включая ссылки, содержится в документе </w:t>
      </w:r>
      <w:r w:rsidRPr="003337F3">
        <w:rPr>
          <w:szCs w:val="18"/>
        </w:rPr>
        <w:t>WO</w:t>
      </w:r>
      <w:r w:rsidRPr="003337F3">
        <w:rPr>
          <w:szCs w:val="18"/>
          <w:lang w:val="ru-RU"/>
        </w:rPr>
        <w:t>/</w:t>
      </w:r>
      <w:r w:rsidRPr="003337F3">
        <w:rPr>
          <w:szCs w:val="18"/>
        </w:rPr>
        <w:t>GA</w:t>
      </w:r>
      <w:r w:rsidRPr="003337F3">
        <w:rPr>
          <w:szCs w:val="18"/>
          <w:lang w:val="ru-RU"/>
        </w:rPr>
        <w:t>/39/10, в частности в пункте 14.</w:t>
      </w:r>
    </w:p>
  </w:footnote>
  <w:footnote w:id="32">
    <w:p w:rsidR="000B0B4B" w:rsidRPr="00EC6362" w:rsidRDefault="000B0B4B" w:rsidP="000B0B4B">
      <w:pPr>
        <w:pStyle w:val="FootnoteText"/>
        <w:rPr>
          <w:szCs w:val="18"/>
          <w:lang w:val="ru-RU"/>
        </w:rPr>
      </w:pPr>
      <w:r w:rsidRPr="003337F3">
        <w:rPr>
          <w:rStyle w:val="FootnoteReference"/>
          <w:szCs w:val="18"/>
        </w:rPr>
        <w:footnoteRef/>
      </w:r>
      <w:r w:rsidRPr="00EC6362">
        <w:rPr>
          <w:szCs w:val="18"/>
          <w:lang w:val="ru-RU"/>
        </w:rPr>
        <w:t xml:space="preserve"> </w:t>
      </w:r>
      <w:r w:rsidRPr="00EC6362">
        <w:rPr>
          <w:szCs w:val="18"/>
          <w:lang w:val="ru-RU"/>
        </w:rPr>
        <w:tab/>
      </w:r>
      <w:r w:rsidRPr="003337F3">
        <w:rPr>
          <w:szCs w:val="18"/>
          <w:lang w:val="ru-RU"/>
        </w:rPr>
        <w:t xml:space="preserve">Руководство для заявителя </w:t>
      </w:r>
      <w:r w:rsidRPr="003337F3">
        <w:rPr>
          <w:szCs w:val="18"/>
        </w:rPr>
        <w:t>ICANN</w:t>
      </w:r>
      <w:r w:rsidRPr="003337F3">
        <w:rPr>
          <w:szCs w:val="18"/>
          <w:lang w:val="ru-RU"/>
        </w:rPr>
        <w:t xml:space="preserve"> опубликовано на следующей странице: </w:t>
      </w:r>
      <w:r w:rsidRPr="003337F3">
        <w:rPr>
          <w:szCs w:val="18"/>
        </w:rPr>
        <w:t>http</w:t>
      </w:r>
      <w:r w:rsidRPr="00EC6362">
        <w:rPr>
          <w:szCs w:val="18"/>
          <w:lang w:val="ru-RU"/>
        </w:rPr>
        <w:t>://</w:t>
      </w:r>
      <w:r w:rsidRPr="003337F3">
        <w:rPr>
          <w:szCs w:val="18"/>
        </w:rPr>
        <w:t>newgtlds</w:t>
      </w:r>
      <w:r w:rsidRPr="00EC6362">
        <w:rPr>
          <w:szCs w:val="18"/>
          <w:lang w:val="ru-RU"/>
        </w:rPr>
        <w:t>.</w:t>
      </w:r>
      <w:r w:rsidRPr="003337F3">
        <w:rPr>
          <w:szCs w:val="18"/>
        </w:rPr>
        <w:t>icann</w:t>
      </w:r>
      <w:r w:rsidRPr="00EC6362">
        <w:rPr>
          <w:szCs w:val="18"/>
          <w:lang w:val="ru-RU"/>
        </w:rPr>
        <w:t>.</w:t>
      </w:r>
      <w:r w:rsidRPr="003337F3">
        <w:rPr>
          <w:szCs w:val="18"/>
        </w:rPr>
        <w:t>org</w:t>
      </w:r>
      <w:r w:rsidRPr="00EC6362">
        <w:rPr>
          <w:szCs w:val="18"/>
          <w:lang w:val="ru-RU"/>
        </w:rPr>
        <w:t>/</w:t>
      </w:r>
      <w:r w:rsidRPr="003337F3">
        <w:rPr>
          <w:szCs w:val="18"/>
        </w:rPr>
        <w:t>en</w:t>
      </w:r>
      <w:r w:rsidRPr="00EC6362">
        <w:rPr>
          <w:szCs w:val="18"/>
          <w:lang w:val="ru-RU"/>
        </w:rPr>
        <w:t>/</w:t>
      </w:r>
      <w:r w:rsidRPr="003337F3">
        <w:rPr>
          <w:szCs w:val="18"/>
        </w:rPr>
        <w:t>applicants</w:t>
      </w:r>
      <w:r w:rsidRPr="00EC6362">
        <w:rPr>
          <w:szCs w:val="18"/>
          <w:lang w:val="ru-RU"/>
        </w:rPr>
        <w:t>/</w:t>
      </w:r>
      <w:r w:rsidRPr="003337F3">
        <w:rPr>
          <w:szCs w:val="18"/>
        </w:rPr>
        <w:t>agb</w:t>
      </w:r>
      <w:r w:rsidRPr="00EC6362">
        <w:rPr>
          <w:szCs w:val="18"/>
          <w:lang w:val="ru-RU"/>
        </w:rPr>
        <w:t xml:space="preserve">. </w:t>
      </w:r>
    </w:p>
  </w:footnote>
  <w:footnote w:id="33">
    <w:p w:rsidR="002D49EB" w:rsidRPr="00EC6362" w:rsidRDefault="002D49EB" w:rsidP="00263C54">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szCs w:val="18"/>
          <w:lang w:val="ru-RU"/>
        </w:rPr>
        <w:t xml:space="preserve">Новые делегированные рДВУ перечислены </w:t>
      </w:r>
      <w:r w:rsidR="003337F3">
        <w:rPr>
          <w:szCs w:val="18"/>
          <w:lang w:val="ru-RU"/>
        </w:rPr>
        <w:t>на следующей странице</w:t>
      </w:r>
      <w:r w:rsidRPr="003337F3">
        <w:rPr>
          <w:lang w:val="ru-RU"/>
        </w:rPr>
        <w:t xml:space="preserve">: </w:t>
      </w:r>
      <w:r w:rsidRPr="003337F3">
        <w:t>http</w:t>
      </w:r>
      <w:r w:rsidRPr="003337F3">
        <w:rPr>
          <w:lang w:val="ru-RU"/>
        </w:rPr>
        <w:t>://</w:t>
      </w:r>
      <w:r w:rsidRPr="003337F3">
        <w:t>newgtlds</w:t>
      </w:r>
      <w:r w:rsidRPr="003337F3">
        <w:rPr>
          <w:lang w:val="ru-RU"/>
        </w:rPr>
        <w:t>.</w:t>
      </w:r>
      <w:r w:rsidRPr="003337F3">
        <w:t>icann</w:t>
      </w:r>
      <w:r w:rsidRPr="003337F3">
        <w:rPr>
          <w:lang w:val="ru-RU"/>
        </w:rPr>
        <w:t>.</w:t>
      </w:r>
      <w:r w:rsidRPr="003337F3">
        <w:t>org</w:t>
      </w:r>
      <w:r w:rsidRPr="003337F3">
        <w:rPr>
          <w:lang w:val="ru-RU"/>
        </w:rPr>
        <w:t>/</w:t>
      </w:r>
      <w:r w:rsidRPr="003337F3">
        <w:t>en</w:t>
      </w:r>
      <w:r w:rsidRPr="003337F3">
        <w:rPr>
          <w:lang w:val="ru-RU"/>
        </w:rPr>
        <w:t>/</w:t>
      </w:r>
      <w:r w:rsidRPr="003337F3">
        <w:t>program</w:t>
      </w:r>
      <w:r w:rsidRPr="003337F3">
        <w:rPr>
          <w:lang w:val="ru-RU"/>
        </w:rPr>
        <w:t>-</w:t>
      </w:r>
      <w:r w:rsidRPr="003337F3">
        <w:t>status</w:t>
      </w:r>
      <w:r w:rsidRPr="003337F3">
        <w:rPr>
          <w:lang w:val="ru-RU"/>
        </w:rPr>
        <w:t>/</w:t>
      </w:r>
      <w:r w:rsidRPr="003337F3">
        <w:t>delegated</w:t>
      </w:r>
      <w:r w:rsidRPr="003337F3">
        <w:rPr>
          <w:lang w:val="ru-RU"/>
        </w:rPr>
        <w:t>-</w:t>
      </w:r>
      <w:r w:rsidRPr="003337F3">
        <w:t>strings</w:t>
      </w:r>
      <w:r w:rsidRPr="003337F3">
        <w:rPr>
          <w:lang w:val="ru-RU"/>
        </w:rPr>
        <w:t>.</w:t>
      </w:r>
    </w:p>
  </w:footnote>
  <w:footnote w:id="34">
    <w:p w:rsidR="002D49EB" w:rsidRPr="00EC6362" w:rsidRDefault="002D49EB" w:rsidP="00263C54">
      <w:pPr>
        <w:pStyle w:val="FootnoteText"/>
        <w:rPr>
          <w:szCs w:val="18"/>
          <w:lang w:val="ru-RU"/>
        </w:rPr>
      </w:pPr>
      <w:r w:rsidRPr="003337F3">
        <w:rPr>
          <w:rStyle w:val="FootnoteReference"/>
          <w:szCs w:val="18"/>
        </w:rPr>
        <w:footnoteRef/>
      </w:r>
      <w:r w:rsidRPr="00EC6362">
        <w:rPr>
          <w:rStyle w:val="FootnoteReference"/>
          <w:lang w:val="ru-RU"/>
        </w:rPr>
        <w:t xml:space="preserve"> </w:t>
      </w:r>
      <w:r w:rsidRPr="00EC6362">
        <w:rPr>
          <w:szCs w:val="18"/>
          <w:lang w:val="ru-RU"/>
        </w:rPr>
        <w:tab/>
      </w:r>
      <w:r w:rsidRPr="003337F3">
        <w:rPr>
          <w:szCs w:val="18"/>
          <w:lang w:val="ru-RU"/>
        </w:rPr>
        <w:t xml:space="preserve">Дополнительная справочная информация, включая ссылки, содержится в документе </w:t>
      </w:r>
      <w:r w:rsidRPr="003337F3">
        <w:rPr>
          <w:szCs w:val="18"/>
        </w:rPr>
        <w:t>WO</w:t>
      </w:r>
      <w:r w:rsidRPr="003337F3">
        <w:rPr>
          <w:szCs w:val="18"/>
          <w:lang w:val="ru-RU"/>
        </w:rPr>
        <w:t>/</w:t>
      </w:r>
      <w:r w:rsidRPr="003337F3">
        <w:rPr>
          <w:szCs w:val="18"/>
        </w:rPr>
        <w:t>GA</w:t>
      </w:r>
      <w:r w:rsidRPr="003337F3">
        <w:rPr>
          <w:szCs w:val="18"/>
          <w:lang w:val="ru-RU"/>
        </w:rPr>
        <w:t>/39/10, в частности в пунктах 23 - 30. Здесь отмечается, что ICANN отклонила предложение о подготовке «Перечня знаков, пользующихся глобальной охраной».</w:t>
      </w:r>
    </w:p>
  </w:footnote>
  <w:footnote w:id="35">
    <w:p w:rsidR="002D49EB" w:rsidRPr="00EC6362" w:rsidRDefault="002D49EB" w:rsidP="00263C54">
      <w:pPr>
        <w:pStyle w:val="FootnoteText"/>
        <w:rPr>
          <w:szCs w:val="18"/>
          <w:lang w:val="ru-RU"/>
        </w:rPr>
      </w:pPr>
      <w:r w:rsidRPr="003337F3">
        <w:rPr>
          <w:rStyle w:val="FootnoteReference"/>
          <w:szCs w:val="18"/>
        </w:rPr>
        <w:footnoteRef/>
      </w:r>
      <w:r w:rsidRPr="00EC6362">
        <w:rPr>
          <w:rStyle w:val="FootnoteReference"/>
          <w:lang w:val="ru-RU"/>
        </w:rPr>
        <w:t xml:space="preserve"> </w:t>
      </w:r>
      <w:r w:rsidRPr="00EC6362">
        <w:rPr>
          <w:szCs w:val="18"/>
          <w:lang w:val="ru-RU"/>
        </w:rPr>
        <w:tab/>
      </w:r>
      <w:r w:rsidRPr="003337F3">
        <w:rPr>
          <w:szCs w:val="22"/>
          <w:lang w:val="ru-RU"/>
        </w:rPr>
        <w:t xml:space="preserve">Другими основаниями для подачи возражений, признаваемыми ИКАНН, являются: «возражения, основанные на смешении в доменной строке», «возражения на основании общественных требований» и «возражения, основанные на ограниченном общественном интересе». «Руководство для заявителя» предусматривает также ряд других процедур, которыми правительства могут пользоваться после того, как ICANN публикует заявки на регистрацию новых рДВУ. </w:t>
      </w:r>
      <w:r w:rsidRPr="003337F3">
        <w:rPr>
          <w:szCs w:val="22"/>
          <w:lang w:val="ru-RU"/>
        </w:rPr>
        <w:t>В частности, раздел 1.1.2.4 предусматривает «Механизм раннего оповещения ПКК», а раздел 1.1.2.7 – «Рекомендации ПКК в отношении новых рДВУ», направляемые на рассмотрение Совета</w:t>
      </w:r>
      <w:r w:rsidRPr="003337F3">
        <w:rPr>
          <w:sz w:val="22"/>
          <w:szCs w:val="18"/>
          <w:lang w:val="ru-RU"/>
        </w:rPr>
        <w:t xml:space="preserve"> </w:t>
      </w:r>
      <w:r w:rsidRPr="003337F3">
        <w:rPr>
          <w:szCs w:val="18"/>
        </w:rPr>
        <w:t>ICANN</w:t>
      </w:r>
      <w:r w:rsidRPr="003337F3">
        <w:rPr>
          <w:szCs w:val="18"/>
          <w:lang w:val="ru-RU"/>
        </w:rPr>
        <w:t>.</w:t>
      </w:r>
    </w:p>
  </w:footnote>
  <w:footnote w:id="36">
    <w:p w:rsidR="002D49EB" w:rsidRPr="00EC6362" w:rsidRDefault="002D49EB" w:rsidP="00263C54">
      <w:pPr>
        <w:pStyle w:val="FootnoteText"/>
        <w:rPr>
          <w:szCs w:val="18"/>
          <w:lang w:val="ru-RU"/>
        </w:rPr>
      </w:pPr>
      <w:r w:rsidRPr="003337F3">
        <w:rPr>
          <w:rStyle w:val="FootnoteReference"/>
          <w:szCs w:val="18"/>
        </w:rPr>
        <w:footnoteRef/>
      </w:r>
      <w:r w:rsidRPr="00EC6362">
        <w:rPr>
          <w:rStyle w:val="FootnoteReference"/>
          <w:lang w:val="ru-RU"/>
        </w:rPr>
        <w:t xml:space="preserve"> </w:t>
      </w:r>
      <w:r w:rsidRPr="00EC6362">
        <w:rPr>
          <w:szCs w:val="18"/>
          <w:lang w:val="ru-RU"/>
        </w:rPr>
        <w:tab/>
      </w:r>
      <w:r w:rsidRPr="003337F3">
        <w:rPr>
          <w:szCs w:val="22"/>
          <w:lang w:val="ru-RU"/>
        </w:rPr>
        <w:t xml:space="preserve">Принята Генеральной </w:t>
      </w:r>
      <w:r w:rsidRPr="003337F3">
        <w:rPr>
          <w:lang w:val="ru-RU"/>
        </w:rPr>
        <w:t xml:space="preserve">ассамблеей ВОИС в сентябре 2001 г., см. </w:t>
      </w:r>
      <w:r w:rsidRPr="003337F3">
        <w:t>http</w:t>
      </w:r>
      <w:r w:rsidRPr="003337F3">
        <w:rPr>
          <w:lang w:val="ru-RU"/>
        </w:rPr>
        <w:t>://</w:t>
      </w:r>
      <w:r w:rsidRPr="003337F3">
        <w:t>www</w:t>
      </w:r>
      <w:r w:rsidRPr="003337F3">
        <w:rPr>
          <w:lang w:val="ru-RU"/>
        </w:rPr>
        <w:t>.</w:t>
      </w:r>
      <w:r w:rsidRPr="003337F3">
        <w:t>wipo</w:t>
      </w:r>
      <w:r w:rsidRPr="003337F3">
        <w:rPr>
          <w:lang w:val="ru-RU"/>
        </w:rPr>
        <w:t>.</w:t>
      </w:r>
      <w:r w:rsidRPr="003337F3">
        <w:t>int</w:t>
      </w:r>
      <w:r w:rsidRPr="003337F3">
        <w:rPr>
          <w:lang w:val="ru-RU"/>
        </w:rPr>
        <w:t>/</w:t>
      </w:r>
      <w:r w:rsidRPr="003337F3">
        <w:t>edocs</w:t>
      </w:r>
      <w:r w:rsidRPr="003337F3">
        <w:rPr>
          <w:lang w:val="ru-RU"/>
        </w:rPr>
        <w:t>/</w:t>
      </w:r>
      <w:r w:rsidRPr="003337F3">
        <w:t>pubdocs</w:t>
      </w:r>
      <w:r w:rsidRPr="003337F3">
        <w:rPr>
          <w:lang w:val="ru-RU"/>
        </w:rPr>
        <w:t>/</w:t>
      </w:r>
      <w:r w:rsidRPr="003337F3">
        <w:t>en</w:t>
      </w:r>
      <w:r w:rsidRPr="003337F3">
        <w:rPr>
          <w:lang w:val="ru-RU"/>
        </w:rPr>
        <w:t>/</w:t>
      </w:r>
      <w:r w:rsidRPr="003337F3">
        <w:t>marks</w:t>
      </w:r>
      <w:r w:rsidRPr="003337F3">
        <w:rPr>
          <w:lang w:val="ru-RU"/>
        </w:rPr>
        <w:t>/845/</w:t>
      </w:r>
      <w:r w:rsidRPr="003337F3">
        <w:t>pub</w:t>
      </w:r>
      <w:r w:rsidRPr="003337F3">
        <w:rPr>
          <w:lang w:val="ru-RU"/>
        </w:rPr>
        <w:t>845.</w:t>
      </w:r>
      <w:r w:rsidRPr="003337F3">
        <w:t>pdf</w:t>
      </w:r>
      <w:r w:rsidRPr="003337F3">
        <w:rPr>
          <w:szCs w:val="18"/>
          <w:lang w:val="ru-RU"/>
        </w:rPr>
        <w:t>.</w:t>
      </w:r>
    </w:p>
  </w:footnote>
  <w:footnote w:id="37">
    <w:p w:rsidR="002D49EB" w:rsidRPr="00EC6362" w:rsidRDefault="002D49EB" w:rsidP="00263C54">
      <w:pPr>
        <w:pStyle w:val="FootnoteText"/>
        <w:rPr>
          <w:szCs w:val="18"/>
          <w:lang w:val="ru-RU"/>
        </w:rPr>
      </w:pPr>
      <w:r w:rsidRPr="003337F3">
        <w:rPr>
          <w:rStyle w:val="FootnoteReference"/>
        </w:rPr>
        <w:footnoteRef/>
      </w:r>
      <w:r w:rsidRPr="00EC6362">
        <w:rPr>
          <w:lang w:val="ru-RU"/>
        </w:rPr>
        <w:t xml:space="preserve"> </w:t>
      </w:r>
      <w:r w:rsidRPr="00EC6362">
        <w:rPr>
          <w:lang w:val="ru-RU"/>
        </w:rPr>
        <w:tab/>
      </w:r>
      <w:r w:rsidRPr="003337F3">
        <w:rPr>
          <w:lang w:val="ru-RU"/>
        </w:rPr>
        <w:t xml:space="preserve">См. раздел </w:t>
      </w:r>
      <w:r w:rsidRPr="003337F3">
        <w:rPr>
          <w:szCs w:val="18"/>
          <w:lang w:val="ru-RU"/>
        </w:rPr>
        <w:t xml:space="preserve">3.2 Руководства для заявителя ICANN по адресу: </w:t>
      </w:r>
      <w:r w:rsidRPr="003337F3">
        <w:rPr>
          <w:szCs w:val="18"/>
        </w:rPr>
        <w:t>http</w:t>
      </w:r>
      <w:r w:rsidRPr="003337F3">
        <w:rPr>
          <w:szCs w:val="18"/>
          <w:lang w:val="ru-RU"/>
        </w:rPr>
        <w:t>://</w:t>
      </w:r>
      <w:r w:rsidRPr="003337F3">
        <w:rPr>
          <w:szCs w:val="18"/>
        </w:rPr>
        <w:t>newgtlds</w:t>
      </w:r>
      <w:r w:rsidRPr="003337F3">
        <w:rPr>
          <w:szCs w:val="18"/>
          <w:lang w:val="ru-RU"/>
        </w:rPr>
        <w:t>.</w:t>
      </w:r>
      <w:r w:rsidRPr="003337F3">
        <w:rPr>
          <w:szCs w:val="18"/>
        </w:rPr>
        <w:t>icann</w:t>
      </w:r>
      <w:r w:rsidRPr="003337F3">
        <w:rPr>
          <w:szCs w:val="18"/>
          <w:lang w:val="ru-RU"/>
        </w:rPr>
        <w:t>.</w:t>
      </w:r>
      <w:r w:rsidRPr="003337F3">
        <w:rPr>
          <w:szCs w:val="18"/>
        </w:rPr>
        <w:t>org</w:t>
      </w:r>
      <w:r w:rsidRPr="003337F3">
        <w:rPr>
          <w:szCs w:val="18"/>
          <w:lang w:val="ru-RU"/>
        </w:rPr>
        <w:t>/</w:t>
      </w:r>
      <w:r w:rsidRPr="003337F3">
        <w:rPr>
          <w:szCs w:val="18"/>
        </w:rPr>
        <w:t>en</w:t>
      </w:r>
      <w:r w:rsidRPr="003337F3">
        <w:rPr>
          <w:szCs w:val="18"/>
          <w:lang w:val="ru-RU"/>
        </w:rPr>
        <w:t>/</w:t>
      </w:r>
      <w:r w:rsidRPr="003337F3">
        <w:rPr>
          <w:szCs w:val="18"/>
        </w:rPr>
        <w:t>applicants</w:t>
      </w:r>
      <w:r w:rsidRPr="003337F3">
        <w:rPr>
          <w:szCs w:val="18"/>
          <w:lang w:val="ru-RU"/>
        </w:rPr>
        <w:t>/</w:t>
      </w:r>
      <w:r w:rsidRPr="003337F3">
        <w:rPr>
          <w:szCs w:val="18"/>
        </w:rPr>
        <w:t>agb</w:t>
      </w:r>
      <w:r w:rsidRPr="003337F3">
        <w:rPr>
          <w:szCs w:val="18"/>
          <w:lang w:val="ru-RU"/>
        </w:rPr>
        <w:t>/</w:t>
      </w:r>
      <w:r w:rsidRPr="003337F3">
        <w:rPr>
          <w:szCs w:val="18"/>
        </w:rPr>
        <w:t>objection</w:t>
      </w:r>
      <w:r w:rsidRPr="003337F3">
        <w:rPr>
          <w:szCs w:val="18"/>
          <w:lang w:val="ru-RU"/>
        </w:rPr>
        <w:noBreakHyphen/>
      </w:r>
      <w:r w:rsidRPr="003337F3">
        <w:rPr>
          <w:szCs w:val="18"/>
        </w:rPr>
        <w:t>procedures</w:t>
      </w:r>
      <w:r w:rsidRPr="003337F3">
        <w:rPr>
          <w:szCs w:val="18"/>
          <w:lang w:val="ru-RU"/>
        </w:rPr>
        <w:t>-04</w:t>
      </w:r>
      <w:r w:rsidRPr="003337F3">
        <w:rPr>
          <w:szCs w:val="18"/>
        </w:rPr>
        <w:t>jun</w:t>
      </w:r>
      <w:r w:rsidRPr="003337F3">
        <w:rPr>
          <w:szCs w:val="18"/>
          <w:lang w:val="ru-RU"/>
        </w:rPr>
        <w:t>12-</w:t>
      </w:r>
      <w:r w:rsidRPr="003337F3">
        <w:rPr>
          <w:szCs w:val="18"/>
        </w:rPr>
        <w:t>en</w:t>
      </w:r>
      <w:r w:rsidRPr="003337F3">
        <w:rPr>
          <w:szCs w:val="18"/>
          <w:lang w:val="ru-RU"/>
        </w:rPr>
        <w:t>.</w:t>
      </w:r>
      <w:r w:rsidRPr="003337F3">
        <w:rPr>
          <w:szCs w:val="18"/>
        </w:rPr>
        <w:t>pdf</w:t>
      </w:r>
      <w:r w:rsidRPr="003337F3">
        <w:rPr>
          <w:szCs w:val="18"/>
          <w:lang w:val="ru-RU"/>
        </w:rPr>
        <w:t>.</w:t>
      </w:r>
    </w:p>
  </w:footnote>
  <w:footnote w:id="38">
    <w:p w:rsidR="002D49EB" w:rsidRPr="003D6FBB" w:rsidRDefault="002D49EB" w:rsidP="00263C54">
      <w:pPr>
        <w:pStyle w:val="FootnoteText"/>
        <w:rPr>
          <w:szCs w:val="18"/>
          <w:lang w:val="ru-RU"/>
        </w:rPr>
      </w:pPr>
      <w:r w:rsidRPr="003337F3">
        <w:rPr>
          <w:rStyle w:val="FootnoteReference"/>
        </w:rPr>
        <w:footnoteRef/>
      </w:r>
      <w:r w:rsidRPr="00EC6362">
        <w:rPr>
          <w:lang w:val="ru-RU"/>
        </w:rPr>
        <w:t xml:space="preserve"> </w:t>
      </w:r>
      <w:r w:rsidRPr="00EC6362">
        <w:rPr>
          <w:lang w:val="ru-RU"/>
        </w:rPr>
        <w:tab/>
      </w:r>
      <w:r w:rsidRPr="003337F3">
        <w:rPr>
          <w:szCs w:val="18"/>
          <w:lang w:val="ru-RU"/>
        </w:rPr>
        <w:t xml:space="preserve">См. «Правила ВОИС по урегулированию споров, касающихся новых рДВУ» и «Перечень пошлин и сборов» по следующим адресам: </w:t>
      </w:r>
      <w:r w:rsidRPr="003337F3">
        <w:rPr>
          <w:szCs w:val="18"/>
        </w:rPr>
        <w:t>http</w:t>
      </w:r>
      <w:r w:rsidRPr="003337F3">
        <w:rPr>
          <w:szCs w:val="18"/>
          <w:lang w:val="ru-RU"/>
        </w:rPr>
        <w:t>://</w:t>
      </w:r>
      <w:r w:rsidRPr="003337F3">
        <w:rPr>
          <w:szCs w:val="18"/>
        </w:rPr>
        <w:t>www</w:t>
      </w:r>
      <w:r w:rsidRPr="003337F3">
        <w:rPr>
          <w:szCs w:val="18"/>
          <w:lang w:val="ru-RU"/>
        </w:rPr>
        <w:t>.</w:t>
      </w:r>
      <w:r w:rsidRPr="003337F3">
        <w:rPr>
          <w:szCs w:val="18"/>
        </w:rPr>
        <w:t>wipo</w:t>
      </w:r>
      <w:r w:rsidRPr="003337F3">
        <w:rPr>
          <w:szCs w:val="18"/>
          <w:lang w:val="ru-RU"/>
        </w:rPr>
        <w:t>.</w:t>
      </w:r>
      <w:r w:rsidRPr="003337F3">
        <w:rPr>
          <w:szCs w:val="18"/>
        </w:rPr>
        <w:t>int</w:t>
      </w:r>
      <w:r w:rsidRPr="003337F3">
        <w:rPr>
          <w:szCs w:val="18"/>
          <w:lang w:val="ru-RU"/>
        </w:rPr>
        <w:t>/</w:t>
      </w:r>
      <w:r w:rsidRPr="003337F3">
        <w:rPr>
          <w:szCs w:val="18"/>
        </w:rPr>
        <w:t>amc</w:t>
      </w:r>
      <w:r w:rsidRPr="003337F3">
        <w:rPr>
          <w:szCs w:val="18"/>
          <w:lang w:val="ru-RU"/>
        </w:rPr>
        <w:t>/</w:t>
      </w:r>
      <w:r w:rsidRPr="003337F3">
        <w:rPr>
          <w:szCs w:val="18"/>
        </w:rPr>
        <w:t>en</w:t>
      </w:r>
      <w:r w:rsidRPr="003337F3">
        <w:rPr>
          <w:szCs w:val="18"/>
          <w:lang w:val="ru-RU"/>
        </w:rPr>
        <w:t>/</w:t>
      </w:r>
      <w:r w:rsidRPr="003337F3">
        <w:rPr>
          <w:szCs w:val="18"/>
        </w:rPr>
        <w:t>docs</w:t>
      </w:r>
      <w:r w:rsidRPr="003337F3">
        <w:rPr>
          <w:szCs w:val="18"/>
          <w:lang w:val="ru-RU"/>
        </w:rPr>
        <w:t>/</w:t>
      </w:r>
      <w:r w:rsidRPr="003337F3">
        <w:rPr>
          <w:szCs w:val="18"/>
        </w:rPr>
        <w:t>wipolrorules</w:t>
      </w:r>
      <w:r w:rsidRPr="003337F3">
        <w:rPr>
          <w:szCs w:val="18"/>
          <w:lang w:val="ru-RU"/>
        </w:rPr>
        <w:t>.</w:t>
      </w:r>
      <w:r w:rsidRPr="003337F3">
        <w:rPr>
          <w:szCs w:val="18"/>
        </w:rPr>
        <w:t>pdf</w:t>
      </w:r>
      <w:r w:rsidRPr="003337F3">
        <w:rPr>
          <w:szCs w:val="18"/>
          <w:lang w:val="ru-RU"/>
        </w:rPr>
        <w:t xml:space="preserve"> </w:t>
      </w:r>
      <w:r w:rsidRPr="003337F3">
        <w:rPr>
          <w:szCs w:val="18"/>
        </w:rPr>
        <w:t>and</w:t>
      </w:r>
      <w:r w:rsidRPr="003337F3">
        <w:rPr>
          <w:szCs w:val="18"/>
          <w:lang w:val="ru-RU"/>
        </w:rPr>
        <w:t xml:space="preserve"> </w:t>
      </w:r>
      <w:hyperlink r:id="rId2" w:history="1">
        <w:r w:rsidRPr="003337F3">
          <w:rPr>
            <w:szCs w:val="18"/>
          </w:rPr>
          <w:t>http</w:t>
        </w:r>
        <w:r w:rsidRPr="003337F3">
          <w:rPr>
            <w:szCs w:val="18"/>
            <w:lang w:val="ru-RU"/>
          </w:rPr>
          <w:t>://</w:t>
        </w:r>
        <w:r w:rsidRPr="003337F3">
          <w:rPr>
            <w:szCs w:val="18"/>
          </w:rPr>
          <w:t>www</w:t>
        </w:r>
        <w:r w:rsidRPr="003337F3">
          <w:rPr>
            <w:szCs w:val="18"/>
            <w:lang w:val="ru-RU"/>
          </w:rPr>
          <w:t>.</w:t>
        </w:r>
        <w:r w:rsidRPr="003337F3">
          <w:rPr>
            <w:szCs w:val="18"/>
          </w:rPr>
          <w:t>wipo</w:t>
        </w:r>
        <w:r w:rsidRPr="003337F3">
          <w:rPr>
            <w:szCs w:val="18"/>
            <w:lang w:val="ru-RU"/>
          </w:rPr>
          <w:t>.</w:t>
        </w:r>
        <w:r w:rsidRPr="003337F3">
          <w:rPr>
            <w:szCs w:val="18"/>
          </w:rPr>
          <w:t>int</w:t>
        </w:r>
        <w:r w:rsidRPr="003337F3">
          <w:rPr>
            <w:szCs w:val="18"/>
            <w:lang w:val="ru-RU"/>
          </w:rPr>
          <w:t>/</w:t>
        </w:r>
        <w:r w:rsidRPr="003337F3">
          <w:rPr>
            <w:szCs w:val="18"/>
          </w:rPr>
          <w:t>amc</w:t>
        </w:r>
        <w:r w:rsidRPr="003337F3">
          <w:rPr>
            <w:szCs w:val="18"/>
            <w:lang w:val="ru-RU"/>
          </w:rPr>
          <w:t>/</w:t>
        </w:r>
        <w:r w:rsidRPr="003337F3">
          <w:rPr>
            <w:szCs w:val="18"/>
          </w:rPr>
          <w:t>en</w:t>
        </w:r>
        <w:r w:rsidRPr="003337F3">
          <w:rPr>
            <w:szCs w:val="18"/>
            <w:lang w:val="ru-RU"/>
          </w:rPr>
          <w:t>/</w:t>
        </w:r>
        <w:r w:rsidRPr="003337F3">
          <w:rPr>
            <w:szCs w:val="18"/>
          </w:rPr>
          <w:t>domains</w:t>
        </w:r>
        <w:r w:rsidRPr="003337F3">
          <w:rPr>
            <w:szCs w:val="18"/>
            <w:lang w:val="ru-RU"/>
          </w:rPr>
          <w:t>/</w:t>
        </w:r>
        <w:r w:rsidRPr="003337F3">
          <w:rPr>
            <w:szCs w:val="18"/>
          </w:rPr>
          <w:t>lro</w:t>
        </w:r>
        <w:r w:rsidRPr="003337F3">
          <w:rPr>
            <w:szCs w:val="18"/>
            <w:lang w:val="ru-RU"/>
          </w:rPr>
          <w:t>/</w:t>
        </w:r>
        <w:r w:rsidRPr="003337F3">
          <w:rPr>
            <w:szCs w:val="18"/>
          </w:rPr>
          <w:t>fees</w:t>
        </w:r>
        <w:r w:rsidRPr="003337F3">
          <w:rPr>
            <w:szCs w:val="18"/>
            <w:lang w:val="ru-RU"/>
          </w:rPr>
          <w:t>/</w:t>
        </w:r>
      </w:hyperlink>
      <w:r w:rsidRPr="003337F3">
        <w:rPr>
          <w:szCs w:val="18"/>
          <w:lang w:val="ru-RU"/>
        </w:rPr>
        <w:t xml:space="preserve">;  см. «Зарегистрированные в ВОИС споры, возбужденные на основании </w:t>
      </w:r>
      <w:r w:rsidRPr="003337F3">
        <w:rPr>
          <w:szCs w:val="18"/>
        </w:rPr>
        <w:t>LRO</w:t>
      </w:r>
      <w:r w:rsidRPr="003337F3">
        <w:rPr>
          <w:szCs w:val="18"/>
          <w:lang w:val="ru-RU"/>
        </w:rPr>
        <w:t xml:space="preserve">» по адресу: </w:t>
      </w:r>
      <w:r w:rsidR="003C71DC">
        <w:fldChar w:fldCharType="begin"/>
      </w:r>
      <w:r w:rsidR="003C71DC" w:rsidRPr="003D6FBB">
        <w:rPr>
          <w:lang w:val="ru-RU"/>
        </w:rPr>
        <w:instrText xml:space="preserve"> </w:instrText>
      </w:r>
      <w:r w:rsidR="003C71DC">
        <w:instrText>HYPERLINK</w:instrText>
      </w:r>
      <w:r w:rsidR="003C71DC" w:rsidRPr="003D6FBB">
        <w:rPr>
          <w:lang w:val="ru-RU"/>
        </w:rPr>
        <w:instrText xml:space="preserve"> "</w:instrText>
      </w:r>
      <w:r w:rsidR="003C71DC">
        <w:instrText>http</w:instrText>
      </w:r>
      <w:r w:rsidR="003C71DC" w:rsidRPr="003D6FBB">
        <w:rPr>
          <w:lang w:val="ru-RU"/>
        </w:rPr>
        <w:instrText>://</w:instrText>
      </w:r>
      <w:r w:rsidR="003C71DC">
        <w:instrText>www</w:instrText>
      </w:r>
      <w:r w:rsidR="003C71DC" w:rsidRPr="003D6FBB">
        <w:rPr>
          <w:lang w:val="ru-RU"/>
        </w:rPr>
        <w:instrText>.</w:instrText>
      </w:r>
      <w:r w:rsidR="003C71DC">
        <w:instrText>wipo</w:instrText>
      </w:r>
      <w:r w:rsidR="003C71DC" w:rsidRPr="003D6FBB">
        <w:rPr>
          <w:lang w:val="ru-RU"/>
        </w:rPr>
        <w:instrText>.</w:instrText>
      </w:r>
      <w:r w:rsidR="003C71DC">
        <w:instrText>int</w:instrText>
      </w:r>
      <w:r w:rsidR="003C71DC" w:rsidRPr="003D6FBB">
        <w:rPr>
          <w:lang w:val="ru-RU"/>
        </w:rPr>
        <w:instrText>/</w:instrText>
      </w:r>
      <w:r w:rsidR="003C71DC">
        <w:instrText>amc</w:instrText>
      </w:r>
      <w:r w:rsidR="003C71DC" w:rsidRPr="003D6FBB">
        <w:rPr>
          <w:lang w:val="ru-RU"/>
        </w:rPr>
        <w:instrText>/</w:instrText>
      </w:r>
      <w:r w:rsidR="003C71DC">
        <w:instrText>en</w:instrText>
      </w:r>
      <w:r w:rsidR="003C71DC" w:rsidRPr="003D6FBB">
        <w:rPr>
          <w:lang w:val="ru-RU"/>
        </w:rPr>
        <w:instrText>/</w:instrText>
      </w:r>
      <w:r w:rsidR="003C71DC">
        <w:instrText>d</w:instrText>
      </w:r>
      <w:r w:rsidR="003C71DC">
        <w:instrText>omains</w:instrText>
      </w:r>
      <w:r w:rsidR="003C71DC" w:rsidRPr="003D6FBB">
        <w:rPr>
          <w:lang w:val="ru-RU"/>
        </w:rPr>
        <w:instrText>/</w:instrText>
      </w:r>
      <w:r w:rsidR="003C71DC">
        <w:instrText>lro</w:instrText>
      </w:r>
      <w:r w:rsidR="003C71DC" w:rsidRPr="003D6FBB">
        <w:rPr>
          <w:lang w:val="ru-RU"/>
        </w:rPr>
        <w:instrText>/</w:instrText>
      </w:r>
      <w:r w:rsidR="003C71DC">
        <w:instrText>cases</w:instrText>
      </w:r>
      <w:r w:rsidR="003C71DC" w:rsidRPr="003D6FBB">
        <w:rPr>
          <w:lang w:val="ru-RU"/>
        </w:rPr>
        <w:instrText xml:space="preserve">/" </w:instrText>
      </w:r>
      <w:r w:rsidR="003C71DC">
        <w:fldChar w:fldCharType="separate"/>
      </w:r>
      <w:r w:rsidRPr="003337F3">
        <w:rPr>
          <w:szCs w:val="18"/>
        </w:rPr>
        <w:t>http</w:t>
      </w:r>
      <w:r w:rsidRPr="003337F3">
        <w:rPr>
          <w:szCs w:val="18"/>
          <w:lang w:val="ru-RU"/>
        </w:rPr>
        <w:t>://</w:t>
      </w:r>
      <w:r w:rsidRPr="003337F3">
        <w:rPr>
          <w:szCs w:val="18"/>
        </w:rPr>
        <w:t>www</w:t>
      </w:r>
      <w:r w:rsidRPr="003337F3">
        <w:rPr>
          <w:szCs w:val="18"/>
          <w:lang w:val="ru-RU"/>
        </w:rPr>
        <w:t>.</w:t>
      </w:r>
      <w:r w:rsidRPr="003337F3">
        <w:rPr>
          <w:szCs w:val="18"/>
        </w:rPr>
        <w:t>wipo</w:t>
      </w:r>
      <w:r w:rsidRPr="003337F3">
        <w:rPr>
          <w:szCs w:val="18"/>
          <w:lang w:val="ru-RU"/>
        </w:rPr>
        <w:t>.</w:t>
      </w:r>
      <w:r w:rsidRPr="003337F3">
        <w:rPr>
          <w:szCs w:val="18"/>
        </w:rPr>
        <w:t>int</w:t>
      </w:r>
      <w:r w:rsidRPr="003337F3">
        <w:rPr>
          <w:szCs w:val="18"/>
          <w:lang w:val="ru-RU"/>
        </w:rPr>
        <w:t>/</w:t>
      </w:r>
      <w:r w:rsidRPr="003337F3">
        <w:rPr>
          <w:szCs w:val="18"/>
        </w:rPr>
        <w:t>amc</w:t>
      </w:r>
      <w:r w:rsidRPr="003337F3">
        <w:rPr>
          <w:szCs w:val="18"/>
          <w:lang w:val="ru-RU"/>
        </w:rPr>
        <w:t>/</w:t>
      </w:r>
      <w:r w:rsidRPr="003337F3">
        <w:rPr>
          <w:szCs w:val="18"/>
        </w:rPr>
        <w:t>en</w:t>
      </w:r>
      <w:r w:rsidRPr="003337F3">
        <w:rPr>
          <w:szCs w:val="18"/>
          <w:lang w:val="ru-RU"/>
        </w:rPr>
        <w:t>/</w:t>
      </w:r>
      <w:r w:rsidRPr="003337F3">
        <w:rPr>
          <w:szCs w:val="18"/>
        </w:rPr>
        <w:t>domains</w:t>
      </w:r>
      <w:r w:rsidRPr="003337F3">
        <w:rPr>
          <w:szCs w:val="18"/>
          <w:lang w:val="ru-RU"/>
        </w:rPr>
        <w:t>/</w:t>
      </w:r>
      <w:r w:rsidRPr="003337F3">
        <w:rPr>
          <w:szCs w:val="18"/>
        </w:rPr>
        <w:t>lro</w:t>
      </w:r>
      <w:r w:rsidRPr="003337F3">
        <w:rPr>
          <w:szCs w:val="18"/>
          <w:lang w:val="ru-RU"/>
        </w:rPr>
        <w:t>/</w:t>
      </w:r>
      <w:r w:rsidRPr="003337F3">
        <w:rPr>
          <w:szCs w:val="18"/>
        </w:rPr>
        <w:t>cases</w:t>
      </w:r>
      <w:r w:rsidRPr="003337F3">
        <w:rPr>
          <w:szCs w:val="18"/>
          <w:lang w:val="ru-RU"/>
        </w:rPr>
        <w:t>/</w:t>
      </w:r>
      <w:r w:rsidR="003C71DC">
        <w:rPr>
          <w:szCs w:val="18"/>
          <w:lang w:val="ru-RU"/>
        </w:rPr>
        <w:fldChar w:fldCharType="end"/>
      </w:r>
      <w:r w:rsidRPr="003337F3">
        <w:rPr>
          <w:szCs w:val="18"/>
          <w:lang w:val="ru-RU"/>
        </w:rPr>
        <w:t>.</w:t>
      </w:r>
    </w:p>
  </w:footnote>
  <w:footnote w:id="39">
    <w:p w:rsidR="002D49EB" w:rsidRPr="00EC6362" w:rsidRDefault="002D49EB" w:rsidP="00263C54">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См.</w:t>
      </w:r>
      <w:r w:rsidRPr="00EC6362">
        <w:rPr>
          <w:lang w:val="ru-RU"/>
        </w:rPr>
        <w:t xml:space="preserve"> </w:t>
      </w:r>
      <w:r w:rsidRPr="003337F3">
        <w:t>http</w:t>
      </w:r>
      <w:r w:rsidRPr="00EC6362">
        <w:rPr>
          <w:lang w:val="ru-RU"/>
        </w:rPr>
        <w:t>://</w:t>
      </w:r>
      <w:r w:rsidRPr="003337F3">
        <w:t>www</w:t>
      </w:r>
      <w:r w:rsidRPr="00EC6362">
        <w:rPr>
          <w:lang w:val="ru-RU"/>
        </w:rPr>
        <w:t>.</w:t>
      </w:r>
      <w:r w:rsidRPr="003337F3">
        <w:t>wipo</w:t>
      </w:r>
      <w:r w:rsidRPr="00EC6362">
        <w:rPr>
          <w:lang w:val="ru-RU"/>
        </w:rPr>
        <w:t>.</w:t>
      </w:r>
      <w:r w:rsidRPr="003337F3">
        <w:t>int</w:t>
      </w:r>
      <w:r w:rsidRPr="00EC6362">
        <w:rPr>
          <w:lang w:val="ru-RU"/>
        </w:rPr>
        <w:t>/</w:t>
      </w:r>
      <w:r w:rsidRPr="003337F3">
        <w:t>amc</w:t>
      </w:r>
      <w:r w:rsidRPr="00EC6362">
        <w:rPr>
          <w:lang w:val="ru-RU"/>
        </w:rPr>
        <w:t>/</w:t>
      </w:r>
      <w:r w:rsidRPr="003337F3">
        <w:t>en</w:t>
      </w:r>
      <w:r w:rsidRPr="00EC6362">
        <w:rPr>
          <w:lang w:val="ru-RU"/>
        </w:rPr>
        <w:t>/</w:t>
      </w:r>
      <w:r w:rsidRPr="003337F3">
        <w:t>domains</w:t>
      </w:r>
      <w:r w:rsidRPr="00EC6362">
        <w:rPr>
          <w:lang w:val="ru-RU"/>
        </w:rPr>
        <w:t>/</w:t>
      </w:r>
      <w:r w:rsidRPr="003337F3">
        <w:t>lro</w:t>
      </w:r>
      <w:r w:rsidRPr="00EC6362">
        <w:rPr>
          <w:lang w:val="ru-RU"/>
        </w:rPr>
        <w:t>/</w:t>
      </w:r>
      <w:r w:rsidRPr="003337F3">
        <w:t>cases</w:t>
      </w:r>
      <w:r w:rsidRPr="00EC6362">
        <w:rPr>
          <w:lang w:val="ru-RU"/>
        </w:rPr>
        <w:t xml:space="preserve">/. </w:t>
      </w:r>
    </w:p>
  </w:footnote>
  <w:footnote w:id="40">
    <w:p w:rsidR="002D49EB" w:rsidRPr="00EC6362" w:rsidRDefault="002D49EB" w:rsidP="00263C54">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szCs w:val="22"/>
          <w:lang w:val="ru-RU"/>
        </w:rPr>
        <w:t xml:space="preserve">В отчете ВОИС по процедурам LRO отмечается, что подавляющее большинство LRO были поданы против заявок на регистрацию рДВУ, текст которых имеет описательное или словарное значение. Многие экспертные комиссии приходили к выводу о том, что, когда владелец товарного знака регистрировал в качестве товарного знака обычный словарный термин, заявка на регистрацию рДВУ, направленная только на использование такого общего словарного значения, не является, сама по себе, нарушением норм, позволяющим удовлетворить LRO. В некоторых ситуациях экспертные комиссии рассматривали случаи, когда товарные знаки регистрировались в основном для обеспечения успеха заявки на регистрацию нового рДВУ и/или получения юридических прав для подачи LRO и не подтверждались или почти не подтверждались доказательствами их предыдущего использования. </w:t>
      </w:r>
      <w:r w:rsidRPr="003337F3">
        <w:rPr>
          <w:lang w:val="ru-RU"/>
        </w:rPr>
        <w:t xml:space="preserve">См. </w:t>
      </w:r>
      <w:r w:rsidRPr="003337F3">
        <w:t>http</w:t>
      </w:r>
      <w:r w:rsidRPr="003337F3">
        <w:rPr>
          <w:lang w:val="ru-RU"/>
        </w:rPr>
        <w:t>://</w:t>
      </w:r>
      <w:r w:rsidRPr="003337F3">
        <w:t>www</w:t>
      </w:r>
      <w:r w:rsidRPr="003337F3">
        <w:rPr>
          <w:lang w:val="ru-RU"/>
        </w:rPr>
        <w:t>.</w:t>
      </w:r>
      <w:r w:rsidRPr="003337F3">
        <w:t>wipo</w:t>
      </w:r>
      <w:r w:rsidRPr="003337F3">
        <w:rPr>
          <w:lang w:val="ru-RU"/>
        </w:rPr>
        <w:t>.</w:t>
      </w:r>
      <w:r w:rsidRPr="003337F3">
        <w:t>int</w:t>
      </w:r>
      <w:r w:rsidRPr="003337F3">
        <w:rPr>
          <w:lang w:val="ru-RU"/>
        </w:rPr>
        <w:t>/</w:t>
      </w:r>
      <w:r w:rsidRPr="003337F3">
        <w:t>amc</w:t>
      </w:r>
      <w:r w:rsidRPr="003337F3">
        <w:rPr>
          <w:lang w:val="ru-RU"/>
        </w:rPr>
        <w:t>/</w:t>
      </w:r>
      <w:r w:rsidRPr="003337F3">
        <w:t>en</w:t>
      </w:r>
      <w:r w:rsidRPr="003337F3">
        <w:rPr>
          <w:lang w:val="ru-RU"/>
        </w:rPr>
        <w:t>/</w:t>
      </w:r>
      <w:r w:rsidRPr="003337F3">
        <w:t>docs</w:t>
      </w:r>
      <w:r w:rsidRPr="003337F3">
        <w:rPr>
          <w:lang w:val="ru-RU"/>
        </w:rPr>
        <w:t>/</w:t>
      </w:r>
      <w:r w:rsidRPr="003337F3">
        <w:t>lroreport</w:t>
      </w:r>
      <w:r w:rsidRPr="003337F3">
        <w:rPr>
          <w:lang w:val="ru-RU"/>
        </w:rPr>
        <w:t>.</w:t>
      </w:r>
      <w:r w:rsidRPr="003337F3">
        <w:t>pdf</w:t>
      </w:r>
      <w:r w:rsidRPr="003337F3">
        <w:rPr>
          <w:lang w:val="ru-RU"/>
        </w:rPr>
        <w:t>.</w:t>
      </w:r>
    </w:p>
  </w:footnote>
  <w:footnote w:id="41">
    <w:p w:rsidR="002D49EB" w:rsidRPr="00EC6362" w:rsidRDefault="002D49EB" w:rsidP="00263C54">
      <w:pPr>
        <w:pStyle w:val="FootnoteText"/>
        <w:rPr>
          <w:szCs w:val="18"/>
          <w:lang w:val="ru-RU"/>
        </w:rPr>
      </w:pPr>
      <w:r w:rsidRPr="003337F3">
        <w:rPr>
          <w:rStyle w:val="FootnoteReference"/>
        </w:rPr>
        <w:footnoteRef/>
      </w:r>
      <w:r w:rsidRPr="00EC6362">
        <w:rPr>
          <w:szCs w:val="18"/>
          <w:lang w:val="ru-RU"/>
        </w:rPr>
        <w:t xml:space="preserve"> </w:t>
      </w:r>
      <w:r w:rsidRPr="00EC6362">
        <w:rPr>
          <w:szCs w:val="18"/>
          <w:lang w:val="ru-RU"/>
        </w:rPr>
        <w:tab/>
      </w:r>
      <w:r w:rsidRPr="003337F3">
        <w:rPr>
          <w:szCs w:val="18"/>
          <w:lang w:val="ru-RU"/>
        </w:rPr>
        <w:t>См.</w:t>
      </w:r>
      <w:r w:rsidRPr="00EC6362">
        <w:rPr>
          <w:szCs w:val="18"/>
          <w:lang w:val="ru-RU"/>
        </w:rPr>
        <w:t xml:space="preserve"> </w:t>
      </w:r>
      <w:r w:rsidRPr="003337F3">
        <w:rPr>
          <w:szCs w:val="18"/>
        </w:rPr>
        <w:t>http</w:t>
      </w:r>
      <w:r w:rsidRPr="00EC6362">
        <w:rPr>
          <w:szCs w:val="18"/>
          <w:lang w:val="ru-RU"/>
        </w:rPr>
        <w:t>://</w:t>
      </w:r>
      <w:r w:rsidRPr="003337F3">
        <w:rPr>
          <w:szCs w:val="18"/>
        </w:rPr>
        <w:t>www</w:t>
      </w:r>
      <w:r w:rsidRPr="00EC6362">
        <w:rPr>
          <w:szCs w:val="18"/>
          <w:lang w:val="ru-RU"/>
        </w:rPr>
        <w:t>.</w:t>
      </w:r>
      <w:r w:rsidRPr="003337F3">
        <w:rPr>
          <w:szCs w:val="18"/>
        </w:rPr>
        <w:t>wipo</w:t>
      </w:r>
      <w:r w:rsidRPr="00EC6362">
        <w:rPr>
          <w:szCs w:val="18"/>
          <w:lang w:val="ru-RU"/>
        </w:rPr>
        <w:t>.</w:t>
      </w:r>
      <w:r w:rsidRPr="003337F3">
        <w:rPr>
          <w:szCs w:val="18"/>
        </w:rPr>
        <w:t>int</w:t>
      </w:r>
      <w:r w:rsidRPr="00EC6362">
        <w:rPr>
          <w:szCs w:val="18"/>
          <w:lang w:val="ru-RU"/>
        </w:rPr>
        <w:t>/</w:t>
      </w:r>
      <w:r w:rsidRPr="003337F3">
        <w:rPr>
          <w:szCs w:val="18"/>
        </w:rPr>
        <w:t>amc</w:t>
      </w:r>
      <w:r w:rsidRPr="00EC6362">
        <w:rPr>
          <w:szCs w:val="18"/>
          <w:lang w:val="ru-RU"/>
        </w:rPr>
        <w:t>/</w:t>
      </w:r>
      <w:r w:rsidRPr="003337F3">
        <w:rPr>
          <w:szCs w:val="18"/>
        </w:rPr>
        <w:t>en</w:t>
      </w:r>
      <w:r w:rsidRPr="00EC6362">
        <w:rPr>
          <w:szCs w:val="18"/>
          <w:lang w:val="ru-RU"/>
        </w:rPr>
        <w:t>/</w:t>
      </w:r>
      <w:r w:rsidRPr="003337F3">
        <w:rPr>
          <w:szCs w:val="18"/>
        </w:rPr>
        <w:t>docs</w:t>
      </w:r>
      <w:r w:rsidRPr="00EC6362">
        <w:rPr>
          <w:szCs w:val="18"/>
          <w:lang w:val="ru-RU"/>
        </w:rPr>
        <w:t>/</w:t>
      </w:r>
      <w:r w:rsidRPr="003337F3">
        <w:rPr>
          <w:szCs w:val="18"/>
        </w:rPr>
        <w:t>icann</w:t>
      </w:r>
      <w:r w:rsidRPr="00EC6362">
        <w:rPr>
          <w:szCs w:val="18"/>
          <w:lang w:val="ru-RU"/>
        </w:rPr>
        <w:t>130309.</w:t>
      </w:r>
      <w:r w:rsidRPr="003337F3">
        <w:rPr>
          <w:szCs w:val="18"/>
        </w:rPr>
        <w:t>pdf</w:t>
      </w:r>
      <w:r w:rsidRPr="00EC6362">
        <w:rPr>
          <w:szCs w:val="18"/>
          <w:lang w:val="ru-RU"/>
        </w:rPr>
        <w:t>.</w:t>
      </w:r>
    </w:p>
  </w:footnote>
  <w:footnote w:id="42">
    <w:p w:rsidR="002D49EB" w:rsidRPr="00EC6362" w:rsidRDefault="002D49EB" w:rsidP="00263C54">
      <w:pPr>
        <w:pStyle w:val="FootnoteText"/>
        <w:rPr>
          <w:szCs w:val="18"/>
          <w:lang w:val="ru-RU"/>
        </w:rPr>
      </w:pPr>
      <w:r w:rsidRPr="003337F3">
        <w:rPr>
          <w:rStyle w:val="FootnoteReference"/>
        </w:rPr>
        <w:footnoteRef/>
      </w:r>
      <w:r w:rsidRPr="00EC6362">
        <w:rPr>
          <w:rStyle w:val="FootnoteReference"/>
          <w:lang w:val="ru-RU"/>
        </w:rPr>
        <w:t xml:space="preserve"> </w:t>
      </w:r>
      <w:r w:rsidRPr="00EC6362">
        <w:rPr>
          <w:szCs w:val="18"/>
          <w:lang w:val="ru-RU"/>
        </w:rPr>
        <w:tab/>
      </w:r>
      <w:r w:rsidRPr="003337F3">
        <w:rPr>
          <w:szCs w:val="18"/>
          <w:lang w:val="ru-RU"/>
        </w:rPr>
        <w:t xml:space="preserve">С учетом наблюдающегося сближения функций реестра, регистратора и </w:t>
      </w:r>
      <w:r w:rsidR="003337F3" w:rsidRPr="003337F3">
        <w:rPr>
          <w:szCs w:val="18"/>
          <w:lang w:val="ru-RU"/>
        </w:rPr>
        <w:t>регистранта</w:t>
      </w:r>
      <w:r w:rsidRPr="003337F3">
        <w:rPr>
          <w:szCs w:val="18"/>
          <w:lang w:val="ru-RU"/>
        </w:rPr>
        <w:t xml:space="preserve"> в рамках DNS, Центр также рекомендовал, исходя, в частности, из своего опыта применения ЕПУС и решения ICANN допустить перекрестное владение между регистраторами и реестрами (см. http:www.icann.org/en/minutes/resolutions-05nov10-en.htm), чтобы ICANN рассмотрела возможность распространения процедуры PDDRP, применяемой к реестрам, на действия регистраторов (см., </w:t>
      </w:r>
      <w:proofErr w:type="gramStart"/>
      <w:r w:rsidRPr="003337F3">
        <w:rPr>
          <w:i/>
          <w:szCs w:val="18"/>
        </w:rPr>
        <w:t>inter</w:t>
      </w:r>
      <w:proofErr w:type="gramEnd"/>
      <w:r w:rsidRPr="003337F3">
        <w:rPr>
          <w:i/>
          <w:szCs w:val="18"/>
          <w:lang w:val="ru-RU"/>
        </w:rPr>
        <w:t xml:space="preserve"> </w:t>
      </w:r>
      <w:r w:rsidRPr="003337F3">
        <w:rPr>
          <w:i/>
          <w:szCs w:val="18"/>
        </w:rPr>
        <w:t>alia</w:t>
      </w:r>
      <w:r w:rsidRPr="003337F3">
        <w:rPr>
          <w:szCs w:val="18"/>
          <w:lang w:val="ru-RU"/>
        </w:rPr>
        <w:t xml:space="preserve">, </w:t>
      </w:r>
      <w:r w:rsidRPr="003337F3">
        <w:rPr>
          <w:szCs w:val="18"/>
        </w:rPr>
        <w:t>http</w:t>
      </w:r>
      <w:r w:rsidRPr="003337F3">
        <w:rPr>
          <w:szCs w:val="18"/>
          <w:lang w:val="ru-RU"/>
        </w:rPr>
        <w:t>://</w:t>
      </w:r>
      <w:r w:rsidRPr="003337F3">
        <w:rPr>
          <w:szCs w:val="18"/>
        </w:rPr>
        <w:t>www</w:t>
      </w:r>
      <w:r w:rsidRPr="003337F3">
        <w:rPr>
          <w:szCs w:val="18"/>
          <w:lang w:val="ru-RU"/>
        </w:rPr>
        <w:t>.</w:t>
      </w:r>
      <w:r w:rsidRPr="003337F3">
        <w:rPr>
          <w:szCs w:val="18"/>
        </w:rPr>
        <w:t>wipo</w:t>
      </w:r>
      <w:r w:rsidRPr="003337F3">
        <w:rPr>
          <w:szCs w:val="18"/>
          <w:lang w:val="ru-RU"/>
        </w:rPr>
        <w:t>.</w:t>
      </w:r>
      <w:r w:rsidRPr="003337F3">
        <w:rPr>
          <w:szCs w:val="18"/>
        </w:rPr>
        <w:t>int</w:t>
      </w:r>
      <w:r w:rsidRPr="003337F3">
        <w:rPr>
          <w:szCs w:val="18"/>
          <w:lang w:val="ru-RU"/>
        </w:rPr>
        <w:t>/</w:t>
      </w:r>
      <w:r w:rsidRPr="003337F3">
        <w:rPr>
          <w:szCs w:val="18"/>
        </w:rPr>
        <w:t>amc</w:t>
      </w:r>
      <w:r w:rsidRPr="003337F3">
        <w:rPr>
          <w:szCs w:val="18"/>
          <w:lang w:val="ru-RU"/>
        </w:rPr>
        <w:t>/</w:t>
      </w:r>
      <w:r w:rsidRPr="003337F3">
        <w:rPr>
          <w:szCs w:val="18"/>
        </w:rPr>
        <w:t>en</w:t>
      </w:r>
      <w:r w:rsidRPr="003337F3">
        <w:rPr>
          <w:szCs w:val="18"/>
          <w:lang w:val="ru-RU"/>
        </w:rPr>
        <w:t>/</w:t>
      </w:r>
      <w:r w:rsidRPr="003337F3">
        <w:rPr>
          <w:szCs w:val="18"/>
        </w:rPr>
        <w:t>docs</w:t>
      </w:r>
      <w:r w:rsidRPr="003337F3">
        <w:rPr>
          <w:szCs w:val="18"/>
          <w:lang w:val="ru-RU"/>
        </w:rPr>
        <w:t>/</w:t>
      </w:r>
      <w:r w:rsidRPr="003337F3">
        <w:rPr>
          <w:szCs w:val="18"/>
        </w:rPr>
        <w:t>icann</w:t>
      </w:r>
      <w:r w:rsidRPr="003337F3">
        <w:rPr>
          <w:szCs w:val="18"/>
          <w:lang w:val="ru-RU"/>
        </w:rPr>
        <w:t>260310</w:t>
      </w:r>
      <w:r w:rsidRPr="003337F3">
        <w:rPr>
          <w:szCs w:val="18"/>
        </w:rPr>
        <w:t>rap</w:t>
      </w:r>
      <w:r w:rsidRPr="003337F3">
        <w:rPr>
          <w:szCs w:val="18"/>
          <w:lang w:val="ru-RU"/>
        </w:rPr>
        <w:t>.</w:t>
      </w:r>
      <w:r w:rsidRPr="003337F3">
        <w:rPr>
          <w:szCs w:val="18"/>
        </w:rPr>
        <w:t>pdf</w:t>
      </w:r>
      <w:r w:rsidRPr="003337F3">
        <w:rPr>
          <w:szCs w:val="18"/>
          <w:lang w:val="ru-RU"/>
        </w:rPr>
        <w:t>).</w:t>
      </w:r>
    </w:p>
  </w:footnote>
  <w:footnote w:id="43">
    <w:p w:rsidR="002D49EB" w:rsidRPr="00EC6362" w:rsidRDefault="002D49EB" w:rsidP="00263C54">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 xml:space="preserve">ЦОИТЗ дает возможность использования зарегистрированных словесных знаков, словесных знаков, охраняемых в соответствии с законом или договором или на основании судебного решения, и «прочих знаков, представляющих собой интеллектуальную собственность» (последнее понятие не определено). </w:t>
      </w:r>
      <w:r w:rsidRPr="003337F3">
        <w:rPr>
          <w:lang w:val="ru-RU"/>
        </w:rPr>
        <w:t>Что касается МОП, основанных на использовании данных ЦОИТЗ, в настоящее время предоставление услуг «</w:t>
      </w:r>
      <w:r w:rsidRPr="003337F3">
        <w:t>Sunrise</w:t>
      </w:r>
      <w:r w:rsidRPr="003337F3">
        <w:rPr>
          <w:lang w:val="ru-RU"/>
        </w:rPr>
        <w:t xml:space="preserve">» (т.е. право владельца товарного знака, при условии оплаты соответствующего сбора, осуществить в качестве превентивной меры регистрацию в качестве доменного имени слова, полностью совпадающего с принадлежащим ему знаком) ограничено теми товарными знаками, текущее использование которых может быть доказано. Независимо от доказанности текущего использования знаков соответствующими данными, владельцы товарных знаков будут также иметь право пользоваться ограниченным по времени действия сервисом «Claims» (возможностью уведомления потенциального </w:t>
      </w:r>
      <w:r w:rsidR="003337F3" w:rsidRPr="003337F3">
        <w:rPr>
          <w:lang w:val="ru-RU"/>
        </w:rPr>
        <w:t>регистранта</w:t>
      </w:r>
      <w:r w:rsidRPr="003337F3">
        <w:rPr>
          <w:lang w:val="ru-RU"/>
        </w:rPr>
        <w:t xml:space="preserve"> доменного имени о наличии потенциально конфликтующего права на товарный знак, а также уведомления соответствующего владельца (владельцев) товарного знака в случае, если </w:t>
      </w:r>
      <w:r w:rsidR="003337F3" w:rsidRPr="003337F3">
        <w:rPr>
          <w:lang w:val="ru-RU"/>
        </w:rPr>
        <w:t>регистрант</w:t>
      </w:r>
      <w:r w:rsidRPr="003337F3">
        <w:rPr>
          <w:lang w:val="ru-RU"/>
        </w:rPr>
        <w:t xml:space="preserve"> все же регистрирует доменное имя). Согласно решению ICANN, в настоящее время сервис «Claims» действует не более 90 дней после того, как новый рДВУ становится доступен для общей публичной регистрации, но клиенты ЦОИТЗ вправе подать ходатайство о направлении им соответствующей информации в течение неопределенного времени. Требование наличия доказательств использования знака, необходимое для пользования сервисом «</w:t>
      </w:r>
      <w:r w:rsidRPr="003337F3">
        <w:t>Sunrise</w:t>
      </w:r>
      <w:r w:rsidRPr="003337F3">
        <w:rPr>
          <w:lang w:val="ru-RU"/>
        </w:rPr>
        <w:t>», касается также ссылки на существование товарных знаков в качестве основания для подачи иска в соответствии с описанным в настоящем документе механизмом охраны прав «Единая система быстрого приостановления действия».</w:t>
      </w:r>
    </w:p>
  </w:footnote>
  <w:footnote w:id="44">
    <w:p w:rsidR="002D49EB" w:rsidRPr="00EC6362" w:rsidRDefault="002D49EB" w:rsidP="00263C54">
      <w:pPr>
        <w:pStyle w:val="FootnoteText"/>
        <w:rPr>
          <w:szCs w:val="18"/>
          <w:lang w:val="ru-RU"/>
        </w:rPr>
      </w:pPr>
      <w:r w:rsidRPr="003337F3">
        <w:rPr>
          <w:rStyle w:val="FootnoteReference"/>
        </w:rPr>
        <w:footnoteRef/>
      </w:r>
      <w:r w:rsidRPr="00EC6362">
        <w:rPr>
          <w:rStyle w:val="FootnoteReference"/>
          <w:lang w:val="ru-RU"/>
        </w:rPr>
        <w:t xml:space="preserve"> </w:t>
      </w:r>
      <w:r w:rsidRPr="00EC6362">
        <w:rPr>
          <w:szCs w:val="18"/>
          <w:lang w:val="ru-RU"/>
        </w:rPr>
        <w:tab/>
      </w:r>
      <w:r w:rsidRPr="003337F3">
        <w:rPr>
          <w:szCs w:val="18"/>
          <w:lang w:val="ru-RU"/>
        </w:rPr>
        <w:t>См.</w:t>
      </w:r>
      <w:r w:rsidRPr="00EC6362">
        <w:rPr>
          <w:szCs w:val="18"/>
          <w:lang w:val="ru-RU"/>
        </w:rPr>
        <w:t xml:space="preserve"> </w:t>
      </w:r>
      <w:r w:rsidRPr="003337F3">
        <w:rPr>
          <w:szCs w:val="18"/>
        </w:rPr>
        <w:t>http</w:t>
      </w:r>
      <w:r w:rsidRPr="00EC6362">
        <w:rPr>
          <w:szCs w:val="18"/>
          <w:lang w:val="ru-RU"/>
        </w:rPr>
        <w:t>://</w:t>
      </w:r>
      <w:r w:rsidRPr="003337F3">
        <w:rPr>
          <w:szCs w:val="18"/>
        </w:rPr>
        <w:t>trademark</w:t>
      </w:r>
      <w:r w:rsidRPr="00EC6362">
        <w:rPr>
          <w:szCs w:val="18"/>
          <w:lang w:val="ru-RU"/>
        </w:rPr>
        <w:t>-</w:t>
      </w:r>
      <w:r w:rsidRPr="003337F3">
        <w:rPr>
          <w:szCs w:val="18"/>
        </w:rPr>
        <w:t>clearinghouse</w:t>
      </w:r>
      <w:r w:rsidRPr="00EC6362">
        <w:rPr>
          <w:szCs w:val="18"/>
          <w:lang w:val="ru-RU"/>
        </w:rPr>
        <w:t>.</w:t>
      </w:r>
      <w:r w:rsidRPr="003337F3">
        <w:rPr>
          <w:szCs w:val="18"/>
        </w:rPr>
        <w:t>com</w:t>
      </w:r>
      <w:r w:rsidRPr="00EC6362">
        <w:rPr>
          <w:szCs w:val="18"/>
          <w:lang w:val="ru-RU"/>
        </w:rPr>
        <w:t>/</w:t>
      </w:r>
      <w:r w:rsidRPr="003337F3">
        <w:rPr>
          <w:szCs w:val="18"/>
        </w:rPr>
        <w:t>content</w:t>
      </w:r>
      <w:r w:rsidRPr="00EC6362">
        <w:rPr>
          <w:szCs w:val="18"/>
          <w:lang w:val="ru-RU"/>
        </w:rPr>
        <w:t>/</w:t>
      </w:r>
      <w:r w:rsidRPr="003337F3">
        <w:rPr>
          <w:szCs w:val="18"/>
        </w:rPr>
        <w:t>tmch</w:t>
      </w:r>
      <w:r w:rsidRPr="00EC6362">
        <w:rPr>
          <w:szCs w:val="18"/>
          <w:lang w:val="ru-RU"/>
        </w:rPr>
        <w:t>-</w:t>
      </w:r>
      <w:r w:rsidRPr="003337F3">
        <w:rPr>
          <w:szCs w:val="18"/>
        </w:rPr>
        <w:t>stats</w:t>
      </w:r>
      <w:r w:rsidRPr="00EC6362">
        <w:rPr>
          <w:szCs w:val="18"/>
          <w:lang w:val="ru-RU"/>
        </w:rPr>
        <w:t>.</w:t>
      </w:r>
    </w:p>
  </w:footnote>
  <w:footnote w:id="45">
    <w:p w:rsidR="002D49EB" w:rsidRPr="00EC6362" w:rsidRDefault="002D49EB" w:rsidP="00263C54">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szCs w:val="18"/>
          <w:lang w:val="ru-RU"/>
        </w:rPr>
        <w:t xml:space="preserve">Центр, со своей стороны, направил в </w:t>
      </w:r>
      <w:r w:rsidRPr="003337F3">
        <w:rPr>
          <w:szCs w:val="18"/>
        </w:rPr>
        <w:t>ICANN</w:t>
      </w:r>
      <w:r w:rsidRPr="003337F3">
        <w:rPr>
          <w:szCs w:val="18"/>
          <w:lang w:val="ru-RU"/>
        </w:rPr>
        <w:t xml:space="preserve"> для обсуждения в апреле 2009</w:t>
      </w:r>
      <w:r w:rsidRPr="003337F3">
        <w:rPr>
          <w:szCs w:val="18"/>
        </w:rPr>
        <w:t> </w:t>
      </w:r>
      <w:r w:rsidRPr="003337F3">
        <w:rPr>
          <w:szCs w:val="18"/>
          <w:lang w:val="ru-RU"/>
        </w:rPr>
        <w:t xml:space="preserve">г. проект документа «Ускоренный механизм приостановления действия регистрации (доменных имен)» </w:t>
      </w:r>
      <w:r w:rsidRPr="003337F3">
        <w:rPr>
          <w:szCs w:val="18"/>
          <w:lang w:val="ru-RU"/>
        </w:rPr>
        <w:t xml:space="preserve">(см. </w:t>
      </w:r>
      <w:r w:rsidR="003C71DC">
        <w:fldChar w:fldCharType="begin"/>
      </w:r>
      <w:r w:rsidR="003C71DC" w:rsidRPr="003D6FBB">
        <w:rPr>
          <w:lang w:val="ru-RU"/>
        </w:rPr>
        <w:instrText xml:space="preserve"> </w:instrText>
      </w:r>
      <w:r w:rsidR="003C71DC">
        <w:instrText>HYPERLINK</w:instrText>
      </w:r>
      <w:r w:rsidR="003C71DC" w:rsidRPr="003D6FBB">
        <w:rPr>
          <w:lang w:val="ru-RU"/>
        </w:rPr>
        <w:instrText xml:space="preserve"> "</w:instrText>
      </w:r>
      <w:r w:rsidR="003C71DC">
        <w:instrText>http</w:instrText>
      </w:r>
      <w:r w:rsidR="003C71DC" w:rsidRPr="003D6FBB">
        <w:rPr>
          <w:lang w:val="ru-RU"/>
        </w:rPr>
        <w:instrText>://</w:instrText>
      </w:r>
      <w:r w:rsidR="003C71DC">
        <w:instrText>www</w:instrText>
      </w:r>
      <w:r w:rsidR="003C71DC" w:rsidRPr="003D6FBB">
        <w:rPr>
          <w:lang w:val="ru-RU"/>
        </w:rPr>
        <w:instrText>.</w:instrText>
      </w:r>
      <w:r w:rsidR="003C71DC">
        <w:instrText>wipo</w:instrText>
      </w:r>
      <w:r w:rsidR="003C71DC" w:rsidRPr="003D6FBB">
        <w:rPr>
          <w:lang w:val="ru-RU"/>
        </w:rPr>
        <w:instrText>.</w:instrText>
      </w:r>
      <w:r w:rsidR="003C71DC">
        <w:instrText>int</w:instrText>
      </w:r>
      <w:r w:rsidR="003C71DC" w:rsidRPr="003D6FBB">
        <w:rPr>
          <w:lang w:val="ru-RU"/>
        </w:rPr>
        <w:instrText>/</w:instrText>
      </w:r>
      <w:r w:rsidR="003C71DC">
        <w:instrText>amc</w:instrText>
      </w:r>
      <w:r w:rsidR="003C71DC" w:rsidRPr="003D6FBB">
        <w:rPr>
          <w:lang w:val="ru-RU"/>
        </w:rPr>
        <w:instrText>/</w:instrText>
      </w:r>
      <w:r w:rsidR="003C71DC">
        <w:instrText>en</w:instrText>
      </w:r>
      <w:r w:rsidR="003C71DC" w:rsidRPr="003D6FBB">
        <w:rPr>
          <w:lang w:val="ru-RU"/>
        </w:rPr>
        <w:instrText>/</w:instrText>
      </w:r>
      <w:r w:rsidR="003C71DC">
        <w:instrText>docs</w:instrText>
      </w:r>
      <w:r w:rsidR="003C71DC" w:rsidRPr="003D6FBB">
        <w:rPr>
          <w:lang w:val="ru-RU"/>
        </w:rPr>
        <w:instrText>/</w:instrText>
      </w:r>
      <w:r w:rsidR="003C71DC">
        <w:instrText>icann</w:instrText>
      </w:r>
      <w:r w:rsidR="003C71DC" w:rsidRPr="003D6FBB">
        <w:rPr>
          <w:lang w:val="ru-RU"/>
        </w:rPr>
        <w:instrText>030409.</w:instrText>
      </w:r>
      <w:r w:rsidR="003C71DC">
        <w:instrText>pdf</w:instrText>
      </w:r>
      <w:r w:rsidR="003C71DC" w:rsidRPr="003D6FBB">
        <w:rPr>
          <w:lang w:val="ru-RU"/>
        </w:rPr>
        <w:instrText xml:space="preserve">" </w:instrText>
      </w:r>
      <w:r w:rsidR="003C71DC">
        <w:fldChar w:fldCharType="separate"/>
      </w:r>
      <w:proofErr w:type="gramStart"/>
      <w:r w:rsidRPr="003337F3">
        <w:rPr>
          <w:szCs w:val="18"/>
        </w:rPr>
        <w:t>http</w:t>
      </w:r>
      <w:r w:rsidRPr="003337F3">
        <w:rPr>
          <w:szCs w:val="18"/>
          <w:lang w:val="ru-RU"/>
        </w:rPr>
        <w:t>://</w:t>
      </w:r>
      <w:r w:rsidRPr="003337F3">
        <w:rPr>
          <w:szCs w:val="18"/>
        </w:rPr>
        <w:t>www</w:t>
      </w:r>
      <w:r w:rsidRPr="003337F3">
        <w:rPr>
          <w:szCs w:val="18"/>
          <w:lang w:val="ru-RU"/>
        </w:rPr>
        <w:t>.</w:t>
      </w:r>
      <w:r w:rsidRPr="003337F3">
        <w:rPr>
          <w:szCs w:val="18"/>
        </w:rPr>
        <w:t>wipo</w:t>
      </w:r>
      <w:r w:rsidRPr="003337F3">
        <w:rPr>
          <w:szCs w:val="18"/>
          <w:lang w:val="ru-RU"/>
        </w:rPr>
        <w:t>.</w:t>
      </w:r>
      <w:r w:rsidRPr="003337F3">
        <w:rPr>
          <w:szCs w:val="18"/>
        </w:rPr>
        <w:t>int</w:t>
      </w:r>
      <w:r w:rsidRPr="003337F3">
        <w:rPr>
          <w:szCs w:val="18"/>
          <w:lang w:val="ru-RU"/>
        </w:rPr>
        <w:t>/</w:t>
      </w:r>
      <w:r w:rsidRPr="003337F3">
        <w:rPr>
          <w:szCs w:val="18"/>
        </w:rPr>
        <w:t>amc</w:t>
      </w:r>
      <w:r w:rsidRPr="003337F3">
        <w:rPr>
          <w:szCs w:val="18"/>
          <w:lang w:val="ru-RU"/>
        </w:rPr>
        <w:t>/</w:t>
      </w:r>
      <w:r w:rsidRPr="003337F3">
        <w:rPr>
          <w:szCs w:val="18"/>
        </w:rPr>
        <w:t>en</w:t>
      </w:r>
      <w:r w:rsidRPr="003337F3">
        <w:rPr>
          <w:szCs w:val="18"/>
          <w:lang w:val="ru-RU"/>
        </w:rPr>
        <w:t>/</w:t>
      </w:r>
      <w:r w:rsidRPr="003337F3">
        <w:rPr>
          <w:szCs w:val="18"/>
        </w:rPr>
        <w:t>docs</w:t>
      </w:r>
      <w:r w:rsidRPr="003337F3">
        <w:rPr>
          <w:szCs w:val="18"/>
          <w:lang w:val="ru-RU"/>
        </w:rPr>
        <w:t>/</w:t>
      </w:r>
      <w:r w:rsidRPr="003337F3">
        <w:rPr>
          <w:szCs w:val="18"/>
        </w:rPr>
        <w:t>icann</w:t>
      </w:r>
      <w:r w:rsidRPr="003337F3">
        <w:rPr>
          <w:szCs w:val="18"/>
          <w:lang w:val="ru-RU"/>
        </w:rPr>
        <w:t>030409.</w:t>
      </w:r>
      <w:r w:rsidRPr="003337F3">
        <w:rPr>
          <w:szCs w:val="18"/>
        </w:rPr>
        <w:t>pdf</w:t>
      </w:r>
      <w:r w:rsidR="003C71DC">
        <w:rPr>
          <w:szCs w:val="18"/>
        </w:rPr>
        <w:fldChar w:fldCharType="end"/>
      </w:r>
      <w:r w:rsidRPr="003337F3">
        <w:rPr>
          <w:szCs w:val="18"/>
          <w:lang w:val="ru-RU"/>
        </w:rPr>
        <w:t xml:space="preserve">) и затем внес на заседаниях </w:t>
      </w:r>
      <w:r w:rsidRPr="003337F3">
        <w:rPr>
          <w:szCs w:val="18"/>
        </w:rPr>
        <w:t>ICANN</w:t>
      </w:r>
      <w:r w:rsidRPr="003337F3">
        <w:rPr>
          <w:szCs w:val="18"/>
          <w:lang w:val="ru-RU"/>
        </w:rPr>
        <w:t xml:space="preserve"> предложения об оптимизации механизма, основанного на этой модели (см. </w:t>
      </w:r>
      <w:hyperlink r:id="rId3" w:history="1">
        <w:proofErr w:type="gramEnd"/>
        <w:r w:rsidRPr="003337F3">
          <w:rPr>
            <w:szCs w:val="18"/>
          </w:rPr>
          <w:t>http</w:t>
        </w:r>
        <w:r w:rsidRPr="003337F3">
          <w:rPr>
            <w:szCs w:val="18"/>
            <w:lang w:val="ru-RU"/>
          </w:rPr>
          <w:t>://</w:t>
        </w:r>
        <w:r w:rsidRPr="003337F3">
          <w:rPr>
            <w:szCs w:val="18"/>
          </w:rPr>
          <w:t>prague</w:t>
        </w:r>
        <w:r w:rsidRPr="003337F3">
          <w:rPr>
            <w:szCs w:val="18"/>
            <w:lang w:val="ru-RU"/>
          </w:rPr>
          <w:t>44.</w:t>
        </w:r>
        <w:r w:rsidRPr="003337F3">
          <w:rPr>
            <w:szCs w:val="18"/>
          </w:rPr>
          <w:t>icann</w:t>
        </w:r>
        <w:r w:rsidRPr="003337F3">
          <w:rPr>
            <w:szCs w:val="18"/>
            <w:lang w:val="ru-RU"/>
          </w:rPr>
          <w:t>.</w:t>
        </w:r>
        <w:r w:rsidRPr="003337F3">
          <w:rPr>
            <w:szCs w:val="18"/>
          </w:rPr>
          <w:t>org</w:t>
        </w:r>
        <w:r w:rsidRPr="003337F3">
          <w:rPr>
            <w:szCs w:val="18"/>
            <w:lang w:val="ru-RU"/>
          </w:rPr>
          <w:t>/</w:t>
        </w:r>
        <w:r w:rsidRPr="003337F3">
          <w:rPr>
            <w:szCs w:val="18"/>
          </w:rPr>
          <w:t>node</w:t>
        </w:r>
        <w:r w:rsidRPr="003337F3">
          <w:rPr>
            <w:szCs w:val="18"/>
            <w:lang w:val="ru-RU"/>
          </w:rPr>
          <w:t>/31773</w:t>
        </w:r>
        <w:proofErr w:type="gramStart"/>
      </w:hyperlink>
      <w:r w:rsidRPr="003337F3">
        <w:rPr>
          <w:szCs w:val="18"/>
          <w:lang w:val="ru-RU"/>
        </w:rPr>
        <w:t xml:space="preserve"> и </w:t>
      </w:r>
      <w:hyperlink r:id="rId4" w:history="1">
        <w:r w:rsidRPr="003337F3">
          <w:rPr>
            <w:szCs w:val="18"/>
          </w:rPr>
          <w:t>http</w:t>
        </w:r>
        <w:r w:rsidRPr="003337F3">
          <w:rPr>
            <w:szCs w:val="18"/>
            <w:lang w:val="ru-RU"/>
          </w:rPr>
          <w:t>://</w:t>
        </w:r>
        <w:proofErr w:type="spellStart"/>
        <w:r w:rsidRPr="003337F3">
          <w:rPr>
            <w:szCs w:val="18"/>
          </w:rPr>
          <w:t>toronto</w:t>
        </w:r>
        <w:proofErr w:type="spellEnd"/>
        <w:r w:rsidRPr="003337F3">
          <w:rPr>
            <w:szCs w:val="18"/>
            <w:lang w:val="ru-RU"/>
          </w:rPr>
          <w:t>45.</w:t>
        </w:r>
        <w:proofErr w:type="spellStart"/>
        <w:r w:rsidRPr="003337F3">
          <w:rPr>
            <w:szCs w:val="18"/>
          </w:rPr>
          <w:t>icann</w:t>
        </w:r>
        <w:proofErr w:type="spellEnd"/>
        <w:r w:rsidRPr="003337F3">
          <w:rPr>
            <w:szCs w:val="18"/>
            <w:lang w:val="ru-RU"/>
          </w:rPr>
          <w:t>.</w:t>
        </w:r>
        <w:r w:rsidRPr="003337F3">
          <w:rPr>
            <w:szCs w:val="18"/>
          </w:rPr>
          <w:t>org</w:t>
        </w:r>
        <w:r w:rsidRPr="003337F3">
          <w:rPr>
            <w:szCs w:val="18"/>
            <w:lang w:val="ru-RU"/>
          </w:rPr>
          <w:t>/</w:t>
        </w:r>
        <w:r w:rsidRPr="003337F3">
          <w:rPr>
            <w:szCs w:val="18"/>
          </w:rPr>
          <w:t>node</w:t>
        </w:r>
        <w:r w:rsidRPr="003337F3">
          <w:rPr>
            <w:szCs w:val="18"/>
            <w:lang w:val="ru-RU"/>
          </w:rPr>
          <w:t>/34325</w:t>
        </w:r>
      </w:hyperlink>
      <w:r w:rsidRPr="003337F3">
        <w:rPr>
          <w:szCs w:val="18"/>
          <w:lang w:val="ru-RU"/>
        </w:rPr>
        <w:t>).</w:t>
      </w:r>
      <w:proofErr w:type="gramEnd"/>
      <w:r w:rsidRPr="003337F3">
        <w:rPr>
          <w:szCs w:val="18"/>
          <w:lang w:val="ru-RU"/>
        </w:rPr>
        <w:t xml:space="preserve"> Эти предложения учитывали необходимость разумного равновесия между охраной признаваемых законом прав на товарный знак, практической заинтересованностью добросовестных регистрационных органов в минимизации их рабочей нагрузки и законными ожиданиями добросовестных </w:t>
      </w:r>
      <w:r w:rsidR="003337F3" w:rsidRPr="003337F3">
        <w:rPr>
          <w:szCs w:val="18"/>
          <w:lang w:val="ru-RU"/>
        </w:rPr>
        <w:t>регистрантов</w:t>
      </w:r>
      <w:r w:rsidRPr="003337F3">
        <w:rPr>
          <w:szCs w:val="18"/>
          <w:lang w:val="ru-RU"/>
        </w:rPr>
        <w:t xml:space="preserve"> доменных имен.</w:t>
      </w:r>
    </w:p>
  </w:footnote>
  <w:footnote w:id="46">
    <w:p w:rsidR="002D49EB" w:rsidRPr="00EC6362" w:rsidRDefault="002D49EB" w:rsidP="00263C54">
      <w:pPr>
        <w:pStyle w:val="FootnoteText"/>
        <w:rPr>
          <w:szCs w:val="18"/>
          <w:lang w:val="ru-RU"/>
        </w:rPr>
      </w:pPr>
      <w:r w:rsidRPr="003337F3">
        <w:rPr>
          <w:rStyle w:val="FootnoteReference"/>
        </w:rPr>
        <w:footnoteRef/>
      </w:r>
      <w:r w:rsidRPr="00EC6362">
        <w:rPr>
          <w:szCs w:val="18"/>
          <w:lang w:val="ru-RU"/>
        </w:rPr>
        <w:t xml:space="preserve"> </w:t>
      </w:r>
      <w:r w:rsidRPr="00EC6362">
        <w:rPr>
          <w:szCs w:val="18"/>
          <w:lang w:val="ru-RU"/>
        </w:rPr>
        <w:tab/>
      </w:r>
      <w:r w:rsidRPr="003337F3">
        <w:rPr>
          <w:szCs w:val="18"/>
          <w:lang w:val="ru-RU"/>
        </w:rPr>
        <w:t xml:space="preserve">Подробный перечень таких вопросов содержится, в частности, в письме Центра от 2 декабря 2010 г., которое можно найти по адресу: </w:t>
      </w:r>
      <w:r w:rsidRPr="003337F3">
        <w:rPr>
          <w:szCs w:val="18"/>
        </w:rPr>
        <w:t>http</w:t>
      </w:r>
      <w:r w:rsidRPr="003337F3">
        <w:rPr>
          <w:szCs w:val="18"/>
          <w:lang w:val="ru-RU"/>
        </w:rPr>
        <w:t>://</w:t>
      </w:r>
      <w:r w:rsidRPr="003337F3">
        <w:rPr>
          <w:szCs w:val="18"/>
        </w:rPr>
        <w:t>www</w:t>
      </w:r>
      <w:r w:rsidRPr="003337F3">
        <w:rPr>
          <w:szCs w:val="18"/>
          <w:lang w:val="ru-RU"/>
        </w:rPr>
        <w:t>.</w:t>
      </w:r>
      <w:r w:rsidRPr="003337F3">
        <w:rPr>
          <w:szCs w:val="18"/>
        </w:rPr>
        <w:t>wipo</w:t>
      </w:r>
      <w:r w:rsidRPr="003337F3">
        <w:rPr>
          <w:szCs w:val="18"/>
          <w:lang w:val="ru-RU"/>
        </w:rPr>
        <w:t>.</w:t>
      </w:r>
      <w:r w:rsidRPr="003337F3">
        <w:rPr>
          <w:szCs w:val="18"/>
        </w:rPr>
        <w:t>int</w:t>
      </w:r>
      <w:r w:rsidRPr="003337F3">
        <w:rPr>
          <w:szCs w:val="18"/>
          <w:lang w:val="ru-RU"/>
        </w:rPr>
        <w:t>/</w:t>
      </w:r>
      <w:r w:rsidRPr="003337F3">
        <w:rPr>
          <w:szCs w:val="18"/>
        </w:rPr>
        <w:t>amc</w:t>
      </w:r>
      <w:r w:rsidRPr="003337F3">
        <w:rPr>
          <w:szCs w:val="18"/>
          <w:lang w:val="ru-RU"/>
        </w:rPr>
        <w:t>/</w:t>
      </w:r>
      <w:r w:rsidRPr="003337F3">
        <w:rPr>
          <w:szCs w:val="18"/>
        </w:rPr>
        <w:t>en</w:t>
      </w:r>
      <w:r w:rsidRPr="003337F3">
        <w:rPr>
          <w:szCs w:val="18"/>
          <w:lang w:val="ru-RU"/>
        </w:rPr>
        <w:t>/</w:t>
      </w:r>
      <w:r w:rsidRPr="003337F3">
        <w:rPr>
          <w:szCs w:val="18"/>
        </w:rPr>
        <w:t>docs</w:t>
      </w:r>
      <w:r w:rsidRPr="003337F3">
        <w:rPr>
          <w:szCs w:val="18"/>
          <w:lang w:val="ru-RU"/>
        </w:rPr>
        <w:t>/</w:t>
      </w:r>
      <w:r w:rsidRPr="003337F3">
        <w:rPr>
          <w:szCs w:val="18"/>
        </w:rPr>
        <w:t>icann</w:t>
      </w:r>
      <w:r w:rsidRPr="003337F3">
        <w:rPr>
          <w:szCs w:val="18"/>
          <w:lang w:val="ru-RU"/>
        </w:rPr>
        <w:t>021210.</w:t>
      </w:r>
      <w:r w:rsidRPr="003337F3">
        <w:rPr>
          <w:szCs w:val="18"/>
        </w:rPr>
        <w:t>pdf</w:t>
      </w:r>
      <w:r w:rsidRPr="003337F3">
        <w:rPr>
          <w:szCs w:val="18"/>
          <w:lang w:val="ru-RU"/>
        </w:rPr>
        <w:t xml:space="preserve">. </w:t>
      </w:r>
    </w:p>
  </w:footnote>
  <w:footnote w:id="47">
    <w:p w:rsidR="002D49EB" w:rsidRPr="00EC6362" w:rsidRDefault="002D49EB" w:rsidP="00263C54">
      <w:pPr>
        <w:pStyle w:val="FootnoteText"/>
        <w:rPr>
          <w:szCs w:val="18"/>
          <w:lang w:val="ru-RU"/>
        </w:rPr>
      </w:pPr>
      <w:r w:rsidRPr="003337F3">
        <w:rPr>
          <w:rStyle w:val="FootnoteReference"/>
        </w:rPr>
        <w:footnoteRef/>
      </w:r>
      <w:r w:rsidRPr="00EC6362">
        <w:rPr>
          <w:rStyle w:val="FootnoteReference"/>
          <w:lang w:val="ru-RU"/>
        </w:rPr>
        <w:t xml:space="preserve"> </w:t>
      </w:r>
      <w:r w:rsidRPr="00EC6362">
        <w:rPr>
          <w:szCs w:val="18"/>
          <w:lang w:val="ru-RU"/>
        </w:rPr>
        <w:tab/>
      </w:r>
      <w:r w:rsidRPr="003337F3">
        <w:rPr>
          <w:szCs w:val="18"/>
          <w:lang w:val="ru-RU"/>
        </w:rPr>
        <w:t xml:space="preserve">Вопрос аккредитации провайдеров услуг вызывает обеспокоенность по поводу стабильности МОП; ВОИС поднимала этот вопрос в контексте ЕПУС еще в 2007 г. (см. </w:t>
      </w:r>
      <w:r w:rsidRPr="003337F3">
        <w:rPr>
          <w:szCs w:val="18"/>
        </w:rPr>
        <w:t>http</w:t>
      </w:r>
      <w:r w:rsidRPr="003337F3">
        <w:rPr>
          <w:szCs w:val="18"/>
          <w:lang w:val="ru-RU"/>
        </w:rPr>
        <w:t>://</w:t>
      </w:r>
      <w:r w:rsidRPr="003337F3">
        <w:rPr>
          <w:szCs w:val="18"/>
        </w:rPr>
        <w:t>www</w:t>
      </w:r>
      <w:r w:rsidRPr="003337F3">
        <w:rPr>
          <w:szCs w:val="18"/>
          <w:lang w:val="ru-RU"/>
        </w:rPr>
        <w:t>.</w:t>
      </w:r>
      <w:r w:rsidRPr="003337F3">
        <w:rPr>
          <w:szCs w:val="18"/>
        </w:rPr>
        <w:t>wipo</w:t>
      </w:r>
      <w:r w:rsidRPr="003337F3">
        <w:rPr>
          <w:szCs w:val="18"/>
          <w:lang w:val="ru-RU"/>
        </w:rPr>
        <w:t>.</w:t>
      </w:r>
      <w:r w:rsidRPr="003337F3">
        <w:rPr>
          <w:szCs w:val="18"/>
        </w:rPr>
        <w:t>int</w:t>
      </w:r>
      <w:r w:rsidRPr="003337F3">
        <w:rPr>
          <w:szCs w:val="18"/>
          <w:lang w:val="ru-RU"/>
        </w:rPr>
        <w:t>/</w:t>
      </w:r>
      <w:r w:rsidRPr="003337F3">
        <w:rPr>
          <w:szCs w:val="18"/>
        </w:rPr>
        <w:t>amc</w:t>
      </w:r>
      <w:r w:rsidRPr="003337F3">
        <w:rPr>
          <w:szCs w:val="18"/>
          <w:lang w:val="ru-RU"/>
        </w:rPr>
        <w:t>/</w:t>
      </w:r>
      <w:r w:rsidRPr="003337F3">
        <w:rPr>
          <w:szCs w:val="18"/>
        </w:rPr>
        <w:t>en</w:t>
      </w:r>
      <w:r w:rsidRPr="003337F3">
        <w:rPr>
          <w:szCs w:val="18"/>
          <w:lang w:val="ru-RU"/>
        </w:rPr>
        <w:t>/</w:t>
      </w:r>
      <w:r w:rsidRPr="003337F3">
        <w:rPr>
          <w:szCs w:val="18"/>
        </w:rPr>
        <w:t>docs</w:t>
      </w:r>
      <w:r w:rsidRPr="003337F3">
        <w:rPr>
          <w:szCs w:val="18"/>
          <w:lang w:val="ru-RU"/>
        </w:rPr>
        <w:t>/</w:t>
      </w:r>
      <w:r w:rsidRPr="003337F3">
        <w:rPr>
          <w:szCs w:val="18"/>
        </w:rPr>
        <w:t>icann</w:t>
      </w:r>
      <w:r w:rsidRPr="003337F3">
        <w:rPr>
          <w:szCs w:val="18"/>
          <w:lang w:val="ru-RU"/>
        </w:rPr>
        <w:t>040707.</w:t>
      </w:r>
      <w:r w:rsidRPr="003337F3">
        <w:rPr>
          <w:szCs w:val="18"/>
        </w:rPr>
        <w:t>pdf</w:t>
      </w:r>
      <w:r w:rsidRPr="003337F3">
        <w:rPr>
          <w:szCs w:val="18"/>
          <w:lang w:val="ru-RU"/>
        </w:rPr>
        <w:t>).</w:t>
      </w:r>
    </w:p>
  </w:footnote>
  <w:footnote w:id="48">
    <w:p w:rsidR="002D49EB" w:rsidRPr="00EC6362" w:rsidRDefault="002D49EB" w:rsidP="00263C54">
      <w:pPr>
        <w:pStyle w:val="FootnoteText"/>
        <w:rPr>
          <w:szCs w:val="18"/>
          <w:lang w:val="ru-RU"/>
        </w:rPr>
      </w:pPr>
      <w:r w:rsidRPr="003337F3">
        <w:rPr>
          <w:rStyle w:val="FootnoteReference"/>
        </w:rPr>
        <w:footnoteRef/>
      </w:r>
      <w:r w:rsidRPr="00EC6362">
        <w:rPr>
          <w:rStyle w:val="FootnoteReference"/>
          <w:lang w:val="ru-RU"/>
        </w:rPr>
        <w:t xml:space="preserve"> </w:t>
      </w:r>
      <w:r w:rsidRPr="00EC6362">
        <w:rPr>
          <w:szCs w:val="18"/>
          <w:lang w:val="ru-RU"/>
        </w:rPr>
        <w:tab/>
      </w:r>
      <w:r w:rsidRPr="003337F3">
        <w:rPr>
          <w:szCs w:val="18"/>
          <w:lang w:val="ru-RU"/>
        </w:rPr>
        <w:t xml:space="preserve">См. </w:t>
      </w:r>
      <w:r w:rsidRPr="003337F3">
        <w:rPr>
          <w:szCs w:val="18"/>
        </w:rPr>
        <w:t>https</w:t>
      </w:r>
      <w:r w:rsidRPr="003337F3">
        <w:rPr>
          <w:szCs w:val="18"/>
          <w:lang w:val="ru-RU"/>
        </w:rPr>
        <w:t>://</w:t>
      </w:r>
      <w:r w:rsidRPr="003337F3">
        <w:rPr>
          <w:szCs w:val="18"/>
        </w:rPr>
        <w:t>community</w:t>
      </w:r>
      <w:r w:rsidRPr="003337F3">
        <w:rPr>
          <w:szCs w:val="18"/>
          <w:lang w:val="ru-RU"/>
        </w:rPr>
        <w:t>.</w:t>
      </w:r>
      <w:r w:rsidRPr="003337F3">
        <w:rPr>
          <w:szCs w:val="18"/>
        </w:rPr>
        <w:t>icann</w:t>
      </w:r>
      <w:r w:rsidRPr="003337F3">
        <w:rPr>
          <w:szCs w:val="18"/>
          <w:lang w:val="ru-RU"/>
        </w:rPr>
        <w:t>.</w:t>
      </w:r>
      <w:r w:rsidRPr="003337F3">
        <w:rPr>
          <w:szCs w:val="18"/>
        </w:rPr>
        <w:t>org</w:t>
      </w:r>
      <w:r w:rsidRPr="003337F3">
        <w:rPr>
          <w:szCs w:val="18"/>
          <w:lang w:val="ru-RU"/>
        </w:rPr>
        <w:t>/</w:t>
      </w:r>
      <w:r w:rsidRPr="003337F3">
        <w:rPr>
          <w:szCs w:val="18"/>
        </w:rPr>
        <w:t>display</w:t>
      </w:r>
      <w:r w:rsidRPr="003337F3">
        <w:rPr>
          <w:szCs w:val="18"/>
          <w:lang w:val="ru-RU"/>
        </w:rPr>
        <w:t>/</w:t>
      </w:r>
      <w:r w:rsidRPr="003337F3">
        <w:rPr>
          <w:szCs w:val="18"/>
        </w:rPr>
        <w:t>gnsoudrpdt</w:t>
      </w:r>
      <w:r w:rsidRPr="003337F3">
        <w:rPr>
          <w:szCs w:val="18"/>
          <w:lang w:val="ru-RU"/>
        </w:rPr>
        <w:t>/</w:t>
      </w:r>
      <w:r w:rsidRPr="003337F3">
        <w:rPr>
          <w:szCs w:val="18"/>
        </w:rPr>
        <w:t>Webinar</w:t>
      </w:r>
      <w:r w:rsidRPr="003337F3">
        <w:rPr>
          <w:szCs w:val="18"/>
          <w:lang w:val="ru-RU"/>
        </w:rPr>
        <w:t>+</w:t>
      </w:r>
      <w:r w:rsidRPr="003337F3">
        <w:rPr>
          <w:szCs w:val="18"/>
        </w:rPr>
        <w:t>on</w:t>
      </w:r>
      <w:r w:rsidRPr="003337F3">
        <w:rPr>
          <w:szCs w:val="18"/>
          <w:lang w:val="ru-RU"/>
        </w:rPr>
        <w:t>+</w:t>
      </w:r>
      <w:r w:rsidRPr="003337F3">
        <w:rPr>
          <w:szCs w:val="18"/>
        </w:rPr>
        <w:t>the</w:t>
      </w:r>
      <w:r w:rsidRPr="003337F3">
        <w:rPr>
          <w:szCs w:val="18"/>
          <w:lang w:val="ru-RU"/>
        </w:rPr>
        <w:t>+</w:t>
      </w:r>
      <w:r w:rsidRPr="003337F3">
        <w:rPr>
          <w:szCs w:val="18"/>
        </w:rPr>
        <w:t>Current</w:t>
      </w:r>
      <w:r w:rsidRPr="003337F3">
        <w:rPr>
          <w:szCs w:val="18"/>
          <w:lang w:val="ru-RU"/>
        </w:rPr>
        <w:t>+</w:t>
      </w:r>
      <w:r w:rsidRPr="003337F3">
        <w:rPr>
          <w:szCs w:val="18"/>
        </w:rPr>
        <w:t>State</w:t>
      </w:r>
      <w:r w:rsidRPr="003337F3">
        <w:rPr>
          <w:szCs w:val="18"/>
          <w:lang w:val="ru-RU"/>
        </w:rPr>
        <w:t>+</w:t>
      </w:r>
      <w:r w:rsidRPr="003337F3">
        <w:rPr>
          <w:szCs w:val="18"/>
        </w:rPr>
        <w:t>of</w:t>
      </w:r>
      <w:r w:rsidRPr="003337F3">
        <w:rPr>
          <w:szCs w:val="18"/>
          <w:lang w:val="ru-RU"/>
        </w:rPr>
        <w:t>+</w:t>
      </w:r>
      <w:r w:rsidRPr="003337F3">
        <w:rPr>
          <w:szCs w:val="18"/>
        </w:rPr>
        <w:t>the</w:t>
      </w:r>
      <w:r w:rsidRPr="003337F3">
        <w:rPr>
          <w:szCs w:val="18"/>
          <w:lang w:val="ru-RU"/>
        </w:rPr>
        <w:t>+</w:t>
      </w:r>
      <w:r w:rsidRPr="003337F3">
        <w:rPr>
          <w:szCs w:val="18"/>
        </w:rPr>
        <w:t>UDRP</w:t>
      </w:r>
      <w:r w:rsidRPr="003337F3">
        <w:rPr>
          <w:szCs w:val="18"/>
          <w:lang w:val="ru-RU"/>
        </w:rPr>
        <w:t xml:space="preserve">; см. также пункт 31 документа </w:t>
      </w:r>
      <w:r w:rsidRPr="003337F3">
        <w:rPr>
          <w:szCs w:val="18"/>
        </w:rPr>
        <w:t>WO</w:t>
      </w:r>
      <w:r w:rsidRPr="003337F3">
        <w:rPr>
          <w:szCs w:val="18"/>
          <w:lang w:val="ru-RU"/>
        </w:rPr>
        <w:t>/</w:t>
      </w:r>
      <w:r w:rsidRPr="003337F3">
        <w:rPr>
          <w:szCs w:val="18"/>
        </w:rPr>
        <w:t>GA</w:t>
      </w:r>
      <w:r w:rsidRPr="003337F3">
        <w:rPr>
          <w:szCs w:val="18"/>
          <w:lang w:val="ru-RU"/>
        </w:rPr>
        <w:t>/39/10, где представлена более общая информация по данному вопросу.</w:t>
      </w:r>
    </w:p>
  </w:footnote>
  <w:footnote w:id="49">
    <w:p w:rsidR="002D49EB" w:rsidRPr="00EC6362" w:rsidRDefault="002D49EB" w:rsidP="00263C54">
      <w:pPr>
        <w:pStyle w:val="FootnoteText"/>
        <w:tabs>
          <w:tab w:val="left" w:pos="567"/>
        </w:tabs>
        <w:rPr>
          <w:lang w:val="ru-RU"/>
        </w:rPr>
      </w:pPr>
      <w:r w:rsidRPr="003337F3">
        <w:rPr>
          <w:rStyle w:val="FootnoteReference"/>
        </w:rPr>
        <w:footnoteRef/>
      </w:r>
      <w:r w:rsidRPr="00EC6362">
        <w:rPr>
          <w:lang w:val="ru-RU"/>
        </w:rPr>
        <w:t xml:space="preserve"> </w:t>
      </w:r>
      <w:r w:rsidRPr="00EC6362">
        <w:rPr>
          <w:lang w:val="ru-RU"/>
        </w:rPr>
        <w:tab/>
      </w:r>
      <w:r w:rsidRPr="003337F3">
        <w:rPr>
          <w:lang w:val="ru-RU"/>
        </w:rPr>
        <w:t>См.</w:t>
      </w:r>
      <w:r w:rsidRPr="00EC6362">
        <w:rPr>
          <w:lang w:val="ru-RU"/>
        </w:rPr>
        <w:t xml:space="preserve"> </w:t>
      </w:r>
      <w:r w:rsidRPr="003337F3">
        <w:t>http</w:t>
      </w:r>
      <w:r w:rsidRPr="00EC6362">
        <w:rPr>
          <w:lang w:val="ru-RU"/>
        </w:rPr>
        <w:t>://</w:t>
      </w:r>
      <w:r w:rsidRPr="003337F3">
        <w:t>gnso</w:t>
      </w:r>
      <w:r w:rsidRPr="00EC6362">
        <w:rPr>
          <w:lang w:val="ru-RU"/>
        </w:rPr>
        <w:t>.</w:t>
      </w:r>
      <w:r w:rsidRPr="003337F3">
        <w:t>icann</w:t>
      </w:r>
      <w:r w:rsidRPr="00EC6362">
        <w:rPr>
          <w:lang w:val="ru-RU"/>
        </w:rPr>
        <w:t>.</w:t>
      </w:r>
      <w:r w:rsidRPr="003337F3">
        <w:t>org</w:t>
      </w:r>
      <w:r w:rsidRPr="00EC6362">
        <w:rPr>
          <w:lang w:val="ru-RU"/>
        </w:rPr>
        <w:t>/</w:t>
      </w:r>
      <w:r w:rsidRPr="003337F3">
        <w:t>en</w:t>
      </w:r>
      <w:r w:rsidRPr="00EC6362">
        <w:rPr>
          <w:lang w:val="ru-RU"/>
        </w:rPr>
        <w:t>/</w:t>
      </w:r>
      <w:r w:rsidRPr="003337F3">
        <w:t>issues</w:t>
      </w:r>
      <w:r w:rsidRPr="00EC6362">
        <w:rPr>
          <w:lang w:val="ru-RU"/>
        </w:rPr>
        <w:t>/</w:t>
      </w:r>
      <w:r w:rsidRPr="003337F3">
        <w:t>new</w:t>
      </w:r>
      <w:r w:rsidRPr="00EC6362">
        <w:rPr>
          <w:lang w:val="ru-RU"/>
        </w:rPr>
        <w:t>-</w:t>
      </w:r>
      <w:r w:rsidRPr="003337F3">
        <w:t>gtlds</w:t>
      </w:r>
      <w:r w:rsidRPr="00EC6362">
        <w:rPr>
          <w:lang w:val="ru-RU"/>
        </w:rPr>
        <w:t>/</w:t>
      </w:r>
      <w:r w:rsidRPr="003337F3">
        <w:t>rpm</w:t>
      </w:r>
      <w:r w:rsidRPr="00EC6362">
        <w:rPr>
          <w:lang w:val="ru-RU"/>
        </w:rPr>
        <w:t>-</w:t>
      </w:r>
      <w:r w:rsidRPr="003337F3">
        <w:t>prelim</w:t>
      </w:r>
      <w:r w:rsidRPr="00EC6362">
        <w:rPr>
          <w:lang w:val="ru-RU"/>
        </w:rPr>
        <w:t>-</w:t>
      </w:r>
      <w:r w:rsidRPr="003337F3">
        <w:t>issue</w:t>
      </w:r>
      <w:r w:rsidRPr="00EC6362">
        <w:rPr>
          <w:lang w:val="ru-RU"/>
        </w:rPr>
        <w:t>-09</w:t>
      </w:r>
      <w:r w:rsidRPr="003337F3">
        <w:t>oct</w:t>
      </w:r>
      <w:r w:rsidRPr="00EC6362">
        <w:rPr>
          <w:lang w:val="ru-RU"/>
        </w:rPr>
        <w:t>15-</w:t>
      </w:r>
      <w:r w:rsidRPr="003337F3">
        <w:t>en</w:t>
      </w:r>
      <w:r w:rsidRPr="00EC6362">
        <w:rPr>
          <w:lang w:val="ru-RU"/>
        </w:rPr>
        <w:t>.</w:t>
      </w:r>
      <w:r w:rsidRPr="003337F3">
        <w:t>pdf</w:t>
      </w:r>
      <w:r w:rsidRPr="00EC6362">
        <w:rPr>
          <w:lang w:val="ru-RU"/>
        </w:rPr>
        <w:t>.</w:t>
      </w:r>
    </w:p>
  </w:footnote>
  <w:footnote w:id="50">
    <w:p w:rsidR="002D49EB" w:rsidRPr="00EC6362" w:rsidRDefault="002D49EB" w:rsidP="00263C54">
      <w:pPr>
        <w:pStyle w:val="FootnoteText"/>
        <w:tabs>
          <w:tab w:val="left" w:pos="567"/>
        </w:tabs>
        <w:rPr>
          <w:lang w:val="ru-RU"/>
        </w:rPr>
      </w:pPr>
      <w:r w:rsidRPr="003337F3">
        <w:rPr>
          <w:rStyle w:val="FootnoteReference"/>
        </w:rPr>
        <w:footnoteRef/>
      </w:r>
      <w:r w:rsidRPr="00EC6362">
        <w:rPr>
          <w:lang w:val="ru-RU"/>
        </w:rPr>
        <w:t xml:space="preserve"> </w:t>
      </w:r>
      <w:r w:rsidRPr="00EC6362">
        <w:rPr>
          <w:lang w:val="ru-RU"/>
        </w:rPr>
        <w:tab/>
      </w:r>
      <w:r w:rsidRPr="003337F3">
        <w:rPr>
          <w:lang w:val="ru-RU"/>
        </w:rPr>
        <w:t>См.</w:t>
      </w:r>
      <w:r w:rsidRPr="00EC6362">
        <w:rPr>
          <w:lang w:val="ru-RU"/>
        </w:rPr>
        <w:t xml:space="preserve"> </w:t>
      </w:r>
      <w:r w:rsidRPr="003337F3">
        <w:t>https</w:t>
      </w:r>
      <w:r w:rsidRPr="00EC6362">
        <w:rPr>
          <w:lang w:val="ru-RU"/>
        </w:rPr>
        <w:t>://</w:t>
      </w:r>
      <w:r w:rsidRPr="003337F3">
        <w:t>gnso</w:t>
      </w:r>
      <w:r w:rsidRPr="00EC6362">
        <w:rPr>
          <w:lang w:val="ru-RU"/>
        </w:rPr>
        <w:t>.</w:t>
      </w:r>
      <w:r w:rsidRPr="003337F3">
        <w:t>icann</w:t>
      </w:r>
      <w:r w:rsidRPr="00EC6362">
        <w:rPr>
          <w:lang w:val="ru-RU"/>
        </w:rPr>
        <w:t>.</w:t>
      </w:r>
      <w:r w:rsidRPr="003337F3">
        <w:t>org</w:t>
      </w:r>
      <w:r w:rsidRPr="00EC6362">
        <w:rPr>
          <w:lang w:val="ru-RU"/>
        </w:rPr>
        <w:t>/</w:t>
      </w:r>
      <w:r w:rsidRPr="003337F3">
        <w:t>en</w:t>
      </w:r>
      <w:r w:rsidRPr="00EC6362">
        <w:rPr>
          <w:lang w:val="ru-RU"/>
        </w:rPr>
        <w:t>/</w:t>
      </w:r>
      <w:r w:rsidRPr="003337F3">
        <w:t>issues</w:t>
      </w:r>
      <w:r w:rsidRPr="00EC6362">
        <w:rPr>
          <w:lang w:val="ru-RU"/>
        </w:rPr>
        <w:t>/</w:t>
      </w:r>
      <w:r w:rsidRPr="003337F3">
        <w:t>new</w:t>
      </w:r>
      <w:r w:rsidRPr="00EC6362">
        <w:rPr>
          <w:lang w:val="ru-RU"/>
        </w:rPr>
        <w:t>-</w:t>
      </w:r>
      <w:r w:rsidRPr="003337F3">
        <w:t>gtlds</w:t>
      </w:r>
      <w:r w:rsidRPr="00EC6362">
        <w:rPr>
          <w:lang w:val="ru-RU"/>
        </w:rPr>
        <w:t>/</w:t>
      </w:r>
      <w:r w:rsidRPr="003337F3">
        <w:t>rpm</w:t>
      </w:r>
      <w:r w:rsidRPr="00EC6362">
        <w:rPr>
          <w:lang w:val="ru-RU"/>
        </w:rPr>
        <w:t>-</w:t>
      </w:r>
      <w:r w:rsidRPr="003337F3">
        <w:t>final</w:t>
      </w:r>
      <w:r w:rsidRPr="00EC6362">
        <w:rPr>
          <w:lang w:val="ru-RU"/>
        </w:rPr>
        <w:t>-</w:t>
      </w:r>
      <w:r w:rsidRPr="003337F3">
        <w:t>issue</w:t>
      </w:r>
      <w:r w:rsidRPr="00EC6362">
        <w:rPr>
          <w:lang w:val="ru-RU"/>
        </w:rPr>
        <w:t>-11</w:t>
      </w:r>
      <w:r w:rsidRPr="003337F3">
        <w:t>jan</w:t>
      </w:r>
      <w:r w:rsidRPr="00EC6362">
        <w:rPr>
          <w:lang w:val="ru-RU"/>
        </w:rPr>
        <w:t>16-</w:t>
      </w:r>
      <w:r w:rsidRPr="003337F3">
        <w:t>en</w:t>
      </w:r>
      <w:r w:rsidRPr="00EC6362">
        <w:rPr>
          <w:lang w:val="ru-RU"/>
        </w:rPr>
        <w:t>.</w:t>
      </w:r>
      <w:r w:rsidRPr="003337F3">
        <w:t>pdf</w:t>
      </w:r>
      <w:r w:rsidRPr="00EC6362">
        <w:rPr>
          <w:lang w:val="ru-RU"/>
        </w:rPr>
        <w:t>.</w:t>
      </w:r>
    </w:p>
  </w:footnote>
  <w:footnote w:id="51">
    <w:p w:rsidR="002D49EB" w:rsidRPr="00EC6362" w:rsidRDefault="002D49EB" w:rsidP="00263C54">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См.</w:t>
      </w:r>
      <w:r w:rsidRPr="00EC6362">
        <w:rPr>
          <w:lang w:val="ru-RU"/>
        </w:rPr>
        <w:t xml:space="preserve"> </w:t>
      </w:r>
      <w:r w:rsidRPr="003337F3">
        <w:t>https</w:t>
      </w:r>
      <w:r w:rsidRPr="00EC6362">
        <w:rPr>
          <w:lang w:val="ru-RU"/>
        </w:rPr>
        <w:t>://</w:t>
      </w:r>
      <w:r w:rsidRPr="003337F3">
        <w:t>www</w:t>
      </w:r>
      <w:r w:rsidRPr="00EC6362">
        <w:rPr>
          <w:lang w:val="ru-RU"/>
        </w:rPr>
        <w:t>.</w:t>
      </w:r>
      <w:r w:rsidRPr="003337F3">
        <w:t>icann</w:t>
      </w:r>
      <w:r w:rsidRPr="00EC6362">
        <w:rPr>
          <w:lang w:val="ru-RU"/>
        </w:rPr>
        <w:t>.</w:t>
      </w:r>
      <w:r w:rsidRPr="003337F3">
        <w:t>org</w:t>
      </w:r>
      <w:r w:rsidRPr="00EC6362">
        <w:rPr>
          <w:lang w:val="ru-RU"/>
        </w:rPr>
        <w:t>/</w:t>
      </w:r>
      <w:r w:rsidRPr="003337F3">
        <w:t>resources</w:t>
      </w:r>
      <w:r w:rsidRPr="00EC6362">
        <w:rPr>
          <w:lang w:val="ru-RU"/>
        </w:rPr>
        <w:t>/</w:t>
      </w:r>
      <w:r w:rsidRPr="003337F3">
        <w:t>pages</w:t>
      </w:r>
      <w:r w:rsidRPr="00EC6362">
        <w:rPr>
          <w:lang w:val="ru-RU"/>
        </w:rPr>
        <w:t>/</w:t>
      </w:r>
      <w:r w:rsidRPr="003337F3">
        <w:t>gtld</w:t>
      </w:r>
      <w:r w:rsidRPr="00EC6362">
        <w:rPr>
          <w:lang w:val="ru-RU"/>
        </w:rPr>
        <w:t>-</w:t>
      </w:r>
      <w:r w:rsidRPr="003337F3">
        <w:t>registration</w:t>
      </w:r>
      <w:r w:rsidRPr="00EC6362">
        <w:rPr>
          <w:lang w:val="ru-RU"/>
        </w:rPr>
        <w:t>-</w:t>
      </w:r>
      <w:r w:rsidRPr="003337F3">
        <w:t>data</w:t>
      </w:r>
      <w:r w:rsidRPr="00EC6362">
        <w:rPr>
          <w:lang w:val="ru-RU"/>
        </w:rPr>
        <w:t>-</w:t>
      </w:r>
      <w:r w:rsidRPr="003337F3">
        <w:t>specs</w:t>
      </w:r>
      <w:r w:rsidRPr="00EC6362">
        <w:rPr>
          <w:lang w:val="ru-RU"/>
        </w:rPr>
        <w:t>-</w:t>
      </w:r>
      <w:r w:rsidRPr="003337F3">
        <w:t>en</w:t>
      </w:r>
      <w:r w:rsidRPr="00EC6362">
        <w:rPr>
          <w:lang w:val="ru-RU"/>
        </w:rPr>
        <w:t xml:space="preserve">, </w:t>
      </w:r>
      <w:r w:rsidRPr="003337F3">
        <w:rPr>
          <w:lang w:val="ru-RU"/>
        </w:rPr>
        <w:t xml:space="preserve">Приложение </w:t>
      </w:r>
      <w:r w:rsidRPr="003337F3">
        <w:t>F</w:t>
      </w:r>
      <w:r w:rsidRPr="00EC6362">
        <w:rPr>
          <w:lang w:val="ru-RU"/>
        </w:rPr>
        <w:t xml:space="preserve">. </w:t>
      </w:r>
    </w:p>
  </w:footnote>
  <w:footnote w:id="52">
    <w:p w:rsidR="002D49EB" w:rsidRPr="00EC6362" w:rsidRDefault="002D49EB" w:rsidP="00263C54">
      <w:pPr>
        <w:pStyle w:val="FootnoteText"/>
        <w:rPr>
          <w:lang w:val="ru-RU"/>
        </w:rPr>
      </w:pPr>
      <w:r w:rsidRPr="003337F3">
        <w:rPr>
          <w:rStyle w:val="FootnoteReference"/>
        </w:rPr>
        <w:footnoteRef/>
      </w:r>
      <w:r w:rsidRPr="00EC6362">
        <w:rPr>
          <w:lang w:val="ru-RU"/>
        </w:rPr>
        <w:t xml:space="preserve"> </w:t>
      </w:r>
      <w:r w:rsidRPr="00EC6362">
        <w:rPr>
          <w:lang w:val="ru-RU"/>
        </w:rPr>
        <w:tab/>
      </w:r>
      <w:r w:rsidR="00222C8C" w:rsidRPr="003337F3">
        <w:rPr>
          <w:lang w:val="ru-RU"/>
        </w:rPr>
        <w:t xml:space="preserve">См. </w:t>
      </w:r>
      <w:r w:rsidRPr="003337F3">
        <w:t>https</w:t>
      </w:r>
      <w:r w:rsidRPr="00EC6362">
        <w:rPr>
          <w:lang w:val="ru-RU"/>
        </w:rPr>
        <w:t>://</w:t>
      </w:r>
      <w:r w:rsidRPr="003337F3">
        <w:t>www</w:t>
      </w:r>
      <w:r w:rsidRPr="00EC6362">
        <w:rPr>
          <w:lang w:val="ru-RU"/>
        </w:rPr>
        <w:t>.</w:t>
      </w:r>
      <w:r w:rsidRPr="003337F3">
        <w:t>icann</w:t>
      </w:r>
      <w:r w:rsidRPr="00EC6362">
        <w:rPr>
          <w:lang w:val="ru-RU"/>
        </w:rPr>
        <w:t>.</w:t>
      </w:r>
      <w:r w:rsidRPr="003337F3">
        <w:t>org</w:t>
      </w:r>
      <w:r w:rsidRPr="00EC6362">
        <w:rPr>
          <w:lang w:val="ru-RU"/>
        </w:rPr>
        <w:t>/</w:t>
      </w:r>
      <w:r w:rsidRPr="003337F3">
        <w:t>en</w:t>
      </w:r>
      <w:r w:rsidRPr="00EC6362">
        <w:rPr>
          <w:lang w:val="ru-RU"/>
        </w:rPr>
        <w:t>/</w:t>
      </w:r>
      <w:r w:rsidRPr="003337F3">
        <w:t>system</w:t>
      </w:r>
      <w:r w:rsidRPr="00EC6362">
        <w:rPr>
          <w:lang w:val="ru-RU"/>
        </w:rPr>
        <w:t>/</w:t>
      </w:r>
      <w:r w:rsidRPr="003337F3">
        <w:t>files</w:t>
      </w:r>
      <w:r w:rsidRPr="00EC6362">
        <w:rPr>
          <w:lang w:val="ru-RU"/>
        </w:rPr>
        <w:t>/</w:t>
      </w:r>
      <w:r w:rsidRPr="003337F3">
        <w:t>files</w:t>
      </w:r>
      <w:r w:rsidRPr="00EC6362">
        <w:rPr>
          <w:lang w:val="ru-RU"/>
        </w:rPr>
        <w:t>/</w:t>
      </w:r>
      <w:r w:rsidRPr="003337F3">
        <w:t>framework</w:t>
      </w:r>
      <w:r w:rsidRPr="00EC6362">
        <w:rPr>
          <w:lang w:val="ru-RU"/>
        </w:rPr>
        <w:t>-</w:t>
      </w:r>
      <w:r w:rsidRPr="003337F3">
        <w:t>elements</w:t>
      </w:r>
      <w:r w:rsidRPr="00EC6362">
        <w:rPr>
          <w:lang w:val="ru-RU"/>
        </w:rPr>
        <w:t>-</w:t>
      </w:r>
      <w:r w:rsidRPr="003337F3">
        <w:t>unified</w:t>
      </w:r>
      <w:r w:rsidRPr="00EC6362">
        <w:rPr>
          <w:lang w:val="ru-RU"/>
        </w:rPr>
        <w:t>-</w:t>
      </w:r>
      <w:r w:rsidRPr="003337F3">
        <w:t>access</w:t>
      </w:r>
      <w:r w:rsidRPr="00EC6362">
        <w:rPr>
          <w:lang w:val="ru-RU"/>
        </w:rPr>
        <w:t>-</w:t>
      </w:r>
      <w:r w:rsidRPr="003337F3">
        <w:t>model</w:t>
      </w:r>
      <w:r w:rsidRPr="00EC6362">
        <w:rPr>
          <w:lang w:val="ru-RU"/>
        </w:rPr>
        <w:t>-</w:t>
      </w:r>
      <w:r w:rsidRPr="003337F3">
        <w:t>for</w:t>
      </w:r>
      <w:r w:rsidRPr="00EC6362">
        <w:rPr>
          <w:lang w:val="ru-RU"/>
        </w:rPr>
        <w:t>-</w:t>
      </w:r>
      <w:r w:rsidRPr="003337F3">
        <w:t>discussion</w:t>
      </w:r>
      <w:r w:rsidRPr="00EC6362">
        <w:rPr>
          <w:lang w:val="ru-RU"/>
        </w:rPr>
        <w:t>-18</w:t>
      </w:r>
      <w:r w:rsidRPr="003337F3">
        <w:t>jun</w:t>
      </w:r>
      <w:r w:rsidRPr="00EC6362">
        <w:rPr>
          <w:lang w:val="ru-RU"/>
        </w:rPr>
        <w:t>18-</w:t>
      </w:r>
      <w:r w:rsidRPr="003337F3">
        <w:t>en</w:t>
      </w:r>
      <w:r w:rsidRPr="00EC6362">
        <w:rPr>
          <w:lang w:val="ru-RU"/>
        </w:rPr>
        <w:t>.</w:t>
      </w:r>
      <w:r w:rsidRPr="003337F3">
        <w:t>pdf</w:t>
      </w:r>
      <w:r w:rsidRPr="00EC6362">
        <w:rPr>
          <w:lang w:val="ru-RU"/>
        </w:rPr>
        <w:t xml:space="preserve">. </w:t>
      </w:r>
      <w:r w:rsidR="00222C8C" w:rsidRPr="003337F3">
        <w:rPr>
          <w:lang w:val="ru-RU"/>
        </w:rPr>
        <w:t xml:space="preserve">См. также повестку дня совещания </w:t>
      </w:r>
      <w:r w:rsidRPr="003337F3">
        <w:t>ICANN</w:t>
      </w:r>
      <w:r w:rsidR="00222C8C" w:rsidRPr="003337F3">
        <w:rPr>
          <w:lang w:val="ru-RU"/>
        </w:rPr>
        <w:t>, состоявшегося в июне 2018 г., на следующей странице:</w:t>
      </w:r>
      <w:r w:rsidRPr="00EC6362">
        <w:rPr>
          <w:lang w:val="ru-RU"/>
        </w:rPr>
        <w:t xml:space="preserve"> </w:t>
      </w:r>
      <w:r w:rsidRPr="003337F3">
        <w:t>https</w:t>
      </w:r>
      <w:r w:rsidRPr="00EC6362">
        <w:rPr>
          <w:lang w:val="ru-RU"/>
        </w:rPr>
        <w:t>://62.</w:t>
      </w:r>
      <w:r w:rsidRPr="003337F3">
        <w:t>schedule</w:t>
      </w:r>
      <w:r w:rsidRPr="00EC6362">
        <w:rPr>
          <w:lang w:val="ru-RU"/>
        </w:rPr>
        <w:t>.</w:t>
      </w:r>
      <w:r w:rsidRPr="003337F3">
        <w:t>icann</w:t>
      </w:r>
      <w:r w:rsidRPr="00EC6362">
        <w:rPr>
          <w:lang w:val="ru-RU"/>
        </w:rPr>
        <w:t>.</w:t>
      </w:r>
      <w:r w:rsidRPr="003337F3">
        <w:t>org</w:t>
      </w:r>
      <w:r w:rsidRPr="00EC6362">
        <w:rPr>
          <w:lang w:val="ru-RU"/>
        </w:rPr>
        <w:t xml:space="preserve">/. </w:t>
      </w:r>
    </w:p>
  </w:footnote>
  <w:footnote w:id="53">
    <w:p w:rsidR="002D49EB" w:rsidRPr="00EC6362" w:rsidRDefault="002D49EB" w:rsidP="00263C54">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 xml:space="preserve">См. также </w:t>
      </w:r>
      <w:r w:rsidRPr="003337F3">
        <w:rPr>
          <w:szCs w:val="18"/>
          <w:lang w:val="ru-RU"/>
        </w:rPr>
        <w:t xml:space="preserve">Окончательный план </w:t>
      </w:r>
      <w:r w:rsidRPr="003337F3">
        <w:rPr>
          <w:szCs w:val="18"/>
        </w:rPr>
        <w:t>ICANN</w:t>
      </w:r>
      <w:r w:rsidRPr="003337F3">
        <w:rPr>
          <w:szCs w:val="18"/>
          <w:lang w:val="ru-RU"/>
        </w:rPr>
        <w:t xml:space="preserve"> по реализации ускоренного процесса введения </w:t>
      </w:r>
      <w:r w:rsidRPr="003337F3">
        <w:rPr>
          <w:szCs w:val="18"/>
        </w:rPr>
        <w:t>IDN</w:t>
      </w:r>
      <w:r w:rsidRPr="003337F3">
        <w:rPr>
          <w:szCs w:val="18"/>
          <w:lang w:val="ru-RU"/>
        </w:rPr>
        <w:t xml:space="preserve"> ксДВУ, опубликованный в ноябре 2009</w:t>
      </w:r>
      <w:r w:rsidRPr="003337F3">
        <w:rPr>
          <w:szCs w:val="18"/>
        </w:rPr>
        <w:t> </w:t>
      </w:r>
      <w:r w:rsidRPr="003337F3">
        <w:rPr>
          <w:szCs w:val="18"/>
          <w:lang w:val="ru-RU"/>
        </w:rPr>
        <w:t xml:space="preserve">г. (см. </w:t>
      </w:r>
      <w:r w:rsidRPr="003337F3">
        <w:rPr>
          <w:szCs w:val="18"/>
        </w:rPr>
        <w:t>http</w:t>
      </w:r>
      <w:r w:rsidRPr="003337F3">
        <w:rPr>
          <w:szCs w:val="18"/>
          <w:lang w:val="ru-RU"/>
        </w:rPr>
        <w:t>://</w:t>
      </w:r>
      <w:r w:rsidRPr="003337F3">
        <w:rPr>
          <w:szCs w:val="18"/>
        </w:rPr>
        <w:t>www</w:t>
      </w:r>
      <w:r w:rsidRPr="003337F3">
        <w:rPr>
          <w:szCs w:val="18"/>
          <w:lang w:val="ru-RU"/>
        </w:rPr>
        <w:t>.</w:t>
      </w:r>
      <w:r w:rsidRPr="003337F3">
        <w:rPr>
          <w:szCs w:val="18"/>
        </w:rPr>
        <w:t>icann</w:t>
      </w:r>
      <w:r w:rsidRPr="003337F3">
        <w:rPr>
          <w:szCs w:val="18"/>
          <w:lang w:val="ru-RU"/>
        </w:rPr>
        <w:t>.</w:t>
      </w:r>
      <w:r w:rsidRPr="003337F3">
        <w:rPr>
          <w:szCs w:val="18"/>
        </w:rPr>
        <w:t>org</w:t>
      </w:r>
      <w:r w:rsidRPr="003337F3">
        <w:rPr>
          <w:szCs w:val="18"/>
          <w:lang w:val="ru-RU"/>
        </w:rPr>
        <w:t>/</w:t>
      </w:r>
      <w:r w:rsidRPr="003337F3">
        <w:rPr>
          <w:szCs w:val="18"/>
        </w:rPr>
        <w:t>en</w:t>
      </w:r>
      <w:r w:rsidRPr="003337F3">
        <w:rPr>
          <w:szCs w:val="18"/>
          <w:lang w:val="ru-RU"/>
        </w:rPr>
        <w:t>/</w:t>
      </w:r>
      <w:r w:rsidRPr="003337F3">
        <w:rPr>
          <w:szCs w:val="18"/>
        </w:rPr>
        <w:t>topics</w:t>
      </w:r>
      <w:r w:rsidRPr="003337F3">
        <w:rPr>
          <w:szCs w:val="18"/>
          <w:lang w:val="ru-RU"/>
        </w:rPr>
        <w:t>/</w:t>
      </w:r>
      <w:r w:rsidRPr="003337F3">
        <w:rPr>
          <w:szCs w:val="18"/>
        </w:rPr>
        <w:t>idn</w:t>
      </w:r>
      <w:r w:rsidRPr="003337F3">
        <w:rPr>
          <w:szCs w:val="18"/>
          <w:lang w:val="ru-RU"/>
        </w:rPr>
        <w:t>/</w:t>
      </w:r>
      <w:r w:rsidRPr="003337F3">
        <w:rPr>
          <w:szCs w:val="18"/>
        </w:rPr>
        <w:t>fast</w:t>
      </w:r>
      <w:r w:rsidRPr="003337F3">
        <w:rPr>
          <w:szCs w:val="18"/>
          <w:lang w:val="ru-RU"/>
        </w:rPr>
        <w:noBreakHyphen/>
      </w:r>
      <w:r w:rsidRPr="003337F3">
        <w:rPr>
          <w:szCs w:val="18"/>
        </w:rPr>
        <w:t>track</w:t>
      </w:r>
      <w:r w:rsidRPr="003337F3">
        <w:rPr>
          <w:szCs w:val="18"/>
          <w:lang w:val="ru-RU"/>
        </w:rPr>
        <w:t>/</w:t>
      </w:r>
      <w:r w:rsidRPr="003337F3">
        <w:rPr>
          <w:szCs w:val="18"/>
        </w:rPr>
        <w:t>idn</w:t>
      </w:r>
      <w:r w:rsidRPr="003337F3">
        <w:rPr>
          <w:szCs w:val="18"/>
          <w:lang w:val="ru-RU"/>
        </w:rPr>
        <w:noBreakHyphen/>
      </w:r>
      <w:r w:rsidRPr="003337F3">
        <w:rPr>
          <w:szCs w:val="18"/>
        </w:rPr>
        <w:t>cctld</w:t>
      </w:r>
      <w:r w:rsidRPr="003337F3">
        <w:rPr>
          <w:szCs w:val="18"/>
          <w:lang w:val="ru-RU"/>
        </w:rPr>
        <w:noBreakHyphen/>
      </w:r>
      <w:r w:rsidRPr="003337F3">
        <w:rPr>
          <w:szCs w:val="18"/>
        </w:rPr>
        <w:t>implementation</w:t>
      </w:r>
      <w:r w:rsidRPr="003337F3">
        <w:rPr>
          <w:szCs w:val="18"/>
          <w:lang w:val="ru-RU"/>
        </w:rPr>
        <w:t>-</w:t>
      </w:r>
      <w:r w:rsidRPr="003337F3">
        <w:rPr>
          <w:szCs w:val="18"/>
        </w:rPr>
        <w:t>plan</w:t>
      </w:r>
      <w:r w:rsidRPr="003337F3">
        <w:rPr>
          <w:szCs w:val="18"/>
          <w:lang w:val="ru-RU"/>
        </w:rPr>
        <w:t>-16</w:t>
      </w:r>
      <w:r w:rsidRPr="003337F3">
        <w:rPr>
          <w:szCs w:val="18"/>
        </w:rPr>
        <w:t>nov</w:t>
      </w:r>
      <w:r w:rsidRPr="003337F3">
        <w:rPr>
          <w:szCs w:val="18"/>
          <w:lang w:val="ru-RU"/>
        </w:rPr>
        <w:t>09-</w:t>
      </w:r>
      <w:r w:rsidRPr="003337F3">
        <w:rPr>
          <w:szCs w:val="18"/>
        </w:rPr>
        <w:t>en</w:t>
      </w:r>
      <w:r w:rsidRPr="003337F3">
        <w:rPr>
          <w:szCs w:val="18"/>
          <w:lang w:val="ru-RU"/>
        </w:rPr>
        <w:t>.</w:t>
      </w:r>
      <w:r w:rsidRPr="003337F3">
        <w:rPr>
          <w:szCs w:val="18"/>
        </w:rPr>
        <w:t>pdf</w:t>
      </w:r>
      <w:r w:rsidRPr="003337F3">
        <w:rPr>
          <w:szCs w:val="22"/>
          <w:lang w:val="ru-RU"/>
        </w:rPr>
        <w:t>). С этого времени в рамках обозначенного плана уже были введены несколько IDN ксДВУ, связанных с двухбуквенными кодами в стандарте ISO 3166-1 (см.</w:t>
      </w:r>
      <w:r w:rsidRPr="003337F3">
        <w:rPr>
          <w:szCs w:val="18"/>
          <w:lang w:val="ru-RU"/>
        </w:rPr>
        <w:t xml:space="preserve"> </w:t>
      </w:r>
      <w:r w:rsidRPr="003337F3">
        <w:rPr>
          <w:szCs w:val="18"/>
        </w:rPr>
        <w:t>http</w:t>
      </w:r>
      <w:r w:rsidRPr="003337F3">
        <w:rPr>
          <w:szCs w:val="18"/>
          <w:lang w:val="ru-RU"/>
        </w:rPr>
        <w:t>://</w:t>
      </w:r>
      <w:r w:rsidRPr="003337F3">
        <w:rPr>
          <w:szCs w:val="18"/>
        </w:rPr>
        <w:t>www</w:t>
      </w:r>
      <w:r w:rsidRPr="003337F3">
        <w:rPr>
          <w:szCs w:val="18"/>
          <w:lang w:val="ru-RU"/>
        </w:rPr>
        <w:t>.</w:t>
      </w:r>
      <w:r w:rsidRPr="003337F3">
        <w:rPr>
          <w:szCs w:val="18"/>
        </w:rPr>
        <w:t>iso</w:t>
      </w:r>
      <w:r w:rsidRPr="003337F3">
        <w:rPr>
          <w:szCs w:val="18"/>
          <w:lang w:val="ru-RU"/>
        </w:rPr>
        <w:t>.</w:t>
      </w:r>
      <w:r w:rsidRPr="003337F3">
        <w:rPr>
          <w:szCs w:val="18"/>
        </w:rPr>
        <w:t>org</w:t>
      </w:r>
      <w:r w:rsidRPr="003337F3">
        <w:rPr>
          <w:szCs w:val="18"/>
          <w:lang w:val="ru-RU"/>
        </w:rPr>
        <w:t>/</w:t>
      </w:r>
      <w:r w:rsidRPr="003337F3">
        <w:rPr>
          <w:szCs w:val="18"/>
        </w:rPr>
        <w:t>iso</w:t>
      </w:r>
      <w:r w:rsidRPr="003337F3">
        <w:rPr>
          <w:szCs w:val="18"/>
          <w:lang w:val="ru-RU"/>
        </w:rPr>
        <w:t>/</w:t>
      </w:r>
      <w:r w:rsidRPr="003337F3">
        <w:rPr>
          <w:szCs w:val="18"/>
        </w:rPr>
        <w:t>english</w:t>
      </w:r>
      <w:r w:rsidRPr="003337F3">
        <w:rPr>
          <w:szCs w:val="18"/>
          <w:lang w:val="ru-RU"/>
        </w:rPr>
        <w:t>_</w:t>
      </w:r>
      <w:r w:rsidRPr="003337F3">
        <w:rPr>
          <w:szCs w:val="18"/>
        </w:rPr>
        <w:t>country</w:t>
      </w:r>
      <w:r w:rsidRPr="003337F3">
        <w:rPr>
          <w:szCs w:val="18"/>
          <w:lang w:val="ru-RU"/>
        </w:rPr>
        <w:t>_</w:t>
      </w:r>
      <w:r w:rsidRPr="003337F3">
        <w:rPr>
          <w:szCs w:val="18"/>
        </w:rPr>
        <w:t>names</w:t>
      </w:r>
      <w:r w:rsidRPr="003337F3">
        <w:rPr>
          <w:szCs w:val="18"/>
          <w:lang w:val="ru-RU"/>
        </w:rPr>
        <w:t>_</w:t>
      </w:r>
      <w:r w:rsidRPr="003337F3">
        <w:rPr>
          <w:szCs w:val="18"/>
        </w:rPr>
        <w:t>and</w:t>
      </w:r>
      <w:r w:rsidRPr="003337F3">
        <w:rPr>
          <w:szCs w:val="18"/>
          <w:lang w:val="ru-RU"/>
        </w:rPr>
        <w:t>_</w:t>
      </w:r>
      <w:r w:rsidRPr="003337F3">
        <w:rPr>
          <w:szCs w:val="18"/>
        </w:rPr>
        <w:t>code</w:t>
      </w:r>
      <w:r w:rsidRPr="003337F3">
        <w:rPr>
          <w:szCs w:val="18"/>
          <w:lang w:val="ru-RU"/>
        </w:rPr>
        <w:t>_</w:t>
      </w:r>
      <w:r w:rsidRPr="003337F3">
        <w:rPr>
          <w:szCs w:val="18"/>
        </w:rPr>
        <w:t>elements</w:t>
      </w:r>
      <w:r w:rsidRPr="003337F3">
        <w:rPr>
          <w:szCs w:val="18"/>
          <w:lang w:val="ru-RU"/>
        </w:rPr>
        <w:t>).</w:t>
      </w:r>
    </w:p>
  </w:footnote>
  <w:footnote w:id="54">
    <w:p w:rsidR="002D49EB" w:rsidRPr="00EC6362" w:rsidRDefault="002D49EB" w:rsidP="00263C54">
      <w:pPr>
        <w:pStyle w:val="FootnoteText"/>
        <w:rPr>
          <w:szCs w:val="18"/>
          <w:lang w:val="ru-RU"/>
        </w:rPr>
      </w:pPr>
      <w:r w:rsidRPr="003337F3">
        <w:rPr>
          <w:rStyle w:val="FootnoteReference"/>
        </w:rPr>
        <w:footnoteRef/>
      </w:r>
      <w:r w:rsidRPr="00EC6362">
        <w:rPr>
          <w:rStyle w:val="FootnoteReference"/>
          <w:lang w:val="ru-RU"/>
        </w:rPr>
        <w:t xml:space="preserve"> </w:t>
      </w:r>
      <w:r w:rsidRPr="00EC6362">
        <w:rPr>
          <w:szCs w:val="18"/>
          <w:lang w:val="ru-RU"/>
        </w:rPr>
        <w:tab/>
      </w:r>
      <w:r w:rsidRPr="003337F3">
        <w:rPr>
          <w:szCs w:val="18"/>
          <w:lang w:val="ru-RU"/>
        </w:rPr>
        <w:t xml:space="preserve">См. </w:t>
      </w:r>
      <w:r w:rsidRPr="003337F3">
        <w:rPr>
          <w:szCs w:val="18"/>
        </w:rPr>
        <w:t>http</w:t>
      </w:r>
      <w:r w:rsidRPr="003337F3">
        <w:rPr>
          <w:szCs w:val="18"/>
          <w:lang w:val="ru-RU"/>
        </w:rPr>
        <w:t>://</w:t>
      </w:r>
      <w:r w:rsidRPr="003337F3">
        <w:rPr>
          <w:szCs w:val="18"/>
        </w:rPr>
        <w:t>www</w:t>
      </w:r>
      <w:r w:rsidRPr="003337F3">
        <w:rPr>
          <w:szCs w:val="18"/>
          <w:lang w:val="ru-RU"/>
        </w:rPr>
        <w:t>.</w:t>
      </w:r>
      <w:r w:rsidRPr="003337F3">
        <w:rPr>
          <w:szCs w:val="18"/>
        </w:rPr>
        <w:t>wipo</w:t>
      </w:r>
      <w:r w:rsidRPr="003337F3">
        <w:rPr>
          <w:szCs w:val="18"/>
          <w:lang w:val="ru-RU"/>
        </w:rPr>
        <w:t>.</w:t>
      </w:r>
      <w:r w:rsidRPr="003337F3">
        <w:rPr>
          <w:szCs w:val="18"/>
        </w:rPr>
        <w:t>int</w:t>
      </w:r>
      <w:r w:rsidRPr="003337F3">
        <w:rPr>
          <w:szCs w:val="18"/>
          <w:lang w:val="ru-RU"/>
        </w:rPr>
        <w:t>/</w:t>
      </w:r>
      <w:r w:rsidRPr="003337F3">
        <w:rPr>
          <w:szCs w:val="18"/>
        </w:rPr>
        <w:t>edocs</w:t>
      </w:r>
      <w:r w:rsidRPr="003337F3">
        <w:rPr>
          <w:szCs w:val="18"/>
          <w:lang w:val="ru-RU"/>
        </w:rPr>
        <w:t>/</w:t>
      </w:r>
      <w:r w:rsidRPr="003337F3">
        <w:rPr>
          <w:szCs w:val="18"/>
        </w:rPr>
        <w:t>mdocs</w:t>
      </w:r>
      <w:r w:rsidRPr="003337F3">
        <w:rPr>
          <w:szCs w:val="18"/>
          <w:lang w:val="ru-RU"/>
        </w:rPr>
        <w:t>/</w:t>
      </w:r>
      <w:r w:rsidRPr="003337F3">
        <w:rPr>
          <w:szCs w:val="18"/>
        </w:rPr>
        <w:t>govbody</w:t>
      </w:r>
      <w:r w:rsidRPr="003337F3">
        <w:rPr>
          <w:szCs w:val="18"/>
          <w:lang w:val="ru-RU"/>
        </w:rPr>
        <w:t>/</w:t>
      </w:r>
      <w:r w:rsidRPr="003337F3">
        <w:rPr>
          <w:szCs w:val="18"/>
        </w:rPr>
        <w:t>en</w:t>
      </w:r>
      <w:r w:rsidRPr="003337F3">
        <w:rPr>
          <w:szCs w:val="18"/>
          <w:lang w:val="ru-RU"/>
        </w:rPr>
        <w:t>/</w:t>
      </w:r>
      <w:r w:rsidRPr="003337F3">
        <w:rPr>
          <w:szCs w:val="18"/>
        </w:rPr>
        <w:t>wo</w:t>
      </w:r>
      <w:r w:rsidRPr="003337F3">
        <w:rPr>
          <w:szCs w:val="18"/>
          <w:lang w:val="ru-RU"/>
        </w:rPr>
        <w:t>_</w:t>
      </w:r>
      <w:r w:rsidRPr="003337F3">
        <w:rPr>
          <w:szCs w:val="18"/>
        </w:rPr>
        <w:t>ga</w:t>
      </w:r>
      <w:r w:rsidRPr="003337F3">
        <w:rPr>
          <w:szCs w:val="18"/>
          <w:lang w:val="ru-RU"/>
        </w:rPr>
        <w:t>_28/</w:t>
      </w:r>
      <w:r w:rsidRPr="003337F3">
        <w:rPr>
          <w:szCs w:val="18"/>
        </w:rPr>
        <w:t>wo</w:t>
      </w:r>
      <w:r w:rsidRPr="003337F3">
        <w:rPr>
          <w:szCs w:val="18"/>
          <w:lang w:val="ru-RU"/>
        </w:rPr>
        <w:t>_</w:t>
      </w:r>
      <w:r w:rsidRPr="003337F3">
        <w:rPr>
          <w:szCs w:val="18"/>
        </w:rPr>
        <w:t>ga</w:t>
      </w:r>
      <w:r w:rsidRPr="003337F3">
        <w:rPr>
          <w:szCs w:val="18"/>
          <w:lang w:val="ru-RU"/>
        </w:rPr>
        <w:t>_28_3.</w:t>
      </w:r>
      <w:r w:rsidRPr="003337F3">
        <w:rPr>
          <w:szCs w:val="18"/>
        </w:rPr>
        <w:t>pdf</w:t>
      </w:r>
      <w:r w:rsidRPr="003337F3">
        <w:rPr>
          <w:szCs w:val="18"/>
          <w:lang w:val="ru-RU"/>
        </w:rPr>
        <w:t>;  см. также пункты 6</w:t>
      </w:r>
      <w:r w:rsidR="003337F3">
        <w:rPr>
          <w:szCs w:val="18"/>
          <w:lang w:val="ru-RU"/>
        </w:rPr>
        <w:t>-11</w:t>
      </w:r>
      <w:r w:rsidRPr="003337F3">
        <w:rPr>
          <w:szCs w:val="18"/>
          <w:lang w:val="ru-RU"/>
        </w:rPr>
        <w:t xml:space="preserve"> документа </w:t>
      </w:r>
      <w:r w:rsidRPr="003337F3">
        <w:rPr>
          <w:szCs w:val="18"/>
        </w:rPr>
        <w:t>SCT</w:t>
      </w:r>
      <w:r w:rsidRPr="003337F3">
        <w:rPr>
          <w:szCs w:val="18"/>
          <w:lang w:val="ru-RU"/>
        </w:rPr>
        <w:t xml:space="preserve">/9/8 и пункт 149 документа </w:t>
      </w:r>
      <w:r w:rsidRPr="003337F3">
        <w:rPr>
          <w:szCs w:val="18"/>
        </w:rPr>
        <w:t>SCT</w:t>
      </w:r>
      <w:r w:rsidRPr="003337F3">
        <w:rPr>
          <w:szCs w:val="18"/>
          <w:lang w:val="ru-RU"/>
        </w:rPr>
        <w:t>/9/9.</w:t>
      </w:r>
    </w:p>
  </w:footnote>
  <w:footnote w:id="55">
    <w:p w:rsidR="002D49EB" w:rsidRPr="00EC6362" w:rsidRDefault="002D49EB" w:rsidP="00263C54">
      <w:pPr>
        <w:pStyle w:val="FootnoteText"/>
        <w:rPr>
          <w:szCs w:val="18"/>
          <w:lang w:val="ru-RU"/>
        </w:rPr>
      </w:pPr>
      <w:r w:rsidRPr="003337F3">
        <w:rPr>
          <w:rStyle w:val="FootnoteReference"/>
        </w:rPr>
        <w:footnoteRef/>
      </w:r>
      <w:r w:rsidRPr="00EC6362">
        <w:rPr>
          <w:szCs w:val="18"/>
          <w:lang w:val="ru-RU"/>
        </w:rPr>
        <w:t xml:space="preserve"> </w:t>
      </w:r>
      <w:r w:rsidRPr="00EC6362">
        <w:rPr>
          <w:szCs w:val="18"/>
          <w:lang w:val="ru-RU"/>
        </w:rPr>
        <w:tab/>
      </w:r>
      <w:r w:rsidR="008A7AE5" w:rsidRPr="003337F3">
        <w:rPr>
          <w:szCs w:val="18"/>
          <w:lang w:val="ru-RU"/>
        </w:rPr>
        <w:t>См.</w:t>
      </w:r>
      <w:r w:rsidRPr="00EC6362">
        <w:rPr>
          <w:szCs w:val="18"/>
          <w:lang w:val="ru-RU"/>
        </w:rPr>
        <w:t xml:space="preserve"> </w:t>
      </w:r>
      <w:r w:rsidRPr="003337F3">
        <w:rPr>
          <w:szCs w:val="18"/>
        </w:rPr>
        <w:t>http</w:t>
      </w:r>
      <w:r w:rsidRPr="00EC6362">
        <w:rPr>
          <w:szCs w:val="18"/>
          <w:lang w:val="ru-RU"/>
        </w:rPr>
        <w:t>://</w:t>
      </w:r>
      <w:r w:rsidRPr="003337F3">
        <w:rPr>
          <w:szCs w:val="18"/>
        </w:rPr>
        <w:t>www</w:t>
      </w:r>
      <w:r w:rsidRPr="00EC6362">
        <w:rPr>
          <w:szCs w:val="18"/>
          <w:lang w:val="ru-RU"/>
        </w:rPr>
        <w:t>.</w:t>
      </w:r>
      <w:r w:rsidRPr="003337F3">
        <w:rPr>
          <w:szCs w:val="18"/>
        </w:rPr>
        <w:t>wipo</w:t>
      </w:r>
      <w:r w:rsidRPr="00EC6362">
        <w:rPr>
          <w:szCs w:val="18"/>
          <w:lang w:val="ru-RU"/>
        </w:rPr>
        <w:t>.</w:t>
      </w:r>
      <w:r w:rsidRPr="003337F3">
        <w:rPr>
          <w:szCs w:val="18"/>
        </w:rPr>
        <w:t>int</w:t>
      </w:r>
      <w:r w:rsidRPr="00EC6362">
        <w:rPr>
          <w:szCs w:val="18"/>
          <w:lang w:val="ru-RU"/>
        </w:rPr>
        <w:t>/</w:t>
      </w:r>
      <w:r w:rsidRPr="003337F3">
        <w:rPr>
          <w:szCs w:val="18"/>
        </w:rPr>
        <w:t>amc</w:t>
      </w:r>
      <w:r w:rsidRPr="00EC6362">
        <w:rPr>
          <w:szCs w:val="18"/>
          <w:lang w:val="ru-RU"/>
        </w:rPr>
        <w:t>/</w:t>
      </w:r>
      <w:r w:rsidRPr="003337F3">
        <w:rPr>
          <w:szCs w:val="18"/>
        </w:rPr>
        <w:t>en</w:t>
      </w:r>
      <w:r w:rsidRPr="00EC6362">
        <w:rPr>
          <w:szCs w:val="18"/>
          <w:lang w:val="ru-RU"/>
        </w:rPr>
        <w:t>/</w:t>
      </w:r>
      <w:r w:rsidRPr="003337F3">
        <w:rPr>
          <w:szCs w:val="18"/>
        </w:rPr>
        <w:t>docs</w:t>
      </w:r>
      <w:r w:rsidRPr="00EC6362">
        <w:rPr>
          <w:szCs w:val="18"/>
          <w:lang w:val="ru-RU"/>
        </w:rPr>
        <w:t>/</w:t>
      </w:r>
      <w:r w:rsidRPr="003337F3">
        <w:rPr>
          <w:szCs w:val="18"/>
        </w:rPr>
        <w:t>wipo</w:t>
      </w:r>
      <w:r w:rsidRPr="00EC6362">
        <w:rPr>
          <w:szCs w:val="18"/>
          <w:lang w:val="ru-RU"/>
        </w:rPr>
        <w:t>.</w:t>
      </w:r>
      <w:r w:rsidRPr="003337F3">
        <w:rPr>
          <w:szCs w:val="18"/>
        </w:rPr>
        <w:t>doc</w:t>
      </w:r>
      <w:r w:rsidRPr="00EC6362">
        <w:rPr>
          <w:szCs w:val="18"/>
          <w:lang w:val="ru-RU"/>
        </w:rPr>
        <w:t>.</w:t>
      </w:r>
    </w:p>
  </w:footnote>
  <w:footnote w:id="56">
    <w:p w:rsidR="002D49EB" w:rsidRPr="00EC6362" w:rsidRDefault="002D49EB" w:rsidP="00263C54">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 xml:space="preserve">См. историю вопроса в документе </w:t>
      </w:r>
      <w:r w:rsidRPr="003337F3">
        <w:t>WO</w:t>
      </w:r>
      <w:r w:rsidRPr="003337F3">
        <w:rPr>
          <w:lang w:val="ru-RU"/>
        </w:rPr>
        <w:t>/</w:t>
      </w:r>
      <w:r w:rsidRPr="003337F3">
        <w:t>GA</w:t>
      </w:r>
      <w:r w:rsidRPr="003337F3">
        <w:rPr>
          <w:lang w:val="ru-RU"/>
        </w:rPr>
        <w:t xml:space="preserve">/41/17 </w:t>
      </w:r>
      <w:r w:rsidRPr="003337F3">
        <w:t>Rev</w:t>
      </w:r>
      <w:r w:rsidRPr="003337F3">
        <w:rPr>
          <w:lang w:val="ru-RU"/>
        </w:rPr>
        <w:t>.2, в особенности пункты 40 и 41.</w:t>
      </w:r>
    </w:p>
  </w:footnote>
  <w:footnote w:id="57">
    <w:p w:rsidR="002D49EB" w:rsidRPr="003C71DC" w:rsidRDefault="002D49EB" w:rsidP="00263C54">
      <w:pPr>
        <w:pStyle w:val="FootnoteText"/>
        <w:rPr>
          <w:szCs w:val="18"/>
          <w:lang w:val="ru-RU"/>
        </w:rPr>
      </w:pPr>
      <w:r w:rsidRPr="003337F3">
        <w:rPr>
          <w:rStyle w:val="FootnoteReference"/>
        </w:rPr>
        <w:footnoteRef/>
      </w:r>
      <w:r w:rsidRPr="003C71DC">
        <w:rPr>
          <w:rStyle w:val="FootnoteReference"/>
          <w:lang w:val="ru-RU"/>
        </w:rPr>
        <w:t xml:space="preserve"> </w:t>
      </w:r>
      <w:r w:rsidRPr="003C71DC">
        <w:rPr>
          <w:szCs w:val="18"/>
          <w:lang w:val="ru-RU"/>
        </w:rPr>
        <w:tab/>
      </w:r>
      <w:r w:rsidRPr="003337F3">
        <w:rPr>
          <w:szCs w:val="18"/>
          <w:lang w:val="ru-RU"/>
        </w:rPr>
        <w:t xml:space="preserve">См. </w:t>
      </w:r>
      <w:r w:rsidR="003C71DC">
        <w:fldChar w:fldCharType="begin"/>
      </w:r>
      <w:r w:rsidR="003C71DC" w:rsidRPr="003C71DC">
        <w:rPr>
          <w:lang w:val="ru-RU"/>
        </w:rPr>
        <w:instrText xml:space="preserve"> </w:instrText>
      </w:r>
      <w:r w:rsidR="003C71DC">
        <w:instrText>HYPERLINK</w:instrText>
      </w:r>
      <w:r w:rsidR="003C71DC" w:rsidRPr="003C71DC">
        <w:rPr>
          <w:lang w:val="ru-RU"/>
        </w:rPr>
        <w:instrText xml:space="preserve"> "</w:instrText>
      </w:r>
      <w:r w:rsidR="003C71DC">
        <w:instrText>https</w:instrText>
      </w:r>
      <w:r w:rsidR="003C71DC" w:rsidRPr="003C71DC">
        <w:rPr>
          <w:lang w:val="ru-RU"/>
        </w:rPr>
        <w:instrText>://</w:instrText>
      </w:r>
      <w:r w:rsidR="003C71DC">
        <w:instrText>gacweb</w:instrText>
      </w:r>
      <w:r w:rsidR="003C71DC" w:rsidRPr="003C71DC">
        <w:rPr>
          <w:lang w:val="ru-RU"/>
        </w:rPr>
        <w:instrText>.</w:instrText>
      </w:r>
      <w:r w:rsidR="003C71DC">
        <w:instrText>icann</w:instrText>
      </w:r>
      <w:r w:rsidR="003C71DC" w:rsidRPr="003C71DC">
        <w:rPr>
          <w:lang w:val="ru-RU"/>
        </w:rPr>
        <w:instrText>.</w:instrText>
      </w:r>
      <w:r w:rsidR="003C71DC">
        <w:instrText>org</w:instrText>
      </w:r>
      <w:r w:rsidR="003C71DC" w:rsidRPr="003C71DC">
        <w:rPr>
          <w:lang w:val="ru-RU"/>
        </w:rPr>
        <w:instrText>/</w:instrText>
      </w:r>
      <w:r w:rsidR="003C71DC">
        <w:instrText>download</w:instrText>
      </w:r>
      <w:r w:rsidR="003C71DC" w:rsidRPr="003C71DC">
        <w:rPr>
          <w:lang w:val="ru-RU"/>
        </w:rPr>
        <w:instrText>/</w:instrText>
      </w:r>
      <w:r w:rsidR="003C71DC">
        <w:instrText>attachments</w:instrText>
      </w:r>
      <w:r w:rsidR="003C71DC" w:rsidRPr="003C71DC">
        <w:rPr>
          <w:lang w:val="ru-RU"/>
        </w:rPr>
        <w:instrText>/27132070/</w:instrText>
      </w:r>
      <w:r w:rsidR="003C71DC">
        <w:instrText>FINAL</w:instrText>
      </w:r>
      <w:r w:rsidR="003C71DC" w:rsidRPr="003C71DC">
        <w:rPr>
          <w:lang w:val="ru-RU"/>
        </w:rPr>
        <w:instrText>_</w:instrText>
      </w:r>
      <w:r w:rsidR="003C71DC">
        <w:instrText>Toronto</w:instrText>
      </w:r>
      <w:r w:rsidR="003C71DC" w:rsidRPr="003C71DC">
        <w:rPr>
          <w:lang w:val="ru-RU"/>
        </w:rPr>
        <w:instrText>_</w:instrText>
      </w:r>
      <w:r w:rsidR="003C71DC">
        <w:instrText>Communique</w:instrText>
      </w:r>
      <w:r w:rsidR="003C71DC" w:rsidRPr="003C71DC">
        <w:rPr>
          <w:lang w:val="ru-RU"/>
        </w:rPr>
        <w:instrText>_20121017.</w:instrText>
      </w:r>
      <w:r w:rsidR="003C71DC">
        <w:instrText>pdf</w:instrText>
      </w:r>
      <w:r w:rsidR="003C71DC" w:rsidRPr="003C71DC">
        <w:rPr>
          <w:lang w:val="ru-RU"/>
        </w:rPr>
        <w:instrText>?</w:instrText>
      </w:r>
      <w:r w:rsidR="003C71DC">
        <w:instrText>version</w:instrText>
      </w:r>
      <w:r w:rsidR="003C71DC" w:rsidRPr="003C71DC">
        <w:rPr>
          <w:lang w:val="ru-RU"/>
        </w:rPr>
        <w:instrText>=1&amp;</w:instrText>
      </w:r>
      <w:r w:rsidR="003C71DC">
        <w:instrText>modificationDate</w:instrText>
      </w:r>
      <w:r w:rsidR="003C71DC" w:rsidRPr="003C71DC">
        <w:rPr>
          <w:lang w:val="ru-RU"/>
        </w:rPr>
        <w:instrText>=1354149148000&amp;</w:instrText>
      </w:r>
      <w:r w:rsidR="003C71DC">
        <w:instrText>api</w:instrText>
      </w:r>
      <w:r w:rsidR="003C71DC" w:rsidRPr="003C71DC">
        <w:rPr>
          <w:lang w:val="ru-RU"/>
        </w:rPr>
        <w:instrText>=</w:instrText>
      </w:r>
      <w:r w:rsidR="003C71DC">
        <w:instrText>v</w:instrText>
      </w:r>
      <w:r w:rsidR="003C71DC" w:rsidRPr="003C71DC">
        <w:rPr>
          <w:lang w:val="ru-RU"/>
        </w:rPr>
        <w:instrText xml:space="preserve">2" </w:instrText>
      </w:r>
      <w:r w:rsidR="003C71DC">
        <w:fldChar w:fldCharType="separate"/>
      </w:r>
      <w:r w:rsidRPr="003337F3">
        <w:rPr>
          <w:szCs w:val="18"/>
        </w:rPr>
        <w:t>https</w:t>
      </w:r>
      <w:r w:rsidRPr="003337F3">
        <w:rPr>
          <w:szCs w:val="18"/>
          <w:lang w:val="ru-RU"/>
        </w:rPr>
        <w:t>://</w:t>
      </w:r>
      <w:r w:rsidRPr="003337F3">
        <w:rPr>
          <w:szCs w:val="18"/>
        </w:rPr>
        <w:t>gacweb</w:t>
      </w:r>
      <w:r w:rsidRPr="003337F3">
        <w:rPr>
          <w:szCs w:val="18"/>
          <w:lang w:val="ru-RU"/>
        </w:rPr>
        <w:t>.</w:t>
      </w:r>
      <w:r w:rsidRPr="003337F3">
        <w:rPr>
          <w:szCs w:val="18"/>
        </w:rPr>
        <w:t>icann</w:t>
      </w:r>
      <w:r w:rsidRPr="003337F3">
        <w:rPr>
          <w:szCs w:val="18"/>
          <w:lang w:val="ru-RU"/>
        </w:rPr>
        <w:t>.</w:t>
      </w:r>
      <w:r w:rsidRPr="003337F3">
        <w:rPr>
          <w:szCs w:val="18"/>
        </w:rPr>
        <w:t>org</w:t>
      </w:r>
      <w:r w:rsidRPr="003337F3">
        <w:rPr>
          <w:szCs w:val="18"/>
          <w:lang w:val="ru-RU"/>
        </w:rPr>
        <w:t>/</w:t>
      </w:r>
      <w:r w:rsidRPr="003337F3">
        <w:rPr>
          <w:szCs w:val="18"/>
        </w:rPr>
        <w:t>download</w:t>
      </w:r>
      <w:r w:rsidRPr="003337F3">
        <w:rPr>
          <w:szCs w:val="18"/>
          <w:lang w:val="ru-RU"/>
        </w:rPr>
        <w:t>/</w:t>
      </w:r>
      <w:r w:rsidRPr="003337F3">
        <w:rPr>
          <w:szCs w:val="18"/>
        </w:rPr>
        <w:t>attachments</w:t>
      </w:r>
      <w:r w:rsidRPr="003337F3">
        <w:rPr>
          <w:szCs w:val="18"/>
          <w:lang w:val="ru-RU"/>
        </w:rPr>
        <w:t>/27132070/</w:t>
      </w:r>
      <w:r w:rsidRPr="003337F3">
        <w:rPr>
          <w:szCs w:val="18"/>
        </w:rPr>
        <w:t>FINAL</w:t>
      </w:r>
      <w:r w:rsidRPr="003337F3">
        <w:rPr>
          <w:szCs w:val="18"/>
          <w:lang w:val="ru-RU"/>
        </w:rPr>
        <w:t>_</w:t>
      </w:r>
      <w:r w:rsidRPr="003337F3">
        <w:rPr>
          <w:szCs w:val="18"/>
        </w:rPr>
        <w:t>Toronto</w:t>
      </w:r>
      <w:r w:rsidRPr="003337F3">
        <w:rPr>
          <w:szCs w:val="18"/>
          <w:lang w:val="ru-RU"/>
        </w:rPr>
        <w:t>_</w:t>
      </w:r>
      <w:r w:rsidRPr="003337F3">
        <w:rPr>
          <w:szCs w:val="18"/>
        </w:rPr>
        <w:t>Communique</w:t>
      </w:r>
      <w:r w:rsidRPr="003337F3">
        <w:rPr>
          <w:szCs w:val="18"/>
          <w:lang w:val="ru-RU"/>
        </w:rPr>
        <w:t>_20121017.</w:t>
      </w:r>
      <w:r w:rsidRPr="003337F3">
        <w:rPr>
          <w:szCs w:val="18"/>
        </w:rPr>
        <w:t>pdf</w:t>
      </w:r>
      <w:r w:rsidRPr="003337F3">
        <w:rPr>
          <w:szCs w:val="18"/>
          <w:lang w:val="ru-RU"/>
        </w:rPr>
        <w:t>?</w:t>
      </w:r>
      <w:r w:rsidRPr="003337F3">
        <w:rPr>
          <w:szCs w:val="18"/>
        </w:rPr>
        <w:t>version</w:t>
      </w:r>
      <w:r w:rsidRPr="003337F3">
        <w:rPr>
          <w:szCs w:val="18"/>
          <w:lang w:val="ru-RU"/>
        </w:rPr>
        <w:t>=1&amp;</w:t>
      </w:r>
      <w:proofErr w:type="spellStart"/>
      <w:r w:rsidRPr="003337F3">
        <w:rPr>
          <w:szCs w:val="18"/>
        </w:rPr>
        <w:t>modificationDate</w:t>
      </w:r>
      <w:proofErr w:type="spellEnd"/>
      <w:r w:rsidRPr="003337F3">
        <w:rPr>
          <w:szCs w:val="18"/>
          <w:lang w:val="ru-RU"/>
        </w:rPr>
        <w:t>=1354149148000&amp;</w:t>
      </w:r>
      <w:proofErr w:type="spellStart"/>
      <w:r w:rsidRPr="003337F3">
        <w:rPr>
          <w:szCs w:val="18"/>
        </w:rPr>
        <w:t>api</w:t>
      </w:r>
      <w:proofErr w:type="spellEnd"/>
      <w:r w:rsidRPr="003337F3">
        <w:rPr>
          <w:szCs w:val="18"/>
          <w:lang w:val="ru-RU"/>
        </w:rPr>
        <w:t>=</w:t>
      </w:r>
      <w:r w:rsidRPr="003337F3">
        <w:rPr>
          <w:szCs w:val="18"/>
        </w:rPr>
        <w:t>v</w:t>
      </w:r>
      <w:r w:rsidRPr="003337F3">
        <w:rPr>
          <w:szCs w:val="18"/>
          <w:lang w:val="ru-RU"/>
        </w:rPr>
        <w:t>2</w:t>
      </w:r>
      <w:r w:rsidR="003C71DC">
        <w:rPr>
          <w:szCs w:val="18"/>
          <w:lang w:val="ru-RU"/>
        </w:rPr>
        <w:fldChar w:fldCharType="end"/>
      </w:r>
      <w:r w:rsidRPr="003337F3">
        <w:rPr>
          <w:szCs w:val="18"/>
          <w:lang w:val="ru-RU"/>
        </w:rPr>
        <w:t>.</w:t>
      </w:r>
      <w:r w:rsidRPr="003C71DC">
        <w:rPr>
          <w:szCs w:val="18"/>
          <w:lang w:val="ru-RU"/>
        </w:rPr>
        <w:t xml:space="preserve"> </w:t>
      </w:r>
    </w:p>
  </w:footnote>
  <w:footnote w:id="58">
    <w:p w:rsidR="008A7AE5" w:rsidRPr="00EC6362" w:rsidRDefault="008A7AE5" w:rsidP="008A7AE5">
      <w:pPr>
        <w:pStyle w:val="FootnoteText"/>
        <w:rPr>
          <w:lang w:val="ru-RU"/>
        </w:rPr>
      </w:pPr>
      <w:r w:rsidRPr="003337F3">
        <w:rPr>
          <w:rStyle w:val="FootnoteReference"/>
        </w:rPr>
        <w:footnoteRef/>
      </w:r>
      <w:r w:rsidRPr="00EC6362">
        <w:rPr>
          <w:lang w:val="ru-RU"/>
        </w:rPr>
        <w:t xml:space="preserve"> </w:t>
      </w:r>
      <w:r w:rsidRPr="00EC6362">
        <w:rPr>
          <w:lang w:val="ru-RU"/>
        </w:rPr>
        <w:tab/>
      </w:r>
      <w:r w:rsidR="003337F3">
        <w:rPr>
          <w:szCs w:val="18"/>
          <w:lang w:val="ru-RU"/>
        </w:rPr>
        <w:t>См.</w:t>
      </w:r>
      <w:r w:rsidR="003337F3" w:rsidRPr="00EC6362">
        <w:rPr>
          <w:szCs w:val="18"/>
          <w:lang w:val="ru-RU"/>
        </w:rPr>
        <w:t xml:space="preserve"> </w:t>
      </w:r>
      <w:r w:rsidR="003337F3" w:rsidRPr="00A0252F">
        <w:rPr>
          <w:szCs w:val="18"/>
        </w:rPr>
        <w:t>https</w:t>
      </w:r>
      <w:r w:rsidR="003337F3" w:rsidRPr="00EC6362">
        <w:rPr>
          <w:szCs w:val="18"/>
          <w:lang w:val="ru-RU"/>
        </w:rPr>
        <w:t>://</w:t>
      </w:r>
      <w:r w:rsidR="003337F3" w:rsidRPr="00A0252F">
        <w:rPr>
          <w:szCs w:val="18"/>
        </w:rPr>
        <w:t>www</w:t>
      </w:r>
      <w:r w:rsidR="003337F3" w:rsidRPr="00EC6362">
        <w:rPr>
          <w:szCs w:val="18"/>
          <w:lang w:val="ru-RU"/>
        </w:rPr>
        <w:t>.</w:t>
      </w:r>
      <w:r w:rsidR="003337F3" w:rsidRPr="00A0252F">
        <w:rPr>
          <w:szCs w:val="18"/>
        </w:rPr>
        <w:t>icann</w:t>
      </w:r>
      <w:r w:rsidR="003337F3" w:rsidRPr="00EC6362">
        <w:rPr>
          <w:szCs w:val="18"/>
          <w:lang w:val="ru-RU"/>
        </w:rPr>
        <w:t>.</w:t>
      </w:r>
      <w:r w:rsidR="003337F3" w:rsidRPr="00A0252F">
        <w:rPr>
          <w:szCs w:val="18"/>
        </w:rPr>
        <w:t>org</w:t>
      </w:r>
      <w:r w:rsidR="003337F3" w:rsidRPr="00EC6362">
        <w:rPr>
          <w:szCs w:val="18"/>
          <w:lang w:val="ru-RU"/>
        </w:rPr>
        <w:t>/</w:t>
      </w:r>
      <w:r w:rsidR="003337F3" w:rsidRPr="00A0252F">
        <w:rPr>
          <w:szCs w:val="18"/>
        </w:rPr>
        <w:t>en</w:t>
      </w:r>
      <w:r w:rsidR="003337F3" w:rsidRPr="00EC6362">
        <w:rPr>
          <w:szCs w:val="18"/>
          <w:lang w:val="ru-RU"/>
        </w:rPr>
        <w:t>/</w:t>
      </w:r>
      <w:r w:rsidR="003337F3" w:rsidRPr="00A0252F">
        <w:rPr>
          <w:szCs w:val="18"/>
        </w:rPr>
        <w:t>system</w:t>
      </w:r>
      <w:r w:rsidR="003337F3" w:rsidRPr="00EC6362">
        <w:rPr>
          <w:szCs w:val="18"/>
          <w:lang w:val="ru-RU"/>
        </w:rPr>
        <w:t>/</w:t>
      </w:r>
      <w:r w:rsidR="003337F3" w:rsidRPr="00A0252F">
        <w:rPr>
          <w:szCs w:val="18"/>
        </w:rPr>
        <w:t>files</w:t>
      </w:r>
      <w:r w:rsidR="003337F3" w:rsidRPr="00EC6362">
        <w:rPr>
          <w:szCs w:val="18"/>
          <w:lang w:val="ru-RU"/>
        </w:rPr>
        <w:t>/</w:t>
      </w:r>
      <w:r w:rsidR="003337F3" w:rsidRPr="00A0252F">
        <w:rPr>
          <w:szCs w:val="18"/>
        </w:rPr>
        <w:t>correspondence</w:t>
      </w:r>
      <w:r w:rsidR="003337F3" w:rsidRPr="00EC6362">
        <w:rPr>
          <w:szCs w:val="18"/>
          <w:lang w:val="ru-RU"/>
        </w:rPr>
        <w:t>/</w:t>
      </w:r>
      <w:r w:rsidR="003337F3" w:rsidRPr="00A0252F">
        <w:rPr>
          <w:szCs w:val="18"/>
        </w:rPr>
        <w:t>crocker</w:t>
      </w:r>
      <w:r w:rsidR="003337F3" w:rsidRPr="00EC6362">
        <w:rPr>
          <w:szCs w:val="18"/>
          <w:lang w:val="ru-RU"/>
        </w:rPr>
        <w:t>-</w:t>
      </w:r>
      <w:r w:rsidR="003337F3" w:rsidRPr="00A0252F">
        <w:rPr>
          <w:szCs w:val="18"/>
        </w:rPr>
        <w:t>to</w:t>
      </w:r>
      <w:r w:rsidR="003337F3" w:rsidRPr="00EC6362">
        <w:rPr>
          <w:szCs w:val="18"/>
          <w:lang w:val="ru-RU"/>
        </w:rPr>
        <w:t>-</w:t>
      </w:r>
      <w:r w:rsidR="003337F3" w:rsidRPr="00A0252F">
        <w:rPr>
          <w:szCs w:val="18"/>
        </w:rPr>
        <w:t>dryden</w:t>
      </w:r>
      <w:r w:rsidR="003337F3" w:rsidRPr="00EC6362">
        <w:rPr>
          <w:szCs w:val="18"/>
          <w:lang w:val="ru-RU"/>
        </w:rPr>
        <w:t>-16</w:t>
      </w:r>
      <w:r w:rsidR="003337F3" w:rsidRPr="00A0252F">
        <w:rPr>
          <w:szCs w:val="18"/>
        </w:rPr>
        <w:t>jan</w:t>
      </w:r>
      <w:r w:rsidR="003337F3" w:rsidRPr="00EC6362">
        <w:rPr>
          <w:szCs w:val="18"/>
          <w:lang w:val="ru-RU"/>
        </w:rPr>
        <w:t>13-</w:t>
      </w:r>
      <w:r w:rsidR="003337F3" w:rsidRPr="00A0252F">
        <w:rPr>
          <w:szCs w:val="18"/>
        </w:rPr>
        <w:t>en</w:t>
      </w:r>
      <w:r w:rsidR="003337F3" w:rsidRPr="00EC6362">
        <w:rPr>
          <w:szCs w:val="18"/>
          <w:lang w:val="ru-RU"/>
        </w:rPr>
        <w:t>.</w:t>
      </w:r>
      <w:r w:rsidR="003337F3" w:rsidRPr="00A0252F">
        <w:rPr>
          <w:szCs w:val="18"/>
        </w:rPr>
        <w:t>pdf</w:t>
      </w:r>
      <w:r w:rsidR="003337F3" w:rsidRPr="00EC6362">
        <w:rPr>
          <w:szCs w:val="18"/>
          <w:lang w:val="ru-RU"/>
        </w:rPr>
        <w:t>.</w:t>
      </w:r>
    </w:p>
  </w:footnote>
  <w:footnote w:id="59">
    <w:p w:rsidR="008A7AE5" w:rsidRPr="00EC6362" w:rsidRDefault="008A7AE5" w:rsidP="008A7AE5">
      <w:pPr>
        <w:pStyle w:val="FootnoteText"/>
        <w:rPr>
          <w:lang w:val="ru-RU"/>
        </w:rPr>
      </w:pPr>
      <w:r w:rsidRPr="003337F3">
        <w:rPr>
          <w:rStyle w:val="FootnoteReference"/>
        </w:rPr>
        <w:footnoteRef/>
      </w:r>
      <w:r w:rsidRPr="00EC6362">
        <w:rPr>
          <w:lang w:val="ru-RU"/>
        </w:rPr>
        <w:t xml:space="preserve"> </w:t>
      </w:r>
      <w:r w:rsidRPr="00EC6362">
        <w:rPr>
          <w:lang w:val="ru-RU"/>
        </w:rPr>
        <w:tab/>
      </w:r>
      <w:r w:rsidR="003337F3" w:rsidRPr="003337F3">
        <w:rPr>
          <w:lang w:val="ru-RU"/>
        </w:rPr>
        <w:t>Таким критериям отвечают МПО, созданные на основании международных договоров и обладающие международной правосубъектностью,</w:t>
      </w:r>
      <w:r w:rsidR="003337F3" w:rsidRPr="003337F3">
        <w:rPr>
          <w:szCs w:val="22"/>
          <w:lang w:val="ru-RU"/>
        </w:rPr>
        <w:t xml:space="preserve"> МПО, являющиеся организациями-наблюдателями ООН, а также фонды или программы ООН</w:t>
      </w:r>
      <w:r w:rsidRPr="003337F3">
        <w:rPr>
          <w:lang w:val="ru-RU"/>
        </w:rPr>
        <w:t>.</w:t>
      </w:r>
    </w:p>
  </w:footnote>
  <w:footnote w:id="60">
    <w:p w:rsidR="002D49EB" w:rsidRPr="003C71DC" w:rsidRDefault="002D49EB" w:rsidP="00263C54">
      <w:pPr>
        <w:pStyle w:val="FootnoteText"/>
        <w:rPr>
          <w:szCs w:val="18"/>
          <w:lang w:val="ru-RU"/>
        </w:rPr>
      </w:pPr>
      <w:r w:rsidRPr="003337F3">
        <w:rPr>
          <w:rStyle w:val="FootnoteReference"/>
        </w:rPr>
        <w:footnoteRef/>
      </w:r>
      <w:r w:rsidRPr="003C71DC">
        <w:rPr>
          <w:szCs w:val="18"/>
          <w:lang w:val="ru-RU"/>
        </w:rPr>
        <w:t xml:space="preserve"> </w:t>
      </w:r>
      <w:r w:rsidRPr="003C71DC">
        <w:rPr>
          <w:szCs w:val="18"/>
          <w:lang w:val="ru-RU"/>
        </w:rPr>
        <w:tab/>
      </w:r>
      <w:r w:rsidRPr="003337F3">
        <w:rPr>
          <w:szCs w:val="18"/>
          <w:lang w:val="ru-RU"/>
        </w:rPr>
        <w:t>См.</w:t>
      </w:r>
      <w:r w:rsidRPr="003C71DC">
        <w:rPr>
          <w:szCs w:val="18"/>
          <w:lang w:val="ru-RU"/>
        </w:rPr>
        <w:t xml:space="preserve"> </w:t>
      </w:r>
      <w:hyperlink r:id="rId5" w:history="1">
        <w:r w:rsidRPr="003337F3">
          <w:rPr>
            <w:szCs w:val="18"/>
          </w:rPr>
          <w:t>http</w:t>
        </w:r>
        <w:r w:rsidRPr="003C71DC">
          <w:rPr>
            <w:szCs w:val="18"/>
            <w:lang w:val="ru-RU"/>
          </w:rPr>
          <w:t>://</w:t>
        </w:r>
        <w:r w:rsidRPr="003337F3">
          <w:rPr>
            <w:szCs w:val="18"/>
          </w:rPr>
          <w:t>www</w:t>
        </w:r>
        <w:r w:rsidRPr="003C71DC">
          <w:rPr>
            <w:szCs w:val="18"/>
            <w:lang w:val="ru-RU"/>
          </w:rPr>
          <w:t>.</w:t>
        </w:r>
        <w:proofErr w:type="spellStart"/>
        <w:r w:rsidRPr="003337F3">
          <w:rPr>
            <w:szCs w:val="18"/>
          </w:rPr>
          <w:t>icann</w:t>
        </w:r>
        <w:proofErr w:type="spellEnd"/>
        <w:r w:rsidRPr="003C71DC">
          <w:rPr>
            <w:szCs w:val="18"/>
            <w:lang w:val="ru-RU"/>
          </w:rPr>
          <w:t>.</w:t>
        </w:r>
        <w:r w:rsidRPr="003337F3">
          <w:rPr>
            <w:szCs w:val="18"/>
          </w:rPr>
          <w:t>org</w:t>
        </w:r>
        <w:r w:rsidRPr="003C71DC">
          <w:rPr>
            <w:szCs w:val="18"/>
            <w:lang w:val="ru-RU"/>
          </w:rPr>
          <w:t>/</w:t>
        </w:r>
        <w:proofErr w:type="spellStart"/>
        <w:r w:rsidRPr="003337F3">
          <w:rPr>
            <w:szCs w:val="18"/>
          </w:rPr>
          <w:t>en</w:t>
        </w:r>
        <w:proofErr w:type="spellEnd"/>
        <w:r w:rsidRPr="003C71DC">
          <w:rPr>
            <w:szCs w:val="18"/>
            <w:lang w:val="ru-RU"/>
          </w:rPr>
          <w:t>/</w:t>
        </w:r>
        <w:r w:rsidRPr="003337F3">
          <w:rPr>
            <w:szCs w:val="18"/>
          </w:rPr>
          <w:t>news</w:t>
        </w:r>
        <w:r w:rsidRPr="003C71DC">
          <w:rPr>
            <w:szCs w:val="18"/>
            <w:lang w:val="ru-RU"/>
          </w:rPr>
          <w:t>/</w:t>
        </w:r>
        <w:r w:rsidRPr="003337F3">
          <w:rPr>
            <w:szCs w:val="18"/>
          </w:rPr>
          <w:t>correspondence</w:t>
        </w:r>
        <w:r w:rsidRPr="003C71DC">
          <w:rPr>
            <w:szCs w:val="18"/>
            <w:lang w:val="ru-RU"/>
          </w:rPr>
          <w:t>/</w:t>
        </w:r>
        <w:proofErr w:type="spellStart"/>
        <w:r w:rsidRPr="003337F3">
          <w:rPr>
            <w:szCs w:val="18"/>
          </w:rPr>
          <w:t>dryden</w:t>
        </w:r>
        <w:proofErr w:type="spellEnd"/>
        <w:r w:rsidRPr="003C71DC">
          <w:rPr>
            <w:szCs w:val="18"/>
            <w:lang w:val="ru-RU"/>
          </w:rPr>
          <w:t>-</w:t>
        </w:r>
        <w:r w:rsidRPr="003337F3">
          <w:rPr>
            <w:szCs w:val="18"/>
          </w:rPr>
          <w:t>to</w:t>
        </w:r>
        <w:r w:rsidRPr="003C71DC">
          <w:rPr>
            <w:szCs w:val="18"/>
            <w:lang w:val="ru-RU"/>
          </w:rPr>
          <w:t>-</w:t>
        </w:r>
        <w:proofErr w:type="spellStart"/>
        <w:r w:rsidRPr="003337F3">
          <w:rPr>
            <w:szCs w:val="18"/>
          </w:rPr>
          <w:t>crocker</w:t>
        </w:r>
        <w:proofErr w:type="spellEnd"/>
        <w:r w:rsidRPr="003C71DC">
          <w:rPr>
            <w:szCs w:val="18"/>
            <w:lang w:val="ru-RU"/>
          </w:rPr>
          <w:t>-</w:t>
        </w:r>
        <w:proofErr w:type="spellStart"/>
        <w:r w:rsidRPr="003337F3">
          <w:rPr>
            <w:szCs w:val="18"/>
          </w:rPr>
          <w:t>chalaby</w:t>
        </w:r>
        <w:proofErr w:type="spellEnd"/>
        <w:r w:rsidRPr="003C71DC">
          <w:rPr>
            <w:szCs w:val="18"/>
            <w:lang w:val="ru-RU"/>
          </w:rPr>
          <w:t>-22</w:t>
        </w:r>
        <w:r w:rsidRPr="003337F3">
          <w:rPr>
            <w:szCs w:val="18"/>
          </w:rPr>
          <w:t>mar</w:t>
        </w:r>
        <w:r w:rsidRPr="003C71DC">
          <w:rPr>
            <w:szCs w:val="18"/>
            <w:lang w:val="ru-RU"/>
          </w:rPr>
          <w:t>13-</w:t>
        </w:r>
        <w:proofErr w:type="spellStart"/>
        <w:r w:rsidRPr="003337F3">
          <w:rPr>
            <w:szCs w:val="18"/>
          </w:rPr>
          <w:t>en</w:t>
        </w:r>
        <w:proofErr w:type="spellEnd"/>
      </w:hyperlink>
      <w:r w:rsidRPr="003C71DC">
        <w:rPr>
          <w:szCs w:val="18"/>
          <w:lang w:val="ru-RU"/>
        </w:rPr>
        <w:t xml:space="preserve">. </w:t>
      </w:r>
    </w:p>
  </w:footnote>
  <w:footnote w:id="61">
    <w:p w:rsidR="002D49EB" w:rsidRPr="003337F3" w:rsidRDefault="002D49EB" w:rsidP="00263C54">
      <w:pPr>
        <w:pStyle w:val="FootnoteText"/>
        <w:rPr>
          <w:szCs w:val="18"/>
        </w:rPr>
      </w:pPr>
      <w:r w:rsidRPr="003337F3">
        <w:rPr>
          <w:rStyle w:val="FootnoteReference"/>
        </w:rPr>
        <w:footnoteRef/>
      </w:r>
      <w:r w:rsidRPr="00EC6362">
        <w:rPr>
          <w:rStyle w:val="FootnoteReference"/>
          <w:lang w:val="ru-RU"/>
        </w:rPr>
        <w:t xml:space="preserve"> </w:t>
      </w:r>
      <w:r w:rsidRPr="00EC6362">
        <w:rPr>
          <w:szCs w:val="18"/>
          <w:lang w:val="ru-RU"/>
        </w:rPr>
        <w:tab/>
      </w:r>
      <w:r w:rsidRPr="003337F3">
        <w:rPr>
          <w:szCs w:val="22"/>
          <w:lang w:val="ru-RU"/>
        </w:rPr>
        <w:t xml:space="preserve">Совет также запросил дальнейшие детали относительно возможного механизма для периодического обзора этого перечня, а также разъяснения относительно любых дополнительных языков, на которых испрашивается охрана полных и сокращенных названий МПО. </w:t>
      </w:r>
      <w:r w:rsidRPr="003337F3">
        <w:rPr>
          <w:szCs w:val="22"/>
          <w:lang w:val="ru-RU"/>
        </w:rPr>
        <w:t xml:space="preserve">См. </w:t>
      </w:r>
      <w:r w:rsidR="003C71DC">
        <w:fldChar w:fldCharType="begin"/>
      </w:r>
      <w:r w:rsidR="003C71DC" w:rsidRPr="003C71DC">
        <w:rPr>
          <w:lang w:val="ru-RU"/>
        </w:rPr>
        <w:instrText xml:space="preserve"> </w:instrText>
      </w:r>
      <w:r w:rsidR="003C71DC">
        <w:instrText>HYPERLINK</w:instrText>
      </w:r>
      <w:r w:rsidR="003C71DC" w:rsidRPr="003C71DC">
        <w:rPr>
          <w:lang w:val="ru-RU"/>
        </w:rPr>
        <w:instrText xml:space="preserve"> "</w:instrText>
      </w:r>
      <w:r w:rsidR="003C71DC">
        <w:instrText>http</w:instrText>
      </w:r>
      <w:r w:rsidR="003C71DC" w:rsidRPr="003C71DC">
        <w:rPr>
          <w:lang w:val="ru-RU"/>
        </w:rPr>
        <w:instrText>://</w:instrText>
      </w:r>
      <w:r w:rsidR="003C71DC">
        <w:instrText>www</w:instrText>
      </w:r>
      <w:r w:rsidR="003C71DC" w:rsidRPr="003C71DC">
        <w:rPr>
          <w:lang w:val="ru-RU"/>
        </w:rPr>
        <w:instrText>.</w:instrText>
      </w:r>
      <w:r w:rsidR="003C71DC">
        <w:instrText>icann</w:instrText>
      </w:r>
      <w:r w:rsidR="003C71DC" w:rsidRPr="003C71DC">
        <w:rPr>
          <w:lang w:val="ru-RU"/>
        </w:rPr>
        <w:instrText>.</w:instrText>
      </w:r>
      <w:r w:rsidR="003C71DC">
        <w:instrText>org</w:instrText>
      </w:r>
      <w:r w:rsidR="003C71DC" w:rsidRPr="003C71DC">
        <w:rPr>
          <w:lang w:val="ru-RU"/>
        </w:rPr>
        <w:instrText>/</w:instrText>
      </w:r>
      <w:r w:rsidR="003C71DC">
        <w:instrText>en</w:instrText>
      </w:r>
      <w:r w:rsidR="003C71DC" w:rsidRPr="003C71DC">
        <w:rPr>
          <w:lang w:val="ru-RU"/>
        </w:rPr>
        <w:instrText>/</w:instrText>
      </w:r>
      <w:r w:rsidR="003C71DC">
        <w:instrText>news</w:instrText>
      </w:r>
      <w:r w:rsidR="003C71DC" w:rsidRPr="003C71DC">
        <w:rPr>
          <w:lang w:val="ru-RU"/>
        </w:rPr>
        <w:instrText>/</w:instrText>
      </w:r>
      <w:r w:rsidR="003C71DC">
        <w:instrText>correspondence</w:instrText>
      </w:r>
      <w:r w:rsidR="003C71DC" w:rsidRPr="003C71DC">
        <w:rPr>
          <w:lang w:val="ru-RU"/>
        </w:rPr>
        <w:instrText>/</w:instrText>
      </w:r>
      <w:r w:rsidR="003C71DC">
        <w:instrText>crocker</w:instrText>
      </w:r>
      <w:r w:rsidR="003C71DC" w:rsidRPr="003C71DC">
        <w:rPr>
          <w:lang w:val="ru-RU"/>
        </w:rPr>
        <w:instrText>-</w:instrText>
      </w:r>
      <w:r w:rsidR="003C71DC">
        <w:instrText>to</w:instrText>
      </w:r>
      <w:r w:rsidR="003C71DC" w:rsidRPr="003C71DC">
        <w:rPr>
          <w:lang w:val="ru-RU"/>
        </w:rPr>
        <w:instrText>-</w:instrText>
      </w:r>
      <w:r w:rsidR="003C71DC">
        <w:instrText>dryden</w:instrText>
      </w:r>
      <w:r w:rsidR="003C71DC" w:rsidRPr="003C71DC">
        <w:rPr>
          <w:lang w:val="ru-RU"/>
        </w:rPr>
        <w:instrText>-01</w:instrText>
      </w:r>
      <w:r w:rsidR="003C71DC">
        <w:instrText>apr</w:instrText>
      </w:r>
      <w:r w:rsidR="003C71DC" w:rsidRPr="003C71DC">
        <w:rPr>
          <w:lang w:val="ru-RU"/>
        </w:rPr>
        <w:instrText>13-</w:instrText>
      </w:r>
      <w:r w:rsidR="003C71DC">
        <w:instrText>en</w:instrText>
      </w:r>
      <w:r w:rsidR="003C71DC" w:rsidRPr="003C71DC">
        <w:rPr>
          <w:lang w:val="ru-RU"/>
        </w:rPr>
        <w:instrText xml:space="preserve">" </w:instrText>
      </w:r>
      <w:r w:rsidR="003C71DC">
        <w:fldChar w:fldCharType="separate"/>
      </w:r>
      <w:r w:rsidRPr="003337F3">
        <w:rPr>
          <w:szCs w:val="18"/>
        </w:rPr>
        <w:t>http</w:t>
      </w:r>
      <w:r w:rsidRPr="003337F3">
        <w:rPr>
          <w:szCs w:val="18"/>
          <w:lang w:val="ru-RU"/>
        </w:rPr>
        <w:t>://</w:t>
      </w:r>
      <w:r w:rsidRPr="003337F3">
        <w:rPr>
          <w:szCs w:val="18"/>
        </w:rPr>
        <w:t>www</w:t>
      </w:r>
      <w:r w:rsidRPr="003337F3">
        <w:rPr>
          <w:szCs w:val="18"/>
          <w:lang w:val="ru-RU"/>
        </w:rPr>
        <w:t>.</w:t>
      </w:r>
      <w:proofErr w:type="spellStart"/>
      <w:r w:rsidRPr="003337F3">
        <w:rPr>
          <w:szCs w:val="18"/>
        </w:rPr>
        <w:t>icann</w:t>
      </w:r>
      <w:proofErr w:type="spellEnd"/>
      <w:r w:rsidRPr="003337F3">
        <w:rPr>
          <w:szCs w:val="18"/>
          <w:lang w:val="ru-RU"/>
        </w:rPr>
        <w:t>.</w:t>
      </w:r>
      <w:r w:rsidRPr="003337F3">
        <w:rPr>
          <w:szCs w:val="18"/>
        </w:rPr>
        <w:t>org</w:t>
      </w:r>
      <w:r w:rsidRPr="003337F3">
        <w:rPr>
          <w:szCs w:val="18"/>
          <w:lang w:val="ru-RU"/>
        </w:rPr>
        <w:t>/</w:t>
      </w:r>
      <w:proofErr w:type="spellStart"/>
      <w:r w:rsidRPr="003337F3">
        <w:rPr>
          <w:szCs w:val="18"/>
        </w:rPr>
        <w:t>en</w:t>
      </w:r>
      <w:proofErr w:type="spellEnd"/>
      <w:r w:rsidRPr="003337F3">
        <w:rPr>
          <w:szCs w:val="18"/>
          <w:lang w:val="ru-RU"/>
        </w:rPr>
        <w:t>/</w:t>
      </w:r>
      <w:r w:rsidRPr="003337F3">
        <w:rPr>
          <w:szCs w:val="18"/>
        </w:rPr>
        <w:t>news</w:t>
      </w:r>
      <w:r w:rsidRPr="003337F3">
        <w:rPr>
          <w:szCs w:val="18"/>
          <w:lang w:val="ru-RU"/>
        </w:rPr>
        <w:t>/</w:t>
      </w:r>
      <w:r w:rsidRPr="003337F3">
        <w:rPr>
          <w:szCs w:val="18"/>
        </w:rPr>
        <w:t>correspondence</w:t>
      </w:r>
      <w:r w:rsidRPr="003337F3">
        <w:rPr>
          <w:szCs w:val="18"/>
          <w:lang w:val="ru-RU"/>
        </w:rPr>
        <w:t>/</w:t>
      </w:r>
      <w:proofErr w:type="spellStart"/>
      <w:r w:rsidRPr="003337F3">
        <w:rPr>
          <w:szCs w:val="18"/>
        </w:rPr>
        <w:t>crocker</w:t>
      </w:r>
      <w:proofErr w:type="spellEnd"/>
      <w:r w:rsidRPr="003337F3">
        <w:rPr>
          <w:szCs w:val="18"/>
          <w:lang w:val="ru-RU"/>
        </w:rPr>
        <w:t>-</w:t>
      </w:r>
      <w:r w:rsidRPr="003337F3">
        <w:rPr>
          <w:szCs w:val="18"/>
        </w:rPr>
        <w:t>to</w:t>
      </w:r>
      <w:r w:rsidRPr="003337F3">
        <w:rPr>
          <w:szCs w:val="18"/>
          <w:lang w:val="ru-RU"/>
        </w:rPr>
        <w:t>-</w:t>
      </w:r>
      <w:proofErr w:type="spellStart"/>
      <w:r w:rsidRPr="003337F3">
        <w:rPr>
          <w:szCs w:val="18"/>
        </w:rPr>
        <w:t>dryden</w:t>
      </w:r>
      <w:proofErr w:type="spellEnd"/>
      <w:r w:rsidRPr="003337F3">
        <w:rPr>
          <w:szCs w:val="18"/>
          <w:lang w:val="ru-RU"/>
        </w:rPr>
        <w:t>-01</w:t>
      </w:r>
      <w:proofErr w:type="spellStart"/>
      <w:r w:rsidRPr="003337F3">
        <w:rPr>
          <w:szCs w:val="18"/>
        </w:rPr>
        <w:t>apr</w:t>
      </w:r>
      <w:proofErr w:type="spellEnd"/>
      <w:r w:rsidRPr="003337F3">
        <w:rPr>
          <w:szCs w:val="18"/>
          <w:lang w:val="ru-RU"/>
        </w:rPr>
        <w:t>13-</w:t>
      </w:r>
      <w:proofErr w:type="spellStart"/>
      <w:r w:rsidRPr="003337F3">
        <w:rPr>
          <w:szCs w:val="18"/>
        </w:rPr>
        <w:t>en</w:t>
      </w:r>
      <w:proofErr w:type="spellEnd"/>
      <w:r w:rsidR="003C71DC">
        <w:rPr>
          <w:szCs w:val="18"/>
        </w:rPr>
        <w:fldChar w:fldCharType="end"/>
      </w:r>
      <w:r w:rsidRPr="003337F3">
        <w:rPr>
          <w:szCs w:val="18"/>
          <w:lang w:val="ru-RU"/>
        </w:rPr>
        <w:t>.</w:t>
      </w:r>
    </w:p>
  </w:footnote>
  <w:footnote w:id="62">
    <w:p w:rsidR="002D49EB" w:rsidRPr="00EC6362" w:rsidRDefault="002D49EB" w:rsidP="00263C54">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szCs w:val="22"/>
          <w:lang w:val="ru-RU"/>
        </w:rPr>
        <w:t xml:space="preserve">Далее ПКК сообщил, что он исходит из того, что Совет </w:t>
      </w:r>
      <w:r w:rsidRPr="003337F3">
        <w:rPr>
          <w:szCs w:val="22"/>
        </w:rPr>
        <w:t>ICANN</w:t>
      </w:r>
      <w:r w:rsidRPr="003337F3">
        <w:rPr>
          <w:szCs w:val="22"/>
          <w:lang w:val="ru-RU"/>
        </w:rPr>
        <w:t xml:space="preserve"> готов выполнить рекомендации </w:t>
      </w:r>
      <w:bookmarkStart w:id="6" w:name="c"/>
      <w:r w:rsidRPr="003337F3">
        <w:rPr>
          <w:szCs w:val="22"/>
          <w:lang w:val="ru-RU"/>
        </w:rPr>
        <w:t>ПКК</w:t>
      </w:r>
      <w:bookmarkEnd w:id="6"/>
      <w:r w:rsidRPr="003337F3">
        <w:rPr>
          <w:szCs w:val="22"/>
          <w:lang w:val="ru-RU"/>
        </w:rPr>
        <w:t xml:space="preserve"> в полном объеме и сосредоточить свои усилия на практической и эффективной реализации мер превентивной охраны новых рДВУ второго уровня, и что временная охрана полных и сокращенных названий МПО должна обеспечиваться до завершения диалога между ПКК,</w:t>
      </w:r>
      <w:r w:rsidRPr="003337F3">
        <w:rPr>
          <w:sz w:val="20"/>
          <w:lang w:val="ru-RU"/>
        </w:rPr>
        <w:t xml:space="preserve"> </w:t>
      </w:r>
      <w:r w:rsidRPr="003337F3">
        <w:rPr>
          <w:szCs w:val="22"/>
        </w:rPr>
        <w:t>ICANN</w:t>
      </w:r>
      <w:r w:rsidRPr="003337F3">
        <w:rPr>
          <w:szCs w:val="22"/>
          <w:lang w:val="ru-RU"/>
        </w:rPr>
        <w:t xml:space="preserve"> и МПО. См. </w:t>
      </w:r>
      <w:r w:rsidRPr="003337F3">
        <w:t>http</w:t>
      </w:r>
      <w:r w:rsidRPr="003337F3">
        <w:rPr>
          <w:lang w:val="ru-RU"/>
        </w:rPr>
        <w:t>://</w:t>
      </w:r>
      <w:r w:rsidRPr="003337F3">
        <w:t>durban</w:t>
      </w:r>
      <w:r w:rsidRPr="003337F3">
        <w:rPr>
          <w:lang w:val="ru-RU"/>
        </w:rPr>
        <w:t>47.</w:t>
      </w:r>
      <w:r w:rsidRPr="003337F3">
        <w:t>icann</w:t>
      </w:r>
      <w:r w:rsidRPr="003337F3">
        <w:rPr>
          <w:lang w:val="ru-RU"/>
        </w:rPr>
        <w:t>.</w:t>
      </w:r>
      <w:r w:rsidRPr="003337F3">
        <w:t>org</w:t>
      </w:r>
      <w:r w:rsidRPr="003337F3">
        <w:rPr>
          <w:lang w:val="ru-RU"/>
        </w:rPr>
        <w:t>/</w:t>
      </w:r>
      <w:r w:rsidRPr="003337F3">
        <w:t>meetings</w:t>
      </w:r>
      <w:r w:rsidRPr="003337F3">
        <w:rPr>
          <w:lang w:val="ru-RU"/>
        </w:rPr>
        <w:t>/</w:t>
      </w:r>
      <w:r w:rsidRPr="003337F3">
        <w:t>durban</w:t>
      </w:r>
      <w:r w:rsidRPr="003337F3">
        <w:rPr>
          <w:lang w:val="ru-RU"/>
        </w:rPr>
        <w:t>2013/</w:t>
      </w:r>
      <w:r w:rsidRPr="003337F3">
        <w:t>presentation</w:t>
      </w:r>
      <w:r w:rsidRPr="003337F3">
        <w:rPr>
          <w:lang w:val="ru-RU"/>
        </w:rPr>
        <w:t>-</w:t>
      </w:r>
      <w:r w:rsidRPr="003337F3">
        <w:t>gac</w:t>
      </w:r>
      <w:r w:rsidRPr="003337F3">
        <w:rPr>
          <w:lang w:val="ru-RU"/>
        </w:rPr>
        <w:t>-</w:t>
      </w:r>
      <w:r w:rsidRPr="003337F3">
        <w:t>communique</w:t>
      </w:r>
      <w:r w:rsidRPr="003337F3">
        <w:rPr>
          <w:lang w:val="ru-RU"/>
        </w:rPr>
        <w:t>-18</w:t>
      </w:r>
      <w:r w:rsidRPr="003337F3">
        <w:t>jul</w:t>
      </w:r>
      <w:r w:rsidRPr="003337F3">
        <w:rPr>
          <w:lang w:val="ru-RU"/>
        </w:rPr>
        <w:t>13-</w:t>
      </w:r>
      <w:r w:rsidRPr="003337F3">
        <w:t>en</w:t>
      </w:r>
      <w:r w:rsidRPr="003337F3">
        <w:rPr>
          <w:lang w:val="ru-RU"/>
        </w:rPr>
        <w:t>.</w:t>
      </w:r>
      <w:r w:rsidRPr="003337F3">
        <w:t>pdf</w:t>
      </w:r>
      <w:r w:rsidRPr="003337F3">
        <w:rPr>
          <w:lang w:val="ru-RU"/>
        </w:rPr>
        <w:t>.</w:t>
      </w:r>
    </w:p>
  </w:footnote>
  <w:footnote w:id="63">
    <w:p w:rsidR="002D49EB" w:rsidRPr="00EC6362" w:rsidRDefault="002D49EB" w:rsidP="00263C54">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См.</w:t>
      </w:r>
      <w:r w:rsidRPr="00EC6362">
        <w:rPr>
          <w:lang w:val="ru-RU"/>
        </w:rPr>
        <w:t xml:space="preserve"> </w:t>
      </w:r>
      <w:r w:rsidRPr="003337F3">
        <w:rPr>
          <w:szCs w:val="18"/>
        </w:rPr>
        <w:t>https</w:t>
      </w:r>
      <w:r w:rsidRPr="00EC6362">
        <w:rPr>
          <w:szCs w:val="18"/>
          <w:lang w:val="ru-RU"/>
        </w:rPr>
        <w:t>://</w:t>
      </w:r>
      <w:r w:rsidRPr="003337F3">
        <w:rPr>
          <w:szCs w:val="18"/>
        </w:rPr>
        <w:t>www</w:t>
      </w:r>
      <w:r w:rsidRPr="00EC6362">
        <w:rPr>
          <w:szCs w:val="18"/>
          <w:lang w:val="ru-RU"/>
        </w:rPr>
        <w:t>.</w:t>
      </w:r>
      <w:r w:rsidRPr="003337F3">
        <w:rPr>
          <w:szCs w:val="18"/>
        </w:rPr>
        <w:t>icann</w:t>
      </w:r>
      <w:r w:rsidRPr="00EC6362">
        <w:rPr>
          <w:szCs w:val="18"/>
          <w:lang w:val="ru-RU"/>
        </w:rPr>
        <w:t>.</w:t>
      </w:r>
      <w:r w:rsidRPr="003337F3">
        <w:rPr>
          <w:szCs w:val="18"/>
        </w:rPr>
        <w:t>org</w:t>
      </w:r>
      <w:r w:rsidRPr="00EC6362">
        <w:rPr>
          <w:szCs w:val="18"/>
          <w:lang w:val="ru-RU"/>
        </w:rPr>
        <w:t>/</w:t>
      </w:r>
      <w:r w:rsidRPr="003337F3">
        <w:rPr>
          <w:szCs w:val="18"/>
        </w:rPr>
        <w:t>resources</w:t>
      </w:r>
      <w:r w:rsidRPr="00EC6362">
        <w:rPr>
          <w:szCs w:val="18"/>
          <w:lang w:val="ru-RU"/>
        </w:rPr>
        <w:t>/</w:t>
      </w:r>
      <w:r w:rsidRPr="003337F3">
        <w:rPr>
          <w:szCs w:val="18"/>
        </w:rPr>
        <w:t>board</w:t>
      </w:r>
      <w:r w:rsidRPr="00EC6362">
        <w:rPr>
          <w:szCs w:val="18"/>
          <w:lang w:val="ru-RU"/>
        </w:rPr>
        <w:t>-</w:t>
      </w:r>
      <w:r w:rsidRPr="003337F3">
        <w:rPr>
          <w:szCs w:val="18"/>
        </w:rPr>
        <w:t>material</w:t>
      </w:r>
      <w:r w:rsidRPr="00EC6362">
        <w:rPr>
          <w:szCs w:val="18"/>
          <w:lang w:val="ru-RU"/>
        </w:rPr>
        <w:t>/</w:t>
      </w:r>
      <w:r w:rsidRPr="003337F3">
        <w:rPr>
          <w:szCs w:val="18"/>
        </w:rPr>
        <w:t>resolutions</w:t>
      </w:r>
      <w:r w:rsidRPr="00EC6362">
        <w:rPr>
          <w:szCs w:val="18"/>
          <w:lang w:val="ru-RU"/>
        </w:rPr>
        <w:t>-</w:t>
      </w:r>
      <w:r w:rsidRPr="003337F3">
        <w:rPr>
          <w:szCs w:val="18"/>
        </w:rPr>
        <w:t>new</w:t>
      </w:r>
      <w:r w:rsidRPr="00EC6362">
        <w:rPr>
          <w:szCs w:val="18"/>
          <w:lang w:val="ru-RU"/>
        </w:rPr>
        <w:t>-</w:t>
      </w:r>
      <w:r w:rsidRPr="003337F3">
        <w:rPr>
          <w:szCs w:val="18"/>
        </w:rPr>
        <w:t>gtld</w:t>
      </w:r>
      <w:r w:rsidRPr="00EC6362">
        <w:rPr>
          <w:szCs w:val="18"/>
          <w:lang w:val="ru-RU"/>
        </w:rPr>
        <w:t>-2013-07-17-</w:t>
      </w:r>
      <w:r w:rsidRPr="003337F3">
        <w:rPr>
          <w:szCs w:val="18"/>
        </w:rPr>
        <w:t>en</w:t>
      </w:r>
      <w:r w:rsidRPr="00EC6362">
        <w:rPr>
          <w:szCs w:val="18"/>
          <w:lang w:val="ru-RU"/>
        </w:rPr>
        <w:t>#1.</w:t>
      </w:r>
      <w:r w:rsidRPr="003337F3">
        <w:rPr>
          <w:szCs w:val="18"/>
        </w:rPr>
        <w:t>a</w:t>
      </w:r>
      <w:r w:rsidRPr="00EC6362">
        <w:rPr>
          <w:szCs w:val="18"/>
          <w:lang w:val="ru-RU"/>
        </w:rPr>
        <w:t>.</w:t>
      </w:r>
    </w:p>
  </w:footnote>
  <w:footnote w:id="64">
    <w:p w:rsidR="002D49EB" w:rsidRPr="00EC6362" w:rsidRDefault="002D49EB" w:rsidP="00263C54">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szCs w:val="22"/>
          <w:lang w:val="ru-RU"/>
        </w:rPr>
        <w:t xml:space="preserve">ПКК </w:t>
      </w:r>
      <w:r w:rsidRPr="003337F3">
        <w:rPr>
          <w:lang w:val="ru-RU"/>
        </w:rPr>
        <w:t xml:space="preserve">и </w:t>
      </w:r>
      <w:r w:rsidRPr="003337F3">
        <w:t>NGPC</w:t>
      </w:r>
      <w:r w:rsidRPr="003337F3">
        <w:rPr>
          <w:lang w:val="ru-RU"/>
        </w:rPr>
        <w:t xml:space="preserve"> отменили свое участие в заседании 30</w:t>
      </w:r>
      <w:r w:rsidRPr="003337F3">
        <w:t> </w:t>
      </w:r>
      <w:r w:rsidRPr="003337F3">
        <w:rPr>
          <w:lang w:val="ru-RU"/>
        </w:rPr>
        <w:t>сентября, предложенном МПО.</w:t>
      </w:r>
    </w:p>
  </w:footnote>
  <w:footnote w:id="65">
    <w:p w:rsidR="002D49EB" w:rsidRPr="00EC6362" w:rsidRDefault="002D49EB" w:rsidP="00263C54">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 xml:space="preserve">Для получения более полной информации см. документ </w:t>
      </w:r>
      <w:r w:rsidRPr="003337F3">
        <w:t>WO</w:t>
      </w:r>
      <w:r w:rsidRPr="003337F3">
        <w:rPr>
          <w:lang w:val="ru-RU"/>
        </w:rPr>
        <w:t>/</w:t>
      </w:r>
      <w:r w:rsidRPr="003337F3">
        <w:t>GA</w:t>
      </w:r>
      <w:r w:rsidRPr="003337F3">
        <w:rPr>
          <w:lang w:val="ru-RU"/>
        </w:rPr>
        <w:t xml:space="preserve">/48/12 </w:t>
      </w:r>
      <w:r w:rsidRPr="003337F3">
        <w:t>Rev</w:t>
      </w:r>
      <w:r w:rsidRPr="003337F3">
        <w:rPr>
          <w:lang w:val="ru-RU"/>
        </w:rPr>
        <w:t>., пункты 42-45.</w:t>
      </w:r>
    </w:p>
  </w:footnote>
  <w:footnote w:id="66">
    <w:p w:rsidR="002D49EB" w:rsidRPr="00EC6362" w:rsidRDefault="002D49EB" w:rsidP="00263C54">
      <w:pPr>
        <w:pStyle w:val="FootnoteText"/>
        <w:rPr>
          <w:lang w:val="ru-RU"/>
        </w:rPr>
      </w:pPr>
      <w:r w:rsidRPr="003337F3">
        <w:rPr>
          <w:rStyle w:val="FootnoteReference"/>
        </w:rPr>
        <w:footnoteRef/>
      </w:r>
      <w:r w:rsidRPr="00EC6362">
        <w:rPr>
          <w:lang w:val="ru-RU"/>
        </w:rPr>
        <w:t xml:space="preserve"> </w:t>
      </w:r>
      <w:r w:rsidRPr="00EC6362">
        <w:rPr>
          <w:lang w:val="ru-RU"/>
        </w:rPr>
        <w:tab/>
      </w:r>
      <w:r w:rsidR="00222C8C" w:rsidRPr="003337F3">
        <w:rPr>
          <w:lang w:val="ru-RU"/>
        </w:rPr>
        <w:t>См.</w:t>
      </w:r>
      <w:r w:rsidRPr="00EC6362">
        <w:rPr>
          <w:lang w:val="ru-RU"/>
        </w:rPr>
        <w:t xml:space="preserve"> </w:t>
      </w:r>
      <w:r w:rsidRPr="003337F3">
        <w:t>https</w:t>
      </w:r>
      <w:r w:rsidRPr="00EC6362">
        <w:rPr>
          <w:lang w:val="ru-RU"/>
        </w:rPr>
        <w:t>://</w:t>
      </w:r>
      <w:r w:rsidRPr="003337F3">
        <w:t>www</w:t>
      </w:r>
      <w:r w:rsidRPr="00EC6362">
        <w:rPr>
          <w:lang w:val="ru-RU"/>
        </w:rPr>
        <w:t>.</w:t>
      </w:r>
      <w:r w:rsidRPr="003337F3">
        <w:t>icann</w:t>
      </w:r>
      <w:r w:rsidRPr="00EC6362">
        <w:rPr>
          <w:lang w:val="ru-RU"/>
        </w:rPr>
        <w:t>.</w:t>
      </w:r>
      <w:r w:rsidRPr="003337F3">
        <w:t>org</w:t>
      </w:r>
      <w:r w:rsidRPr="00EC6362">
        <w:rPr>
          <w:lang w:val="ru-RU"/>
        </w:rPr>
        <w:t>/</w:t>
      </w:r>
      <w:r w:rsidRPr="003337F3">
        <w:t>en</w:t>
      </w:r>
      <w:r w:rsidRPr="00EC6362">
        <w:rPr>
          <w:lang w:val="ru-RU"/>
        </w:rPr>
        <w:t>/</w:t>
      </w:r>
      <w:r w:rsidRPr="003337F3">
        <w:t>system</w:t>
      </w:r>
      <w:r w:rsidRPr="00EC6362">
        <w:rPr>
          <w:lang w:val="ru-RU"/>
        </w:rPr>
        <w:t>/</w:t>
      </w:r>
      <w:r w:rsidRPr="003337F3">
        <w:t>files</w:t>
      </w:r>
      <w:r w:rsidRPr="00EC6362">
        <w:rPr>
          <w:lang w:val="ru-RU"/>
        </w:rPr>
        <w:t>/</w:t>
      </w:r>
      <w:r w:rsidRPr="003337F3">
        <w:t>files</w:t>
      </w:r>
      <w:r w:rsidRPr="00EC6362">
        <w:rPr>
          <w:lang w:val="ru-RU"/>
        </w:rPr>
        <w:t>/</w:t>
      </w:r>
      <w:r w:rsidRPr="003337F3">
        <w:t>resolutions</w:t>
      </w:r>
      <w:r w:rsidRPr="00EC6362">
        <w:rPr>
          <w:lang w:val="ru-RU"/>
        </w:rPr>
        <w:t>-</w:t>
      </w:r>
      <w:r w:rsidRPr="003337F3">
        <w:t>abudhabi</w:t>
      </w:r>
      <w:r w:rsidRPr="00EC6362">
        <w:rPr>
          <w:lang w:val="ru-RU"/>
        </w:rPr>
        <w:t>60-</w:t>
      </w:r>
      <w:r w:rsidRPr="003337F3">
        <w:t>gac</w:t>
      </w:r>
      <w:r w:rsidRPr="00EC6362">
        <w:rPr>
          <w:lang w:val="ru-RU"/>
        </w:rPr>
        <w:t>-</w:t>
      </w:r>
      <w:r w:rsidRPr="003337F3">
        <w:t>advice</w:t>
      </w:r>
      <w:r w:rsidRPr="00EC6362">
        <w:rPr>
          <w:lang w:val="ru-RU"/>
        </w:rPr>
        <w:t>-</w:t>
      </w:r>
      <w:r w:rsidRPr="003337F3">
        <w:t>scorecard</w:t>
      </w:r>
      <w:r w:rsidRPr="00EC6362">
        <w:rPr>
          <w:lang w:val="ru-RU"/>
        </w:rPr>
        <w:t>-04</w:t>
      </w:r>
      <w:r w:rsidRPr="003337F3">
        <w:t>feb</w:t>
      </w:r>
      <w:r w:rsidRPr="00EC6362">
        <w:rPr>
          <w:lang w:val="ru-RU"/>
        </w:rPr>
        <w:t>18-</w:t>
      </w:r>
      <w:r w:rsidRPr="003337F3">
        <w:t>en</w:t>
      </w:r>
      <w:r w:rsidRPr="00EC6362">
        <w:rPr>
          <w:lang w:val="ru-RU"/>
        </w:rPr>
        <w:t>.</w:t>
      </w:r>
      <w:r w:rsidRPr="003337F3">
        <w:t>pdf</w:t>
      </w:r>
      <w:r w:rsidRPr="00EC6362">
        <w:rPr>
          <w:lang w:val="ru-RU"/>
        </w:rPr>
        <w:t>.</w:t>
      </w:r>
    </w:p>
  </w:footnote>
  <w:footnote w:id="67">
    <w:p w:rsidR="002D49EB" w:rsidRPr="00EC6362" w:rsidRDefault="002D49EB" w:rsidP="00263C54">
      <w:pPr>
        <w:pStyle w:val="FootnoteText"/>
        <w:tabs>
          <w:tab w:val="left" w:pos="567"/>
        </w:tabs>
        <w:rPr>
          <w:szCs w:val="18"/>
          <w:lang w:val="ru-RU"/>
        </w:rPr>
      </w:pPr>
      <w:r w:rsidRPr="003337F3">
        <w:rPr>
          <w:rStyle w:val="FootnoteReference"/>
        </w:rPr>
        <w:footnoteRef/>
      </w:r>
      <w:r w:rsidRPr="00EC6362">
        <w:rPr>
          <w:rStyle w:val="FootnoteReference"/>
          <w:lang w:val="ru-RU"/>
        </w:rPr>
        <w:t xml:space="preserve"> </w:t>
      </w:r>
      <w:r w:rsidRPr="00EC6362">
        <w:rPr>
          <w:szCs w:val="18"/>
          <w:lang w:val="ru-RU"/>
        </w:rPr>
        <w:tab/>
      </w:r>
      <w:r w:rsidRPr="003337F3">
        <w:rPr>
          <w:lang w:val="ru-RU"/>
        </w:rPr>
        <w:t>В 2007</w:t>
      </w:r>
      <w:r w:rsidRPr="003337F3">
        <w:t> </w:t>
      </w:r>
      <w:r w:rsidRPr="003337F3">
        <w:rPr>
          <w:lang w:val="ru-RU"/>
        </w:rPr>
        <w:t xml:space="preserve">г. были опубликованы «Принципы </w:t>
      </w:r>
      <w:r w:rsidRPr="003337F3">
        <w:rPr>
          <w:szCs w:val="22"/>
          <w:lang w:val="ru-RU"/>
        </w:rPr>
        <w:t>ПКК</w:t>
      </w:r>
      <w:r w:rsidRPr="003337F3">
        <w:rPr>
          <w:lang w:val="ru-RU"/>
        </w:rPr>
        <w:t xml:space="preserve">, касающиеся новых рДВУ» которые, среди прочего, предусматривают, что </w:t>
      </w:r>
      <w:r w:rsidRPr="003337F3">
        <w:t>ICANN</w:t>
      </w:r>
      <w:r w:rsidRPr="003337F3">
        <w:rPr>
          <w:lang w:val="ru-RU"/>
        </w:rPr>
        <w:t xml:space="preserve"> следует избегать делегирования новых рДВУ, касающихся названий стран, территорий или местностей, а также наименований региональных языков или народностей, кроме случаев, когда имеются соответствующие соглашения с правительствами или государственными органами. Далее в «Принципах </w:t>
      </w:r>
      <w:r w:rsidRPr="003337F3">
        <w:rPr>
          <w:szCs w:val="22"/>
          <w:lang w:val="ru-RU"/>
        </w:rPr>
        <w:t>ПКК</w:t>
      </w:r>
      <w:r w:rsidRPr="003337F3">
        <w:rPr>
          <w:lang w:val="ru-RU"/>
        </w:rPr>
        <w:t>» говорится, что при новых регистрациях следует ввести процедуры блокирования/оспаривания по требованию правительств названий, имеющих национальное или</w:t>
      </w:r>
      <w:r w:rsidRPr="003337F3">
        <w:rPr>
          <w:sz w:val="20"/>
          <w:lang w:val="ru-RU"/>
        </w:rPr>
        <w:t xml:space="preserve"> </w:t>
      </w:r>
      <w:r w:rsidRPr="003337F3">
        <w:rPr>
          <w:lang w:val="ru-RU"/>
        </w:rPr>
        <w:t>географическое значение, на втором уровне DNS. См.</w:t>
      </w:r>
      <w:r w:rsidRPr="003337F3">
        <w:rPr>
          <w:szCs w:val="18"/>
          <w:lang w:val="ru-RU"/>
        </w:rPr>
        <w:t xml:space="preserve"> </w:t>
      </w:r>
      <w:r w:rsidRPr="003337F3">
        <w:rPr>
          <w:szCs w:val="18"/>
        </w:rPr>
        <w:t>https</w:t>
      </w:r>
      <w:r w:rsidRPr="003337F3">
        <w:rPr>
          <w:szCs w:val="18"/>
          <w:lang w:val="ru-RU"/>
        </w:rPr>
        <w:t>://</w:t>
      </w:r>
      <w:r w:rsidRPr="003337F3">
        <w:rPr>
          <w:szCs w:val="18"/>
        </w:rPr>
        <w:t>archive</w:t>
      </w:r>
      <w:r w:rsidRPr="003337F3">
        <w:rPr>
          <w:szCs w:val="18"/>
          <w:lang w:val="ru-RU"/>
        </w:rPr>
        <w:t>.</w:t>
      </w:r>
      <w:r w:rsidRPr="003337F3">
        <w:rPr>
          <w:szCs w:val="18"/>
        </w:rPr>
        <w:t>icann</w:t>
      </w:r>
      <w:r w:rsidRPr="003337F3">
        <w:rPr>
          <w:szCs w:val="18"/>
          <w:lang w:val="ru-RU"/>
        </w:rPr>
        <w:t>.</w:t>
      </w:r>
      <w:r w:rsidRPr="003337F3">
        <w:rPr>
          <w:szCs w:val="18"/>
        </w:rPr>
        <w:t>org</w:t>
      </w:r>
      <w:r w:rsidRPr="003337F3">
        <w:rPr>
          <w:szCs w:val="18"/>
          <w:lang w:val="ru-RU"/>
        </w:rPr>
        <w:t>/</w:t>
      </w:r>
      <w:r w:rsidRPr="003337F3">
        <w:rPr>
          <w:szCs w:val="18"/>
        </w:rPr>
        <w:t>en</w:t>
      </w:r>
      <w:r w:rsidRPr="003337F3">
        <w:rPr>
          <w:szCs w:val="18"/>
          <w:lang w:val="ru-RU"/>
        </w:rPr>
        <w:t>/</w:t>
      </w:r>
      <w:r w:rsidRPr="003337F3">
        <w:rPr>
          <w:szCs w:val="18"/>
        </w:rPr>
        <w:t>topics</w:t>
      </w:r>
      <w:r w:rsidRPr="003337F3">
        <w:rPr>
          <w:szCs w:val="18"/>
          <w:lang w:val="ru-RU"/>
        </w:rPr>
        <w:t>/</w:t>
      </w:r>
      <w:r w:rsidRPr="003337F3">
        <w:rPr>
          <w:szCs w:val="18"/>
        </w:rPr>
        <w:t>new</w:t>
      </w:r>
      <w:r w:rsidRPr="003337F3">
        <w:rPr>
          <w:szCs w:val="18"/>
          <w:lang w:val="ru-RU"/>
        </w:rPr>
        <w:t>-</w:t>
      </w:r>
      <w:r w:rsidRPr="003337F3">
        <w:rPr>
          <w:szCs w:val="18"/>
        </w:rPr>
        <w:t>gtlds</w:t>
      </w:r>
      <w:r w:rsidRPr="003337F3">
        <w:rPr>
          <w:szCs w:val="18"/>
          <w:lang w:val="ru-RU"/>
        </w:rPr>
        <w:t>/</w:t>
      </w:r>
      <w:r w:rsidRPr="003337F3">
        <w:rPr>
          <w:szCs w:val="18"/>
        </w:rPr>
        <w:t>gac</w:t>
      </w:r>
      <w:r w:rsidRPr="003337F3">
        <w:rPr>
          <w:szCs w:val="18"/>
          <w:lang w:val="ru-RU"/>
        </w:rPr>
        <w:t>-</w:t>
      </w:r>
      <w:r w:rsidRPr="003337F3">
        <w:rPr>
          <w:szCs w:val="18"/>
        </w:rPr>
        <w:t>principles</w:t>
      </w:r>
      <w:r w:rsidRPr="003337F3">
        <w:rPr>
          <w:szCs w:val="18"/>
          <w:lang w:val="ru-RU"/>
        </w:rPr>
        <w:t>-</w:t>
      </w:r>
      <w:r w:rsidRPr="003337F3">
        <w:rPr>
          <w:szCs w:val="18"/>
        </w:rPr>
        <w:t>regarding</w:t>
      </w:r>
      <w:r w:rsidRPr="003337F3">
        <w:rPr>
          <w:szCs w:val="18"/>
          <w:lang w:val="ru-RU"/>
        </w:rPr>
        <w:t>-</w:t>
      </w:r>
      <w:r w:rsidRPr="003337F3">
        <w:rPr>
          <w:szCs w:val="18"/>
        </w:rPr>
        <w:t>new</w:t>
      </w:r>
      <w:r w:rsidRPr="003337F3">
        <w:rPr>
          <w:szCs w:val="18"/>
          <w:lang w:val="ru-RU"/>
        </w:rPr>
        <w:t>-</w:t>
      </w:r>
      <w:r w:rsidRPr="003337F3">
        <w:rPr>
          <w:szCs w:val="18"/>
        </w:rPr>
        <w:t>gtlds</w:t>
      </w:r>
      <w:r w:rsidRPr="003337F3">
        <w:rPr>
          <w:szCs w:val="18"/>
          <w:lang w:val="ru-RU"/>
        </w:rPr>
        <w:t>-28</w:t>
      </w:r>
      <w:r w:rsidRPr="003337F3">
        <w:rPr>
          <w:szCs w:val="18"/>
        </w:rPr>
        <w:t>mar</w:t>
      </w:r>
      <w:r w:rsidRPr="003337F3">
        <w:rPr>
          <w:szCs w:val="18"/>
          <w:lang w:val="ru-RU"/>
        </w:rPr>
        <w:t>07-</w:t>
      </w:r>
      <w:r w:rsidRPr="003337F3">
        <w:rPr>
          <w:szCs w:val="18"/>
        </w:rPr>
        <w:t>en</w:t>
      </w:r>
      <w:r w:rsidRPr="003337F3">
        <w:rPr>
          <w:szCs w:val="18"/>
          <w:lang w:val="ru-RU"/>
        </w:rPr>
        <w:t>.</w:t>
      </w:r>
      <w:r w:rsidRPr="003337F3">
        <w:rPr>
          <w:szCs w:val="18"/>
        </w:rPr>
        <w:t>pdf</w:t>
      </w:r>
      <w:r w:rsidRPr="003337F3">
        <w:rPr>
          <w:szCs w:val="18"/>
          <w:lang w:val="ru-RU"/>
        </w:rPr>
        <w:t>.</w:t>
      </w:r>
    </w:p>
  </w:footnote>
  <w:footnote w:id="68">
    <w:p w:rsidR="002D49EB" w:rsidRPr="00EC6362" w:rsidRDefault="002D49EB" w:rsidP="00263C54">
      <w:pPr>
        <w:pStyle w:val="FootnoteText"/>
        <w:tabs>
          <w:tab w:val="left" w:pos="567"/>
        </w:tabs>
        <w:rPr>
          <w:szCs w:val="18"/>
          <w:lang w:val="ru-RU"/>
        </w:rPr>
      </w:pPr>
      <w:r w:rsidRPr="003337F3">
        <w:rPr>
          <w:rStyle w:val="FootnoteReference"/>
        </w:rPr>
        <w:footnoteRef/>
      </w:r>
      <w:r w:rsidRPr="00EC6362">
        <w:rPr>
          <w:lang w:val="ru-RU"/>
        </w:rPr>
        <w:t xml:space="preserve"> </w:t>
      </w:r>
      <w:r w:rsidRPr="00EC6362">
        <w:rPr>
          <w:lang w:val="ru-RU"/>
        </w:rPr>
        <w:tab/>
      </w:r>
      <w:r w:rsidRPr="003337F3">
        <w:rPr>
          <w:szCs w:val="18"/>
          <w:lang w:val="ru-RU"/>
        </w:rPr>
        <w:t xml:space="preserve">Что касается регистрации доменов второго уровня, базовое регистрационное соглашение </w:t>
      </w:r>
      <w:r w:rsidRPr="003337F3">
        <w:rPr>
          <w:szCs w:val="18"/>
        </w:rPr>
        <w:t>ICANN</w:t>
      </w:r>
      <w:r w:rsidRPr="003337F3">
        <w:rPr>
          <w:szCs w:val="18"/>
          <w:lang w:val="ru-RU"/>
        </w:rPr>
        <w:t xml:space="preserve"> включает «Список зарезервированных наименований второго уровня в реестрах рДВУ», где учтены определенные названия стран и территорий. См.</w:t>
      </w:r>
      <w:r w:rsidRPr="003337F3">
        <w:rPr>
          <w:szCs w:val="18"/>
        </w:rPr>
        <w:t>http</w:t>
      </w:r>
      <w:r w:rsidRPr="003337F3">
        <w:rPr>
          <w:szCs w:val="18"/>
          <w:lang w:val="ru-RU"/>
        </w:rPr>
        <w:t>://</w:t>
      </w:r>
      <w:r w:rsidRPr="003337F3">
        <w:rPr>
          <w:szCs w:val="18"/>
        </w:rPr>
        <w:t>newgtlds</w:t>
      </w:r>
      <w:r w:rsidRPr="003337F3">
        <w:rPr>
          <w:szCs w:val="18"/>
          <w:lang w:val="ru-RU"/>
        </w:rPr>
        <w:t>.</w:t>
      </w:r>
      <w:r w:rsidRPr="003337F3">
        <w:rPr>
          <w:szCs w:val="18"/>
        </w:rPr>
        <w:t>icann</w:t>
      </w:r>
      <w:r w:rsidRPr="003337F3">
        <w:rPr>
          <w:szCs w:val="18"/>
          <w:lang w:val="ru-RU"/>
        </w:rPr>
        <w:t>.</w:t>
      </w:r>
      <w:r w:rsidRPr="003337F3">
        <w:rPr>
          <w:szCs w:val="18"/>
        </w:rPr>
        <w:t>org</w:t>
      </w:r>
      <w:r w:rsidRPr="003337F3">
        <w:rPr>
          <w:szCs w:val="18"/>
          <w:lang w:val="ru-RU"/>
        </w:rPr>
        <w:t>/</w:t>
      </w:r>
      <w:r w:rsidRPr="003337F3">
        <w:rPr>
          <w:szCs w:val="18"/>
        </w:rPr>
        <w:t>en</w:t>
      </w:r>
      <w:r w:rsidRPr="003337F3">
        <w:rPr>
          <w:szCs w:val="18"/>
          <w:lang w:val="ru-RU"/>
        </w:rPr>
        <w:t>/</w:t>
      </w:r>
      <w:r w:rsidRPr="003337F3">
        <w:rPr>
          <w:szCs w:val="18"/>
        </w:rPr>
        <w:t>applicants</w:t>
      </w:r>
      <w:r w:rsidRPr="003337F3">
        <w:rPr>
          <w:szCs w:val="18"/>
          <w:lang w:val="ru-RU"/>
        </w:rPr>
        <w:t>/</w:t>
      </w:r>
      <w:r w:rsidRPr="003337F3">
        <w:rPr>
          <w:szCs w:val="18"/>
        </w:rPr>
        <w:t>agb</w:t>
      </w:r>
      <w:r w:rsidRPr="003337F3">
        <w:rPr>
          <w:szCs w:val="18"/>
          <w:lang w:val="ru-RU"/>
        </w:rPr>
        <w:t>/</w:t>
      </w:r>
      <w:r w:rsidRPr="003337F3">
        <w:rPr>
          <w:szCs w:val="18"/>
        </w:rPr>
        <w:t>base</w:t>
      </w:r>
      <w:r w:rsidRPr="003337F3">
        <w:rPr>
          <w:szCs w:val="18"/>
          <w:lang w:val="ru-RU"/>
        </w:rPr>
        <w:t>-</w:t>
      </w:r>
      <w:r w:rsidRPr="003337F3">
        <w:rPr>
          <w:szCs w:val="18"/>
        </w:rPr>
        <w:t>agreement</w:t>
      </w:r>
      <w:r w:rsidRPr="003337F3">
        <w:rPr>
          <w:szCs w:val="18"/>
          <w:lang w:val="ru-RU"/>
        </w:rPr>
        <w:t>-</w:t>
      </w:r>
      <w:r w:rsidRPr="003337F3">
        <w:rPr>
          <w:szCs w:val="18"/>
        </w:rPr>
        <w:t>specs</w:t>
      </w:r>
      <w:r w:rsidRPr="003337F3">
        <w:rPr>
          <w:szCs w:val="18"/>
          <w:lang w:val="ru-RU"/>
        </w:rPr>
        <w:t>-04</w:t>
      </w:r>
      <w:r w:rsidRPr="003337F3">
        <w:rPr>
          <w:szCs w:val="18"/>
        </w:rPr>
        <w:t>jun</w:t>
      </w:r>
      <w:r w:rsidRPr="003337F3">
        <w:rPr>
          <w:szCs w:val="18"/>
          <w:lang w:val="ru-RU"/>
        </w:rPr>
        <w:t>12-</w:t>
      </w:r>
      <w:r w:rsidRPr="003337F3">
        <w:rPr>
          <w:szCs w:val="18"/>
        </w:rPr>
        <w:t>en</w:t>
      </w:r>
      <w:r w:rsidRPr="003337F3">
        <w:rPr>
          <w:szCs w:val="18"/>
          <w:lang w:val="ru-RU"/>
        </w:rPr>
        <w:t>.</w:t>
      </w:r>
      <w:r w:rsidRPr="003337F3">
        <w:rPr>
          <w:szCs w:val="18"/>
        </w:rPr>
        <w:t>pdf</w:t>
      </w:r>
      <w:r w:rsidRPr="003337F3">
        <w:rPr>
          <w:szCs w:val="18"/>
          <w:lang w:val="ru-RU"/>
        </w:rPr>
        <w:t>, раздел 5.</w:t>
      </w:r>
    </w:p>
  </w:footnote>
  <w:footnote w:id="69">
    <w:p w:rsidR="002D49EB" w:rsidRPr="00EC6362" w:rsidRDefault="002D49EB" w:rsidP="00263C54">
      <w:pPr>
        <w:pStyle w:val="FootnoteText"/>
        <w:tabs>
          <w:tab w:val="left" w:pos="567"/>
        </w:tabs>
        <w:rPr>
          <w:szCs w:val="18"/>
          <w:lang w:val="ru-RU"/>
        </w:rPr>
      </w:pPr>
      <w:r w:rsidRPr="003337F3">
        <w:rPr>
          <w:rStyle w:val="FootnoteReference"/>
        </w:rPr>
        <w:footnoteRef/>
      </w:r>
      <w:r w:rsidRPr="00EC6362">
        <w:rPr>
          <w:rStyle w:val="FootnoteReference"/>
          <w:lang w:val="ru-RU"/>
        </w:rPr>
        <w:t xml:space="preserve"> </w:t>
      </w:r>
      <w:r w:rsidRPr="00EC6362">
        <w:rPr>
          <w:szCs w:val="18"/>
          <w:lang w:val="ru-RU"/>
        </w:rPr>
        <w:tab/>
      </w:r>
      <w:r w:rsidRPr="003337F3">
        <w:rPr>
          <w:szCs w:val="18"/>
          <w:lang w:val="ru-RU"/>
        </w:rPr>
        <w:t xml:space="preserve">См. </w:t>
      </w:r>
      <w:r w:rsidRPr="003337F3">
        <w:rPr>
          <w:szCs w:val="18"/>
        </w:rPr>
        <w:t>http</w:t>
      </w:r>
      <w:r w:rsidRPr="003337F3">
        <w:rPr>
          <w:szCs w:val="18"/>
          <w:lang w:val="ru-RU"/>
        </w:rPr>
        <w:t>://</w:t>
      </w:r>
      <w:r w:rsidRPr="003337F3">
        <w:rPr>
          <w:szCs w:val="18"/>
        </w:rPr>
        <w:t>newgtlds</w:t>
      </w:r>
      <w:r w:rsidRPr="003337F3">
        <w:rPr>
          <w:szCs w:val="18"/>
          <w:lang w:val="ru-RU"/>
        </w:rPr>
        <w:t>.</w:t>
      </w:r>
      <w:r w:rsidRPr="003337F3">
        <w:rPr>
          <w:szCs w:val="18"/>
        </w:rPr>
        <w:t>icann</w:t>
      </w:r>
      <w:r w:rsidRPr="003337F3">
        <w:rPr>
          <w:szCs w:val="18"/>
          <w:lang w:val="ru-RU"/>
        </w:rPr>
        <w:t>.</w:t>
      </w:r>
      <w:r w:rsidRPr="003337F3">
        <w:rPr>
          <w:szCs w:val="18"/>
        </w:rPr>
        <w:t>org</w:t>
      </w:r>
      <w:r w:rsidRPr="003337F3">
        <w:rPr>
          <w:szCs w:val="18"/>
          <w:lang w:val="ru-RU"/>
        </w:rPr>
        <w:t>/</w:t>
      </w:r>
      <w:r w:rsidRPr="003337F3">
        <w:rPr>
          <w:szCs w:val="18"/>
        </w:rPr>
        <w:t>en</w:t>
      </w:r>
      <w:r w:rsidRPr="003337F3">
        <w:rPr>
          <w:szCs w:val="18"/>
          <w:lang w:val="ru-RU"/>
        </w:rPr>
        <w:t>/</w:t>
      </w:r>
      <w:r w:rsidRPr="003337F3">
        <w:rPr>
          <w:szCs w:val="18"/>
        </w:rPr>
        <w:t>applicants</w:t>
      </w:r>
      <w:r w:rsidRPr="003337F3">
        <w:rPr>
          <w:szCs w:val="18"/>
          <w:lang w:val="ru-RU"/>
        </w:rPr>
        <w:t>/</w:t>
      </w:r>
      <w:r w:rsidRPr="003337F3">
        <w:rPr>
          <w:szCs w:val="18"/>
        </w:rPr>
        <w:t>agb</w:t>
      </w:r>
      <w:r w:rsidRPr="003337F3">
        <w:rPr>
          <w:szCs w:val="18"/>
          <w:lang w:val="ru-RU"/>
        </w:rPr>
        <w:t>/</w:t>
      </w:r>
      <w:r w:rsidRPr="003337F3">
        <w:rPr>
          <w:szCs w:val="18"/>
        </w:rPr>
        <w:t>evaluation</w:t>
      </w:r>
      <w:r w:rsidRPr="003337F3">
        <w:rPr>
          <w:szCs w:val="18"/>
          <w:lang w:val="ru-RU"/>
        </w:rPr>
        <w:t>-</w:t>
      </w:r>
      <w:r w:rsidRPr="003337F3">
        <w:rPr>
          <w:szCs w:val="18"/>
        </w:rPr>
        <w:t>procedures</w:t>
      </w:r>
      <w:r w:rsidRPr="003337F3">
        <w:rPr>
          <w:szCs w:val="18"/>
          <w:lang w:val="ru-RU"/>
        </w:rPr>
        <w:t>-04</w:t>
      </w:r>
      <w:r w:rsidRPr="003337F3">
        <w:rPr>
          <w:szCs w:val="18"/>
        </w:rPr>
        <w:t>jun</w:t>
      </w:r>
      <w:r w:rsidRPr="003337F3">
        <w:rPr>
          <w:szCs w:val="18"/>
          <w:lang w:val="ru-RU"/>
        </w:rPr>
        <w:t>12-</w:t>
      </w:r>
      <w:r w:rsidRPr="003337F3">
        <w:rPr>
          <w:szCs w:val="18"/>
        </w:rPr>
        <w:t>en</w:t>
      </w:r>
      <w:r w:rsidRPr="003337F3">
        <w:rPr>
          <w:szCs w:val="18"/>
          <w:lang w:val="ru-RU"/>
        </w:rPr>
        <w:t>.</w:t>
      </w:r>
      <w:r w:rsidRPr="003337F3">
        <w:rPr>
          <w:szCs w:val="18"/>
        </w:rPr>
        <w:t>pdf</w:t>
      </w:r>
      <w:r w:rsidRPr="003337F3">
        <w:rPr>
          <w:szCs w:val="18"/>
          <w:lang w:val="ru-RU"/>
        </w:rPr>
        <w:t>, раздел 2.2.1.4.1 «Порядок работы с названиями стран и территорий».</w:t>
      </w:r>
    </w:p>
  </w:footnote>
  <w:footnote w:id="70">
    <w:p w:rsidR="002D49EB" w:rsidRPr="00EC6362" w:rsidRDefault="002D49EB" w:rsidP="00263C54">
      <w:pPr>
        <w:pStyle w:val="FootnoteText"/>
        <w:tabs>
          <w:tab w:val="left" w:pos="567"/>
        </w:tabs>
        <w:rPr>
          <w:szCs w:val="18"/>
          <w:lang w:val="ru-RU"/>
        </w:rPr>
      </w:pPr>
      <w:r w:rsidRPr="003337F3">
        <w:rPr>
          <w:rStyle w:val="FootnoteReference"/>
        </w:rPr>
        <w:footnoteRef/>
      </w:r>
      <w:r w:rsidRPr="00EC6362">
        <w:rPr>
          <w:szCs w:val="18"/>
          <w:lang w:val="ru-RU"/>
        </w:rPr>
        <w:t xml:space="preserve"> </w:t>
      </w:r>
      <w:r w:rsidRPr="00EC6362">
        <w:rPr>
          <w:szCs w:val="18"/>
          <w:lang w:val="ru-RU"/>
        </w:rPr>
        <w:tab/>
      </w:r>
      <w:r w:rsidRPr="003337F3">
        <w:rPr>
          <w:szCs w:val="18"/>
          <w:lang w:val="ru-RU"/>
        </w:rPr>
        <w:t xml:space="preserve">См. </w:t>
      </w:r>
      <w:r w:rsidRPr="003337F3">
        <w:rPr>
          <w:szCs w:val="18"/>
        </w:rPr>
        <w:t>http</w:t>
      </w:r>
      <w:r w:rsidRPr="003337F3">
        <w:rPr>
          <w:szCs w:val="18"/>
          <w:lang w:val="ru-RU"/>
        </w:rPr>
        <w:t>://</w:t>
      </w:r>
      <w:r w:rsidRPr="003337F3">
        <w:rPr>
          <w:szCs w:val="18"/>
        </w:rPr>
        <w:t>newgtlds</w:t>
      </w:r>
      <w:r w:rsidRPr="003337F3">
        <w:rPr>
          <w:szCs w:val="18"/>
          <w:lang w:val="ru-RU"/>
        </w:rPr>
        <w:t>.</w:t>
      </w:r>
      <w:r w:rsidRPr="003337F3">
        <w:rPr>
          <w:szCs w:val="18"/>
        </w:rPr>
        <w:t>icann</w:t>
      </w:r>
      <w:r w:rsidRPr="003337F3">
        <w:rPr>
          <w:szCs w:val="18"/>
          <w:lang w:val="ru-RU"/>
        </w:rPr>
        <w:t>.</w:t>
      </w:r>
      <w:r w:rsidRPr="003337F3">
        <w:rPr>
          <w:szCs w:val="18"/>
        </w:rPr>
        <w:t>org</w:t>
      </w:r>
      <w:r w:rsidRPr="003337F3">
        <w:rPr>
          <w:szCs w:val="18"/>
          <w:lang w:val="ru-RU"/>
        </w:rPr>
        <w:t>/</w:t>
      </w:r>
      <w:r w:rsidRPr="003337F3">
        <w:rPr>
          <w:szCs w:val="18"/>
        </w:rPr>
        <w:t>en</w:t>
      </w:r>
      <w:r w:rsidRPr="003337F3">
        <w:rPr>
          <w:szCs w:val="18"/>
          <w:lang w:val="ru-RU"/>
        </w:rPr>
        <w:t>/</w:t>
      </w:r>
      <w:r w:rsidRPr="003337F3">
        <w:rPr>
          <w:szCs w:val="18"/>
        </w:rPr>
        <w:t>applicants</w:t>
      </w:r>
      <w:r w:rsidRPr="003337F3">
        <w:rPr>
          <w:szCs w:val="18"/>
          <w:lang w:val="ru-RU"/>
        </w:rPr>
        <w:t>/</w:t>
      </w:r>
      <w:r w:rsidRPr="003337F3">
        <w:rPr>
          <w:szCs w:val="18"/>
        </w:rPr>
        <w:t>agb</w:t>
      </w:r>
      <w:r w:rsidRPr="003337F3">
        <w:rPr>
          <w:szCs w:val="18"/>
          <w:lang w:val="ru-RU"/>
        </w:rPr>
        <w:t>/</w:t>
      </w:r>
      <w:r w:rsidRPr="003337F3">
        <w:rPr>
          <w:szCs w:val="18"/>
        </w:rPr>
        <w:t>evaluation</w:t>
      </w:r>
      <w:r w:rsidRPr="003337F3">
        <w:rPr>
          <w:szCs w:val="18"/>
          <w:lang w:val="ru-RU"/>
        </w:rPr>
        <w:t>-</w:t>
      </w:r>
      <w:r w:rsidRPr="003337F3">
        <w:rPr>
          <w:szCs w:val="18"/>
        </w:rPr>
        <w:t>procedures</w:t>
      </w:r>
      <w:r w:rsidRPr="003337F3">
        <w:rPr>
          <w:szCs w:val="18"/>
          <w:lang w:val="ru-RU"/>
        </w:rPr>
        <w:t>-04</w:t>
      </w:r>
      <w:r w:rsidRPr="003337F3">
        <w:rPr>
          <w:szCs w:val="18"/>
        </w:rPr>
        <w:t>jun</w:t>
      </w:r>
      <w:r w:rsidRPr="003337F3">
        <w:rPr>
          <w:szCs w:val="18"/>
          <w:lang w:val="ru-RU"/>
        </w:rPr>
        <w:t>12-</w:t>
      </w:r>
      <w:r w:rsidRPr="003337F3">
        <w:rPr>
          <w:szCs w:val="18"/>
        </w:rPr>
        <w:t>en</w:t>
      </w:r>
      <w:r w:rsidRPr="003337F3">
        <w:rPr>
          <w:szCs w:val="18"/>
          <w:lang w:val="ru-RU"/>
        </w:rPr>
        <w:t>.</w:t>
      </w:r>
      <w:r w:rsidRPr="003337F3">
        <w:rPr>
          <w:szCs w:val="18"/>
        </w:rPr>
        <w:t>pdf</w:t>
      </w:r>
      <w:r w:rsidRPr="003337F3">
        <w:rPr>
          <w:szCs w:val="18"/>
          <w:lang w:val="ru-RU"/>
        </w:rPr>
        <w:t>, раздел 2.2.1.4.2 «Географические наименования, в отношении которых требуется поддержка со стороны правительства».</w:t>
      </w:r>
    </w:p>
  </w:footnote>
  <w:footnote w:id="71">
    <w:p w:rsidR="002D49EB" w:rsidRPr="00EC6362" w:rsidRDefault="002D49EB" w:rsidP="00263C54">
      <w:pPr>
        <w:pStyle w:val="FootnoteText"/>
        <w:tabs>
          <w:tab w:val="left" w:pos="567"/>
        </w:tabs>
        <w:rPr>
          <w:szCs w:val="22"/>
          <w:lang w:val="ru-RU"/>
        </w:rPr>
      </w:pPr>
      <w:r w:rsidRPr="003337F3">
        <w:rPr>
          <w:rStyle w:val="FootnoteReference"/>
        </w:rPr>
        <w:footnoteRef/>
      </w:r>
      <w:r w:rsidRPr="00EC6362">
        <w:rPr>
          <w:lang w:val="ru-RU"/>
        </w:rPr>
        <w:t xml:space="preserve"> </w:t>
      </w:r>
      <w:r w:rsidRPr="00EC6362">
        <w:rPr>
          <w:lang w:val="ru-RU"/>
        </w:rPr>
        <w:tab/>
      </w:r>
      <w:r w:rsidRPr="003337F3">
        <w:rPr>
          <w:lang w:val="ru-RU"/>
        </w:rPr>
        <w:t xml:space="preserve">См. </w:t>
      </w:r>
      <w:r w:rsidRPr="003337F3">
        <w:t>https</w:t>
      </w:r>
      <w:r w:rsidRPr="003337F3">
        <w:rPr>
          <w:lang w:val="ru-RU"/>
        </w:rPr>
        <w:t>://</w:t>
      </w:r>
      <w:r w:rsidRPr="003337F3">
        <w:t>www</w:t>
      </w:r>
      <w:r w:rsidRPr="003337F3">
        <w:rPr>
          <w:lang w:val="ru-RU"/>
        </w:rPr>
        <w:t>.</w:t>
      </w:r>
      <w:r w:rsidRPr="003337F3">
        <w:t>icann</w:t>
      </w:r>
      <w:r w:rsidRPr="003337F3">
        <w:rPr>
          <w:lang w:val="ru-RU"/>
        </w:rPr>
        <w:t>.</w:t>
      </w:r>
      <w:r w:rsidRPr="003337F3">
        <w:t>org</w:t>
      </w:r>
      <w:r w:rsidRPr="003337F3">
        <w:rPr>
          <w:lang w:val="ru-RU"/>
        </w:rPr>
        <w:t>/</w:t>
      </w:r>
      <w:r w:rsidRPr="003337F3">
        <w:t>en</w:t>
      </w:r>
      <w:r w:rsidRPr="003337F3">
        <w:rPr>
          <w:lang w:val="ru-RU"/>
        </w:rPr>
        <w:t>/</w:t>
      </w:r>
      <w:r w:rsidRPr="003337F3">
        <w:t>system</w:t>
      </w:r>
      <w:r w:rsidRPr="003337F3">
        <w:rPr>
          <w:lang w:val="ru-RU"/>
        </w:rPr>
        <w:t>/</w:t>
      </w:r>
      <w:r w:rsidRPr="003337F3">
        <w:t>files</w:t>
      </w:r>
      <w:r w:rsidRPr="003337F3">
        <w:rPr>
          <w:lang w:val="ru-RU"/>
        </w:rPr>
        <w:t>/</w:t>
      </w:r>
      <w:r w:rsidRPr="003337F3">
        <w:t>correspondence</w:t>
      </w:r>
      <w:r w:rsidRPr="003337F3">
        <w:rPr>
          <w:lang w:val="ru-RU"/>
        </w:rPr>
        <w:t>/</w:t>
      </w:r>
      <w:r w:rsidRPr="003337F3">
        <w:t>gac</w:t>
      </w:r>
      <w:r w:rsidRPr="003337F3">
        <w:rPr>
          <w:lang w:val="ru-RU"/>
        </w:rPr>
        <w:t>-</w:t>
      </w:r>
      <w:r w:rsidRPr="003337F3">
        <w:t>to</w:t>
      </w:r>
      <w:r w:rsidRPr="003337F3">
        <w:rPr>
          <w:lang w:val="ru-RU"/>
        </w:rPr>
        <w:t>-</w:t>
      </w:r>
      <w:r w:rsidRPr="003337F3">
        <w:t>board</w:t>
      </w:r>
      <w:r w:rsidRPr="003337F3">
        <w:rPr>
          <w:lang w:val="ru-RU"/>
        </w:rPr>
        <w:t>-27</w:t>
      </w:r>
      <w:r w:rsidRPr="003337F3">
        <w:t>mar</w:t>
      </w:r>
      <w:r w:rsidRPr="003337F3">
        <w:rPr>
          <w:lang w:val="ru-RU"/>
        </w:rPr>
        <w:t>14-</w:t>
      </w:r>
      <w:r w:rsidRPr="003337F3">
        <w:rPr>
          <w:szCs w:val="18"/>
        </w:rPr>
        <w:t>en</w:t>
      </w:r>
      <w:r w:rsidRPr="003337F3">
        <w:rPr>
          <w:szCs w:val="18"/>
          <w:lang w:val="ru-RU"/>
        </w:rPr>
        <w:t>.</w:t>
      </w:r>
      <w:r w:rsidRPr="003337F3">
        <w:rPr>
          <w:szCs w:val="18"/>
        </w:rPr>
        <w:t>pdf</w:t>
      </w:r>
      <w:r w:rsidRPr="003337F3">
        <w:rPr>
          <w:szCs w:val="18"/>
          <w:lang w:val="ru-RU"/>
        </w:rPr>
        <w:t>, раздел</w:t>
      </w:r>
      <w:r w:rsidRPr="003337F3">
        <w:rPr>
          <w:szCs w:val="18"/>
        </w:rPr>
        <w:t> </w:t>
      </w:r>
      <w:r w:rsidRPr="003337F3">
        <w:rPr>
          <w:szCs w:val="18"/>
          <w:lang w:val="ru-RU"/>
        </w:rPr>
        <w:t xml:space="preserve">4 «Конкретные текстовые строки». </w:t>
      </w:r>
      <w:r w:rsidRPr="003337F3">
        <w:rPr>
          <w:szCs w:val="18"/>
          <w:lang w:val="ru-RU"/>
        </w:rPr>
        <w:t xml:space="preserve">Хотя Совет принял рекомендацию ПКК о том, чтобы не утверждать некоторые заявки, он запросил у ПКК дополнительную информацию, а также предложил общественности представить свои комментарии – в частности, по вопросу о ряде дополнительных механизмов охраны, предлагаемых ПКК в отношении ряда заявок общих категорий на делегирование новых рДВУ – например, новых рДВУ, имена которых соответствуют контролируемым видам деятельности или словарным терминам. </w:t>
      </w:r>
      <w:r w:rsidRPr="003337F3">
        <w:rPr>
          <w:szCs w:val="18"/>
          <w:lang w:val="ru-RU"/>
        </w:rPr>
        <w:t xml:space="preserve">См. </w:t>
      </w:r>
      <w:hyperlink r:id="rId6" w:history="1">
        <w:r w:rsidRPr="003337F3">
          <w:rPr>
            <w:rStyle w:val="Hyperlink"/>
            <w:color w:val="auto"/>
            <w:szCs w:val="22"/>
          </w:rPr>
          <w:t>https</w:t>
        </w:r>
        <w:r w:rsidRPr="003D6FBB">
          <w:rPr>
            <w:rStyle w:val="Hyperlink"/>
            <w:color w:val="auto"/>
            <w:szCs w:val="22"/>
            <w:lang w:val="ru-RU"/>
          </w:rPr>
          <w:t>://</w:t>
        </w:r>
        <w:r w:rsidRPr="003337F3">
          <w:rPr>
            <w:rStyle w:val="Hyperlink"/>
            <w:color w:val="auto"/>
            <w:szCs w:val="22"/>
          </w:rPr>
          <w:t>www</w:t>
        </w:r>
        <w:r w:rsidRPr="003D6FBB">
          <w:rPr>
            <w:rStyle w:val="Hyperlink"/>
            <w:color w:val="auto"/>
            <w:szCs w:val="22"/>
            <w:lang w:val="ru-RU"/>
          </w:rPr>
          <w:t>.</w:t>
        </w:r>
        <w:r w:rsidRPr="003337F3">
          <w:rPr>
            <w:rStyle w:val="Hyperlink"/>
            <w:color w:val="auto"/>
            <w:szCs w:val="22"/>
          </w:rPr>
          <w:t>icann</w:t>
        </w:r>
        <w:r w:rsidRPr="003D6FBB">
          <w:rPr>
            <w:rStyle w:val="Hyperlink"/>
            <w:color w:val="auto"/>
            <w:szCs w:val="22"/>
            <w:lang w:val="ru-RU"/>
          </w:rPr>
          <w:t>.</w:t>
        </w:r>
        <w:r w:rsidRPr="003337F3">
          <w:rPr>
            <w:rStyle w:val="Hyperlink"/>
            <w:color w:val="auto"/>
            <w:szCs w:val="22"/>
          </w:rPr>
          <w:t>org</w:t>
        </w:r>
        <w:r w:rsidRPr="003D6FBB">
          <w:rPr>
            <w:rStyle w:val="Hyperlink"/>
            <w:color w:val="auto"/>
            <w:szCs w:val="22"/>
            <w:lang w:val="ru-RU"/>
          </w:rPr>
          <w:t>/</w:t>
        </w:r>
        <w:r w:rsidRPr="003337F3">
          <w:rPr>
            <w:rStyle w:val="Hyperlink"/>
            <w:color w:val="auto"/>
            <w:szCs w:val="22"/>
          </w:rPr>
          <w:t>en</w:t>
        </w:r>
        <w:r w:rsidRPr="003D6FBB">
          <w:rPr>
            <w:rStyle w:val="Hyperlink"/>
            <w:color w:val="auto"/>
            <w:szCs w:val="22"/>
            <w:lang w:val="ru-RU"/>
          </w:rPr>
          <w:t>/</w:t>
        </w:r>
        <w:r w:rsidRPr="003337F3">
          <w:rPr>
            <w:rStyle w:val="Hyperlink"/>
            <w:color w:val="auto"/>
            <w:szCs w:val="22"/>
          </w:rPr>
          <w:t>system</w:t>
        </w:r>
        <w:r w:rsidRPr="003D6FBB">
          <w:rPr>
            <w:rStyle w:val="Hyperlink"/>
            <w:color w:val="auto"/>
            <w:szCs w:val="22"/>
            <w:lang w:val="ru-RU"/>
          </w:rPr>
          <w:t>/</w:t>
        </w:r>
        <w:r w:rsidRPr="003337F3">
          <w:rPr>
            <w:rStyle w:val="Hyperlink"/>
            <w:color w:val="auto"/>
            <w:szCs w:val="22"/>
          </w:rPr>
          <w:t>files</w:t>
        </w:r>
        <w:r w:rsidRPr="003D6FBB">
          <w:rPr>
            <w:rStyle w:val="Hyperlink"/>
            <w:color w:val="auto"/>
            <w:szCs w:val="22"/>
            <w:lang w:val="ru-RU"/>
          </w:rPr>
          <w:t>/</w:t>
        </w:r>
        <w:r w:rsidRPr="003337F3">
          <w:rPr>
            <w:rStyle w:val="Hyperlink"/>
            <w:color w:val="auto"/>
            <w:szCs w:val="22"/>
          </w:rPr>
          <w:t>correspondence</w:t>
        </w:r>
        <w:r w:rsidRPr="003D6FBB">
          <w:rPr>
            <w:rStyle w:val="Hyperlink"/>
            <w:color w:val="auto"/>
            <w:szCs w:val="22"/>
            <w:lang w:val="ru-RU"/>
          </w:rPr>
          <w:t>/</w:t>
        </w:r>
        <w:r w:rsidRPr="003337F3">
          <w:rPr>
            <w:rStyle w:val="Hyperlink"/>
            <w:color w:val="auto"/>
            <w:szCs w:val="22"/>
          </w:rPr>
          <w:t>gac</w:t>
        </w:r>
        <w:r w:rsidRPr="003D6FBB">
          <w:rPr>
            <w:rStyle w:val="Hyperlink"/>
            <w:color w:val="auto"/>
            <w:szCs w:val="22"/>
            <w:lang w:val="ru-RU"/>
          </w:rPr>
          <w:t>-</w:t>
        </w:r>
        <w:r w:rsidRPr="003337F3">
          <w:rPr>
            <w:rStyle w:val="Hyperlink"/>
            <w:color w:val="auto"/>
            <w:szCs w:val="22"/>
          </w:rPr>
          <w:t>to</w:t>
        </w:r>
        <w:r w:rsidRPr="003D6FBB">
          <w:rPr>
            <w:rStyle w:val="Hyperlink"/>
            <w:color w:val="auto"/>
            <w:szCs w:val="22"/>
            <w:lang w:val="ru-RU"/>
          </w:rPr>
          <w:t>-</w:t>
        </w:r>
        <w:r w:rsidRPr="003337F3">
          <w:rPr>
            <w:rStyle w:val="Hyperlink"/>
            <w:color w:val="auto"/>
            <w:szCs w:val="22"/>
          </w:rPr>
          <w:t>board</w:t>
        </w:r>
        <w:r w:rsidRPr="003D6FBB">
          <w:rPr>
            <w:rStyle w:val="Hyperlink"/>
            <w:color w:val="auto"/>
            <w:szCs w:val="22"/>
            <w:lang w:val="ru-RU"/>
          </w:rPr>
          <w:t>-11</w:t>
        </w:r>
        <w:r w:rsidRPr="003337F3">
          <w:rPr>
            <w:rStyle w:val="Hyperlink"/>
            <w:color w:val="auto"/>
            <w:szCs w:val="22"/>
          </w:rPr>
          <w:t>apr</w:t>
        </w:r>
        <w:r w:rsidRPr="003D6FBB">
          <w:rPr>
            <w:rStyle w:val="Hyperlink"/>
            <w:color w:val="auto"/>
            <w:szCs w:val="22"/>
            <w:lang w:val="ru-RU"/>
          </w:rPr>
          <w:t>13-</w:t>
        </w:r>
        <w:r w:rsidRPr="003337F3">
          <w:rPr>
            <w:rStyle w:val="Hyperlink"/>
            <w:color w:val="auto"/>
            <w:szCs w:val="22"/>
          </w:rPr>
          <w:t>en</w:t>
        </w:r>
        <w:r w:rsidRPr="003D6FBB">
          <w:rPr>
            <w:rStyle w:val="Hyperlink"/>
            <w:color w:val="auto"/>
            <w:szCs w:val="22"/>
            <w:lang w:val="ru-RU"/>
          </w:rPr>
          <w:t>.</w:t>
        </w:r>
        <w:r w:rsidRPr="003337F3">
          <w:rPr>
            <w:rStyle w:val="Hyperlink"/>
            <w:color w:val="auto"/>
            <w:szCs w:val="22"/>
          </w:rPr>
          <w:t>pdf</w:t>
        </w:r>
      </w:hyperlink>
      <w:r w:rsidRPr="003D6FBB">
        <w:rPr>
          <w:szCs w:val="22"/>
          <w:lang w:val="ru-RU"/>
        </w:rPr>
        <w:t xml:space="preserve">. </w:t>
      </w:r>
      <w:r w:rsidRPr="003337F3">
        <w:rPr>
          <w:szCs w:val="18"/>
          <w:lang w:val="ru-RU"/>
        </w:rPr>
        <w:t xml:space="preserve">Подгруппа ПКК </w:t>
      </w:r>
      <w:r w:rsidRPr="003337F3">
        <w:rPr>
          <w:iCs/>
          <w:szCs w:val="18"/>
          <w:lang w:val="ru-RU"/>
        </w:rPr>
        <w:t>по географическим наименованиям (</w:t>
      </w:r>
      <w:r w:rsidRPr="003337F3">
        <w:rPr>
          <w:szCs w:val="18"/>
          <w:lang w:val="ru-RU"/>
        </w:rPr>
        <w:t>подгруппа Рабочей группы ПКК</w:t>
      </w:r>
      <w:r w:rsidRPr="003337F3">
        <w:rPr>
          <w:iCs/>
          <w:szCs w:val="18"/>
          <w:lang w:val="ru-RU"/>
        </w:rPr>
        <w:t xml:space="preserve"> по новым рДВУ) разработала проект документа для будущих </w:t>
      </w:r>
      <w:r w:rsidRPr="003337F3">
        <w:rPr>
          <w:szCs w:val="18"/>
          <w:lang w:val="ru-RU"/>
        </w:rPr>
        <w:t xml:space="preserve">раундов приема заявок на новые рДВУ, в котором изложены некоторые аспекты публичной политики в отношении географических наименований, которая в настоящее время продолжает обсуждаться в </w:t>
      </w:r>
      <w:r w:rsidRPr="003337F3">
        <w:rPr>
          <w:iCs/>
          <w:szCs w:val="18"/>
        </w:rPr>
        <w:t>ICANN</w:t>
      </w:r>
      <w:r w:rsidRPr="003337F3">
        <w:rPr>
          <w:iCs/>
          <w:szCs w:val="18"/>
          <w:lang w:val="ru-RU"/>
        </w:rPr>
        <w:t xml:space="preserve">. См. </w:t>
      </w:r>
      <w:r w:rsidRPr="003337F3">
        <w:t>https</w:t>
      </w:r>
      <w:r w:rsidRPr="003337F3">
        <w:rPr>
          <w:lang w:val="ru-RU"/>
        </w:rPr>
        <w:t>://</w:t>
      </w:r>
      <w:r w:rsidRPr="003337F3">
        <w:t>gacweb</w:t>
      </w:r>
      <w:r w:rsidRPr="003337F3">
        <w:rPr>
          <w:lang w:val="ru-RU"/>
        </w:rPr>
        <w:t>.</w:t>
      </w:r>
      <w:r w:rsidRPr="003337F3">
        <w:t>icann</w:t>
      </w:r>
      <w:r w:rsidRPr="003337F3">
        <w:rPr>
          <w:lang w:val="ru-RU"/>
        </w:rPr>
        <w:t>.</w:t>
      </w:r>
      <w:r w:rsidRPr="003337F3">
        <w:t>org</w:t>
      </w:r>
      <w:r w:rsidRPr="003337F3">
        <w:rPr>
          <w:lang w:val="ru-RU"/>
        </w:rPr>
        <w:t>/</w:t>
      </w:r>
      <w:r w:rsidRPr="003337F3">
        <w:t>download</w:t>
      </w:r>
      <w:r w:rsidRPr="003337F3">
        <w:rPr>
          <w:lang w:val="ru-RU"/>
        </w:rPr>
        <w:t>/</w:t>
      </w:r>
      <w:r w:rsidRPr="003337F3">
        <w:t>attachments</w:t>
      </w:r>
      <w:r w:rsidRPr="003337F3">
        <w:rPr>
          <w:lang w:val="ru-RU"/>
        </w:rPr>
        <w:t>/27132037/</w:t>
      </w:r>
      <w:r w:rsidRPr="003337F3">
        <w:t>Geo</w:t>
      </w:r>
      <w:r w:rsidRPr="003337F3">
        <w:rPr>
          <w:lang w:val="ru-RU"/>
        </w:rPr>
        <w:t>%20</w:t>
      </w:r>
      <w:r w:rsidRPr="003337F3">
        <w:t>names</w:t>
      </w:r>
      <w:r w:rsidRPr="003337F3">
        <w:rPr>
          <w:lang w:val="ru-RU"/>
        </w:rPr>
        <w:t>%20</w:t>
      </w:r>
      <w:r w:rsidRPr="003337F3">
        <w:t>in</w:t>
      </w:r>
      <w:r w:rsidRPr="003337F3">
        <w:rPr>
          <w:lang w:val="ru-RU"/>
        </w:rPr>
        <w:t>%20</w:t>
      </w:r>
      <w:r w:rsidRPr="003337F3">
        <w:t>new</w:t>
      </w:r>
      <w:r w:rsidRPr="003337F3">
        <w:rPr>
          <w:lang w:val="ru-RU"/>
        </w:rPr>
        <w:t>%20</w:t>
      </w:r>
      <w:r w:rsidRPr="003337F3">
        <w:t>gTLDs</w:t>
      </w:r>
      <w:r w:rsidRPr="003337F3">
        <w:rPr>
          <w:lang w:val="ru-RU"/>
        </w:rPr>
        <w:t>%20</w:t>
      </w:r>
      <w:r w:rsidRPr="003337F3">
        <w:t>Updated</w:t>
      </w:r>
      <w:r w:rsidRPr="003337F3">
        <w:rPr>
          <w:lang w:val="ru-RU"/>
        </w:rPr>
        <w:t>%20%20</w:t>
      </w:r>
      <w:r w:rsidRPr="003337F3">
        <w:t>V</w:t>
      </w:r>
      <w:r w:rsidRPr="003337F3">
        <w:rPr>
          <w:lang w:val="ru-RU"/>
        </w:rPr>
        <w:t>3%20%2029%20</w:t>
      </w:r>
      <w:r w:rsidRPr="003337F3">
        <w:t>august</w:t>
      </w:r>
      <w:r w:rsidRPr="003337F3">
        <w:rPr>
          <w:lang w:val="ru-RU"/>
        </w:rPr>
        <w:t>%202014%5</w:t>
      </w:r>
      <w:r w:rsidRPr="003337F3">
        <w:t>B</w:t>
      </w:r>
      <w:r w:rsidRPr="003337F3">
        <w:rPr>
          <w:lang w:val="ru-RU"/>
        </w:rPr>
        <w:t>4%5</w:t>
      </w:r>
      <w:r w:rsidRPr="003337F3">
        <w:t>D</w:t>
      </w:r>
      <w:r w:rsidRPr="003337F3">
        <w:rPr>
          <w:lang w:val="ru-RU"/>
        </w:rPr>
        <w:t>.</w:t>
      </w:r>
      <w:r w:rsidRPr="003337F3">
        <w:t>pdf</w:t>
      </w:r>
      <w:r w:rsidRPr="003337F3">
        <w:rPr>
          <w:lang w:val="ru-RU"/>
        </w:rPr>
        <w:t>?</w:t>
      </w:r>
      <w:r w:rsidRPr="003337F3">
        <w:t>version</w:t>
      </w:r>
      <w:r w:rsidRPr="003337F3">
        <w:rPr>
          <w:lang w:val="ru-RU"/>
        </w:rPr>
        <w:t>=1&amp;</w:t>
      </w:r>
      <w:r w:rsidRPr="003337F3">
        <w:t>modificationDate</w:t>
      </w:r>
      <w:r w:rsidRPr="003337F3">
        <w:rPr>
          <w:lang w:val="ru-RU"/>
        </w:rPr>
        <w:t>=1411549935000&amp;</w:t>
      </w:r>
      <w:r w:rsidRPr="003337F3">
        <w:t>api</w:t>
      </w:r>
      <w:r w:rsidRPr="003337F3">
        <w:rPr>
          <w:lang w:val="ru-RU"/>
        </w:rPr>
        <w:t>=</w:t>
      </w:r>
      <w:r w:rsidRPr="003337F3">
        <w:t>v</w:t>
      </w:r>
      <w:r w:rsidRPr="003337F3">
        <w:rPr>
          <w:lang w:val="ru-RU"/>
        </w:rPr>
        <w:t>2.</w:t>
      </w:r>
    </w:p>
  </w:footnote>
  <w:footnote w:id="72">
    <w:p w:rsidR="002D49EB" w:rsidRPr="00EC6362" w:rsidRDefault="002D49EB" w:rsidP="00263C54">
      <w:pPr>
        <w:pStyle w:val="FootnoteText"/>
        <w:tabs>
          <w:tab w:val="left" w:pos="567"/>
        </w:tabs>
        <w:rPr>
          <w:lang w:val="ru-RU"/>
        </w:rPr>
      </w:pPr>
      <w:r w:rsidRPr="003337F3">
        <w:rPr>
          <w:rStyle w:val="FootnoteReference"/>
        </w:rPr>
        <w:footnoteRef/>
      </w:r>
      <w:r w:rsidRPr="00EC6362">
        <w:rPr>
          <w:lang w:val="ru-RU"/>
        </w:rPr>
        <w:t xml:space="preserve"> </w:t>
      </w:r>
      <w:r w:rsidRPr="00EC6362">
        <w:rPr>
          <w:lang w:val="ru-RU"/>
        </w:rPr>
        <w:tab/>
      </w:r>
      <w:r w:rsidRPr="003337F3">
        <w:rPr>
          <w:lang w:val="ru-RU"/>
        </w:rPr>
        <w:t xml:space="preserve">В совокупности эти меры являются частью планов </w:t>
      </w:r>
      <w:r w:rsidRPr="003337F3">
        <w:t>ICANN</w:t>
      </w:r>
      <w:r w:rsidRPr="003337F3">
        <w:rPr>
          <w:lang w:val="ru-RU"/>
        </w:rPr>
        <w:t xml:space="preserve"> по уменьшению риска возможного смешения. См. </w:t>
      </w:r>
      <w:r w:rsidRPr="003337F3">
        <w:t>https</w:t>
      </w:r>
      <w:r w:rsidRPr="003337F3">
        <w:rPr>
          <w:lang w:val="ru-RU"/>
        </w:rPr>
        <w:t>://</w:t>
      </w:r>
      <w:r w:rsidRPr="003337F3">
        <w:t>www</w:t>
      </w:r>
      <w:r w:rsidRPr="003337F3">
        <w:rPr>
          <w:lang w:val="ru-RU"/>
        </w:rPr>
        <w:t>.</w:t>
      </w:r>
      <w:r w:rsidRPr="003337F3">
        <w:t>icann</w:t>
      </w:r>
      <w:r w:rsidRPr="003337F3">
        <w:rPr>
          <w:lang w:val="ru-RU"/>
        </w:rPr>
        <w:t>.</w:t>
      </w:r>
      <w:r w:rsidRPr="003337F3">
        <w:t>org</w:t>
      </w:r>
      <w:r w:rsidRPr="003337F3">
        <w:rPr>
          <w:lang w:val="ru-RU"/>
        </w:rPr>
        <w:t>/</w:t>
      </w:r>
      <w:r w:rsidRPr="003337F3">
        <w:t>en</w:t>
      </w:r>
      <w:r w:rsidRPr="003337F3">
        <w:rPr>
          <w:lang w:val="ru-RU"/>
        </w:rPr>
        <w:t>/</w:t>
      </w:r>
      <w:r w:rsidRPr="003337F3">
        <w:t>system</w:t>
      </w:r>
      <w:r w:rsidRPr="003337F3">
        <w:rPr>
          <w:lang w:val="ru-RU"/>
        </w:rPr>
        <w:t>/</w:t>
      </w:r>
      <w:r w:rsidRPr="003337F3">
        <w:t>files</w:t>
      </w:r>
      <w:r w:rsidRPr="003337F3">
        <w:rPr>
          <w:lang w:val="ru-RU"/>
        </w:rPr>
        <w:t>/</w:t>
      </w:r>
      <w:r w:rsidRPr="003337F3">
        <w:t>files</w:t>
      </w:r>
      <w:r w:rsidRPr="003337F3">
        <w:rPr>
          <w:lang w:val="ru-RU"/>
        </w:rPr>
        <w:t>/</w:t>
      </w:r>
      <w:r w:rsidRPr="003337F3">
        <w:t>two</w:t>
      </w:r>
      <w:r w:rsidRPr="003337F3">
        <w:rPr>
          <w:lang w:val="ru-RU"/>
        </w:rPr>
        <w:t>-</w:t>
      </w:r>
      <w:r w:rsidRPr="003337F3">
        <w:t>character</w:t>
      </w:r>
      <w:r w:rsidRPr="003337F3">
        <w:rPr>
          <w:lang w:val="ru-RU"/>
        </w:rPr>
        <w:t>-</w:t>
      </w:r>
      <w:r w:rsidRPr="003337F3">
        <w:t>ltr</w:t>
      </w:r>
      <w:r w:rsidRPr="003337F3">
        <w:rPr>
          <w:lang w:val="ru-RU"/>
        </w:rPr>
        <w:t>-</w:t>
      </w:r>
      <w:r w:rsidRPr="003337F3">
        <w:t>ltr</w:t>
      </w:r>
      <w:r w:rsidRPr="003337F3">
        <w:rPr>
          <w:lang w:val="ru-RU"/>
        </w:rPr>
        <w:t>-</w:t>
      </w:r>
      <w:r w:rsidRPr="003337F3">
        <w:t>authorization</w:t>
      </w:r>
      <w:r w:rsidRPr="003337F3">
        <w:rPr>
          <w:lang w:val="ru-RU"/>
        </w:rPr>
        <w:t>-</w:t>
      </w:r>
      <w:r w:rsidRPr="003337F3">
        <w:t>release</w:t>
      </w:r>
      <w:r w:rsidRPr="003337F3">
        <w:rPr>
          <w:lang w:val="ru-RU"/>
        </w:rPr>
        <w:t>-13</w:t>
      </w:r>
      <w:r w:rsidRPr="003337F3">
        <w:t>dec</w:t>
      </w:r>
      <w:r w:rsidRPr="003337F3">
        <w:rPr>
          <w:lang w:val="ru-RU"/>
        </w:rPr>
        <w:t>16-</w:t>
      </w:r>
      <w:r w:rsidRPr="003337F3">
        <w:t>en</w:t>
      </w:r>
      <w:r w:rsidRPr="003337F3">
        <w:rPr>
          <w:lang w:val="ru-RU"/>
        </w:rPr>
        <w:t>.</w:t>
      </w:r>
      <w:r w:rsidRPr="003337F3">
        <w:t>pdf</w:t>
      </w:r>
      <w:r w:rsidRPr="003337F3">
        <w:rPr>
          <w:lang w:val="ru-RU"/>
        </w:rPr>
        <w:t>.</w:t>
      </w:r>
    </w:p>
  </w:footnote>
  <w:footnote w:id="73">
    <w:p w:rsidR="002D49EB" w:rsidRPr="00EC6362" w:rsidRDefault="002D49EB" w:rsidP="00263C54">
      <w:pPr>
        <w:pStyle w:val="FootnoteText"/>
        <w:tabs>
          <w:tab w:val="left" w:pos="567"/>
        </w:tabs>
        <w:rPr>
          <w:lang w:val="ru-RU"/>
        </w:rPr>
      </w:pPr>
      <w:r w:rsidRPr="003337F3">
        <w:rPr>
          <w:rStyle w:val="FootnoteReference"/>
        </w:rPr>
        <w:footnoteRef/>
      </w:r>
      <w:r w:rsidRPr="00EC6362">
        <w:rPr>
          <w:lang w:val="ru-RU"/>
        </w:rPr>
        <w:t xml:space="preserve"> </w:t>
      </w:r>
      <w:r w:rsidRPr="00EC6362">
        <w:rPr>
          <w:lang w:val="ru-RU"/>
        </w:rPr>
        <w:tab/>
      </w:r>
      <w:r w:rsidRPr="003337F3">
        <w:rPr>
          <w:lang w:val="ru-RU"/>
        </w:rPr>
        <w:t>См.</w:t>
      </w:r>
      <w:r w:rsidRPr="00EC6362">
        <w:rPr>
          <w:lang w:val="ru-RU"/>
        </w:rPr>
        <w:t xml:space="preserve"> </w:t>
      </w:r>
      <w:r w:rsidRPr="003337F3">
        <w:t>https</w:t>
      </w:r>
      <w:r w:rsidRPr="00EC6362">
        <w:rPr>
          <w:lang w:val="ru-RU"/>
        </w:rPr>
        <w:t>://</w:t>
      </w:r>
      <w:r w:rsidRPr="003337F3">
        <w:t>forum</w:t>
      </w:r>
      <w:r w:rsidRPr="00EC6362">
        <w:rPr>
          <w:lang w:val="ru-RU"/>
        </w:rPr>
        <w:t>.</w:t>
      </w:r>
      <w:r w:rsidRPr="003337F3">
        <w:t>icann</w:t>
      </w:r>
      <w:r w:rsidRPr="00EC6362">
        <w:rPr>
          <w:lang w:val="ru-RU"/>
        </w:rPr>
        <w:t>.</w:t>
      </w:r>
      <w:r w:rsidRPr="003337F3">
        <w:t>org</w:t>
      </w:r>
      <w:r w:rsidRPr="00EC6362">
        <w:rPr>
          <w:lang w:val="ru-RU"/>
        </w:rPr>
        <w:t>/</w:t>
      </w:r>
      <w:r w:rsidRPr="003337F3">
        <w:t>lists</w:t>
      </w:r>
      <w:r w:rsidRPr="00EC6362">
        <w:rPr>
          <w:lang w:val="ru-RU"/>
        </w:rPr>
        <w:t>/</w:t>
      </w:r>
      <w:r w:rsidRPr="003337F3">
        <w:t>comments</w:t>
      </w:r>
      <w:r w:rsidRPr="00EC6362">
        <w:rPr>
          <w:lang w:val="ru-RU"/>
        </w:rPr>
        <w:t>-</w:t>
      </w:r>
      <w:r w:rsidRPr="003337F3">
        <w:t>proposed</w:t>
      </w:r>
      <w:r w:rsidRPr="00EC6362">
        <w:rPr>
          <w:lang w:val="ru-RU"/>
        </w:rPr>
        <w:t>-</w:t>
      </w:r>
      <w:r w:rsidRPr="003337F3">
        <w:t>measures</w:t>
      </w:r>
      <w:r w:rsidRPr="00EC6362">
        <w:rPr>
          <w:lang w:val="ru-RU"/>
        </w:rPr>
        <w:t>-</w:t>
      </w:r>
      <w:r w:rsidRPr="003337F3">
        <w:t>two</w:t>
      </w:r>
      <w:r w:rsidRPr="00EC6362">
        <w:rPr>
          <w:lang w:val="ru-RU"/>
        </w:rPr>
        <w:t>-</w:t>
      </w:r>
      <w:r w:rsidRPr="003337F3">
        <w:t>char</w:t>
      </w:r>
      <w:r w:rsidRPr="00EC6362">
        <w:rPr>
          <w:lang w:val="ru-RU"/>
        </w:rPr>
        <w:t>-08</w:t>
      </w:r>
      <w:r w:rsidRPr="003337F3">
        <w:t>jul</w:t>
      </w:r>
      <w:r w:rsidRPr="00EC6362">
        <w:rPr>
          <w:lang w:val="ru-RU"/>
        </w:rPr>
        <w:t>16/</w:t>
      </w:r>
      <w:r w:rsidRPr="003337F3">
        <w:t>pdfECmcS</w:t>
      </w:r>
      <w:r w:rsidRPr="00EC6362">
        <w:rPr>
          <w:lang w:val="ru-RU"/>
        </w:rPr>
        <w:t>9</w:t>
      </w:r>
      <w:r w:rsidRPr="003337F3">
        <w:t>knuk</w:t>
      </w:r>
      <w:r w:rsidRPr="00EC6362">
        <w:rPr>
          <w:lang w:val="ru-RU"/>
        </w:rPr>
        <w:t>.</w:t>
      </w:r>
      <w:r w:rsidRPr="003337F3">
        <w:t>pdf</w:t>
      </w:r>
      <w:r w:rsidRPr="00EC6362">
        <w:rPr>
          <w:lang w:val="ru-RU"/>
        </w:rPr>
        <w:t xml:space="preserve">. </w:t>
      </w:r>
    </w:p>
  </w:footnote>
  <w:footnote w:id="74">
    <w:p w:rsidR="002D49EB" w:rsidRPr="00EC6362" w:rsidRDefault="002D49EB" w:rsidP="00263C54">
      <w:pPr>
        <w:pStyle w:val="FootnoteText"/>
        <w:rPr>
          <w:lang w:val="ru-RU"/>
        </w:rPr>
      </w:pPr>
      <w:r w:rsidRPr="003337F3">
        <w:rPr>
          <w:rStyle w:val="FootnoteReference"/>
        </w:rPr>
        <w:footnoteRef/>
      </w:r>
      <w:r w:rsidRPr="00EC6362">
        <w:rPr>
          <w:lang w:val="ru-RU"/>
        </w:rPr>
        <w:t xml:space="preserve"> </w:t>
      </w:r>
      <w:r w:rsidRPr="00EC6362">
        <w:rPr>
          <w:lang w:val="ru-RU"/>
        </w:rPr>
        <w:tab/>
      </w:r>
      <w:r w:rsidRPr="003337F3">
        <w:rPr>
          <w:lang w:val="ru-RU"/>
        </w:rPr>
        <w:t>См.</w:t>
      </w:r>
      <w:r w:rsidRPr="00EC6362">
        <w:rPr>
          <w:lang w:val="ru-RU"/>
        </w:rPr>
        <w:t xml:space="preserve"> </w:t>
      </w:r>
      <w:r w:rsidRPr="003337F3">
        <w:t>https</w:t>
      </w:r>
      <w:r w:rsidRPr="00EC6362">
        <w:rPr>
          <w:lang w:val="ru-RU"/>
        </w:rPr>
        <w:t>://</w:t>
      </w:r>
      <w:r w:rsidRPr="003337F3">
        <w:t>static</w:t>
      </w:r>
      <w:r w:rsidRPr="00EC6362">
        <w:rPr>
          <w:lang w:val="ru-RU"/>
        </w:rPr>
        <w:t>.</w:t>
      </w:r>
      <w:r w:rsidRPr="003337F3">
        <w:t>ptbl</w:t>
      </w:r>
      <w:r w:rsidRPr="00EC6362">
        <w:rPr>
          <w:lang w:val="ru-RU"/>
        </w:rPr>
        <w:t>.</w:t>
      </w:r>
      <w:r w:rsidRPr="003337F3">
        <w:t>co</w:t>
      </w:r>
      <w:r w:rsidRPr="00EC6362">
        <w:rPr>
          <w:lang w:val="ru-RU"/>
        </w:rPr>
        <w:t>/</w:t>
      </w:r>
      <w:r w:rsidRPr="003337F3">
        <w:t>static</w:t>
      </w:r>
      <w:r w:rsidRPr="00EC6362">
        <w:rPr>
          <w:lang w:val="ru-RU"/>
        </w:rPr>
        <w:t>/</w:t>
      </w:r>
      <w:r w:rsidRPr="003337F3">
        <w:t>attachments</w:t>
      </w:r>
      <w:r w:rsidRPr="00EC6362">
        <w:rPr>
          <w:lang w:val="ru-RU"/>
        </w:rPr>
        <w:t>/169910/1521228229.</w:t>
      </w:r>
      <w:r w:rsidRPr="003337F3">
        <w:t>pdf</w:t>
      </w:r>
      <w:r w:rsidRPr="00EC6362">
        <w:rPr>
          <w:lang w:val="ru-RU"/>
        </w:rPr>
        <w:t xml:space="preserve">?1521228229. </w:t>
      </w:r>
    </w:p>
  </w:footnote>
  <w:footnote w:id="75">
    <w:p w:rsidR="002D49EB" w:rsidRPr="00EC6362" w:rsidRDefault="002D49EB" w:rsidP="00263C54">
      <w:pPr>
        <w:pStyle w:val="FootnoteText"/>
        <w:rPr>
          <w:b/>
          <w:szCs w:val="18"/>
          <w:lang w:val="ru-RU"/>
        </w:rPr>
      </w:pPr>
      <w:r w:rsidRPr="003337F3">
        <w:rPr>
          <w:rStyle w:val="FootnoteReference"/>
        </w:rPr>
        <w:footnoteRef/>
      </w:r>
      <w:r w:rsidRPr="00EC6362">
        <w:rPr>
          <w:rStyle w:val="FootnoteReference"/>
          <w:lang w:val="ru-RU"/>
        </w:rPr>
        <w:t xml:space="preserve"> </w:t>
      </w:r>
      <w:r w:rsidRPr="00EC6362">
        <w:rPr>
          <w:szCs w:val="18"/>
          <w:lang w:val="ru-RU"/>
        </w:rPr>
        <w:tab/>
      </w:r>
      <w:r w:rsidRPr="003337F3">
        <w:rPr>
          <w:szCs w:val="18"/>
          <w:lang w:val="ru-RU"/>
        </w:rPr>
        <w:t xml:space="preserve">См., например, документы </w:t>
      </w:r>
      <w:r w:rsidRPr="003337F3">
        <w:rPr>
          <w:szCs w:val="18"/>
        </w:rPr>
        <w:t>SCT</w:t>
      </w:r>
      <w:r w:rsidRPr="003337F3">
        <w:rPr>
          <w:szCs w:val="18"/>
          <w:lang w:val="ru-RU"/>
        </w:rPr>
        <w:t xml:space="preserve">/24/4, </w:t>
      </w:r>
      <w:r w:rsidRPr="003337F3">
        <w:rPr>
          <w:szCs w:val="18"/>
        </w:rPr>
        <w:t>SCT</w:t>
      </w:r>
      <w:r w:rsidRPr="003337F3">
        <w:rPr>
          <w:szCs w:val="18"/>
          <w:lang w:val="ru-RU"/>
        </w:rPr>
        <w:t xml:space="preserve"> 25/3, </w:t>
      </w:r>
      <w:r w:rsidRPr="003337F3">
        <w:rPr>
          <w:szCs w:val="18"/>
        </w:rPr>
        <w:t>SCT</w:t>
      </w:r>
      <w:r w:rsidRPr="003337F3">
        <w:rPr>
          <w:szCs w:val="18"/>
          <w:lang w:val="ru-RU"/>
        </w:rPr>
        <w:t xml:space="preserve"> 26/6 и 27/8. Также см. документ </w:t>
      </w:r>
      <w:r w:rsidRPr="003337F3">
        <w:rPr>
          <w:szCs w:val="18"/>
        </w:rPr>
        <w:t>SCT</w:t>
      </w:r>
      <w:r w:rsidRPr="00EC6362">
        <w:rPr>
          <w:szCs w:val="18"/>
          <w:lang w:val="ru-RU"/>
        </w:rPr>
        <w:t>/</w:t>
      </w:r>
      <w:r w:rsidRPr="003337F3">
        <w:rPr>
          <w:szCs w:val="18"/>
        </w:rPr>
        <w:t>IS</w:t>
      </w:r>
      <w:r w:rsidRPr="00EC6362">
        <w:rPr>
          <w:szCs w:val="18"/>
          <w:lang w:val="ru-RU"/>
        </w:rPr>
        <w:t>/</w:t>
      </w:r>
      <w:r w:rsidRPr="003337F3">
        <w:rPr>
          <w:szCs w:val="18"/>
        </w:rPr>
        <w:t>GEO</w:t>
      </w:r>
      <w:r w:rsidRPr="00EC6362">
        <w:rPr>
          <w:szCs w:val="18"/>
          <w:lang w:val="ru-RU"/>
        </w:rPr>
        <w:t>/</w:t>
      </w:r>
      <w:r w:rsidRPr="003337F3">
        <w:rPr>
          <w:szCs w:val="18"/>
        </w:rPr>
        <w:t>GE</w:t>
      </w:r>
      <w:r w:rsidRPr="00EC6362">
        <w:rPr>
          <w:szCs w:val="18"/>
          <w:lang w:val="ru-RU"/>
        </w:rPr>
        <w:t>/17.</w:t>
      </w:r>
    </w:p>
  </w:footnote>
  <w:footnote w:id="76">
    <w:p w:rsidR="002D49EB" w:rsidRPr="00EC6362" w:rsidRDefault="002D49EB" w:rsidP="00263C54">
      <w:pPr>
        <w:pStyle w:val="FootnoteText"/>
        <w:rPr>
          <w:lang w:val="ru-RU"/>
        </w:rPr>
      </w:pPr>
      <w:r>
        <w:rPr>
          <w:rStyle w:val="FootnoteReference"/>
        </w:rPr>
        <w:footnoteRef/>
      </w:r>
      <w:r w:rsidRPr="00EC6362">
        <w:rPr>
          <w:lang w:val="ru-RU"/>
        </w:rPr>
        <w:t xml:space="preserve"> </w:t>
      </w:r>
      <w:r w:rsidRPr="00EC6362">
        <w:rPr>
          <w:lang w:val="ru-RU"/>
        </w:rPr>
        <w:tab/>
      </w:r>
      <w:r>
        <w:rPr>
          <w:lang w:val="ru-RU"/>
        </w:rPr>
        <w:t>См. документ</w:t>
      </w:r>
      <w:r w:rsidRPr="00EC6362">
        <w:rPr>
          <w:lang w:val="ru-RU"/>
        </w:rPr>
        <w:t xml:space="preserve"> </w:t>
      </w:r>
      <w:r>
        <w:t>SCT</w:t>
      </w:r>
      <w:r w:rsidRPr="00EC6362">
        <w:rPr>
          <w:lang w:val="ru-RU"/>
        </w:rPr>
        <w:t xml:space="preserve">39/7.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EB" w:rsidRDefault="002D49EB" w:rsidP="00477D6B">
    <w:pPr>
      <w:jc w:val="right"/>
    </w:pPr>
    <w:bookmarkStart w:id="7" w:name="Code2"/>
    <w:bookmarkEnd w:id="7"/>
    <w:r>
      <w:t>WO/GA/50/10</w:t>
    </w:r>
  </w:p>
  <w:p w:rsidR="002D49EB" w:rsidRDefault="002D49EB" w:rsidP="00477D6B">
    <w:pPr>
      <w:jc w:val="right"/>
    </w:pPr>
    <w:r>
      <w:rPr>
        <w:lang w:val="ru-RU"/>
      </w:rPr>
      <w:t>стр.</w:t>
    </w:r>
    <w:r>
      <w:t xml:space="preserve"> </w:t>
    </w:r>
    <w:r>
      <w:fldChar w:fldCharType="begin"/>
    </w:r>
    <w:r>
      <w:instrText xml:space="preserve"> PAGE  \* MERGEFORMAT </w:instrText>
    </w:r>
    <w:r>
      <w:fldChar w:fldCharType="separate"/>
    </w:r>
    <w:r w:rsidR="003C71DC">
      <w:rPr>
        <w:noProof/>
      </w:rPr>
      <w:t>16</w:t>
    </w:r>
    <w:r>
      <w:fldChar w:fldCharType="end"/>
    </w:r>
  </w:p>
  <w:p w:rsidR="002D49EB" w:rsidRDefault="002D49EB" w:rsidP="00477D6B">
    <w:pPr>
      <w:jc w:val="right"/>
    </w:pPr>
  </w:p>
  <w:p w:rsidR="002D49EB" w:rsidRDefault="002D49E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2B1B9B"/>
    <w:multiLevelType w:val="hybridMultilevel"/>
    <w:tmpl w:val="6F3CB878"/>
    <w:lvl w:ilvl="0" w:tplc="35F67E7C">
      <w:start w:val="1"/>
      <w:numFmt w:val="lowerLetter"/>
      <w:lvlText w:val="(%1)"/>
      <w:lvlJc w:val="left"/>
      <w:pPr>
        <w:ind w:left="2061" w:hanging="360"/>
      </w:pPr>
      <w:rPr>
        <w:rFonts w:hint="default"/>
        <w:u w:val="none"/>
      </w:rPr>
    </w:lvl>
    <w:lvl w:ilvl="1" w:tplc="040A0019" w:tentative="1">
      <w:start w:val="1"/>
      <w:numFmt w:val="lowerLetter"/>
      <w:lvlText w:val="%2."/>
      <w:lvlJc w:val="left"/>
      <w:pPr>
        <w:ind w:left="2781" w:hanging="360"/>
      </w:pPr>
    </w:lvl>
    <w:lvl w:ilvl="2" w:tplc="040A001B" w:tentative="1">
      <w:start w:val="1"/>
      <w:numFmt w:val="lowerRoman"/>
      <w:lvlText w:val="%3."/>
      <w:lvlJc w:val="right"/>
      <w:pPr>
        <w:ind w:left="3501" w:hanging="180"/>
      </w:pPr>
    </w:lvl>
    <w:lvl w:ilvl="3" w:tplc="040A000F" w:tentative="1">
      <w:start w:val="1"/>
      <w:numFmt w:val="decimal"/>
      <w:lvlText w:val="%4."/>
      <w:lvlJc w:val="left"/>
      <w:pPr>
        <w:ind w:left="4221" w:hanging="360"/>
      </w:pPr>
    </w:lvl>
    <w:lvl w:ilvl="4" w:tplc="040A0019" w:tentative="1">
      <w:start w:val="1"/>
      <w:numFmt w:val="lowerLetter"/>
      <w:lvlText w:val="%5."/>
      <w:lvlJc w:val="left"/>
      <w:pPr>
        <w:ind w:left="4941" w:hanging="360"/>
      </w:pPr>
    </w:lvl>
    <w:lvl w:ilvl="5" w:tplc="040A001B" w:tentative="1">
      <w:start w:val="1"/>
      <w:numFmt w:val="lowerRoman"/>
      <w:lvlText w:val="%6."/>
      <w:lvlJc w:val="right"/>
      <w:pPr>
        <w:ind w:left="5661" w:hanging="180"/>
      </w:pPr>
    </w:lvl>
    <w:lvl w:ilvl="6" w:tplc="040A000F" w:tentative="1">
      <w:start w:val="1"/>
      <w:numFmt w:val="decimal"/>
      <w:lvlText w:val="%7."/>
      <w:lvlJc w:val="left"/>
      <w:pPr>
        <w:ind w:left="6381" w:hanging="360"/>
      </w:pPr>
    </w:lvl>
    <w:lvl w:ilvl="7" w:tplc="040A0019" w:tentative="1">
      <w:start w:val="1"/>
      <w:numFmt w:val="lowerLetter"/>
      <w:lvlText w:val="%8."/>
      <w:lvlJc w:val="left"/>
      <w:pPr>
        <w:ind w:left="7101" w:hanging="360"/>
      </w:pPr>
    </w:lvl>
    <w:lvl w:ilvl="8" w:tplc="040A001B" w:tentative="1">
      <w:start w:val="1"/>
      <w:numFmt w:val="lowerRoman"/>
      <w:lvlText w:val="%9."/>
      <w:lvlJc w:val="right"/>
      <w:pPr>
        <w:ind w:left="7821" w:hanging="180"/>
      </w:pPr>
    </w:lvl>
  </w:abstractNum>
  <w:abstractNum w:abstractNumId="3">
    <w:nsid w:val="147E6B91"/>
    <w:multiLevelType w:val="multilevel"/>
    <w:tmpl w:val="953C86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26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EDD2F2D"/>
    <w:multiLevelType w:val="hybridMultilevel"/>
    <w:tmpl w:val="08282136"/>
    <w:lvl w:ilvl="0" w:tplc="578876E2">
      <w:start w:val="1"/>
      <w:numFmt w:val="lowerLetter"/>
      <w:lvlText w:val="(%1)"/>
      <w:lvlJc w:val="left"/>
      <w:pPr>
        <w:ind w:left="2061" w:hanging="360"/>
      </w:pPr>
      <w:rPr>
        <w:rFonts w:hint="default"/>
        <w:u w:val="none"/>
      </w:rPr>
    </w:lvl>
    <w:lvl w:ilvl="1" w:tplc="040A0019" w:tentative="1">
      <w:start w:val="1"/>
      <w:numFmt w:val="lowerLetter"/>
      <w:lvlText w:val="%2."/>
      <w:lvlJc w:val="left"/>
      <w:pPr>
        <w:ind w:left="2781" w:hanging="360"/>
      </w:pPr>
    </w:lvl>
    <w:lvl w:ilvl="2" w:tplc="040A001B" w:tentative="1">
      <w:start w:val="1"/>
      <w:numFmt w:val="lowerRoman"/>
      <w:lvlText w:val="%3."/>
      <w:lvlJc w:val="right"/>
      <w:pPr>
        <w:ind w:left="3501" w:hanging="180"/>
      </w:pPr>
    </w:lvl>
    <w:lvl w:ilvl="3" w:tplc="040A000F" w:tentative="1">
      <w:start w:val="1"/>
      <w:numFmt w:val="decimal"/>
      <w:lvlText w:val="%4."/>
      <w:lvlJc w:val="left"/>
      <w:pPr>
        <w:ind w:left="4221" w:hanging="360"/>
      </w:pPr>
    </w:lvl>
    <w:lvl w:ilvl="4" w:tplc="040A0019" w:tentative="1">
      <w:start w:val="1"/>
      <w:numFmt w:val="lowerLetter"/>
      <w:lvlText w:val="%5."/>
      <w:lvlJc w:val="left"/>
      <w:pPr>
        <w:ind w:left="4941" w:hanging="360"/>
      </w:pPr>
    </w:lvl>
    <w:lvl w:ilvl="5" w:tplc="040A001B" w:tentative="1">
      <w:start w:val="1"/>
      <w:numFmt w:val="lowerRoman"/>
      <w:lvlText w:val="%6."/>
      <w:lvlJc w:val="right"/>
      <w:pPr>
        <w:ind w:left="5661" w:hanging="180"/>
      </w:pPr>
    </w:lvl>
    <w:lvl w:ilvl="6" w:tplc="040A000F" w:tentative="1">
      <w:start w:val="1"/>
      <w:numFmt w:val="decimal"/>
      <w:lvlText w:val="%7."/>
      <w:lvlJc w:val="left"/>
      <w:pPr>
        <w:ind w:left="6381" w:hanging="360"/>
      </w:pPr>
    </w:lvl>
    <w:lvl w:ilvl="7" w:tplc="040A0019" w:tentative="1">
      <w:start w:val="1"/>
      <w:numFmt w:val="lowerLetter"/>
      <w:lvlText w:val="%8."/>
      <w:lvlJc w:val="left"/>
      <w:pPr>
        <w:ind w:left="7101" w:hanging="360"/>
      </w:pPr>
    </w:lvl>
    <w:lvl w:ilvl="8" w:tplc="040A001B" w:tentative="1">
      <w:start w:val="1"/>
      <w:numFmt w:val="lowerRoman"/>
      <w:lvlText w:val="%9."/>
      <w:lvlJc w:val="right"/>
      <w:pPr>
        <w:ind w:left="7821" w:hanging="180"/>
      </w:pPr>
    </w:lvl>
  </w:abstractNum>
  <w:abstractNum w:abstractNumId="6">
    <w:nsid w:val="1F845436"/>
    <w:multiLevelType w:val="hybridMultilevel"/>
    <w:tmpl w:val="A876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6C6849"/>
    <w:multiLevelType w:val="hybridMultilevel"/>
    <w:tmpl w:val="CBC4D42A"/>
    <w:lvl w:ilvl="0" w:tplc="F4D062F8">
      <w:start w:val="1"/>
      <w:numFmt w:val="lowerLetter"/>
      <w:lvlText w:val="(%1)"/>
      <w:lvlJc w:val="left"/>
      <w:pPr>
        <w:ind w:left="1287" w:hanging="360"/>
      </w:pPr>
      <w:rPr>
        <w:rFonts w:hint="default"/>
      </w:r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10">
    <w:nsid w:val="3FBE2461"/>
    <w:multiLevelType w:val="hybridMultilevel"/>
    <w:tmpl w:val="4FA27BB2"/>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0512BFA"/>
    <w:multiLevelType w:val="hybridMultilevel"/>
    <w:tmpl w:val="74427792"/>
    <w:lvl w:ilvl="0" w:tplc="2F9CDFF6">
      <w:start w:val="1"/>
      <w:numFmt w:val="lowerLetter"/>
      <w:pStyle w:val="Heading3"/>
      <w:lvlText w:val="(%1)"/>
      <w:lvlJc w:val="left"/>
      <w:pPr>
        <w:ind w:left="1494" w:hanging="360"/>
      </w:pPr>
      <w:rPr>
        <w:rFonts w:hint="default"/>
        <w:u w:val="none"/>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C363F4"/>
    <w:multiLevelType w:val="hybridMultilevel"/>
    <w:tmpl w:val="2BE20824"/>
    <w:lvl w:ilvl="0" w:tplc="C77A2D90">
      <w:start w:val="1"/>
      <w:numFmt w:val="lowerLetter"/>
      <w:lvlText w:val="(%1)"/>
      <w:lvlJc w:val="left"/>
      <w:pPr>
        <w:ind w:left="2061" w:hanging="360"/>
      </w:pPr>
      <w:rPr>
        <w:rFonts w:hint="default"/>
      </w:rPr>
    </w:lvl>
    <w:lvl w:ilvl="1" w:tplc="040A0019" w:tentative="1">
      <w:start w:val="1"/>
      <w:numFmt w:val="lowerLetter"/>
      <w:lvlText w:val="%2."/>
      <w:lvlJc w:val="left"/>
      <w:pPr>
        <w:ind w:left="2781" w:hanging="360"/>
      </w:pPr>
    </w:lvl>
    <w:lvl w:ilvl="2" w:tplc="040A001B" w:tentative="1">
      <w:start w:val="1"/>
      <w:numFmt w:val="lowerRoman"/>
      <w:lvlText w:val="%3."/>
      <w:lvlJc w:val="right"/>
      <w:pPr>
        <w:ind w:left="3501" w:hanging="180"/>
      </w:pPr>
    </w:lvl>
    <w:lvl w:ilvl="3" w:tplc="040A000F" w:tentative="1">
      <w:start w:val="1"/>
      <w:numFmt w:val="decimal"/>
      <w:lvlText w:val="%4."/>
      <w:lvlJc w:val="left"/>
      <w:pPr>
        <w:ind w:left="4221" w:hanging="360"/>
      </w:pPr>
    </w:lvl>
    <w:lvl w:ilvl="4" w:tplc="040A0019" w:tentative="1">
      <w:start w:val="1"/>
      <w:numFmt w:val="lowerLetter"/>
      <w:lvlText w:val="%5."/>
      <w:lvlJc w:val="left"/>
      <w:pPr>
        <w:ind w:left="4941" w:hanging="360"/>
      </w:pPr>
    </w:lvl>
    <w:lvl w:ilvl="5" w:tplc="040A001B" w:tentative="1">
      <w:start w:val="1"/>
      <w:numFmt w:val="lowerRoman"/>
      <w:lvlText w:val="%6."/>
      <w:lvlJc w:val="right"/>
      <w:pPr>
        <w:ind w:left="5661" w:hanging="180"/>
      </w:pPr>
    </w:lvl>
    <w:lvl w:ilvl="6" w:tplc="040A000F" w:tentative="1">
      <w:start w:val="1"/>
      <w:numFmt w:val="decimal"/>
      <w:lvlText w:val="%7."/>
      <w:lvlJc w:val="left"/>
      <w:pPr>
        <w:ind w:left="6381" w:hanging="360"/>
      </w:pPr>
    </w:lvl>
    <w:lvl w:ilvl="7" w:tplc="040A0019" w:tentative="1">
      <w:start w:val="1"/>
      <w:numFmt w:val="lowerLetter"/>
      <w:lvlText w:val="%8."/>
      <w:lvlJc w:val="left"/>
      <w:pPr>
        <w:ind w:left="7101" w:hanging="360"/>
      </w:pPr>
    </w:lvl>
    <w:lvl w:ilvl="8" w:tplc="040A001B" w:tentative="1">
      <w:start w:val="1"/>
      <w:numFmt w:val="lowerRoman"/>
      <w:lvlText w:val="%9."/>
      <w:lvlJc w:val="right"/>
      <w:pPr>
        <w:ind w:left="7821" w:hanging="180"/>
      </w:pPr>
    </w:lvl>
  </w:abstractNum>
  <w:abstractNum w:abstractNumId="15">
    <w:nsid w:val="575E0627"/>
    <w:multiLevelType w:val="hybridMultilevel"/>
    <w:tmpl w:val="A5E4C9E8"/>
    <w:lvl w:ilvl="0" w:tplc="65D6598E">
      <w:start w:val="1"/>
      <w:numFmt w:val="lowerLetter"/>
      <w:lvlText w:val="(%1)"/>
      <w:lvlJc w:val="left"/>
      <w:pPr>
        <w:ind w:left="1854" w:hanging="360"/>
      </w:pPr>
      <w:rPr>
        <w:rFonts w:hint="default"/>
        <w:u w:val="none"/>
      </w:rPr>
    </w:lvl>
    <w:lvl w:ilvl="1" w:tplc="040A0019" w:tentative="1">
      <w:start w:val="1"/>
      <w:numFmt w:val="lowerLetter"/>
      <w:lvlText w:val="%2."/>
      <w:lvlJc w:val="left"/>
      <w:pPr>
        <w:ind w:left="2574" w:hanging="360"/>
      </w:pPr>
    </w:lvl>
    <w:lvl w:ilvl="2" w:tplc="040A001B" w:tentative="1">
      <w:start w:val="1"/>
      <w:numFmt w:val="lowerRoman"/>
      <w:lvlText w:val="%3."/>
      <w:lvlJc w:val="right"/>
      <w:pPr>
        <w:ind w:left="3294" w:hanging="180"/>
      </w:pPr>
    </w:lvl>
    <w:lvl w:ilvl="3" w:tplc="040A000F" w:tentative="1">
      <w:start w:val="1"/>
      <w:numFmt w:val="decimal"/>
      <w:lvlText w:val="%4."/>
      <w:lvlJc w:val="left"/>
      <w:pPr>
        <w:ind w:left="4014" w:hanging="360"/>
      </w:pPr>
    </w:lvl>
    <w:lvl w:ilvl="4" w:tplc="040A0019" w:tentative="1">
      <w:start w:val="1"/>
      <w:numFmt w:val="lowerLetter"/>
      <w:lvlText w:val="%5."/>
      <w:lvlJc w:val="left"/>
      <w:pPr>
        <w:ind w:left="4734" w:hanging="360"/>
      </w:pPr>
    </w:lvl>
    <w:lvl w:ilvl="5" w:tplc="040A001B" w:tentative="1">
      <w:start w:val="1"/>
      <w:numFmt w:val="lowerRoman"/>
      <w:lvlText w:val="%6."/>
      <w:lvlJc w:val="right"/>
      <w:pPr>
        <w:ind w:left="5454" w:hanging="180"/>
      </w:pPr>
    </w:lvl>
    <w:lvl w:ilvl="6" w:tplc="040A000F" w:tentative="1">
      <w:start w:val="1"/>
      <w:numFmt w:val="decimal"/>
      <w:lvlText w:val="%7."/>
      <w:lvlJc w:val="left"/>
      <w:pPr>
        <w:ind w:left="6174" w:hanging="360"/>
      </w:pPr>
    </w:lvl>
    <w:lvl w:ilvl="7" w:tplc="040A0019" w:tentative="1">
      <w:start w:val="1"/>
      <w:numFmt w:val="lowerLetter"/>
      <w:lvlText w:val="%8."/>
      <w:lvlJc w:val="left"/>
      <w:pPr>
        <w:ind w:left="6894" w:hanging="360"/>
      </w:pPr>
    </w:lvl>
    <w:lvl w:ilvl="8" w:tplc="040A001B" w:tentative="1">
      <w:start w:val="1"/>
      <w:numFmt w:val="lowerRoman"/>
      <w:lvlText w:val="%9."/>
      <w:lvlJc w:val="right"/>
      <w:pPr>
        <w:ind w:left="7614" w:hanging="180"/>
      </w:pPr>
    </w:lvl>
  </w:abstractNum>
  <w:abstractNum w:abstractNumId="16">
    <w:nsid w:val="58FE4652"/>
    <w:multiLevelType w:val="hybridMultilevel"/>
    <w:tmpl w:val="B4584386"/>
    <w:lvl w:ilvl="0" w:tplc="E312B1CA">
      <w:start w:val="1"/>
      <w:numFmt w:val="lowerLetter"/>
      <w:lvlText w:val="(%1)"/>
      <w:lvlJc w:val="left"/>
      <w:pPr>
        <w:ind w:left="1854" w:hanging="360"/>
      </w:pPr>
      <w:rPr>
        <w:rFonts w:hint="default"/>
        <w:u w:val="none"/>
      </w:rPr>
    </w:lvl>
    <w:lvl w:ilvl="1" w:tplc="040A0019" w:tentative="1">
      <w:start w:val="1"/>
      <w:numFmt w:val="lowerLetter"/>
      <w:lvlText w:val="%2."/>
      <w:lvlJc w:val="left"/>
      <w:pPr>
        <w:ind w:left="2574" w:hanging="360"/>
      </w:pPr>
    </w:lvl>
    <w:lvl w:ilvl="2" w:tplc="040A001B" w:tentative="1">
      <w:start w:val="1"/>
      <w:numFmt w:val="lowerRoman"/>
      <w:lvlText w:val="%3."/>
      <w:lvlJc w:val="right"/>
      <w:pPr>
        <w:ind w:left="3294" w:hanging="180"/>
      </w:pPr>
    </w:lvl>
    <w:lvl w:ilvl="3" w:tplc="040A000F" w:tentative="1">
      <w:start w:val="1"/>
      <w:numFmt w:val="decimal"/>
      <w:lvlText w:val="%4."/>
      <w:lvlJc w:val="left"/>
      <w:pPr>
        <w:ind w:left="4014" w:hanging="360"/>
      </w:pPr>
    </w:lvl>
    <w:lvl w:ilvl="4" w:tplc="040A0019" w:tentative="1">
      <w:start w:val="1"/>
      <w:numFmt w:val="lowerLetter"/>
      <w:lvlText w:val="%5."/>
      <w:lvlJc w:val="left"/>
      <w:pPr>
        <w:ind w:left="4734" w:hanging="360"/>
      </w:pPr>
    </w:lvl>
    <w:lvl w:ilvl="5" w:tplc="040A001B" w:tentative="1">
      <w:start w:val="1"/>
      <w:numFmt w:val="lowerRoman"/>
      <w:lvlText w:val="%6."/>
      <w:lvlJc w:val="right"/>
      <w:pPr>
        <w:ind w:left="5454" w:hanging="180"/>
      </w:pPr>
    </w:lvl>
    <w:lvl w:ilvl="6" w:tplc="040A000F" w:tentative="1">
      <w:start w:val="1"/>
      <w:numFmt w:val="decimal"/>
      <w:lvlText w:val="%7."/>
      <w:lvlJc w:val="left"/>
      <w:pPr>
        <w:ind w:left="6174" w:hanging="360"/>
      </w:pPr>
    </w:lvl>
    <w:lvl w:ilvl="7" w:tplc="040A0019" w:tentative="1">
      <w:start w:val="1"/>
      <w:numFmt w:val="lowerLetter"/>
      <w:lvlText w:val="%8."/>
      <w:lvlJc w:val="left"/>
      <w:pPr>
        <w:ind w:left="6894" w:hanging="360"/>
      </w:pPr>
    </w:lvl>
    <w:lvl w:ilvl="8" w:tplc="040A001B" w:tentative="1">
      <w:start w:val="1"/>
      <w:numFmt w:val="lowerRoman"/>
      <w:lvlText w:val="%9."/>
      <w:lvlJc w:val="right"/>
      <w:pPr>
        <w:ind w:left="7614" w:hanging="180"/>
      </w:pPr>
    </w:lvl>
  </w:abstractNum>
  <w:abstractNum w:abstractNumId="17">
    <w:nsid w:val="59EA20E6"/>
    <w:multiLevelType w:val="hybridMultilevel"/>
    <w:tmpl w:val="AE7EBBC0"/>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63D22EF0"/>
    <w:multiLevelType w:val="hybridMultilevel"/>
    <w:tmpl w:val="8402E0EE"/>
    <w:lvl w:ilvl="0" w:tplc="867266B4">
      <w:start w:val="1"/>
      <w:numFmt w:val="lowerLetter"/>
      <w:lvlText w:val="(%1)"/>
      <w:lvlJc w:val="left"/>
      <w:pPr>
        <w:ind w:left="1287" w:hanging="360"/>
      </w:pPr>
      <w:rPr>
        <w:rFonts w:hint="default"/>
        <w:u w:val="no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67544159"/>
    <w:multiLevelType w:val="hybridMultilevel"/>
    <w:tmpl w:val="0108ED04"/>
    <w:lvl w:ilvl="0" w:tplc="730AEB68">
      <w:start w:val="1"/>
      <w:numFmt w:val="lowerLetter"/>
      <w:lvlText w:val="(%1)"/>
      <w:lvlJc w:val="left"/>
      <w:pPr>
        <w:ind w:left="2280" w:hanging="360"/>
      </w:pPr>
      <w:rPr>
        <w:rFonts w:hint="default"/>
        <w:u w:val="none"/>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nsid w:val="6EEC14B3"/>
    <w:multiLevelType w:val="hybridMultilevel"/>
    <w:tmpl w:val="4C8E34C8"/>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nsid w:val="70A81B41"/>
    <w:multiLevelType w:val="hybridMultilevel"/>
    <w:tmpl w:val="5A8E5CBE"/>
    <w:lvl w:ilvl="0" w:tplc="1B8633AA">
      <w:start w:val="1"/>
      <w:numFmt w:val="lowerRoman"/>
      <w:pStyle w:val="ADRGuideital"/>
      <w:lvlText w:val="(%1)"/>
      <w:lvlJc w:val="left"/>
      <w:pPr>
        <w:ind w:left="1854"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454990"/>
    <w:multiLevelType w:val="hybridMultilevel"/>
    <w:tmpl w:val="CA8C07D6"/>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87869EC"/>
    <w:multiLevelType w:val="hybridMultilevel"/>
    <w:tmpl w:val="A34E88EA"/>
    <w:lvl w:ilvl="0" w:tplc="E66C8154">
      <w:start w:val="1"/>
      <w:numFmt w:val="lowerLetter"/>
      <w:pStyle w:val="Heading5"/>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2"/>
  </w:num>
  <w:num w:numId="3">
    <w:abstractNumId w:val="0"/>
  </w:num>
  <w:num w:numId="4">
    <w:abstractNumId w:val="13"/>
  </w:num>
  <w:num w:numId="5">
    <w:abstractNumId w:val="1"/>
  </w:num>
  <w:num w:numId="6">
    <w:abstractNumId w:val="7"/>
  </w:num>
  <w:num w:numId="7">
    <w:abstractNumId w:val="8"/>
  </w:num>
  <w:num w:numId="8">
    <w:abstractNumId w:val="3"/>
  </w:num>
  <w:num w:numId="9">
    <w:abstractNumId w:val="22"/>
  </w:num>
  <w:num w:numId="10">
    <w:abstractNumId w:val="20"/>
  </w:num>
  <w:num w:numId="11">
    <w:abstractNumId w:val="17"/>
  </w:num>
  <w:num w:numId="12">
    <w:abstractNumId w:val="10"/>
  </w:num>
  <w:num w:numId="13">
    <w:abstractNumId w:val="18"/>
  </w:num>
  <w:num w:numId="14">
    <w:abstractNumId w:val="19"/>
  </w:num>
  <w:num w:numId="15">
    <w:abstractNumId w:val="6"/>
  </w:num>
  <w:num w:numId="16">
    <w:abstractNumId w:val="21"/>
  </w:num>
  <w:num w:numId="17">
    <w:abstractNumId w:val="23"/>
  </w:num>
  <w:num w:numId="18">
    <w:abstractNumId w:val="23"/>
  </w:num>
  <w:num w:numId="19">
    <w:abstractNumId w:val="9"/>
  </w:num>
  <w:num w:numId="20">
    <w:abstractNumId w:val="15"/>
  </w:num>
  <w:num w:numId="21">
    <w:abstractNumId w:val="8"/>
  </w:num>
  <w:num w:numId="22">
    <w:abstractNumId w:val="8"/>
  </w:num>
  <w:num w:numId="23">
    <w:abstractNumId w:val="8"/>
    <w:lvlOverride w:ilvl="0">
      <w:startOverride w:val="1"/>
    </w:lvlOverride>
    <w:lvlOverride w:ilvl="1">
      <w:startOverride w:val="2"/>
    </w:lvlOverride>
  </w:num>
  <w:num w:numId="24">
    <w:abstractNumId w:val="16"/>
  </w:num>
  <w:num w:numId="25">
    <w:abstractNumId w:val="14"/>
  </w:num>
  <w:num w:numId="26">
    <w:abstractNumId w:val="14"/>
    <w:lvlOverride w:ilvl="0">
      <w:startOverride w:val="1"/>
    </w:lvlOverride>
  </w:num>
  <w:num w:numId="27">
    <w:abstractNumId w:val="14"/>
    <w:lvlOverride w:ilvl="0">
      <w:startOverride w:val="1"/>
    </w:lvlOverride>
  </w:num>
  <w:num w:numId="28">
    <w:abstractNumId w:val="14"/>
  </w:num>
  <w:num w:numId="29">
    <w:abstractNumId w:val="14"/>
    <w:lvlOverride w:ilvl="0">
      <w:startOverride w:val="1"/>
    </w:lvlOverride>
  </w:num>
  <w:num w:numId="30">
    <w:abstractNumId w:val="14"/>
    <w:lvlOverride w:ilvl="0">
      <w:startOverride w:val="1"/>
    </w:lvlOverride>
  </w:num>
  <w:num w:numId="31">
    <w:abstractNumId w:val="14"/>
  </w:num>
  <w:num w:numId="32">
    <w:abstractNumId w:val="14"/>
  </w:num>
  <w:num w:numId="33">
    <w:abstractNumId w:val="14"/>
    <w:lvlOverride w:ilvl="0">
      <w:startOverride w:val="1"/>
    </w:lvlOverride>
  </w:num>
  <w:num w:numId="34">
    <w:abstractNumId w:val="2"/>
  </w:num>
  <w:num w:numId="35">
    <w:abstractNumId w:val="14"/>
  </w:num>
  <w:num w:numId="36">
    <w:abstractNumId w:val="5"/>
  </w:num>
  <w:num w:numId="37">
    <w:abstractNumId w:val="11"/>
  </w:num>
  <w:num w:numId="38">
    <w:abstractNumId w:val="11"/>
    <w:lvlOverride w:ilvl="0">
      <w:startOverride w:val="1"/>
    </w:lvlOverride>
  </w:num>
  <w:num w:numId="39">
    <w:abstractNumId w:val="11"/>
  </w:num>
  <w:num w:numId="40">
    <w:abstractNumId w:val="11"/>
  </w:num>
  <w:num w:numId="41">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185"/>
    <w:rsid w:val="00034839"/>
    <w:rsid w:val="00043B50"/>
    <w:rsid w:val="00043CAA"/>
    <w:rsid w:val="00046EFB"/>
    <w:rsid w:val="00056D33"/>
    <w:rsid w:val="00075432"/>
    <w:rsid w:val="000765C4"/>
    <w:rsid w:val="0009409B"/>
    <w:rsid w:val="000968ED"/>
    <w:rsid w:val="000A5374"/>
    <w:rsid w:val="000B0B4B"/>
    <w:rsid w:val="000C117A"/>
    <w:rsid w:val="000C129A"/>
    <w:rsid w:val="000F5AE8"/>
    <w:rsid w:val="000F5E56"/>
    <w:rsid w:val="0011227A"/>
    <w:rsid w:val="00115CCE"/>
    <w:rsid w:val="001163E5"/>
    <w:rsid w:val="00120D3A"/>
    <w:rsid w:val="00131C85"/>
    <w:rsid w:val="00133DDB"/>
    <w:rsid w:val="001362EE"/>
    <w:rsid w:val="00140198"/>
    <w:rsid w:val="00156693"/>
    <w:rsid w:val="001647D5"/>
    <w:rsid w:val="00170B59"/>
    <w:rsid w:val="001776C3"/>
    <w:rsid w:val="001832A6"/>
    <w:rsid w:val="00187AEF"/>
    <w:rsid w:val="001C1F48"/>
    <w:rsid w:val="001D16C3"/>
    <w:rsid w:val="001D2E7F"/>
    <w:rsid w:val="001D5C95"/>
    <w:rsid w:val="001D60CE"/>
    <w:rsid w:val="001E26EC"/>
    <w:rsid w:val="00207DB5"/>
    <w:rsid w:val="0021217E"/>
    <w:rsid w:val="00212E34"/>
    <w:rsid w:val="00215BEF"/>
    <w:rsid w:val="00222C8C"/>
    <w:rsid w:val="002354E5"/>
    <w:rsid w:val="00235972"/>
    <w:rsid w:val="0023629A"/>
    <w:rsid w:val="0024114E"/>
    <w:rsid w:val="00243B12"/>
    <w:rsid w:val="002501B0"/>
    <w:rsid w:val="00262A46"/>
    <w:rsid w:val="002634C4"/>
    <w:rsid w:val="00263C54"/>
    <w:rsid w:val="00264B78"/>
    <w:rsid w:val="00277054"/>
    <w:rsid w:val="00281985"/>
    <w:rsid w:val="002928D3"/>
    <w:rsid w:val="002938BA"/>
    <w:rsid w:val="002D49EB"/>
    <w:rsid w:val="002D5E85"/>
    <w:rsid w:val="002E2229"/>
    <w:rsid w:val="002F1FE6"/>
    <w:rsid w:val="002F4E68"/>
    <w:rsid w:val="0030201F"/>
    <w:rsid w:val="00312F7F"/>
    <w:rsid w:val="003151C8"/>
    <w:rsid w:val="003238EC"/>
    <w:rsid w:val="0032676B"/>
    <w:rsid w:val="003337F3"/>
    <w:rsid w:val="00337FAC"/>
    <w:rsid w:val="00341FF8"/>
    <w:rsid w:val="00347958"/>
    <w:rsid w:val="00350AE2"/>
    <w:rsid w:val="0035174C"/>
    <w:rsid w:val="00355914"/>
    <w:rsid w:val="00361450"/>
    <w:rsid w:val="003673CF"/>
    <w:rsid w:val="00367BC5"/>
    <w:rsid w:val="003845C1"/>
    <w:rsid w:val="00390893"/>
    <w:rsid w:val="00392FBD"/>
    <w:rsid w:val="003A24E6"/>
    <w:rsid w:val="003A6F89"/>
    <w:rsid w:val="003A76D0"/>
    <w:rsid w:val="003B38C1"/>
    <w:rsid w:val="003C71DC"/>
    <w:rsid w:val="003D4F8D"/>
    <w:rsid w:val="003D57B0"/>
    <w:rsid w:val="003D6FBB"/>
    <w:rsid w:val="004162A0"/>
    <w:rsid w:val="00423008"/>
    <w:rsid w:val="00423C17"/>
    <w:rsid w:val="00423E3E"/>
    <w:rsid w:val="00427AF4"/>
    <w:rsid w:val="00433EBA"/>
    <w:rsid w:val="004543B0"/>
    <w:rsid w:val="004548F2"/>
    <w:rsid w:val="004647DA"/>
    <w:rsid w:val="0046584B"/>
    <w:rsid w:val="00474062"/>
    <w:rsid w:val="00477D6B"/>
    <w:rsid w:val="00483FA0"/>
    <w:rsid w:val="00490791"/>
    <w:rsid w:val="004B297D"/>
    <w:rsid w:val="004B776F"/>
    <w:rsid w:val="004C2277"/>
    <w:rsid w:val="004C6545"/>
    <w:rsid w:val="004D0223"/>
    <w:rsid w:val="004D6A80"/>
    <w:rsid w:val="004D7B0A"/>
    <w:rsid w:val="004E3B4B"/>
    <w:rsid w:val="005019FF"/>
    <w:rsid w:val="005212E9"/>
    <w:rsid w:val="00522FCC"/>
    <w:rsid w:val="00524465"/>
    <w:rsid w:val="0053057A"/>
    <w:rsid w:val="00537802"/>
    <w:rsid w:val="00554351"/>
    <w:rsid w:val="00560A29"/>
    <w:rsid w:val="00583579"/>
    <w:rsid w:val="005A71D9"/>
    <w:rsid w:val="005A7B1D"/>
    <w:rsid w:val="005B5B05"/>
    <w:rsid w:val="005C3088"/>
    <w:rsid w:val="005C6649"/>
    <w:rsid w:val="005D6741"/>
    <w:rsid w:val="00605827"/>
    <w:rsid w:val="00605D04"/>
    <w:rsid w:val="006302BA"/>
    <w:rsid w:val="00640B9A"/>
    <w:rsid w:val="0064385B"/>
    <w:rsid w:val="00646050"/>
    <w:rsid w:val="00653668"/>
    <w:rsid w:val="00667185"/>
    <w:rsid w:val="006713CA"/>
    <w:rsid w:val="00676C5C"/>
    <w:rsid w:val="00690D13"/>
    <w:rsid w:val="006963BF"/>
    <w:rsid w:val="006A67B2"/>
    <w:rsid w:val="006D12BC"/>
    <w:rsid w:val="006E197D"/>
    <w:rsid w:val="006E4F5F"/>
    <w:rsid w:val="006F00EE"/>
    <w:rsid w:val="006F62BD"/>
    <w:rsid w:val="0070036D"/>
    <w:rsid w:val="007028EA"/>
    <w:rsid w:val="007060CD"/>
    <w:rsid w:val="00716634"/>
    <w:rsid w:val="007515ED"/>
    <w:rsid w:val="00751FE5"/>
    <w:rsid w:val="0076240F"/>
    <w:rsid w:val="00762D85"/>
    <w:rsid w:val="00764B0F"/>
    <w:rsid w:val="00777A81"/>
    <w:rsid w:val="007A5C7B"/>
    <w:rsid w:val="007B4E97"/>
    <w:rsid w:val="007D1613"/>
    <w:rsid w:val="007E4C0E"/>
    <w:rsid w:val="007F1C90"/>
    <w:rsid w:val="007F1FA1"/>
    <w:rsid w:val="007F3B7B"/>
    <w:rsid w:val="008019FD"/>
    <w:rsid w:val="0082403B"/>
    <w:rsid w:val="00827322"/>
    <w:rsid w:val="0083743A"/>
    <w:rsid w:val="00860537"/>
    <w:rsid w:val="0086425D"/>
    <w:rsid w:val="00877718"/>
    <w:rsid w:val="008778D0"/>
    <w:rsid w:val="008A134B"/>
    <w:rsid w:val="008A196F"/>
    <w:rsid w:val="008A2746"/>
    <w:rsid w:val="008A5667"/>
    <w:rsid w:val="008A7AE5"/>
    <w:rsid w:val="008B2CC1"/>
    <w:rsid w:val="008B60B2"/>
    <w:rsid w:val="008E0A66"/>
    <w:rsid w:val="008E6339"/>
    <w:rsid w:val="008F7F46"/>
    <w:rsid w:val="0090146B"/>
    <w:rsid w:val="0090731E"/>
    <w:rsid w:val="00916EE2"/>
    <w:rsid w:val="009414CE"/>
    <w:rsid w:val="00942489"/>
    <w:rsid w:val="00960B7C"/>
    <w:rsid w:val="00966A22"/>
    <w:rsid w:val="0096722F"/>
    <w:rsid w:val="00973BBB"/>
    <w:rsid w:val="00980843"/>
    <w:rsid w:val="00993493"/>
    <w:rsid w:val="009B2316"/>
    <w:rsid w:val="009B2AC1"/>
    <w:rsid w:val="009B6225"/>
    <w:rsid w:val="009C127D"/>
    <w:rsid w:val="009C4924"/>
    <w:rsid w:val="009C5B66"/>
    <w:rsid w:val="009D6030"/>
    <w:rsid w:val="009E2791"/>
    <w:rsid w:val="009E3F6F"/>
    <w:rsid w:val="009F0236"/>
    <w:rsid w:val="009F499F"/>
    <w:rsid w:val="009F5614"/>
    <w:rsid w:val="00A260DD"/>
    <w:rsid w:val="00A37342"/>
    <w:rsid w:val="00A42DAF"/>
    <w:rsid w:val="00A45BD8"/>
    <w:rsid w:val="00A4650B"/>
    <w:rsid w:val="00A4682E"/>
    <w:rsid w:val="00A76CA2"/>
    <w:rsid w:val="00A84418"/>
    <w:rsid w:val="00A869B7"/>
    <w:rsid w:val="00A86DB6"/>
    <w:rsid w:val="00A96862"/>
    <w:rsid w:val="00AA2DD4"/>
    <w:rsid w:val="00AA35FD"/>
    <w:rsid w:val="00AC205C"/>
    <w:rsid w:val="00AE7761"/>
    <w:rsid w:val="00AF0A6B"/>
    <w:rsid w:val="00B0432D"/>
    <w:rsid w:val="00B05A69"/>
    <w:rsid w:val="00B07B13"/>
    <w:rsid w:val="00B12228"/>
    <w:rsid w:val="00B1715A"/>
    <w:rsid w:val="00B339DE"/>
    <w:rsid w:val="00B422BF"/>
    <w:rsid w:val="00B44019"/>
    <w:rsid w:val="00B67D28"/>
    <w:rsid w:val="00B717EC"/>
    <w:rsid w:val="00B8082E"/>
    <w:rsid w:val="00B9734B"/>
    <w:rsid w:val="00BA30E2"/>
    <w:rsid w:val="00BA46CA"/>
    <w:rsid w:val="00BA500F"/>
    <w:rsid w:val="00BA5FFF"/>
    <w:rsid w:val="00BE1B45"/>
    <w:rsid w:val="00BF59A8"/>
    <w:rsid w:val="00C00DEA"/>
    <w:rsid w:val="00C0621C"/>
    <w:rsid w:val="00C11BFE"/>
    <w:rsid w:val="00C23D6C"/>
    <w:rsid w:val="00C26148"/>
    <w:rsid w:val="00C27F47"/>
    <w:rsid w:val="00C35127"/>
    <w:rsid w:val="00C41B8E"/>
    <w:rsid w:val="00C46086"/>
    <w:rsid w:val="00C5068F"/>
    <w:rsid w:val="00C50BC4"/>
    <w:rsid w:val="00C66252"/>
    <w:rsid w:val="00C8290A"/>
    <w:rsid w:val="00C86D74"/>
    <w:rsid w:val="00CB3DB5"/>
    <w:rsid w:val="00CD04F1"/>
    <w:rsid w:val="00CD1A1A"/>
    <w:rsid w:val="00CD7F59"/>
    <w:rsid w:val="00D07EB9"/>
    <w:rsid w:val="00D17DED"/>
    <w:rsid w:val="00D25A7F"/>
    <w:rsid w:val="00D44A0B"/>
    <w:rsid w:val="00D44D31"/>
    <w:rsid w:val="00D45252"/>
    <w:rsid w:val="00D53AA6"/>
    <w:rsid w:val="00D61DBA"/>
    <w:rsid w:val="00D64168"/>
    <w:rsid w:val="00D66E37"/>
    <w:rsid w:val="00D66EE3"/>
    <w:rsid w:val="00D71B4D"/>
    <w:rsid w:val="00D72626"/>
    <w:rsid w:val="00D93D55"/>
    <w:rsid w:val="00DA120E"/>
    <w:rsid w:val="00DB2EDB"/>
    <w:rsid w:val="00DC159E"/>
    <w:rsid w:val="00DD4E9F"/>
    <w:rsid w:val="00DD6647"/>
    <w:rsid w:val="00DD7FF9"/>
    <w:rsid w:val="00DF023A"/>
    <w:rsid w:val="00DF116D"/>
    <w:rsid w:val="00DF383E"/>
    <w:rsid w:val="00DF5DF6"/>
    <w:rsid w:val="00E15015"/>
    <w:rsid w:val="00E335FE"/>
    <w:rsid w:val="00E43AF5"/>
    <w:rsid w:val="00E44751"/>
    <w:rsid w:val="00E47505"/>
    <w:rsid w:val="00E51460"/>
    <w:rsid w:val="00E760C0"/>
    <w:rsid w:val="00E85557"/>
    <w:rsid w:val="00E86964"/>
    <w:rsid w:val="00E91743"/>
    <w:rsid w:val="00EA7D6E"/>
    <w:rsid w:val="00EB2F06"/>
    <w:rsid w:val="00EC1EDF"/>
    <w:rsid w:val="00EC4E49"/>
    <w:rsid w:val="00EC6362"/>
    <w:rsid w:val="00ED098F"/>
    <w:rsid w:val="00ED5933"/>
    <w:rsid w:val="00ED6103"/>
    <w:rsid w:val="00ED77FB"/>
    <w:rsid w:val="00EE0984"/>
    <w:rsid w:val="00EE254D"/>
    <w:rsid w:val="00EE45FA"/>
    <w:rsid w:val="00EF02A8"/>
    <w:rsid w:val="00F32C5D"/>
    <w:rsid w:val="00F447B9"/>
    <w:rsid w:val="00F46324"/>
    <w:rsid w:val="00F66152"/>
    <w:rsid w:val="00F83CEE"/>
    <w:rsid w:val="00F96D69"/>
    <w:rsid w:val="00FD07B1"/>
    <w:rsid w:val="00FD129C"/>
    <w:rsid w:val="00FE1AD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qFormat/>
    <w:rsid w:val="00034839"/>
    <w:pPr>
      <w:keepNext/>
      <w:keepLines/>
      <w:spacing w:after="600"/>
      <w:outlineLvl w:val="0"/>
    </w:pPr>
    <w:rPr>
      <w:b/>
      <w:bCs/>
      <w:kern w:val="32"/>
      <w:szCs w:val="22"/>
    </w:rPr>
  </w:style>
  <w:style w:type="paragraph" w:styleId="Heading2">
    <w:name w:val="heading 2"/>
    <w:basedOn w:val="Normal"/>
    <w:next w:val="Normal"/>
    <w:autoRedefine/>
    <w:qFormat/>
    <w:rsid w:val="004C6545"/>
    <w:pPr>
      <w:keepNext/>
      <w:spacing w:after="240"/>
      <w:ind w:left="1134" w:hanging="567"/>
      <w:outlineLvl w:val="1"/>
    </w:pPr>
    <w:rPr>
      <w:bCs/>
      <w:iCs/>
      <w:caps/>
      <w:szCs w:val="22"/>
    </w:rPr>
  </w:style>
  <w:style w:type="paragraph" w:styleId="Heading3">
    <w:name w:val="heading 3"/>
    <w:basedOn w:val="Normal"/>
    <w:next w:val="Normal"/>
    <w:link w:val="Heading3Char"/>
    <w:rsid w:val="00212E34"/>
    <w:pPr>
      <w:keepNext/>
      <w:keepLines/>
      <w:numPr>
        <w:numId w:val="37"/>
      </w:numPr>
      <w:spacing w:before="240" w:after="240"/>
      <w:outlineLvl w:val="2"/>
    </w:pPr>
    <w:rPr>
      <w:bCs/>
      <w:szCs w:val="26"/>
      <w:u w:val="single"/>
    </w:rPr>
  </w:style>
  <w:style w:type="paragraph" w:styleId="Heading4">
    <w:name w:val="heading 4"/>
    <w:basedOn w:val="Normal"/>
    <w:next w:val="Normal"/>
    <w:autoRedefine/>
    <w:qFormat/>
    <w:rsid w:val="00DB2EDB"/>
    <w:pPr>
      <w:keepNext/>
      <w:spacing w:before="240" w:after="60"/>
      <w:ind w:left="1134" w:firstLine="567"/>
      <w:outlineLvl w:val="3"/>
    </w:pPr>
    <w:rPr>
      <w:bCs/>
      <w:szCs w:val="28"/>
    </w:rPr>
  </w:style>
  <w:style w:type="paragraph" w:styleId="Heading5">
    <w:name w:val="heading 5"/>
    <w:basedOn w:val="Normal"/>
    <w:next w:val="Normal"/>
    <w:link w:val="Heading5Char"/>
    <w:autoRedefine/>
    <w:qFormat/>
    <w:rsid w:val="00F32C5D"/>
    <w:pPr>
      <w:keepNext/>
      <w:keepLines/>
      <w:numPr>
        <w:numId w:val="17"/>
      </w:numPr>
      <w:spacing w:before="240" w:after="60"/>
      <w:ind w:left="1701" w:hanging="567"/>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F32C5D"/>
    <w:rPr>
      <w:rFonts w:ascii="Arial" w:eastAsiaTheme="majorEastAsia" w:hAnsi="Arial" w:cstheme="majorBidi"/>
      <w:sz w:val="22"/>
      <w:u w:val="single"/>
      <w:lang w:val="en-US" w:eastAsia="zh-CN"/>
    </w:rPr>
  </w:style>
  <w:style w:type="character" w:customStyle="1" w:styleId="FootnoteTextChar">
    <w:name w:val="Footnote Text Char"/>
    <w:basedOn w:val="DefaultParagraphFont"/>
    <w:link w:val="FootnoteText"/>
    <w:uiPriority w:val="99"/>
    <w:rsid w:val="00BF59A8"/>
    <w:rPr>
      <w:rFonts w:ascii="Arial" w:eastAsia="SimSun" w:hAnsi="Arial" w:cs="Arial"/>
      <w:sz w:val="18"/>
      <w:lang w:val="en-US" w:eastAsia="zh-CN"/>
    </w:rPr>
  </w:style>
  <w:style w:type="paragraph" w:customStyle="1" w:styleId="DecisionInvitingPara">
    <w:name w:val="Decision Inviting Para."/>
    <w:basedOn w:val="Normal"/>
    <w:rsid w:val="00BF59A8"/>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BF59A8"/>
    <w:rPr>
      <w:vertAlign w:val="superscript"/>
    </w:rPr>
  </w:style>
  <w:style w:type="character" w:customStyle="1" w:styleId="ONUMEChar">
    <w:name w:val="ONUM E Char"/>
    <w:link w:val="ONUME"/>
    <w:rsid w:val="00BF59A8"/>
    <w:rPr>
      <w:rFonts w:ascii="Arial" w:eastAsia="SimSun" w:hAnsi="Arial" w:cs="Arial"/>
      <w:sz w:val="22"/>
      <w:lang w:val="en-US" w:eastAsia="zh-CN"/>
    </w:rPr>
  </w:style>
  <w:style w:type="paragraph" w:styleId="ListParagraph">
    <w:name w:val="List Paragraph"/>
    <w:basedOn w:val="Normal"/>
    <w:uiPriority w:val="34"/>
    <w:qFormat/>
    <w:rsid w:val="00BF59A8"/>
    <w:pPr>
      <w:ind w:left="720"/>
      <w:contextualSpacing/>
    </w:pPr>
    <w:rPr>
      <w:rFonts w:eastAsia="Times New Roman" w:cs="Times New Roman"/>
      <w:lang w:eastAsia="en-US"/>
    </w:rPr>
  </w:style>
  <w:style w:type="character" w:customStyle="1" w:styleId="Heading3Char">
    <w:name w:val="Heading 3 Char"/>
    <w:basedOn w:val="DefaultParagraphFont"/>
    <w:link w:val="Heading3"/>
    <w:rsid w:val="00212E34"/>
    <w:rPr>
      <w:rFonts w:ascii="Arial" w:eastAsia="SimSun" w:hAnsi="Arial" w:cs="Arial"/>
      <w:bCs/>
      <w:sz w:val="22"/>
      <w:szCs w:val="26"/>
      <w:u w:val="single"/>
      <w:lang w:val="en-US" w:eastAsia="zh-CN"/>
    </w:rPr>
  </w:style>
  <w:style w:type="character" w:styleId="Hyperlink">
    <w:name w:val="Hyperlink"/>
    <w:basedOn w:val="DefaultParagraphFont"/>
    <w:unhideWhenUsed/>
    <w:rsid w:val="00690D13"/>
    <w:rPr>
      <w:color w:val="0000FF" w:themeColor="hyperlink"/>
      <w:u w:val="single"/>
    </w:rPr>
  </w:style>
  <w:style w:type="paragraph" w:customStyle="1" w:styleId="ADRGuideital">
    <w:name w:val="ADR Guide ital"/>
    <w:basedOn w:val="Normal"/>
    <w:link w:val="ADRGuideitalChar"/>
    <w:qFormat/>
    <w:rsid w:val="00690D13"/>
    <w:pPr>
      <w:numPr>
        <w:numId w:val="16"/>
      </w:numPr>
      <w:tabs>
        <w:tab w:val="left" w:pos="567"/>
        <w:tab w:val="left" w:pos="709"/>
        <w:tab w:val="left" w:pos="1134"/>
        <w:tab w:val="left" w:pos="1560"/>
      </w:tabs>
      <w:spacing w:before="120" w:after="120" w:line="260" w:lineRule="atLeast"/>
      <w:jc w:val="both"/>
    </w:pPr>
    <w:rPr>
      <w:rFonts w:eastAsia="Times New Roman"/>
      <w:i/>
      <w:iCs/>
      <w:sz w:val="20"/>
      <w:lang w:val="en-GB" w:eastAsia="ja-JP"/>
    </w:rPr>
  </w:style>
  <w:style w:type="character" w:customStyle="1" w:styleId="ADRGuideitalChar">
    <w:name w:val="ADR Guide ital Char"/>
    <w:basedOn w:val="DefaultParagraphFont"/>
    <w:link w:val="ADRGuideital"/>
    <w:rsid w:val="00690D13"/>
    <w:rPr>
      <w:rFonts w:ascii="Arial" w:hAnsi="Arial" w:cs="Arial"/>
      <w:i/>
      <w:iCs/>
      <w:lang w:val="en-GB" w:eastAsia="ja-JP"/>
    </w:rPr>
  </w:style>
  <w:style w:type="paragraph" w:styleId="Revision">
    <w:name w:val="Revision"/>
    <w:hidden/>
    <w:uiPriority w:val="99"/>
    <w:semiHidden/>
    <w:rsid w:val="00115CCE"/>
    <w:rPr>
      <w:rFonts w:ascii="Arial" w:eastAsia="SimSun" w:hAnsi="Arial" w:cs="Arial"/>
      <w:sz w:val="22"/>
      <w:lang w:val="en-US" w:eastAsia="zh-CN"/>
    </w:rPr>
  </w:style>
  <w:style w:type="character" w:styleId="BookTitle">
    <w:name w:val="Book Title"/>
    <w:basedOn w:val="DefaultParagraphFont"/>
    <w:uiPriority w:val="33"/>
    <w:qFormat/>
    <w:rsid w:val="00243B12"/>
    <w:rPr>
      <w:rFonts w:ascii="Arial" w:hAnsi="Arial"/>
      <w:b/>
      <w:bCs/>
      <w:caps w:val="0"/>
      <w:smallCaps w:val="0"/>
      <w:color w:val="auto"/>
      <w:spacing w:val="5"/>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qFormat/>
    <w:rsid w:val="00034839"/>
    <w:pPr>
      <w:keepNext/>
      <w:keepLines/>
      <w:spacing w:after="600"/>
      <w:outlineLvl w:val="0"/>
    </w:pPr>
    <w:rPr>
      <w:b/>
      <w:bCs/>
      <w:kern w:val="32"/>
      <w:szCs w:val="22"/>
    </w:rPr>
  </w:style>
  <w:style w:type="paragraph" w:styleId="Heading2">
    <w:name w:val="heading 2"/>
    <w:basedOn w:val="Normal"/>
    <w:next w:val="Normal"/>
    <w:autoRedefine/>
    <w:qFormat/>
    <w:rsid w:val="004C6545"/>
    <w:pPr>
      <w:keepNext/>
      <w:spacing w:after="240"/>
      <w:ind w:left="1134" w:hanging="567"/>
      <w:outlineLvl w:val="1"/>
    </w:pPr>
    <w:rPr>
      <w:bCs/>
      <w:iCs/>
      <w:caps/>
      <w:szCs w:val="22"/>
    </w:rPr>
  </w:style>
  <w:style w:type="paragraph" w:styleId="Heading3">
    <w:name w:val="heading 3"/>
    <w:basedOn w:val="Normal"/>
    <w:next w:val="Normal"/>
    <w:link w:val="Heading3Char"/>
    <w:rsid w:val="00212E34"/>
    <w:pPr>
      <w:keepNext/>
      <w:keepLines/>
      <w:numPr>
        <w:numId w:val="37"/>
      </w:numPr>
      <w:spacing w:before="240" w:after="240"/>
      <w:outlineLvl w:val="2"/>
    </w:pPr>
    <w:rPr>
      <w:bCs/>
      <w:szCs w:val="26"/>
      <w:u w:val="single"/>
    </w:rPr>
  </w:style>
  <w:style w:type="paragraph" w:styleId="Heading4">
    <w:name w:val="heading 4"/>
    <w:basedOn w:val="Normal"/>
    <w:next w:val="Normal"/>
    <w:autoRedefine/>
    <w:qFormat/>
    <w:rsid w:val="00DB2EDB"/>
    <w:pPr>
      <w:keepNext/>
      <w:spacing w:before="240" w:after="60"/>
      <w:ind w:left="1134" w:firstLine="567"/>
      <w:outlineLvl w:val="3"/>
    </w:pPr>
    <w:rPr>
      <w:bCs/>
      <w:szCs w:val="28"/>
    </w:rPr>
  </w:style>
  <w:style w:type="paragraph" w:styleId="Heading5">
    <w:name w:val="heading 5"/>
    <w:basedOn w:val="Normal"/>
    <w:next w:val="Normal"/>
    <w:link w:val="Heading5Char"/>
    <w:autoRedefine/>
    <w:qFormat/>
    <w:rsid w:val="00F32C5D"/>
    <w:pPr>
      <w:keepNext/>
      <w:keepLines/>
      <w:numPr>
        <w:numId w:val="17"/>
      </w:numPr>
      <w:spacing w:before="240" w:after="60"/>
      <w:ind w:left="1701" w:hanging="567"/>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F32C5D"/>
    <w:rPr>
      <w:rFonts w:ascii="Arial" w:eastAsiaTheme="majorEastAsia" w:hAnsi="Arial" w:cstheme="majorBidi"/>
      <w:sz w:val="22"/>
      <w:u w:val="single"/>
      <w:lang w:val="en-US" w:eastAsia="zh-CN"/>
    </w:rPr>
  </w:style>
  <w:style w:type="character" w:customStyle="1" w:styleId="FootnoteTextChar">
    <w:name w:val="Footnote Text Char"/>
    <w:basedOn w:val="DefaultParagraphFont"/>
    <w:link w:val="FootnoteText"/>
    <w:uiPriority w:val="99"/>
    <w:rsid w:val="00BF59A8"/>
    <w:rPr>
      <w:rFonts w:ascii="Arial" w:eastAsia="SimSun" w:hAnsi="Arial" w:cs="Arial"/>
      <w:sz w:val="18"/>
      <w:lang w:val="en-US" w:eastAsia="zh-CN"/>
    </w:rPr>
  </w:style>
  <w:style w:type="paragraph" w:customStyle="1" w:styleId="DecisionInvitingPara">
    <w:name w:val="Decision Inviting Para."/>
    <w:basedOn w:val="Normal"/>
    <w:rsid w:val="00BF59A8"/>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BF59A8"/>
    <w:rPr>
      <w:vertAlign w:val="superscript"/>
    </w:rPr>
  </w:style>
  <w:style w:type="character" w:customStyle="1" w:styleId="ONUMEChar">
    <w:name w:val="ONUM E Char"/>
    <w:link w:val="ONUME"/>
    <w:rsid w:val="00BF59A8"/>
    <w:rPr>
      <w:rFonts w:ascii="Arial" w:eastAsia="SimSun" w:hAnsi="Arial" w:cs="Arial"/>
      <w:sz w:val="22"/>
      <w:lang w:val="en-US" w:eastAsia="zh-CN"/>
    </w:rPr>
  </w:style>
  <w:style w:type="paragraph" w:styleId="ListParagraph">
    <w:name w:val="List Paragraph"/>
    <w:basedOn w:val="Normal"/>
    <w:uiPriority w:val="34"/>
    <w:qFormat/>
    <w:rsid w:val="00BF59A8"/>
    <w:pPr>
      <w:ind w:left="720"/>
      <w:contextualSpacing/>
    </w:pPr>
    <w:rPr>
      <w:rFonts w:eastAsia="Times New Roman" w:cs="Times New Roman"/>
      <w:lang w:eastAsia="en-US"/>
    </w:rPr>
  </w:style>
  <w:style w:type="character" w:customStyle="1" w:styleId="Heading3Char">
    <w:name w:val="Heading 3 Char"/>
    <w:basedOn w:val="DefaultParagraphFont"/>
    <w:link w:val="Heading3"/>
    <w:rsid w:val="00212E34"/>
    <w:rPr>
      <w:rFonts w:ascii="Arial" w:eastAsia="SimSun" w:hAnsi="Arial" w:cs="Arial"/>
      <w:bCs/>
      <w:sz w:val="22"/>
      <w:szCs w:val="26"/>
      <w:u w:val="single"/>
      <w:lang w:val="en-US" w:eastAsia="zh-CN"/>
    </w:rPr>
  </w:style>
  <w:style w:type="character" w:styleId="Hyperlink">
    <w:name w:val="Hyperlink"/>
    <w:basedOn w:val="DefaultParagraphFont"/>
    <w:unhideWhenUsed/>
    <w:rsid w:val="00690D13"/>
    <w:rPr>
      <w:color w:val="0000FF" w:themeColor="hyperlink"/>
      <w:u w:val="single"/>
    </w:rPr>
  </w:style>
  <w:style w:type="paragraph" w:customStyle="1" w:styleId="ADRGuideital">
    <w:name w:val="ADR Guide ital"/>
    <w:basedOn w:val="Normal"/>
    <w:link w:val="ADRGuideitalChar"/>
    <w:qFormat/>
    <w:rsid w:val="00690D13"/>
    <w:pPr>
      <w:numPr>
        <w:numId w:val="16"/>
      </w:numPr>
      <w:tabs>
        <w:tab w:val="left" w:pos="567"/>
        <w:tab w:val="left" w:pos="709"/>
        <w:tab w:val="left" w:pos="1134"/>
        <w:tab w:val="left" w:pos="1560"/>
      </w:tabs>
      <w:spacing w:before="120" w:after="120" w:line="260" w:lineRule="atLeast"/>
      <w:jc w:val="both"/>
    </w:pPr>
    <w:rPr>
      <w:rFonts w:eastAsia="Times New Roman"/>
      <w:i/>
      <w:iCs/>
      <w:sz w:val="20"/>
      <w:lang w:val="en-GB" w:eastAsia="ja-JP"/>
    </w:rPr>
  </w:style>
  <w:style w:type="character" w:customStyle="1" w:styleId="ADRGuideitalChar">
    <w:name w:val="ADR Guide ital Char"/>
    <w:basedOn w:val="DefaultParagraphFont"/>
    <w:link w:val="ADRGuideital"/>
    <w:rsid w:val="00690D13"/>
    <w:rPr>
      <w:rFonts w:ascii="Arial" w:hAnsi="Arial" w:cs="Arial"/>
      <w:i/>
      <w:iCs/>
      <w:lang w:val="en-GB" w:eastAsia="ja-JP"/>
    </w:rPr>
  </w:style>
  <w:style w:type="paragraph" w:styleId="Revision">
    <w:name w:val="Revision"/>
    <w:hidden/>
    <w:uiPriority w:val="99"/>
    <w:semiHidden/>
    <w:rsid w:val="00115CCE"/>
    <w:rPr>
      <w:rFonts w:ascii="Arial" w:eastAsia="SimSun" w:hAnsi="Arial" w:cs="Arial"/>
      <w:sz w:val="22"/>
      <w:lang w:val="en-US" w:eastAsia="zh-CN"/>
    </w:rPr>
  </w:style>
  <w:style w:type="character" w:styleId="BookTitle">
    <w:name w:val="Book Title"/>
    <w:basedOn w:val="DefaultParagraphFont"/>
    <w:uiPriority w:val="33"/>
    <w:qFormat/>
    <w:rsid w:val="00243B12"/>
    <w:rPr>
      <w:rFonts w:ascii="Arial" w:hAnsi="Arial"/>
      <w:b/>
      <w:bCs/>
      <w:caps w:val="0"/>
      <w:smallCaps w:val="0"/>
      <w:color w:val="auto"/>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722975">
      <w:bodyDiv w:val="1"/>
      <w:marLeft w:val="0"/>
      <w:marRight w:val="0"/>
      <w:marTop w:val="0"/>
      <w:marBottom w:val="0"/>
      <w:divBdr>
        <w:top w:val="none" w:sz="0" w:space="0" w:color="auto"/>
        <w:left w:val="none" w:sz="0" w:space="0" w:color="auto"/>
        <w:bottom w:val="none" w:sz="0" w:space="0" w:color="auto"/>
        <w:right w:val="none" w:sz="0" w:space="0" w:color="auto"/>
      </w:divBdr>
    </w:div>
    <w:div w:id="18695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prague44.icann.org/node/31773" TargetMode="External"/><Relationship Id="rId2" Type="http://schemas.openxmlformats.org/officeDocument/2006/relationships/hyperlink" Target="http://www.wipo.int/amc/en/domains/lro/fees/" TargetMode="External"/><Relationship Id="rId1" Type="http://schemas.openxmlformats.org/officeDocument/2006/relationships/hyperlink" Target="http://eng.kocca.kr/en/main.do" TargetMode="External"/><Relationship Id="rId6" Type="http://schemas.openxmlformats.org/officeDocument/2006/relationships/hyperlink" Target="https://www.icann.org/en/system/files/correspondence/gac-to-board-11apr13-en.pdf" TargetMode="External"/><Relationship Id="rId5" Type="http://schemas.openxmlformats.org/officeDocument/2006/relationships/hyperlink" Target="http://www.icann.org/en/news/correspondence/dryden-to-crocker-chalaby-22mar13-en" TargetMode="External"/><Relationship Id="rId4" Type="http://schemas.openxmlformats.org/officeDocument/2006/relationships/hyperlink" Target="http://toronto45.icann.org/node/343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890BB-637C-40BE-B70E-6C58A5380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2</TotalTime>
  <Pages>16</Pages>
  <Words>4750</Words>
  <Characters>29314</Characters>
  <Application>Microsoft Office Word</Application>
  <DocSecurity>0</DocSecurity>
  <Lines>2093</Lines>
  <Paragraphs>1310</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32754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Fifty-Eighth Series of Meetings</dc:subject>
  <dc:creator>RATTRAY Adam</dc:creator>
  <cp:lastModifiedBy>HÄFLIGER Patience</cp:lastModifiedBy>
  <cp:revision>3</cp:revision>
  <cp:lastPrinted>2018-07-24T15:36:00Z</cp:lastPrinted>
  <dcterms:created xsi:type="dcterms:W3CDTF">2018-07-24T15:33:00Z</dcterms:created>
  <dcterms:modified xsi:type="dcterms:W3CDTF">2018-07-24T15:36:00Z</dcterms:modified>
  <cp:category>Assemblies of the Member States of WIPO</cp:category>
</cp:coreProperties>
</file>