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E1F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E1F3D" w:rsidP="00916EE2">
            <w:r w:rsidRPr="0008434B">
              <w:rPr>
                <w:noProof/>
                <w:lang w:eastAsia="en-US"/>
              </w:rPr>
              <w:drawing>
                <wp:inline distT="0" distB="0" distL="0" distR="0" wp14:anchorId="330B92A1" wp14:editId="5E04FA6F">
                  <wp:extent cx="1952625" cy="1438275"/>
                  <wp:effectExtent l="0" t="0" r="9525" b="9525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C06F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25405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54057" w:rsidRDefault="00CA5DC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54057">
              <w:rPr>
                <w:rFonts w:ascii="Arial Black" w:hAnsi="Arial Black"/>
                <w:caps/>
                <w:sz w:val="15"/>
              </w:rPr>
              <w:t>WO/GA/49/</w:t>
            </w:r>
            <w:bookmarkStart w:id="1" w:name="Code"/>
            <w:bookmarkEnd w:id="1"/>
            <w:r w:rsidR="00030FBE">
              <w:rPr>
                <w:rFonts w:ascii="Arial Black" w:hAnsi="Arial Black"/>
                <w:caps/>
                <w:sz w:val="15"/>
              </w:rPr>
              <w:t>18</w:t>
            </w:r>
          </w:p>
        </w:tc>
      </w:tr>
      <w:tr w:rsidR="00AE1F3D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E1F3D" w:rsidRPr="0090731E" w:rsidRDefault="00AE1F3D" w:rsidP="00EB627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 </w:t>
            </w:r>
          </w:p>
        </w:tc>
      </w:tr>
      <w:tr w:rsidR="00AE1F3D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E1F3D" w:rsidRPr="0090731E" w:rsidRDefault="00AE1F3D" w:rsidP="00A81DB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>ДАТА:  2</w:t>
            </w:r>
            <w:r w:rsidR="00A81DB0">
              <w:rPr>
                <w:rFonts w:ascii="Arial Black" w:hAnsi="Arial Black"/>
                <w:caps/>
                <w:sz w:val="15"/>
              </w:rPr>
              <w:t>9</w:t>
            </w: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 сентября 2017 г.  </w:t>
            </w:r>
          </w:p>
        </w:tc>
      </w:tr>
    </w:tbl>
    <w:p w:rsidR="00A44900" w:rsidRDefault="00A44900" w:rsidP="008B2CC1"/>
    <w:p w:rsidR="00A44900" w:rsidRDefault="00A44900" w:rsidP="008B2CC1"/>
    <w:p w:rsidR="00A44900" w:rsidRDefault="00A44900" w:rsidP="008B2CC1"/>
    <w:p w:rsidR="00A44900" w:rsidRDefault="00A44900" w:rsidP="008B2CC1"/>
    <w:p w:rsidR="00A44900" w:rsidRDefault="00A44900" w:rsidP="008B2CC1"/>
    <w:p w:rsidR="00A44900" w:rsidRPr="00A44900" w:rsidRDefault="00891B88" w:rsidP="00891B88">
      <w:pPr>
        <w:rPr>
          <w:b/>
          <w:sz w:val="28"/>
          <w:szCs w:val="28"/>
          <w:lang w:val="ru-RU"/>
        </w:rPr>
      </w:pPr>
      <w:r w:rsidRPr="00891B88">
        <w:rPr>
          <w:b/>
          <w:sz w:val="28"/>
          <w:szCs w:val="28"/>
          <w:lang w:val="ru-RU"/>
        </w:rPr>
        <w:t>Генеральная Ассамблея ВОИС</w:t>
      </w:r>
      <w:r w:rsidR="001101D0" w:rsidRPr="00A44900">
        <w:rPr>
          <w:b/>
          <w:sz w:val="28"/>
          <w:szCs w:val="28"/>
          <w:lang w:val="ru-RU"/>
        </w:rPr>
        <w:t xml:space="preserve"> </w:t>
      </w: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891B88" w:rsidP="00891B88">
      <w:pPr>
        <w:rPr>
          <w:b/>
          <w:sz w:val="24"/>
          <w:szCs w:val="24"/>
          <w:lang w:val="ru-RU"/>
        </w:rPr>
      </w:pPr>
      <w:r w:rsidRPr="00891B88">
        <w:rPr>
          <w:b/>
          <w:sz w:val="24"/>
          <w:szCs w:val="24"/>
          <w:lang w:val="ru-RU"/>
        </w:rPr>
        <w:t>Сорок девятая (23-я очередная) сессия</w:t>
      </w:r>
      <w:r w:rsidR="001101D0" w:rsidRPr="00A44900">
        <w:rPr>
          <w:b/>
          <w:sz w:val="24"/>
          <w:szCs w:val="24"/>
          <w:lang w:val="ru-RU"/>
        </w:rPr>
        <w:t xml:space="preserve"> </w:t>
      </w:r>
    </w:p>
    <w:p w:rsidR="00A44900" w:rsidRPr="00A44900" w:rsidRDefault="00891B88" w:rsidP="00891B88">
      <w:pPr>
        <w:rPr>
          <w:b/>
          <w:sz w:val="24"/>
          <w:szCs w:val="24"/>
          <w:lang w:val="ru-RU"/>
        </w:rPr>
      </w:pPr>
      <w:r w:rsidRPr="00891B88">
        <w:rPr>
          <w:b/>
          <w:sz w:val="24"/>
          <w:szCs w:val="24"/>
          <w:lang w:val="ru-RU"/>
        </w:rPr>
        <w:t>Женева, 2–11 октября 2017 г.</w:t>
      </w: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891B88" w:rsidP="00891B88">
      <w:pPr>
        <w:rPr>
          <w:lang w:val="ru-RU"/>
        </w:rPr>
      </w:pPr>
      <w:r w:rsidRPr="00891B88">
        <w:rPr>
          <w:lang w:val="ru-RU"/>
        </w:rPr>
        <w:t>ПРЕДЛОЖЕНИЕ ЕС В ОТНОШЕНИИ МАНДАТА МКГР НА 2018-2019 ГГ.</w:t>
      </w: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891B88" w:rsidP="00891B88">
      <w:pPr>
        <w:rPr>
          <w:i/>
          <w:lang w:val="ru-RU"/>
        </w:rPr>
      </w:pPr>
      <w:bookmarkStart w:id="2" w:name="Prepared"/>
      <w:bookmarkEnd w:id="2"/>
      <w:r w:rsidRPr="00891B88">
        <w:rPr>
          <w:i/>
          <w:lang w:val="ru-RU"/>
        </w:rPr>
        <w:t>Предложение представлено Постоянной делегацией Европейского союза от имени Европейского союза и его государств-членов</w:t>
      </w: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A44900" w:rsidP="0081310A">
      <w:pPr>
        <w:rPr>
          <w:lang w:val="ru-RU"/>
        </w:rPr>
      </w:pPr>
    </w:p>
    <w:p w:rsidR="00A44900" w:rsidRPr="00A44900" w:rsidRDefault="00A44900" w:rsidP="0081310A">
      <w:pPr>
        <w:rPr>
          <w:szCs w:val="22"/>
          <w:lang w:val="ru-RU"/>
        </w:rPr>
      </w:pPr>
    </w:p>
    <w:p w:rsidR="00A44900" w:rsidRPr="00A81DB0" w:rsidRDefault="00891B88" w:rsidP="00891B88">
      <w:pPr>
        <w:autoSpaceDE w:val="0"/>
        <w:autoSpaceDN w:val="0"/>
        <w:adjustRightInd w:val="0"/>
        <w:rPr>
          <w:szCs w:val="22"/>
          <w:lang w:val="ru-RU"/>
        </w:rPr>
      </w:pPr>
      <w:r w:rsidRPr="00891B88">
        <w:rPr>
          <w:szCs w:val="22"/>
          <w:lang w:val="ru-RU"/>
        </w:rPr>
        <w:t>В сообщении, полученном Секретариатом 27 сентября 2017 г., делегация Европейского союза (ЕС) представила от имени ЕС и его государств-членов прилагаемое предложение в рамках пункта повестки дня «Отчет о работе Межправительственного комитета по интеллектуальной собственности, генетическим ресурсам, традиционным знаниям и фольклору (МКГР)».</w:t>
      </w:r>
    </w:p>
    <w:p w:rsidR="00A44900" w:rsidRPr="00A81DB0" w:rsidRDefault="00A44900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A44900" w:rsidRPr="00A81DB0" w:rsidRDefault="00A44900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A44900" w:rsidRPr="00A81DB0" w:rsidRDefault="00A44900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A44900" w:rsidRPr="00A44900" w:rsidRDefault="00891B88" w:rsidP="00891B88">
      <w:pPr>
        <w:spacing w:after="120" w:line="260" w:lineRule="atLeast"/>
        <w:ind w:left="5500"/>
        <w:contextualSpacing/>
        <w:rPr>
          <w:lang w:val="ru-RU"/>
        </w:rPr>
      </w:pPr>
      <w:r w:rsidRPr="00891B88">
        <w:rPr>
          <w:lang w:val="ru-RU"/>
        </w:rPr>
        <w:t>[Приложение следует]</w:t>
      </w:r>
    </w:p>
    <w:p w:rsidR="00A44900" w:rsidRPr="00A44900" w:rsidRDefault="00A44900" w:rsidP="00D70B35">
      <w:pPr>
        <w:spacing w:after="120" w:line="260" w:lineRule="atLeast"/>
        <w:contextualSpacing/>
        <w:rPr>
          <w:szCs w:val="22"/>
          <w:lang w:val="ru-RU"/>
        </w:rPr>
      </w:pPr>
    </w:p>
    <w:p w:rsidR="00D70B35" w:rsidRPr="00A44900" w:rsidRDefault="00D70B35" w:rsidP="00D70B35">
      <w:pPr>
        <w:spacing w:after="120" w:line="260" w:lineRule="atLeast"/>
        <w:ind w:left="5500"/>
        <w:contextualSpacing/>
        <w:rPr>
          <w:szCs w:val="22"/>
          <w:lang w:val="ru-RU"/>
        </w:rPr>
        <w:sectPr w:rsidR="00D70B35" w:rsidRPr="00A44900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44900" w:rsidRPr="00A44900" w:rsidRDefault="00A44900" w:rsidP="0081310A">
      <w:pPr>
        <w:jc w:val="right"/>
        <w:rPr>
          <w:lang w:val="ru-RU"/>
        </w:rPr>
      </w:pPr>
    </w:p>
    <w:p w:rsidR="00A44900" w:rsidRDefault="00891B88" w:rsidP="00416CCD">
      <w:pPr>
        <w:spacing w:line="259" w:lineRule="auto"/>
        <w:jc w:val="center"/>
        <w:rPr>
          <w:rFonts w:eastAsia="Times New Roman"/>
          <w:b/>
          <w:lang w:val="ru-RU" w:eastAsia="en-US"/>
        </w:rPr>
      </w:pPr>
      <w:r w:rsidRPr="00891B88">
        <w:rPr>
          <w:rFonts w:eastAsia="Times New Roman"/>
          <w:b/>
          <w:lang w:val="ru-RU" w:eastAsia="en-US"/>
        </w:rPr>
        <w:t>Предложение ЕС в отношении мандата МКГР на 2018-2019 гг.</w:t>
      </w:r>
    </w:p>
    <w:p w:rsidR="00A44900" w:rsidRDefault="00A44900" w:rsidP="00416CCD">
      <w:pPr>
        <w:spacing w:line="259" w:lineRule="auto"/>
        <w:rPr>
          <w:rFonts w:eastAsia="Times New Roman"/>
          <w:lang w:val="ru-RU" w:eastAsia="en-US"/>
        </w:rPr>
      </w:pPr>
    </w:p>
    <w:p w:rsidR="00A44900" w:rsidRDefault="00891B88" w:rsidP="00416CCD">
      <w:pPr>
        <w:spacing w:line="259" w:lineRule="auto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Признавая прогресс, достигнутый на различных уровнях </w:t>
      </w:r>
      <w:r w:rsidR="00A628CC">
        <w:rPr>
          <w:rFonts w:eastAsia="Times New Roman"/>
          <w:lang w:val="ru-RU" w:eastAsia="en-US"/>
        </w:rPr>
        <w:t xml:space="preserve">в отношении обсуждаемых вопросов </w:t>
      </w:r>
      <w:r>
        <w:rPr>
          <w:rFonts w:eastAsia="Times New Roman"/>
          <w:lang w:val="ru-RU" w:eastAsia="en-US"/>
        </w:rPr>
        <w:t>в двухлетний период 2016–</w:t>
      </w:r>
      <w:r w:rsidR="00A628CC">
        <w:rPr>
          <w:rFonts w:eastAsia="Times New Roman"/>
          <w:lang w:val="ru-RU" w:eastAsia="en-US"/>
        </w:rPr>
        <w:t xml:space="preserve">2017 гг., и отмечая различая в характере этих вопросов и необходимость соответствующей постановки задач, </w:t>
      </w:r>
      <w:r w:rsidRPr="00891B88">
        <w:rPr>
          <w:rFonts w:eastAsia="Times New Roman"/>
          <w:lang w:val="ru-RU" w:eastAsia="en-US"/>
        </w:rPr>
        <w:t>Генеральная Ассамблея ВОИС принимает следующее решение о возобновлении мандата Межправительственного комитета ВОИС по интеллектуальной собственности, генетическим ресурсам, тра</w:t>
      </w:r>
      <w:r w:rsidR="00A628CC">
        <w:rPr>
          <w:rFonts w:eastAsia="Times New Roman"/>
          <w:lang w:val="ru-RU" w:eastAsia="en-US"/>
        </w:rPr>
        <w:t>диционным знаниям и фольклору («Комитет»</w:t>
      </w:r>
      <w:r w:rsidRPr="00891B88">
        <w:rPr>
          <w:rFonts w:eastAsia="Times New Roman"/>
          <w:lang w:val="ru-RU" w:eastAsia="en-US"/>
        </w:rPr>
        <w:t xml:space="preserve">) без </w:t>
      </w:r>
      <w:r w:rsidR="00A628CC">
        <w:rPr>
          <w:rFonts w:eastAsia="Times New Roman"/>
          <w:lang w:val="ru-RU" w:eastAsia="en-US"/>
        </w:rPr>
        <w:t>ущерба для работы, проводимой в других форумах</w:t>
      </w:r>
      <w:r w:rsidR="00416CCD" w:rsidRPr="00A628CC">
        <w:rPr>
          <w:rFonts w:eastAsia="Times New Roman"/>
          <w:lang w:val="ru-RU" w:eastAsia="en-US"/>
        </w:rPr>
        <w:t>:</w:t>
      </w:r>
      <w:r w:rsidR="00A628CC">
        <w:rPr>
          <w:rFonts w:eastAsia="Times New Roman"/>
          <w:lang w:val="ru-RU" w:eastAsia="en-US"/>
        </w:rPr>
        <w:t xml:space="preserve"> </w:t>
      </w:r>
    </w:p>
    <w:p w:rsidR="00A44900" w:rsidRDefault="00A44900" w:rsidP="00416CCD">
      <w:pPr>
        <w:spacing w:line="259" w:lineRule="auto"/>
        <w:ind w:left="567"/>
        <w:rPr>
          <w:rFonts w:eastAsia="Times New Roman"/>
          <w:lang w:val="ru-RU" w:eastAsia="en-US"/>
        </w:rPr>
      </w:pPr>
    </w:p>
    <w:p w:rsidR="00A44900" w:rsidRDefault="00416CCD" w:rsidP="00416CCD">
      <w:pPr>
        <w:spacing w:line="259" w:lineRule="auto"/>
        <w:ind w:left="567"/>
        <w:rPr>
          <w:rFonts w:eastAsia="Times New Roman"/>
          <w:lang w:val="ru-RU" w:eastAsia="en-US"/>
        </w:rPr>
      </w:pPr>
      <w:r w:rsidRPr="00A81DB0">
        <w:rPr>
          <w:rFonts w:eastAsia="Times New Roman"/>
          <w:lang w:val="ru-RU" w:eastAsia="en-US"/>
        </w:rPr>
        <w:t>(</w:t>
      </w:r>
      <w:r w:rsidRPr="00416CCD">
        <w:rPr>
          <w:rFonts w:eastAsia="Times New Roman"/>
          <w:lang w:val="en-GB" w:eastAsia="en-US"/>
        </w:rPr>
        <w:t>a</w:t>
      </w:r>
      <w:r w:rsidRPr="00A81DB0">
        <w:rPr>
          <w:rFonts w:eastAsia="Times New Roman"/>
          <w:lang w:val="ru-RU" w:eastAsia="en-US"/>
        </w:rPr>
        <w:t>)</w:t>
      </w:r>
      <w:r w:rsidRPr="00A81DB0">
        <w:rPr>
          <w:rFonts w:eastAsia="Times New Roman"/>
          <w:lang w:val="ru-RU" w:eastAsia="en-US"/>
        </w:rPr>
        <w:tab/>
      </w:r>
      <w:r w:rsidR="00A628CC" w:rsidRPr="00DE0475">
        <w:rPr>
          <w:rFonts w:eastAsia="Times New Roman"/>
          <w:lang w:val="ru-RU" w:eastAsia="en-US"/>
        </w:rPr>
        <w:t xml:space="preserve">В следующий двухлетний бюджетный период </w:t>
      </w:r>
      <w:r w:rsidRPr="00DE0475">
        <w:rPr>
          <w:rFonts w:eastAsia="Times New Roman"/>
          <w:lang w:val="ru-RU" w:eastAsia="en-US"/>
        </w:rPr>
        <w:t>2018</w:t>
      </w:r>
      <w:r w:rsidR="00A628CC" w:rsidRPr="00DE0475">
        <w:rPr>
          <w:rFonts w:eastAsia="Times New Roman"/>
          <w:lang w:val="ru-RU" w:eastAsia="en-US"/>
        </w:rPr>
        <w:t>–</w:t>
      </w:r>
      <w:r w:rsidRPr="00DE0475">
        <w:rPr>
          <w:rFonts w:eastAsia="Times New Roman"/>
          <w:lang w:val="ru-RU" w:eastAsia="en-US"/>
        </w:rPr>
        <w:t>2019</w:t>
      </w:r>
      <w:r w:rsidR="00A628CC" w:rsidRPr="00DE0475">
        <w:rPr>
          <w:rFonts w:eastAsia="Times New Roman"/>
          <w:lang w:val="ru-RU" w:eastAsia="en-US"/>
        </w:rPr>
        <w:t xml:space="preserve"> гг. Комитет продолжит осуществление своей работы на основе открытого и полного участия сторон в целях сужения существующих расхождений в отношении </w:t>
      </w:r>
      <w:r w:rsidR="00DE0475" w:rsidRPr="00DE0475">
        <w:rPr>
          <w:rFonts w:eastAsia="Times New Roman"/>
          <w:lang w:val="ru-RU" w:eastAsia="en-US"/>
        </w:rPr>
        <w:t>охраны/защиты генетических ресурсов (ГР), традиционных знаний (ТЗ) и традиционных выражений культуры (ТВК).  Комитет будет стремиться к достижению общей договоренности по всем аспектам мандата на той основе, что окончательное решение возможно только после согласования всех пунктов</w:t>
      </w:r>
      <w:r w:rsidRPr="00DE0475">
        <w:rPr>
          <w:rFonts w:eastAsia="Times New Roman"/>
          <w:lang w:val="ru-RU" w:eastAsia="en-US"/>
        </w:rPr>
        <w:t>.</w:t>
      </w:r>
      <w:r w:rsidR="00442D51">
        <w:rPr>
          <w:rFonts w:eastAsia="Times New Roman"/>
          <w:lang w:val="ru-RU" w:eastAsia="en-US"/>
        </w:rPr>
        <w:t xml:space="preserve"> </w:t>
      </w:r>
    </w:p>
    <w:p w:rsidR="00A44900" w:rsidRDefault="00A44900" w:rsidP="00416CCD">
      <w:pPr>
        <w:spacing w:line="259" w:lineRule="auto"/>
        <w:ind w:left="567"/>
        <w:rPr>
          <w:rFonts w:eastAsia="Times New Roman"/>
          <w:lang w:val="ru-RU" w:eastAsia="en-US"/>
        </w:rPr>
      </w:pPr>
    </w:p>
    <w:p w:rsidR="00A44900" w:rsidRDefault="00416CCD" w:rsidP="00416CCD">
      <w:pPr>
        <w:spacing w:line="259" w:lineRule="auto"/>
        <w:ind w:left="567"/>
        <w:rPr>
          <w:rFonts w:eastAsia="Times New Roman"/>
          <w:lang w:val="ru-RU" w:eastAsia="en-US"/>
        </w:rPr>
      </w:pPr>
      <w:r w:rsidRPr="003F2435">
        <w:rPr>
          <w:rFonts w:eastAsia="Times New Roman"/>
          <w:lang w:val="ru-RU" w:eastAsia="en-US"/>
        </w:rPr>
        <w:t>(</w:t>
      </w:r>
      <w:r w:rsidRPr="00416CCD">
        <w:rPr>
          <w:rFonts w:eastAsia="Times New Roman"/>
          <w:lang w:val="en-GB" w:eastAsia="en-US"/>
        </w:rPr>
        <w:t>b</w:t>
      </w:r>
      <w:r w:rsidRPr="003F2435">
        <w:rPr>
          <w:rFonts w:eastAsia="Times New Roman"/>
          <w:lang w:val="ru-RU" w:eastAsia="en-US"/>
        </w:rPr>
        <w:t>)</w:t>
      </w:r>
      <w:r w:rsidRPr="003F2435">
        <w:rPr>
          <w:rFonts w:eastAsia="Times New Roman"/>
          <w:lang w:val="ru-RU" w:eastAsia="en-US"/>
        </w:rPr>
        <w:tab/>
      </w:r>
      <w:r w:rsidR="009706D4" w:rsidRPr="003F2435">
        <w:rPr>
          <w:rFonts w:eastAsia="Times New Roman"/>
          <w:lang w:val="ru-RU" w:eastAsia="en-US"/>
        </w:rPr>
        <w:t xml:space="preserve">Основное </w:t>
      </w:r>
      <w:r w:rsidR="003F2435" w:rsidRPr="003F2435">
        <w:rPr>
          <w:rFonts w:eastAsia="Times New Roman"/>
          <w:lang w:val="ru-RU" w:eastAsia="en-US"/>
        </w:rPr>
        <w:t xml:space="preserve">внимание в </w:t>
      </w:r>
      <w:r w:rsidR="009706D4">
        <w:rPr>
          <w:rFonts w:eastAsia="Times New Roman"/>
          <w:lang w:val="ru-RU" w:eastAsia="en-US"/>
        </w:rPr>
        <w:t xml:space="preserve">работе Комитета будет </w:t>
      </w:r>
      <w:r w:rsidR="003F2435" w:rsidRPr="003F2435">
        <w:rPr>
          <w:rFonts w:eastAsia="Times New Roman"/>
          <w:lang w:val="ru-RU" w:eastAsia="en-US"/>
        </w:rPr>
        <w:t>удел</w:t>
      </w:r>
      <w:r w:rsidR="009706D4">
        <w:rPr>
          <w:rFonts w:eastAsia="Times New Roman"/>
          <w:lang w:val="ru-RU" w:eastAsia="en-US"/>
        </w:rPr>
        <w:t xml:space="preserve">ено </w:t>
      </w:r>
      <w:r w:rsidR="003F2435" w:rsidRPr="003F2435">
        <w:rPr>
          <w:rFonts w:eastAsia="Times New Roman"/>
          <w:lang w:val="ru-RU" w:eastAsia="en-US"/>
        </w:rPr>
        <w:t xml:space="preserve">достижению общего понимания </w:t>
      </w:r>
      <w:r w:rsidR="009706D4">
        <w:rPr>
          <w:rFonts w:eastAsia="Times New Roman"/>
          <w:lang w:val="ru-RU" w:eastAsia="en-US"/>
        </w:rPr>
        <w:t>в отношении задач Комитета и находящихся на его рассмотрении ключевых вопросов, таких как определения, предмет документов, цели, бенефициары, объем охраны/защиты и связь с общественным достоянием, а также взаимосвязь предмета документов по ГР, ТЗ и ТВК, что является важным условием для проведения значимых переговоров на основе текстов.  После</w:t>
      </w:r>
      <w:r w:rsidR="009706D4" w:rsidRPr="00A856A7">
        <w:rPr>
          <w:rFonts w:eastAsia="Times New Roman"/>
          <w:lang w:val="ru-RU" w:eastAsia="en-US"/>
        </w:rPr>
        <w:t xml:space="preserve"> </w:t>
      </w:r>
      <w:r w:rsidR="009706D4">
        <w:rPr>
          <w:rFonts w:eastAsia="Times New Roman"/>
          <w:lang w:val="ru-RU" w:eastAsia="en-US"/>
        </w:rPr>
        <w:t>достижения</w:t>
      </w:r>
      <w:r w:rsidR="009706D4" w:rsidRPr="00A856A7">
        <w:rPr>
          <w:rFonts w:eastAsia="Times New Roman"/>
          <w:lang w:val="ru-RU" w:eastAsia="en-US"/>
        </w:rPr>
        <w:t xml:space="preserve"> </w:t>
      </w:r>
      <w:r w:rsidR="009706D4">
        <w:rPr>
          <w:rFonts w:eastAsia="Times New Roman"/>
          <w:lang w:val="ru-RU" w:eastAsia="en-US"/>
        </w:rPr>
        <w:t>договоренности</w:t>
      </w:r>
      <w:r w:rsidR="009706D4" w:rsidRPr="00A856A7">
        <w:rPr>
          <w:rFonts w:eastAsia="Times New Roman"/>
          <w:lang w:val="ru-RU" w:eastAsia="en-US"/>
        </w:rPr>
        <w:t xml:space="preserve"> </w:t>
      </w:r>
      <w:r w:rsidR="009706D4">
        <w:rPr>
          <w:rFonts w:eastAsia="Times New Roman"/>
          <w:lang w:val="ru-RU" w:eastAsia="en-US"/>
        </w:rPr>
        <w:t xml:space="preserve">в отношении основных </w:t>
      </w:r>
      <w:r w:rsidR="00A856A7">
        <w:rPr>
          <w:rFonts w:eastAsia="Times New Roman"/>
          <w:lang w:val="ru-RU" w:eastAsia="en-US"/>
        </w:rPr>
        <w:t>целей и определений работа Комитета будет организована следующим образом</w:t>
      </w:r>
      <w:r w:rsidRPr="00A856A7">
        <w:rPr>
          <w:rFonts w:eastAsia="Times New Roman"/>
          <w:lang w:val="ru-RU" w:eastAsia="en-US"/>
        </w:rPr>
        <w:t>:</w:t>
      </w:r>
    </w:p>
    <w:p w:rsidR="00A44900" w:rsidRDefault="00A44900" w:rsidP="00416CCD">
      <w:pPr>
        <w:spacing w:line="259" w:lineRule="auto"/>
        <w:ind w:left="567"/>
        <w:rPr>
          <w:rFonts w:eastAsia="Times New Roman"/>
          <w:lang w:val="ru-RU" w:eastAsia="en-US"/>
        </w:rPr>
      </w:pPr>
    </w:p>
    <w:p w:rsidR="00A44900" w:rsidRDefault="00416CCD" w:rsidP="00416CCD">
      <w:pPr>
        <w:spacing w:line="259" w:lineRule="auto"/>
        <w:ind w:left="1134"/>
        <w:rPr>
          <w:rFonts w:eastAsia="Times New Roman"/>
          <w:lang w:val="ru-RU" w:eastAsia="en-US"/>
        </w:rPr>
      </w:pPr>
      <w:r w:rsidRPr="00A856A7">
        <w:rPr>
          <w:rFonts w:eastAsia="Times New Roman"/>
          <w:lang w:val="ru-RU" w:eastAsia="en-US"/>
        </w:rPr>
        <w:t>(</w:t>
      </w:r>
      <w:proofErr w:type="spellStart"/>
      <w:r w:rsidRPr="00416CCD">
        <w:rPr>
          <w:rFonts w:eastAsia="Times New Roman"/>
          <w:lang w:val="en-GB" w:eastAsia="en-US"/>
        </w:rPr>
        <w:t>i</w:t>
      </w:r>
      <w:proofErr w:type="spellEnd"/>
      <w:r w:rsidRPr="00A856A7">
        <w:rPr>
          <w:rFonts w:eastAsia="Times New Roman"/>
          <w:lang w:val="ru-RU" w:eastAsia="en-US"/>
        </w:rPr>
        <w:t>)</w:t>
      </w:r>
      <w:r w:rsidRPr="00A856A7">
        <w:rPr>
          <w:rFonts w:eastAsia="Times New Roman"/>
          <w:lang w:val="ru-RU" w:eastAsia="en-US"/>
        </w:rPr>
        <w:tab/>
      </w:r>
      <w:r w:rsidR="00B50322">
        <w:rPr>
          <w:rFonts w:eastAsia="Times New Roman"/>
          <w:lang w:val="ru-RU" w:eastAsia="en-US"/>
        </w:rPr>
        <w:t xml:space="preserve">в отношении </w:t>
      </w:r>
      <w:r w:rsidR="00A856A7">
        <w:rPr>
          <w:rFonts w:eastAsia="Times New Roman"/>
          <w:lang w:val="ru-RU" w:eastAsia="en-US"/>
        </w:rPr>
        <w:t xml:space="preserve">ГР Комитет продолжит работу на основе Сводного </w:t>
      </w:r>
      <w:r w:rsidR="00A856A7" w:rsidRPr="00A856A7">
        <w:rPr>
          <w:rFonts w:eastAsia="Times New Roman"/>
          <w:lang w:val="ru-RU" w:eastAsia="en-US"/>
        </w:rPr>
        <w:t>документ</w:t>
      </w:r>
      <w:r w:rsidR="00A856A7">
        <w:rPr>
          <w:rFonts w:eastAsia="Times New Roman"/>
          <w:lang w:val="ru-RU" w:eastAsia="en-US"/>
        </w:rPr>
        <w:t>а</w:t>
      </w:r>
      <w:r w:rsidR="00A856A7" w:rsidRPr="00A856A7">
        <w:rPr>
          <w:rFonts w:eastAsia="Times New Roman"/>
          <w:lang w:val="ru-RU" w:eastAsia="en-US"/>
        </w:rPr>
        <w:t>, касающ</w:t>
      </w:r>
      <w:r w:rsidR="00A856A7">
        <w:rPr>
          <w:rFonts w:eastAsia="Times New Roman"/>
          <w:lang w:val="ru-RU" w:eastAsia="en-US"/>
        </w:rPr>
        <w:t xml:space="preserve">егося </w:t>
      </w:r>
      <w:r w:rsidR="00A856A7" w:rsidRPr="00A856A7">
        <w:rPr>
          <w:rFonts w:eastAsia="Times New Roman"/>
          <w:lang w:val="ru-RU" w:eastAsia="en-US"/>
        </w:rPr>
        <w:t>интеллектуальной собственности и генетических ресурсов</w:t>
      </w:r>
      <w:r w:rsidR="00A856A7">
        <w:rPr>
          <w:rFonts w:eastAsia="Times New Roman"/>
          <w:lang w:val="ru-RU" w:eastAsia="en-US"/>
        </w:rPr>
        <w:t xml:space="preserve"> </w:t>
      </w:r>
      <w:r w:rsidRPr="00C37956">
        <w:rPr>
          <w:rFonts w:eastAsia="Times New Roman"/>
          <w:lang w:val="ru-RU" w:eastAsia="en-US"/>
        </w:rPr>
        <w:t>(</w:t>
      </w:r>
      <w:r w:rsidRPr="00416CCD">
        <w:rPr>
          <w:rFonts w:eastAsia="Times New Roman"/>
          <w:lang w:val="en-GB" w:eastAsia="en-US"/>
        </w:rPr>
        <w:t>WIPO</w:t>
      </w:r>
      <w:r w:rsidRPr="00C37956">
        <w:rPr>
          <w:rFonts w:eastAsia="Times New Roman"/>
          <w:lang w:val="ru-RU" w:eastAsia="en-US"/>
        </w:rPr>
        <w:t>/</w:t>
      </w:r>
      <w:r w:rsidRPr="00416CCD">
        <w:rPr>
          <w:rFonts w:eastAsia="Times New Roman"/>
          <w:lang w:val="en-GB" w:eastAsia="en-US"/>
        </w:rPr>
        <w:t>GRTKF</w:t>
      </w:r>
      <w:r w:rsidRPr="00C37956">
        <w:rPr>
          <w:rFonts w:eastAsia="Times New Roman"/>
          <w:lang w:val="ru-RU" w:eastAsia="en-US"/>
        </w:rPr>
        <w:t>/</w:t>
      </w:r>
      <w:r w:rsidRPr="00416CCD">
        <w:rPr>
          <w:rFonts w:eastAsia="Times New Roman"/>
          <w:lang w:val="en-GB" w:eastAsia="en-US"/>
        </w:rPr>
        <w:t>IC</w:t>
      </w:r>
      <w:r w:rsidRPr="00C37956">
        <w:rPr>
          <w:rFonts w:eastAsia="Times New Roman"/>
          <w:lang w:val="ru-RU" w:eastAsia="en-US"/>
        </w:rPr>
        <w:t xml:space="preserve">/34/4), </w:t>
      </w:r>
      <w:r w:rsidR="00C37956">
        <w:rPr>
          <w:rFonts w:eastAsia="Times New Roman"/>
          <w:lang w:val="ru-RU" w:eastAsia="en-US"/>
        </w:rPr>
        <w:t xml:space="preserve">с учетом предложения ЕС </w:t>
      </w:r>
      <w:r w:rsidR="00B50322">
        <w:rPr>
          <w:rFonts w:eastAsia="Times New Roman"/>
          <w:lang w:val="ru-RU" w:eastAsia="en-US"/>
        </w:rPr>
        <w:t xml:space="preserve">от </w:t>
      </w:r>
      <w:r w:rsidR="00C37956">
        <w:rPr>
          <w:rFonts w:eastAsia="Times New Roman"/>
          <w:lang w:val="ru-RU" w:eastAsia="en-US"/>
        </w:rPr>
        <w:t>2005 г.</w:t>
      </w:r>
      <w:r w:rsidR="00B50322">
        <w:rPr>
          <w:rFonts w:eastAsia="Times New Roman"/>
          <w:lang w:val="ru-RU" w:eastAsia="en-US"/>
        </w:rPr>
        <w:t xml:space="preserve"> относительно формального требования о раскрытии </w:t>
      </w:r>
      <w:r w:rsidRPr="00C37956">
        <w:rPr>
          <w:rFonts w:eastAsia="Times New Roman"/>
          <w:lang w:val="ru-RU" w:eastAsia="en-US"/>
        </w:rPr>
        <w:t>(</w:t>
      </w:r>
      <w:r w:rsidRPr="00416CCD">
        <w:rPr>
          <w:rFonts w:eastAsia="Times New Roman"/>
          <w:lang w:val="en-GB" w:eastAsia="en-US"/>
        </w:rPr>
        <w:t>WIPO</w:t>
      </w:r>
      <w:r w:rsidRPr="00C37956">
        <w:rPr>
          <w:rFonts w:eastAsia="Times New Roman"/>
          <w:lang w:val="ru-RU" w:eastAsia="en-US"/>
        </w:rPr>
        <w:t>/</w:t>
      </w:r>
      <w:r w:rsidRPr="00416CCD">
        <w:rPr>
          <w:rFonts w:eastAsia="Times New Roman"/>
          <w:lang w:val="en-GB" w:eastAsia="en-US"/>
        </w:rPr>
        <w:t>GRTKF</w:t>
      </w:r>
      <w:r w:rsidRPr="00C37956">
        <w:rPr>
          <w:rFonts w:eastAsia="Times New Roman"/>
          <w:lang w:val="ru-RU" w:eastAsia="en-US"/>
        </w:rPr>
        <w:t>/</w:t>
      </w:r>
      <w:r w:rsidRPr="00416CCD">
        <w:rPr>
          <w:rFonts w:eastAsia="Times New Roman"/>
          <w:lang w:val="en-GB" w:eastAsia="en-US"/>
        </w:rPr>
        <w:t>IC</w:t>
      </w:r>
      <w:r w:rsidRPr="00C37956">
        <w:rPr>
          <w:rFonts w:eastAsia="Times New Roman"/>
          <w:lang w:val="ru-RU" w:eastAsia="en-US"/>
        </w:rPr>
        <w:t>/8/11);</w:t>
      </w:r>
    </w:p>
    <w:p w:rsidR="00A44900" w:rsidRDefault="00A44900" w:rsidP="00416CCD">
      <w:pPr>
        <w:spacing w:line="259" w:lineRule="auto"/>
        <w:ind w:left="1134"/>
        <w:rPr>
          <w:rFonts w:eastAsia="Times New Roman"/>
          <w:lang w:val="ru-RU" w:eastAsia="en-US"/>
        </w:rPr>
      </w:pPr>
    </w:p>
    <w:p w:rsidR="00A44900" w:rsidRDefault="00416CCD" w:rsidP="00416CCD">
      <w:pPr>
        <w:spacing w:line="259" w:lineRule="auto"/>
        <w:ind w:left="1134"/>
        <w:rPr>
          <w:rFonts w:eastAsia="Times New Roman"/>
          <w:lang w:val="ru-RU" w:eastAsia="en-US"/>
        </w:rPr>
      </w:pPr>
      <w:r w:rsidRPr="00B50322">
        <w:rPr>
          <w:rFonts w:eastAsia="Times New Roman"/>
          <w:lang w:val="ru-RU" w:eastAsia="en-US"/>
        </w:rPr>
        <w:t>(</w:t>
      </w:r>
      <w:r w:rsidRPr="00416CCD">
        <w:rPr>
          <w:rFonts w:eastAsia="Times New Roman"/>
          <w:lang w:val="en-GB" w:eastAsia="en-US"/>
        </w:rPr>
        <w:t>ii</w:t>
      </w:r>
      <w:r w:rsidRPr="00B50322">
        <w:rPr>
          <w:rFonts w:eastAsia="Times New Roman"/>
          <w:lang w:val="ru-RU" w:eastAsia="en-US"/>
        </w:rPr>
        <w:t>)</w:t>
      </w:r>
      <w:r w:rsidRPr="00B50322">
        <w:rPr>
          <w:rFonts w:eastAsia="Times New Roman"/>
          <w:lang w:val="ru-RU" w:eastAsia="en-US"/>
        </w:rPr>
        <w:tab/>
      </w:r>
      <w:r w:rsidR="00B50322">
        <w:rPr>
          <w:rFonts w:eastAsia="Times New Roman"/>
          <w:lang w:val="ru-RU" w:eastAsia="en-US"/>
        </w:rPr>
        <w:t xml:space="preserve">в отношении ТЗ и ТВК Комитет продолжит изучение существующих режимов охраны, в том числе существующих инструментов в области интеллектуальной собственности, посвященных охране авторского права и смежных прав, географических указаний и </w:t>
      </w:r>
      <w:r w:rsidR="00B50322" w:rsidRPr="00B50322">
        <w:rPr>
          <w:rFonts w:eastAsia="Times New Roman"/>
          <w:lang w:val="ru-RU" w:eastAsia="en-US"/>
        </w:rPr>
        <w:t>коммерческ</w:t>
      </w:r>
      <w:r w:rsidR="00B50322">
        <w:rPr>
          <w:rFonts w:eastAsia="Times New Roman"/>
          <w:lang w:val="ru-RU" w:eastAsia="en-US"/>
        </w:rPr>
        <w:t xml:space="preserve">ой </w:t>
      </w:r>
      <w:r w:rsidR="00B50322" w:rsidRPr="00B50322">
        <w:rPr>
          <w:rFonts w:eastAsia="Times New Roman"/>
          <w:lang w:val="ru-RU" w:eastAsia="en-US"/>
        </w:rPr>
        <w:t>тайны</w:t>
      </w:r>
      <w:r w:rsidR="00B50322">
        <w:rPr>
          <w:rFonts w:eastAsia="Times New Roman"/>
          <w:lang w:val="ru-RU" w:eastAsia="en-US"/>
        </w:rPr>
        <w:t>, а также соответствующих национальных и международных инструментов, с целью определить возможные пробелы в имеющихся механизмах охраны ТЗ и ТВК и возможности для устранения этих пробелов путем изменения или усовершенствования существующих режимов охраны</w:t>
      </w:r>
      <w:r w:rsidRPr="00B50322">
        <w:rPr>
          <w:rFonts w:eastAsia="Times New Roman"/>
          <w:lang w:val="ru-RU" w:eastAsia="en-US"/>
        </w:rPr>
        <w:t>.</w:t>
      </w:r>
    </w:p>
    <w:p w:rsidR="00A44900" w:rsidRDefault="00A44900" w:rsidP="00416CCD">
      <w:pPr>
        <w:spacing w:line="259" w:lineRule="auto"/>
        <w:ind w:left="1134"/>
        <w:rPr>
          <w:rFonts w:eastAsia="Times New Roman"/>
          <w:lang w:val="ru-RU" w:eastAsia="en-US"/>
        </w:rPr>
      </w:pPr>
    </w:p>
    <w:p w:rsidR="00A44900" w:rsidRDefault="00416CCD" w:rsidP="00416CCD">
      <w:pPr>
        <w:spacing w:line="259" w:lineRule="auto"/>
        <w:ind w:left="567"/>
        <w:rPr>
          <w:rFonts w:eastAsia="Times New Roman"/>
          <w:lang w:val="ru-RU" w:eastAsia="en-US"/>
        </w:rPr>
      </w:pPr>
      <w:r w:rsidRPr="00A43A80">
        <w:rPr>
          <w:rFonts w:eastAsia="Times New Roman"/>
          <w:lang w:val="ru-RU" w:eastAsia="en-US"/>
        </w:rPr>
        <w:t>(</w:t>
      </w:r>
      <w:r>
        <w:rPr>
          <w:rFonts w:eastAsia="Times New Roman"/>
          <w:lang w:val="en-GB" w:eastAsia="en-US"/>
        </w:rPr>
        <w:t>c</w:t>
      </w:r>
      <w:r w:rsidRPr="00A43A80">
        <w:rPr>
          <w:rFonts w:eastAsia="Times New Roman"/>
          <w:lang w:val="ru-RU" w:eastAsia="en-US"/>
        </w:rPr>
        <w:t>)</w:t>
      </w:r>
      <w:r w:rsidRPr="00A43A80">
        <w:rPr>
          <w:rFonts w:eastAsia="Times New Roman"/>
          <w:lang w:val="ru-RU" w:eastAsia="en-US"/>
        </w:rPr>
        <w:tab/>
      </w:r>
      <w:r w:rsidR="00A43A80">
        <w:rPr>
          <w:rFonts w:eastAsia="Times New Roman"/>
          <w:lang w:val="ru-RU" w:eastAsia="en-US"/>
        </w:rPr>
        <w:t xml:space="preserve">На начальном этапе Комитет будет </w:t>
      </w:r>
      <w:r w:rsidR="00A43A80" w:rsidRPr="00A43A80">
        <w:rPr>
          <w:rFonts w:eastAsia="Times New Roman"/>
          <w:lang w:val="ru-RU" w:eastAsia="en-US"/>
        </w:rPr>
        <w:t xml:space="preserve">использовать подход, основанный на фактах, </w:t>
      </w:r>
      <w:r w:rsidR="00A43A80">
        <w:rPr>
          <w:rFonts w:eastAsia="Times New Roman"/>
          <w:lang w:val="ru-RU" w:eastAsia="en-US"/>
        </w:rPr>
        <w:t>опираясь в своей работе на исследования и пример</w:t>
      </w:r>
      <w:r w:rsidR="00815300">
        <w:rPr>
          <w:rFonts w:eastAsia="Times New Roman"/>
          <w:lang w:val="ru-RU" w:eastAsia="en-US"/>
        </w:rPr>
        <w:t xml:space="preserve">ы </w:t>
      </w:r>
      <w:r w:rsidR="00A43A80" w:rsidRPr="00A43A80">
        <w:rPr>
          <w:rFonts w:eastAsia="Times New Roman"/>
          <w:lang w:val="ru-RU" w:eastAsia="en-US"/>
        </w:rPr>
        <w:t xml:space="preserve">национального </w:t>
      </w:r>
      <w:r w:rsidR="00A43A80">
        <w:rPr>
          <w:rFonts w:eastAsia="Times New Roman"/>
          <w:lang w:val="ru-RU" w:eastAsia="en-US"/>
        </w:rPr>
        <w:t>опыта, в том числе н</w:t>
      </w:r>
      <w:r w:rsidR="00815300">
        <w:rPr>
          <w:rFonts w:eastAsia="Times New Roman"/>
          <w:lang w:val="ru-RU" w:eastAsia="en-US"/>
        </w:rPr>
        <w:t xml:space="preserve">ациональные законодательные акты </w:t>
      </w:r>
      <w:r w:rsidR="00A43A80">
        <w:rPr>
          <w:rFonts w:eastAsia="Times New Roman"/>
          <w:lang w:val="ru-RU" w:eastAsia="en-US"/>
        </w:rPr>
        <w:t xml:space="preserve">и </w:t>
      </w:r>
      <w:r w:rsidR="00815300">
        <w:rPr>
          <w:rFonts w:eastAsia="Times New Roman"/>
          <w:lang w:val="ru-RU" w:eastAsia="en-US"/>
        </w:rPr>
        <w:t>примеры</w:t>
      </w:r>
      <w:r w:rsidR="00A43A80">
        <w:rPr>
          <w:rFonts w:eastAsia="Times New Roman"/>
          <w:lang w:val="ru-RU" w:eastAsia="en-US"/>
        </w:rPr>
        <w:t xml:space="preserve">, а также предложения </w:t>
      </w:r>
      <w:r w:rsidR="00A43A80" w:rsidRPr="00A43A80">
        <w:rPr>
          <w:rFonts w:eastAsia="Times New Roman"/>
          <w:lang w:val="ru-RU" w:eastAsia="en-US"/>
        </w:rPr>
        <w:t>групп</w:t>
      </w:r>
      <w:r w:rsidR="00A43A80">
        <w:rPr>
          <w:rFonts w:eastAsia="Times New Roman"/>
          <w:lang w:val="ru-RU" w:eastAsia="en-US"/>
        </w:rPr>
        <w:t>(</w:t>
      </w:r>
      <w:r w:rsidR="00A43A80" w:rsidRPr="00A43A80">
        <w:rPr>
          <w:rFonts w:eastAsia="Times New Roman"/>
          <w:lang w:val="ru-RU" w:eastAsia="en-US"/>
        </w:rPr>
        <w:t>ы</w:t>
      </w:r>
      <w:r w:rsidR="00A43A80">
        <w:rPr>
          <w:rFonts w:eastAsia="Times New Roman"/>
          <w:lang w:val="ru-RU" w:eastAsia="en-US"/>
        </w:rPr>
        <w:t>) экспертов</w:t>
      </w:r>
      <w:r w:rsidR="00A43A80" w:rsidRPr="00A43A80">
        <w:rPr>
          <w:rFonts w:eastAsia="Times New Roman"/>
          <w:lang w:val="ru-RU" w:eastAsia="en-US"/>
        </w:rPr>
        <w:t xml:space="preserve">, </w:t>
      </w:r>
      <w:r w:rsidR="00A43A80">
        <w:rPr>
          <w:rFonts w:eastAsia="Times New Roman"/>
          <w:lang w:val="ru-RU" w:eastAsia="en-US"/>
        </w:rPr>
        <w:t xml:space="preserve">учрежденных(ой) </w:t>
      </w:r>
      <w:r w:rsidR="00A43A80" w:rsidRPr="00A43A80">
        <w:rPr>
          <w:rFonts w:eastAsia="Times New Roman"/>
          <w:lang w:val="ru-RU" w:eastAsia="en-US"/>
        </w:rPr>
        <w:t>Комитетом</w:t>
      </w:r>
      <w:r w:rsidR="00A43A80">
        <w:rPr>
          <w:rFonts w:eastAsia="Times New Roman"/>
          <w:lang w:val="ru-RU" w:eastAsia="en-US"/>
        </w:rPr>
        <w:t>.  Как только будет достигнута договоренность по основным целям и определениям, станет возможным продолжение соответствующей работы на базе переговоров</w:t>
      </w:r>
      <w:r w:rsidR="00815300">
        <w:rPr>
          <w:rFonts w:eastAsia="Times New Roman"/>
          <w:lang w:val="ru-RU" w:eastAsia="en-US"/>
        </w:rPr>
        <w:t xml:space="preserve"> на основе </w:t>
      </w:r>
      <w:r w:rsidR="00A43A80">
        <w:rPr>
          <w:rFonts w:eastAsia="Times New Roman"/>
          <w:lang w:val="ru-RU" w:eastAsia="en-US"/>
        </w:rPr>
        <w:t>текст</w:t>
      </w:r>
      <w:r w:rsidR="00815300">
        <w:rPr>
          <w:rFonts w:eastAsia="Times New Roman"/>
          <w:lang w:val="ru-RU" w:eastAsia="en-US"/>
        </w:rPr>
        <w:t>ов</w:t>
      </w:r>
      <w:r w:rsidR="00A43A80">
        <w:rPr>
          <w:rFonts w:eastAsia="Times New Roman"/>
          <w:lang w:val="ru-RU" w:eastAsia="en-US"/>
        </w:rPr>
        <w:t xml:space="preserve">, </w:t>
      </w:r>
      <w:r w:rsidR="00815300">
        <w:rPr>
          <w:rFonts w:eastAsia="Times New Roman"/>
          <w:lang w:val="ru-RU" w:eastAsia="en-US"/>
        </w:rPr>
        <w:t>дополняемых семинарами, практикумами и обсуждениями нерешенных вопросов за круглым столом, которые будут проводиться в ходе сессий Комитета</w:t>
      </w:r>
      <w:r w:rsidRPr="00815300">
        <w:rPr>
          <w:rFonts w:eastAsia="Times New Roman"/>
          <w:lang w:val="ru-RU" w:eastAsia="en-US"/>
        </w:rPr>
        <w:t xml:space="preserve">. </w:t>
      </w:r>
    </w:p>
    <w:p w:rsidR="00A44900" w:rsidRDefault="00A44900" w:rsidP="00416CCD">
      <w:pPr>
        <w:spacing w:line="259" w:lineRule="auto"/>
        <w:ind w:left="567"/>
        <w:rPr>
          <w:rFonts w:eastAsia="Times New Roman"/>
          <w:lang w:val="ru-RU" w:eastAsia="en-US"/>
        </w:rPr>
      </w:pPr>
    </w:p>
    <w:p w:rsidR="00A44900" w:rsidRDefault="00416CCD" w:rsidP="00416CCD">
      <w:pPr>
        <w:autoSpaceDE w:val="0"/>
        <w:autoSpaceDN w:val="0"/>
        <w:adjustRightInd w:val="0"/>
        <w:ind w:left="567"/>
        <w:rPr>
          <w:rFonts w:eastAsia="Calibri"/>
          <w:szCs w:val="22"/>
          <w:lang w:val="ru-RU" w:eastAsia="en-US"/>
        </w:rPr>
      </w:pPr>
      <w:r w:rsidRPr="00815300">
        <w:rPr>
          <w:rFonts w:eastAsia="Calibri"/>
          <w:szCs w:val="22"/>
          <w:lang w:val="ru-RU" w:eastAsia="en-US"/>
        </w:rPr>
        <w:lastRenderedPageBreak/>
        <w:t>(</w:t>
      </w:r>
      <w:r>
        <w:rPr>
          <w:rFonts w:eastAsia="Calibri"/>
          <w:szCs w:val="22"/>
          <w:lang w:val="en-GB" w:eastAsia="en-US"/>
        </w:rPr>
        <w:t>d</w:t>
      </w:r>
      <w:r w:rsidRPr="00815300">
        <w:rPr>
          <w:rFonts w:eastAsia="Calibri"/>
          <w:szCs w:val="22"/>
          <w:lang w:val="ru-RU" w:eastAsia="en-US"/>
        </w:rPr>
        <w:t>)</w:t>
      </w:r>
      <w:r w:rsidRPr="00815300">
        <w:rPr>
          <w:rFonts w:eastAsia="Calibri"/>
          <w:szCs w:val="22"/>
          <w:lang w:val="ru-RU" w:eastAsia="en-US"/>
        </w:rPr>
        <w:tab/>
      </w:r>
      <w:r w:rsidR="00815300">
        <w:rPr>
          <w:rFonts w:eastAsia="Calibri"/>
          <w:szCs w:val="22"/>
          <w:lang w:val="ru-RU" w:eastAsia="en-US"/>
        </w:rPr>
        <w:t xml:space="preserve">В 2018 г. </w:t>
      </w:r>
      <w:r w:rsidR="00815300" w:rsidRPr="00815300">
        <w:rPr>
          <w:rFonts w:eastAsia="Calibri"/>
          <w:szCs w:val="22"/>
          <w:lang w:val="ru-RU" w:eastAsia="en-US"/>
        </w:rPr>
        <w:t>Комитету поручается представить Генеральной Ассамблее исключительно в информационных целях основанный на фактическом материале отчет о его работе за истекшее время, а</w:t>
      </w:r>
      <w:r w:rsidR="00815300">
        <w:rPr>
          <w:rFonts w:eastAsia="Calibri"/>
          <w:szCs w:val="22"/>
          <w:lang w:val="ru-RU" w:eastAsia="en-US"/>
        </w:rPr>
        <w:t xml:space="preserve"> в 2019 г. </w:t>
      </w:r>
      <w:r w:rsidR="00815300" w:rsidRPr="00815300">
        <w:rPr>
          <w:rFonts w:eastAsia="Calibri"/>
          <w:szCs w:val="22"/>
          <w:lang w:val="ru-RU" w:eastAsia="en-US"/>
        </w:rPr>
        <w:t>представить</w:t>
      </w:r>
      <w:r w:rsidR="00815300">
        <w:rPr>
          <w:rFonts w:eastAsia="Calibri"/>
          <w:szCs w:val="22"/>
          <w:lang w:val="ru-RU" w:eastAsia="en-US"/>
        </w:rPr>
        <w:t xml:space="preserve"> ей результаты своей работы.  </w:t>
      </w:r>
      <w:r w:rsidR="00815300" w:rsidRPr="00815300">
        <w:rPr>
          <w:rFonts w:eastAsia="Calibri"/>
          <w:szCs w:val="22"/>
          <w:lang w:val="ru-RU" w:eastAsia="en-US"/>
        </w:rPr>
        <w:t>В 201</w:t>
      </w:r>
      <w:r w:rsidR="00815300">
        <w:rPr>
          <w:rFonts w:eastAsia="Calibri"/>
          <w:szCs w:val="22"/>
          <w:lang w:val="ru-RU" w:eastAsia="en-US"/>
        </w:rPr>
        <w:t>9 </w:t>
      </w:r>
      <w:r w:rsidR="00815300" w:rsidRPr="00815300">
        <w:rPr>
          <w:rFonts w:eastAsia="Calibri"/>
          <w:szCs w:val="22"/>
          <w:lang w:val="ru-RU" w:eastAsia="en-US"/>
        </w:rPr>
        <w:t xml:space="preserve">г. Генеральная Ассамблея подведет итог достигнутому прогрессу и примет решение о </w:t>
      </w:r>
      <w:r w:rsidR="00815300">
        <w:rPr>
          <w:rFonts w:eastAsia="Calibri"/>
          <w:szCs w:val="22"/>
          <w:lang w:val="ru-RU" w:eastAsia="en-US"/>
        </w:rPr>
        <w:t>том, необходимо ли продолж</w:t>
      </w:r>
      <w:r w:rsidR="007F220F">
        <w:rPr>
          <w:rFonts w:eastAsia="Calibri"/>
          <w:szCs w:val="22"/>
          <w:lang w:val="ru-RU" w:eastAsia="en-US"/>
        </w:rPr>
        <w:t>и</w:t>
      </w:r>
      <w:r w:rsidR="00815300">
        <w:rPr>
          <w:rFonts w:eastAsia="Calibri"/>
          <w:szCs w:val="22"/>
          <w:lang w:val="ru-RU" w:eastAsia="en-US"/>
        </w:rPr>
        <w:t>ть работу Комитета, а если необходимо, то в какой форме</w:t>
      </w:r>
      <w:r w:rsidRPr="00A431EB">
        <w:rPr>
          <w:rFonts w:eastAsia="Calibri"/>
          <w:szCs w:val="22"/>
          <w:lang w:val="ru-RU" w:eastAsia="en-US"/>
        </w:rPr>
        <w:t xml:space="preserve">. </w:t>
      </w:r>
    </w:p>
    <w:p w:rsidR="00A44900" w:rsidRDefault="00A44900" w:rsidP="00416CCD">
      <w:pPr>
        <w:autoSpaceDE w:val="0"/>
        <w:autoSpaceDN w:val="0"/>
        <w:adjustRightInd w:val="0"/>
        <w:ind w:left="567"/>
        <w:rPr>
          <w:rFonts w:eastAsia="Calibri"/>
          <w:szCs w:val="22"/>
          <w:lang w:val="ru-RU" w:eastAsia="en-US"/>
        </w:rPr>
      </w:pPr>
    </w:p>
    <w:p w:rsidR="00A44900" w:rsidRPr="00F5643A" w:rsidRDefault="00416CCD" w:rsidP="00A44900">
      <w:pPr>
        <w:autoSpaceDE w:val="0"/>
        <w:autoSpaceDN w:val="0"/>
        <w:adjustRightInd w:val="0"/>
        <w:ind w:left="567"/>
        <w:rPr>
          <w:rFonts w:eastAsia="Calibri"/>
          <w:szCs w:val="22"/>
          <w:lang w:val="ru-RU" w:eastAsia="en-US"/>
        </w:rPr>
      </w:pPr>
      <w:r w:rsidRPr="00F5643A">
        <w:rPr>
          <w:rFonts w:eastAsia="Calibri"/>
          <w:szCs w:val="22"/>
          <w:lang w:val="ru-RU" w:eastAsia="en-US"/>
        </w:rPr>
        <w:t>(</w:t>
      </w:r>
      <w:r w:rsidRPr="00416CCD">
        <w:rPr>
          <w:rFonts w:eastAsia="Calibri"/>
          <w:szCs w:val="22"/>
          <w:lang w:val="en-GB" w:eastAsia="en-US"/>
        </w:rPr>
        <w:t>e</w:t>
      </w:r>
      <w:r w:rsidRPr="00F5643A">
        <w:rPr>
          <w:rFonts w:eastAsia="Calibri"/>
          <w:szCs w:val="22"/>
          <w:lang w:val="ru-RU" w:eastAsia="en-US"/>
        </w:rPr>
        <w:t>)</w:t>
      </w:r>
      <w:r w:rsidRPr="00F5643A">
        <w:rPr>
          <w:rFonts w:eastAsia="Calibri"/>
          <w:szCs w:val="22"/>
          <w:lang w:val="ru-RU" w:eastAsia="en-US"/>
        </w:rPr>
        <w:tab/>
      </w:r>
      <w:r w:rsidR="00A44900" w:rsidRPr="00A44900">
        <w:rPr>
          <w:rFonts w:eastAsia="Calibri"/>
          <w:szCs w:val="22"/>
          <w:lang w:val="ru-RU" w:eastAsia="en-US"/>
        </w:rPr>
        <w:t>Генеральная Ассамблея поручает Международному бюро продолжать оказывать содействие</w:t>
      </w:r>
      <w:r w:rsidR="00F5643A" w:rsidRPr="00F5643A">
        <w:rPr>
          <w:rFonts w:eastAsia="Calibri"/>
          <w:szCs w:val="22"/>
          <w:lang w:val="ru-RU" w:eastAsia="en-US"/>
        </w:rPr>
        <w:t xml:space="preserve"> </w:t>
      </w:r>
      <w:r w:rsidR="00F5643A" w:rsidRPr="00A44900">
        <w:rPr>
          <w:rFonts w:eastAsia="Calibri"/>
          <w:szCs w:val="22"/>
          <w:lang w:val="ru-RU" w:eastAsia="en-US"/>
        </w:rPr>
        <w:t>Комитету</w:t>
      </w:r>
      <w:r w:rsidR="00A44900" w:rsidRPr="00A44900">
        <w:rPr>
          <w:rFonts w:eastAsia="Calibri"/>
          <w:szCs w:val="22"/>
          <w:lang w:val="ru-RU" w:eastAsia="en-US"/>
        </w:rPr>
        <w:t>, предоставляя государствам-членам необходимую экспертную помощь и финансируя наиболее действенным образом участие экспертов из развивающихся стран и НРС в соответствии с обычной формулой Комитета.</w:t>
      </w:r>
    </w:p>
    <w:p w:rsidR="00A44900" w:rsidRPr="00F5643A" w:rsidRDefault="00A44900" w:rsidP="00987C92">
      <w:pPr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</w:p>
    <w:p w:rsidR="00A44900" w:rsidRPr="00F5643A" w:rsidRDefault="00A44900" w:rsidP="00987C92">
      <w:pPr>
        <w:rPr>
          <w:lang w:val="ru-RU"/>
        </w:rPr>
      </w:pPr>
    </w:p>
    <w:p w:rsidR="00A44900" w:rsidRDefault="00A44900" w:rsidP="00A44900">
      <w:pPr>
        <w:ind w:left="5534"/>
        <w:contextualSpacing/>
        <w:rPr>
          <w:szCs w:val="22"/>
          <w:lang w:eastAsia="en-US"/>
        </w:rPr>
      </w:pPr>
      <w:r w:rsidRPr="00A44900">
        <w:rPr>
          <w:szCs w:val="22"/>
          <w:lang w:val="ru-RU" w:eastAsia="en-US"/>
        </w:rPr>
        <w:t>[Конец приложения и документа]</w:t>
      </w:r>
    </w:p>
    <w:p w:rsidR="00A44900" w:rsidRDefault="00A44900" w:rsidP="00987C92">
      <w:pPr>
        <w:ind w:left="5534"/>
        <w:contextualSpacing/>
        <w:rPr>
          <w:szCs w:val="22"/>
          <w:lang w:eastAsia="en-US"/>
        </w:rPr>
      </w:pPr>
    </w:p>
    <w:p w:rsidR="00FD1C08" w:rsidRPr="002671EF" w:rsidRDefault="00FD1C08" w:rsidP="00987C92">
      <w:pPr>
        <w:ind w:left="5534"/>
        <w:contextualSpacing/>
        <w:rPr>
          <w:szCs w:val="22"/>
          <w:lang w:eastAsia="en-US"/>
        </w:rPr>
      </w:pPr>
    </w:p>
    <w:sectPr w:rsidR="00FD1C08" w:rsidRPr="002671EF" w:rsidSect="00D70B35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F0" w:rsidRDefault="009F22F0">
      <w:r>
        <w:separator/>
      </w:r>
    </w:p>
  </w:endnote>
  <w:endnote w:type="continuationSeparator" w:id="0">
    <w:p w:rsidR="009F22F0" w:rsidRDefault="009F22F0" w:rsidP="003B38C1">
      <w:r>
        <w:separator/>
      </w:r>
    </w:p>
    <w:p w:rsidR="009F22F0" w:rsidRPr="003B38C1" w:rsidRDefault="009F22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F22F0" w:rsidRPr="003B38C1" w:rsidRDefault="009F22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F0" w:rsidRDefault="009F22F0">
      <w:r>
        <w:separator/>
      </w:r>
    </w:p>
  </w:footnote>
  <w:footnote w:type="continuationSeparator" w:id="0">
    <w:p w:rsidR="009F22F0" w:rsidRDefault="009F22F0" w:rsidP="008B60B2">
      <w:r>
        <w:separator/>
      </w:r>
    </w:p>
    <w:p w:rsidR="009F22F0" w:rsidRPr="00ED77FB" w:rsidRDefault="009F22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F22F0" w:rsidRPr="00ED77FB" w:rsidRDefault="009F22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Pr="00D13C08">
      <w:rPr>
        <w:szCs w:val="22"/>
      </w:rPr>
      <w:t xml:space="preserve">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5E1912">
      <w:rPr>
        <w:noProof/>
        <w:szCs w:val="22"/>
      </w:rPr>
      <w:t>2</w:t>
    </w:r>
    <w:r w:rsidRPr="00D13C08">
      <w:rPr>
        <w:szCs w:val="22"/>
      </w:rPr>
      <w:fldChar w:fldCharType="end"/>
    </w:r>
  </w:p>
  <w:p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15300" w:rsidRDefault="00DE0EAD" w:rsidP="00477D6B">
    <w:pPr>
      <w:jc w:val="right"/>
      <w:rPr>
        <w:lang w:val="ru-RU"/>
      </w:rPr>
    </w:pPr>
    <w:bookmarkStart w:id="3" w:name="Code2"/>
    <w:bookmarkEnd w:id="3"/>
    <w:r w:rsidRPr="00254057">
      <w:t>WO</w:t>
    </w:r>
    <w:r w:rsidRPr="00815300">
      <w:rPr>
        <w:lang w:val="ru-RU"/>
      </w:rPr>
      <w:t>/</w:t>
    </w:r>
    <w:r w:rsidRPr="00254057">
      <w:t>GA</w:t>
    </w:r>
    <w:r w:rsidRPr="00815300">
      <w:rPr>
        <w:lang w:val="ru-RU"/>
      </w:rPr>
      <w:t>/49/</w:t>
    </w:r>
    <w:r w:rsidR="00416CCD" w:rsidRPr="00815300">
      <w:rPr>
        <w:lang w:val="ru-RU"/>
      </w:rPr>
      <w:t>18</w:t>
    </w:r>
  </w:p>
  <w:p w:rsidR="00EC4E49" w:rsidRPr="00815300" w:rsidRDefault="00815300" w:rsidP="00477D6B">
    <w:pPr>
      <w:jc w:val="right"/>
      <w:rPr>
        <w:lang w:val="ru-RU"/>
      </w:rPr>
    </w:pPr>
    <w:r>
      <w:rPr>
        <w:lang w:val="ru-RU"/>
      </w:rPr>
      <w:t>Приложение</w:t>
    </w:r>
    <w:r w:rsidR="00D70B35" w:rsidRPr="00815300">
      <w:rPr>
        <w:lang w:val="ru-RU"/>
      </w:rPr>
      <w:t xml:space="preserve">, </w:t>
    </w:r>
    <w:r>
      <w:rPr>
        <w:lang w:val="ru-RU"/>
      </w:rPr>
      <w:t xml:space="preserve">стр. </w:t>
    </w:r>
    <w:r w:rsidR="00EC4E49">
      <w:fldChar w:fldCharType="begin"/>
    </w:r>
    <w:r w:rsidR="00EC4E49" w:rsidRPr="00815300">
      <w:rPr>
        <w:lang w:val="ru-RU"/>
      </w:rPr>
      <w:instrText xml:space="preserve"> </w:instrText>
    </w:r>
    <w:r w:rsidR="00EC4E49">
      <w:instrText>PAGE</w:instrText>
    </w:r>
    <w:r w:rsidR="00EC4E49" w:rsidRPr="00815300">
      <w:rPr>
        <w:lang w:val="ru-RU"/>
      </w:rPr>
      <w:instrText xml:space="preserve">  \* </w:instrText>
    </w:r>
    <w:r w:rsidR="00EC4E49">
      <w:instrText>MERGEFORMAT</w:instrText>
    </w:r>
    <w:r w:rsidR="00EC4E49" w:rsidRPr="00815300">
      <w:rPr>
        <w:lang w:val="ru-RU"/>
      </w:rPr>
      <w:instrText xml:space="preserve"> </w:instrText>
    </w:r>
    <w:r w:rsidR="00EC4E49">
      <w:fldChar w:fldCharType="separate"/>
    </w:r>
    <w:r w:rsidR="00A90FAF" w:rsidRPr="00A90FAF">
      <w:rPr>
        <w:noProof/>
        <w:lang w:val="ru-RU"/>
      </w:rPr>
      <w:t>2</w:t>
    </w:r>
    <w:r w:rsidR="00EC4E49">
      <w:fldChar w:fldCharType="end"/>
    </w:r>
  </w:p>
  <w:p w:rsidR="008A134B" w:rsidRPr="00815300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Default="00D70B35" w:rsidP="00D70B35">
    <w:pPr>
      <w:pStyle w:val="Header"/>
      <w:jc w:val="right"/>
    </w:pPr>
    <w:r w:rsidRPr="00254057">
      <w:t>WO/GA/49/</w:t>
    </w:r>
    <w:r w:rsidR="00416CCD">
      <w:t>18</w:t>
    </w:r>
  </w:p>
  <w:p w:rsidR="00D70B35" w:rsidRPr="00891B88" w:rsidRDefault="00891B88" w:rsidP="00D70B3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E0EAD"/>
    <w:rsid w:val="00030FBE"/>
    <w:rsid w:val="00043CAA"/>
    <w:rsid w:val="0004632A"/>
    <w:rsid w:val="00075432"/>
    <w:rsid w:val="000968ED"/>
    <w:rsid w:val="000B45EE"/>
    <w:rsid w:val="000F5E56"/>
    <w:rsid w:val="001101D0"/>
    <w:rsid w:val="001362EE"/>
    <w:rsid w:val="001647D5"/>
    <w:rsid w:val="001825D8"/>
    <w:rsid w:val="001832A6"/>
    <w:rsid w:val="0021217E"/>
    <w:rsid w:val="00254057"/>
    <w:rsid w:val="002634C4"/>
    <w:rsid w:val="002928D3"/>
    <w:rsid w:val="002F1FE6"/>
    <w:rsid w:val="002F4E68"/>
    <w:rsid w:val="00301F66"/>
    <w:rsid w:val="00312F7F"/>
    <w:rsid w:val="003245D4"/>
    <w:rsid w:val="00361450"/>
    <w:rsid w:val="003673CF"/>
    <w:rsid w:val="003845C1"/>
    <w:rsid w:val="003A6F89"/>
    <w:rsid w:val="003B38C1"/>
    <w:rsid w:val="003D171D"/>
    <w:rsid w:val="003F1390"/>
    <w:rsid w:val="003F2435"/>
    <w:rsid w:val="00416CCD"/>
    <w:rsid w:val="00423E3E"/>
    <w:rsid w:val="00427AF4"/>
    <w:rsid w:val="00442D51"/>
    <w:rsid w:val="004647DA"/>
    <w:rsid w:val="00474062"/>
    <w:rsid w:val="00477D6B"/>
    <w:rsid w:val="004B5B96"/>
    <w:rsid w:val="005019FF"/>
    <w:rsid w:val="00513424"/>
    <w:rsid w:val="0053057A"/>
    <w:rsid w:val="00560A29"/>
    <w:rsid w:val="005C6649"/>
    <w:rsid w:val="005E1912"/>
    <w:rsid w:val="00605827"/>
    <w:rsid w:val="00646050"/>
    <w:rsid w:val="006713CA"/>
    <w:rsid w:val="00676C5C"/>
    <w:rsid w:val="00684BB5"/>
    <w:rsid w:val="007D1613"/>
    <w:rsid w:val="007E4C0E"/>
    <w:rsid w:val="007F220F"/>
    <w:rsid w:val="0081310A"/>
    <w:rsid w:val="00815300"/>
    <w:rsid w:val="008865B9"/>
    <w:rsid w:val="00891B88"/>
    <w:rsid w:val="00895F7C"/>
    <w:rsid w:val="008A134B"/>
    <w:rsid w:val="008A2CB2"/>
    <w:rsid w:val="008B2CC1"/>
    <w:rsid w:val="008B60B2"/>
    <w:rsid w:val="008C06F2"/>
    <w:rsid w:val="008D5F7C"/>
    <w:rsid w:val="008D6BC4"/>
    <w:rsid w:val="0090731E"/>
    <w:rsid w:val="00916EE2"/>
    <w:rsid w:val="00964907"/>
    <w:rsid w:val="00966A22"/>
    <w:rsid w:val="0096722F"/>
    <w:rsid w:val="009706D4"/>
    <w:rsid w:val="00980843"/>
    <w:rsid w:val="00987C92"/>
    <w:rsid w:val="009E2791"/>
    <w:rsid w:val="009E3F6F"/>
    <w:rsid w:val="009F22F0"/>
    <w:rsid w:val="009F499F"/>
    <w:rsid w:val="00A30352"/>
    <w:rsid w:val="00A42DAF"/>
    <w:rsid w:val="00A431EB"/>
    <w:rsid w:val="00A43A80"/>
    <w:rsid w:val="00A44900"/>
    <w:rsid w:val="00A45BD8"/>
    <w:rsid w:val="00A628CC"/>
    <w:rsid w:val="00A81DB0"/>
    <w:rsid w:val="00A83646"/>
    <w:rsid w:val="00A856A7"/>
    <w:rsid w:val="00A869B7"/>
    <w:rsid w:val="00A90FAF"/>
    <w:rsid w:val="00AC205C"/>
    <w:rsid w:val="00AE1F3D"/>
    <w:rsid w:val="00AF0A6B"/>
    <w:rsid w:val="00B05A69"/>
    <w:rsid w:val="00B05D88"/>
    <w:rsid w:val="00B50322"/>
    <w:rsid w:val="00B85C60"/>
    <w:rsid w:val="00B9734B"/>
    <w:rsid w:val="00BA30E2"/>
    <w:rsid w:val="00C0254D"/>
    <w:rsid w:val="00C11BFE"/>
    <w:rsid w:val="00C37956"/>
    <w:rsid w:val="00C40383"/>
    <w:rsid w:val="00C5068F"/>
    <w:rsid w:val="00C86D74"/>
    <w:rsid w:val="00CA5DC5"/>
    <w:rsid w:val="00CC5032"/>
    <w:rsid w:val="00CD04F1"/>
    <w:rsid w:val="00D45252"/>
    <w:rsid w:val="00D70B35"/>
    <w:rsid w:val="00D71B4D"/>
    <w:rsid w:val="00D93D55"/>
    <w:rsid w:val="00DA35E7"/>
    <w:rsid w:val="00DE0475"/>
    <w:rsid w:val="00DE0EAD"/>
    <w:rsid w:val="00E15015"/>
    <w:rsid w:val="00E335FE"/>
    <w:rsid w:val="00EA7D6E"/>
    <w:rsid w:val="00EB6278"/>
    <w:rsid w:val="00EC4E49"/>
    <w:rsid w:val="00ED77FB"/>
    <w:rsid w:val="00EE45FA"/>
    <w:rsid w:val="00EE7952"/>
    <w:rsid w:val="00F019EC"/>
    <w:rsid w:val="00F10ED0"/>
    <w:rsid w:val="00F5643A"/>
    <w:rsid w:val="00F66152"/>
    <w:rsid w:val="00F70BF3"/>
    <w:rsid w:val="00F8567F"/>
    <w:rsid w:val="00FA7208"/>
    <w:rsid w:val="00FB63C6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51F5-B2B1-4620-B13B-58B06DD6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225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lastModifiedBy>HÄFLIGER Patience</cp:lastModifiedBy>
  <cp:revision>16</cp:revision>
  <cp:lastPrinted>2017-09-30T09:43:00Z</cp:lastPrinted>
  <dcterms:created xsi:type="dcterms:W3CDTF">2017-09-28T08:40:00Z</dcterms:created>
  <dcterms:modified xsi:type="dcterms:W3CDTF">2017-09-30T09:43:00Z</dcterms:modified>
</cp:coreProperties>
</file>