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04B57" w:rsidP="00916EE2">
            <w:r>
              <w:rPr>
                <w:noProof/>
                <w:lang w:val="en-US" w:eastAsia="en-US" w:bidi="ar-SA"/>
              </w:rPr>
              <w:drawing>
                <wp:inline distT="0" distB="0" distL="0" distR="0" wp14:anchorId="1FD2BCF8" wp14:editId="38D6B1A2">
                  <wp:extent cx="1739900" cy="1289685"/>
                  <wp:effectExtent l="0" t="0" r="0" b="5715"/>
                  <wp:docPr id="2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Описание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3876F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76F6" w:rsidRDefault="00B26D45" w:rsidP="00482AAE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</w:t>
            </w:r>
            <w:r w:rsidR="00720C7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D51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720C7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 августа 2016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26D45" w:rsidP="008B2CC1">
      <w:pPr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:rsidR="003845C1" w:rsidRDefault="003845C1" w:rsidP="003845C1"/>
    <w:p w:rsidR="00A85B8E" w:rsidRDefault="00A85B8E" w:rsidP="003845C1"/>
    <w:p w:rsidR="00B26D45" w:rsidRPr="00934343" w:rsidRDefault="00B26D45" w:rsidP="00B26D45">
      <w:pPr>
        <w:rPr>
          <w:b/>
          <w:sz w:val="24"/>
          <w:szCs w:val="24"/>
        </w:rPr>
      </w:pPr>
      <w:r>
        <w:rPr>
          <w:b/>
          <w:sz w:val="24"/>
        </w:rPr>
        <w:t>Сорок восьмая (26-я внеочередная) сессия</w:t>
      </w:r>
    </w:p>
    <w:p w:rsidR="008B2CC1" w:rsidRPr="003845C1" w:rsidRDefault="00720C7A" w:rsidP="00B26D45">
      <w:pPr>
        <w:rPr>
          <w:b/>
          <w:sz w:val="24"/>
          <w:szCs w:val="24"/>
        </w:rPr>
      </w:pPr>
      <w:r>
        <w:rPr>
          <w:b/>
          <w:sz w:val="24"/>
        </w:rPr>
        <w:t>Женева, 3–11</w:t>
      </w:r>
      <w:r>
        <w:rPr>
          <w:b/>
          <w:sz w:val="24"/>
          <w:lang w:val="en-US"/>
        </w:rPr>
        <w:t> </w:t>
      </w:r>
      <w:r>
        <w:rPr>
          <w:b/>
          <w:sz w:val="24"/>
        </w:rPr>
        <w:t>октября 2016</w:t>
      </w:r>
      <w:r>
        <w:rPr>
          <w:b/>
          <w:sz w:val="24"/>
          <w:lang w:val="en-US"/>
        </w:rPr>
        <w:t> </w:t>
      </w:r>
      <w:r w:rsidR="00B26D45">
        <w:rPr>
          <w:b/>
          <w:sz w:val="24"/>
        </w:rPr>
        <w:t>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A15E5" w:rsidRDefault="00C960EA" w:rsidP="008B2CC1">
      <w:pPr>
        <w:rPr>
          <w:caps/>
          <w:sz w:val="24"/>
          <w:szCs w:val="24"/>
        </w:rPr>
      </w:pPr>
      <w:bookmarkStart w:id="4" w:name="TitleOfDoc"/>
      <w:bookmarkEnd w:id="4"/>
      <w:r>
        <w:rPr>
          <w:sz w:val="24"/>
        </w:rPr>
        <w:t>ОТЧЕТ О РАБОТЕ ПОСТОЯННОГО КОМИТЕТА ПО ПАТЕНТНОМУ ПРАВУ (ПКПП)</w:t>
      </w:r>
    </w:p>
    <w:p w:rsidR="008B2CC1" w:rsidRPr="008B2CC1" w:rsidRDefault="008B2CC1" w:rsidP="008B2CC1"/>
    <w:p w:rsidR="008B2CC1" w:rsidRDefault="008F206B" w:rsidP="008B2CC1">
      <w:pPr>
        <w:rPr>
          <w:i/>
        </w:rPr>
      </w:pPr>
      <w:bookmarkStart w:id="5" w:name="Prepared"/>
      <w:bookmarkEnd w:id="5"/>
      <w:r>
        <w:rPr>
          <w:i/>
        </w:rPr>
        <w:t>документ подготовлен Секретариатом</w:t>
      </w:r>
    </w:p>
    <w:p w:rsidR="00C960EA" w:rsidRPr="000438CE" w:rsidRDefault="00C960EA" w:rsidP="008B2CC1"/>
    <w:p w:rsidR="00C960EA" w:rsidRPr="000438CE" w:rsidRDefault="00C960EA" w:rsidP="00C960EA">
      <w:pPr>
        <w:rPr>
          <w:color w:val="000000"/>
          <w:szCs w:val="22"/>
        </w:rPr>
      </w:pPr>
    </w:p>
    <w:p w:rsidR="007C671D" w:rsidRPr="000438CE" w:rsidRDefault="007C671D" w:rsidP="00C960EA">
      <w:pPr>
        <w:rPr>
          <w:color w:val="000000"/>
          <w:szCs w:val="22"/>
        </w:rPr>
      </w:pPr>
    </w:p>
    <w:p w:rsidR="00C960EA" w:rsidRPr="000438CE" w:rsidRDefault="00C960EA" w:rsidP="00C960EA">
      <w:pPr>
        <w:rPr>
          <w:color w:val="000000"/>
          <w:szCs w:val="22"/>
        </w:rPr>
      </w:pPr>
    </w:p>
    <w:p w:rsidR="003302C5" w:rsidRPr="00AB30C5" w:rsidRDefault="007C671D" w:rsidP="00D43026">
      <w:pPr>
        <w:pStyle w:val="ONUME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6634A9">
        <w:tab/>
      </w:r>
      <w:r>
        <w:t>За отчетный период Постоянный комитет по патентному праву (ПКПП) провел две сессии</w:t>
      </w:r>
      <w:r w:rsidR="00890490" w:rsidRPr="00890490">
        <w:t>:</w:t>
      </w:r>
      <w:r w:rsidR="00720C7A">
        <w:t xml:space="preserve"> двадцать третью сессию с 30</w:t>
      </w:r>
      <w:r w:rsidR="00720C7A">
        <w:rPr>
          <w:lang w:val="en-US"/>
        </w:rPr>
        <w:t> </w:t>
      </w:r>
      <w:r>
        <w:t>ноября по 4</w:t>
      </w:r>
      <w:r w:rsidR="00720C7A">
        <w:rPr>
          <w:lang w:val="en-US"/>
        </w:rPr>
        <w:t> </w:t>
      </w:r>
      <w:r>
        <w:t>декабря 2015 г. и двадц</w:t>
      </w:r>
      <w:r w:rsidR="00720C7A">
        <w:t>ать четвертую сессию с 27 по 30</w:t>
      </w:r>
      <w:r w:rsidR="00720C7A">
        <w:rPr>
          <w:lang w:val="en-US"/>
        </w:rPr>
        <w:t> </w:t>
      </w:r>
      <w:r w:rsidR="00720C7A">
        <w:t>июня 2016</w:t>
      </w:r>
      <w:r w:rsidR="00720C7A">
        <w:rPr>
          <w:lang w:val="en-US"/>
        </w:rPr>
        <w:t> </w:t>
      </w:r>
      <w:r>
        <w:t>г.</w:t>
      </w:r>
      <w:r w:rsidR="00720C7A">
        <w:t xml:space="preserve"> </w:t>
      </w:r>
      <w:r>
        <w:t>Обе сессии прошли под председательством г-жи Букуру Ионеску из Румынии.</w:t>
      </w:r>
    </w:p>
    <w:p w:rsidR="003302C5" w:rsidRPr="00AB30C5" w:rsidRDefault="003302C5" w:rsidP="00D43026">
      <w:pPr>
        <w:pStyle w:val="ONUME"/>
        <w:numPr>
          <w:ilvl w:val="0"/>
          <w:numId w:val="0"/>
        </w:numPr>
        <w:spacing w:after="0"/>
      </w:pPr>
    </w:p>
    <w:p w:rsidR="00D87EA8" w:rsidRPr="00AB30C5" w:rsidRDefault="007C671D" w:rsidP="00D87EA8">
      <w:pPr>
        <w:pStyle w:val="ONUME"/>
        <w:numPr>
          <w:ilvl w:val="0"/>
          <w:numId w:val="0"/>
        </w:num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>В ходе этих двух сессий ПКПП продолжил рассмотрение следующих пяти тем</w:t>
      </w:r>
      <w:r>
        <w:rPr>
          <w:rStyle w:val="FootnoteReference"/>
        </w:rPr>
        <w:footnoteReference w:id="2"/>
      </w:r>
      <w:r>
        <w:t>: (i) ограничения и исключения из пате</w:t>
      </w:r>
      <w:r w:rsidR="00720C7A">
        <w:t>нтных прав; (ii)</w:t>
      </w:r>
      <w:r w:rsidR="00720C7A">
        <w:rPr>
          <w:lang w:val="en-US"/>
        </w:rPr>
        <w:t> </w:t>
      </w:r>
      <w:r>
        <w:t>качество патентов, включая системы возражения; (iii) </w:t>
      </w:r>
      <w:r w:rsidR="00720C7A">
        <w:t>патенты и здравоохранение; (iv)</w:t>
      </w:r>
      <w:r w:rsidR="00720C7A">
        <w:rPr>
          <w:lang w:val="en-US"/>
        </w:rPr>
        <w:t> </w:t>
      </w:r>
      <w:r>
        <w:t>конфиденциальность сообщений между клиентами и и</w:t>
      </w:r>
      <w:r w:rsidR="006634A9">
        <w:t>х патентными поверенными; и (v) передача технолог</w:t>
      </w:r>
      <w:r>
        <w:t>и</w:t>
      </w:r>
      <w:r w:rsidR="006634A9">
        <w:t>й</w:t>
      </w:r>
      <w:r>
        <w:t>.</w:t>
      </w:r>
      <w:r w:rsidR="00720C7A">
        <w:t xml:space="preserve"> </w:t>
      </w:r>
    </w:p>
    <w:p w:rsidR="002601DC" w:rsidRPr="00AB30C5" w:rsidRDefault="007C671D" w:rsidP="002601DC">
      <w:pPr>
        <w:pStyle w:val="ONUME"/>
        <w:numPr>
          <w:ilvl w:val="0"/>
          <w:numId w:val="0"/>
        </w:num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>Обсуждения на этих двух сессиях были основаны на нескольких предложениях, представленных различными делегациями, и документах, подготовленных Секретариатом.</w:t>
      </w:r>
      <w:r w:rsidR="00720C7A">
        <w:t xml:space="preserve"> </w:t>
      </w:r>
      <w:r>
        <w:t>Делегации обсудили эти предложения и документы под различными углами зрения и обменялись мнениями и опытом, что способствовало более глубокому пониманию тем.</w:t>
      </w:r>
      <w:r w:rsidR="00720C7A">
        <w:t xml:space="preserve"> </w:t>
      </w:r>
      <w:r>
        <w:t>В частности, семинар о «взаимосвязи патентных систем и в том числе проблемах наличия медикаментов в развивающихся и наименее развитых странах (НРС), включая проблему поощрения инноваций и стимулирования</w:t>
      </w:r>
      <w:r w:rsidR="006634A9">
        <w:t xml:space="preserve"> передачи необходимых технологий</w:t>
      </w:r>
      <w:r>
        <w:t xml:space="preserve"> для облегчения доступа к патентованным и непатентованным препаратам в этих странах» и две сессии по обмену опытом в области</w:t>
      </w:r>
      <w:r w:rsidR="00720C7A">
        <w:t xml:space="preserve"> </w:t>
      </w:r>
      <w:r>
        <w:t xml:space="preserve">оценки изобретательского уровня и применения положений об охране конфиденциальности к различным категориям специалистов в области патентов дали государствам-членам хорошую возможность для </w:t>
      </w:r>
      <w:r>
        <w:lastRenderedPageBreak/>
        <w:t>обмена мнениями и опытом, обсуждения трудностей и решений по каждому из указанных вопросов.</w:t>
      </w:r>
      <w:r w:rsidR="00720C7A">
        <w:t xml:space="preserve"> </w:t>
      </w:r>
    </w:p>
    <w:p w:rsidR="006B683A" w:rsidRPr="00AB30C5" w:rsidRDefault="007C671D" w:rsidP="006B683A">
      <w:pPr>
        <w:rPr>
          <w:rFonts w:eastAsia="MS Mincho"/>
          <w:szCs w:val="22"/>
        </w:r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>Кроме того, в ходе двадцать третьей сессии Комитет обсудил опыт государств-членов и их примеры из практики, связанные с эффективностью исключений и ограничен</w:t>
      </w:r>
      <w:r w:rsidR="006634A9">
        <w:t>ий, а также передачей технологий</w:t>
      </w:r>
      <w:r>
        <w:t xml:space="preserve"> в контексте проблемы достаточности раскрытия.</w:t>
      </w:r>
      <w:r w:rsidR="00720C7A">
        <w:t xml:space="preserve"> </w:t>
      </w:r>
      <w:r>
        <w:t>Также обсуждалось исследование по вопросу о применимости требования о раскрытии международных непатентованных наименований (МНН) в патентных заявках и/или патентах.</w:t>
      </w:r>
      <w:r w:rsidR="00720C7A">
        <w:t xml:space="preserve"> </w:t>
      </w:r>
      <w:r w:rsidR="00890490" w:rsidRPr="00890490">
        <w:t>Н</w:t>
      </w:r>
      <w:r>
        <w:t xml:space="preserve">а двадцать четвертой сессии Секретариат представил улучшенную </w:t>
      </w:r>
      <w:r w:rsidR="00890490" w:rsidRPr="00890490">
        <w:t xml:space="preserve">версию </w:t>
      </w:r>
      <w:r>
        <w:t>веб-страниц</w:t>
      </w:r>
      <w:r w:rsidR="00890490" w:rsidRPr="00890490">
        <w:t>ы</w:t>
      </w:r>
      <w:r w:rsidR="00890490">
        <w:t>, посвященн</w:t>
      </w:r>
      <w:r w:rsidR="00890490" w:rsidRPr="00890490">
        <w:t>ой</w:t>
      </w:r>
      <w:r>
        <w:t xml:space="preserve"> распределению рабочей нагрузки и совместной деятельности.</w:t>
      </w:r>
      <w:r w:rsidR="00720C7A">
        <w:t xml:space="preserve"> </w:t>
      </w:r>
    </w:p>
    <w:p w:rsidR="00344EAB" w:rsidRDefault="00344EAB" w:rsidP="006B683A"/>
    <w:p w:rsidR="00CC74F3" w:rsidRPr="00AB30C5" w:rsidRDefault="007C671D" w:rsidP="004313BF">
      <w:pPr>
        <w:tabs>
          <w:tab w:val="left" w:pos="567"/>
        </w:tabs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>Комитет продолжит свою работу на основании договоренностей по этому поводу, достигнутых на его двадцать четвертой сессии.</w:t>
      </w:r>
      <w:r w:rsidR="00720C7A">
        <w:t xml:space="preserve"> </w:t>
      </w:r>
      <w:r>
        <w:t>Комитет принял решение о том, что не носящий исчерпывающего характера перечень вопросов будет оставаться открытым для дальнейшей проработки и обсуждения на двадцать пятой</w:t>
      </w:r>
      <w:r w:rsidR="00890490" w:rsidRPr="00890490">
        <w:t xml:space="preserve"> сессии</w:t>
      </w:r>
      <w:r>
        <w:t xml:space="preserve"> ПКПП.</w:t>
      </w:r>
      <w:r w:rsidR="00720C7A">
        <w:t xml:space="preserve"> </w:t>
      </w:r>
      <w:r>
        <w:t>Кроме того, без ущерба для мандата ПКПП, Комитет принял решение о том, что его работа на следующей сессии будет ограничена установлением фактов и на данном этапе не будет вести к гармонизации.</w:t>
      </w:r>
      <w:r w:rsidR="00720C7A">
        <w:t xml:space="preserve"> </w:t>
      </w:r>
    </w:p>
    <w:p w:rsidR="00CC74F3" w:rsidRPr="00AB30C5" w:rsidRDefault="00CC74F3" w:rsidP="00CC74F3"/>
    <w:p w:rsidR="00CC74F3" w:rsidRPr="00AB30C5" w:rsidRDefault="007C671D" w:rsidP="00285140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 w:rsidR="007A1A75" w:rsidRPr="007A1A75">
        <w:t>По теме</w:t>
      </w:r>
      <w:r>
        <w:t xml:space="preserve"> </w:t>
      </w:r>
      <w:r w:rsidR="00890490">
        <w:t>«</w:t>
      </w:r>
      <w:r>
        <w:t>ограничени</w:t>
      </w:r>
      <w:r w:rsidR="00890490" w:rsidRPr="00890490">
        <w:t>я</w:t>
      </w:r>
      <w:r>
        <w:t xml:space="preserve"> и исключени</w:t>
      </w:r>
      <w:r w:rsidR="00890490" w:rsidRPr="00890490">
        <w:t>я</w:t>
      </w:r>
      <w:r>
        <w:t xml:space="preserve"> из патентных прав</w:t>
      </w:r>
      <w:r w:rsidR="00890490">
        <w:t>»</w:t>
      </w:r>
      <w:r>
        <w:t xml:space="preserve"> Комитет принял решение о том, что на основе информации, которая будет представлена членами и наблюдателями ПКПП, Секретариат подготовит сводный документ с обзором примеров национальной практики в области эффективности применения исключений и ограничений, а также возникающих в этой связи трудностей, в частности, в контексте решения задач развития.</w:t>
      </w:r>
      <w:r w:rsidR="00720C7A">
        <w:t xml:space="preserve"> </w:t>
      </w:r>
      <w:r>
        <w:t>Кроме того, будет проведено совещание государств-членов по обмену конкретным практическим опытом применения исключений и ограничений, доказавших свою эффективность с точки зрения решения вопросов развития и/или укрепления основ экономики, включая обмен информацией о судебных прецедентах.</w:t>
      </w:r>
    </w:p>
    <w:p w:rsidR="00CC74F3" w:rsidRPr="00AB30C5" w:rsidRDefault="00CC74F3" w:rsidP="00CC74F3"/>
    <w:p w:rsidR="001E63A3" w:rsidRPr="00AB30C5" w:rsidRDefault="007C671D" w:rsidP="00A2388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 xml:space="preserve">Что касается темы «качество патентов, включая системы возражения», то было согласовано, что до 25-й сессии ПКПП Секретариат распространит </w:t>
      </w:r>
      <w:r w:rsidR="007A1A75" w:rsidRPr="007A1A75">
        <w:t xml:space="preserve">среди </w:t>
      </w:r>
      <w:r w:rsidR="007A1A75">
        <w:t xml:space="preserve">государств-членов и региональных патентных ведомств </w:t>
      </w:r>
      <w:r>
        <w:t xml:space="preserve">проект вопросника для получения </w:t>
      </w:r>
      <w:r w:rsidR="007A1A75" w:rsidRPr="007A1A75">
        <w:t xml:space="preserve">следующей </w:t>
      </w:r>
      <w:r>
        <w:t>информации:</w:t>
      </w:r>
      <w:r w:rsidR="00720C7A">
        <w:t xml:space="preserve"> </w:t>
      </w:r>
      <w:r>
        <w:t>(i) понимание каждым государством-членом «качества патентов» и (ii) примеры сотрудничества и взаимодействия патентных ведомств в области поиска и экспертизы патентных заявок, включая описание опыта, последствий такого сотрудничества, примеров обмена стратегиями поиска, инструментов для обмена информацией и потребностей в укреплении потенциала в сфере сотрудничества и взаимодействия.</w:t>
      </w:r>
      <w:r w:rsidR="00720C7A">
        <w:t xml:space="preserve"> </w:t>
      </w:r>
      <w:r>
        <w:t>На основании ответов</w:t>
      </w:r>
      <w:r w:rsidR="007A1A75" w:rsidRPr="007A1A75">
        <w:t xml:space="preserve"> на вопросник</w:t>
      </w:r>
      <w:r>
        <w:t xml:space="preserve"> Секретариат представит </w:t>
      </w:r>
      <w:r w:rsidR="007A1A75">
        <w:t xml:space="preserve">26-й сессии ПКПП </w:t>
      </w:r>
      <w:r>
        <w:t>резюме полученной информации.</w:t>
      </w:r>
      <w:r w:rsidR="00720C7A">
        <w:t xml:space="preserve"> </w:t>
      </w:r>
      <w:r>
        <w:t>Кроме того, на основе информации, представленной государствами-членами и региональными патентными ведомствами, Секретариат обновит документ SCP/18/4 (Системы подачи возражения и другие механизмы административного аннулирования и признания патента недействительным) и разместит эту информацию на сайте электронного форума ПКПП в более доступном и удобном формате.</w:t>
      </w:r>
      <w:r w:rsidR="00720C7A">
        <w:t xml:space="preserve"> </w:t>
      </w:r>
      <w:r>
        <w:t>На следующей сессии Комитет также проведет совещание по обмену опытом и примерами из практики в области оценки изобретательского уровня, в том числе по вопросам, перечисленным в пункте 8 д</w:t>
      </w:r>
      <w:r w:rsidR="007A1A75">
        <w:t>окумента SCP/24/3</w:t>
      </w:r>
      <w:r>
        <w:t>.</w:t>
      </w:r>
    </w:p>
    <w:p w:rsidR="00CC74F3" w:rsidRPr="00AB30C5" w:rsidRDefault="00CC74F3" w:rsidP="00CC74F3"/>
    <w:p w:rsidR="00F96CA3" w:rsidRPr="00AB30C5" w:rsidRDefault="007C671D" w:rsidP="00A2388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 w:rsidR="001F0E55" w:rsidRPr="00890490">
        <w:t>По теме</w:t>
      </w:r>
      <w:r w:rsidR="001F0E55" w:rsidRPr="006667A2">
        <w:t xml:space="preserve"> «патенты и здравоохранение» было принято решение, что на своей двадцать пятой сессии Комитет проведе</w:t>
      </w:r>
      <w:r w:rsidR="001F0E55" w:rsidRPr="004B211A">
        <w:t>т</w:t>
      </w:r>
      <w:r w:rsidR="001F0E55" w:rsidRPr="006667A2">
        <w:t xml:space="preserve"> совещание для обмена национальным опытом, касающимся использования связанных с патентами гибких возможностей в сфере здравоохранения </w:t>
      </w:r>
      <w:r w:rsidR="00E35103" w:rsidRPr="00E35103">
        <w:t>для</w:t>
      </w:r>
      <w:r w:rsidR="001F0E55" w:rsidRPr="006667A2">
        <w:t xml:space="preserve"> содействия достижени</w:t>
      </w:r>
      <w:r w:rsidR="00E35103" w:rsidRPr="00E35103">
        <w:t>ю</w:t>
      </w:r>
      <w:r w:rsidR="001F0E55" w:rsidRPr="006667A2">
        <w:t xml:space="preserve"> целей в области </w:t>
      </w:r>
      <w:r w:rsidR="001F0E55">
        <w:t>охраны общественного здоровья</w:t>
      </w:r>
      <w:r w:rsidR="001F0E55" w:rsidRPr="006667A2">
        <w:t xml:space="preserve"> и</w:t>
      </w:r>
      <w:r w:rsidR="001F0E55" w:rsidRPr="001F0E55">
        <w:t xml:space="preserve">ли </w:t>
      </w:r>
      <w:r w:rsidR="001F0E55" w:rsidRPr="006667A2">
        <w:t xml:space="preserve">трудностей в этой </w:t>
      </w:r>
      <w:r w:rsidR="00E35103" w:rsidRPr="00E35103">
        <w:t>связи</w:t>
      </w:r>
      <w:r w:rsidR="001F0E55" w:rsidRPr="006667A2">
        <w:t>, что позволит проанализировать те вопросы, которые предполагается рассмотреть в исследовании для представления на 26-й сессии.</w:t>
      </w:r>
      <w:r w:rsidR="001F0E55" w:rsidRPr="001F0E55">
        <w:t xml:space="preserve"> </w:t>
      </w:r>
      <w:r w:rsidR="00A23883">
        <w:t xml:space="preserve">Это исследование должно быть подготовлено Секретариатом на основе консультаций с </w:t>
      </w:r>
      <w:r w:rsidR="00A23883">
        <w:lastRenderedPageBreak/>
        <w:t xml:space="preserve">независимыми экспертами, специалистами Всемирной организации здравоохранения (ВОЗ) и Всемирной торговой организации (ВТО), и оно будет посвящено анализу препятствий, с которыми сталкиваются развивающиеся страны и НРС на пути полноценного использования гибких возможностей в сфере патентования, и их последствиям </w:t>
      </w:r>
      <w:r w:rsidR="00E8367F" w:rsidRPr="00E8367F">
        <w:t>с точки зрения</w:t>
      </w:r>
      <w:r w:rsidR="00A23883">
        <w:t xml:space="preserve"> получения доступа </w:t>
      </w:r>
      <w:r w:rsidR="00A23883" w:rsidRPr="00720C7A">
        <w:t>к недорогим и — в первую очередь — жизненно важным медикаментам в интересах общественного здравоохранения в развивающихся странах и НРС.</w:t>
      </w:r>
      <w:r w:rsidR="00720C7A">
        <w:t xml:space="preserve"> </w:t>
      </w:r>
      <w:r w:rsidR="00A23883" w:rsidRPr="00720C7A">
        <w:t>ПКПП также принял решение о продолжении обсуждения исследования по вопросу о применимости требования о раскрытии международных непатентованных наименований (МНН) в патентных заявках и патентах (документ SCP/21/9), особенно в тех случаях, когда заявители при подаче заявки осведомлены о МНН.</w:t>
      </w:r>
      <w:r w:rsidR="00720C7A">
        <w:t xml:space="preserve"> </w:t>
      </w:r>
      <w:r w:rsidR="00A23883" w:rsidRPr="00720C7A">
        <w:t>Членам Комитета</w:t>
      </w:r>
      <w:r w:rsidR="00A23883">
        <w:t xml:space="preserve"> и региональным патентным ведомствам предлагается выступить с презентациями для прояснения этих вопросов и аспектов, вызывающих у них обеспокоенность.</w:t>
      </w:r>
      <w:r w:rsidR="00720C7A">
        <w:t xml:space="preserve"> </w:t>
      </w:r>
      <w:r w:rsidR="00A23883">
        <w:t>Кроме того, Секретариату поручено подготовить выступление, посвященное проекту PATENTSCOPE Chemsearch, который упрощает патентный поиск путем использования МНН.</w:t>
      </w:r>
    </w:p>
    <w:p w:rsidR="00CC74F3" w:rsidRPr="00AB30C5" w:rsidRDefault="00CC74F3" w:rsidP="00CC74F3"/>
    <w:p w:rsidR="007708F0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 w:rsidR="00890490" w:rsidRPr="00890490">
        <w:t>По теме</w:t>
      </w:r>
      <w:r>
        <w:t xml:space="preserve"> «конфиденциальность сообщений между клиента</w:t>
      </w:r>
      <w:r w:rsidR="00890490">
        <w:t>ми и их патентными поверенными»</w:t>
      </w:r>
      <w:r>
        <w:t xml:space="preserve"> ПКПП было принято решение, что на основе информации, представленной членами и наблюдателями ПКПП, Секретариат подготовит подборку материалов о судебных прецедентах, касающихся конфиденциальности отношений между клиентом и патентным поверенным, включая ограничения и трудности в этой связи. </w:t>
      </w:r>
    </w:p>
    <w:p w:rsidR="00CC74F3" w:rsidRPr="00AB30C5" w:rsidRDefault="00CC74F3" w:rsidP="00CC74F3"/>
    <w:p w:rsidR="007708F0" w:rsidRPr="00AB30C5" w:rsidRDefault="007C671D" w:rsidP="00CC4B1D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  <w:t>По теме «передача технологий</w:t>
      </w:r>
      <w:r>
        <w:t>» Комитет решил провести совещание по обмену опытом в области взаимосвязи патент</w:t>
      </w:r>
      <w:r w:rsidR="006634A9">
        <w:t>ных систем и передачи технологий</w:t>
      </w:r>
      <w:r>
        <w:t>, в рамках которого эксперты из различных регионов также приведут примеры и рассмотрят конкретные ситуации с целью сформировать более четкое понимание значения достаточности р</w:t>
      </w:r>
      <w:r w:rsidR="006634A9">
        <w:t>аскрытия для передачи технологий</w:t>
      </w:r>
      <w:r>
        <w:t>.</w:t>
      </w:r>
      <w:r w:rsidR="00720C7A">
        <w:t xml:space="preserve"> </w:t>
      </w:r>
      <w:r>
        <w:t>Кроме того, Секретариат обновит веб-страницу сайта ВОИС,</w:t>
      </w:r>
      <w:r w:rsidR="006634A9">
        <w:t xml:space="preserve"> посвященную передаче технологий</w:t>
      </w:r>
      <w:r>
        <w:t>.</w:t>
      </w:r>
    </w:p>
    <w:p w:rsidR="007708F0" w:rsidRPr="00AB30C5" w:rsidRDefault="007708F0" w:rsidP="00CC74F3"/>
    <w:p w:rsidR="00CC74F3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 w:rsidR="00682D93">
        <w:t>Комитет</w:t>
      </w:r>
      <w:r>
        <w:t xml:space="preserve"> также приня</w:t>
      </w:r>
      <w:r w:rsidR="00682D93" w:rsidRPr="00682D93">
        <w:t>л</w:t>
      </w:r>
      <w:r>
        <w:t xml:space="preserve"> решение обновить информацию по некоторым аспектам национального/ регионального патентного законодательства</w:t>
      </w:r>
      <w:r w:rsidR="00682D93" w:rsidRPr="00682D93">
        <w:t xml:space="preserve"> </w:t>
      </w:r>
      <w:r w:rsidR="00682D93">
        <w:t>с учетом материалов, полученных от государств-членов</w:t>
      </w:r>
      <w:r>
        <w:t>.</w:t>
      </w:r>
      <w:r w:rsidR="00720C7A">
        <w:t xml:space="preserve"> </w:t>
      </w:r>
    </w:p>
    <w:p w:rsidR="007C671D" w:rsidRPr="00AB30C5" w:rsidRDefault="007C671D" w:rsidP="00CC74F3"/>
    <w:p w:rsidR="00C530E7" w:rsidRDefault="007C671D" w:rsidP="00C530E7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="006634A9">
        <w:tab/>
      </w:r>
      <w:r>
        <w:t>Помимо этого, на двадцать третьей и двадцать четвертой сессиях Комитет обсудил предложение Группы стран Латинской Америки и Карибского бассейна (ГРУЛАК)</w:t>
      </w:r>
      <w:r w:rsidR="00682D93" w:rsidRPr="00682D93">
        <w:t xml:space="preserve"> под названием</w:t>
      </w:r>
      <w:r>
        <w:t xml:space="preserve"> «Пересмотр типового закона ВОИС по изобретениям для развивающихся стран от 1979 г.». После некоторого обсуждения Председатель предложил, чтобы рассмотрение этого вопроса было продолжено на следующей сессии ПКПП и чтобы заинтересованные делегации представили свои материалы и информацию по теме.</w:t>
      </w:r>
      <w:r w:rsidR="00720C7A">
        <w:t xml:space="preserve"> </w:t>
      </w:r>
    </w:p>
    <w:p w:rsidR="0056149D" w:rsidRPr="00AB30C5" w:rsidRDefault="0056149D" w:rsidP="00C530E7"/>
    <w:p w:rsidR="001472E0" w:rsidRPr="00AB30C5" w:rsidRDefault="007C671D" w:rsidP="000C7E41">
      <w:pPr>
        <w:ind w:left="5533"/>
        <w:rPr>
          <w:i/>
        </w:rPr>
      </w:pPr>
      <w:r w:rsidRPr="00AB30C5">
        <w:rPr>
          <w:i/>
        </w:rPr>
        <w:fldChar w:fldCharType="begin"/>
      </w:r>
      <w:r w:rsidRPr="00AB30C5">
        <w:rPr>
          <w:i/>
        </w:rPr>
        <w:instrText xml:space="preserve"> AUTONUM  </w:instrText>
      </w:r>
      <w:r w:rsidRPr="00AB30C5">
        <w:rPr>
          <w:i/>
        </w:rPr>
        <w:fldChar w:fldCharType="end"/>
      </w:r>
      <w:r w:rsidR="006634A9">
        <w:rPr>
          <w:i/>
        </w:rPr>
        <w:tab/>
      </w:r>
      <w:r>
        <w:rPr>
          <w:i/>
        </w:rPr>
        <w:t>Генеральной Ассамбле</w:t>
      </w:r>
      <w:r w:rsidR="00682D93" w:rsidRPr="00682D93">
        <w:rPr>
          <w:i/>
        </w:rPr>
        <w:t>е</w:t>
      </w:r>
      <w:r>
        <w:rPr>
          <w:i/>
        </w:rPr>
        <w:t xml:space="preserve"> ВОИС предлагается принять к сведению «Отчет о работе Постоянного комитета по патентному праву» (документ WO/GA/48/4).</w:t>
      </w:r>
    </w:p>
    <w:p w:rsidR="007C671D" w:rsidRDefault="007C671D" w:rsidP="00AB30C5">
      <w:pPr>
        <w:pStyle w:val="ONUME"/>
        <w:numPr>
          <w:ilvl w:val="0"/>
          <w:numId w:val="0"/>
        </w:numPr>
        <w:spacing w:after="0"/>
        <w:ind w:left="5530"/>
      </w:pPr>
    </w:p>
    <w:p w:rsidR="001D227A" w:rsidRDefault="001D227A" w:rsidP="00AB30C5">
      <w:pPr>
        <w:pStyle w:val="ONUME"/>
        <w:numPr>
          <w:ilvl w:val="0"/>
          <w:numId w:val="0"/>
        </w:numPr>
        <w:spacing w:after="0"/>
        <w:ind w:left="5530"/>
      </w:pPr>
    </w:p>
    <w:p w:rsidR="001D227A" w:rsidRDefault="001D227A" w:rsidP="00AB30C5">
      <w:pPr>
        <w:pStyle w:val="ONUME"/>
        <w:numPr>
          <w:ilvl w:val="0"/>
          <w:numId w:val="0"/>
        </w:numPr>
        <w:spacing w:after="0"/>
        <w:ind w:left="5530"/>
      </w:pPr>
    </w:p>
    <w:p w:rsidR="000F5E56" w:rsidRDefault="00C960EA" w:rsidP="00D8691F">
      <w:pPr>
        <w:pStyle w:val="ONUME"/>
        <w:numPr>
          <w:ilvl w:val="0"/>
          <w:numId w:val="0"/>
        </w:numPr>
        <w:ind w:left="5533"/>
      </w:pPr>
      <w:r>
        <w:t xml:space="preserve">[Конец документа] </w:t>
      </w:r>
    </w:p>
    <w:sectPr w:rsidR="000F5E56" w:rsidSect="002D6405">
      <w:headerReference w:type="default" r:id="rId10"/>
      <w:endnotePr>
        <w:numFmt w:val="decimal"/>
      </w:endnotePr>
      <w:pgSz w:w="11907" w:h="16840" w:code="9"/>
      <w:pgMar w:top="567" w:right="1134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5A" w:rsidRDefault="0040425A">
      <w:r>
        <w:separator/>
      </w:r>
    </w:p>
  </w:endnote>
  <w:endnote w:type="continuationSeparator" w:id="0">
    <w:p w:rsidR="0040425A" w:rsidRDefault="0040425A" w:rsidP="003B38C1">
      <w:r>
        <w:separator/>
      </w:r>
    </w:p>
    <w:p w:rsidR="0040425A" w:rsidRPr="006634A9" w:rsidRDefault="0040425A" w:rsidP="003B38C1">
      <w:pPr>
        <w:spacing w:after="60"/>
        <w:rPr>
          <w:sz w:val="17"/>
          <w:lang w:val="en-US"/>
        </w:rPr>
      </w:pPr>
      <w:r w:rsidRPr="006634A9">
        <w:rPr>
          <w:sz w:val="17"/>
          <w:lang w:val="en-US"/>
        </w:rPr>
        <w:t>[Endnote continued from previous page]</w:t>
      </w:r>
    </w:p>
  </w:endnote>
  <w:endnote w:type="continuationNotice" w:id="1">
    <w:p w:rsidR="0040425A" w:rsidRPr="006634A9" w:rsidRDefault="0040425A" w:rsidP="003B38C1">
      <w:pPr>
        <w:spacing w:before="60"/>
        <w:jc w:val="right"/>
        <w:rPr>
          <w:sz w:val="17"/>
          <w:szCs w:val="17"/>
          <w:lang w:val="en-US"/>
        </w:rPr>
      </w:pPr>
      <w:r w:rsidRPr="006634A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5A" w:rsidRDefault="0040425A">
      <w:r>
        <w:separator/>
      </w:r>
    </w:p>
  </w:footnote>
  <w:footnote w:type="continuationSeparator" w:id="0">
    <w:p w:rsidR="0040425A" w:rsidRDefault="0040425A" w:rsidP="008B60B2">
      <w:r>
        <w:separator/>
      </w:r>
    </w:p>
    <w:p w:rsidR="0040425A" w:rsidRPr="006634A9" w:rsidRDefault="0040425A" w:rsidP="008B60B2">
      <w:pPr>
        <w:spacing w:after="60"/>
        <w:rPr>
          <w:sz w:val="17"/>
          <w:szCs w:val="17"/>
          <w:lang w:val="en-US"/>
        </w:rPr>
      </w:pPr>
      <w:r w:rsidRPr="006634A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0425A" w:rsidRPr="006634A9" w:rsidRDefault="0040425A" w:rsidP="008B60B2">
      <w:pPr>
        <w:spacing w:before="60"/>
        <w:jc w:val="right"/>
        <w:rPr>
          <w:sz w:val="17"/>
          <w:szCs w:val="17"/>
          <w:lang w:val="en-US"/>
        </w:rPr>
      </w:pPr>
      <w:r w:rsidRPr="006634A9">
        <w:rPr>
          <w:sz w:val="17"/>
          <w:szCs w:val="17"/>
          <w:lang w:val="en-US"/>
        </w:rPr>
        <w:t>[Footnote continued on next page]</w:t>
      </w:r>
    </w:p>
  </w:footnote>
  <w:footnote w:id="2">
    <w:p w:rsidR="00934343" w:rsidRPr="00BE167B" w:rsidRDefault="009343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Краткое изложение обсуждений на двадцать третьей и двадцать четвертой сессиях ПКПП содержится в соответствующих Резюме Председателя (документы SCP/23/5 и SCP/24/5), размещенных соответственно по адресу:</w:t>
      </w:r>
      <w:r w:rsidRPr="00BE167B">
        <w:t xml:space="preserve"> </w:t>
      </w:r>
      <w:hyperlink r:id="rId1" w:history="1">
        <w:r w:rsidR="00185A8B" w:rsidRPr="00BE167B">
          <w:rPr>
            <w:rStyle w:val="Hyperlink"/>
            <w:color w:val="auto"/>
            <w:u w:val="none"/>
          </w:rPr>
          <w:t>http://www.wipo.int/meetings/en/doc_details.jsp?doc_id=323086</w:t>
        </w:r>
      </w:hyperlink>
      <w:r w:rsidR="00720C7A" w:rsidRPr="00BE167B">
        <w:t xml:space="preserve"> </w:t>
      </w:r>
      <w:r w:rsidRPr="00BE167B">
        <w:t xml:space="preserve">и </w:t>
      </w:r>
      <w:hyperlink r:id="rId2" w:history="1">
        <w:r w:rsidR="00185A8B" w:rsidRPr="00BE167B">
          <w:rPr>
            <w:rStyle w:val="Hyperlink"/>
            <w:color w:val="auto"/>
            <w:u w:val="none"/>
          </w:rPr>
          <w:t>http://www.wipo.int/meetings/en/doc_details.jsp?doc_id=342596</w:t>
        </w:r>
      </w:hyperlink>
      <w:r w:rsidR="00185A8B" w:rsidRPr="00BE167B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43" w:rsidRDefault="00934343" w:rsidP="00477D6B">
    <w:pPr>
      <w:jc w:val="right"/>
    </w:pPr>
    <w:bookmarkStart w:id="6" w:name="Code2"/>
    <w:bookmarkEnd w:id="6"/>
    <w:r>
      <w:t>WO/GA/48/4</w:t>
    </w:r>
  </w:p>
  <w:p w:rsidR="00934343" w:rsidRDefault="00934343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D5094">
      <w:rPr>
        <w:noProof/>
      </w:rPr>
      <w:t>3</w:t>
    </w:r>
    <w:r>
      <w:fldChar w:fldCharType="end"/>
    </w:r>
  </w:p>
  <w:p w:rsidR="00934343" w:rsidRDefault="0093434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9B7BA9"/>
    <w:multiLevelType w:val="hybridMultilevel"/>
    <w:tmpl w:val="99E8F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EA"/>
    <w:rsid w:val="000020F8"/>
    <w:rsid w:val="0000324D"/>
    <w:rsid w:val="00010D50"/>
    <w:rsid w:val="00016F64"/>
    <w:rsid w:val="000438CE"/>
    <w:rsid w:val="00043CAA"/>
    <w:rsid w:val="00075432"/>
    <w:rsid w:val="0009140B"/>
    <w:rsid w:val="000968ED"/>
    <w:rsid w:val="000A0BB0"/>
    <w:rsid w:val="000A7086"/>
    <w:rsid w:val="000C3558"/>
    <w:rsid w:val="000C7E41"/>
    <w:rsid w:val="000C7ED0"/>
    <w:rsid w:val="000D5094"/>
    <w:rsid w:val="000E53FC"/>
    <w:rsid w:val="000F5E56"/>
    <w:rsid w:val="00101429"/>
    <w:rsid w:val="001149E6"/>
    <w:rsid w:val="0011763E"/>
    <w:rsid w:val="00123CFE"/>
    <w:rsid w:val="00125CDB"/>
    <w:rsid w:val="00126769"/>
    <w:rsid w:val="001362EE"/>
    <w:rsid w:val="001451B7"/>
    <w:rsid w:val="001472E0"/>
    <w:rsid w:val="00165CC6"/>
    <w:rsid w:val="00174B1A"/>
    <w:rsid w:val="001832A6"/>
    <w:rsid w:val="00185A8B"/>
    <w:rsid w:val="001A76BA"/>
    <w:rsid w:val="001C0024"/>
    <w:rsid w:val="001D227A"/>
    <w:rsid w:val="001E63A3"/>
    <w:rsid w:val="001F0E55"/>
    <w:rsid w:val="00225244"/>
    <w:rsid w:val="002601DC"/>
    <w:rsid w:val="002634C4"/>
    <w:rsid w:val="00285140"/>
    <w:rsid w:val="002928D3"/>
    <w:rsid w:val="00293AE4"/>
    <w:rsid w:val="002B074A"/>
    <w:rsid w:val="002B0B68"/>
    <w:rsid w:val="002B2195"/>
    <w:rsid w:val="002D2715"/>
    <w:rsid w:val="002D6405"/>
    <w:rsid w:val="002F0185"/>
    <w:rsid w:val="002F1FE6"/>
    <w:rsid w:val="002F4E68"/>
    <w:rsid w:val="002F56E8"/>
    <w:rsid w:val="00312F7F"/>
    <w:rsid w:val="003228B7"/>
    <w:rsid w:val="003302C5"/>
    <w:rsid w:val="00343976"/>
    <w:rsid w:val="00344EAB"/>
    <w:rsid w:val="003673CF"/>
    <w:rsid w:val="003845C1"/>
    <w:rsid w:val="003874AB"/>
    <w:rsid w:val="003876F6"/>
    <w:rsid w:val="00393148"/>
    <w:rsid w:val="003A0E64"/>
    <w:rsid w:val="003A15E5"/>
    <w:rsid w:val="003A3215"/>
    <w:rsid w:val="003A6F89"/>
    <w:rsid w:val="003B38C1"/>
    <w:rsid w:val="003B7F1E"/>
    <w:rsid w:val="003E4BA3"/>
    <w:rsid w:val="0040425A"/>
    <w:rsid w:val="00423E3E"/>
    <w:rsid w:val="00427AF4"/>
    <w:rsid w:val="004313BF"/>
    <w:rsid w:val="004400E2"/>
    <w:rsid w:val="00452846"/>
    <w:rsid w:val="004647DA"/>
    <w:rsid w:val="00474062"/>
    <w:rsid w:val="00477D6B"/>
    <w:rsid w:val="00482AAE"/>
    <w:rsid w:val="004A6754"/>
    <w:rsid w:val="004B211A"/>
    <w:rsid w:val="004B6CEA"/>
    <w:rsid w:val="004C7758"/>
    <w:rsid w:val="004F6DE3"/>
    <w:rsid w:val="00501AED"/>
    <w:rsid w:val="00512B65"/>
    <w:rsid w:val="0053057A"/>
    <w:rsid w:val="005513A0"/>
    <w:rsid w:val="00556A3C"/>
    <w:rsid w:val="00560A29"/>
    <w:rsid w:val="0056149D"/>
    <w:rsid w:val="00564122"/>
    <w:rsid w:val="00573D78"/>
    <w:rsid w:val="0057727D"/>
    <w:rsid w:val="005A3447"/>
    <w:rsid w:val="005B23A9"/>
    <w:rsid w:val="005E13CC"/>
    <w:rsid w:val="00605827"/>
    <w:rsid w:val="00612E0B"/>
    <w:rsid w:val="006201D3"/>
    <w:rsid w:val="00623F46"/>
    <w:rsid w:val="006349E3"/>
    <w:rsid w:val="00646050"/>
    <w:rsid w:val="00647B5B"/>
    <w:rsid w:val="006634A9"/>
    <w:rsid w:val="006713CA"/>
    <w:rsid w:val="00672A65"/>
    <w:rsid w:val="00676C5C"/>
    <w:rsid w:val="00682D93"/>
    <w:rsid w:val="006B683A"/>
    <w:rsid w:val="006E1174"/>
    <w:rsid w:val="007058FB"/>
    <w:rsid w:val="007146D9"/>
    <w:rsid w:val="00720C7A"/>
    <w:rsid w:val="00747091"/>
    <w:rsid w:val="0076117D"/>
    <w:rsid w:val="0076423B"/>
    <w:rsid w:val="007708F0"/>
    <w:rsid w:val="00784E15"/>
    <w:rsid w:val="007A1A75"/>
    <w:rsid w:val="007B6A58"/>
    <w:rsid w:val="007C3285"/>
    <w:rsid w:val="007C671D"/>
    <w:rsid w:val="007D1613"/>
    <w:rsid w:val="007F5169"/>
    <w:rsid w:val="008320AF"/>
    <w:rsid w:val="008706D5"/>
    <w:rsid w:val="00883F6B"/>
    <w:rsid w:val="00887110"/>
    <w:rsid w:val="00890490"/>
    <w:rsid w:val="008A2264"/>
    <w:rsid w:val="008B2CC1"/>
    <w:rsid w:val="008B4C15"/>
    <w:rsid w:val="008B60B2"/>
    <w:rsid w:val="008E6E18"/>
    <w:rsid w:val="008F206B"/>
    <w:rsid w:val="00904B57"/>
    <w:rsid w:val="0090731E"/>
    <w:rsid w:val="00916EE2"/>
    <w:rsid w:val="00917EC1"/>
    <w:rsid w:val="009301CA"/>
    <w:rsid w:val="00934343"/>
    <w:rsid w:val="00951033"/>
    <w:rsid w:val="00961813"/>
    <w:rsid w:val="00966A22"/>
    <w:rsid w:val="0096722F"/>
    <w:rsid w:val="00980843"/>
    <w:rsid w:val="0099671E"/>
    <w:rsid w:val="009A2982"/>
    <w:rsid w:val="009D719F"/>
    <w:rsid w:val="009E2791"/>
    <w:rsid w:val="009E3F6F"/>
    <w:rsid w:val="009E6C86"/>
    <w:rsid w:val="009F499F"/>
    <w:rsid w:val="009F7B1F"/>
    <w:rsid w:val="00A02B41"/>
    <w:rsid w:val="00A23883"/>
    <w:rsid w:val="00A347CA"/>
    <w:rsid w:val="00A42DAF"/>
    <w:rsid w:val="00A45BD8"/>
    <w:rsid w:val="00A57EC3"/>
    <w:rsid w:val="00A85B8E"/>
    <w:rsid w:val="00A901D2"/>
    <w:rsid w:val="00A910B4"/>
    <w:rsid w:val="00A9382B"/>
    <w:rsid w:val="00AB30C5"/>
    <w:rsid w:val="00AC205C"/>
    <w:rsid w:val="00AD0C87"/>
    <w:rsid w:val="00AD452D"/>
    <w:rsid w:val="00AF0610"/>
    <w:rsid w:val="00AF0D0C"/>
    <w:rsid w:val="00AF1AB4"/>
    <w:rsid w:val="00AF7365"/>
    <w:rsid w:val="00B036FE"/>
    <w:rsid w:val="00B05A69"/>
    <w:rsid w:val="00B20AC9"/>
    <w:rsid w:val="00B23745"/>
    <w:rsid w:val="00B25196"/>
    <w:rsid w:val="00B26D45"/>
    <w:rsid w:val="00B3644F"/>
    <w:rsid w:val="00B501C2"/>
    <w:rsid w:val="00B77031"/>
    <w:rsid w:val="00B92D43"/>
    <w:rsid w:val="00B966E4"/>
    <w:rsid w:val="00B9734B"/>
    <w:rsid w:val="00BA59D3"/>
    <w:rsid w:val="00BE167B"/>
    <w:rsid w:val="00C0684B"/>
    <w:rsid w:val="00C11BFE"/>
    <w:rsid w:val="00C30B03"/>
    <w:rsid w:val="00C530E7"/>
    <w:rsid w:val="00C61953"/>
    <w:rsid w:val="00C935CE"/>
    <w:rsid w:val="00C94629"/>
    <w:rsid w:val="00C960EA"/>
    <w:rsid w:val="00CC4B1D"/>
    <w:rsid w:val="00CC74F3"/>
    <w:rsid w:val="00CD26F2"/>
    <w:rsid w:val="00CE1B1B"/>
    <w:rsid w:val="00CE44F1"/>
    <w:rsid w:val="00D137BB"/>
    <w:rsid w:val="00D16320"/>
    <w:rsid w:val="00D35881"/>
    <w:rsid w:val="00D35C11"/>
    <w:rsid w:val="00D43026"/>
    <w:rsid w:val="00D45252"/>
    <w:rsid w:val="00D4637B"/>
    <w:rsid w:val="00D514E2"/>
    <w:rsid w:val="00D54F70"/>
    <w:rsid w:val="00D6285C"/>
    <w:rsid w:val="00D71B4D"/>
    <w:rsid w:val="00D734F8"/>
    <w:rsid w:val="00D8691F"/>
    <w:rsid w:val="00D87EA8"/>
    <w:rsid w:val="00D93D55"/>
    <w:rsid w:val="00DA2EE8"/>
    <w:rsid w:val="00DA388C"/>
    <w:rsid w:val="00DB52EE"/>
    <w:rsid w:val="00DC33DD"/>
    <w:rsid w:val="00DC4340"/>
    <w:rsid w:val="00DD5102"/>
    <w:rsid w:val="00DF43C4"/>
    <w:rsid w:val="00E0235D"/>
    <w:rsid w:val="00E13970"/>
    <w:rsid w:val="00E335FE"/>
    <w:rsid w:val="00E35103"/>
    <w:rsid w:val="00E5021F"/>
    <w:rsid w:val="00E51FFA"/>
    <w:rsid w:val="00E55EA3"/>
    <w:rsid w:val="00E57C59"/>
    <w:rsid w:val="00E8367F"/>
    <w:rsid w:val="00EA3725"/>
    <w:rsid w:val="00EB125B"/>
    <w:rsid w:val="00EB5FEF"/>
    <w:rsid w:val="00EC3726"/>
    <w:rsid w:val="00EC4E49"/>
    <w:rsid w:val="00ED77FB"/>
    <w:rsid w:val="00EE0235"/>
    <w:rsid w:val="00EF6B9C"/>
    <w:rsid w:val="00F021A6"/>
    <w:rsid w:val="00F15FF2"/>
    <w:rsid w:val="00F33BD0"/>
    <w:rsid w:val="00F66152"/>
    <w:rsid w:val="00F7266C"/>
    <w:rsid w:val="00F73DD6"/>
    <w:rsid w:val="00F90BEA"/>
    <w:rsid w:val="00F96CA3"/>
    <w:rsid w:val="00FB40D6"/>
    <w:rsid w:val="00FC1AE4"/>
    <w:rsid w:val="00FC65B5"/>
    <w:rsid w:val="00FC77E3"/>
    <w:rsid w:val="00FE45DF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meetings/en/doc_details.jsp?doc_id=342596" TargetMode="External"/><Relationship Id="rId1" Type="http://schemas.openxmlformats.org/officeDocument/2006/relationships/hyperlink" Target="http://www.wipo.int/meetings/en/doc_details.jsp?doc_id=32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77B6-35BD-468A-A154-7BE11022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E802FFA8</Template>
  <TotalTime>39</TotalTime>
  <Pages>3</Pages>
  <Words>1044</Words>
  <Characters>7271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WO/GA/47/</vt:lpstr>
      <vt:lpstr>WO/GA/47/</vt:lpstr>
    </vt:vector>
  </TitlesOfParts>
  <Company>WIPO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HÄFLIGER Patience</cp:lastModifiedBy>
  <cp:revision>12</cp:revision>
  <cp:lastPrinted>2016-07-18T10:13:00Z</cp:lastPrinted>
  <dcterms:created xsi:type="dcterms:W3CDTF">2016-07-15T13:29:00Z</dcterms:created>
  <dcterms:modified xsi:type="dcterms:W3CDTF">2016-07-18T10:13:00Z</dcterms:modified>
</cp:coreProperties>
</file>