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26702" w:rsidTr="001B7CBA">
        <w:trPr>
          <w:trHeight w:val="2127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26702" w:rsidRDefault="00EC4E49" w:rsidP="00ED2F2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26702" w:rsidRDefault="00947379" w:rsidP="00ED2F2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35150" cy="1320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452BF" w:rsidRDefault="00DD34C9" w:rsidP="00ED2F2D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C729C" w:rsidTr="00B37B22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C729C" w:rsidRDefault="00DD34C9" w:rsidP="00ED2F2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WO/GA/47/18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C72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C729C" w:rsidRDefault="00DD34C9" w:rsidP="00ED2F2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РУССКИЙ    </w:t>
            </w:r>
            <w:bookmarkStart w:id="1" w:name="Original"/>
            <w:bookmarkEnd w:id="1"/>
          </w:p>
        </w:tc>
      </w:tr>
      <w:tr w:rsidR="008B2CC1" w:rsidRPr="001C72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C729C" w:rsidRDefault="00DD34C9" w:rsidP="00ED2F2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11 сентября 2015 г.  </w:t>
            </w:r>
            <w:bookmarkStart w:id="2" w:name="Date"/>
            <w:bookmarkEnd w:id="2"/>
          </w:p>
        </w:tc>
      </w:tr>
    </w:tbl>
    <w:p w:rsidR="008B2CC1" w:rsidRPr="001C729C" w:rsidRDefault="008B2CC1" w:rsidP="00ED2F2D"/>
    <w:p w:rsidR="008B2CC1" w:rsidRPr="001C729C" w:rsidRDefault="008B2CC1" w:rsidP="00ED2F2D">
      <w:bookmarkStart w:id="3" w:name="_GoBack"/>
      <w:bookmarkEnd w:id="3"/>
    </w:p>
    <w:p w:rsidR="008B2CC1" w:rsidRPr="001C729C" w:rsidRDefault="008B2CC1" w:rsidP="00ED2F2D"/>
    <w:p w:rsidR="008B2CC1" w:rsidRPr="001C729C" w:rsidRDefault="008B2CC1" w:rsidP="00ED2F2D"/>
    <w:p w:rsidR="008B2CC1" w:rsidRPr="001C729C" w:rsidRDefault="008B2CC1" w:rsidP="00ED2F2D"/>
    <w:p w:rsidR="003845C1" w:rsidRPr="001C729C" w:rsidRDefault="00DD34C9" w:rsidP="00ED2F2D">
      <w:pPr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:rsidR="00AB216D" w:rsidRPr="001C729C" w:rsidRDefault="00AB216D" w:rsidP="00ED2F2D"/>
    <w:p w:rsidR="00A85B8E" w:rsidRPr="001C729C" w:rsidRDefault="00A85B8E" w:rsidP="00ED2F2D"/>
    <w:p w:rsidR="00833D5F" w:rsidRPr="001C729C" w:rsidRDefault="00DD34C9" w:rsidP="00ED2F2D">
      <w:pPr>
        <w:rPr>
          <w:b/>
          <w:sz w:val="24"/>
          <w:szCs w:val="24"/>
        </w:rPr>
      </w:pPr>
      <w:r>
        <w:rPr>
          <w:b/>
        </w:rPr>
        <w:t>Сорок седьмая (22-я очередная) сессия</w:t>
      </w:r>
    </w:p>
    <w:p w:rsidR="00833D5F" w:rsidRPr="001C729C" w:rsidRDefault="00DD34C9" w:rsidP="00ED2F2D">
      <w:pPr>
        <w:rPr>
          <w:b/>
          <w:sz w:val="24"/>
          <w:szCs w:val="24"/>
        </w:rPr>
      </w:pPr>
      <w:r>
        <w:rPr>
          <w:b/>
          <w:sz w:val="24"/>
        </w:rPr>
        <w:t>Женева, 5-14 октября 2015 г.</w:t>
      </w:r>
    </w:p>
    <w:p w:rsidR="00D13C08" w:rsidRPr="001C729C" w:rsidRDefault="00D13C08" w:rsidP="00ED2F2D"/>
    <w:p w:rsidR="00A85B8E" w:rsidRPr="001C729C" w:rsidRDefault="00A85B8E" w:rsidP="00ED2F2D"/>
    <w:p w:rsidR="003845C1" w:rsidRPr="001C729C" w:rsidRDefault="003845C1" w:rsidP="00ED2F2D"/>
    <w:p w:rsidR="00860A87" w:rsidRPr="00532142" w:rsidRDefault="00DD34C9" w:rsidP="00ED2F2D">
      <w:pPr>
        <w:rPr>
          <w:sz w:val="24"/>
          <w:szCs w:val="24"/>
        </w:rPr>
      </w:pPr>
      <w:r>
        <w:rPr>
          <w:sz w:val="24"/>
        </w:rPr>
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 ПРЕДЛОЖЕНИЕ СВЯТОГО ПРЕСТОЛА, КЕНИИ, МОЗАМБИКА, НОВОЙ ЗЕЛАНДИИ, НОРВЕГИИ И ШВЕЙЦАРИИ, ВНЕСЕННОЕ НА РАССМОТРЕНИЕ ГЕНЕРАЛЬНОЙ АССАМБЛЕИ ВОИС</w:t>
      </w:r>
    </w:p>
    <w:p w:rsidR="008B2CC1" w:rsidRPr="001C729C" w:rsidRDefault="008B2CC1" w:rsidP="00ED2F2D"/>
    <w:p w:rsidR="00D13C08" w:rsidRPr="001C729C" w:rsidRDefault="00DD34C9" w:rsidP="00ED2F2D">
      <w:r>
        <w:rPr>
          <w:i/>
        </w:rPr>
        <w:t>Документ подготовлен Секретариатом</w:t>
      </w:r>
    </w:p>
    <w:p w:rsidR="008B2CC1" w:rsidRPr="001C729C" w:rsidRDefault="008B2CC1" w:rsidP="00ED2F2D"/>
    <w:p w:rsidR="00C74E0D" w:rsidRPr="001C729C" w:rsidRDefault="00C74E0D" w:rsidP="00ED2F2D"/>
    <w:p w:rsidR="008B2CC1" w:rsidRPr="001C729C" w:rsidRDefault="008B2CC1" w:rsidP="00ED2F2D"/>
    <w:p w:rsidR="00D13C08" w:rsidRPr="001C729C" w:rsidRDefault="00D13C08" w:rsidP="00ED2F2D">
      <w:pPr>
        <w:rPr>
          <w:szCs w:val="22"/>
        </w:rPr>
      </w:pPr>
      <w:bookmarkStart w:id="4" w:name="TitleOfDoc"/>
      <w:bookmarkStart w:id="5" w:name="Prepared"/>
      <w:bookmarkEnd w:id="4"/>
      <w:bookmarkEnd w:id="5"/>
    </w:p>
    <w:p w:rsidR="00D13C08" w:rsidRDefault="00DD34C9" w:rsidP="00ED2F2D">
      <w:pPr>
        <w:spacing w:after="120"/>
        <w:contextualSpacing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сообщении от 7 сентября 2015 г., копия которого приводится в приложении, делегация </w:t>
      </w:r>
      <w:r w:rsidRPr="0027382B">
        <w:t>Швейцарии от имени делегаций Святого Престола, Кении, Мозамбика, Новой Зеландии, Норвегии и Швейцарии прос</w:t>
      </w:r>
      <w:r>
        <w:t>ила распространить представленное ей «Предложение о продлении мандата МКГР на двухлетний период 20</w:t>
      </w:r>
      <w:r w:rsidR="003E427A">
        <w:t xml:space="preserve">16-2017 гг., представленное на </w:t>
      </w:r>
      <w:r>
        <w:t xml:space="preserve">пятьдесят пятой серии заседаний Ассамблей ВОИС Святым Престолом, Кенией, Мозамбиком, Новой Зеландией, Норвегией и Швейцарией» в качестве рабочего документа для обсуждения в рамках пункта 17 повестки дня «Вопросы, касающиеся Межправительственного комитета по интеллектуальной собственности, генетическим ресурсам, традиционным знаниям и фольклору (МКГР)» </w:t>
      </w:r>
      <w:r w:rsidR="003E427A">
        <w:t xml:space="preserve">на </w:t>
      </w:r>
      <w:r>
        <w:t>сорок седьмой (22-й очередной) сессии Генеральной Ассамблеи ВОИС.</w:t>
      </w:r>
    </w:p>
    <w:p w:rsidR="001B7CBA" w:rsidRDefault="001B7CBA" w:rsidP="00ED2F2D">
      <w:pPr>
        <w:spacing w:after="120"/>
        <w:contextualSpacing/>
        <w:rPr>
          <w:szCs w:val="22"/>
        </w:rPr>
      </w:pPr>
    </w:p>
    <w:p w:rsidR="004E4C12" w:rsidRDefault="00DD34C9" w:rsidP="00ED2F2D">
      <w:pPr>
        <w:pStyle w:val="ONUME"/>
        <w:tabs>
          <w:tab w:val="clear" w:pos="567"/>
        </w:tabs>
        <w:spacing w:after="0"/>
        <w:ind w:left="5501" w:firstLine="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Генеральной Ассамблее ВОИС предлагается принять к сведению сообщение, содержащееся в приложении к настоящему документу.</w:t>
      </w:r>
    </w:p>
    <w:p w:rsidR="004E4C12" w:rsidRPr="001C729C" w:rsidRDefault="004E4C12" w:rsidP="00ED2F2D">
      <w:pPr>
        <w:pStyle w:val="ONUME"/>
        <w:tabs>
          <w:tab w:val="clear" w:pos="567"/>
        </w:tabs>
        <w:spacing w:after="0"/>
        <w:ind w:left="5501" w:firstLine="0"/>
        <w:rPr>
          <w:i/>
        </w:rPr>
      </w:pPr>
    </w:p>
    <w:p w:rsidR="00D13C08" w:rsidRPr="001C729C" w:rsidRDefault="00DD34C9" w:rsidP="00ED2F2D">
      <w:pPr>
        <w:spacing w:after="120"/>
        <w:ind w:left="5500"/>
        <w:contextualSpacing/>
      </w:pPr>
      <w:r>
        <w:t>[Приложение следует]</w:t>
      </w:r>
    </w:p>
    <w:p w:rsidR="0016532C" w:rsidRPr="001C729C" w:rsidRDefault="0016532C" w:rsidP="00ED2F2D">
      <w:pPr>
        <w:spacing w:after="120"/>
        <w:contextualSpacing/>
        <w:rPr>
          <w:szCs w:val="22"/>
        </w:rPr>
      </w:pPr>
    </w:p>
    <w:p w:rsidR="00A22680" w:rsidRDefault="00A22680" w:rsidP="00A22680">
      <w:pPr>
        <w:ind w:right="1152"/>
        <w:jc w:val="right"/>
        <w:rPr>
          <w:sz w:val="20"/>
        </w:rPr>
      </w:pPr>
      <w:r>
        <w:rPr>
          <w:sz w:val="20"/>
        </w:rPr>
        <w:lastRenderedPageBreak/>
        <w:t>Институт интеллектуальной собственности Швейцарии</w:t>
      </w:r>
    </w:p>
    <w:p w:rsidR="00A22680" w:rsidRDefault="00A22680" w:rsidP="00A22680">
      <w:pPr>
        <w:ind w:right="1152"/>
        <w:jc w:val="right"/>
        <w:rPr>
          <w:sz w:val="20"/>
        </w:rPr>
      </w:pPr>
    </w:p>
    <w:p w:rsidR="00A22680" w:rsidRDefault="00A22680" w:rsidP="00A22680">
      <w:pPr>
        <w:ind w:right="1152"/>
        <w:rPr>
          <w:sz w:val="20"/>
        </w:rPr>
      </w:pPr>
    </w:p>
    <w:p w:rsidR="00A22680" w:rsidRDefault="00A22680" w:rsidP="00A22680">
      <w:pPr>
        <w:ind w:right="1152"/>
        <w:rPr>
          <w:b/>
        </w:rPr>
      </w:pPr>
      <w:r>
        <w:rPr>
          <w:b/>
        </w:rPr>
        <w:t>Предложение о продлении мандата МКГР на двухлетний период 2016</w:t>
      </w:r>
      <w:r>
        <w:rPr>
          <w:b/>
          <w:cs/>
        </w:rPr>
        <w:t>–</w:t>
      </w:r>
      <w:r>
        <w:rPr>
          <w:b/>
        </w:rPr>
        <w:t>2017 гг., представленное на пятьдесят пятой серии заседаний Ассамблей ВОИС Святым Престолом, Кенией, Мозамбиком, Новой Зеландией, Норвегией и Швейцарией</w:t>
      </w:r>
    </w:p>
    <w:p w:rsidR="00A22680" w:rsidRDefault="00A22680" w:rsidP="00A22680">
      <w:pPr>
        <w:ind w:right="1152"/>
        <w:rPr>
          <w:b/>
        </w:rPr>
      </w:pPr>
    </w:p>
    <w:p w:rsidR="00A22680" w:rsidRDefault="00A22680" w:rsidP="00A22680">
      <w:pPr>
        <w:ind w:right="1152"/>
      </w:pPr>
      <w:r w:rsidRPr="00CE08B5">
        <w:t>Уважаемые господа,</w:t>
      </w:r>
    </w:p>
    <w:p w:rsidR="00A22680" w:rsidRDefault="00A22680" w:rsidP="00A22680">
      <w:pPr>
        <w:ind w:right="1152"/>
      </w:pP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От имени делегаций Святого Престола, Кении, Мозамбика, Новой Зеландии, Норвегии и Швейцарии имею честь представить </w:t>
      </w:r>
      <w:r w:rsidRPr="0090750C">
        <w:rPr>
          <w:rFonts w:eastAsia="Times New Roman" w:cs="Times New Roman"/>
          <w:sz w:val="20"/>
        </w:rPr>
        <w:t>на пятьдесят пятой серии заседаний Ассамблей ВОИС</w:t>
      </w:r>
      <w:r>
        <w:rPr>
          <w:rFonts w:eastAsia="Times New Roman" w:cs="Times New Roman"/>
          <w:sz w:val="20"/>
        </w:rPr>
        <w:t xml:space="preserve"> (5-14 октября 2015 г.) предложение в отношении программы работы и продления мандата </w:t>
      </w:r>
      <w:r w:rsidRPr="00A22680">
        <w:rPr>
          <w:rFonts w:eastAsia="Times New Roman" w:cs="Times New Roman"/>
          <w:sz w:val="20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rFonts w:eastAsia="Times New Roman" w:cs="Times New Roman"/>
          <w:sz w:val="20"/>
        </w:rPr>
        <w:t xml:space="preserve"> (МКГР) на предстоящий двухлетний период 2016-2017 гг. для рассмотрения в рамках пункта 17 повестки дня. Для сведения также прилагается пояснительная записка к предложению.</w:t>
      </w: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Буду признателен за распространение этих документов.</w:t>
      </w: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С уважением,</w:t>
      </w:r>
    </w:p>
    <w:p w:rsidR="00A22680" w:rsidRDefault="00A22680" w:rsidP="00A22680">
      <w:pPr>
        <w:ind w:right="1152"/>
        <w:rPr>
          <w:rFonts w:eastAsia="Times New Roman" w:cs="Times New Roman"/>
          <w:sz w:val="20"/>
        </w:rPr>
      </w:pPr>
    </w:p>
    <w:p w:rsidR="00A22680" w:rsidRPr="00CE08B5" w:rsidRDefault="00A22680" w:rsidP="00A22680">
      <w:pPr>
        <w:ind w:right="1152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Мартин Гирсбергер</w:t>
      </w:r>
    </w:p>
    <w:p w:rsidR="00DD34C9" w:rsidRDefault="00DD34C9" w:rsidP="00ED2F2D">
      <w:pPr>
        <w:spacing w:after="120"/>
        <w:ind w:left="5500"/>
        <w:contextualSpacing/>
        <w:sectPr w:rsidR="00DD34C9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77E9A" w:rsidRDefault="00777E9A" w:rsidP="00ED2F2D"/>
    <w:p w:rsidR="00572DFC" w:rsidRDefault="00572DFC" w:rsidP="00ED2F2D">
      <w:pPr>
        <w:jc w:val="center"/>
        <w:rPr>
          <w:szCs w:val="22"/>
        </w:rPr>
      </w:pPr>
    </w:p>
    <w:p w:rsidR="00572DFC" w:rsidRDefault="00572DFC" w:rsidP="00ED2F2D">
      <w:pPr>
        <w:spacing w:after="120"/>
        <w:ind w:right="1152"/>
        <w:contextualSpacing/>
        <w:jc w:val="both"/>
        <w:rPr>
          <w:szCs w:val="22"/>
        </w:rPr>
      </w:pPr>
    </w:p>
    <w:p w:rsidR="00FE1B07" w:rsidRPr="00FE1B07" w:rsidRDefault="00DD34C9" w:rsidP="00ED2F2D">
      <w:pPr>
        <w:ind w:right="1152"/>
        <w:rPr>
          <w:rFonts w:eastAsia="Times New Roman" w:cs="Times New Roman"/>
          <w:b/>
          <w:sz w:val="20"/>
          <w:szCs w:val="22"/>
        </w:rPr>
      </w:pPr>
      <w:r>
        <w:rPr>
          <w:b/>
          <w:caps/>
          <w:sz w:val="24"/>
        </w:rPr>
        <w:t>Предложение в отношении решения по пункту 17 повестки дня: «Вопросы, касающиеся Межправительственного комитета по интеллектуальной собственности, генетическим ресурсам, традиционным знаниям и фольклору (МКГР)»</w:t>
      </w:r>
    </w:p>
    <w:p w:rsidR="00FE1B07" w:rsidRPr="00FE1B07" w:rsidRDefault="00FE1B07" w:rsidP="00ED2F2D">
      <w:pPr>
        <w:ind w:right="1152"/>
        <w:rPr>
          <w:rFonts w:eastAsia="Times New Roman" w:cs="Times New Roman"/>
          <w:b/>
          <w:sz w:val="24"/>
          <w:szCs w:val="22"/>
        </w:rPr>
      </w:pPr>
    </w:p>
    <w:p w:rsidR="00FE1B07" w:rsidRPr="00FE1B07" w:rsidRDefault="00DD34C9" w:rsidP="00ED2F2D">
      <w:pPr>
        <w:ind w:right="1152"/>
        <w:rPr>
          <w:rFonts w:eastAsia="Times New Roman" w:cs="Times New Roman"/>
          <w:b/>
          <w:szCs w:val="22"/>
        </w:rPr>
      </w:pPr>
      <w:r>
        <w:rPr>
          <w:b/>
        </w:rPr>
        <w:t xml:space="preserve">Предложение о </w:t>
      </w:r>
      <w:r w:rsidR="00CE08B5">
        <w:rPr>
          <w:b/>
        </w:rPr>
        <w:t>продлении</w:t>
      </w:r>
      <w:r>
        <w:rPr>
          <w:b/>
        </w:rPr>
        <w:t xml:space="preserve"> мандата МКГР на 2016</w:t>
      </w:r>
      <w:r>
        <w:rPr>
          <w:b/>
          <w:cs/>
        </w:rPr>
        <w:t>–</w:t>
      </w:r>
      <w:r>
        <w:rPr>
          <w:b/>
        </w:rPr>
        <w:t>2017 гг., представленное на пятьдесят пятой серии заседаний Ассамблей ВОИС Святым Престолом, Кенией, Мозамбиком, Новой Зеландией, Норвегией и Швейцарией.</w:t>
      </w:r>
    </w:p>
    <w:p w:rsidR="00FE1B07" w:rsidRPr="00FE1B07" w:rsidRDefault="00FE1B07" w:rsidP="00ED2F2D">
      <w:pPr>
        <w:ind w:right="1152"/>
        <w:rPr>
          <w:rFonts w:eastAsia="Times New Roman" w:cs="Times New Roman"/>
          <w:sz w:val="20"/>
          <w:szCs w:val="22"/>
        </w:rPr>
      </w:pPr>
    </w:p>
    <w:p w:rsidR="00FE1B07" w:rsidRPr="00FE1B07" w:rsidRDefault="00FE1B07" w:rsidP="00ED2F2D">
      <w:pPr>
        <w:ind w:right="1152"/>
        <w:rPr>
          <w:rFonts w:eastAsia="Times New Roman" w:cs="Times New Roman"/>
          <w:sz w:val="20"/>
          <w:szCs w:val="22"/>
        </w:rPr>
      </w:pPr>
    </w:p>
    <w:p w:rsidR="00FE1B07" w:rsidRPr="003E427A" w:rsidRDefault="00DD34C9" w:rsidP="00ED2F2D">
      <w:pPr>
        <w:ind w:right="1152"/>
        <w:rPr>
          <w:rFonts w:eastAsia="Times New Roman" w:cs="Times New Roman"/>
          <w:sz w:val="20"/>
        </w:rPr>
      </w:pPr>
      <w:r w:rsidRPr="003E427A">
        <w:rPr>
          <w:sz w:val="20"/>
        </w:rPr>
        <w:t>Памятуя о рекомендациях Повестки дня в области развития и признавая достигнутый прогресс, Генеральная Ассамблея ВОИС принимает решение о том, что мандат Межправительственного комитета ВОИС по интеллектуальной собственности, генетическим ресурсам, традиционным знаниям и фольклору («Комитет») будет продлен следующим образом:</w:t>
      </w:r>
    </w:p>
    <w:p w:rsidR="00FE1B07" w:rsidRPr="003E427A" w:rsidRDefault="00FE1B07" w:rsidP="00ED2F2D">
      <w:pPr>
        <w:ind w:right="1152"/>
        <w:rPr>
          <w:rFonts w:eastAsia="Times New Roman" w:cs="Times New Roman"/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(а) в следующем двухгодичном бюджетном периоде 2016-2017 гг. Комитет</w:t>
      </w:r>
      <w:r w:rsidRPr="003E427A">
        <w:rPr>
          <w:sz w:val="20"/>
          <w:cs/>
        </w:rPr>
        <w:t xml:space="preserve">– </w:t>
      </w:r>
      <w:r w:rsidRPr="003E427A">
        <w:rPr>
          <w:sz w:val="20"/>
        </w:rPr>
        <w:t xml:space="preserve">без ущерба для работы, осуществляемой на других форумах, </w:t>
      </w:r>
      <w:r w:rsidRPr="003E427A">
        <w:rPr>
          <w:sz w:val="20"/>
          <w:cs/>
        </w:rPr>
        <w:t xml:space="preserve">– </w:t>
      </w:r>
      <w:r w:rsidRPr="003E427A">
        <w:rPr>
          <w:sz w:val="20"/>
        </w:rPr>
        <w:t xml:space="preserve">будет и далее ускорять свою работу по проведению </w:t>
      </w:r>
      <w:r w:rsidRPr="003E427A">
        <w:rPr>
          <w:sz w:val="20"/>
          <w:cs/>
        </w:rPr>
        <w:t xml:space="preserve">– </w:t>
      </w:r>
      <w:r w:rsidRPr="003E427A">
        <w:rPr>
          <w:sz w:val="20"/>
        </w:rPr>
        <w:t xml:space="preserve">при открытом и полном взаимодействии </w:t>
      </w:r>
      <w:r w:rsidRPr="003E427A">
        <w:rPr>
          <w:sz w:val="20"/>
          <w:cs/>
        </w:rPr>
        <w:t xml:space="preserve">– </w:t>
      </w:r>
      <w:r w:rsidRPr="003E427A">
        <w:rPr>
          <w:sz w:val="20"/>
        </w:rPr>
        <w:t>переговоров на основе подготовленных текстов с целью достижения в течение двухлетнего периода 2016-2017 гг. договоренности относительно текста (текстов) международно-правового документа (документов) по интеллектуальной собственности, который обеспечит эффективную и сбалансированную охрану ГР, ТЗ и ТВК.</w:t>
      </w:r>
    </w:p>
    <w:p w:rsidR="00FE1B07" w:rsidRPr="003E427A" w:rsidRDefault="00FE1B07" w:rsidP="008C2549">
      <w:pPr>
        <w:rPr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(b) Председатель Комитета либо координатор, назначенный Председателем Генеральной Ассамблеи, совместно с государствами-членами до конца 2015 г. подготовит программу работы на двухлетний период 2016</w:t>
      </w:r>
      <w:r w:rsidRPr="003E427A">
        <w:rPr>
          <w:sz w:val="20"/>
          <w:cs/>
        </w:rPr>
        <w:t>–</w:t>
      </w:r>
      <w:r w:rsidRPr="003E427A">
        <w:rPr>
          <w:sz w:val="20"/>
        </w:rPr>
        <w:t>2017 гг., основанную на рациональных методах работы; В таблице ниже в качестве ориентира приводится общая программа работы. Комитет примет эту программу работы на первой сессии нового двухлетнего периода. В программе работы будут предусмотрены шесть сессий Комитета, которые могут включать обсуждения, касающиеся конкретных вопросов, сквозных тем и подведения итогов, а также встречи на уровне послов и высших должностных лиц из столиц. Общая продолжительность сессий Комитета на должна превышать 36 дней.</w:t>
      </w:r>
    </w:p>
    <w:p w:rsidR="00FE1B07" w:rsidRPr="003E427A" w:rsidRDefault="00FE1B07" w:rsidP="008C2549">
      <w:pPr>
        <w:rPr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(с) Комитету предлагается представить Генеральной Ассамблее в 2016 г. текст (тексты) международно-правового документа (документов) по состоянию на момент проведения сессии для ознакомления и представления замечаний.</w:t>
      </w:r>
    </w:p>
    <w:p w:rsidR="00FE1B07" w:rsidRPr="003E427A" w:rsidRDefault="00FE1B07" w:rsidP="008C2549">
      <w:pPr>
        <w:rPr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(d) Комитету предлагается подготовить к сессии ГА 2017 г. рекомендацию по дальнейшей работе, в том числе в отношении созыва дипломатической конференции, продолжения переговоров либо их завершения, а также в отношении международно-правового документа (документов) по интеллектуальной собственности и ГР, ТЗ и ТВК.</w:t>
      </w:r>
    </w:p>
    <w:p w:rsidR="00FE1B07" w:rsidRPr="003E427A" w:rsidRDefault="00FE1B07" w:rsidP="008C2549">
      <w:pPr>
        <w:rPr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(е) работа Комитета в двухлетнем периоде 2016-2017 гг. будет осуществляться в развитие уже проделанной им работы и с использованием всех рабочих документов ВОИС, включая WIPO/GRTKF/IC/28/4, WIPO/GRTKF/IC/28/5 и WIPO/GRTKF/IC/28/6, которые должны лечь в основу работы Комитета по проведению переговоров на основе подготовленных текстов, а также любых других текстов, представленных государствами-членами.</w:t>
      </w:r>
    </w:p>
    <w:p w:rsidR="00FE1B07" w:rsidRPr="003E427A" w:rsidRDefault="00FE1B07" w:rsidP="008C2549">
      <w:pPr>
        <w:rPr>
          <w:sz w:val="20"/>
        </w:rPr>
      </w:pPr>
    </w:p>
    <w:p w:rsidR="00FE1B07" w:rsidRPr="003E427A" w:rsidRDefault="00DD34C9" w:rsidP="008C2549">
      <w:pPr>
        <w:rPr>
          <w:sz w:val="20"/>
        </w:rPr>
      </w:pPr>
      <w:r w:rsidRPr="003E427A">
        <w:rPr>
          <w:sz w:val="20"/>
        </w:rPr>
        <w:t>(f) Генеральная Ассамблея просит Международное бюро продолжать оказывать Комитету содействие, предоставляя государствам-членам необходимую экспертную помощь и финансируя наиболее действенным образом участие экспертов из развивающихся стран и НРС в соответствии с обычной формулой.</w:t>
      </w:r>
    </w:p>
    <w:p w:rsidR="00FE1B07" w:rsidRPr="003E427A" w:rsidRDefault="00FE1B07" w:rsidP="00ED2F2D">
      <w:pPr>
        <w:ind w:right="1152"/>
        <w:rPr>
          <w:rFonts w:eastAsia="Times New Roman" w:cs="Times New Roman"/>
          <w:sz w:val="20"/>
        </w:rPr>
      </w:pPr>
    </w:p>
    <w:p w:rsidR="00CE08B5" w:rsidRDefault="00DD34C9" w:rsidP="00ED2F2D">
      <w:pPr>
        <w:ind w:right="1152"/>
        <w:rPr>
          <w:sz w:val="20"/>
        </w:rPr>
      </w:pPr>
      <w:r w:rsidRPr="003E427A">
        <w:rPr>
          <w:sz w:val="20"/>
        </w:rPr>
        <w:t xml:space="preserve">Генеральная Ассамблея принимает к сведению возможность того, что члены МКГР будут просить о проведении исследований или приводить примеры для обогащения </w:t>
      </w:r>
      <w:r w:rsidRPr="003E427A">
        <w:rPr>
          <w:sz w:val="20"/>
        </w:rPr>
        <w:lastRenderedPageBreak/>
        <w:t>обсуждения целей и принципов и каждой предлагаемой статьи, включая примеры  охраноспособных объектов и объектов, не предназначенных для охраны, и примеры внутригосударственного законодательства. При этом рассмотрение примеров и исследований не должно замедлять ход работы и приводить к возникновению каких бы то ни было предварительных условий в рамках переговоров на основе текстов.</w:t>
      </w:r>
    </w:p>
    <w:p w:rsidR="00A22680" w:rsidRPr="00CE08B5" w:rsidRDefault="00CE08B5" w:rsidP="00A22680">
      <w:pPr>
        <w:ind w:right="1152"/>
        <w:jc w:val="right"/>
        <w:rPr>
          <w:rFonts w:eastAsia="Times New Roman" w:cs="Times New Roman"/>
          <w:sz w:val="20"/>
        </w:rPr>
      </w:pPr>
      <w:r>
        <w:rPr>
          <w:sz w:val="20"/>
        </w:rPr>
        <w:br w:type="page"/>
      </w:r>
    </w:p>
    <w:p w:rsidR="00FE1B07" w:rsidRPr="00FE1B07" w:rsidRDefault="00DD34C9" w:rsidP="00ED2F2D">
      <w:pPr>
        <w:rPr>
          <w:rFonts w:eastAsia="Times New Roman" w:cs="Times New Roman"/>
          <w:b/>
          <w:sz w:val="24"/>
          <w:szCs w:val="22"/>
        </w:rPr>
      </w:pPr>
      <w:r>
        <w:rPr>
          <w:b/>
          <w:sz w:val="24"/>
        </w:rPr>
        <w:lastRenderedPageBreak/>
        <w:t>Программа работы Комитета на 2016</w:t>
      </w:r>
      <w:r>
        <w:rPr>
          <w:b/>
          <w:sz w:val="24"/>
          <w:cs/>
        </w:rPr>
        <w:t>–</w:t>
      </w:r>
      <w:r>
        <w:rPr>
          <w:b/>
          <w:sz w:val="24"/>
        </w:rPr>
        <w:t>2017 гг.</w:t>
      </w:r>
    </w:p>
    <w:p w:rsidR="00FE1B07" w:rsidRPr="00FE1B07" w:rsidRDefault="00FE1B07" w:rsidP="00ED2F2D">
      <w:pPr>
        <w:rPr>
          <w:rFonts w:eastAsia="Times New Roman" w:cs="Times New Roman"/>
          <w:sz w:val="24"/>
          <w:szCs w:val="22"/>
        </w:rPr>
      </w:pPr>
    </w:p>
    <w:p w:rsidR="00FE1B07" w:rsidRPr="00FE1B07" w:rsidRDefault="00FE1B07" w:rsidP="00ED2F2D">
      <w:pPr>
        <w:rPr>
          <w:rFonts w:eastAsia="Times New Roman" w:cs="Times New Roman"/>
          <w:sz w:val="24"/>
          <w:szCs w:val="22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FE1B07" w:rsidRPr="00FE1B07" w:rsidTr="00465AEE">
        <w:tc>
          <w:tcPr>
            <w:tcW w:w="3403" w:type="dxa"/>
          </w:tcPr>
          <w:p w:rsidR="00FE1B07" w:rsidRPr="00FE1B07" w:rsidRDefault="003E427A" w:rsidP="00ED2F2D">
            <w:pPr>
              <w:jc w:val="center"/>
              <w:rPr>
                <w:rFonts w:eastAsia="Times New Roman" w:cs="Times New Roman"/>
                <w:b/>
                <w:szCs w:val="22"/>
              </w:rPr>
            </w:pPr>
            <w:r>
              <w:rPr>
                <w:b/>
              </w:rPr>
              <w:t>Ориентировочные</w:t>
            </w:r>
            <w:r w:rsidR="00DD34C9">
              <w:rPr>
                <w:b/>
              </w:rPr>
              <w:t xml:space="preserve"> сроки</w:t>
            </w:r>
          </w:p>
        </w:tc>
        <w:tc>
          <w:tcPr>
            <w:tcW w:w="5670" w:type="dxa"/>
          </w:tcPr>
          <w:p w:rsidR="00FE1B07" w:rsidRPr="00FE1B07" w:rsidRDefault="003E427A" w:rsidP="00ED2F2D">
            <w:pPr>
              <w:jc w:val="center"/>
              <w:rPr>
                <w:rFonts w:eastAsia="Times New Roman" w:cs="Times New Roman"/>
                <w:b/>
                <w:szCs w:val="22"/>
              </w:rPr>
            </w:pPr>
            <w:r>
              <w:rPr>
                <w:b/>
              </w:rPr>
              <w:t>Мероприятия</w:t>
            </w:r>
          </w:p>
        </w:tc>
      </w:tr>
      <w:tr w:rsidR="00FE1B07" w:rsidRPr="00FE1B07" w:rsidTr="00465AEE">
        <w:tc>
          <w:tcPr>
            <w:tcW w:w="3403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Февраль 2016 г.</w:t>
            </w:r>
          </w:p>
        </w:tc>
        <w:tc>
          <w:tcPr>
            <w:tcW w:w="567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МКГР-29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3E427A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Проведение обсуждения</w:t>
            </w:r>
            <w:r w:rsidR="00DD34C9"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3E427A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Принятие членами</w:t>
            </w:r>
            <w:r w:rsidR="00DD34C9">
              <w:rPr>
                <w:sz w:val="20"/>
              </w:rPr>
              <w:t xml:space="preserve"> Комитета </w:t>
            </w:r>
            <w:r>
              <w:rPr>
                <w:sz w:val="20"/>
              </w:rPr>
              <w:t>решения</w:t>
            </w:r>
            <w:r w:rsidR="00DD34C9"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465AEE">
        <w:tc>
          <w:tcPr>
            <w:tcW w:w="3403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апрель 2016 г.</w:t>
            </w:r>
          </w:p>
        </w:tc>
        <w:tc>
          <w:tcPr>
            <w:tcW w:w="567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МКГР-30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</w:t>
            </w:r>
            <w:r w:rsidR="003E427A">
              <w:rPr>
                <w:sz w:val="20"/>
              </w:rPr>
              <w:t>дение обсуждения</w:t>
            </w:r>
            <w:r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="003E427A">
              <w:rPr>
                <w:sz w:val="20"/>
              </w:rPr>
              <w:t xml:space="preserve">Принятие членами Комитета </w:t>
            </w:r>
            <w:r>
              <w:rPr>
                <w:sz w:val="20"/>
              </w:rPr>
              <w:t>решени</w:t>
            </w:r>
            <w:r w:rsidR="003E427A">
              <w:rPr>
                <w:sz w:val="20"/>
              </w:rPr>
              <w:t>я</w:t>
            </w:r>
            <w:r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465AEE">
        <w:tc>
          <w:tcPr>
            <w:tcW w:w="3403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Июль 2016 г.</w:t>
            </w:r>
          </w:p>
        </w:tc>
        <w:tc>
          <w:tcPr>
            <w:tcW w:w="567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МКГР-31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</w:t>
            </w:r>
            <w:r w:rsidR="003E427A">
              <w:rPr>
                <w:sz w:val="20"/>
              </w:rPr>
              <w:t>дение обсуждения</w:t>
            </w:r>
            <w:r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="003E427A">
              <w:rPr>
                <w:sz w:val="20"/>
              </w:rPr>
              <w:t>Принятие членами Комитета решения</w:t>
            </w:r>
            <w:r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465AEE">
        <w:tc>
          <w:tcPr>
            <w:tcW w:w="3403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Октябрь 2016 г.</w:t>
            </w:r>
          </w:p>
        </w:tc>
        <w:tc>
          <w:tcPr>
            <w:tcW w:w="567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Генеральная Ассамблея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Комитету будет предложено представить текст (тексты) правового документа Генеральной </w:t>
            </w:r>
            <w:r>
              <w:rPr>
                <w:sz w:val="20"/>
              </w:rPr>
              <w:lastRenderedPageBreak/>
              <w:t>Ассамблее для ознакомления и представления замечаний.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</w:tbl>
    <w:p w:rsidR="00FE1B07" w:rsidRPr="00FE1B07" w:rsidRDefault="00FE1B07" w:rsidP="00ED2F2D">
      <w:pPr>
        <w:rPr>
          <w:rFonts w:eastAsia="Times New Roman" w:cs="Times New Roman"/>
          <w:sz w:val="20"/>
        </w:rPr>
      </w:pPr>
    </w:p>
    <w:tbl>
      <w:tblPr>
        <w:tblW w:w="91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5580"/>
      </w:tblGrid>
      <w:tr w:rsidR="00FE1B07" w:rsidRPr="00FE1B07" w:rsidTr="00E17F33">
        <w:tc>
          <w:tcPr>
            <w:tcW w:w="3614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Февраль 2017 г.</w:t>
            </w:r>
          </w:p>
        </w:tc>
        <w:tc>
          <w:tcPr>
            <w:tcW w:w="558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МКГР-32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</w:t>
            </w:r>
            <w:r w:rsidR="003E427A">
              <w:rPr>
                <w:sz w:val="20"/>
              </w:rPr>
              <w:t>дение обсуждения</w:t>
            </w:r>
            <w:r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="003E427A">
              <w:rPr>
                <w:sz w:val="20"/>
              </w:rPr>
              <w:t>Принятие членами Комитета решения</w:t>
            </w:r>
            <w:r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E17F33">
        <w:tc>
          <w:tcPr>
            <w:tcW w:w="3614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Апрель 2017 г.</w:t>
            </w:r>
          </w:p>
        </w:tc>
        <w:tc>
          <w:tcPr>
            <w:tcW w:w="558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МКГР-33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</w:t>
            </w:r>
            <w:r w:rsidR="003E427A">
              <w:rPr>
                <w:sz w:val="20"/>
              </w:rPr>
              <w:t>дение обсуждения</w:t>
            </w:r>
            <w:r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="003E427A">
              <w:rPr>
                <w:sz w:val="20"/>
              </w:rPr>
              <w:t xml:space="preserve">Принятие членами Комитета </w:t>
            </w:r>
            <w:r>
              <w:rPr>
                <w:sz w:val="20"/>
              </w:rPr>
              <w:t>решени</w:t>
            </w:r>
            <w:r w:rsidR="003E427A">
              <w:rPr>
                <w:sz w:val="20"/>
              </w:rPr>
              <w:t>я</w:t>
            </w:r>
            <w:r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E17F33">
        <w:tc>
          <w:tcPr>
            <w:tcW w:w="3614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Июль 2017 г.</w:t>
            </w:r>
          </w:p>
        </w:tc>
        <w:tc>
          <w:tcPr>
            <w:tcW w:w="558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МКГР-34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Прове</w:t>
            </w:r>
            <w:r w:rsidR="003E427A">
              <w:rPr>
                <w:sz w:val="20"/>
              </w:rPr>
              <w:t>дение обсуждения</w:t>
            </w:r>
            <w:r>
              <w:rPr>
                <w:sz w:val="20"/>
              </w:rPr>
              <w:t xml:space="preserve"> в соответствии с условиями договоренности, достигнутой между Председателем либо координатором, назначенным Председателем, и государствами-членами.</w:t>
            </w: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</w:t>
            </w:r>
            <w:r w:rsidR="003E427A">
              <w:rPr>
                <w:sz w:val="20"/>
              </w:rPr>
              <w:t>Принятие членами Комитета решения</w:t>
            </w:r>
            <w:r>
              <w:rPr>
                <w:sz w:val="20"/>
              </w:rPr>
              <w:t xml:space="preserve"> относительно сессии (будет ли она посвящена конкретным вопросам, сквозным темам либо подведению итогов) и относительно проведения встречи на уровне послов и высших должностных лиц из столиц.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5 дней*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  <w:tr w:rsidR="00FE1B07" w:rsidRPr="00FE1B07" w:rsidTr="00E17F33">
        <w:tc>
          <w:tcPr>
            <w:tcW w:w="3614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Октябрь 2017 г.</w:t>
            </w:r>
          </w:p>
        </w:tc>
        <w:tc>
          <w:tcPr>
            <w:tcW w:w="5580" w:type="dxa"/>
          </w:tcPr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>Генеральная Ассамблея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  <w:p w:rsidR="00FE1B07" w:rsidRPr="00FE1B07" w:rsidRDefault="00DD34C9" w:rsidP="00ED2F2D">
            <w:pPr>
              <w:numPr>
                <w:ilvl w:val="0"/>
                <w:numId w:val="51"/>
              </w:numPr>
              <w:contextualSpacing/>
              <w:rPr>
                <w:rFonts w:eastAsia="Times New Roman" w:cs="Times New Roman"/>
                <w:sz w:val="20"/>
              </w:rPr>
            </w:pPr>
            <w:r>
              <w:rPr>
                <w:sz w:val="20"/>
              </w:rPr>
              <w:t xml:space="preserve">   Комитету предлагается подготовить рекомендацию по дальнейшей работе, в том </w:t>
            </w:r>
            <w:r>
              <w:rPr>
                <w:sz w:val="20"/>
              </w:rPr>
              <w:lastRenderedPageBreak/>
              <w:t>числе в отношении созыва дипломатической конференции, продолжения переговоров либо их завершения, а также в отношении международно-правового документа (документов) по интеллектуальной собственности и ГР, ТЗ и ТВК.</w:t>
            </w:r>
          </w:p>
          <w:p w:rsidR="00FE1B07" w:rsidRPr="00FE1B07" w:rsidRDefault="00FE1B07" w:rsidP="00ED2F2D">
            <w:pPr>
              <w:rPr>
                <w:rFonts w:eastAsia="Times New Roman" w:cs="Times New Roman"/>
                <w:sz w:val="20"/>
              </w:rPr>
            </w:pPr>
          </w:p>
        </w:tc>
      </w:tr>
    </w:tbl>
    <w:p w:rsidR="00FE1B07" w:rsidRPr="00FE1B07" w:rsidRDefault="00FE1B07" w:rsidP="00ED2F2D">
      <w:pPr>
        <w:rPr>
          <w:rFonts w:eastAsia="Times New Roman" w:cs="Times New Roman"/>
          <w:sz w:val="20"/>
          <w:szCs w:val="22"/>
        </w:rPr>
      </w:pPr>
    </w:p>
    <w:p w:rsidR="00FE1B07" w:rsidRPr="00FE1B07" w:rsidRDefault="00DD34C9" w:rsidP="00ED2F2D">
      <w:pPr>
        <w:rPr>
          <w:rFonts w:eastAsia="Times New Roman" w:cs="Times New Roman"/>
          <w:sz w:val="20"/>
          <w:szCs w:val="22"/>
        </w:rPr>
      </w:pPr>
      <w:r>
        <w:rPr>
          <w:sz w:val="20"/>
        </w:rPr>
        <w:t>* Оставшиеся 6 дней могут быть добавлены к любой сессии и могут перераспределяться на усмотрение Комитета.</w:t>
      </w:r>
    </w:p>
    <w:p w:rsidR="00FE1B07" w:rsidRPr="00FE1B07" w:rsidRDefault="00FE1B07" w:rsidP="00ED2F2D">
      <w:pPr>
        <w:rPr>
          <w:rFonts w:eastAsia="Times New Roman" w:cs="Times New Roman"/>
          <w:sz w:val="24"/>
          <w:szCs w:val="22"/>
        </w:rPr>
      </w:pPr>
    </w:p>
    <w:p w:rsidR="00FE1B07" w:rsidRPr="00FE1B07" w:rsidRDefault="00DD34C9" w:rsidP="00ED2F2D">
      <w:pPr>
        <w:ind w:right="1152"/>
        <w:rPr>
          <w:rFonts w:eastAsia="Times New Roman"/>
          <w:b/>
          <w:sz w:val="24"/>
          <w:szCs w:val="24"/>
        </w:rPr>
      </w:pPr>
      <w:r>
        <w:br w:type="page"/>
      </w:r>
      <w:r>
        <w:rPr>
          <w:b/>
          <w:sz w:val="24"/>
        </w:rPr>
        <w:lastRenderedPageBreak/>
        <w:t xml:space="preserve">Пояснительная записка к предложению о </w:t>
      </w:r>
      <w:r w:rsidR="00CE08B5">
        <w:rPr>
          <w:b/>
          <w:sz w:val="24"/>
        </w:rPr>
        <w:t>продлении</w:t>
      </w:r>
      <w:r>
        <w:rPr>
          <w:b/>
          <w:sz w:val="24"/>
        </w:rPr>
        <w:t xml:space="preserve"> мандата МКГР на 2016</w:t>
      </w:r>
      <w:r>
        <w:rPr>
          <w:b/>
          <w:sz w:val="24"/>
          <w:cs/>
        </w:rPr>
        <w:t>–</w:t>
      </w:r>
      <w:r>
        <w:rPr>
          <w:b/>
          <w:sz w:val="24"/>
        </w:rPr>
        <w:t>2017 гг., представленному на пятьдесят пятой серии заседаний Ассамблей ВОИС Святым Престолом, Кенией, Мозамбиком, Новой Зеландией, Норвегией и Швейцарией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2"/>
        </w:numPr>
        <w:spacing w:after="120"/>
        <w:ind w:left="357" w:right="1152" w:hanging="357"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Введение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В 2015 г. Генеральная Ассамблея ВОИС должна принять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(МКГР) на 2016-2017 гг. Прилагаемый проект мандата призван способствовать разработке нового мандата и содержит варианты дальнейших действий Данный проект мандата был подготовлен неофициальной группой стран на основе консультаций со многими другими делегациями.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ind w:right="1152"/>
        <w:jc w:val="both"/>
        <w:rPr>
          <w:sz w:val="20"/>
        </w:rPr>
      </w:pPr>
      <w:r>
        <w:rPr>
          <w:sz w:val="20"/>
        </w:rPr>
        <w:t>По мере возможности в проекте мандата был сохранен текст действующего мандата на 2014-2015 гг. Ниже разъясняются положения проекта мандата и изменения относительно действующего мандата.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2"/>
        </w:numPr>
        <w:spacing w:after="120"/>
        <w:ind w:left="357" w:right="1152" w:hanging="357"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Комментарии к проекту мандата</w:t>
      </w: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Вводная часть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Вводная часть действующего мандата на 2014-2015 гг. перенесена в проект мандата на 2016</w:t>
      </w:r>
      <w:r>
        <w:rPr>
          <w:sz w:val="20"/>
          <w:cs/>
        </w:rPr>
        <w:t>–</w:t>
      </w:r>
      <w:r>
        <w:rPr>
          <w:sz w:val="20"/>
        </w:rPr>
        <w:t>2017 гг. дословно.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</w:rPr>
      </w:pPr>
      <w:r>
        <w:rPr>
          <w:b/>
          <w:u w:val="single"/>
        </w:rPr>
        <w:t>Пункт (а)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Текст пункта (а) проекта мандата на 2016</w:t>
      </w:r>
      <w:r>
        <w:rPr>
          <w:sz w:val="20"/>
          <w:cs/>
        </w:rPr>
        <w:t>–</w:t>
      </w:r>
      <w:r>
        <w:rPr>
          <w:sz w:val="20"/>
        </w:rPr>
        <w:t>2017 гг. почти полностью совпадает с текстом пункта (а) мандата МКГР на 2014-2015 гг. Слова «интеллектуальной собственности» были добавлены для того, чтобы сконцентрировать внимание государств-членов на этой теме. Следует помнить, что именно Всемирная организация интеллектуальной собственности (ВОИС) является надлежащим форумом для обсуждения и регулирования вопросов, связанных с интеллектуальную собственностью. Это, однако, не должно восприниматься как безразличие к другим проблемам и их различным аспектам, которые рассматриваются на других форумах. Также было добавлено слово «сбалансированную» (теперь этот фрагмент звучит так: «эффективную и сбалансированную охрану»), чтобы подчеркнуть, что должны быть учтены все точки зрения.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Пункт (b)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По сравнению с пунктом (b) мандата на 2014-2015 гг. структура пункта (b) мандата на 2016</w:t>
      </w:r>
      <w:r>
        <w:rPr>
          <w:sz w:val="20"/>
          <w:cs/>
        </w:rPr>
        <w:t>–</w:t>
      </w:r>
      <w:r>
        <w:rPr>
          <w:sz w:val="20"/>
        </w:rPr>
        <w:t xml:space="preserve">2017 гг. была изменена с тем, чтобы повысить эффективность и согласованность работы МКГР. В новом мандате отсутствует подробная программа работы; вместо этого предусматривается, что Председатель Комитета либо координатор, назначенный Председателем, совместно с государствами-членами будут принимать решения относительно тем для переговоров и типов встреч, которые будут проведены до 2015 г. Этот подход позволит Комитету позволит Комитету контролировать свой порядок работы, а Генеральной Ассамблее </w:t>
      </w:r>
      <w:r>
        <w:rPr>
          <w:sz w:val="20"/>
          <w:cs/>
        </w:rPr>
        <w:t xml:space="preserve">– </w:t>
      </w:r>
      <w:r>
        <w:rPr>
          <w:sz w:val="20"/>
        </w:rPr>
        <w:t>убрать из повестки дня вопросы, способные вызвать разногласия. Кроме того, такой подход позволяет снизить нагрузку на ГА за счет переноса большинства решений на уровень МКГР.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Default="00DD34C9" w:rsidP="00ED2F2D">
      <w:pPr>
        <w:ind w:right="1152"/>
        <w:jc w:val="both"/>
        <w:rPr>
          <w:sz w:val="20"/>
        </w:rPr>
      </w:pPr>
      <w:r>
        <w:rPr>
          <w:sz w:val="20"/>
        </w:rPr>
        <w:t>Дополнительный аргумент в пользу менее директивного характера программы работы состоит в повышении гибкости в вопросе переговоров: предлагаемый мандат содержит несколько вариантов обсуждений и/или встреч, которые можно провести в течение двухлетнего периода, и при этом не диктует конкретный график проведения тех или иных типов встреч или их продолжительность. Такой новый подход дает МКГР возможность распределить рабочее время наиболее продуктивно и использовать каждый из выделенных 36 дней для проведения обсуждений, способствующих продвижению вперед. При необходимости МКГР может принять решение об изменении своего графика работы и/или типа обсуждений в течение двухлетнего периода 2016-</w:t>
      </w:r>
      <w:r>
        <w:rPr>
          <w:sz w:val="20"/>
        </w:rPr>
        <w:lastRenderedPageBreak/>
        <w:t>2017 гг., что было бы невозможно, если бы Генеральная Ассамблея ВОИС включила в мандат подробную программу работы.</w:t>
      </w:r>
    </w:p>
    <w:p w:rsidR="00A22680" w:rsidRPr="00FE1B07" w:rsidRDefault="00A22680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Пункт (с)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Пункт (с) содержит новый текст, который отсутствует в мандате на 2014-2015 гг. Данный пункт предусматривает представление результатов работы Комитета за истекший период на сессии Генеральной Ассамблеи в 2016 г., что позволит сэкономить время и усилия. Комитету не придется готовить отчеты или рекомендации, а также проводить другие мероприятия для подведения итогов. В прошлом такие документы вызывали разногласия и вынуждали Комитет тратить на их подготовку много времени, которое можно было бы использовать для проведения предметных обсуждений. В отсутствие требования о подготовке отчетов и рекомендаций Комитет сможет сконцентрироваться на предметной работе.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Пункт (d)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 xml:space="preserve">В этом пункте МКГР предлагается подготовить к сессии Генеральной Ассамблеи ВОИС 2017 г. рекомендацию по дальнейшей работе. В нем также содержится несколько вариантов действий МКГР </w:t>
      </w:r>
      <w:r w:rsidR="00CE08B5">
        <w:rPr>
          <w:sz w:val="20"/>
        </w:rPr>
        <w:t>по истечении</w:t>
      </w:r>
      <w:r>
        <w:rPr>
          <w:sz w:val="20"/>
        </w:rPr>
        <w:t xml:space="preserve"> двухлетнего периода. Цель работы МКГР четко указана в пункте (а): «...с целью достижения в течение двухлетнего периода 2016-2017 гг. договоренности относительно текста (текстов)...», при этом в пункте (d) предлагается на выбор проведение дипломатической конференции, продолжение или прекращение переговоров. Предоставление МКГР такого выбора даст государствам-членам необходимую гибкость для принятия решения о дальнейших действиях по истечении двухлетнего периода и в то же время обозначит некоторые возможные итоги усилий МКГР.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Пункт (е)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Текст пункта (е) проекта мандата на 2016</w:t>
      </w:r>
      <w:r>
        <w:rPr>
          <w:sz w:val="20"/>
          <w:cs/>
        </w:rPr>
        <w:t>–</w:t>
      </w:r>
      <w:r>
        <w:rPr>
          <w:sz w:val="20"/>
        </w:rPr>
        <w:t>2017 гг. соответствует тексту пункта (с) мандата МКГР на 2014-2015 гг., за исключением номеров упомянутых документов.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Пункт (f)</w:t>
      </w:r>
    </w:p>
    <w:p w:rsidR="00FE1B07" w:rsidRPr="00FE1B07" w:rsidRDefault="00DD34C9" w:rsidP="00ED2F2D">
      <w:pPr>
        <w:ind w:right="1152"/>
        <w:jc w:val="both"/>
        <w:rPr>
          <w:rFonts w:eastAsia="Times New Roman"/>
          <w:sz w:val="20"/>
        </w:rPr>
      </w:pPr>
      <w:r>
        <w:rPr>
          <w:sz w:val="20"/>
        </w:rPr>
        <w:t>Текст пункта (f) проекта мандата на 2016</w:t>
      </w:r>
      <w:r>
        <w:rPr>
          <w:sz w:val="20"/>
          <w:cs/>
        </w:rPr>
        <w:t>–</w:t>
      </w:r>
      <w:r>
        <w:rPr>
          <w:sz w:val="20"/>
        </w:rPr>
        <w:t>2017 гг. полностью совпадает с текстом пункта (e) мандата МКГР на 2014-2015 гг.</w:t>
      </w:r>
    </w:p>
    <w:p w:rsidR="00FE1B07" w:rsidRPr="00FE1B07" w:rsidRDefault="00FE1B07" w:rsidP="00ED2F2D">
      <w:pPr>
        <w:ind w:right="1152"/>
        <w:jc w:val="both"/>
        <w:rPr>
          <w:rFonts w:eastAsia="Times New Roman"/>
          <w:sz w:val="20"/>
        </w:rPr>
      </w:pPr>
    </w:p>
    <w:p w:rsidR="00FE1B07" w:rsidRPr="00FE1B07" w:rsidRDefault="00DD34C9" w:rsidP="00ED2F2D">
      <w:pPr>
        <w:numPr>
          <w:ilvl w:val="0"/>
          <w:numId w:val="53"/>
        </w:numPr>
        <w:spacing w:after="60"/>
        <w:ind w:left="357" w:right="1152" w:hanging="357"/>
        <w:contextualSpacing/>
        <w:jc w:val="both"/>
        <w:rPr>
          <w:rFonts w:eastAsia="Times New Roman"/>
          <w:b/>
          <w:u w:val="single"/>
        </w:rPr>
      </w:pPr>
      <w:r>
        <w:rPr>
          <w:b/>
          <w:u w:val="single"/>
        </w:rPr>
        <w:t>Последний, непронумерованный пункт</w:t>
      </w:r>
    </w:p>
    <w:p w:rsidR="00FE1B07" w:rsidRPr="00FE1B07" w:rsidRDefault="00DD34C9" w:rsidP="00ED2F2D">
      <w:pPr>
        <w:ind w:right="1152"/>
        <w:jc w:val="both"/>
        <w:rPr>
          <w:rFonts w:eastAsia="Times New Roman" w:cs="Times New Roman"/>
          <w:sz w:val="24"/>
          <w:szCs w:val="22"/>
        </w:rPr>
      </w:pPr>
      <w:r>
        <w:rPr>
          <w:sz w:val="20"/>
        </w:rPr>
        <w:t>Текст последнего, непронумерованного пункта проекта мандата на 2016</w:t>
      </w:r>
      <w:r>
        <w:rPr>
          <w:sz w:val="20"/>
          <w:cs/>
        </w:rPr>
        <w:t>–</w:t>
      </w:r>
      <w:r>
        <w:rPr>
          <w:sz w:val="20"/>
        </w:rPr>
        <w:t>2017 гг. полностью совпадает с текстом аналогичного пункта мандата МКГР на 2014-2015 гг.</w:t>
      </w:r>
    </w:p>
    <w:p w:rsidR="00FE1B07" w:rsidRDefault="00FE1B07" w:rsidP="00ED2F2D">
      <w:pPr>
        <w:spacing w:after="120"/>
        <w:contextualSpacing/>
        <w:jc w:val="both"/>
        <w:rPr>
          <w:szCs w:val="22"/>
        </w:rPr>
      </w:pPr>
    </w:p>
    <w:p w:rsidR="00C27B52" w:rsidRPr="00FE1B07" w:rsidRDefault="00C27B52" w:rsidP="00ED2F2D">
      <w:pPr>
        <w:spacing w:after="120"/>
        <w:contextualSpacing/>
        <w:jc w:val="both"/>
        <w:rPr>
          <w:szCs w:val="22"/>
        </w:rPr>
      </w:pPr>
    </w:p>
    <w:p w:rsidR="00FE1B07" w:rsidRDefault="00FE1B07" w:rsidP="00ED2F2D">
      <w:pPr>
        <w:spacing w:after="120"/>
        <w:contextualSpacing/>
        <w:jc w:val="both"/>
        <w:rPr>
          <w:szCs w:val="22"/>
        </w:rPr>
      </w:pPr>
    </w:p>
    <w:p w:rsidR="00866152" w:rsidRPr="002671EF" w:rsidRDefault="00DD34C9" w:rsidP="00ED2F2D">
      <w:pPr>
        <w:spacing w:after="120"/>
        <w:ind w:left="5534"/>
        <w:contextualSpacing/>
        <w:rPr>
          <w:szCs w:val="22"/>
        </w:rPr>
      </w:pPr>
      <w:r>
        <w:t>[Конец приложения и документа]</w:t>
      </w:r>
    </w:p>
    <w:sectPr w:rsidR="00866152" w:rsidRPr="002671EF" w:rsidSect="0027382B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015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AB" w:rsidRDefault="00E917AB">
      <w:r>
        <w:separator/>
      </w:r>
    </w:p>
  </w:endnote>
  <w:endnote w:type="continuationSeparator" w:id="0">
    <w:p w:rsidR="00E917AB" w:rsidRDefault="00E917AB" w:rsidP="003B38C1">
      <w:r>
        <w:separator/>
      </w:r>
    </w:p>
    <w:p w:rsidR="00E917AB" w:rsidRPr="003B38C1" w:rsidRDefault="00E917AB" w:rsidP="003B38C1">
      <w:pPr>
        <w:spacing w:after="60"/>
        <w:rPr>
          <w:sz w:val="17"/>
        </w:rPr>
      </w:pPr>
      <w:r>
        <w:rPr>
          <w:sz w:val="17"/>
        </w:rPr>
        <w:t xml:space="preserve">[Концевая </w:t>
      </w:r>
      <w:r>
        <w:rPr>
          <w:sz w:val="17"/>
        </w:rPr>
        <w:t>сноска продолжается с предыдущей страницы]</w:t>
      </w:r>
    </w:p>
  </w:endnote>
  <w:endnote w:type="continuationNotice" w:id="1">
    <w:p w:rsidR="00E917AB" w:rsidRPr="003B38C1" w:rsidRDefault="00E917AB" w:rsidP="003B38C1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[Концевая </w:t>
      </w:r>
      <w:r>
        <w:rPr>
          <w:sz w:val="17"/>
        </w:rPr>
        <w:t>сноска продолжается на следующей странице]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32" w:rsidRPr="00FD614D" w:rsidRDefault="00F20C32" w:rsidP="00FD6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AB" w:rsidRDefault="00E917AB">
      <w:r>
        <w:separator/>
      </w:r>
    </w:p>
  </w:footnote>
  <w:footnote w:type="continuationSeparator" w:id="0">
    <w:p w:rsidR="00E917AB" w:rsidRDefault="00E917AB" w:rsidP="008B60B2">
      <w:r>
        <w:separator/>
      </w:r>
    </w:p>
    <w:p w:rsidR="00E917AB" w:rsidRPr="00ED77FB" w:rsidRDefault="00E917AB" w:rsidP="008B60B2">
      <w:pPr>
        <w:spacing w:after="60"/>
        <w:rPr>
          <w:sz w:val="17"/>
          <w:szCs w:val="17"/>
        </w:rPr>
      </w:pPr>
      <w:r>
        <w:rPr>
          <w:sz w:val="17"/>
        </w:rPr>
        <w:t>[Сноска продолжается с предыдущей страницы]</w:t>
      </w:r>
    </w:p>
  </w:footnote>
  <w:footnote w:type="continuationNotice" w:id="1">
    <w:p w:rsidR="00E917AB" w:rsidRPr="00ED77FB" w:rsidRDefault="00E917AB" w:rsidP="008B60B2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[Сноска </w:t>
      </w:r>
      <w:r>
        <w:rPr>
          <w:sz w:val="17"/>
        </w:rPr>
        <w:t>продолжается на следующей странице]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12" w:rsidRPr="0027382B" w:rsidRDefault="00DD34C9" w:rsidP="00477D6B">
    <w:pPr>
      <w:jc w:val="right"/>
      <w:rPr>
        <w:szCs w:val="22"/>
        <w:lang w:val="en-US"/>
      </w:rPr>
    </w:pPr>
    <w:r>
      <w:rPr>
        <w:caps/>
      </w:rPr>
      <w:t>WO/GA/47/</w:t>
    </w:r>
    <w:r w:rsidR="0027382B">
      <w:rPr>
        <w:caps/>
        <w:lang w:val="en-US"/>
      </w:rPr>
      <w:t>18</w:t>
    </w:r>
  </w:p>
  <w:p w:rsidR="004E4C12" w:rsidRPr="00D13C08" w:rsidRDefault="0027382B" w:rsidP="00477D6B">
    <w:pPr>
      <w:jc w:val="right"/>
      <w:rPr>
        <w:szCs w:val="22"/>
      </w:rPr>
    </w:pPr>
    <w:r>
      <w:t>ПРИЛОЖЕНИЕ</w:t>
    </w:r>
    <w:r>
      <w:t xml:space="preserve"> </w:t>
    </w:r>
  </w:p>
  <w:p w:rsidR="004E4C12" w:rsidRDefault="004E4C1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B07" w:rsidRPr="00D13C08" w:rsidRDefault="00DD34C9" w:rsidP="00477D6B">
    <w:pPr>
      <w:jc w:val="right"/>
      <w:rPr>
        <w:szCs w:val="22"/>
      </w:rPr>
    </w:pPr>
    <w:r>
      <w:rPr>
        <w:caps/>
      </w:rPr>
      <w:t>WO/GA/47/18</w:t>
    </w:r>
  </w:p>
  <w:p w:rsidR="00FE1B07" w:rsidRPr="00D13C08" w:rsidRDefault="00DD34C9" w:rsidP="00477D6B">
    <w:pPr>
      <w:jc w:val="right"/>
      <w:rPr>
        <w:szCs w:val="22"/>
      </w:rPr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4425BB">
      <w:rPr>
        <w:noProof/>
      </w:rPr>
      <w:t>8</w:t>
    </w:r>
    <w:r>
      <w:fldChar w:fldCharType="end"/>
    </w:r>
  </w:p>
  <w:p w:rsidR="00FE1B07" w:rsidRDefault="00FE1B0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32" w:rsidRPr="00440682" w:rsidRDefault="00DD34C9" w:rsidP="00440682">
    <w:pPr>
      <w:jc w:val="right"/>
      <w:rPr>
        <w:szCs w:val="22"/>
      </w:rPr>
    </w:pPr>
    <w:r>
      <w:rPr>
        <w:caps/>
      </w:rPr>
      <w:t>WO/GA/47/18</w:t>
    </w:r>
  </w:p>
  <w:p w:rsidR="00F20C32" w:rsidRDefault="0027382B" w:rsidP="007F4665">
    <w:pPr>
      <w:pStyle w:val="Header"/>
      <w:jc w:val="right"/>
    </w:pPr>
    <w:r>
      <w:t>Приложение,</w:t>
    </w:r>
    <w:r>
      <w:rPr>
        <w:lang w:val="en-US"/>
      </w:rPr>
      <w:t xml:space="preserve"> </w:t>
    </w: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4425BB">
      <w:rPr>
        <w:noProof/>
      </w:rPr>
      <w:t>2</w:t>
    </w:r>
    <w:r>
      <w:fldChar w:fldCharType="end"/>
    </w:r>
  </w:p>
  <w:p w:rsidR="00F20C32" w:rsidRPr="00695315" w:rsidRDefault="00F20C32" w:rsidP="007F46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E0253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15267"/>
    <w:multiLevelType w:val="hybridMultilevel"/>
    <w:tmpl w:val="E7F06C0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B7086"/>
    <w:multiLevelType w:val="hybridMultilevel"/>
    <w:tmpl w:val="AA8668D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787"/>
        </w:tabs>
        <w:ind w:left="2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08FA1858"/>
    <w:multiLevelType w:val="hybridMultilevel"/>
    <w:tmpl w:val="7CE840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30"/>
        </w:tabs>
        <w:ind w:left="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950"/>
        </w:tabs>
        <w:ind w:left="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10"/>
        </w:tabs>
        <w:ind w:left="3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270"/>
        </w:tabs>
        <w:ind w:left="5270" w:hanging="180"/>
      </w:pPr>
      <w:rPr>
        <w:rFonts w:cs="Times New Roman"/>
      </w:rPr>
    </w:lvl>
  </w:abstractNum>
  <w:abstractNum w:abstractNumId="5">
    <w:nsid w:val="09356716"/>
    <w:multiLevelType w:val="hybridMultilevel"/>
    <w:tmpl w:val="D3341776"/>
    <w:lvl w:ilvl="0" w:tplc="FFFFFFFF">
      <w:start w:val="1"/>
      <w:numFmt w:val="lowerRoman"/>
      <w:lvlText w:val="(%1)"/>
      <w:lvlJc w:val="left"/>
      <w:pPr>
        <w:ind w:left="18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FFFFFFFF">
      <w:start w:val="1"/>
      <w:numFmt w:val="lowerRoman"/>
      <w:lvlText w:val="(%3)"/>
      <w:lvlJc w:val="left"/>
      <w:pPr>
        <w:ind w:left="1350" w:hanging="1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6">
    <w:nsid w:val="0E772651"/>
    <w:multiLevelType w:val="hybridMultilevel"/>
    <w:tmpl w:val="D1B4614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1F17166"/>
    <w:multiLevelType w:val="hybridMultilevel"/>
    <w:tmpl w:val="531826AA"/>
    <w:lvl w:ilvl="0" w:tplc="FFFFFFFF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>
    <w:nsid w:val="160326CC"/>
    <w:multiLevelType w:val="hybridMultilevel"/>
    <w:tmpl w:val="1E0ACD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1B2A36"/>
    <w:multiLevelType w:val="hybridMultilevel"/>
    <w:tmpl w:val="236E91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C47B24"/>
    <w:multiLevelType w:val="hybridMultilevel"/>
    <w:tmpl w:val="531826AA"/>
    <w:lvl w:ilvl="0" w:tplc="FFFFFFFF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1">
    <w:nsid w:val="1CB867AB"/>
    <w:multiLevelType w:val="hybridMultilevel"/>
    <w:tmpl w:val="E3861EEE"/>
    <w:lvl w:ilvl="0" w:tplc="FFFFFFFF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>
    <w:nsid w:val="1CEE163E"/>
    <w:multiLevelType w:val="hybridMultilevel"/>
    <w:tmpl w:val="CB0ACD52"/>
    <w:lvl w:ilvl="0" w:tplc="FFFFFFFF">
      <w:start w:val="1"/>
      <w:numFmt w:val="lowerLetter"/>
      <w:lvlText w:val="(%1)"/>
      <w:lvlJc w:val="left"/>
      <w:pPr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DD65B58"/>
    <w:multiLevelType w:val="hybridMultilevel"/>
    <w:tmpl w:val="EECA8528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40A4799"/>
    <w:multiLevelType w:val="hybridMultilevel"/>
    <w:tmpl w:val="E814FA88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59A4262"/>
    <w:multiLevelType w:val="hybridMultilevel"/>
    <w:tmpl w:val="FF2861DE"/>
    <w:lvl w:ilvl="0" w:tplc="FFFFFFFF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2A6A5D18"/>
    <w:multiLevelType w:val="hybridMultilevel"/>
    <w:tmpl w:val="FF2861DE"/>
    <w:lvl w:ilvl="0" w:tplc="FFFFFFFF">
      <w:start w:val="1"/>
      <w:numFmt w:val="lowerLetter"/>
      <w:lvlText w:val="(%1)"/>
      <w:lvlJc w:val="left"/>
      <w:pPr>
        <w:ind w:left="1080" w:hanging="51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8">
    <w:nsid w:val="3DFC3731"/>
    <w:multiLevelType w:val="hybridMultilevel"/>
    <w:tmpl w:val="99CA7886"/>
    <w:lvl w:ilvl="0" w:tplc="FFFFFFFF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4D97657"/>
    <w:multiLevelType w:val="hybridMultilevel"/>
    <w:tmpl w:val="C47423C6"/>
    <w:lvl w:ilvl="0" w:tplc="FFFFFFFF">
      <w:start w:val="1"/>
      <w:numFmt w:val="lowerRoman"/>
      <w:lvlText w:val="(%1)"/>
      <w:lvlJc w:val="left"/>
      <w:pPr>
        <w:ind w:left="930" w:hanging="360"/>
      </w:pPr>
      <w:rPr>
        <w:rFonts w:cs="Times New Roman" w:hint="default"/>
      </w:rPr>
    </w:lvl>
    <w:lvl w:ilvl="1" w:tplc="FFFFFFFF">
      <w:start w:val="1"/>
      <w:numFmt w:val="lowerRoman"/>
      <w:lvlText w:val="(%2)"/>
      <w:lvlJc w:val="left"/>
      <w:pPr>
        <w:ind w:left="165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0">
    <w:nsid w:val="46CF2D5F"/>
    <w:multiLevelType w:val="hybridMultilevel"/>
    <w:tmpl w:val="783E73EA"/>
    <w:lvl w:ilvl="0" w:tplc="FFFFFFFF">
      <w:start w:val="1"/>
      <w:numFmt w:val="lowerRoman"/>
      <w:lvlText w:val="%1."/>
      <w:lvlJc w:val="right"/>
      <w:pPr>
        <w:ind w:left="163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FFFFFFFF">
      <w:start w:val="1"/>
      <w:numFmt w:val="lowerLetter"/>
      <w:lvlText w:val="(%3)"/>
      <w:lvlJc w:val="left"/>
      <w:pPr>
        <w:ind w:left="90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1">
    <w:nsid w:val="4BE72955"/>
    <w:multiLevelType w:val="hybridMultilevel"/>
    <w:tmpl w:val="78FE4CE2"/>
    <w:lvl w:ilvl="0" w:tplc="FFFFFFFF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FFFFFFFF">
      <w:start w:val="1"/>
      <w:numFmt w:val="lowerRoman"/>
      <w:lvlText w:val="(%2)"/>
      <w:lvlJc w:val="left"/>
      <w:pPr>
        <w:ind w:left="163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2">
    <w:nsid w:val="4C8B3C46"/>
    <w:multiLevelType w:val="hybridMultilevel"/>
    <w:tmpl w:val="799E19C6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341AFB"/>
    <w:multiLevelType w:val="hybridMultilevel"/>
    <w:tmpl w:val="6FA46F6C"/>
    <w:lvl w:ilvl="0" w:tplc="FFFFFFFF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4">
    <w:nsid w:val="4DD11207"/>
    <w:multiLevelType w:val="hybridMultilevel"/>
    <w:tmpl w:val="018A62A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5F0E26"/>
    <w:multiLevelType w:val="hybridMultilevel"/>
    <w:tmpl w:val="BFD00D0A"/>
    <w:lvl w:ilvl="0" w:tplc="FFFFFFFF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6">
    <w:nsid w:val="54C84845"/>
    <w:multiLevelType w:val="hybridMultilevel"/>
    <w:tmpl w:val="8974B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C6D77"/>
    <w:multiLevelType w:val="hybridMultilevel"/>
    <w:tmpl w:val="996AEA8C"/>
    <w:lvl w:ilvl="0" w:tplc="FFFFFFFF">
      <w:start w:val="1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90" w:hanging="180"/>
      </w:pPr>
      <w:rPr>
        <w:rFonts w:cs="Times New Roman"/>
      </w:rPr>
    </w:lvl>
  </w:abstractNum>
  <w:abstractNum w:abstractNumId="28">
    <w:nsid w:val="5EF82BEA"/>
    <w:multiLevelType w:val="hybridMultilevel"/>
    <w:tmpl w:val="CE702A8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F1563BA"/>
    <w:multiLevelType w:val="hybridMultilevel"/>
    <w:tmpl w:val="3FAE59CA"/>
    <w:lvl w:ilvl="0" w:tplc="FFFFFFFF">
      <w:start w:val="2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1E6EB1"/>
    <w:multiLevelType w:val="hybridMultilevel"/>
    <w:tmpl w:val="9F782922"/>
    <w:lvl w:ilvl="0" w:tplc="FFFFFFFF">
      <w:start w:val="2"/>
      <w:numFmt w:val="lowerRoman"/>
      <w:lvlText w:val="(%1)"/>
      <w:lvlJc w:val="left"/>
      <w:pPr>
        <w:ind w:left="16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7850EB"/>
    <w:multiLevelType w:val="hybridMultilevel"/>
    <w:tmpl w:val="E54A06CC"/>
    <w:lvl w:ilvl="0" w:tplc="FFFFFFFF">
      <w:start w:val="1"/>
      <w:numFmt w:val="lowerRoman"/>
      <w:lvlText w:val="(%1)"/>
      <w:lvlJc w:val="left"/>
      <w:pPr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2">
    <w:nsid w:val="69813801"/>
    <w:multiLevelType w:val="hybridMultilevel"/>
    <w:tmpl w:val="3C5CFCFE"/>
    <w:lvl w:ilvl="0" w:tplc="FFFFFFFF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3">
    <w:nsid w:val="69BE73E9"/>
    <w:multiLevelType w:val="hybridMultilevel"/>
    <w:tmpl w:val="432ECFE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42728D"/>
    <w:multiLevelType w:val="hybridMultilevel"/>
    <w:tmpl w:val="DD1CF55E"/>
    <w:lvl w:ilvl="0" w:tplc="FFFFFFFF">
      <w:start w:val="1"/>
      <w:numFmt w:val="lowerRoman"/>
      <w:lvlText w:val="(%1)"/>
      <w:lvlJc w:val="left"/>
      <w:pPr>
        <w:ind w:left="6253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66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73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80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87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94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102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109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11653" w:hanging="180"/>
      </w:pPr>
      <w:rPr>
        <w:rFonts w:cs="Times New Roman"/>
      </w:rPr>
    </w:lvl>
  </w:abstractNum>
  <w:abstractNum w:abstractNumId="35">
    <w:nsid w:val="71AC1CE5"/>
    <w:multiLevelType w:val="hybridMultilevel"/>
    <w:tmpl w:val="E3861EEE"/>
    <w:lvl w:ilvl="0" w:tplc="FFFFFFFF">
      <w:start w:val="1"/>
      <w:numFmt w:val="lowerLetter"/>
      <w:lvlText w:val="(%1)"/>
      <w:lvlJc w:val="left"/>
      <w:pPr>
        <w:ind w:left="1260" w:hanging="5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36">
    <w:nsid w:val="7640540C"/>
    <w:multiLevelType w:val="hybridMultilevel"/>
    <w:tmpl w:val="C4DCBBCC"/>
    <w:lvl w:ilvl="0" w:tplc="FFFFFFFF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7">
    <w:nsid w:val="7A60056B"/>
    <w:multiLevelType w:val="hybridMultilevel"/>
    <w:tmpl w:val="244CFE18"/>
    <w:lvl w:ilvl="0" w:tplc="FFFFFFFF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B7F00AA"/>
    <w:multiLevelType w:val="hybridMultilevel"/>
    <w:tmpl w:val="B9207F10"/>
    <w:lvl w:ilvl="0" w:tplc="FFFFFFFF">
      <w:start w:val="1"/>
      <w:numFmt w:val="lowerRoman"/>
      <w:lvlText w:val="(%1)"/>
      <w:lvlJc w:val="left"/>
      <w:pPr>
        <w:ind w:left="129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9">
    <w:nsid w:val="7B85607D"/>
    <w:multiLevelType w:val="hybridMultilevel"/>
    <w:tmpl w:val="D1EA823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7E1E0931"/>
    <w:multiLevelType w:val="hybridMultilevel"/>
    <w:tmpl w:val="3DBCC306"/>
    <w:lvl w:ilvl="0" w:tplc="FFFFFFFF">
      <w:start w:val="1"/>
      <w:numFmt w:val="lowerRoman"/>
      <w:lvlText w:val="(%1)"/>
      <w:lvlJc w:val="left"/>
      <w:pPr>
        <w:ind w:left="189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1">
    <w:nsid w:val="7EA55C9D"/>
    <w:multiLevelType w:val="hybridMultilevel"/>
    <w:tmpl w:val="3C5CFCFE"/>
    <w:lvl w:ilvl="0" w:tplc="FFFFFFFF">
      <w:start w:val="1"/>
      <w:numFmt w:val="lowerLetter"/>
      <w:lvlText w:val="(%1)"/>
      <w:lvlJc w:val="left"/>
      <w:pPr>
        <w:ind w:left="1090" w:hanging="5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42">
    <w:nsid w:val="7F762EF8"/>
    <w:multiLevelType w:val="hybridMultilevel"/>
    <w:tmpl w:val="55F057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2"/>
  </w:num>
  <w:num w:numId="7">
    <w:abstractNumId w:val="3"/>
  </w:num>
  <w:num w:numId="8">
    <w:abstractNumId w:val="14"/>
  </w:num>
  <w:num w:numId="9">
    <w:abstractNumId w:val="4"/>
  </w:num>
  <w:num w:numId="10">
    <w:abstractNumId w:val="7"/>
  </w:num>
  <w:num w:numId="11">
    <w:abstractNumId w:val="1"/>
  </w:num>
  <w:num w:numId="12">
    <w:abstractNumId w:val="36"/>
  </w:num>
  <w:num w:numId="13">
    <w:abstractNumId w:val="9"/>
  </w:num>
  <w:num w:numId="14">
    <w:abstractNumId w:val="8"/>
  </w:num>
  <w:num w:numId="15">
    <w:abstractNumId w:val="33"/>
  </w:num>
  <w:num w:numId="16">
    <w:abstractNumId w:val="2"/>
  </w:num>
  <w:num w:numId="17">
    <w:abstractNumId w:val="12"/>
  </w:num>
  <w:num w:numId="18">
    <w:abstractNumId w:val="38"/>
  </w:num>
  <w:num w:numId="19">
    <w:abstractNumId w:val="13"/>
  </w:num>
  <w:num w:numId="20">
    <w:abstractNumId w:val="24"/>
  </w:num>
  <w:num w:numId="21">
    <w:abstractNumId w:val="37"/>
  </w:num>
  <w:num w:numId="22">
    <w:abstractNumId w:val="11"/>
  </w:num>
  <w:num w:numId="23">
    <w:abstractNumId w:val="32"/>
  </w:num>
  <w:num w:numId="24">
    <w:abstractNumId w:val="25"/>
  </w:num>
  <w:num w:numId="25">
    <w:abstractNumId w:val="35"/>
  </w:num>
  <w:num w:numId="26">
    <w:abstractNumId w:val="6"/>
  </w:num>
  <w:num w:numId="27">
    <w:abstractNumId w:val="41"/>
  </w:num>
  <w:num w:numId="28">
    <w:abstractNumId w:val="31"/>
  </w:num>
  <w:num w:numId="29">
    <w:abstractNumId w:val="20"/>
  </w:num>
  <w:num w:numId="30">
    <w:abstractNumId w:val="10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8"/>
  </w:num>
  <w:num w:numId="43">
    <w:abstractNumId w:val="28"/>
  </w:num>
  <w:num w:numId="44">
    <w:abstractNumId w:val="19"/>
  </w:num>
  <w:num w:numId="45">
    <w:abstractNumId w:val="23"/>
  </w:num>
  <w:num w:numId="46">
    <w:abstractNumId w:val="30"/>
  </w:num>
  <w:num w:numId="47">
    <w:abstractNumId w:val="27"/>
  </w:num>
  <w:num w:numId="48">
    <w:abstractNumId w:val="29"/>
  </w:num>
  <w:num w:numId="49">
    <w:abstractNumId w:val="5"/>
  </w:num>
  <w:num w:numId="50">
    <w:abstractNumId w:val="34"/>
  </w:num>
  <w:num w:numId="51">
    <w:abstractNumId w:val="26"/>
  </w:num>
  <w:num w:numId="52">
    <w:abstractNumId w:val="42"/>
  </w:num>
  <w:num w:numId="53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08008C"/>
    <w:rsid w:val="000E7004"/>
    <w:rsid w:val="001452BF"/>
    <w:rsid w:val="0016532C"/>
    <w:rsid w:val="001B7CBA"/>
    <w:rsid w:val="001C729C"/>
    <w:rsid w:val="002671EF"/>
    <w:rsid w:val="0027382B"/>
    <w:rsid w:val="002C0E2C"/>
    <w:rsid w:val="00367FC1"/>
    <w:rsid w:val="003845C1"/>
    <w:rsid w:val="003B38C1"/>
    <w:rsid w:val="003E427A"/>
    <w:rsid w:val="00440682"/>
    <w:rsid w:val="004425BB"/>
    <w:rsid w:val="00465AEE"/>
    <w:rsid w:val="00477D6B"/>
    <w:rsid w:val="004E4C12"/>
    <w:rsid w:val="00532142"/>
    <w:rsid w:val="00572DFC"/>
    <w:rsid w:val="00626702"/>
    <w:rsid w:val="00676F4B"/>
    <w:rsid w:val="00695315"/>
    <w:rsid w:val="00777E9A"/>
    <w:rsid w:val="007F4665"/>
    <w:rsid w:val="00833D5F"/>
    <w:rsid w:val="00860A87"/>
    <w:rsid w:val="00866152"/>
    <w:rsid w:val="00885AD5"/>
    <w:rsid w:val="008B2CC1"/>
    <w:rsid w:val="008B60B2"/>
    <w:rsid w:val="008C2549"/>
    <w:rsid w:val="0090750C"/>
    <w:rsid w:val="00947379"/>
    <w:rsid w:val="009B6933"/>
    <w:rsid w:val="00A22680"/>
    <w:rsid w:val="00A85B8E"/>
    <w:rsid w:val="00AB216D"/>
    <w:rsid w:val="00B37B22"/>
    <w:rsid w:val="00C15A2B"/>
    <w:rsid w:val="00C27B52"/>
    <w:rsid w:val="00C74E0D"/>
    <w:rsid w:val="00CE08B5"/>
    <w:rsid w:val="00D13C08"/>
    <w:rsid w:val="00D31C44"/>
    <w:rsid w:val="00DD34C9"/>
    <w:rsid w:val="00E17F33"/>
    <w:rsid w:val="00E917AB"/>
    <w:rsid w:val="00EC4E49"/>
    <w:rsid w:val="00ED2F2D"/>
    <w:rsid w:val="00ED77FB"/>
    <w:rsid w:val="00F20C32"/>
    <w:rsid w:val="00FD614D"/>
    <w:rsid w:val="00FD7CD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Arial" w:eastAsia="SimSun" w:hAnsi="Arial" w:cs="Times New Roman"/>
      <w:sz w:val="26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eastAsia="SimSun" w:hAnsi="Arial" w:cs="Times New Roman"/>
      <w:sz w:val="22"/>
      <w:lang w:val="ru-RU" w:eastAsia="ru-RU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Times New Roman"/>
      <w:sz w:val="18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Char">
    <w:name w:val="Char 字元 字元"/>
    <w:basedOn w:val="Normal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Arial" w:eastAsia="SimSun" w:hAnsi="Arial" w:cs="Times New Roman"/>
      <w:sz w:val="18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SimSun" w:hAnsi="Arial" w:cs="Times New Roman"/>
      <w:sz w:val="22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2"/>
      </w:numPr>
      <w:tabs>
        <w:tab w:val="clear" w:pos="360"/>
        <w:tab w:val="num" w:pos="567"/>
      </w:tabs>
    </w:pPr>
  </w:style>
  <w:style w:type="paragraph" w:customStyle="1" w:styleId="ONUME">
    <w:name w:val="ONUM E"/>
    <w:basedOn w:val="BodyText"/>
    <w:link w:val="ONUMEChar"/>
    <w:pPr>
      <w:tabs>
        <w:tab w:val="num" w:pos="567"/>
        <w:tab w:val="num" w:pos="787"/>
      </w:tabs>
      <w:ind w:left="220" w:hanging="360"/>
    </w:pPr>
  </w:style>
  <w:style w:type="character" w:customStyle="1" w:styleId="ONUMEChar">
    <w:name w:val="ONUM E Char"/>
    <w:link w:val="ONUME"/>
    <w:locked/>
    <w:rPr>
      <w:rFonts w:ascii="Arial" w:eastAsia="SimSun" w:hAnsi="Arial" w:cs="Arial"/>
      <w:sz w:val="22"/>
    </w:rPr>
  </w:style>
  <w:style w:type="paragraph" w:customStyle="1" w:styleId="ONUMFS">
    <w:name w:val="ONUM FS"/>
    <w:basedOn w:val="BodyText"/>
    <w:pPr>
      <w:tabs>
        <w:tab w:val="num" w:pos="567"/>
        <w:tab w:val="num" w:pos="787"/>
      </w:tabs>
      <w:ind w:left="220" w:hanging="360"/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styleId="PageNumber">
    <w:name w:val="page number"/>
    <w:basedOn w:val="DefaultParagraphFont"/>
    <w:uiPriority w:val="99"/>
    <w:rPr>
      <w:rFonts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pPr>
      <w:spacing w:after="120"/>
    </w:pPr>
    <w:rPr>
      <w:rFonts w:ascii="Times New Roman" w:eastAsia="Times New Roman" w:hAnsi="Times New Roman" w:cs="Times New Roman"/>
      <w:i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cs="Times New Roman"/>
      <w:i/>
      <w:sz w:val="24"/>
      <w:lang w:val="ru-RU" w:eastAsia="ru-RU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imes New Roman"/>
      <w:sz w:val="16"/>
      <w:lang w:val="ru-RU" w:eastAsia="ru-RU"/>
    </w:rPr>
  </w:style>
  <w:style w:type="character" w:customStyle="1" w:styleId="CharChar5">
    <w:name w:val="Char Char5"/>
    <w:locked/>
    <w:rPr>
      <w:rFonts w:ascii="Arial" w:eastAsia="SimSun" w:hAnsi="Arial"/>
      <w:sz w:val="18"/>
      <w:lang w:val="ru-RU" w:eastAsia="ru-RU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  <w:lang w:val="ru-RU" w:eastAsia="ru-RU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rFonts w:ascii="Times New Roman" w:eastAsia="Times New Roman" w:hAnsi="Times New Roman"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eastAsia="SimSun" w:hAnsi="Arial" w:cs="Times New Roman"/>
      <w:b/>
      <w:sz w:val="18"/>
      <w:lang w:val="ru-RU" w:eastAsia="ru-RU"/>
    </w:rPr>
  </w:style>
  <w:style w:type="paragraph" w:customStyle="1" w:styleId="DecisionInvitingPara">
    <w:name w:val="Decision Inviting Para."/>
    <w:basedOn w:val="Normal"/>
    <w:pPr>
      <w:ind w:left="5534"/>
    </w:pPr>
    <w:rPr>
      <w:i/>
    </w:rPr>
  </w:style>
  <w:style w:type="paragraph" w:customStyle="1" w:styleId="QueContin1">
    <w:name w:val="Que Contin 1"/>
    <w:basedOn w:val="Normal"/>
    <w:uiPriority w:val="99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customStyle="1" w:styleId="Colloquy">
    <w:name w:val="Colloquy"/>
    <w:basedOn w:val="Normal"/>
    <w:next w:val="Normal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cxspmiddle">
    <w:name w:val="msolistparagraphcxspmiddlecxspmiddl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Contin1">
    <w:name w:val="By  Contin 1"/>
    <w:basedOn w:val="Normal"/>
    <w:uiPriority w:val="99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</w:rPr>
  </w:style>
  <w:style w:type="paragraph" w:customStyle="1" w:styleId="Text">
    <w:name w:val="Text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Arial" w:eastAsia="SimSun" w:hAnsi="Arial" w:cs="Times New Roman"/>
      <w:sz w:val="26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eastAsia="SimSun" w:hAnsi="Arial" w:cs="Times New Roman"/>
      <w:sz w:val="22"/>
      <w:lang w:val="ru-RU" w:eastAsia="ru-RU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Times New Roman"/>
      <w:sz w:val="18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Char">
    <w:name w:val="Char 字元 字元"/>
    <w:basedOn w:val="Normal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Arial" w:eastAsia="SimSun" w:hAnsi="Arial" w:cs="Times New Roman"/>
      <w:sz w:val="18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SimSun" w:hAnsi="Arial" w:cs="Times New Roman"/>
      <w:sz w:val="22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2"/>
      </w:numPr>
      <w:tabs>
        <w:tab w:val="clear" w:pos="360"/>
        <w:tab w:val="num" w:pos="567"/>
      </w:tabs>
    </w:pPr>
  </w:style>
  <w:style w:type="paragraph" w:customStyle="1" w:styleId="ONUME">
    <w:name w:val="ONUM E"/>
    <w:basedOn w:val="BodyText"/>
    <w:link w:val="ONUMEChar"/>
    <w:pPr>
      <w:tabs>
        <w:tab w:val="num" w:pos="567"/>
        <w:tab w:val="num" w:pos="787"/>
      </w:tabs>
      <w:ind w:left="220" w:hanging="360"/>
    </w:pPr>
  </w:style>
  <w:style w:type="character" w:customStyle="1" w:styleId="ONUMEChar">
    <w:name w:val="ONUM E Char"/>
    <w:link w:val="ONUME"/>
    <w:locked/>
    <w:rPr>
      <w:rFonts w:ascii="Arial" w:eastAsia="SimSun" w:hAnsi="Arial" w:cs="Arial"/>
      <w:sz w:val="22"/>
    </w:rPr>
  </w:style>
  <w:style w:type="paragraph" w:customStyle="1" w:styleId="ONUMFS">
    <w:name w:val="ONUM FS"/>
    <w:basedOn w:val="BodyText"/>
    <w:pPr>
      <w:tabs>
        <w:tab w:val="num" w:pos="567"/>
        <w:tab w:val="num" w:pos="787"/>
      </w:tabs>
      <w:ind w:left="220" w:hanging="360"/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styleId="PageNumber">
    <w:name w:val="page number"/>
    <w:basedOn w:val="DefaultParagraphFont"/>
    <w:uiPriority w:val="99"/>
    <w:rPr>
      <w:rFonts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pPr>
      <w:spacing w:after="120"/>
    </w:pPr>
    <w:rPr>
      <w:rFonts w:ascii="Times New Roman" w:eastAsia="Times New Roman" w:hAnsi="Times New Roman" w:cs="Times New Roman"/>
      <w:i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cs="Times New Roman"/>
      <w:i/>
      <w:sz w:val="24"/>
      <w:lang w:val="ru-RU" w:eastAsia="ru-RU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imes New Roman"/>
      <w:sz w:val="16"/>
      <w:lang w:val="ru-RU" w:eastAsia="ru-RU"/>
    </w:rPr>
  </w:style>
  <w:style w:type="character" w:customStyle="1" w:styleId="CharChar5">
    <w:name w:val="Char Char5"/>
    <w:locked/>
    <w:rPr>
      <w:rFonts w:ascii="Arial" w:eastAsia="SimSun" w:hAnsi="Arial"/>
      <w:sz w:val="18"/>
      <w:lang w:val="ru-RU" w:eastAsia="ru-RU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  <w:lang w:val="ru-RU" w:eastAsia="ru-RU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rFonts w:ascii="Times New Roman" w:eastAsia="Times New Roman" w:hAnsi="Times New Roman"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eastAsia="SimSun" w:hAnsi="Arial" w:cs="Times New Roman"/>
      <w:b/>
      <w:sz w:val="18"/>
      <w:lang w:val="ru-RU" w:eastAsia="ru-RU"/>
    </w:rPr>
  </w:style>
  <w:style w:type="paragraph" w:customStyle="1" w:styleId="DecisionInvitingPara">
    <w:name w:val="Decision Inviting Para."/>
    <w:basedOn w:val="Normal"/>
    <w:pPr>
      <w:ind w:left="5534"/>
    </w:pPr>
    <w:rPr>
      <w:i/>
    </w:rPr>
  </w:style>
  <w:style w:type="paragraph" w:customStyle="1" w:styleId="QueContin1">
    <w:name w:val="Que Contin 1"/>
    <w:basedOn w:val="Normal"/>
    <w:uiPriority w:val="99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customStyle="1" w:styleId="Colloquy">
    <w:name w:val="Colloquy"/>
    <w:basedOn w:val="Normal"/>
    <w:next w:val="Normal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ContinCol">
    <w:name w:val="Contin Col"/>
    <w:basedOn w:val="Normal"/>
    <w:next w:val="Normal"/>
    <w:pPr>
      <w:widowControl w:val="0"/>
      <w:autoSpaceDE w:val="0"/>
      <w:autoSpaceDN w:val="0"/>
      <w:adjustRightInd w:val="0"/>
      <w:spacing w:line="555" w:lineRule="atLeast"/>
      <w:ind w:left="720" w:firstLine="720"/>
    </w:pPr>
    <w:rPr>
      <w:rFonts w:ascii="Courier New" w:eastAsia="Times New Roman" w:hAnsi="Courier New" w:cs="Courier New"/>
      <w:sz w:val="24"/>
      <w:szCs w:val="24"/>
      <w:lang w:bidi="hi-IN"/>
    </w:rPr>
  </w:style>
  <w:style w:type="paragraph" w:customStyle="1" w:styleId="msolistparagraph0">
    <w:name w:val="msolistparagraph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cxspmiddle">
    <w:name w:val="msolistparagraphcxspmiddlecxspmiddl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Contin1">
    <w:name w:val="By  Contin 1"/>
    <w:basedOn w:val="Normal"/>
    <w:uiPriority w:val="99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</w:rPr>
  </w:style>
  <w:style w:type="paragraph" w:customStyle="1" w:styleId="Text">
    <w:name w:val="Text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B4B9-6A84-4B47-96AD-07B348A6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1847</Words>
  <Characters>12905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HÄFLIGER Patience</cp:lastModifiedBy>
  <cp:revision>5</cp:revision>
  <cp:lastPrinted>2015-09-29T12:30:00Z</cp:lastPrinted>
  <dcterms:created xsi:type="dcterms:W3CDTF">2015-09-28T15:38:00Z</dcterms:created>
  <dcterms:modified xsi:type="dcterms:W3CDTF">2015-09-29T12:31:00Z</dcterms:modified>
</cp:coreProperties>
</file>