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A1283" w:rsidP="00916EE2">
            <w:r>
              <w:rPr>
                <w:noProof/>
                <w:lang w:eastAsia="en-US"/>
              </w:rPr>
              <w:drawing>
                <wp:inline distT="0" distB="0" distL="0" distR="0">
                  <wp:extent cx="1962150" cy="1457325"/>
                  <wp:effectExtent l="0" t="0" r="0" b="952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14573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0A1283" w:rsidP="000A1283">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24E1D" w:rsidP="00916EE2">
            <w:pPr>
              <w:jc w:val="right"/>
              <w:rPr>
                <w:rFonts w:ascii="Arial Black" w:hAnsi="Arial Black"/>
                <w:caps/>
                <w:sz w:val="15"/>
              </w:rPr>
            </w:pPr>
            <w:r>
              <w:rPr>
                <w:rFonts w:ascii="Arial Black" w:hAnsi="Arial Black"/>
                <w:caps/>
                <w:sz w:val="15"/>
              </w:rPr>
              <w:t>WO/GA/46/</w:t>
            </w:r>
            <w:bookmarkStart w:id="0" w:name="Code"/>
            <w:bookmarkEnd w:id="0"/>
            <w:r w:rsidR="00192C16">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9151AC" w:rsidP="009151AC">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9151AC" w:rsidP="009151AC">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Pr>
                <w:rFonts w:ascii="Arial Black" w:hAnsi="Arial Black"/>
                <w:caps/>
                <w:sz w:val="15"/>
                <w:lang w:val="ru-RU"/>
              </w:rPr>
              <w:t>22 июля</w:t>
            </w:r>
            <w:r w:rsidR="00192C16">
              <w:rPr>
                <w:rFonts w:ascii="Arial Black" w:hAnsi="Arial Black"/>
                <w:caps/>
                <w:sz w:val="15"/>
              </w:rPr>
              <w:t xml:space="preserve"> 201</w:t>
            </w:r>
            <w:r>
              <w:rPr>
                <w:rFonts w:ascii="Arial Black" w:hAnsi="Arial Black"/>
                <w:caps/>
                <w:sz w:val="15"/>
                <w:lang w:val="ru-RU"/>
              </w:rPr>
              <w:t>4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151AC" w:rsidP="008B2CC1">
      <w:pPr>
        <w:rPr>
          <w:b/>
          <w:sz w:val="28"/>
          <w:szCs w:val="28"/>
        </w:rPr>
      </w:pPr>
      <w:r>
        <w:rPr>
          <w:b/>
          <w:sz w:val="28"/>
          <w:szCs w:val="28"/>
          <w:lang w:val="ru-RU"/>
        </w:rPr>
        <w:t>Генеральная</w:t>
      </w:r>
      <w:r w:rsidRPr="009151AC">
        <w:rPr>
          <w:b/>
          <w:sz w:val="28"/>
          <w:szCs w:val="28"/>
        </w:rPr>
        <w:t xml:space="preserve"> </w:t>
      </w:r>
      <w:r>
        <w:rPr>
          <w:b/>
          <w:sz w:val="28"/>
          <w:szCs w:val="28"/>
          <w:lang w:val="ru-RU"/>
        </w:rPr>
        <w:t>Ассамблея</w:t>
      </w:r>
      <w:r w:rsidRPr="009151AC">
        <w:rPr>
          <w:b/>
          <w:sz w:val="28"/>
          <w:szCs w:val="28"/>
        </w:rPr>
        <w:t xml:space="preserve"> </w:t>
      </w:r>
      <w:r>
        <w:rPr>
          <w:b/>
          <w:sz w:val="28"/>
          <w:szCs w:val="28"/>
          <w:lang w:val="ru-RU"/>
        </w:rPr>
        <w:t>ВОИС</w:t>
      </w:r>
    </w:p>
    <w:p w:rsidR="003845C1" w:rsidRDefault="003845C1" w:rsidP="003845C1"/>
    <w:p w:rsidR="00A85B8E" w:rsidRDefault="00A85B8E" w:rsidP="003845C1"/>
    <w:p w:rsidR="008B2CC1" w:rsidRPr="009151AC" w:rsidRDefault="009151AC" w:rsidP="008B2CC1">
      <w:pPr>
        <w:rPr>
          <w:b/>
          <w:sz w:val="24"/>
          <w:szCs w:val="24"/>
          <w:lang w:val="ru-RU"/>
        </w:rPr>
      </w:pPr>
      <w:r>
        <w:rPr>
          <w:b/>
          <w:sz w:val="24"/>
          <w:szCs w:val="24"/>
          <w:lang w:val="ru-RU"/>
        </w:rPr>
        <w:t>Сорок</w:t>
      </w:r>
      <w:r w:rsidRPr="009151AC">
        <w:rPr>
          <w:b/>
          <w:sz w:val="24"/>
          <w:szCs w:val="24"/>
          <w:lang w:val="ru-RU"/>
        </w:rPr>
        <w:t xml:space="preserve"> </w:t>
      </w:r>
      <w:r>
        <w:rPr>
          <w:b/>
          <w:sz w:val="24"/>
          <w:szCs w:val="24"/>
          <w:lang w:val="ru-RU"/>
        </w:rPr>
        <w:t>шестая</w:t>
      </w:r>
      <w:r w:rsidR="00924E1D" w:rsidRPr="009151AC">
        <w:rPr>
          <w:b/>
          <w:sz w:val="24"/>
          <w:szCs w:val="24"/>
          <w:lang w:val="ru-RU"/>
        </w:rPr>
        <w:t xml:space="preserve"> (25</w:t>
      </w:r>
      <w:r w:rsidRPr="009151AC">
        <w:rPr>
          <w:b/>
          <w:sz w:val="24"/>
          <w:szCs w:val="24"/>
          <w:lang w:val="ru-RU"/>
        </w:rPr>
        <w:t>-</w:t>
      </w:r>
      <w:r>
        <w:rPr>
          <w:b/>
          <w:sz w:val="24"/>
          <w:szCs w:val="24"/>
          <w:lang w:val="ru-RU"/>
        </w:rPr>
        <w:t>я</w:t>
      </w:r>
      <w:r w:rsidRPr="009151AC">
        <w:rPr>
          <w:b/>
          <w:sz w:val="24"/>
          <w:szCs w:val="24"/>
          <w:lang w:val="ru-RU"/>
        </w:rPr>
        <w:t xml:space="preserve"> </w:t>
      </w:r>
      <w:r>
        <w:rPr>
          <w:b/>
          <w:sz w:val="24"/>
          <w:szCs w:val="24"/>
          <w:lang w:val="ru-RU"/>
        </w:rPr>
        <w:t>внеочередная</w:t>
      </w:r>
      <w:r w:rsidR="00924E1D" w:rsidRPr="009151AC">
        <w:rPr>
          <w:b/>
          <w:sz w:val="24"/>
          <w:szCs w:val="24"/>
          <w:lang w:val="ru-RU"/>
        </w:rPr>
        <w:t xml:space="preserve">) </w:t>
      </w:r>
      <w:r>
        <w:rPr>
          <w:b/>
          <w:sz w:val="24"/>
          <w:szCs w:val="24"/>
          <w:lang w:val="ru-RU"/>
        </w:rPr>
        <w:t>сессия</w:t>
      </w:r>
    </w:p>
    <w:p w:rsidR="008B2CC1" w:rsidRPr="009151AC" w:rsidRDefault="009151AC" w:rsidP="008B2CC1">
      <w:pPr>
        <w:rPr>
          <w:b/>
          <w:sz w:val="24"/>
          <w:szCs w:val="24"/>
          <w:lang w:val="ru-RU"/>
        </w:rPr>
      </w:pPr>
      <w:r>
        <w:rPr>
          <w:b/>
          <w:sz w:val="24"/>
          <w:szCs w:val="24"/>
          <w:lang w:val="ru-RU"/>
        </w:rPr>
        <w:t>Женева</w:t>
      </w:r>
      <w:r w:rsidR="00924E1D" w:rsidRPr="009151AC">
        <w:rPr>
          <w:b/>
          <w:sz w:val="24"/>
          <w:szCs w:val="24"/>
          <w:lang w:val="ru-RU"/>
        </w:rPr>
        <w:t xml:space="preserve">, 22 </w:t>
      </w:r>
      <w:r>
        <w:rPr>
          <w:b/>
          <w:sz w:val="24"/>
          <w:szCs w:val="24"/>
          <w:lang w:val="ru-RU"/>
        </w:rPr>
        <w:t>–</w:t>
      </w:r>
      <w:r w:rsidR="00924E1D" w:rsidRPr="009151AC">
        <w:rPr>
          <w:b/>
          <w:sz w:val="24"/>
          <w:szCs w:val="24"/>
          <w:lang w:val="ru-RU"/>
        </w:rPr>
        <w:t xml:space="preserve"> 30</w:t>
      </w:r>
      <w:r>
        <w:rPr>
          <w:b/>
          <w:sz w:val="24"/>
          <w:szCs w:val="24"/>
          <w:lang w:val="ru-RU"/>
        </w:rPr>
        <w:t xml:space="preserve"> сентября</w:t>
      </w:r>
      <w:r w:rsidR="00924E1D" w:rsidRPr="009151AC">
        <w:rPr>
          <w:b/>
          <w:sz w:val="24"/>
          <w:szCs w:val="24"/>
          <w:lang w:val="ru-RU"/>
        </w:rPr>
        <w:t xml:space="preserve"> 2014</w:t>
      </w:r>
      <w:r>
        <w:rPr>
          <w:b/>
          <w:sz w:val="24"/>
          <w:szCs w:val="24"/>
          <w:lang w:val="ru-RU"/>
        </w:rPr>
        <w:t> г.</w:t>
      </w:r>
    </w:p>
    <w:p w:rsidR="008B2CC1" w:rsidRPr="009151AC" w:rsidRDefault="008B2CC1" w:rsidP="008B2CC1">
      <w:pPr>
        <w:rPr>
          <w:lang w:val="ru-RU"/>
        </w:rPr>
      </w:pPr>
    </w:p>
    <w:p w:rsidR="008B2CC1" w:rsidRPr="009151AC" w:rsidRDefault="008B2CC1" w:rsidP="008B2CC1">
      <w:pPr>
        <w:rPr>
          <w:lang w:val="ru-RU"/>
        </w:rPr>
      </w:pPr>
    </w:p>
    <w:p w:rsidR="008B2CC1" w:rsidRPr="009151AC" w:rsidRDefault="008B2CC1" w:rsidP="008B2CC1">
      <w:pPr>
        <w:rPr>
          <w:lang w:val="ru-RU"/>
        </w:rPr>
      </w:pPr>
    </w:p>
    <w:p w:rsidR="00E93582" w:rsidRPr="00E93582" w:rsidRDefault="00E93582" w:rsidP="00E93582">
      <w:pPr>
        <w:rPr>
          <w:caps/>
          <w:sz w:val="24"/>
          <w:lang w:val="ru-RU"/>
        </w:rPr>
      </w:pPr>
      <w:bookmarkStart w:id="3" w:name="TitleOfDoc"/>
      <w:bookmarkEnd w:id="3"/>
      <w:r w:rsidRPr="00E93582">
        <w:rPr>
          <w:caps/>
          <w:sz w:val="24"/>
          <w:lang w:val="ru-RU"/>
        </w:rPr>
        <w:t>ЦЕНТР ВОИС ПО АРБИТРАЖУ И ПОСРЕДНИЧЕСТВУ, в</w:t>
      </w:r>
      <w:r>
        <w:rPr>
          <w:caps/>
          <w:sz w:val="24"/>
          <w:lang w:val="ru-RU"/>
        </w:rPr>
        <w:t xml:space="preserve">ключая </w:t>
      </w:r>
      <w:r w:rsidRPr="00E93582">
        <w:rPr>
          <w:caps/>
          <w:sz w:val="24"/>
          <w:lang w:val="ru-RU"/>
        </w:rPr>
        <w:t>доменны</w:t>
      </w:r>
      <w:r w:rsidR="009A0BE6">
        <w:rPr>
          <w:caps/>
          <w:sz w:val="24"/>
          <w:lang w:val="ru-RU"/>
        </w:rPr>
        <w:t>Е</w:t>
      </w:r>
      <w:r w:rsidRPr="00E93582">
        <w:rPr>
          <w:caps/>
          <w:sz w:val="24"/>
          <w:lang w:val="ru-RU"/>
        </w:rPr>
        <w:t xml:space="preserve"> имен</w:t>
      </w:r>
      <w:r w:rsidR="009A0BE6">
        <w:rPr>
          <w:caps/>
          <w:sz w:val="24"/>
          <w:lang w:val="ru-RU"/>
        </w:rPr>
        <w:t>а</w:t>
      </w:r>
    </w:p>
    <w:p w:rsidR="008B2CC1" w:rsidRPr="00E93582" w:rsidRDefault="008B2CC1" w:rsidP="008B2CC1">
      <w:pPr>
        <w:rPr>
          <w:lang w:val="ru-RU"/>
        </w:rPr>
      </w:pPr>
    </w:p>
    <w:p w:rsidR="008B2CC1" w:rsidRPr="00D758C0" w:rsidRDefault="00D758C0" w:rsidP="008B2CC1">
      <w:pPr>
        <w:rPr>
          <w:i/>
          <w:lang w:val="ru-RU"/>
        </w:rPr>
      </w:pPr>
      <w:bookmarkStart w:id="4" w:name="Prepared"/>
      <w:bookmarkEnd w:id="4"/>
      <w:r>
        <w:rPr>
          <w:i/>
          <w:lang w:val="ru-RU"/>
        </w:rPr>
        <w:t>Документ</w:t>
      </w:r>
      <w:r w:rsidRPr="00D758C0">
        <w:rPr>
          <w:i/>
          <w:lang w:val="ru-RU"/>
        </w:rPr>
        <w:t xml:space="preserve"> </w:t>
      </w:r>
      <w:r>
        <w:rPr>
          <w:i/>
          <w:lang w:val="ru-RU"/>
        </w:rPr>
        <w:t>подготовлен</w:t>
      </w:r>
      <w:r w:rsidRPr="00D758C0">
        <w:rPr>
          <w:i/>
          <w:lang w:val="ru-RU"/>
        </w:rPr>
        <w:t xml:space="preserve"> </w:t>
      </w:r>
      <w:r>
        <w:rPr>
          <w:i/>
          <w:lang w:val="ru-RU"/>
        </w:rPr>
        <w:t>Секретариатом</w:t>
      </w:r>
    </w:p>
    <w:p w:rsidR="00192C16" w:rsidRPr="00D758C0" w:rsidRDefault="00192C16" w:rsidP="008B2CC1">
      <w:pPr>
        <w:rPr>
          <w:i/>
          <w:lang w:val="ru-RU"/>
        </w:rPr>
      </w:pPr>
    </w:p>
    <w:p w:rsidR="00192C16" w:rsidRPr="00D758C0" w:rsidRDefault="00D758C0" w:rsidP="008658CC">
      <w:pPr>
        <w:pStyle w:val="ListParagraph"/>
        <w:numPr>
          <w:ilvl w:val="0"/>
          <w:numId w:val="10"/>
        </w:numPr>
        <w:ind w:left="0" w:firstLine="0"/>
        <w:rPr>
          <w:snapToGrid w:val="0"/>
          <w:szCs w:val="22"/>
          <w:lang w:val="ru-RU"/>
        </w:rPr>
      </w:pPr>
      <w:r w:rsidRPr="00D758C0">
        <w:rPr>
          <w:szCs w:val="22"/>
          <w:lang w:val="ru-RU"/>
        </w:rPr>
        <w:t xml:space="preserve">В настоящем документе содержится обновленная информация о деятельности Центра ВОИС по арбитражу и посредничеству («Центр») как международного ресурса </w:t>
      </w:r>
      <w:r w:rsidR="008658CC" w:rsidRPr="008658CC">
        <w:rPr>
          <w:szCs w:val="22"/>
          <w:lang w:val="ru-RU"/>
        </w:rPr>
        <w:t>эффективных с точки зрения затрат времени и средств</w:t>
      </w:r>
      <w:r w:rsidR="00053288">
        <w:rPr>
          <w:szCs w:val="22"/>
          <w:lang w:val="ru-RU"/>
        </w:rPr>
        <w:t xml:space="preserve"> альтернативных</w:t>
      </w:r>
      <w:r w:rsidR="008658CC" w:rsidRPr="008658CC">
        <w:rPr>
          <w:szCs w:val="22"/>
          <w:lang w:val="ru-RU"/>
        </w:rPr>
        <w:t xml:space="preserve"> механизмов внесудебного урегулирования споров</w:t>
      </w:r>
      <w:r w:rsidRPr="00D758C0">
        <w:rPr>
          <w:szCs w:val="22"/>
          <w:lang w:val="ru-RU"/>
        </w:rPr>
        <w:t>, касающихся интеллектуальной собственности (ИС), выступающего одновременно в качестве органа, предоставляющего экспертные услуги по правовым и организационным вопросам, и органа по рассмотрению жалоб</w:t>
      </w:r>
      <w:r w:rsidR="00192C16" w:rsidRPr="00D758C0">
        <w:rPr>
          <w:snapToGrid w:val="0"/>
          <w:szCs w:val="22"/>
          <w:lang w:val="ru-RU"/>
        </w:rPr>
        <w:t>.</w:t>
      </w:r>
      <w:r w:rsidR="00192C16" w:rsidRPr="002953D8">
        <w:rPr>
          <w:rStyle w:val="ONUMEChar"/>
          <w:szCs w:val="22"/>
          <w:vertAlign w:val="superscript"/>
        </w:rPr>
        <w:footnoteReference w:id="2"/>
      </w:r>
    </w:p>
    <w:p w:rsidR="00192C16" w:rsidRPr="00D758C0" w:rsidRDefault="00192C16" w:rsidP="00192C16">
      <w:pPr>
        <w:rPr>
          <w:snapToGrid w:val="0"/>
          <w:szCs w:val="22"/>
          <w:lang w:val="ru-RU"/>
        </w:rPr>
      </w:pPr>
    </w:p>
    <w:p w:rsidR="00192C16" w:rsidRPr="00A83545" w:rsidRDefault="00137964" w:rsidP="00EA7B9D">
      <w:pPr>
        <w:pStyle w:val="ListParagraph"/>
        <w:numPr>
          <w:ilvl w:val="0"/>
          <w:numId w:val="10"/>
        </w:numPr>
        <w:ind w:left="0" w:firstLine="0"/>
        <w:rPr>
          <w:rStyle w:val="ONUMEChar"/>
          <w:lang w:val="ru-RU"/>
        </w:rPr>
      </w:pPr>
      <w:r>
        <w:rPr>
          <w:szCs w:val="22"/>
          <w:lang w:val="ru-RU"/>
        </w:rPr>
        <w:t>Кроме того, в</w:t>
      </w:r>
      <w:r w:rsidR="00A83545" w:rsidRPr="00A83545">
        <w:rPr>
          <w:szCs w:val="22"/>
          <w:lang w:val="ru-RU"/>
        </w:rPr>
        <w:t xml:space="preserve"> настоящем документе приводится обновленная информация о деятельност</w:t>
      </w:r>
      <w:r>
        <w:rPr>
          <w:szCs w:val="22"/>
          <w:lang w:val="ru-RU"/>
        </w:rPr>
        <w:t xml:space="preserve">и ВОИС в области доменных имен, как и в предыдущем </w:t>
      </w:r>
      <w:r w:rsidR="00A83545" w:rsidRPr="00A83545">
        <w:rPr>
          <w:szCs w:val="22"/>
          <w:lang w:val="ru-RU"/>
        </w:rPr>
        <w:t>документ</w:t>
      </w:r>
      <w:r>
        <w:rPr>
          <w:szCs w:val="22"/>
          <w:lang w:val="ru-RU"/>
        </w:rPr>
        <w:t>е</w:t>
      </w:r>
      <w:r w:rsidR="00A83545" w:rsidRPr="00A83545">
        <w:rPr>
          <w:szCs w:val="22"/>
          <w:lang w:val="ru-RU"/>
        </w:rPr>
        <w:t xml:space="preserve"> </w:t>
      </w:r>
      <w:r w:rsidR="00A83545" w:rsidRPr="00A83545">
        <w:rPr>
          <w:szCs w:val="22"/>
        </w:rPr>
        <w:t>WO</w:t>
      </w:r>
      <w:r w:rsidR="00A83545" w:rsidRPr="00A83545">
        <w:rPr>
          <w:szCs w:val="22"/>
          <w:lang w:val="ru-RU"/>
        </w:rPr>
        <w:t>/</w:t>
      </w:r>
      <w:r w:rsidR="00A83545" w:rsidRPr="00A83545">
        <w:rPr>
          <w:szCs w:val="22"/>
        </w:rPr>
        <w:t>GA</w:t>
      </w:r>
      <w:r w:rsidR="00A83545" w:rsidRPr="00A83545">
        <w:rPr>
          <w:szCs w:val="22"/>
          <w:lang w:val="ru-RU"/>
        </w:rPr>
        <w:t>/4</w:t>
      </w:r>
      <w:r w:rsidR="00744DF3">
        <w:rPr>
          <w:szCs w:val="22"/>
          <w:lang w:val="ru-RU"/>
        </w:rPr>
        <w:t>3</w:t>
      </w:r>
      <w:r w:rsidR="00A83545" w:rsidRPr="00A83545">
        <w:rPr>
          <w:szCs w:val="22"/>
          <w:lang w:val="ru-RU"/>
        </w:rPr>
        <w:t>/17</w:t>
      </w:r>
      <w:r>
        <w:rPr>
          <w:szCs w:val="22"/>
          <w:lang w:val="ru-RU"/>
        </w:rPr>
        <w:t xml:space="preserve">.  Представленные сведения </w:t>
      </w:r>
      <w:r w:rsidR="00102544">
        <w:rPr>
          <w:szCs w:val="22"/>
          <w:lang w:val="ru-RU"/>
        </w:rPr>
        <w:t xml:space="preserve">посвящены </w:t>
      </w:r>
      <w:r>
        <w:rPr>
          <w:szCs w:val="22"/>
          <w:lang w:val="ru-RU"/>
        </w:rPr>
        <w:t>процедур</w:t>
      </w:r>
      <w:r w:rsidR="00102544">
        <w:rPr>
          <w:szCs w:val="22"/>
          <w:lang w:val="ru-RU"/>
        </w:rPr>
        <w:t>е</w:t>
      </w:r>
      <w:r>
        <w:rPr>
          <w:szCs w:val="22"/>
          <w:lang w:val="ru-RU"/>
        </w:rPr>
        <w:t xml:space="preserve"> </w:t>
      </w:r>
      <w:r w:rsidR="00A83545" w:rsidRPr="00A83545">
        <w:rPr>
          <w:szCs w:val="22"/>
          <w:lang w:val="ru-RU"/>
        </w:rPr>
        <w:t>рассмотрени</w:t>
      </w:r>
      <w:r>
        <w:rPr>
          <w:szCs w:val="22"/>
          <w:lang w:val="ru-RU"/>
        </w:rPr>
        <w:t>я</w:t>
      </w:r>
      <w:r w:rsidR="00A83545" w:rsidRPr="00A83545">
        <w:rPr>
          <w:szCs w:val="22"/>
          <w:lang w:val="ru-RU"/>
        </w:rPr>
        <w:t xml:space="preserve"> Центром споров в области доменных имен в рамках </w:t>
      </w:r>
      <w:r w:rsidR="00744DF3">
        <w:rPr>
          <w:szCs w:val="22"/>
          <w:lang w:val="ru-RU"/>
        </w:rPr>
        <w:t>разных стратегий</w:t>
      </w:r>
      <w:r w:rsidR="00102544">
        <w:rPr>
          <w:szCs w:val="22"/>
          <w:lang w:val="ru-RU"/>
        </w:rPr>
        <w:t xml:space="preserve"> и</w:t>
      </w:r>
      <w:r w:rsidR="00744DF3">
        <w:rPr>
          <w:szCs w:val="22"/>
          <w:lang w:val="ru-RU"/>
        </w:rPr>
        <w:t xml:space="preserve"> различны</w:t>
      </w:r>
      <w:r w:rsidR="00102544">
        <w:rPr>
          <w:szCs w:val="22"/>
          <w:lang w:val="ru-RU"/>
        </w:rPr>
        <w:t>м</w:t>
      </w:r>
      <w:r w:rsidR="00744DF3">
        <w:rPr>
          <w:szCs w:val="22"/>
          <w:lang w:val="ru-RU"/>
        </w:rPr>
        <w:t xml:space="preserve"> </w:t>
      </w:r>
      <w:r w:rsidR="00A83545" w:rsidRPr="00A83545">
        <w:rPr>
          <w:szCs w:val="22"/>
          <w:lang w:val="ru-RU"/>
        </w:rPr>
        <w:t>аспект</w:t>
      </w:r>
      <w:r w:rsidR="00102544">
        <w:rPr>
          <w:szCs w:val="22"/>
          <w:lang w:val="ru-RU"/>
        </w:rPr>
        <w:t>ам</w:t>
      </w:r>
      <w:r w:rsidR="00744DF3">
        <w:rPr>
          <w:szCs w:val="22"/>
          <w:lang w:val="ru-RU"/>
        </w:rPr>
        <w:t xml:space="preserve"> Системы доменных имен в Интернете</w:t>
      </w:r>
      <w:r w:rsidR="00A83545" w:rsidRPr="00A83545">
        <w:rPr>
          <w:szCs w:val="22"/>
          <w:lang w:val="ru-RU"/>
        </w:rPr>
        <w:t xml:space="preserve"> </w:t>
      </w:r>
      <w:r w:rsidR="00744DF3">
        <w:rPr>
          <w:szCs w:val="22"/>
          <w:lang w:val="ru-RU"/>
        </w:rPr>
        <w:t>(</w:t>
      </w:r>
      <w:r w:rsidR="00A83545" w:rsidRPr="00A83545">
        <w:rPr>
          <w:szCs w:val="22"/>
          <w:lang w:val="ru-RU"/>
        </w:rPr>
        <w:t>DNS</w:t>
      </w:r>
      <w:r w:rsidR="00744DF3">
        <w:rPr>
          <w:szCs w:val="22"/>
          <w:lang w:val="ru-RU"/>
        </w:rPr>
        <w:t>)</w:t>
      </w:r>
      <w:r>
        <w:rPr>
          <w:szCs w:val="22"/>
          <w:lang w:val="ru-RU"/>
        </w:rPr>
        <w:t>, связанны</w:t>
      </w:r>
      <w:r w:rsidR="00102544">
        <w:rPr>
          <w:szCs w:val="22"/>
          <w:lang w:val="ru-RU"/>
        </w:rPr>
        <w:t>м</w:t>
      </w:r>
      <w:r>
        <w:rPr>
          <w:szCs w:val="22"/>
          <w:lang w:val="ru-RU"/>
        </w:rPr>
        <w:t xml:space="preserve"> с этим процессом</w:t>
      </w:r>
      <w:r w:rsidR="00A83545" w:rsidRPr="00A83545">
        <w:rPr>
          <w:szCs w:val="22"/>
          <w:lang w:val="ru-RU"/>
        </w:rPr>
        <w:t>, а также некоторы</w:t>
      </w:r>
      <w:r w:rsidR="00102544">
        <w:rPr>
          <w:szCs w:val="22"/>
          <w:lang w:val="ru-RU"/>
        </w:rPr>
        <w:t>м</w:t>
      </w:r>
      <w:r w:rsidR="00A83545" w:rsidRPr="00A83545">
        <w:rPr>
          <w:szCs w:val="22"/>
          <w:lang w:val="ru-RU"/>
        </w:rPr>
        <w:t xml:space="preserve"> </w:t>
      </w:r>
      <w:r w:rsidR="00102544">
        <w:rPr>
          <w:szCs w:val="22"/>
          <w:lang w:val="ru-RU"/>
        </w:rPr>
        <w:t xml:space="preserve">стратегическим </w:t>
      </w:r>
      <w:r w:rsidR="00A83545" w:rsidRPr="00A83545">
        <w:rPr>
          <w:szCs w:val="22"/>
          <w:lang w:val="ru-RU"/>
        </w:rPr>
        <w:t>изменени</w:t>
      </w:r>
      <w:r w:rsidR="00102544">
        <w:rPr>
          <w:szCs w:val="22"/>
          <w:lang w:val="ru-RU"/>
        </w:rPr>
        <w:t>ям</w:t>
      </w:r>
      <w:r w:rsidR="00A83545" w:rsidRPr="00A83545">
        <w:rPr>
          <w:szCs w:val="22"/>
          <w:lang w:val="ru-RU"/>
        </w:rPr>
        <w:t xml:space="preserve">, </w:t>
      </w:r>
      <w:r w:rsidR="00102544">
        <w:rPr>
          <w:szCs w:val="22"/>
          <w:lang w:val="ru-RU"/>
        </w:rPr>
        <w:t xml:space="preserve">таким как создание </w:t>
      </w:r>
      <w:r w:rsidR="00A83545" w:rsidRPr="00A83545">
        <w:rPr>
          <w:szCs w:val="22"/>
          <w:lang w:val="ru-RU"/>
        </w:rPr>
        <w:t>механизм</w:t>
      </w:r>
      <w:r w:rsidR="003B4D4A">
        <w:rPr>
          <w:szCs w:val="22"/>
          <w:lang w:val="ru-RU"/>
        </w:rPr>
        <w:t>ов</w:t>
      </w:r>
      <w:r w:rsidR="00A83545" w:rsidRPr="00A83545">
        <w:rPr>
          <w:szCs w:val="22"/>
          <w:lang w:val="ru-RU"/>
        </w:rPr>
        <w:t xml:space="preserve"> охраны прав (МОП)</w:t>
      </w:r>
      <w:r w:rsidR="00102544">
        <w:rPr>
          <w:szCs w:val="22"/>
          <w:lang w:val="ru-RU"/>
        </w:rPr>
        <w:t xml:space="preserve"> </w:t>
      </w:r>
      <w:r w:rsidR="00672548">
        <w:rPr>
          <w:szCs w:val="22"/>
          <w:lang w:val="ru-RU"/>
        </w:rPr>
        <w:t xml:space="preserve">в </w:t>
      </w:r>
      <w:r w:rsidR="00102544">
        <w:rPr>
          <w:szCs w:val="22"/>
          <w:lang w:val="ru-RU"/>
        </w:rPr>
        <w:t xml:space="preserve">результате появления </w:t>
      </w:r>
      <w:r w:rsidR="00A83545" w:rsidRPr="00A83545">
        <w:rPr>
          <w:szCs w:val="22"/>
          <w:lang w:val="ru-RU"/>
        </w:rPr>
        <w:t xml:space="preserve">новых родовых доменов верхнего уровня (рДВУ), </w:t>
      </w:r>
      <w:r w:rsidR="00CF2F5D">
        <w:rPr>
          <w:szCs w:val="22"/>
          <w:lang w:val="ru-RU"/>
        </w:rPr>
        <w:t>появлени</w:t>
      </w:r>
      <w:r w:rsidR="00A82955">
        <w:rPr>
          <w:szCs w:val="22"/>
          <w:lang w:val="ru-RU"/>
        </w:rPr>
        <w:t>е</w:t>
      </w:r>
      <w:r w:rsidR="00CF2F5D">
        <w:rPr>
          <w:szCs w:val="22"/>
          <w:lang w:val="ru-RU"/>
        </w:rPr>
        <w:t xml:space="preserve"> интернационализированны</w:t>
      </w:r>
      <w:r w:rsidR="00102544">
        <w:rPr>
          <w:szCs w:val="22"/>
          <w:lang w:val="ru-RU"/>
        </w:rPr>
        <w:t>х</w:t>
      </w:r>
      <w:r w:rsidR="00CF2F5D">
        <w:rPr>
          <w:szCs w:val="22"/>
          <w:lang w:val="ru-RU"/>
        </w:rPr>
        <w:t xml:space="preserve"> </w:t>
      </w:r>
      <w:r w:rsidR="00CF2F5D" w:rsidRPr="00CF2F5D">
        <w:rPr>
          <w:szCs w:val="22"/>
          <w:lang w:val="ru-RU"/>
        </w:rPr>
        <w:t>доменны</w:t>
      </w:r>
      <w:r w:rsidR="00CF2F5D">
        <w:rPr>
          <w:szCs w:val="22"/>
          <w:lang w:val="ru-RU"/>
        </w:rPr>
        <w:t>х</w:t>
      </w:r>
      <w:r w:rsidR="00CF2F5D" w:rsidRPr="00CF2F5D">
        <w:rPr>
          <w:szCs w:val="22"/>
          <w:lang w:val="ru-RU"/>
        </w:rPr>
        <w:t xml:space="preserve"> имен</w:t>
      </w:r>
      <w:r w:rsidR="00A83545" w:rsidRPr="00A83545">
        <w:rPr>
          <w:szCs w:val="22"/>
          <w:lang w:val="ru-RU"/>
        </w:rPr>
        <w:t xml:space="preserve"> (</w:t>
      </w:r>
      <w:r w:rsidR="00CF2F5D">
        <w:rPr>
          <w:szCs w:val="22"/>
        </w:rPr>
        <w:t>IDN</w:t>
      </w:r>
      <w:r w:rsidR="00A83545" w:rsidRPr="00A83545">
        <w:rPr>
          <w:szCs w:val="22"/>
          <w:lang w:val="ru-RU"/>
        </w:rPr>
        <w:t xml:space="preserve">) </w:t>
      </w:r>
      <w:r w:rsidR="00CF2F5D">
        <w:rPr>
          <w:szCs w:val="22"/>
          <w:lang w:val="ru-RU"/>
        </w:rPr>
        <w:t xml:space="preserve">в качестве </w:t>
      </w:r>
      <w:r w:rsidR="00A83545" w:rsidRPr="00A83545">
        <w:rPr>
          <w:szCs w:val="22"/>
          <w:lang w:val="ru-RU"/>
        </w:rPr>
        <w:t>рДВУ, запланированн</w:t>
      </w:r>
      <w:r w:rsidR="00A82955">
        <w:rPr>
          <w:szCs w:val="22"/>
          <w:lang w:val="ru-RU"/>
        </w:rPr>
        <w:t>ы</w:t>
      </w:r>
      <w:r w:rsidR="00102544">
        <w:rPr>
          <w:szCs w:val="22"/>
          <w:lang w:val="ru-RU"/>
        </w:rPr>
        <w:t>й</w:t>
      </w:r>
      <w:r w:rsidR="00A83545" w:rsidRPr="00A83545">
        <w:rPr>
          <w:szCs w:val="22"/>
          <w:lang w:val="ru-RU"/>
        </w:rPr>
        <w:t xml:space="preserve"> </w:t>
      </w:r>
      <w:r w:rsidR="00672548" w:rsidRPr="00A83545">
        <w:rPr>
          <w:szCs w:val="22"/>
          <w:lang w:val="ru-RU"/>
        </w:rPr>
        <w:t>Корпораци</w:t>
      </w:r>
      <w:r w:rsidR="00672548">
        <w:rPr>
          <w:szCs w:val="22"/>
          <w:lang w:val="ru-RU"/>
        </w:rPr>
        <w:t>ей</w:t>
      </w:r>
      <w:r w:rsidR="00672548" w:rsidRPr="00A83545">
        <w:rPr>
          <w:szCs w:val="22"/>
          <w:lang w:val="ru-RU"/>
        </w:rPr>
        <w:t xml:space="preserve"> по регистрации имен и номеров в Интернете (</w:t>
      </w:r>
      <w:r w:rsidR="00672548">
        <w:rPr>
          <w:szCs w:val="22"/>
        </w:rPr>
        <w:t>ICANN</w:t>
      </w:r>
      <w:r w:rsidR="00672548" w:rsidRPr="00A83545">
        <w:rPr>
          <w:szCs w:val="22"/>
          <w:lang w:val="ru-RU"/>
        </w:rPr>
        <w:t xml:space="preserve">) </w:t>
      </w:r>
      <w:r w:rsidR="00A83545" w:rsidRPr="00A83545">
        <w:rPr>
          <w:szCs w:val="22"/>
          <w:lang w:val="ru-RU"/>
        </w:rPr>
        <w:t>будущ</w:t>
      </w:r>
      <w:r w:rsidR="006578E9">
        <w:rPr>
          <w:szCs w:val="22"/>
          <w:lang w:val="ru-RU"/>
        </w:rPr>
        <w:t>и</w:t>
      </w:r>
      <w:r w:rsidR="00102544">
        <w:rPr>
          <w:szCs w:val="22"/>
          <w:lang w:val="ru-RU"/>
        </w:rPr>
        <w:t xml:space="preserve">й </w:t>
      </w:r>
      <w:r w:rsidR="00CF2F5D">
        <w:rPr>
          <w:szCs w:val="22"/>
          <w:lang w:val="ru-RU"/>
        </w:rPr>
        <w:t xml:space="preserve">обзор </w:t>
      </w:r>
      <w:r w:rsidR="00CF2F5D" w:rsidRPr="00A83545">
        <w:rPr>
          <w:szCs w:val="22"/>
          <w:lang w:val="ru-RU"/>
        </w:rPr>
        <w:t>Единой политики урегулирования споров в области доменных имен (ЕПУС)</w:t>
      </w:r>
      <w:r w:rsidR="006578E9">
        <w:rPr>
          <w:szCs w:val="22"/>
          <w:lang w:val="ru-RU"/>
        </w:rPr>
        <w:t>, а также</w:t>
      </w:r>
      <w:r w:rsidR="00A83545" w:rsidRPr="00A83545">
        <w:rPr>
          <w:szCs w:val="22"/>
          <w:lang w:val="ru-RU"/>
        </w:rPr>
        <w:t xml:space="preserve"> </w:t>
      </w:r>
      <w:r w:rsidR="00672548">
        <w:rPr>
          <w:szCs w:val="22"/>
          <w:lang w:val="ru-RU"/>
        </w:rPr>
        <w:t>ход</w:t>
      </w:r>
      <w:r w:rsidR="00102544">
        <w:rPr>
          <w:szCs w:val="22"/>
          <w:lang w:val="ru-RU"/>
        </w:rPr>
        <w:t>у</w:t>
      </w:r>
      <w:r w:rsidR="00672548">
        <w:rPr>
          <w:szCs w:val="22"/>
          <w:lang w:val="ru-RU"/>
        </w:rPr>
        <w:t xml:space="preserve"> выполнения </w:t>
      </w:r>
      <w:r w:rsidR="00A83545" w:rsidRPr="00A83545">
        <w:rPr>
          <w:szCs w:val="22"/>
          <w:lang w:val="ru-RU"/>
        </w:rPr>
        <w:t>рекомендаций, вынесенных государствами</w:t>
      </w:r>
      <w:r w:rsidR="00102544">
        <w:rPr>
          <w:szCs w:val="22"/>
          <w:lang w:val="ru-RU"/>
        </w:rPr>
        <w:t>-</w:t>
      </w:r>
      <w:r w:rsidR="00A83545" w:rsidRPr="00A83545">
        <w:rPr>
          <w:szCs w:val="22"/>
          <w:lang w:val="ru-RU"/>
        </w:rPr>
        <w:t xml:space="preserve">членами </w:t>
      </w:r>
      <w:r w:rsidR="00672548">
        <w:rPr>
          <w:szCs w:val="22"/>
          <w:lang w:val="ru-RU"/>
        </w:rPr>
        <w:t>Организации</w:t>
      </w:r>
      <w:r w:rsidR="00A83545" w:rsidRPr="00A83545">
        <w:rPr>
          <w:szCs w:val="22"/>
          <w:lang w:val="ru-RU"/>
        </w:rPr>
        <w:t xml:space="preserve"> в контексте </w:t>
      </w:r>
      <w:r w:rsidR="00102544">
        <w:rPr>
          <w:szCs w:val="22"/>
          <w:lang w:val="ru-RU"/>
        </w:rPr>
        <w:t>В</w:t>
      </w:r>
      <w:r w:rsidR="00A83545" w:rsidRPr="00A83545">
        <w:rPr>
          <w:szCs w:val="22"/>
          <w:lang w:val="ru-RU"/>
        </w:rPr>
        <w:t>торого процесса</w:t>
      </w:r>
      <w:r w:rsidR="00672548">
        <w:rPr>
          <w:szCs w:val="22"/>
          <w:lang w:val="ru-RU"/>
        </w:rPr>
        <w:t xml:space="preserve"> ВОИС</w:t>
      </w:r>
      <w:r w:rsidR="00A83545" w:rsidRPr="00A83545">
        <w:rPr>
          <w:szCs w:val="22"/>
          <w:lang w:val="ru-RU"/>
        </w:rPr>
        <w:t xml:space="preserve"> по доменным именам в Интернете</w:t>
      </w:r>
      <w:r w:rsidR="00192C16" w:rsidRPr="00A83545">
        <w:rPr>
          <w:rStyle w:val="ONUMEChar"/>
          <w:lang w:val="ru-RU"/>
        </w:rPr>
        <w:t>.</w:t>
      </w:r>
    </w:p>
    <w:p w:rsidR="00715857" w:rsidRDefault="00715857">
      <w:pPr>
        <w:rPr>
          <w:rStyle w:val="ONUMEChar"/>
          <w:lang w:val="ru-RU"/>
        </w:rPr>
      </w:pPr>
      <w:r>
        <w:rPr>
          <w:rStyle w:val="ONUMEChar"/>
          <w:lang w:val="ru-RU"/>
        </w:rPr>
        <w:br w:type="page"/>
      </w:r>
    </w:p>
    <w:p w:rsidR="00192C16" w:rsidRPr="0041616F" w:rsidRDefault="0041616F" w:rsidP="00192C16">
      <w:pPr>
        <w:pStyle w:val="Heading1"/>
        <w:keepNext w:val="0"/>
        <w:spacing w:before="0" w:after="0"/>
        <w:ind w:left="550" w:hanging="550"/>
        <w:rPr>
          <w:lang w:val="ru-RU"/>
        </w:rPr>
      </w:pPr>
      <w:r w:rsidRPr="0041616F">
        <w:rPr>
          <w:lang w:val="ru-RU"/>
        </w:rPr>
        <w:lastRenderedPageBreak/>
        <w:t>АРБИТРАЖ И ПОСРЕДНИЧЕСТВО ПРИ УРЕГУЛИРОВАНИИ СПОРОВ, КАСАЮЩИХСЯ И</w:t>
      </w:r>
      <w:r w:rsidR="00BA0C04">
        <w:rPr>
          <w:lang w:val="ru-RU"/>
        </w:rPr>
        <w:t>С</w:t>
      </w:r>
    </w:p>
    <w:p w:rsidR="00192C16" w:rsidRPr="0041616F" w:rsidRDefault="0041616F" w:rsidP="00192C16">
      <w:pPr>
        <w:pStyle w:val="Heading2"/>
        <w:keepNext w:val="0"/>
        <w:rPr>
          <w:szCs w:val="22"/>
          <w:lang w:val="ru-RU"/>
        </w:rPr>
      </w:pPr>
      <w:r w:rsidRPr="0041616F">
        <w:rPr>
          <w:szCs w:val="22"/>
          <w:lang w:val="ru-RU"/>
        </w:rPr>
        <w:t>РАССМОТРЕНИЕ СПОРОВ С ПРИМЕНЕНИЕМ АРБИТРАЖА И ПОСРЕДНИЧЕСТВА</w:t>
      </w:r>
    </w:p>
    <w:p w:rsidR="00192C16" w:rsidRPr="0041616F" w:rsidRDefault="00192C16" w:rsidP="00192C16">
      <w:pPr>
        <w:jc w:val="both"/>
        <w:rPr>
          <w:snapToGrid w:val="0"/>
          <w:sz w:val="20"/>
          <w:lang w:val="ru-RU"/>
        </w:rPr>
      </w:pPr>
    </w:p>
    <w:p w:rsidR="00192C16" w:rsidRPr="00C65A95" w:rsidRDefault="00C65A95" w:rsidP="00EA7B9D">
      <w:pPr>
        <w:pStyle w:val="ListParagraph"/>
        <w:numPr>
          <w:ilvl w:val="0"/>
          <w:numId w:val="10"/>
        </w:numPr>
        <w:ind w:left="0" w:firstLine="0"/>
        <w:rPr>
          <w:lang w:val="ru-RU"/>
        </w:rPr>
      </w:pPr>
      <w:r w:rsidRPr="00C65A95">
        <w:rPr>
          <w:lang w:val="ru-RU"/>
        </w:rPr>
        <w:t xml:space="preserve">Центр </w:t>
      </w:r>
      <w:r>
        <w:rPr>
          <w:lang w:val="ru-RU"/>
        </w:rPr>
        <w:t>продолжил работу</w:t>
      </w:r>
      <w:r w:rsidR="00AA53DE">
        <w:rPr>
          <w:lang w:val="ru-RU"/>
        </w:rPr>
        <w:t xml:space="preserve"> по обеспечению оптимального использования </w:t>
      </w:r>
      <w:r w:rsidRPr="00C65A95">
        <w:rPr>
          <w:lang w:val="ru-RU"/>
        </w:rPr>
        <w:t>процедур посредничества и арбитража для удовлетворения потребност</w:t>
      </w:r>
      <w:r>
        <w:rPr>
          <w:lang w:val="ru-RU"/>
        </w:rPr>
        <w:t>ей</w:t>
      </w:r>
      <w:r w:rsidRPr="00C65A95">
        <w:rPr>
          <w:lang w:val="ru-RU"/>
        </w:rPr>
        <w:t xml:space="preserve"> владельцев прав ИС в своевременн</w:t>
      </w:r>
      <w:r>
        <w:rPr>
          <w:lang w:val="ru-RU"/>
        </w:rPr>
        <w:t>ом</w:t>
      </w:r>
      <w:r w:rsidRPr="00C65A95">
        <w:rPr>
          <w:lang w:val="ru-RU"/>
        </w:rPr>
        <w:t xml:space="preserve"> и экономичн</w:t>
      </w:r>
      <w:r>
        <w:rPr>
          <w:lang w:val="ru-RU"/>
        </w:rPr>
        <w:t>ом</w:t>
      </w:r>
      <w:r w:rsidRPr="00C65A95">
        <w:rPr>
          <w:lang w:val="ru-RU"/>
        </w:rPr>
        <w:t xml:space="preserve"> урегулировани</w:t>
      </w:r>
      <w:r>
        <w:rPr>
          <w:lang w:val="ru-RU"/>
        </w:rPr>
        <w:t>и</w:t>
      </w:r>
      <w:r w:rsidRPr="00C65A95">
        <w:rPr>
          <w:lang w:val="ru-RU"/>
        </w:rPr>
        <w:t xml:space="preserve"> споров в отношении </w:t>
      </w:r>
      <w:r w:rsidR="00AA53DE">
        <w:rPr>
          <w:lang w:val="ru-RU"/>
        </w:rPr>
        <w:t xml:space="preserve">своих </w:t>
      </w:r>
      <w:r w:rsidRPr="00C65A95">
        <w:rPr>
          <w:lang w:val="ru-RU"/>
        </w:rPr>
        <w:t>прав.  Главны</w:t>
      </w:r>
      <w:r>
        <w:rPr>
          <w:lang w:val="ru-RU"/>
        </w:rPr>
        <w:t>м</w:t>
      </w:r>
      <w:r w:rsidRPr="00C65A95">
        <w:rPr>
          <w:lang w:val="ru-RU"/>
        </w:rPr>
        <w:t xml:space="preserve"> элемент</w:t>
      </w:r>
      <w:r>
        <w:rPr>
          <w:lang w:val="ru-RU"/>
        </w:rPr>
        <w:t>ом</w:t>
      </w:r>
      <w:r w:rsidRPr="00C65A95">
        <w:rPr>
          <w:lang w:val="ru-RU"/>
        </w:rPr>
        <w:t xml:space="preserve"> таких усилий</w:t>
      </w:r>
      <w:r>
        <w:rPr>
          <w:lang w:val="ru-RU"/>
        </w:rPr>
        <w:t xml:space="preserve"> является</w:t>
      </w:r>
      <w:r w:rsidRPr="00C65A95">
        <w:rPr>
          <w:lang w:val="ru-RU"/>
        </w:rPr>
        <w:t xml:space="preserve"> к</w:t>
      </w:r>
      <w:r>
        <w:rPr>
          <w:lang w:val="ru-RU"/>
        </w:rPr>
        <w:t>онтроль качества</w:t>
      </w:r>
      <w:r w:rsidRPr="00C65A95">
        <w:rPr>
          <w:lang w:val="ru-RU"/>
        </w:rPr>
        <w:t xml:space="preserve"> и разрешение споров с применением </w:t>
      </w:r>
      <w:r>
        <w:rPr>
          <w:lang w:val="ru-RU"/>
        </w:rPr>
        <w:t xml:space="preserve">указанных процедур, что </w:t>
      </w:r>
      <w:r w:rsidRPr="00C65A95">
        <w:rPr>
          <w:lang w:val="ru-RU"/>
        </w:rPr>
        <w:t xml:space="preserve">требует </w:t>
      </w:r>
      <w:r>
        <w:rPr>
          <w:lang w:val="ru-RU"/>
        </w:rPr>
        <w:t>под</w:t>
      </w:r>
      <w:r w:rsidRPr="00C65A95">
        <w:rPr>
          <w:lang w:val="ru-RU"/>
        </w:rPr>
        <w:t>готов</w:t>
      </w:r>
      <w:r>
        <w:rPr>
          <w:lang w:val="ru-RU"/>
        </w:rPr>
        <w:t>ки</w:t>
      </w:r>
      <w:r w:rsidRPr="00C65A95">
        <w:rPr>
          <w:vertAlign w:val="superscript"/>
        </w:rPr>
        <w:footnoteReference w:id="3"/>
      </w:r>
      <w:r w:rsidRPr="00C65A95">
        <w:rPr>
          <w:lang w:val="ru-RU"/>
        </w:rPr>
        <w:t xml:space="preserve"> и назнач</w:t>
      </w:r>
      <w:r>
        <w:rPr>
          <w:lang w:val="ru-RU"/>
        </w:rPr>
        <w:t xml:space="preserve">ения </w:t>
      </w:r>
      <w:r w:rsidRPr="00C65A95">
        <w:rPr>
          <w:lang w:val="ru-RU"/>
        </w:rPr>
        <w:t xml:space="preserve">квалифицированных арбитров и посредников, </w:t>
      </w:r>
      <w:r w:rsidR="00261AC0">
        <w:rPr>
          <w:lang w:val="ru-RU"/>
        </w:rPr>
        <w:t xml:space="preserve">наличия работоспособной современной </w:t>
      </w:r>
      <w:r w:rsidRPr="00C65A95">
        <w:rPr>
          <w:lang w:val="ru-RU"/>
        </w:rPr>
        <w:t>инфраструктур</w:t>
      </w:r>
      <w:r w:rsidR="00261AC0">
        <w:rPr>
          <w:lang w:val="ru-RU"/>
        </w:rPr>
        <w:t>ы</w:t>
      </w:r>
      <w:r w:rsidRPr="00C65A95">
        <w:rPr>
          <w:lang w:val="ru-RU"/>
        </w:rPr>
        <w:t xml:space="preserve"> </w:t>
      </w:r>
      <w:r w:rsidR="00261AC0">
        <w:rPr>
          <w:lang w:val="ru-RU"/>
        </w:rPr>
        <w:t xml:space="preserve">для </w:t>
      </w:r>
      <w:r w:rsidRPr="00C65A95">
        <w:rPr>
          <w:lang w:val="ru-RU"/>
        </w:rPr>
        <w:t xml:space="preserve">рассмотрения споров, в том числе за счет использования информационных технологий, таких как </w:t>
      </w:r>
      <w:r w:rsidR="001944AA">
        <w:rPr>
          <w:lang w:val="ru-RU"/>
        </w:rPr>
        <w:t>эл</w:t>
      </w:r>
      <w:r w:rsidRPr="00C65A95">
        <w:rPr>
          <w:lang w:val="ru-RU"/>
        </w:rPr>
        <w:t>ектронный модуль ВОИС для рассмотрения споров (</w:t>
      </w:r>
      <w:r w:rsidRPr="00C65A95">
        <w:t>ECAF</w:t>
      </w:r>
      <w:r w:rsidRPr="00C65A95">
        <w:rPr>
          <w:lang w:val="ru-RU"/>
        </w:rPr>
        <w:t>)</w:t>
      </w:r>
      <w:r w:rsidRPr="00C65A95">
        <w:rPr>
          <w:vertAlign w:val="superscript"/>
          <w:lang w:val="ru-RU"/>
        </w:rPr>
        <w:footnoteReference w:id="4"/>
      </w:r>
      <w:r w:rsidRPr="00C65A95">
        <w:rPr>
          <w:lang w:val="ru-RU"/>
        </w:rPr>
        <w:t>, и активно</w:t>
      </w:r>
      <w:r w:rsidR="00CD4C64">
        <w:rPr>
          <w:lang w:val="ru-RU"/>
        </w:rPr>
        <w:t>го</w:t>
      </w:r>
      <w:r w:rsidRPr="00C65A95">
        <w:rPr>
          <w:lang w:val="ru-RU"/>
        </w:rPr>
        <w:t xml:space="preserve"> управл</w:t>
      </w:r>
      <w:r w:rsidR="00CD4C64">
        <w:rPr>
          <w:lang w:val="ru-RU"/>
        </w:rPr>
        <w:t>ения</w:t>
      </w:r>
      <w:r w:rsidRPr="00C65A95">
        <w:rPr>
          <w:lang w:val="ru-RU"/>
        </w:rPr>
        <w:t xml:space="preserve"> процессом рассмотрения жалоб, поступающих в ВОИС, в том числе путем оказания поддержки назначенным </w:t>
      </w:r>
      <w:r w:rsidRPr="009D3244">
        <w:rPr>
          <w:lang w:val="ru-RU"/>
        </w:rPr>
        <w:t>нейтральным с</w:t>
      </w:r>
      <w:r w:rsidR="009D3244" w:rsidRPr="009D3244">
        <w:rPr>
          <w:lang w:val="ru-RU"/>
        </w:rPr>
        <w:t>торонам</w:t>
      </w:r>
      <w:r w:rsidRPr="00C65A95">
        <w:rPr>
          <w:lang w:val="ru-RU"/>
        </w:rPr>
        <w:t xml:space="preserve">.  </w:t>
      </w:r>
      <w:r w:rsidR="00AA53DE">
        <w:rPr>
          <w:lang w:val="ru-RU"/>
        </w:rPr>
        <w:t>Жалобы, поданные в ВОИС в</w:t>
      </w:r>
      <w:r w:rsidRPr="00C65A95">
        <w:rPr>
          <w:lang w:val="ru-RU"/>
        </w:rPr>
        <w:t xml:space="preserve"> </w:t>
      </w:r>
      <w:r w:rsidR="0058340D">
        <w:rPr>
          <w:lang w:val="ru-RU"/>
        </w:rPr>
        <w:t>прошлом году</w:t>
      </w:r>
      <w:r w:rsidR="00AA53DE">
        <w:rPr>
          <w:lang w:val="ru-RU"/>
        </w:rPr>
        <w:t>,</w:t>
      </w:r>
      <w:r w:rsidRPr="00C65A95">
        <w:rPr>
          <w:lang w:val="ru-RU"/>
        </w:rPr>
        <w:t xml:space="preserve"> </w:t>
      </w:r>
      <w:r w:rsidR="00AA53DE">
        <w:rPr>
          <w:lang w:val="ru-RU"/>
        </w:rPr>
        <w:t xml:space="preserve">касались </w:t>
      </w:r>
      <w:r w:rsidRPr="00C65A95">
        <w:rPr>
          <w:lang w:val="ru-RU"/>
        </w:rPr>
        <w:t>патент</w:t>
      </w:r>
      <w:r w:rsidR="00AA53DE">
        <w:rPr>
          <w:lang w:val="ru-RU"/>
        </w:rPr>
        <w:t>ов</w:t>
      </w:r>
      <w:r w:rsidRPr="00C65A95">
        <w:rPr>
          <w:lang w:val="ru-RU"/>
        </w:rPr>
        <w:t>, товарных знаков, программного обеспечения</w:t>
      </w:r>
      <w:r w:rsidR="0058340D">
        <w:rPr>
          <w:lang w:val="ru-RU"/>
        </w:rPr>
        <w:t xml:space="preserve"> и научно-исследовательских и опытно-конструкторских разработок (НИОКР) и были </w:t>
      </w:r>
      <w:r w:rsidRPr="00C65A95">
        <w:rPr>
          <w:lang w:val="ru-RU"/>
        </w:rPr>
        <w:t>направле</w:t>
      </w:r>
      <w:r w:rsidR="0058340D">
        <w:rPr>
          <w:lang w:val="ru-RU"/>
        </w:rPr>
        <w:t xml:space="preserve">ны </w:t>
      </w:r>
      <w:r w:rsidRPr="00C65A95">
        <w:rPr>
          <w:lang w:val="ru-RU"/>
        </w:rPr>
        <w:t xml:space="preserve">сторонами в Центр на основании ранее </w:t>
      </w:r>
      <w:r w:rsidR="009A057A">
        <w:rPr>
          <w:lang w:val="ru-RU"/>
        </w:rPr>
        <w:t xml:space="preserve">согласованных </w:t>
      </w:r>
      <w:r w:rsidR="0058340D">
        <w:rPr>
          <w:lang w:val="ru-RU"/>
        </w:rPr>
        <w:t xml:space="preserve">условий </w:t>
      </w:r>
      <w:r w:rsidR="009A057A">
        <w:rPr>
          <w:lang w:val="ru-RU"/>
        </w:rPr>
        <w:t xml:space="preserve">контракта </w:t>
      </w:r>
      <w:r w:rsidRPr="00C65A95">
        <w:rPr>
          <w:lang w:val="ru-RU"/>
        </w:rPr>
        <w:t xml:space="preserve">и </w:t>
      </w:r>
      <w:r w:rsidR="009A057A">
        <w:rPr>
          <w:lang w:val="ru-RU"/>
        </w:rPr>
        <w:t xml:space="preserve">договоренности </w:t>
      </w:r>
      <w:r w:rsidRPr="00C65A95">
        <w:rPr>
          <w:lang w:val="ru-RU"/>
        </w:rPr>
        <w:t>о передаче</w:t>
      </w:r>
      <w:r w:rsidR="0058340D">
        <w:rPr>
          <w:lang w:val="ru-RU"/>
        </w:rPr>
        <w:t xml:space="preserve"> спора в арбитраж</w:t>
      </w:r>
      <w:r w:rsidR="00192C16" w:rsidRPr="00C65A95">
        <w:rPr>
          <w:lang w:val="ru-RU"/>
        </w:rPr>
        <w:t>.</w:t>
      </w:r>
    </w:p>
    <w:p w:rsidR="00192C16" w:rsidRPr="00511D38" w:rsidRDefault="00511D38" w:rsidP="00511D38">
      <w:pPr>
        <w:pStyle w:val="Heading2"/>
        <w:rPr>
          <w:lang w:val="ru-RU"/>
        </w:rPr>
      </w:pPr>
      <w:r>
        <w:rPr>
          <w:lang w:val="ru-RU"/>
        </w:rPr>
        <w:t>Новая</w:t>
      </w:r>
      <w:r w:rsidRPr="00511D38">
        <w:rPr>
          <w:lang w:val="ru-RU"/>
        </w:rPr>
        <w:t xml:space="preserve"> </w:t>
      </w:r>
      <w:r>
        <w:rPr>
          <w:lang w:val="ru-RU"/>
        </w:rPr>
        <w:t>редакция</w:t>
      </w:r>
      <w:r w:rsidRPr="00511D38">
        <w:rPr>
          <w:lang w:val="ru-RU"/>
        </w:rPr>
        <w:t xml:space="preserve"> Правил ВОИС о</w:t>
      </w:r>
      <w:r w:rsidR="00B63790">
        <w:rPr>
          <w:lang w:val="ru-RU"/>
        </w:rPr>
        <w:t xml:space="preserve"> посредничестве, </w:t>
      </w:r>
      <w:r w:rsidRPr="00511D38">
        <w:rPr>
          <w:lang w:val="ru-RU"/>
        </w:rPr>
        <w:t>арбитраже</w:t>
      </w:r>
      <w:r w:rsidR="00F25A3A">
        <w:rPr>
          <w:lang w:val="ru-RU"/>
        </w:rPr>
        <w:t xml:space="preserve"> </w:t>
      </w:r>
      <w:r w:rsidRPr="00511D38">
        <w:rPr>
          <w:lang w:val="ru-RU"/>
        </w:rPr>
        <w:t>и ускоренном арбитраже</w:t>
      </w:r>
    </w:p>
    <w:p w:rsidR="00192C16" w:rsidRPr="00511D38" w:rsidRDefault="00192C16" w:rsidP="00192C16">
      <w:pPr>
        <w:pStyle w:val="Heading3"/>
        <w:spacing w:before="0" w:after="0"/>
        <w:rPr>
          <w:szCs w:val="22"/>
          <w:lang w:val="ru-RU"/>
        </w:rPr>
      </w:pPr>
    </w:p>
    <w:p w:rsidR="00192C16" w:rsidRPr="003D20D5" w:rsidRDefault="00B63790" w:rsidP="001D5E5E">
      <w:pPr>
        <w:pStyle w:val="ListParagraph"/>
        <w:numPr>
          <w:ilvl w:val="0"/>
          <w:numId w:val="10"/>
        </w:numPr>
        <w:ind w:left="0" w:firstLine="0"/>
        <w:rPr>
          <w:lang w:val="ru-RU"/>
        </w:rPr>
      </w:pPr>
      <w:r>
        <w:rPr>
          <w:lang w:val="ru-RU"/>
        </w:rPr>
        <w:t>В</w:t>
      </w:r>
      <w:r w:rsidRPr="00F25A3A">
        <w:rPr>
          <w:lang w:val="ru-RU"/>
        </w:rPr>
        <w:t xml:space="preserve"> </w:t>
      </w:r>
      <w:r w:rsidR="00192C16" w:rsidRPr="00F25A3A">
        <w:rPr>
          <w:lang w:val="ru-RU"/>
        </w:rPr>
        <w:t>2013</w:t>
      </w:r>
      <w:r w:rsidRPr="00B63790">
        <w:t> </w:t>
      </w:r>
      <w:r>
        <w:rPr>
          <w:lang w:val="ru-RU"/>
        </w:rPr>
        <w:t>г</w:t>
      </w:r>
      <w:r w:rsidRPr="00F25A3A">
        <w:rPr>
          <w:lang w:val="ru-RU"/>
        </w:rPr>
        <w:t xml:space="preserve">. </w:t>
      </w:r>
      <w:r>
        <w:rPr>
          <w:lang w:val="ru-RU"/>
        </w:rPr>
        <w:t>Центр</w:t>
      </w:r>
      <w:r w:rsidRPr="00F25A3A">
        <w:rPr>
          <w:lang w:val="ru-RU"/>
        </w:rPr>
        <w:t xml:space="preserve"> </w:t>
      </w:r>
      <w:r>
        <w:rPr>
          <w:lang w:val="ru-RU"/>
        </w:rPr>
        <w:t>завершил</w:t>
      </w:r>
      <w:r w:rsidRPr="00F25A3A">
        <w:rPr>
          <w:lang w:val="ru-RU"/>
        </w:rPr>
        <w:t xml:space="preserve"> </w:t>
      </w:r>
      <w:r>
        <w:rPr>
          <w:lang w:val="ru-RU"/>
        </w:rPr>
        <w:t>работу</w:t>
      </w:r>
      <w:r w:rsidRPr="00F25A3A">
        <w:rPr>
          <w:lang w:val="ru-RU"/>
        </w:rPr>
        <w:t xml:space="preserve"> </w:t>
      </w:r>
      <w:r>
        <w:rPr>
          <w:lang w:val="ru-RU"/>
        </w:rPr>
        <w:t>над</w:t>
      </w:r>
      <w:r w:rsidRPr="00F25A3A">
        <w:rPr>
          <w:lang w:val="ru-RU"/>
        </w:rPr>
        <w:t xml:space="preserve"> </w:t>
      </w:r>
      <w:r>
        <w:rPr>
          <w:lang w:val="ru-RU"/>
        </w:rPr>
        <w:t>новой</w:t>
      </w:r>
      <w:r w:rsidRPr="00F25A3A">
        <w:rPr>
          <w:lang w:val="ru-RU"/>
        </w:rPr>
        <w:t xml:space="preserve"> </w:t>
      </w:r>
      <w:r>
        <w:rPr>
          <w:lang w:val="ru-RU"/>
        </w:rPr>
        <w:t>версией</w:t>
      </w:r>
      <w:r w:rsidRPr="00F25A3A">
        <w:rPr>
          <w:lang w:val="ru-RU"/>
        </w:rPr>
        <w:t xml:space="preserve"> </w:t>
      </w:r>
      <w:r>
        <w:rPr>
          <w:lang w:val="ru-RU"/>
        </w:rPr>
        <w:t>Правил</w:t>
      </w:r>
      <w:r w:rsidRPr="00F25A3A">
        <w:rPr>
          <w:lang w:val="ru-RU"/>
        </w:rPr>
        <w:t xml:space="preserve"> </w:t>
      </w:r>
      <w:r>
        <w:rPr>
          <w:lang w:val="ru-RU"/>
        </w:rPr>
        <w:t>ВОИС</w:t>
      </w:r>
      <w:r w:rsidRPr="00F25A3A">
        <w:rPr>
          <w:lang w:val="ru-RU"/>
        </w:rPr>
        <w:t xml:space="preserve"> </w:t>
      </w:r>
      <w:r>
        <w:rPr>
          <w:lang w:val="ru-RU"/>
        </w:rPr>
        <w:t>о</w:t>
      </w:r>
      <w:r w:rsidR="00F25A3A" w:rsidRPr="00F25A3A">
        <w:rPr>
          <w:lang w:val="ru-RU"/>
        </w:rPr>
        <w:t xml:space="preserve"> </w:t>
      </w:r>
      <w:r w:rsidR="00F25A3A">
        <w:rPr>
          <w:lang w:val="ru-RU"/>
        </w:rPr>
        <w:t>посредничестве, арбитраже и ускоренном арбитраже («Правила ВОИС»</w:t>
      </w:r>
      <w:r w:rsidR="00192C16" w:rsidRPr="00F25A3A">
        <w:rPr>
          <w:lang w:val="ru-RU"/>
        </w:rPr>
        <w:t>).</w:t>
      </w:r>
      <w:r w:rsidR="00192C16">
        <w:rPr>
          <w:rStyle w:val="FootnoteReference"/>
        </w:rPr>
        <w:footnoteReference w:id="5"/>
      </w:r>
      <w:r w:rsidR="00192C16" w:rsidRPr="00F25A3A">
        <w:rPr>
          <w:lang w:val="ru-RU"/>
        </w:rPr>
        <w:t xml:space="preserve">  </w:t>
      </w:r>
      <w:r w:rsidR="00F25A3A">
        <w:rPr>
          <w:lang w:val="ru-RU"/>
        </w:rPr>
        <w:t>Пересмотренная</w:t>
      </w:r>
      <w:r w:rsidR="00F25A3A" w:rsidRPr="00F25A3A">
        <w:rPr>
          <w:lang w:val="ru-RU"/>
        </w:rPr>
        <w:t xml:space="preserve"> </w:t>
      </w:r>
      <w:r w:rsidR="00F25A3A">
        <w:rPr>
          <w:lang w:val="ru-RU"/>
        </w:rPr>
        <w:t>версия</w:t>
      </w:r>
      <w:r w:rsidR="00F25A3A" w:rsidRPr="00F25A3A">
        <w:rPr>
          <w:lang w:val="ru-RU"/>
        </w:rPr>
        <w:t xml:space="preserve"> </w:t>
      </w:r>
      <w:r w:rsidR="00F25A3A">
        <w:rPr>
          <w:lang w:val="ru-RU"/>
        </w:rPr>
        <w:t>Правил</w:t>
      </w:r>
      <w:r w:rsidR="00F25A3A" w:rsidRPr="00F25A3A">
        <w:rPr>
          <w:lang w:val="ru-RU"/>
        </w:rPr>
        <w:t xml:space="preserve"> </w:t>
      </w:r>
      <w:r w:rsidR="00F25A3A">
        <w:rPr>
          <w:lang w:val="ru-RU"/>
        </w:rPr>
        <w:t>ВОИС</w:t>
      </w:r>
      <w:r w:rsidR="00F25A3A" w:rsidRPr="00F25A3A">
        <w:rPr>
          <w:lang w:val="ru-RU"/>
        </w:rPr>
        <w:t>, в основу котор</w:t>
      </w:r>
      <w:r w:rsidR="00E90CBE">
        <w:rPr>
          <w:lang w:val="ru-RU"/>
        </w:rPr>
        <w:t>ой</w:t>
      </w:r>
      <w:r w:rsidR="00F25A3A" w:rsidRPr="00F25A3A">
        <w:rPr>
          <w:lang w:val="ru-RU"/>
        </w:rPr>
        <w:t xml:space="preserve"> легли практические наработки Организации и фактор глобальной эволюции практики</w:t>
      </w:r>
      <w:r w:rsidR="00F25A3A">
        <w:rPr>
          <w:lang w:val="ru-RU"/>
        </w:rPr>
        <w:t xml:space="preserve"> альтернативного урегулирования споров</w:t>
      </w:r>
      <w:r w:rsidR="00F25A3A" w:rsidRPr="00F25A3A">
        <w:rPr>
          <w:lang w:val="ru-RU"/>
        </w:rPr>
        <w:t xml:space="preserve"> </w:t>
      </w:r>
      <w:r w:rsidR="00F25A3A">
        <w:rPr>
          <w:lang w:val="ru-RU"/>
        </w:rPr>
        <w:t>(</w:t>
      </w:r>
      <w:r w:rsidR="00F25A3A" w:rsidRPr="00F25A3A">
        <w:rPr>
          <w:lang w:val="ru-RU"/>
        </w:rPr>
        <w:t>АУС</w:t>
      </w:r>
      <w:r w:rsidR="00F25A3A">
        <w:rPr>
          <w:lang w:val="ru-RU"/>
        </w:rPr>
        <w:t xml:space="preserve">), а также твердое намерение Центра </w:t>
      </w:r>
      <w:r w:rsidR="00E90CBE">
        <w:rPr>
          <w:lang w:val="ru-RU"/>
        </w:rPr>
        <w:t xml:space="preserve">обеспечить эффективное разбирательство </w:t>
      </w:r>
      <w:r w:rsidR="00544E68">
        <w:rPr>
          <w:lang w:val="ru-RU"/>
        </w:rPr>
        <w:t xml:space="preserve">на основе </w:t>
      </w:r>
      <w:r w:rsidR="00E90CBE">
        <w:rPr>
          <w:lang w:val="ru-RU"/>
        </w:rPr>
        <w:t>указанных Правил, включает несколько нов</w:t>
      </w:r>
      <w:r w:rsidR="00544E68">
        <w:rPr>
          <w:lang w:val="ru-RU"/>
        </w:rPr>
        <w:t>ых положений</w:t>
      </w:r>
      <w:r w:rsidR="00E90CBE">
        <w:rPr>
          <w:lang w:val="ru-RU"/>
        </w:rPr>
        <w:t>.  В</w:t>
      </w:r>
      <w:r w:rsidR="00E90CBE" w:rsidRPr="00E90CBE">
        <w:rPr>
          <w:lang w:val="ru-RU"/>
        </w:rPr>
        <w:t xml:space="preserve"> </w:t>
      </w:r>
      <w:r w:rsidR="00E90CBE">
        <w:rPr>
          <w:lang w:val="ru-RU"/>
        </w:rPr>
        <w:t>частности</w:t>
      </w:r>
      <w:r w:rsidR="00E90CBE" w:rsidRPr="00E90CBE">
        <w:rPr>
          <w:lang w:val="ru-RU"/>
        </w:rPr>
        <w:t xml:space="preserve"> </w:t>
      </w:r>
      <w:r w:rsidR="00E90CBE">
        <w:rPr>
          <w:lang w:val="ru-RU"/>
        </w:rPr>
        <w:t>в области многостороннего</w:t>
      </w:r>
      <w:r w:rsidR="00E90CBE" w:rsidRPr="00E90CBE">
        <w:rPr>
          <w:lang w:val="ru-RU"/>
        </w:rPr>
        <w:t xml:space="preserve"> </w:t>
      </w:r>
      <w:r w:rsidR="00E90CBE">
        <w:rPr>
          <w:lang w:val="ru-RU"/>
        </w:rPr>
        <w:t>арбитража</w:t>
      </w:r>
      <w:r w:rsidR="00E90CBE" w:rsidRPr="00E90CBE">
        <w:rPr>
          <w:lang w:val="ru-RU"/>
        </w:rPr>
        <w:t xml:space="preserve">, </w:t>
      </w:r>
      <w:r w:rsidR="00E90CBE">
        <w:rPr>
          <w:lang w:val="ru-RU"/>
        </w:rPr>
        <w:t>который становится все более востребованн</w:t>
      </w:r>
      <w:r w:rsidR="00544E68">
        <w:rPr>
          <w:lang w:val="ru-RU"/>
        </w:rPr>
        <w:t>ым</w:t>
      </w:r>
      <w:r w:rsidR="00E90CBE">
        <w:rPr>
          <w:lang w:val="ru-RU"/>
        </w:rPr>
        <w:t xml:space="preserve"> </w:t>
      </w:r>
      <w:r w:rsidR="001D5E5E">
        <w:rPr>
          <w:lang w:val="ru-RU"/>
        </w:rPr>
        <w:t xml:space="preserve">в контексте споров, рассматриваемых </w:t>
      </w:r>
      <w:r w:rsidR="00E90CBE">
        <w:rPr>
          <w:lang w:val="ru-RU"/>
        </w:rPr>
        <w:t xml:space="preserve">Центром ВОИС, новые Правила об арбитраже и ускоренном арбитраже разрешают сторонам </w:t>
      </w:r>
      <w:r w:rsidR="001D5E5E">
        <w:rPr>
          <w:lang w:val="ru-RU"/>
        </w:rPr>
        <w:t>п</w:t>
      </w:r>
      <w:r w:rsidR="00544E68">
        <w:rPr>
          <w:lang w:val="ru-RU"/>
        </w:rPr>
        <w:t xml:space="preserve">одавать прошение о </w:t>
      </w:r>
      <w:r w:rsidR="001D5E5E">
        <w:rPr>
          <w:lang w:val="ru-RU"/>
        </w:rPr>
        <w:t>привлечени</w:t>
      </w:r>
      <w:r w:rsidR="00544E68">
        <w:rPr>
          <w:lang w:val="ru-RU"/>
        </w:rPr>
        <w:t>и</w:t>
      </w:r>
      <w:r w:rsidR="001D5E5E">
        <w:rPr>
          <w:lang w:val="ru-RU"/>
        </w:rPr>
        <w:t xml:space="preserve"> дополнительных сторон и объединени</w:t>
      </w:r>
      <w:r w:rsidR="00544E68">
        <w:rPr>
          <w:lang w:val="ru-RU"/>
        </w:rPr>
        <w:t>и</w:t>
      </w:r>
      <w:r w:rsidR="001D5E5E">
        <w:rPr>
          <w:lang w:val="ru-RU"/>
        </w:rPr>
        <w:t xml:space="preserve"> </w:t>
      </w:r>
      <w:r w:rsidR="001D5E5E" w:rsidRPr="00F57DE0">
        <w:rPr>
          <w:lang w:val="ru-RU"/>
        </w:rPr>
        <w:t>нескольких процедур</w:t>
      </w:r>
      <w:r w:rsidR="001D5E5E">
        <w:rPr>
          <w:lang w:val="ru-RU"/>
        </w:rPr>
        <w:t xml:space="preserve"> (ускоренного) арбитража</w:t>
      </w:r>
      <w:r w:rsidR="00544E68">
        <w:rPr>
          <w:lang w:val="ru-RU"/>
        </w:rPr>
        <w:t xml:space="preserve">, отвечающих </w:t>
      </w:r>
      <w:r w:rsidR="001D5E5E">
        <w:rPr>
          <w:lang w:val="ru-RU"/>
        </w:rPr>
        <w:t>определенны</w:t>
      </w:r>
      <w:r w:rsidR="00544E68">
        <w:rPr>
          <w:lang w:val="ru-RU"/>
        </w:rPr>
        <w:t>м</w:t>
      </w:r>
      <w:r w:rsidR="001D5E5E">
        <w:rPr>
          <w:lang w:val="ru-RU"/>
        </w:rPr>
        <w:t xml:space="preserve"> условия</w:t>
      </w:r>
      <w:r w:rsidR="00544E68">
        <w:rPr>
          <w:lang w:val="ru-RU"/>
        </w:rPr>
        <w:t>м</w:t>
      </w:r>
      <w:r w:rsidR="001D5E5E">
        <w:rPr>
          <w:lang w:val="ru-RU"/>
        </w:rPr>
        <w:t xml:space="preserve">.  </w:t>
      </w:r>
      <w:r w:rsidR="003D0D0C">
        <w:rPr>
          <w:lang w:val="ru-RU"/>
        </w:rPr>
        <w:t>Кроме</w:t>
      </w:r>
      <w:r w:rsidR="003D0D0C" w:rsidRPr="003D0D0C">
        <w:rPr>
          <w:lang w:val="ru-RU"/>
        </w:rPr>
        <w:t xml:space="preserve"> </w:t>
      </w:r>
      <w:r w:rsidR="003D0D0C">
        <w:rPr>
          <w:lang w:val="ru-RU"/>
        </w:rPr>
        <w:t>того</w:t>
      </w:r>
      <w:r w:rsidR="003D0D0C" w:rsidRPr="003D0D0C">
        <w:rPr>
          <w:lang w:val="ru-RU"/>
        </w:rPr>
        <w:t xml:space="preserve">, </w:t>
      </w:r>
      <w:r w:rsidR="00544E68">
        <w:rPr>
          <w:lang w:val="ru-RU"/>
        </w:rPr>
        <w:t xml:space="preserve">в свете </w:t>
      </w:r>
      <w:r w:rsidR="003D0D0C">
        <w:rPr>
          <w:lang w:val="ru-RU"/>
        </w:rPr>
        <w:t>новых стандартов в национально</w:t>
      </w:r>
      <w:r w:rsidR="00544E68">
        <w:rPr>
          <w:lang w:val="ru-RU"/>
        </w:rPr>
        <w:t>й</w:t>
      </w:r>
      <w:r w:rsidR="003D0D0C">
        <w:rPr>
          <w:lang w:val="ru-RU"/>
        </w:rPr>
        <w:t xml:space="preserve"> и международно</w:t>
      </w:r>
      <w:r w:rsidR="00544E68">
        <w:rPr>
          <w:lang w:val="ru-RU"/>
        </w:rPr>
        <w:t>й</w:t>
      </w:r>
      <w:r w:rsidR="003D0D0C">
        <w:rPr>
          <w:lang w:val="ru-RU"/>
        </w:rPr>
        <w:t xml:space="preserve"> арбитраж</w:t>
      </w:r>
      <w:r w:rsidR="00544E68">
        <w:rPr>
          <w:lang w:val="ru-RU"/>
        </w:rPr>
        <w:t>ной практике</w:t>
      </w:r>
      <w:r w:rsidR="003D0D0C">
        <w:rPr>
          <w:lang w:val="ru-RU"/>
        </w:rPr>
        <w:t xml:space="preserve"> ведомств и с учетом проделанной ВОИС </w:t>
      </w:r>
      <w:r w:rsidR="00544E68">
        <w:rPr>
          <w:lang w:val="ru-RU"/>
        </w:rPr>
        <w:t xml:space="preserve">работы </w:t>
      </w:r>
      <w:r w:rsidR="003D0D0C">
        <w:rPr>
          <w:lang w:val="ru-RU"/>
        </w:rPr>
        <w:t>в это</w:t>
      </w:r>
      <w:r w:rsidR="00544E68">
        <w:rPr>
          <w:lang w:val="ru-RU"/>
        </w:rPr>
        <w:t>м направлении</w:t>
      </w:r>
      <w:r w:rsidR="003D20D5">
        <w:rPr>
          <w:rStyle w:val="FootnoteReference"/>
        </w:rPr>
        <w:footnoteReference w:id="6"/>
      </w:r>
      <w:r w:rsidR="003D0D0C">
        <w:rPr>
          <w:lang w:val="ru-RU"/>
        </w:rPr>
        <w:t xml:space="preserve"> новые Правила ВОИС об арбитраже и ускоренном арбитраже предусматривают </w:t>
      </w:r>
      <w:r w:rsidR="00544E68">
        <w:rPr>
          <w:lang w:val="ru-RU"/>
        </w:rPr>
        <w:t xml:space="preserve">оказание </w:t>
      </w:r>
      <w:r w:rsidR="003D20D5">
        <w:rPr>
          <w:lang w:val="ru-RU"/>
        </w:rPr>
        <w:t>помощ</w:t>
      </w:r>
      <w:r w:rsidR="00544E68">
        <w:rPr>
          <w:lang w:val="ru-RU"/>
        </w:rPr>
        <w:t>и</w:t>
      </w:r>
      <w:r w:rsidR="003D20D5">
        <w:rPr>
          <w:lang w:val="ru-RU"/>
        </w:rPr>
        <w:t xml:space="preserve"> в чрезвычайных обстоятельствах до начала арбитражного разбирательства.</w:t>
      </w:r>
    </w:p>
    <w:p w:rsidR="00192C16" w:rsidRPr="003D20D5" w:rsidRDefault="00192C16" w:rsidP="00192C16">
      <w:pPr>
        <w:rPr>
          <w:lang w:val="ru-RU"/>
        </w:rPr>
      </w:pPr>
    </w:p>
    <w:p w:rsidR="00192C16" w:rsidRPr="00E96B00" w:rsidRDefault="00E96B00" w:rsidP="00EA7B9D">
      <w:pPr>
        <w:pStyle w:val="ListParagraph"/>
        <w:numPr>
          <w:ilvl w:val="0"/>
          <w:numId w:val="10"/>
        </w:numPr>
        <w:ind w:left="0" w:firstLine="0"/>
        <w:rPr>
          <w:lang w:val="ru-RU"/>
        </w:rPr>
      </w:pPr>
      <w:r>
        <w:rPr>
          <w:lang w:val="ru-RU"/>
        </w:rPr>
        <w:t>Новые</w:t>
      </w:r>
      <w:r w:rsidRPr="00E96B00">
        <w:rPr>
          <w:lang w:val="ru-RU"/>
        </w:rPr>
        <w:t xml:space="preserve"> </w:t>
      </w:r>
      <w:r>
        <w:rPr>
          <w:lang w:val="ru-RU"/>
        </w:rPr>
        <w:t>Правила</w:t>
      </w:r>
      <w:r w:rsidRPr="00E96B00">
        <w:rPr>
          <w:lang w:val="ru-RU"/>
        </w:rPr>
        <w:t xml:space="preserve"> </w:t>
      </w:r>
      <w:r>
        <w:rPr>
          <w:lang w:val="ru-RU"/>
        </w:rPr>
        <w:t>ВОИС</w:t>
      </w:r>
      <w:r w:rsidRPr="00E96B00">
        <w:rPr>
          <w:lang w:val="ru-RU"/>
        </w:rPr>
        <w:t xml:space="preserve"> </w:t>
      </w:r>
      <w:r>
        <w:rPr>
          <w:lang w:val="ru-RU"/>
        </w:rPr>
        <w:t>вступили</w:t>
      </w:r>
      <w:r w:rsidRPr="00E96B00">
        <w:rPr>
          <w:lang w:val="ru-RU"/>
        </w:rPr>
        <w:t xml:space="preserve"> </w:t>
      </w:r>
      <w:r>
        <w:rPr>
          <w:lang w:val="ru-RU"/>
        </w:rPr>
        <w:t>в</w:t>
      </w:r>
      <w:r w:rsidRPr="00E96B00">
        <w:rPr>
          <w:lang w:val="ru-RU"/>
        </w:rPr>
        <w:t xml:space="preserve"> </w:t>
      </w:r>
      <w:r>
        <w:rPr>
          <w:lang w:val="ru-RU"/>
        </w:rPr>
        <w:t>силу</w:t>
      </w:r>
      <w:r w:rsidRPr="00E96B00">
        <w:rPr>
          <w:lang w:val="ru-RU"/>
        </w:rPr>
        <w:t xml:space="preserve"> </w:t>
      </w:r>
      <w:r w:rsidR="00192C16" w:rsidRPr="00E96B00">
        <w:rPr>
          <w:lang w:val="ru-RU"/>
        </w:rPr>
        <w:t>1</w:t>
      </w:r>
      <w:r w:rsidRPr="00E96B00">
        <w:t> </w:t>
      </w:r>
      <w:r>
        <w:rPr>
          <w:lang w:val="ru-RU"/>
        </w:rPr>
        <w:t>июня</w:t>
      </w:r>
      <w:r w:rsidR="00192C16" w:rsidRPr="00E96B00">
        <w:rPr>
          <w:lang w:val="ru-RU"/>
        </w:rPr>
        <w:t xml:space="preserve"> 2014</w:t>
      </w:r>
      <w:r w:rsidRPr="00E96B00">
        <w:t> </w:t>
      </w:r>
      <w:r>
        <w:rPr>
          <w:lang w:val="ru-RU"/>
        </w:rPr>
        <w:t>г</w:t>
      </w:r>
      <w:r w:rsidRPr="00E96B00">
        <w:rPr>
          <w:lang w:val="ru-RU"/>
        </w:rPr>
        <w:t xml:space="preserve">. </w:t>
      </w:r>
      <w:r>
        <w:rPr>
          <w:lang w:val="ru-RU"/>
        </w:rPr>
        <w:t>и, за исключением положений о помощи в чрезвычайных обстоятельствах,</w:t>
      </w:r>
      <w:r w:rsidRPr="00E96B00">
        <w:rPr>
          <w:lang w:val="ru-RU"/>
        </w:rPr>
        <w:t xml:space="preserve"> </w:t>
      </w:r>
      <w:r>
        <w:rPr>
          <w:lang w:val="ru-RU"/>
        </w:rPr>
        <w:t>будут</w:t>
      </w:r>
      <w:r w:rsidRPr="00E96B00">
        <w:rPr>
          <w:lang w:val="ru-RU"/>
        </w:rPr>
        <w:t xml:space="preserve"> </w:t>
      </w:r>
      <w:r>
        <w:rPr>
          <w:lang w:val="ru-RU"/>
        </w:rPr>
        <w:t>применяться</w:t>
      </w:r>
      <w:r w:rsidRPr="00E96B00">
        <w:rPr>
          <w:lang w:val="ru-RU"/>
        </w:rPr>
        <w:t xml:space="preserve"> </w:t>
      </w:r>
      <w:r w:rsidR="00B806D5">
        <w:rPr>
          <w:lang w:val="ru-RU"/>
        </w:rPr>
        <w:t>к</w:t>
      </w:r>
      <w:r>
        <w:rPr>
          <w:lang w:val="ru-RU"/>
        </w:rPr>
        <w:t>о</w:t>
      </w:r>
      <w:r w:rsidRPr="00E96B00">
        <w:rPr>
          <w:lang w:val="ru-RU"/>
        </w:rPr>
        <w:t xml:space="preserve"> </w:t>
      </w:r>
      <w:r>
        <w:rPr>
          <w:lang w:val="ru-RU"/>
        </w:rPr>
        <w:t>все</w:t>
      </w:r>
      <w:r w:rsidR="00B806D5">
        <w:rPr>
          <w:lang w:val="ru-RU"/>
        </w:rPr>
        <w:t>м</w:t>
      </w:r>
      <w:r>
        <w:rPr>
          <w:lang w:val="ru-RU"/>
        </w:rPr>
        <w:t xml:space="preserve"> </w:t>
      </w:r>
      <w:r w:rsidR="00B806D5">
        <w:rPr>
          <w:lang w:val="ru-RU"/>
        </w:rPr>
        <w:t xml:space="preserve">случаям использования процедур </w:t>
      </w:r>
      <w:r>
        <w:rPr>
          <w:lang w:val="ru-RU"/>
        </w:rPr>
        <w:t>посредничеств</w:t>
      </w:r>
      <w:r w:rsidR="00B806D5">
        <w:rPr>
          <w:lang w:val="ru-RU"/>
        </w:rPr>
        <w:t>а</w:t>
      </w:r>
      <w:r>
        <w:rPr>
          <w:lang w:val="ru-RU"/>
        </w:rPr>
        <w:t>, арбитража и ускоренного арбитража ВОИС</w:t>
      </w:r>
      <w:r w:rsidR="00B806D5">
        <w:rPr>
          <w:lang w:val="ru-RU"/>
        </w:rPr>
        <w:t xml:space="preserve"> начиная с этой даты и далее</w:t>
      </w:r>
      <w:r w:rsidR="00192C16" w:rsidRPr="00E96B00">
        <w:rPr>
          <w:lang w:val="ru-RU"/>
        </w:rPr>
        <w:t>.</w:t>
      </w:r>
      <w:r w:rsidR="00192C16">
        <w:rPr>
          <w:rStyle w:val="FootnoteReference"/>
        </w:rPr>
        <w:footnoteReference w:id="7"/>
      </w:r>
    </w:p>
    <w:p w:rsidR="00192C16" w:rsidRPr="00E96B00" w:rsidRDefault="00192C16" w:rsidP="00EA7B9D">
      <w:pPr>
        <w:pStyle w:val="Heading2"/>
        <w:numPr>
          <w:ilvl w:val="0"/>
          <w:numId w:val="0"/>
        </w:numPr>
        <w:spacing w:before="0" w:after="0"/>
        <w:ind w:left="576"/>
        <w:rPr>
          <w:szCs w:val="22"/>
          <w:lang w:val="ru-RU"/>
        </w:rPr>
      </w:pPr>
    </w:p>
    <w:p w:rsidR="00192C16" w:rsidRPr="002953D8" w:rsidRDefault="007835EE" w:rsidP="00192C16">
      <w:pPr>
        <w:pStyle w:val="Heading2"/>
        <w:spacing w:before="0" w:after="0"/>
        <w:rPr>
          <w:szCs w:val="22"/>
        </w:rPr>
      </w:pPr>
      <w:r>
        <w:rPr>
          <w:szCs w:val="22"/>
          <w:lang w:val="ru-RU"/>
        </w:rPr>
        <w:t>Услуги</w:t>
      </w:r>
      <w:r w:rsidRPr="007835EE">
        <w:rPr>
          <w:szCs w:val="22"/>
        </w:rPr>
        <w:t xml:space="preserve"> </w:t>
      </w:r>
      <w:r>
        <w:rPr>
          <w:szCs w:val="22"/>
          <w:lang w:val="ru-RU"/>
        </w:rPr>
        <w:t>АУС</w:t>
      </w:r>
      <w:r w:rsidRPr="007835EE">
        <w:rPr>
          <w:szCs w:val="22"/>
        </w:rPr>
        <w:t xml:space="preserve"> </w:t>
      </w:r>
      <w:r>
        <w:rPr>
          <w:szCs w:val="22"/>
          <w:lang w:val="ru-RU"/>
        </w:rPr>
        <w:t>для</w:t>
      </w:r>
      <w:r w:rsidRPr="007835EE">
        <w:rPr>
          <w:szCs w:val="22"/>
        </w:rPr>
        <w:t xml:space="preserve"> </w:t>
      </w:r>
      <w:r>
        <w:rPr>
          <w:szCs w:val="22"/>
          <w:lang w:val="ru-RU"/>
        </w:rPr>
        <w:t>конкретных</w:t>
      </w:r>
      <w:r w:rsidRPr="007835EE">
        <w:rPr>
          <w:szCs w:val="22"/>
        </w:rPr>
        <w:t xml:space="preserve"> </w:t>
      </w:r>
      <w:r>
        <w:rPr>
          <w:szCs w:val="22"/>
          <w:lang w:val="ru-RU"/>
        </w:rPr>
        <w:t>секторов</w:t>
      </w:r>
    </w:p>
    <w:p w:rsidR="00192C16" w:rsidRPr="005220AF" w:rsidRDefault="00192C16" w:rsidP="00192C16"/>
    <w:p w:rsidR="00192C16" w:rsidRPr="009C0B26" w:rsidRDefault="009C0B26" w:rsidP="00192C16">
      <w:pPr>
        <w:pStyle w:val="Heading3"/>
        <w:numPr>
          <w:ilvl w:val="0"/>
          <w:numId w:val="7"/>
        </w:numPr>
        <w:spacing w:before="0" w:after="0"/>
        <w:rPr>
          <w:szCs w:val="22"/>
          <w:lang w:val="ru-RU"/>
        </w:rPr>
      </w:pPr>
      <w:r>
        <w:rPr>
          <w:szCs w:val="22"/>
          <w:lang w:val="ru-RU"/>
        </w:rPr>
        <w:t>Сотрудничество с ведомствами интеллектуальной собственности</w:t>
      </w:r>
      <w:r w:rsidR="00192C16" w:rsidRPr="009C0B26">
        <w:rPr>
          <w:szCs w:val="22"/>
          <w:lang w:val="ru-RU"/>
        </w:rPr>
        <w:t xml:space="preserve"> (</w:t>
      </w:r>
      <w:r>
        <w:rPr>
          <w:szCs w:val="22"/>
          <w:lang w:val="ru-RU"/>
        </w:rPr>
        <w:t>ВИС</w:t>
      </w:r>
      <w:r w:rsidR="00192C16" w:rsidRPr="009C0B26">
        <w:rPr>
          <w:szCs w:val="22"/>
          <w:lang w:val="ru-RU"/>
        </w:rPr>
        <w:t>)</w:t>
      </w:r>
    </w:p>
    <w:p w:rsidR="00192C16" w:rsidRPr="009C0B26" w:rsidRDefault="00192C16" w:rsidP="00192C16">
      <w:pPr>
        <w:rPr>
          <w:rStyle w:val="ONUMEChar"/>
          <w:lang w:val="ru-RU"/>
        </w:rPr>
      </w:pPr>
    </w:p>
    <w:p w:rsidR="00192C16" w:rsidRPr="009C0B26" w:rsidRDefault="00A25B5B" w:rsidP="00EA7B9D">
      <w:pPr>
        <w:pStyle w:val="ListParagraph"/>
        <w:numPr>
          <w:ilvl w:val="0"/>
          <w:numId w:val="10"/>
        </w:numPr>
        <w:ind w:left="0" w:firstLine="0"/>
        <w:rPr>
          <w:lang w:val="ru-RU"/>
        </w:rPr>
      </w:pPr>
      <w:r>
        <w:rPr>
          <w:lang w:val="ru-RU"/>
        </w:rPr>
        <w:t xml:space="preserve">В качестве одной из последних тенденций можно назвать оказание </w:t>
      </w:r>
      <w:r w:rsidR="009C0B26" w:rsidRPr="009C0B26">
        <w:rPr>
          <w:lang w:val="ru-RU"/>
        </w:rPr>
        <w:t>Центр</w:t>
      </w:r>
      <w:r>
        <w:rPr>
          <w:lang w:val="ru-RU"/>
        </w:rPr>
        <w:t xml:space="preserve">ом услуг по </w:t>
      </w:r>
      <w:r w:rsidRPr="009C0B26">
        <w:rPr>
          <w:lang w:val="ru-RU"/>
        </w:rPr>
        <w:t>созда</w:t>
      </w:r>
      <w:r>
        <w:rPr>
          <w:lang w:val="ru-RU"/>
        </w:rPr>
        <w:t xml:space="preserve">нию </w:t>
      </w:r>
      <w:r w:rsidRPr="009C0B26">
        <w:rPr>
          <w:lang w:val="ru-RU"/>
        </w:rPr>
        <w:t>факультативны</w:t>
      </w:r>
      <w:r>
        <w:rPr>
          <w:lang w:val="ru-RU"/>
        </w:rPr>
        <w:t>х</w:t>
      </w:r>
      <w:r w:rsidRPr="009C0B26">
        <w:rPr>
          <w:lang w:val="ru-RU"/>
        </w:rPr>
        <w:t xml:space="preserve"> механизм</w:t>
      </w:r>
      <w:r>
        <w:rPr>
          <w:lang w:val="ru-RU"/>
        </w:rPr>
        <w:t>ов АУС ведомствам</w:t>
      </w:r>
      <w:r w:rsidR="009C0B26" w:rsidRPr="009C0B26">
        <w:rPr>
          <w:lang w:val="ru-RU"/>
        </w:rPr>
        <w:t xml:space="preserve"> интеллектуальной собственности.  </w:t>
      </w:r>
      <w:r w:rsidR="009C0B26">
        <w:rPr>
          <w:lang w:val="ru-RU"/>
        </w:rPr>
        <w:t>Это</w:t>
      </w:r>
      <w:r w:rsidR="009C0B26" w:rsidRPr="009C0B26">
        <w:rPr>
          <w:lang w:val="ru-RU"/>
        </w:rPr>
        <w:t xml:space="preserve"> сотрудничество, котор</w:t>
      </w:r>
      <w:r w:rsidR="009C0B26">
        <w:rPr>
          <w:lang w:val="ru-RU"/>
        </w:rPr>
        <w:t xml:space="preserve">ое может также </w:t>
      </w:r>
      <w:r>
        <w:rPr>
          <w:lang w:val="ru-RU"/>
        </w:rPr>
        <w:t>принимать форму обучающих программ</w:t>
      </w:r>
      <w:r w:rsidR="009C0B26">
        <w:rPr>
          <w:lang w:val="ru-RU"/>
        </w:rPr>
        <w:t xml:space="preserve">, </w:t>
      </w:r>
      <w:r>
        <w:rPr>
          <w:lang w:val="ru-RU"/>
        </w:rPr>
        <w:t>информационно-разъяснительных мероприятий</w:t>
      </w:r>
      <w:r w:rsidR="009C0B26">
        <w:rPr>
          <w:lang w:val="ru-RU"/>
        </w:rPr>
        <w:t xml:space="preserve"> </w:t>
      </w:r>
      <w:r w:rsidR="009C0B26" w:rsidRPr="009C0B26">
        <w:rPr>
          <w:lang w:val="ru-RU"/>
        </w:rPr>
        <w:t xml:space="preserve">и </w:t>
      </w:r>
      <w:r>
        <w:rPr>
          <w:lang w:val="ru-RU"/>
        </w:rPr>
        <w:t xml:space="preserve">процедуры </w:t>
      </w:r>
      <w:r w:rsidR="009C0B26" w:rsidRPr="009C0B26">
        <w:rPr>
          <w:lang w:val="ru-RU"/>
        </w:rPr>
        <w:t>рассмотрени</w:t>
      </w:r>
      <w:r>
        <w:rPr>
          <w:lang w:val="ru-RU"/>
        </w:rPr>
        <w:t>я</w:t>
      </w:r>
      <w:r w:rsidR="00DB1DD9">
        <w:rPr>
          <w:lang w:val="ru-RU"/>
        </w:rPr>
        <w:t xml:space="preserve"> споров, призвано </w:t>
      </w:r>
      <w:r>
        <w:rPr>
          <w:lang w:val="ru-RU"/>
        </w:rPr>
        <w:t>предоставить сторонам</w:t>
      </w:r>
      <w:r w:rsidR="00DB1DD9">
        <w:rPr>
          <w:lang w:val="ru-RU"/>
        </w:rPr>
        <w:t xml:space="preserve"> </w:t>
      </w:r>
      <w:r>
        <w:rPr>
          <w:lang w:val="ru-RU"/>
        </w:rPr>
        <w:t xml:space="preserve">выгодные </w:t>
      </w:r>
      <w:r w:rsidR="009C0B26" w:rsidRPr="009C0B26">
        <w:rPr>
          <w:lang w:val="ru-RU"/>
        </w:rPr>
        <w:t>и гибки</w:t>
      </w:r>
      <w:r w:rsidR="00DB1DD9">
        <w:rPr>
          <w:lang w:val="ru-RU"/>
        </w:rPr>
        <w:t>е</w:t>
      </w:r>
      <w:r w:rsidR="009C0B26" w:rsidRPr="009C0B26">
        <w:rPr>
          <w:lang w:val="ru-RU"/>
        </w:rPr>
        <w:t xml:space="preserve"> </w:t>
      </w:r>
      <w:r>
        <w:rPr>
          <w:lang w:val="ru-RU"/>
        </w:rPr>
        <w:t xml:space="preserve">возможности для </w:t>
      </w:r>
      <w:r w:rsidR="009C0B26" w:rsidRPr="009C0B26">
        <w:rPr>
          <w:lang w:val="ru-RU"/>
        </w:rPr>
        <w:t>урегулирова</w:t>
      </w:r>
      <w:r>
        <w:rPr>
          <w:lang w:val="ru-RU"/>
        </w:rPr>
        <w:t xml:space="preserve">ния ВИС </w:t>
      </w:r>
      <w:r w:rsidR="00DB1DD9">
        <w:rPr>
          <w:lang w:val="ru-RU"/>
        </w:rPr>
        <w:t>спор</w:t>
      </w:r>
      <w:r>
        <w:rPr>
          <w:lang w:val="ru-RU"/>
        </w:rPr>
        <w:t>ов</w:t>
      </w:r>
      <w:r w:rsidR="00DB1DD9">
        <w:rPr>
          <w:lang w:val="ru-RU"/>
        </w:rPr>
        <w:t xml:space="preserve">, </w:t>
      </w:r>
      <w:r w:rsidR="009C0B26" w:rsidRPr="009C0B26">
        <w:rPr>
          <w:lang w:val="ru-RU"/>
        </w:rPr>
        <w:t>связ</w:t>
      </w:r>
      <w:r w:rsidR="00DB1DD9">
        <w:rPr>
          <w:lang w:val="ru-RU"/>
        </w:rPr>
        <w:t>анны</w:t>
      </w:r>
      <w:r>
        <w:rPr>
          <w:lang w:val="ru-RU"/>
        </w:rPr>
        <w:t>х</w:t>
      </w:r>
      <w:r w:rsidR="00DB1DD9">
        <w:rPr>
          <w:lang w:val="ru-RU"/>
        </w:rPr>
        <w:t xml:space="preserve"> </w:t>
      </w:r>
      <w:r w:rsidR="009C0B26" w:rsidRPr="009C0B26">
        <w:rPr>
          <w:lang w:val="ru-RU"/>
        </w:rPr>
        <w:t xml:space="preserve">с </w:t>
      </w:r>
      <w:r>
        <w:rPr>
          <w:lang w:val="ru-RU"/>
        </w:rPr>
        <w:t xml:space="preserve">поданными жалобами </w:t>
      </w:r>
      <w:r w:rsidR="009C0B26" w:rsidRPr="009C0B26">
        <w:rPr>
          <w:lang w:val="ru-RU"/>
        </w:rPr>
        <w:t xml:space="preserve">или </w:t>
      </w:r>
      <w:r>
        <w:rPr>
          <w:lang w:val="ru-RU"/>
        </w:rPr>
        <w:t xml:space="preserve">полученными </w:t>
      </w:r>
      <w:r w:rsidR="009C0B26" w:rsidRPr="009C0B26">
        <w:rPr>
          <w:lang w:val="ru-RU"/>
        </w:rPr>
        <w:t>правами</w:t>
      </w:r>
      <w:r w:rsidR="00192C16" w:rsidRPr="009C0B26">
        <w:rPr>
          <w:lang w:val="ru-RU"/>
        </w:rPr>
        <w:t>.</w:t>
      </w:r>
    </w:p>
    <w:p w:rsidR="00192C16" w:rsidRPr="009C0B26" w:rsidRDefault="00192C16" w:rsidP="00EA7B9D">
      <w:pPr>
        <w:rPr>
          <w:lang w:val="ru-RU"/>
        </w:rPr>
      </w:pPr>
    </w:p>
    <w:p w:rsidR="00192C16" w:rsidRPr="000F37CE" w:rsidRDefault="008707A8" w:rsidP="00EA7B9D">
      <w:pPr>
        <w:pStyle w:val="ListParagraph"/>
        <w:numPr>
          <w:ilvl w:val="0"/>
          <w:numId w:val="10"/>
        </w:numPr>
        <w:ind w:left="0" w:firstLine="0"/>
        <w:rPr>
          <w:lang w:val="ru-RU"/>
        </w:rPr>
      </w:pPr>
      <w:r>
        <w:rPr>
          <w:lang w:val="ru-RU"/>
        </w:rPr>
        <w:t>С момента поя</w:t>
      </w:r>
      <w:r w:rsidR="00057CE5" w:rsidRPr="00057CE5">
        <w:rPr>
          <w:lang w:val="ru-RU"/>
        </w:rPr>
        <w:t>в</w:t>
      </w:r>
      <w:r>
        <w:rPr>
          <w:lang w:val="ru-RU"/>
        </w:rPr>
        <w:t xml:space="preserve">ления </w:t>
      </w:r>
      <w:r w:rsidR="00057CE5">
        <w:rPr>
          <w:lang w:val="ru-RU"/>
        </w:rPr>
        <w:t>в 2011</w:t>
      </w:r>
      <w:r w:rsidR="00057CE5">
        <w:rPr>
          <w:lang w:val="fr-CH"/>
        </w:rPr>
        <w:t> </w:t>
      </w:r>
      <w:r w:rsidR="00057CE5">
        <w:rPr>
          <w:lang w:val="ru-RU"/>
        </w:rPr>
        <w:t xml:space="preserve">г. </w:t>
      </w:r>
      <w:r w:rsidR="00057CE5" w:rsidRPr="00057CE5">
        <w:rPr>
          <w:lang w:val="ru-RU"/>
        </w:rPr>
        <w:t xml:space="preserve">совместной процедуры урегулирования споров </w:t>
      </w:r>
      <w:r>
        <w:rPr>
          <w:lang w:val="ru-RU"/>
        </w:rPr>
        <w:t xml:space="preserve">для содействия в </w:t>
      </w:r>
      <w:r w:rsidR="00057CE5" w:rsidRPr="00057CE5">
        <w:rPr>
          <w:lang w:val="ru-RU"/>
        </w:rPr>
        <w:t>посредничес</w:t>
      </w:r>
      <w:r>
        <w:rPr>
          <w:lang w:val="ru-RU"/>
        </w:rPr>
        <w:t xml:space="preserve">тве </w:t>
      </w:r>
      <w:r w:rsidR="00057CE5" w:rsidRPr="00057CE5">
        <w:rPr>
          <w:lang w:val="ru-RU"/>
        </w:rPr>
        <w:t>при опротестов</w:t>
      </w:r>
      <w:r w:rsidR="00057CE5">
        <w:rPr>
          <w:lang w:val="ru-RU"/>
        </w:rPr>
        <w:t xml:space="preserve">ании </w:t>
      </w:r>
      <w:r w:rsidR="00057CE5" w:rsidRPr="00057CE5">
        <w:rPr>
          <w:lang w:val="ru-RU"/>
        </w:rPr>
        <w:t>товарны</w:t>
      </w:r>
      <w:r w:rsidR="00057CE5">
        <w:rPr>
          <w:lang w:val="ru-RU"/>
        </w:rPr>
        <w:t>х</w:t>
      </w:r>
      <w:r w:rsidR="00057CE5" w:rsidRPr="00057CE5">
        <w:rPr>
          <w:lang w:val="ru-RU"/>
        </w:rPr>
        <w:t xml:space="preserve"> знак</w:t>
      </w:r>
      <w:r w:rsidR="00057CE5">
        <w:rPr>
          <w:lang w:val="ru-RU"/>
        </w:rPr>
        <w:t>ов</w:t>
      </w:r>
      <w:r w:rsidR="00057CE5" w:rsidRPr="00057CE5">
        <w:rPr>
          <w:lang w:val="ru-RU"/>
        </w:rPr>
        <w:t xml:space="preserve"> в Ведомстве интеллектуальной собственности Сингапура (</w:t>
      </w:r>
      <w:r>
        <w:rPr>
          <w:lang w:val="fr-CH"/>
        </w:rPr>
        <w:t>IPOS</w:t>
      </w:r>
      <w:r w:rsidR="00057CE5" w:rsidRPr="00057CE5">
        <w:rPr>
          <w:lang w:val="ru-RU"/>
        </w:rPr>
        <w:t xml:space="preserve">) Центр </w:t>
      </w:r>
      <w:r w:rsidR="00057CE5">
        <w:rPr>
          <w:lang w:val="ru-RU"/>
        </w:rPr>
        <w:t>продолжил рас</w:t>
      </w:r>
      <w:r w:rsidR="00057CE5" w:rsidRPr="00057CE5">
        <w:rPr>
          <w:lang w:val="ru-RU"/>
        </w:rPr>
        <w:t>смотре</w:t>
      </w:r>
      <w:r w:rsidR="00057CE5">
        <w:rPr>
          <w:lang w:val="ru-RU"/>
        </w:rPr>
        <w:t>ние</w:t>
      </w:r>
      <w:r w:rsidR="00057CE5" w:rsidRPr="00057CE5">
        <w:rPr>
          <w:lang w:val="ru-RU"/>
        </w:rPr>
        <w:t xml:space="preserve"> таки</w:t>
      </w:r>
      <w:r w:rsidR="00057CE5">
        <w:rPr>
          <w:lang w:val="ru-RU"/>
        </w:rPr>
        <w:t>х</w:t>
      </w:r>
      <w:r w:rsidR="00057CE5" w:rsidRPr="00057CE5">
        <w:rPr>
          <w:lang w:val="ru-RU"/>
        </w:rPr>
        <w:t xml:space="preserve"> спор</w:t>
      </w:r>
      <w:r w:rsidR="00057CE5">
        <w:rPr>
          <w:lang w:val="ru-RU"/>
        </w:rPr>
        <w:t>ов</w:t>
      </w:r>
      <w:r w:rsidR="00057CE5" w:rsidRPr="00057CE5">
        <w:rPr>
          <w:lang w:val="ru-RU"/>
        </w:rPr>
        <w:t xml:space="preserve"> </w:t>
      </w:r>
      <w:r>
        <w:rPr>
          <w:lang w:val="ru-RU"/>
        </w:rPr>
        <w:t xml:space="preserve">на основе </w:t>
      </w:r>
      <w:r w:rsidR="00057CE5" w:rsidRPr="00057CE5">
        <w:rPr>
          <w:lang w:val="ru-RU"/>
        </w:rPr>
        <w:t>процедуры посредничества.</w:t>
      </w:r>
      <w:r w:rsidR="00057CE5">
        <w:rPr>
          <w:lang w:val="ru-RU"/>
        </w:rPr>
        <w:t xml:space="preserve"> </w:t>
      </w:r>
      <w:r w:rsidR="00057CE5" w:rsidRPr="00057CE5">
        <w:rPr>
          <w:lang w:val="ru-RU"/>
        </w:rPr>
        <w:t xml:space="preserve"> </w:t>
      </w:r>
      <w:r w:rsidR="00057CE5">
        <w:rPr>
          <w:lang w:val="ru-RU"/>
        </w:rPr>
        <w:t xml:space="preserve">Кроме того, </w:t>
      </w:r>
      <w:r w:rsidRPr="008707A8">
        <w:rPr>
          <w:lang w:val="fr-CH"/>
        </w:rPr>
        <w:t>IPOS</w:t>
      </w:r>
      <w:r w:rsidR="00057CE5">
        <w:rPr>
          <w:lang w:val="ru-RU"/>
        </w:rPr>
        <w:t xml:space="preserve"> совместно с Центром </w:t>
      </w:r>
      <w:r w:rsidR="00791F63">
        <w:rPr>
          <w:lang w:val="ru-RU"/>
        </w:rPr>
        <w:t xml:space="preserve">внедрили практику </w:t>
      </w:r>
      <w:r w:rsidR="00057CE5">
        <w:rPr>
          <w:lang w:val="ru-RU"/>
        </w:rPr>
        <w:t>совместн</w:t>
      </w:r>
      <w:r w:rsidR="00791F63">
        <w:rPr>
          <w:lang w:val="ru-RU"/>
        </w:rPr>
        <w:t xml:space="preserve">ого </w:t>
      </w:r>
      <w:r w:rsidR="00057CE5">
        <w:rPr>
          <w:lang w:val="ru-RU"/>
        </w:rPr>
        <w:t>урегулирования споров для содействия в рассмотрении поданных в ИПОС</w:t>
      </w:r>
      <w:r w:rsidR="00791F63">
        <w:rPr>
          <w:lang w:val="ru-RU"/>
        </w:rPr>
        <w:t xml:space="preserve"> жалоб в отношении патентов</w:t>
      </w:r>
      <w:r w:rsidR="00057CE5">
        <w:rPr>
          <w:lang w:val="ru-RU"/>
        </w:rPr>
        <w:t xml:space="preserve"> </w:t>
      </w:r>
      <w:r w:rsidR="00791F63">
        <w:rPr>
          <w:lang w:val="ru-RU"/>
        </w:rPr>
        <w:t xml:space="preserve">по процедуре </w:t>
      </w:r>
      <w:r w:rsidR="00057CE5">
        <w:rPr>
          <w:lang w:val="ru-RU"/>
        </w:rPr>
        <w:t xml:space="preserve">вынесения экспертного решения.  С 1 апреля 2014 г. </w:t>
      </w:r>
      <w:r w:rsidR="00791F63">
        <w:rPr>
          <w:lang w:val="ru-RU"/>
        </w:rPr>
        <w:t xml:space="preserve">при </w:t>
      </w:r>
      <w:r w:rsidR="00057CE5">
        <w:rPr>
          <w:lang w:val="ru-RU"/>
        </w:rPr>
        <w:t>рассмотрени</w:t>
      </w:r>
      <w:r w:rsidR="00791F63">
        <w:rPr>
          <w:lang w:val="ru-RU"/>
        </w:rPr>
        <w:t>и</w:t>
      </w:r>
      <w:r w:rsidR="00057CE5">
        <w:rPr>
          <w:lang w:val="ru-RU"/>
        </w:rPr>
        <w:t xml:space="preserve"> любого патентного спора</w:t>
      </w:r>
      <w:r w:rsidR="00791F63">
        <w:rPr>
          <w:lang w:val="ru-RU"/>
        </w:rPr>
        <w:t xml:space="preserve"> в рамках </w:t>
      </w:r>
      <w:r w:rsidR="00791F63" w:rsidRPr="00791F63">
        <w:rPr>
          <w:lang w:val="fr-CH"/>
        </w:rPr>
        <w:t>IPOS</w:t>
      </w:r>
      <w:r w:rsidR="00057CE5">
        <w:rPr>
          <w:lang w:val="ru-RU"/>
        </w:rPr>
        <w:t xml:space="preserve"> </w:t>
      </w:r>
      <w:r w:rsidR="00466CE9">
        <w:rPr>
          <w:lang w:val="ru-RU"/>
        </w:rPr>
        <w:t xml:space="preserve">стороны </w:t>
      </w:r>
      <w:r w:rsidR="00057CE5">
        <w:rPr>
          <w:lang w:val="ru-RU"/>
        </w:rPr>
        <w:t>мо</w:t>
      </w:r>
      <w:r w:rsidR="00466CE9">
        <w:rPr>
          <w:lang w:val="ru-RU"/>
        </w:rPr>
        <w:t xml:space="preserve">гут запросить </w:t>
      </w:r>
      <w:r w:rsidR="00057CE5">
        <w:rPr>
          <w:lang w:val="ru-RU"/>
        </w:rPr>
        <w:t>экспертно</w:t>
      </w:r>
      <w:r w:rsidR="00466CE9">
        <w:rPr>
          <w:lang w:val="ru-RU"/>
        </w:rPr>
        <w:t>е</w:t>
      </w:r>
      <w:r w:rsidR="00057CE5">
        <w:rPr>
          <w:lang w:val="ru-RU"/>
        </w:rPr>
        <w:t xml:space="preserve"> решени</w:t>
      </w:r>
      <w:r w:rsidR="00466CE9">
        <w:rPr>
          <w:lang w:val="ru-RU"/>
        </w:rPr>
        <w:t>е</w:t>
      </w:r>
      <w:r w:rsidR="00057CE5">
        <w:rPr>
          <w:lang w:val="ru-RU"/>
        </w:rPr>
        <w:t xml:space="preserve">.  </w:t>
      </w:r>
      <w:r w:rsidR="00057CE5" w:rsidRPr="00057CE5">
        <w:rPr>
          <w:lang w:val="ru-RU"/>
        </w:rPr>
        <w:t xml:space="preserve">Центр </w:t>
      </w:r>
      <w:r w:rsidR="00057CE5">
        <w:rPr>
          <w:lang w:val="ru-RU"/>
        </w:rPr>
        <w:t xml:space="preserve">также участвует </w:t>
      </w:r>
      <w:r w:rsidR="00057CE5" w:rsidRPr="00057CE5">
        <w:rPr>
          <w:lang w:val="ru-RU"/>
        </w:rPr>
        <w:t>в разработке альтернативных процедур посредничества для урегулирования споров</w:t>
      </w:r>
      <w:r w:rsidR="006F50F7">
        <w:rPr>
          <w:lang w:val="ru-RU"/>
        </w:rPr>
        <w:t xml:space="preserve"> в сфере </w:t>
      </w:r>
      <w:r w:rsidR="00057CE5" w:rsidRPr="00057CE5">
        <w:rPr>
          <w:lang w:val="ru-RU"/>
        </w:rPr>
        <w:t>товарных знаков</w:t>
      </w:r>
      <w:r w:rsidR="006F50F7">
        <w:rPr>
          <w:lang w:val="ru-RU"/>
        </w:rPr>
        <w:t xml:space="preserve">, поданных </w:t>
      </w:r>
      <w:r w:rsidR="00057CE5" w:rsidRPr="00057CE5">
        <w:rPr>
          <w:lang w:val="ru-RU"/>
        </w:rPr>
        <w:t xml:space="preserve">в </w:t>
      </w:r>
      <w:r w:rsidR="000F37CE">
        <w:rPr>
          <w:lang w:val="ru-RU"/>
        </w:rPr>
        <w:t>Н</w:t>
      </w:r>
      <w:r w:rsidR="00057CE5" w:rsidRPr="00057CE5">
        <w:rPr>
          <w:lang w:val="ru-RU"/>
        </w:rPr>
        <w:t>ациональн</w:t>
      </w:r>
      <w:r w:rsidR="006F50F7">
        <w:rPr>
          <w:lang w:val="ru-RU"/>
        </w:rPr>
        <w:t>ый</w:t>
      </w:r>
      <w:r w:rsidR="00057CE5" w:rsidRPr="00057CE5">
        <w:rPr>
          <w:lang w:val="ru-RU"/>
        </w:rPr>
        <w:t xml:space="preserve"> институт промышленной собственности</w:t>
      </w:r>
      <w:r w:rsidR="000F37CE">
        <w:rPr>
          <w:lang w:val="ru-RU"/>
        </w:rPr>
        <w:t xml:space="preserve"> Бразилии</w:t>
      </w:r>
      <w:r w:rsidR="00057CE5" w:rsidRPr="00057CE5">
        <w:rPr>
          <w:lang w:val="ru-RU"/>
        </w:rPr>
        <w:t xml:space="preserve"> (</w:t>
      </w:r>
      <w:r w:rsidR="00466CE9">
        <w:t>INPI</w:t>
      </w:r>
      <w:r w:rsidR="00057CE5" w:rsidRPr="00057CE5">
        <w:rPr>
          <w:lang w:val="ru-RU"/>
        </w:rPr>
        <w:t>-</w:t>
      </w:r>
      <w:r w:rsidR="00466CE9">
        <w:t>BR</w:t>
      </w:r>
      <w:r w:rsidR="00057CE5" w:rsidRPr="00057CE5">
        <w:rPr>
          <w:lang w:val="ru-RU"/>
        </w:rPr>
        <w:t>)</w:t>
      </w:r>
      <w:r w:rsidR="006F50F7">
        <w:rPr>
          <w:lang w:val="ru-RU"/>
        </w:rPr>
        <w:t>,</w:t>
      </w:r>
      <w:r w:rsidR="00057CE5" w:rsidRPr="00057CE5">
        <w:rPr>
          <w:lang w:val="ru-RU"/>
        </w:rPr>
        <w:t xml:space="preserve"> </w:t>
      </w:r>
      <w:r w:rsidR="006F50F7">
        <w:rPr>
          <w:lang w:val="ru-RU"/>
        </w:rPr>
        <w:t xml:space="preserve">указавший </w:t>
      </w:r>
      <w:r w:rsidR="00057CE5" w:rsidRPr="00057CE5">
        <w:rPr>
          <w:lang w:val="ru-RU"/>
        </w:rPr>
        <w:t>Центр</w:t>
      </w:r>
      <w:r w:rsidR="006F50F7">
        <w:rPr>
          <w:lang w:val="ru-RU"/>
        </w:rPr>
        <w:t xml:space="preserve"> в качестве </w:t>
      </w:r>
      <w:r w:rsidR="00057CE5" w:rsidRPr="00057CE5">
        <w:rPr>
          <w:lang w:val="ru-RU"/>
        </w:rPr>
        <w:t>администратор</w:t>
      </w:r>
      <w:r w:rsidR="006F50F7">
        <w:rPr>
          <w:lang w:val="ru-RU"/>
        </w:rPr>
        <w:t>а</w:t>
      </w:r>
      <w:r w:rsidR="00057CE5" w:rsidRPr="00057CE5">
        <w:rPr>
          <w:lang w:val="ru-RU"/>
        </w:rPr>
        <w:t xml:space="preserve"> </w:t>
      </w:r>
      <w:r w:rsidR="006F50F7">
        <w:rPr>
          <w:lang w:val="ru-RU"/>
        </w:rPr>
        <w:t xml:space="preserve">при </w:t>
      </w:r>
      <w:r w:rsidR="00057CE5" w:rsidRPr="00057CE5">
        <w:rPr>
          <w:lang w:val="ru-RU"/>
        </w:rPr>
        <w:t>рассмотрени</w:t>
      </w:r>
      <w:r w:rsidR="006F50F7">
        <w:rPr>
          <w:lang w:val="ru-RU"/>
        </w:rPr>
        <w:t>и</w:t>
      </w:r>
      <w:r w:rsidR="00057CE5" w:rsidRPr="00057CE5">
        <w:rPr>
          <w:lang w:val="ru-RU"/>
        </w:rPr>
        <w:t xml:space="preserve"> споров с применением </w:t>
      </w:r>
      <w:r w:rsidR="006F50F7">
        <w:rPr>
          <w:lang w:val="ru-RU"/>
        </w:rPr>
        <w:t>процедур</w:t>
      </w:r>
      <w:r w:rsidR="00D16FDF">
        <w:rPr>
          <w:lang w:val="ru-RU"/>
        </w:rPr>
        <w:t>ы</w:t>
      </w:r>
      <w:r w:rsidR="006F50F7">
        <w:rPr>
          <w:lang w:val="ru-RU"/>
        </w:rPr>
        <w:t xml:space="preserve"> </w:t>
      </w:r>
      <w:r w:rsidR="00057CE5" w:rsidRPr="00057CE5">
        <w:rPr>
          <w:lang w:val="ru-RU"/>
        </w:rPr>
        <w:t xml:space="preserve">посредничества, </w:t>
      </w:r>
      <w:r w:rsidR="006F50F7">
        <w:rPr>
          <w:lang w:val="ru-RU"/>
        </w:rPr>
        <w:t xml:space="preserve">если </w:t>
      </w:r>
      <w:r w:rsidR="00057CE5" w:rsidRPr="00057CE5">
        <w:rPr>
          <w:lang w:val="ru-RU"/>
        </w:rPr>
        <w:t>одн</w:t>
      </w:r>
      <w:r w:rsidR="00D16FDF">
        <w:rPr>
          <w:lang w:val="ru-RU"/>
        </w:rPr>
        <w:t>а</w:t>
      </w:r>
      <w:r w:rsidR="00057CE5" w:rsidRPr="00057CE5">
        <w:rPr>
          <w:lang w:val="ru-RU"/>
        </w:rPr>
        <w:t xml:space="preserve"> или обе сторон</w:t>
      </w:r>
      <w:r w:rsidR="00D16FDF">
        <w:rPr>
          <w:lang w:val="ru-RU"/>
        </w:rPr>
        <w:t>ы спора</w:t>
      </w:r>
      <w:r w:rsidR="00057CE5" w:rsidRPr="00057CE5">
        <w:rPr>
          <w:lang w:val="ru-RU"/>
        </w:rPr>
        <w:t xml:space="preserve"> </w:t>
      </w:r>
      <w:r w:rsidR="00D16FDF">
        <w:rPr>
          <w:lang w:val="ru-RU"/>
        </w:rPr>
        <w:t xml:space="preserve">имеют постоянное местопребывания </w:t>
      </w:r>
      <w:r w:rsidR="00057CE5" w:rsidRPr="00057CE5">
        <w:rPr>
          <w:lang w:val="ru-RU"/>
        </w:rPr>
        <w:t>за пределами Бразилии.</w:t>
      </w:r>
      <w:r w:rsidR="00192C16" w:rsidRPr="00057CE5">
        <w:rPr>
          <w:lang w:val="ru-RU"/>
        </w:rPr>
        <w:t xml:space="preserve">  </w:t>
      </w:r>
      <w:r w:rsidR="00F569C5">
        <w:rPr>
          <w:lang w:val="ru-RU"/>
        </w:rPr>
        <w:t>В</w:t>
      </w:r>
      <w:r w:rsidR="00F569C5" w:rsidRPr="00F569C5">
        <w:rPr>
          <w:lang w:val="ru-RU"/>
        </w:rPr>
        <w:t xml:space="preserve"> </w:t>
      </w:r>
      <w:r w:rsidR="00F569C5">
        <w:rPr>
          <w:lang w:val="ru-RU"/>
        </w:rPr>
        <w:t>мае</w:t>
      </w:r>
      <w:r w:rsidR="00F569C5" w:rsidRPr="00F569C5">
        <w:rPr>
          <w:lang w:val="ru-RU"/>
        </w:rPr>
        <w:t xml:space="preserve"> 2014</w:t>
      </w:r>
      <w:r w:rsidR="00F569C5" w:rsidRPr="00F569C5">
        <w:t> </w:t>
      </w:r>
      <w:r w:rsidR="00F569C5">
        <w:rPr>
          <w:lang w:val="ru-RU"/>
        </w:rPr>
        <w:t>г</w:t>
      </w:r>
      <w:r w:rsidR="00F569C5" w:rsidRPr="00F569C5">
        <w:rPr>
          <w:lang w:val="ru-RU"/>
        </w:rPr>
        <w:t xml:space="preserve">. </w:t>
      </w:r>
      <w:r w:rsidR="00F569C5">
        <w:rPr>
          <w:lang w:val="ru-RU"/>
        </w:rPr>
        <w:t>Ведомство</w:t>
      </w:r>
      <w:r w:rsidR="00F569C5" w:rsidRPr="00F569C5">
        <w:rPr>
          <w:lang w:val="ru-RU"/>
        </w:rPr>
        <w:t xml:space="preserve"> </w:t>
      </w:r>
      <w:r w:rsidR="00F569C5">
        <w:rPr>
          <w:lang w:val="ru-RU"/>
        </w:rPr>
        <w:t>интеллектуальной</w:t>
      </w:r>
      <w:r w:rsidR="00F569C5" w:rsidRPr="00F569C5">
        <w:rPr>
          <w:lang w:val="ru-RU"/>
        </w:rPr>
        <w:t xml:space="preserve"> </w:t>
      </w:r>
      <w:r w:rsidR="00F569C5">
        <w:rPr>
          <w:lang w:val="ru-RU"/>
        </w:rPr>
        <w:t>собственности</w:t>
      </w:r>
      <w:r w:rsidR="00F569C5" w:rsidRPr="00F569C5">
        <w:rPr>
          <w:lang w:val="ru-RU"/>
        </w:rPr>
        <w:t xml:space="preserve"> </w:t>
      </w:r>
      <w:r w:rsidR="00F569C5">
        <w:rPr>
          <w:lang w:val="ru-RU"/>
        </w:rPr>
        <w:t>Филиппин</w:t>
      </w:r>
      <w:r w:rsidR="00F569C5" w:rsidRPr="00F569C5">
        <w:rPr>
          <w:lang w:val="ru-RU"/>
        </w:rPr>
        <w:t xml:space="preserve"> (</w:t>
      </w:r>
      <w:r w:rsidR="00E12E5A">
        <w:t>IPOPHL</w:t>
      </w:r>
      <w:r w:rsidR="00F569C5" w:rsidRPr="00F569C5">
        <w:rPr>
          <w:lang w:val="ru-RU"/>
        </w:rPr>
        <w:t xml:space="preserve">) </w:t>
      </w:r>
      <w:r w:rsidR="00DE6817">
        <w:rPr>
          <w:lang w:val="ru-RU"/>
        </w:rPr>
        <w:t xml:space="preserve">предоставило сторонам спора возможность выбрать </w:t>
      </w:r>
      <w:r w:rsidR="00F569C5">
        <w:rPr>
          <w:lang w:val="ru-RU"/>
        </w:rPr>
        <w:t>Центр администратор</w:t>
      </w:r>
      <w:r w:rsidR="00DE6817">
        <w:rPr>
          <w:lang w:val="ru-RU"/>
        </w:rPr>
        <w:t>ом спора,</w:t>
      </w:r>
      <w:r w:rsidR="00E12E5A">
        <w:rPr>
          <w:lang w:val="ru-RU"/>
        </w:rPr>
        <w:t xml:space="preserve"> рассматриваем</w:t>
      </w:r>
      <w:r w:rsidR="00DE6817">
        <w:rPr>
          <w:lang w:val="ru-RU"/>
        </w:rPr>
        <w:t>ого</w:t>
      </w:r>
      <w:r w:rsidR="00E12E5A">
        <w:rPr>
          <w:lang w:val="ru-RU"/>
        </w:rPr>
        <w:t xml:space="preserve"> </w:t>
      </w:r>
      <w:r w:rsidR="00E12E5A" w:rsidRPr="00E12E5A">
        <w:t>IPOPHL</w:t>
      </w:r>
      <w:r w:rsidR="00E12E5A" w:rsidRPr="00E12E5A">
        <w:rPr>
          <w:lang w:val="ru-RU"/>
        </w:rPr>
        <w:t xml:space="preserve"> </w:t>
      </w:r>
      <w:r w:rsidR="00F17649">
        <w:rPr>
          <w:lang w:val="ru-RU"/>
        </w:rPr>
        <w:t xml:space="preserve">по </w:t>
      </w:r>
      <w:r w:rsidR="00F569C5">
        <w:rPr>
          <w:lang w:val="ru-RU"/>
        </w:rPr>
        <w:t>процедуре арбитража и</w:t>
      </w:r>
      <w:r w:rsidR="00E12E5A">
        <w:rPr>
          <w:lang w:val="ru-RU"/>
        </w:rPr>
        <w:t>ли</w:t>
      </w:r>
      <w:r w:rsidR="00F569C5">
        <w:rPr>
          <w:lang w:val="ru-RU"/>
        </w:rPr>
        <w:t xml:space="preserve"> посредничества</w:t>
      </w:r>
      <w:r w:rsidR="00DE6817">
        <w:rPr>
          <w:lang w:val="ru-RU"/>
        </w:rPr>
        <w:t xml:space="preserve">, если его </w:t>
      </w:r>
      <w:r w:rsidR="00F569C5">
        <w:rPr>
          <w:lang w:val="ru-RU"/>
        </w:rPr>
        <w:t>сторон</w:t>
      </w:r>
      <w:r w:rsidR="00F17649">
        <w:rPr>
          <w:lang w:val="ru-RU"/>
        </w:rPr>
        <w:t>ы</w:t>
      </w:r>
      <w:r w:rsidR="00F569C5">
        <w:rPr>
          <w:lang w:val="ru-RU"/>
        </w:rPr>
        <w:t xml:space="preserve"> </w:t>
      </w:r>
      <w:r w:rsidR="00F17649">
        <w:rPr>
          <w:lang w:val="ru-RU"/>
        </w:rPr>
        <w:t xml:space="preserve">постоянно проживают за пределами Филиппин.  </w:t>
      </w:r>
      <w:r w:rsidR="00DE6817">
        <w:rPr>
          <w:lang w:val="ru-RU"/>
        </w:rPr>
        <w:t>В мае 2014 г. Н</w:t>
      </w:r>
      <w:r w:rsidR="00F17649">
        <w:rPr>
          <w:lang w:val="ru-RU"/>
        </w:rPr>
        <w:t xml:space="preserve">ациональный директорат по авторскому праву Республики Колумбия заключил </w:t>
      </w:r>
      <w:r w:rsidR="00DE6817">
        <w:rPr>
          <w:lang w:val="ru-RU"/>
        </w:rPr>
        <w:t xml:space="preserve">с Центром </w:t>
      </w:r>
      <w:r w:rsidR="00F17649">
        <w:rPr>
          <w:lang w:val="ru-RU"/>
        </w:rPr>
        <w:t>соглашение</w:t>
      </w:r>
      <w:r w:rsidR="00DE6817">
        <w:rPr>
          <w:lang w:val="ru-RU"/>
        </w:rPr>
        <w:t xml:space="preserve">, предоставив ему </w:t>
      </w:r>
      <w:r w:rsidR="00F17649">
        <w:rPr>
          <w:lang w:val="ru-RU"/>
        </w:rPr>
        <w:t>возможност</w:t>
      </w:r>
      <w:r w:rsidR="00DE6817">
        <w:rPr>
          <w:lang w:val="ru-RU"/>
        </w:rPr>
        <w:t>ь</w:t>
      </w:r>
      <w:r w:rsidR="00F17649">
        <w:rPr>
          <w:lang w:val="ru-RU"/>
        </w:rPr>
        <w:t xml:space="preserve"> рассм</w:t>
      </w:r>
      <w:r w:rsidR="00DE6817">
        <w:rPr>
          <w:lang w:val="ru-RU"/>
        </w:rPr>
        <w:t>а</w:t>
      </w:r>
      <w:r w:rsidR="00F17649">
        <w:rPr>
          <w:lang w:val="ru-RU"/>
        </w:rPr>
        <w:t>тр</w:t>
      </w:r>
      <w:r w:rsidR="00DE6817">
        <w:rPr>
          <w:lang w:val="ru-RU"/>
        </w:rPr>
        <w:t xml:space="preserve">ивать </w:t>
      </w:r>
      <w:r w:rsidR="00F17649">
        <w:rPr>
          <w:lang w:val="ru-RU"/>
        </w:rPr>
        <w:t>спор</w:t>
      </w:r>
      <w:r w:rsidR="00DE6817">
        <w:rPr>
          <w:lang w:val="ru-RU"/>
        </w:rPr>
        <w:t>ы</w:t>
      </w:r>
      <w:r w:rsidR="00F17649">
        <w:rPr>
          <w:lang w:val="ru-RU"/>
        </w:rPr>
        <w:t xml:space="preserve"> в области авторского права</w:t>
      </w:r>
      <w:r w:rsidR="0017166B">
        <w:rPr>
          <w:lang w:val="ru-RU"/>
        </w:rPr>
        <w:t>, в которых участвуют одна или более сторон, постоянно проживающих за пределами Колумбии.  В</w:t>
      </w:r>
      <w:r w:rsidR="0017166B" w:rsidRPr="000F37CE">
        <w:rPr>
          <w:lang w:val="ru-RU"/>
        </w:rPr>
        <w:t xml:space="preserve"> </w:t>
      </w:r>
      <w:r w:rsidR="0017166B">
        <w:rPr>
          <w:lang w:val="ru-RU"/>
        </w:rPr>
        <w:t>том</w:t>
      </w:r>
      <w:r w:rsidR="0017166B" w:rsidRPr="000F37CE">
        <w:rPr>
          <w:lang w:val="ru-RU"/>
        </w:rPr>
        <w:t xml:space="preserve"> </w:t>
      </w:r>
      <w:r w:rsidR="0017166B">
        <w:rPr>
          <w:lang w:val="ru-RU"/>
        </w:rPr>
        <w:t>же</w:t>
      </w:r>
      <w:r w:rsidR="0017166B" w:rsidRPr="000F37CE">
        <w:rPr>
          <w:lang w:val="ru-RU"/>
        </w:rPr>
        <w:t xml:space="preserve"> </w:t>
      </w:r>
      <w:r w:rsidR="0017166B">
        <w:rPr>
          <w:lang w:val="ru-RU"/>
        </w:rPr>
        <w:t>м</w:t>
      </w:r>
      <w:r w:rsidR="00DE6817">
        <w:rPr>
          <w:lang w:val="ru-RU"/>
        </w:rPr>
        <w:t xml:space="preserve">есяце </w:t>
      </w:r>
      <w:r w:rsidR="000F37CE">
        <w:rPr>
          <w:lang w:val="ru-RU"/>
        </w:rPr>
        <w:t>Генеральный</w:t>
      </w:r>
      <w:r w:rsidR="000F37CE" w:rsidRPr="000F37CE">
        <w:rPr>
          <w:lang w:val="ru-RU"/>
        </w:rPr>
        <w:t xml:space="preserve"> </w:t>
      </w:r>
      <w:r w:rsidR="000F37CE">
        <w:rPr>
          <w:lang w:val="ru-RU"/>
        </w:rPr>
        <w:t>директорат</w:t>
      </w:r>
      <w:r w:rsidR="000F37CE" w:rsidRPr="000F37CE">
        <w:rPr>
          <w:lang w:val="ru-RU"/>
        </w:rPr>
        <w:t xml:space="preserve"> </w:t>
      </w:r>
      <w:r w:rsidR="000F37CE">
        <w:rPr>
          <w:lang w:val="ru-RU"/>
        </w:rPr>
        <w:t>по</w:t>
      </w:r>
      <w:r w:rsidR="000F37CE" w:rsidRPr="000F37CE">
        <w:rPr>
          <w:lang w:val="ru-RU"/>
        </w:rPr>
        <w:t xml:space="preserve"> </w:t>
      </w:r>
      <w:r w:rsidR="000F37CE">
        <w:rPr>
          <w:lang w:val="ru-RU"/>
        </w:rPr>
        <w:t>интеллектуальной</w:t>
      </w:r>
      <w:r w:rsidR="000F37CE" w:rsidRPr="000F37CE">
        <w:rPr>
          <w:lang w:val="ru-RU"/>
        </w:rPr>
        <w:t xml:space="preserve"> </w:t>
      </w:r>
      <w:r w:rsidR="000F37CE">
        <w:rPr>
          <w:lang w:val="ru-RU"/>
        </w:rPr>
        <w:t>собственности</w:t>
      </w:r>
      <w:r w:rsidR="000F37CE" w:rsidRPr="000F37CE">
        <w:rPr>
          <w:lang w:val="ru-RU"/>
        </w:rPr>
        <w:t xml:space="preserve"> </w:t>
      </w:r>
      <w:r w:rsidR="000F37CE">
        <w:rPr>
          <w:lang w:val="ru-RU"/>
        </w:rPr>
        <w:t>Индонезии</w:t>
      </w:r>
      <w:r w:rsidR="000F37CE" w:rsidRPr="000F37CE">
        <w:rPr>
          <w:lang w:val="ru-RU"/>
        </w:rPr>
        <w:t xml:space="preserve"> (</w:t>
      </w:r>
      <w:r w:rsidR="00DE6817">
        <w:t>DGIPR</w:t>
      </w:r>
      <w:r w:rsidR="00192C16" w:rsidRPr="000F37CE">
        <w:rPr>
          <w:lang w:val="ru-RU"/>
        </w:rPr>
        <w:t xml:space="preserve">) </w:t>
      </w:r>
      <w:r w:rsidR="002B65A7">
        <w:rPr>
          <w:lang w:val="ru-RU"/>
        </w:rPr>
        <w:t xml:space="preserve">и Центр </w:t>
      </w:r>
      <w:r w:rsidR="00DE6817">
        <w:rPr>
          <w:lang w:val="ru-RU"/>
        </w:rPr>
        <w:t xml:space="preserve">договорились взаимодействовать в ходе </w:t>
      </w:r>
      <w:r w:rsidR="002B65A7">
        <w:rPr>
          <w:lang w:val="ru-RU"/>
        </w:rPr>
        <w:t>создания альтернативных процедур и услуг АУС в отношении жалоб, поданных в</w:t>
      </w:r>
      <w:r w:rsidR="00DE6817" w:rsidRPr="009B231D">
        <w:rPr>
          <w:lang w:val="ru-RU"/>
        </w:rPr>
        <w:t xml:space="preserve"> </w:t>
      </w:r>
      <w:r w:rsidR="00DE6817" w:rsidRPr="00DE6817">
        <w:t>DGIPR</w:t>
      </w:r>
      <w:r w:rsidR="002B65A7">
        <w:rPr>
          <w:lang w:val="ru-RU"/>
        </w:rPr>
        <w:t>.</w:t>
      </w:r>
    </w:p>
    <w:p w:rsidR="00192C16" w:rsidRPr="000F37CE" w:rsidRDefault="00192C16" w:rsidP="00192C16">
      <w:pPr>
        <w:rPr>
          <w:rStyle w:val="ONUMEChar"/>
          <w:lang w:val="ru-RU"/>
        </w:rPr>
      </w:pPr>
    </w:p>
    <w:p w:rsidR="00192C16" w:rsidRPr="006F327E" w:rsidRDefault="009B231D" w:rsidP="00192C16">
      <w:pPr>
        <w:pStyle w:val="Heading3"/>
        <w:numPr>
          <w:ilvl w:val="0"/>
          <w:numId w:val="7"/>
        </w:numPr>
        <w:spacing w:before="0" w:after="0"/>
        <w:rPr>
          <w:szCs w:val="22"/>
          <w:lang w:val="ru-RU"/>
        </w:rPr>
      </w:pPr>
      <w:r>
        <w:rPr>
          <w:szCs w:val="22"/>
          <w:lang w:val="ru-RU"/>
        </w:rPr>
        <w:t>У</w:t>
      </w:r>
      <w:r w:rsidR="006F327E">
        <w:rPr>
          <w:szCs w:val="22"/>
          <w:lang w:val="ru-RU"/>
        </w:rPr>
        <w:t>регулирование споров</w:t>
      </w:r>
      <w:r w:rsidR="00CB6011">
        <w:rPr>
          <w:szCs w:val="22"/>
          <w:lang w:val="ru-RU"/>
        </w:rPr>
        <w:t>, связанных с</w:t>
      </w:r>
      <w:r>
        <w:rPr>
          <w:szCs w:val="22"/>
          <w:lang w:val="ru-RU"/>
        </w:rPr>
        <w:t xml:space="preserve"> патентами, относящи</w:t>
      </w:r>
      <w:r w:rsidR="00AB6646">
        <w:rPr>
          <w:szCs w:val="22"/>
          <w:lang w:val="ru-RU"/>
        </w:rPr>
        <w:t>ми</w:t>
      </w:r>
      <w:r>
        <w:rPr>
          <w:szCs w:val="22"/>
          <w:lang w:val="ru-RU"/>
        </w:rPr>
        <w:t>ся к стандартам</w:t>
      </w:r>
    </w:p>
    <w:p w:rsidR="00192C16" w:rsidRPr="006F327E" w:rsidRDefault="00192C16" w:rsidP="00192C16">
      <w:pPr>
        <w:rPr>
          <w:lang w:val="ru-RU"/>
        </w:rPr>
      </w:pPr>
    </w:p>
    <w:p w:rsidR="00192C16" w:rsidRPr="00C51FF3" w:rsidRDefault="001C5972" w:rsidP="00EA7B9D">
      <w:pPr>
        <w:pStyle w:val="ListParagraph"/>
        <w:numPr>
          <w:ilvl w:val="0"/>
          <w:numId w:val="10"/>
        </w:numPr>
        <w:ind w:left="0" w:firstLine="0"/>
        <w:rPr>
          <w:lang w:val="ru-RU"/>
        </w:rPr>
      </w:pPr>
      <w:r>
        <w:rPr>
          <w:lang w:val="ru-RU"/>
        </w:rPr>
        <w:t>В</w:t>
      </w:r>
      <w:r w:rsidR="00192C16" w:rsidRPr="008564BB">
        <w:rPr>
          <w:lang w:val="ru-RU"/>
        </w:rPr>
        <w:t xml:space="preserve"> 2013</w:t>
      </w:r>
      <w:r w:rsidRPr="001C5972">
        <w:t> </w:t>
      </w:r>
      <w:r>
        <w:rPr>
          <w:lang w:val="ru-RU"/>
        </w:rPr>
        <w:t>г</w:t>
      </w:r>
      <w:r w:rsidRPr="008564BB">
        <w:rPr>
          <w:lang w:val="ru-RU"/>
        </w:rPr>
        <w:t xml:space="preserve">. </w:t>
      </w:r>
      <w:r>
        <w:rPr>
          <w:lang w:val="ru-RU"/>
        </w:rPr>
        <w:t>Центр</w:t>
      </w:r>
      <w:r w:rsidRPr="008564BB">
        <w:rPr>
          <w:lang w:val="ru-RU"/>
        </w:rPr>
        <w:t xml:space="preserve"> </w:t>
      </w:r>
      <w:r>
        <w:rPr>
          <w:lang w:val="ru-RU"/>
        </w:rPr>
        <w:t>оказывал</w:t>
      </w:r>
      <w:r w:rsidRPr="008564BB">
        <w:rPr>
          <w:lang w:val="ru-RU"/>
        </w:rPr>
        <w:t xml:space="preserve"> </w:t>
      </w:r>
      <w:r>
        <w:rPr>
          <w:lang w:val="ru-RU"/>
        </w:rPr>
        <w:t>содействие</w:t>
      </w:r>
      <w:r w:rsidRPr="008564BB">
        <w:rPr>
          <w:lang w:val="ru-RU"/>
        </w:rPr>
        <w:t xml:space="preserve"> </w:t>
      </w:r>
      <w:r>
        <w:rPr>
          <w:lang w:val="ru-RU"/>
        </w:rPr>
        <w:t>Европейскому</w:t>
      </w:r>
      <w:r w:rsidRPr="008564BB">
        <w:rPr>
          <w:lang w:val="ru-RU"/>
        </w:rPr>
        <w:t xml:space="preserve"> </w:t>
      </w:r>
      <w:r>
        <w:rPr>
          <w:lang w:val="ru-RU"/>
        </w:rPr>
        <w:t>институту</w:t>
      </w:r>
      <w:r w:rsidRPr="008564BB">
        <w:rPr>
          <w:lang w:val="ru-RU"/>
        </w:rPr>
        <w:t xml:space="preserve"> </w:t>
      </w:r>
      <w:r>
        <w:rPr>
          <w:lang w:val="ru-RU"/>
        </w:rPr>
        <w:t>телекоммуникационных</w:t>
      </w:r>
      <w:r w:rsidRPr="008564BB">
        <w:rPr>
          <w:lang w:val="ru-RU"/>
        </w:rPr>
        <w:t xml:space="preserve"> </w:t>
      </w:r>
      <w:r>
        <w:rPr>
          <w:lang w:val="ru-RU"/>
        </w:rPr>
        <w:t>стандартов</w:t>
      </w:r>
      <w:r w:rsidRPr="008564BB">
        <w:rPr>
          <w:lang w:val="ru-RU"/>
        </w:rPr>
        <w:t xml:space="preserve"> </w:t>
      </w:r>
      <w:r w:rsidR="00192C16" w:rsidRPr="008564BB">
        <w:rPr>
          <w:szCs w:val="22"/>
          <w:lang w:val="ru-RU"/>
        </w:rPr>
        <w:t>(</w:t>
      </w:r>
      <w:r w:rsidR="00192C16" w:rsidRPr="00EA7B9D">
        <w:rPr>
          <w:szCs w:val="22"/>
        </w:rPr>
        <w:t>ETSI</w:t>
      </w:r>
      <w:r w:rsidR="00192C16" w:rsidRPr="008564BB">
        <w:rPr>
          <w:szCs w:val="22"/>
          <w:lang w:val="ru-RU"/>
        </w:rPr>
        <w:t xml:space="preserve">) </w:t>
      </w:r>
      <w:r>
        <w:rPr>
          <w:szCs w:val="22"/>
          <w:lang w:val="ru-RU"/>
        </w:rPr>
        <w:t>в</w:t>
      </w:r>
      <w:r w:rsidRPr="008564BB">
        <w:rPr>
          <w:szCs w:val="22"/>
          <w:lang w:val="ru-RU"/>
        </w:rPr>
        <w:t xml:space="preserve"> </w:t>
      </w:r>
      <w:r w:rsidR="009B231D">
        <w:rPr>
          <w:szCs w:val="22"/>
          <w:lang w:val="ru-RU"/>
        </w:rPr>
        <w:t xml:space="preserve">разработке </w:t>
      </w:r>
      <w:r>
        <w:rPr>
          <w:szCs w:val="22"/>
          <w:lang w:val="ru-RU"/>
        </w:rPr>
        <w:t>специа</w:t>
      </w:r>
      <w:r w:rsidR="008564BB">
        <w:rPr>
          <w:szCs w:val="22"/>
          <w:lang w:val="ru-RU"/>
        </w:rPr>
        <w:t>лизированных</w:t>
      </w:r>
      <w:r w:rsidRPr="008564BB">
        <w:rPr>
          <w:szCs w:val="22"/>
          <w:lang w:val="ru-RU"/>
        </w:rPr>
        <w:t xml:space="preserve"> </w:t>
      </w:r>
      <w:r>
        <w:rPr>
          <w:szCs w:val="22"/>
          <w:lang w:val="ru-RU"/>
        </w:rPr>
        <w:t>типовых</w:t>
      </w:r>
      <w:r w:rsidRPr="008564BB">
        <w:rPr>
          <w:szCs w:val="22"/>
          <w:lang w:val="ru-RU"/>
        </w:rPr>
        <w:t xml:space="preserve"> </w:t>
      </w:r>
      <w:r>
        <w:rPr>
          <w:szCs w:val="22"/>
          <w:lang w:val="ru-RU"/>
        </w:rPr>
        <w:t>соглашений</w:t>
      </w:r>
      <w:r w:rsidRPr="008564BB">
        <w:rPr>
          <w:szCs w:val="22"/>
          <w:lang w:val="ru-RU"/>
        </w:rPr>
        <w:t xml:space="preserve"> </w:t>
      </w:r>
      <w:r>
        <w:rPr>
          <w:szCs w:val="22"/>
          <w:lang w:val="ru-RU"/>
        </w:rPr>
        <w:t>о</w:t>
      </w:r>
      <w:r w:rsidRPr="008564BB">
        <w:rPr>
          <w:szCs w:val="22"/>
          <w:lang w:val="ru-RU"/>
        </w:rPr>
        <w:t xml:space="preserve"> </w:t>
      </w:r>
      <w:r>
        <w:rPr>
          <w:szCs w:val="22"/>
          <w:lang w:val="ru-RU"/>
        </w:rPr>
        <w:t>передаче</w:t>
      </w:r>
      <w:r w:rsidRPr="008564BB">
        <w:rPr>
          <w:szCs w:val="22"/>
          <w:lang w:val="ru-RU"/>
        </w:rPr>
        <w:t xml:space="preserve"> </w:t>
      </w:r>
      <w:r>
        <w:rPr>
          <w:szCs w:val="22"/>
          <w:lang w:val="ru-RU"/>
        </w:rPr>
        <w:t>спора</w:t>
      </w:r>
      <w:r w:rsidRPr="008564BB">
        <w:rPr>
          <w:szCs w:val="22"/>
          <w:lang w:val="ru-RU"/>
        </w:rPr>
        <w:t xml:space="preserve"> </w:t>
      </w:r>
      <w:r>
        <w:rPr>
          <w:szCs w:val="22"/>
          <w:lang w:val="ru-RU"/>
        </w:rPr>
        <w:t>в</w:t>
      </w:r>
      <w:r w:rsidRPr="008564BB">
        <w:rPr>
          <w:szCs w:val="22"/>
          <w:lang w:val="ru-RU"/>
        </w:rPr>
        <w:t xml:space="preserve"> </w:t>
      </w:r>
      <w:r>
        <w:rPr>
          <w:szCs w:val="22"/>
          <w:lang w:val="ru-RU"/>
        </w:rPr>
        <w:t>арбитраж</w:t>
      </w:r>
      <w:r w:rsidRPr="008564BB">
        <w:rPr>
          <w:szCs w:val="22"/>
          <w:lang w:val="ru-RU"/>
        </w:rPr>
        <w:t xml:space="preserve">, </w:t>
      </w:r>
      <w:r>
        <w:rPr>
          <w:szCs w:val="22"/>
          <w:lang w:val="ru-RU"/>
        </w:rPr>
        <w:t>закладывающих</w:t>
      </w:r>
      <w:r w:rsidRPr="008564BB">
        <w:rPr>
          <w:szCs w:val="22"/>
          <w:lang w:val="ru-RU"/>
        </w:rPr>
        <w:t xml:space="preserve"> </w:t>
      </w:r>
      <w:r>
        <w:rPr>
          <w:szCs w:val="22"/>
          <w:lang w:val="ru-RU"/>
        </w:rPr>
        <w:t>основу</w:t>
      </w:r>
      <w:r w:rsidRPr="008564BB">
        <w:rPr>
          <w:szCs w:val="22"/>
          <w:lang w:val="ru-RU"/>
        </w:rPr>
        <w:t xml:space="preserve"> </w:t>
      </w:r>
      <w:r>
        <w:rPr>
          <w:szCs w:val="22"/>
          <w:lang w:val="ru-RU"/>
        </w:rPr>
        <w:t>для</w:t>
      </w:r>
      <w:r w:rsidRPr="008564BB">
        <w:rPr>
          <w:szCs w:val="22"/>
          <w:lang w:val="ru-RU"/>
        </w:rPr>
        <w:t xml:space="preserve"> </w:t>
      </w:r>
      <w:r>
        <w:rPr>
          <w:szCs w:val="22"/>
          <w:lang w:val="ru-RU"/>
        </w:rPr>
        <w:t>оперативного</w:t>
      </w:r>
      <w:r w:rsidRPr="008564BB">
        <w:rPr>
          <w:szCs w:val="22"/>
          <w:lang w:val="ru-RU"/>
        </w:rPr>
        <w:t xml:space="preserve"> </w:t>
      </w:r>
      <w:r>
        <w:rPr>
          <w:szCs w:val="22"/>
          <w:lang w:val="ru-RU"/>
        </w:rPr>
        <w:t>и</w:t>
      </w:r>
      <w:r w:rsidRPr="008564BB">
        <w:rPr>
          <w:szCs w:val="22"/>
          <w:lang w:val="ru-RU"/>
        </w:rPr>
        <w:t xml:space="preserve"> </w:t>
      </w:r>
      <w:r>
        <w:rPr>
          <w:szCs w:val="22"/>
          <w:lang w:val="ru-RU"/>
        </w:rPr>
        <w:t>экономичного</w:t>
      </w:r>
      <w:r w:rsidRPr="008564BB">
        <w:rPr>
          <w:szCs w:val="22"/>
          <w:lang w:val="ru-RU"/>
        </w:rPr>
        <w:t xml:space="preserve"> </w:t>
      </w:r>
      <w:r>
        <w:rPr>
          <w:szCs w:val="22"/>
          <w:lang w:val="ru-RU"/>
        </w:rPr>
        <w:t>урегулирования</w:t>
      </w:r>
      <w:r w:rsidRPr="008564BB">
        <w:rPr>
          <w:szCs w:val="22"/>
          <w:lang w:val="ru-RU"/>
        </w:rPr>
        <w:t xml:space="preserve"> </w:t>
      </w:r>
      <w:r>
        <w:rPr>
          <w:szCs w:val="22"/>
          <w:lang w:val="ru-RU"/>
        </w:rPr>
        <w:t>споров</w:t>
      </w:r>
      <w:r w:rsidRPr="008564BB">
        <w:rPr>
          <w:szCs w:val="22"/>
          <w:lang w:val="ru-RU"/>
        </w:rPr>
        <w:t xml:space="preserve"> </w:t>
      </w:r>
      <w:r>
        <w:rPr>
          <w:szCs w:val="22"/>
          <w:lang w:val="ru-RU"/>
        </w:rPr>
        <w:t>путем</w:t>
      </w:r>
      <w:r w:rsidRPr="008564BB">
        <w:rPr>
          <w:szCs w:val="22"/>
          <w:lang w:val="ru-RU"/>
        </w:rPr>
        <w:t xml:space="preserve"> </w:t>
      </w:r>
      <w:r w:rsidR="009B231D">
        <w:rPr>
          <w:szCs w:val="22"/>
          <w:lang w:val="ru-RU"/>
        </w:rPr>
        <w:t xml:space="preserve">вынесения </w:t>
      </w:r>
      <w:r w:rsidR="008564BB">
        <w:rPr>
          <w:szCs w:val="22"/>
          <w:lang w:val="ru-RU"/>
        </w:rPr>
        <w:t>справедлив</w:t>
      </w:r>
      <w:r w:rsidR="009B231D">
        <w:rPr>
          <w:szCs w:val="22"/>
          <w:lang w:val="ru-RU"/>
        </w:rPr>
        <w:t>ого</w:t>
      </w:r>
      <w:r w:rsidR="008564BB" w:rsidRPr="008564BB">
        <w:rPr>
          <w:szCs w:val="22"/>
          <w:lang w:val="ru-RU"/>
        </w:rPr>
        <w:t xml:space="preserve">, </w:t>
      </w:r>
      <w:r w:rsidR="008564BB">
        <w:rPr>
          <w:szCs w:val="22"/>
          <w:lang w:val="ru-RU"/>
        </w:rPr>
        <w:t>разумн</w:t>
      </w:r>
      <w:r w:rsidR="009B231D">
        <w:rPr>
          <w:szCs w:val="22"/>
          <w:lang w:val="ru-RU"/>
        </w:rPr>
        <w:t>ого</w:t>
      </w:r>
      <w:r w:rsidR="008564BB" w:rsidRPr="008564BB">
        <w:rPr>
          <w:szCs w:val="22"/>
          <w:lang w:val="ru-RU"/>
        </w:rPr>
        <w:t xml:space="preserve"> </w:t>
      </w:r>
      <w:r w:rsidR="008564BB">
        <w:rPr>
          <w:szCs w:val="22"/>
          <w:lang w:val="ru-RU"/>
        </w:rPr>
        <w:t>и</w:t>
      </w:r>
      <w:r w:rsidR="008564BB" w:rsidRPr="008564BB">
        <w:rPr>
          <w:szCs w:val="22"/>
          <w:lang w:val="ru-RU"/>
        </w:rPr>
        <w:t xml:space="preserve"> </w:t>
      </w:r>
      <w:r w:rsidR="008564BB">
        <w:rPr>
          <w:szCs w:val="22"/>
          <w:lang w:val="ru-RU"/>
        </w:rPr>
        <w:t>недискриминационн</w:t>
      </w:r>
      <w:r w:rsidR="009B231D">
        <w:rPr>
          <w:szCs w:val="22"/>
          <w:lang w:val="ru-RU"/>
        </w:rPr>
        <w:t xml:space="preserve">ого </w:t>
      </w:r>
      <w:r w:rsidR="00192C16" w:rsidRPr="008564BB">
        <w:rPr>
          <w:szCs w:val="22"/>
          <w:lang w:val="ru-RU"/>
        </w:rPr>
        <w:t>(</w:t>
      </w:r>
      <w:r w:rsidR="00192C16" w:rsidRPr="00EA7B9D">
        <w:rPr>
          <w:szCs w:val="22"/>
        </w:rPr>
        <w:t>FRAND</w:t>
      </w:r>
      <w:r w:rsidR="00192C16" w:rsidRPr="008564BB">
        <w:rPr>
          <w:szCs w:val="22"/>
          <w:lang w:val="ru-RU"/>
        </w:rPr>
        <w:t>)</w:t>
      </w:r>
      <w:r w:rsidR="009B231D">
        <w:rPr>
          <w:szCs w:val="22"/>
          <w:lang w:val="ru-RU"/>
        </w:rPr>
        <w:t xml:space="preserve"> решения о лицензировании</w:t>
      </w:r>
      <w:r w:rsidR="00192C16" w:rsidRPr="008564BB">
        <w:rPr>
          <w:szCs w:val="22"/>
          <w:lang w:val="ru-RU"/>
        </w:rPr>
        <w:t>.</w:t>
      </w:r>
      <w:r w:rsidR="00232512">
        <w:rPr>
          <w:rStyle w:val="FootnoteReference"/>
          <w:szCs w:val="22"/>
        </w:rPr>
        <w:footnoteReference w:id="8"/>
      </w:r>
      <w:r w:rsidR="00192C16" w:rsidRPr="008564BB">
        <w:rPr>
          <w:szCs w:val="22"/>
          <w:lang w:val="ru-RU"/>
        </w:rPr>
        <w:t xml:space="preserve">  </w:t>
      </w:r>
      <w:r w:rsidR="00561000">
        <w:rPr>
          <w:szCs w:val="22"/>
          <w:lang w:val="ru-RU"/>
        </w:rPr>
        <w:t>Использование</w:t>
      </w:r>
      <w:r w:rsidR="00561000" w:rsidRPr="00561000">
        <w:rPr>
          <w:szCs w:val="22"/>
          <w:lang w:val="ru-RU"/>
        </w:rPr>
        <w:t xml:space="preserve"> </w:t>
      </w:r>
      <w:r w:rsidR="00561000">
        <w:rPr>
          <w:szCs w:val="22"/>
          <w:lang w:val="ru-RU"/>
        </w:rPr>
        <w:t>механизма</w:t>
      </w:r>
      <w:r w:rsidR="00561000" w:rsidRPr="00561000">
        <w:rPr>
          <w:szCs w:val="22"/>
          <w:lang w:val="ru-RU"/>
        </w:rPr>
        <w:t xml:space="preserve"> </w:t>
      </w:r>
      <w:r w:rsidR="00561000">
        <w:rPr>
          <w:szCs w:val="22"/>
          <w:lang w:val="ru-RU"/>
        </w:rPr>
        <w:t>АУС</w:t>
      </w:r>
      <w:r w:rsidR="009B231D">
        <w:rPr>
          <w:szCs w:val="22"/>
          <w:lang w:val="ru-RU"/>
        </w:rPr>
        <w:t xml:space="preserve"> в связи с такими спорами</w:t>
      </w:r>
      <w:r w:rsidR="00561000" w:rsidRPr="00561000">
        <w:rPr>
          <w:szCs w:val="22"/>
          <w:lang w:val="ru-RU"/>
        </w:rPr>
        <w:t xml:space="preserve"> </w:t>
      </w:r>
      <w:r w:rsidR="00561000">
        <w:rPr>
          <w:szCs w:val="22"/>
          <w:lang w:val="ru-RU"/>
        </w:rPr>
        <w:t>поощряется</w:t>
      </w:r>
      <w:r w:rsidR="00561000" w:rsidRPr="00561000">
        <w:rPr>
          <w:szCs w:val="22"/>
          <w:lang w:val="ru-RU"/>
        </w:rPr>
        <w:t xml:space="preserve"> </w:t>
      </w:r>
      <w:r w:rsidR="00561000">
        <w:rPr>
          <w:szCs w:val="22"/>
          <w:lang w:val="ru-RU"/>
        </w:rPr>
        <w:t>антимонопольными</w:t>
      </w:r>
      <w:r w:rsidR="00561000" w:rsidRPr="00561000">
        <w:rPr>
          <w:szCs w:val="22"/>
          <w:lang w:val="ru-RU"/>
        </w:rPr>
        <w:t xml:space="preserve"> </w:t>
      </w:r>
      <w:r w:rsidR="00561000">
        <w:rPr>
          <w:szCs w:val="22"/>
          <w:lang w:val="ru-RU"/>
        </w:rPr>
        <w:t>органами</w:t>
      </w:r>
      <w:r w:rsidR="00561000" w:rsidRPr="00561000">
        <w:rPr>
          <w:szCs w:val="22"/>
          <w:lang w:val="ru-RU"/>
        </w:rPr>
        <w:t xml:space="preserve"> </w:t>
      </w:r>
      <w:r w:rsidR="00561000">
        <w:rPr>
          <w:szCs w:val="22"/>
          <w:lang w:val="ru-RU"/>
        </w:rPr>
        <w:t>некоторых</w:t>
      </w:r>
      <w:r w:rsidR="00561000" w:rsidRPr="00561000">
        <w:rPr>
          <w:szCs w:val="22"/>
          <w:lang w:val="ru-RU"/>
        </w:rPr>
        <w:t xml:space="preserve"> </w:t>
      </w:r>
      <w:r w:rsidR="00561000">
        <w:rPr>
          <w:szCs w:val="22"/>
          <w:lang w:val="ru-RU"/>
        </w:rPr>
        <w:t>стран</w:t>
      </w:r>
      <w:r w:rsidR="00561000" w:rsidRPr="00561000">
        <w:rPr>
          <w:szCs w:val="22"/>
          <w:lang w:val="ru-RU"/>
        </w:rPr>
        <w:t xml:space="preserve">, </w:t>
      </w:r>
      <w:r w:rsidR="00561000">
        <w:rPr>
          <w:szCs w:val="22"/>
          <w:lang w:val="ru-RU"/>
        </w:rPr>
        <w:t>а</w:t>
      </w:r>
      <w:r w:rsidR="00561000" w:rsidRPr="00561000">
        <w:rPr>
          <w:szCs w:val="22"/>
          <w:lang w:val="ru-RU"/>
        </w:rPr>
        <w:t xml:space="preserve"> </w:t>
      </w:r>
      <w:r w:rsidR="00561000">
        <w:rPr>
          <w:szCs w:val="22"/>
          <w:lang w:val="ru-RU"/>
        </w:rPr>
        <w:t>ряд</w:t>
      </w:r>
      <w:r w:rsidR="00561000" w:rsidRPr="00561000">
        <w:rPr>
          <w:szCs w:val="22"/>
          <w:lang w:val="ru-RU"/>
        </w:rPr>
        <w:t xml:space="preserve"> </w:t>
      </w:r>
      <w:r w:rsidR="00561000">
        <w:rPr>
          <w:szCs w:val="22"/>
          <w:lang w:val="ru-RU"/>
        </w:rPr>
        <w:t xml:space="preserve">нормотворческих организаций включает </w:t>
      </w:r>
      <w:r w:rsidR="009B231D">
        <w:rPr>
          <w:szCs w:val="22"/>
          <w:lang w:val="ru-RU"/>
        </w:rPr>
        <w:t>практику</w:t>
      </w:r>
      <w:r w:rsidR="00561000">
        <w:rPr>
          <w:szCs w:val="22"/>
          <w:lang w:val="ru-RU"/>
        </w:rPr>
        <w:t xml:space="preserve"> АУС в свои стратегии в области ИС.  Типовые</w:t>
      </w:r>
      <w:r w:rsidR="00561000" w:rsidRPr="00561000">
        <w:rPr>
          <w:szCs w:val="22"/>
          <w:lang w:val="ru-RU"/>
        </w:rPr>
        <w:t xml:space="preserve"> </w:t>
      </w:r>
      <w:r w:rsidR="00561000">
        <w:rPr>
          <w:szCs w:val="22"/>
          <w:lang w:val="ru-RU"/>
        </w:rPr>
        <w:t>соглашения</w:t>
      </w:r>
      <w:r w:rsidR="00561000" w:rsidRPr="00561000">
        <w:rPr>
          <w:szCs w:val="22"/>
          <w:lang w:val="ru-RU"/>
        </w:rPr>
        <w:t xml:space="preserve"> </w:t>
      </w:r>
      <w:r w:rsidR="00561000">
        <w:rPr>
          <w:szCs w:val="22"/>
          <w:lang w:val="ru-RU"/>
        </w:rPr>
        <w:t>ВОИС</w:t>
      </w:r>
      <w:r w:rsidR="00561000" w:rsidRPr="00561000">
        <w:rPr>
          <w:szCs w:val="22"/>
          <w:lang w:val="ru-RU"/>
        </w:rPr>
        <w:t xml:space="preserve">, </w:t>
      </w:r>
      <w:r w:rsidR="00561000">
        <w:rPr>
          <w:szCs w:val="22"/>
          <w:lang w:val="ru-RU"/>
        </w:rPr>
        <w:t>заключенные</w:t>
      </w:r>
      <w:r w:rsidR="00561000" w:rsidRPr="00561000">
        <w:rPr>
          <w:szCs w:val="22"/>
          <w:lang w:val="ru-RU"/>
        </w:rPr>
        <w:t xml:space="preserve"> </w:t>
      </w:r>
      <w:r w:rsidR="00561000">
        <w:rPr>
          <w:szCs w:val="22"/>
          <w:lang w:val="ru-RU"/>
        </w:rPr>
        <w:t>на</w:t>
      </w:r>
      <w:r w:rsidR="00561000" w:rsidRPr="00561000">
        <w:rPr>
          <w:szCs w:val="22"/>
          <w:lang w:val="ru-RU"/>
        </w:rPr>
        <w:t xml:space="preserve"> </w:t>
      </w:r>
      <w:r w:rsidR="00561000">
        <w:rPr>
          <w:szCs w:val="22"/>
          <w:lang w:val="ru-RU"/>
        </w:rPr>
        <w:t>условиях</w:t>
      </w:r>
      <w:r w:rsidR="00561000" w:rsidRPr="00561000">
        <w:rPr>
          <w:szCs w:val="22"/>
          <w:lang w:val="ru-RU"/>
        </w:rPr>
        <w:t xml:space="preserve"> </w:t>
      </w:r>
      <w:r w:rsidR="00192C16" w:rsidRPr="00EA7B9D">
        <w:rPr>
          <w:szCs w:val="22"/>
        </w:rPr>
        <w:t>FRAND</w:t>
      </w:r>
      <w:r w:rsidR="00C12EE0">
        <w:rPr>
          <w:szCs w:val="22"/>
          <w:lang w:val="ru-RU"/>
        </w:rPr>
        <w:t xml:space="preserve"> и</w:t>
      </w:r>
      <w:r w:rsidR="00561000" w:rsidRPr="00561000">
        <w:rPr>
          <w:szCs w:val="22"/>
          <w:lang w:val="ru-RU"/>
        </w:rPr>
        <w:t xml:space="preserve"> </w:t>
      </w:r>
      <w:r w:rsidR="00C12EE0">
        <w:rPr>
          <w:szCs w:val="22"/>
          <w:lang w:val="ru-RU"/>
        </w:rPr>
        <w:t xml:space="preserve">находящиеся в широком доступе </w:t>
      </w:r>
      <w:r w:rsidR="00561000">
        <w:rPr>
          <w:szCs w:val="22"/>
          <w:lang w:val="ru-RU"/>
        </w:rPr>
        <w:t>с декабря 2013 г.</w:t>
      </w:r>
      <w:r w:rsidR="00C12EE0">
        <w:rPr>
          <w:szCs w:val="22"/>
          <w:lang w:val="ru-RU"/>
        </w:rPr>
        <w:t>, основаны на опыте</w:t>
      </w:r>
      <w:r w:rsidR="009B231D">
        <w:rPr>
          <w:szCs w:val="22"/>
          <w:lang w:val="ru-RU"/>
        </w:rPr>
        <w:t>, накопленном</w:t>
      </w:r>
      <w:r w:rsidR="00C12EE0">
        <w:rPr>
          <w:szCs w:val="22"/>
          <w:lang w:val="ru-RU"/>
        </w:rPr>
        <w:t xml:space="preserve"> Центр</w:t>
      </w:r>
      <w:r w:rsidR="009B231D">
        <w:rPr>
          <w:szCs w:val="22"/>
          <w:lang w:val="ru-RU"/>
        </w:rPr>
        <w:t>ом</w:t>
      </w:r>
      <w:r w:rsidR="00C12EE0">
        <w:rPr>
          <w:szCs w:val="22"/>
          <w:lang w:val="ru-RU"/>
        </w:rPr>
        <w:t xml:space="preserve"> ВОИС </w:t>
      </w:r>
      <w:r w:rsidR="009B231D">
        <w:rPr>
          <w:szCs w:val="22"/>
          <w:lang w:val="ru-RU"/>
        </w:rPr>
        <w:t xml:space="preserve">при </w:t>
      </w:r>
      <w:r w:rsidR="00C12EE0">
        <w:rPr>
          <w:szCs w:val="22"/>
          <w:lang w:val="ru-RU"/>
        </w:rPr>
        <w:t>арбитраж</w:t>
      </w:r>
      <w:r w:rsidR="009B231D">
        <w:rPr>
          <w:szCs w:val="22"/>
          <w:lang w:val="ru-RU"/>
        </w:rPr>
        <w:t xml:space="preserve">ном рассмотрении </w:t>
      </w:r>
      <w:r w:rsidR="00C12EE0">
        <w:rPr>
          <w:szCs w:val="22"/>
          <w:lang w:val="ru-RU"/>
        </w:rPr>
        <w:t>сложных патентных дел</w:t>
      </w:r>
      <w:r w:rsidR="009B231D">
        <w:rPr>
          <w:szCs w:val="22"/>
          <w:lang w:val="ru-RU"/>
        </w:rPr>
        <w:t>,</w:t>
      </w:r>
      <w:r w:rsidR="00C12EE0">
        <w:rPr>
          <w:szCs w:val="22"/>
          <w:lang w:val="ru-RU"/>
        </w:rPr>
        <w:t xml:space="preserve"> и </w:t>
      </w:r>
      <w:r w:rsidR="009B231D">
        <w:rPr>
          <w:szCs w:val="22"/>
          <w:lang w:val="ru-RU"/>
        </w:rPr>
        <w:t xml:space="preserve">предлагают </w:t>
      </w:r>
      <w:r w:rsidR="00C12EE0">
        <w:rPr>
          <w:szCs w:val="22"/>
          <w:lang w:val="ru-RU"/>
        </w:rPr>
        <w:t xml:space="preserve">ряд </w:t>
      </w:r>
      <w:r w:rsidR="009B231D">
        <w:rPr>
          <w:szCs w:val="22"/>
          <w:lang w:val="ru-RU"/>
        </w:rPr>
        <w:t xml:space="preserve">возможностей в рамках концепции </w:t>
      </w:r>
      <w:r w:rsidR="009B0480" w:rsidRPr="00EA7B9D">
        <w:rPr>
          <w:szCs w:val="22"/>
        </w:rPr>
        <w:t>FRAND</w:t>
      </w:r>
      <w:r w:rsidR="00C12EE0">
        <w:rPr>
          <w:szCs w:val="22"/>
          <w:lang w:val="ru-RU"/>
        </w:rPr>
        <w:t xml:space="preserve">.  </w:t>
      </w:r>
      <w:r w:rsidR="009B231D">
        <w:rPr>
          <w:szCs w:val="22"/>
          <w:lang w:val="ru-RU"/>
        </w:rPr>
        <w:t>В частности предусматриваются</w:t>
      </w:r>
      <w:r w:rsidR="00C12EE0" w:rsidRPr="00522DA8">
        <w:rPr>
          <w:szCs w:val="22"/>
          <w:lang w:val="ru-RU"/>
        </w:rPr>
        <w:t xml:space="preserve"> </w:t>
      </w:r>
      <w:r w:rsidR="00C12EE0">
        <w:rPr>
          <w:szCs w:val="22"/>
          <w:lang w:val="ru-RU"/>
        </w:rPr>
        <w:t>две</w:t>
      </w:r>
      <w:r w:rsidR="00C12EE0" w:rsidRPr="00522DA8">
        <w:rPr>
          <w:szCs w:val="22"/>
          <w:lang w:val="ru-RU"/>
        </w:rPr>
        <w:t xml:space="preserve"> </w:t>
      </w:r>
      <w:r w:rsidR="00C12EE0">
        <w:rPr>
          <w:szCs w:val="22"/>
          <w:lang w:val="ru-RU"/>
        </w:rPr>
        <w:t>разные</w:t>
      </w:r>
      <w:r w:rsidR="00C12EE0" w:rsidRPr="00522DA8">
        <w:rPr>
          <w:szCs w:val="22"/>
          <w:lang w:val="ru-RU"/>
        </w:rPr>
        <w:t xml:space="preserve"> </w:t>
      </w:r>
      <w:r w:rsidR="009B231D">
        <w:rPr>
          <w:szCs w:val="22"/>
          <w:lang w:val="ru-RU"/>
        </w:rPr>
        <w:t>модели</w:t>
      </w:r>
      <w:r w:rsidR="00C12EE0" w:rsidRPr="00522DA8">
        <w:rPr>
          <w:szCs w:val="22"/>
          <w:lang w:val="ru-RU"/>
        </w:rPr>
        <w:t xml:space="preserve">: </w:t>
      </w:r>
      <w:r w:rsidR="00192C16" w:rsidRPr="00522DA8">
        <w:rPr>
          <w:szCs w:val="22"/>
          <w:lang w:val="ru-RU"/>
        </w:rPr>
        <w:t>(</w:t>
      </w:r>
      <w:proofErr w:type="spellStart"/>
      <w:r w:rsidR="00192C16" w:rsidRPr="00EA7B9D">
        <w:rPr>
          <w:szCs w:val="22"/>
        </w:rPr>
        <w:t>i</w:t>
      </w:r>
      <w:proofErr w:type="spellEnd"/>
      <w:r w:rsidR="00192C16" w:rsidRPr="00522DA8">
        <w:rPr>
          <w:szCs w:val="22"/>
          <w:lang w:val="ru-RU"/>
        </w:rPr>
        <w:t xml:space="preserve">) </w:t>
      </w:r>
      <w:r w:rsidR="00C12EE0">
        <w:rPr>
          <w:szCs w:val="22"/>
          <w:lang w:val="ru-RU"/>
        </w:rPr>
        <w:t>арбитраж</w:t>
      </w:r>
      <w:r w:rsidR="00C12EE0" w:rsidRPr="00522DA8">
        <w:rPr>
          <w:szCs w:val="22"/>
          <w:lang w:val="ru-RU"/>
        </w:rPr>
        <w:t xml:space="preserve"> </w:t>
      </w:r>
      <w:r w:rsidR="00C12EE0">
        <w:rPr>
          <w:szCs w:val="22"/>
          <w:lang w:val="ru-RU"/>
        </w:rPr>
        <w:t>ВОИС</w:t>
      </w:r>
      <w:r w:rsidR="00C12EE0" w:rsidRPr="00522DA8">
        <w:rPr>
          <w:szCs w:val="22"/>
          <w:lang w:val="ru-RU"/>
        </w:rPr>
        <w:t xml:space="preserve"> </w:t>
      </w:r>
      <w:r w:rsidR="009B231D">
        <w:rPr>
          <w:szCs w:val="22"/>
          <w:lang w:val="ru-RU"/>
        </w:rPr>
        <w:t xml:space="preserve">на условиях </w:t>
      </w:r>
      <w:r w:rsidR="00192C16" w:rsidRPr="00EA7B9D">
        <w:rPr>
          <w:szCs w:val="22"/>
        </w:rPr>
        <w:t>FRAND</w:t>
      </w:r>
      <w:r w:rsidR="00192C16" w:rsidRPr="00522DA8">
        <w:rPr>
          <w:szCs w:val="22"/>
          <w:lang w:val="ru-RU"/>
        </w:rPr>
        <w:t xml:space="preserve"> </w:t>
      </w:r>
      <w:r w:rsidR="00C12EE0">
        <w:rPr>
          <w:szCs w:val="22"/>
          <w:lang w:val="ru-RU"/>
        </w:rPr>
        <w:t>и</w:t>
      </w:r>
      <w:r w:rsidR="00192C16" w:rsidRPr="00522DA8">
        <w:rPr>
          <w:szCs w:val="22"/>
          <w:lang w:val="ru-RU"/>
        </w:rPr>
        <w:t xml:space="preserve"> (</w:t>
      </w:r>
      <w:r w:rsidR="00192C16" w:rsidRPr="00EA7B9D">
        <w:rPr>
          <w:szCs w:val="22"/>
        </w:rPr>
        <w:t>ii</w:t>
      </w:r>
      <w:r w:rsidR="00192C16" w:rsidRPr="00522DA8">
        <w:rPr>
          <w:szCs w:val="22"/>
          <w:lang w:val="ru-RU"/>
        </w:rPr>
        <w:t>)</w:t>
      </w:r>
      <w:r w:rsidR="00522DA8">
        <w:rPr>
          <w:szCs w:val="22"/>
          <w:lang w:val="ru-RU"/>
        </w:rPr>
        <w:t xml:space="preserve"> </w:t>
      </w:r>
      <w:r w:rsidR="009B231D">
        <w:rPr>
          <w:szCs w:val="22"/>
          <w:lang w:val="ru-RU"/>
        </w:rPr>
        <w:t xml:space="preserve">ускоренный арбитраж ВОИС на условиях </w:t>
      </w:r>
      <w:r w:rsidR="009B231D" w:rsidRPr="00EA7B9D">
        <w:rPr>
          <w:szCs w:val="22"/>
        </w:rPr>
        <w:t>FRAND</w:t>
      </w:r>
      <w:r w:rsidR="009B231D">
        <w:rPr>
          <w:szCs w:val="22"/>
          <w:lang w:val="ru-RU"/>
        </w:rPr>
        <w:t xml:space="preserve"> </w:t>
      </w:r>
      <w:r w:rsidR="00522DA8">
        <w:rPr>
          <w:szCs w:val="22"/>
          <w:lang w:val="ru-RU"/>
        </w:rPr>
        <w:t xml:space="preserve">для менее сложных </w:t>
      </w:r>
      <w:r w:rsidR="009B231D">
        <w:rPr>
          <w:szCs w:val="22"/>
          <w:lang w:val="ru-RU"/>
        </w:rPr>
        <w:t xml:space="preserve">случаев с </w:t>
      </w:r>
      <w:r w:rsidR="00522DA8">
        <w:rPr>
          <w:szCs w:val="22"/>
          <w:lang w:val="ru-RU"/>
        </w:rPr>
        <w:t>ограниченн</w:t>
      </w:r>
      <w:r w:rsidR="009B231D">
        <w:rPr>
          <w:szCs w:val="22"/>
          <w:lang w:val="ru-RU"/>
        </w:rPr>
        <w:t>ым</w:t>
      </w:r>
      <w:r w:rsidR="00522DA8">
        <w:rPr>
          <w:szCs w:val="22"/>
          <w:lang w:val="ru-RU"/>
        </w:rPr>
        <w:t xml:space="preserve"> число</w:t>
      </w:r>
      <w:r w:rsidR="009B231D">
        <w:rPr>
          <w:szCs w:val="22"/>
          <w:lang w:val="ru-RU"/>
        </w:rPr>
        <w:t>м</w:t>
      </w:r>
      <w:r w:rsidR="00522DA8">
        <w:rPr>
          <w:szCs w:val="22"/>
          <w:lang w:val="ru-RU"/>
        </w:rPr>
        <w:t xml:space="preserve"> </w:t>
      </w:r>
      <w:r w:rsidR="00CB6011">
        <w:rPr>
          <w:szCs w:val="22"/>
          <w:lang w:val="ru-RU"/>
        </w:rPr>
        <w:t xml:space="preserve">патентов, имеющих определяющее значения для выполнения стандарта, </w:t>
      </w:r>
      <w:r w:rsidR="009B231D">
        <w:rPr>
          <w:szCs w:val="22"/>
          <w:lang w:val="ru-RU"/>
        </w:rPr>
        <w:t>которые будут переданы в</w:t>
      </w:r>
      <w:r w:rsidR="00980646">
        <w:rPr>
          <w:szCs w:val="22"/>
          <w:lang w:val="ru-RU"/>
        </w:rPr>
        <w:t xml:space="preserve"> </w:t>
      </w:r>
      <w:r w:rsidR="00980646">
        <w:rPr>
          <w:szCs w:val="22"/>
          <w:lang w:val="ru-RU"/>
        </w:rPr>
        <w:lastRenderedPageBreak/>
        <w:t>арбитраж</w:t>
      </w:r>
      <w:r w:rsidR="00192C16" w:rsidRPr="00522DA8">
        <w:rPr>
          <w:szCs w:val="22"/>
          <w:lang w:val="ru-RU"/>
        </w:rPr>
        <w:t xml:space="preserve">.  </w:t>
      </w:r>
      <w:r w:rsidR="00C51FF3">
        <w:rPr>
          <w:szCs w:val="22"/>
          <w:lang w:val="ru-RU"/>
        </w:rPr>
        <w:t>Пр</w:t>
      </w:r>
      <w:r w:rsidR="00BB4BB2">
        <w:rPr>
          <w:szCs w:val="22"/>
          <w:lang w:val="ru-RU"/>
        </w:rPr>
        <w:t xml:space="preserve">и желании сторон, прежде </w:t>
      </w:r>
      <w:r w:rsidR="00C51FF3">
        <w:rPr>
          <w:szCs w:val="22"/>
          <w:lang w:val="ru-RU"/>
        </w:rPr>
        <w:t>чем</w:t>
      </w:r>
      <w:r w:rsidR="00C51FF3" w:rsidRPr="00C51FF3">
        <w:rPr>
          <w:szCs w:val="22"/>
          <w:lang w:val="ru-RU"/>
        </w:rPr>
        <w:t xml:space="preserve"> </w:t>
      </w:r>
      <w:r w:rsidR="00BB4BB2">
        <w:rPr>
          <w:szCs w:val="22"/>
          <w:lang w:val="ru-RU"/>
        </w:rPr>
        <w:t xml:space="preserve">использовать </w:t>
      </w:r>
      <w:r w:rsidR="00C51FF3">
        <w:rPr>
          <w:szCs w:val="22"/>
          <w:lang w:val="ru-RU"/>
        </w:rPr>
        <w:t>люб</w:t>
      </w:r>
      <w:r w:rsidR="00BB4BB2">
        <w:rPr>
          <w:szCs w:val="22"/>
          <w:lang w:val="ru-RU"/>
        </w:rPr>
        <w:t>ую</w:t>
      </w:r>
      <w:r w:rsidR="00C51FF3" w:rsidRPr="00C51FF3">
        <w:rPr>
          <w:szCs w:val="22"/>
          <w:lang w:val="ru-RU"/>
        </w:rPr>
        <w:t xml:space="preserve"> </w:t>
      </w:r>
      <w:r w:rsidR="00C51FF3">
        <w:rPr>
          <w:szCs w:val="22"/>
          <w:lang w:val="ru-RU"/>
        </w:rPr>
        <w:t>из</w:t>
      </w:r>
      <w:r w:rsidR="00C51FF3" w:rsidRPr="00C51FF3">
        <w:rPr>
          <w:szCs w:val="22"/>
          <w:lang w:val="ru-RU"/>
        </w:rPr>
        <w:t xml:space="preserve"> </w:t>
      </w:r>
      <w:r w:rsidR="00BB4BB2">
        <w:rPr>
          <w:szCs w:val="22"/>
          <w:lang w:val="ru-RU"/>
        </w:rPr>
        <w:t>названных моделей</w:t>
      </w:r>
      <w:r w:rsidR="00C51FF3" w:rsidRPr="00C51FF3">
        <w:rPr>
          <w:szCs w:val="22"/>
          <w:lang w:val="ru-RU"/>
        </w:rPr>
        <w:t xml:space="preserve">, </w:t>
      </w:r>
      <w:r w:rsidR="00C51FF3">
        <w:rPr>
          <w:szCs w:val="22"/>
          <w:lang w:val="ru-RU"/>
        </w:rPr>
        <w:t>мож</w:t>
      </w:r>
      <w:r w:rsidR="00BB4BB2">
        <w:rPr>
          <w:szCs w:val="22"/>
          <w:lang w:val="ru-RU"/>
        </w:rPr>
        <w:t xml:space="preserve">но обратиться за </w:t>
      </w:r>
      <w:r w:rsidR="00C51FF3">
        <w:rPr>
          <w:szCs w:val="22"/>
          <w:lang w:val="ru-RU"/>
        </w:rPr>
        <w:t>посредничеств</w:t>
      </w:r>
      <w:r w:rsidR="00BB4BB2">
        <w:rPr>
          <w:szCs w:val="22"/>
          <w:lang w:val="ru-RU"/>
        </w:rPr>
        <w:t>ом в</w:t>
      </w:r>
      <w:r w:rsidR="00C51FF3">
        <w:rPr>
          <w:szCs w:val="22"/>
          <w:lang w:val="ru-RU"/>
        </w:rPr>
        <w:t xml:space="preserve"> ВОИС.  </w:t>
      </w:r>
      <w:r w:rsidR="005517ED">
        <w:rPr>
          <w:szCs w:val="22"/>
          <w:lang w:val="ru-RU"/>
        </w:rPr>
        <w:t xml:space="preserve">С учетом процента </w:t>
      </w:r>
      <w:r w:rsidR="00C51FF3">
        <w:rPr>
          <w:szCs w:val="22"/>
          <w:lang w:val="ru-RU"/>
        </w:rPr>
        <w:t>урегулированных</w:t>
      </w:r>
      <w:r w:rsidR="00C51FF3" w:rsidRPr="00C51FF3">
        <w:rPr>
          <w:szCs w:val="22"/>
          <w:lang w:val="ru-RU"/>
        </w:rPr>
        <w:t xml:space="preserve"> </w:t>
      </w:r>
      <w:r w:rsidR="00C51FF3">
        <w:rPr>
          <w:szCs w:val="22"/>
          <w:lang w:val="ru-RU"/>
        </w:rPr>
        <w:t>споров</w:t>
      </w:r>
      <w:r w:rsidR="00C51FF3" w:rsidRPr="00C51FF3">
        <w:rPr>
          <w:szCs w:val="22"/>
          <w:lang w:val="ru-RU"/>
        </w:rPr>
        <w:t xml:space="preserve"> </w:t>
      </w:r>
      <w:r w:rsidR="00C51FF3">
        <w:rPr>
          <w:szCs w:val="22"/>
          <w:lang w:val="ru-RU"/>
        </w:rPr>
        <w:t>с привлечением посредничес</w:t>
      </w:r>
      <w:r w:rsidR="005517ED">
        <w:rPr>
          <w:szCs w:val="22"/>
          <w:lang w:val="ru-RU"/>
        </w:rPr>
        <w:t>ких услуг ВОИС</w:t>
      </w:r>
      <w:r w:rsidR="00C51FF3">
        <w:rPr>
          <w:szCs w:val="22"/>
          <w:lang w:val="ru-RU"/>
        </w:rPr>
        <w:t xml:space="preserve"> </w:t>
      </w:r>
      <w:r w:rsidR="00192C16" w:rsidRPr="00C51FF3">
        <w:rPr>
          <w:szCs w:val="22"/>
          <w:lang w:val="ru-RU"/>
        </w:rPr>
        <w:t xml:space="preserve">(70%) </w:t>
      </w:r>
      <w:r w:rsidR="00C51FF3">
        <w:rPr>
          <w:szCs w:val="22"/>
          <w:lang w:val="ru-RU"/>
        </w:rPr>
        <w:t>и</w:t>
      </w:r>
      <w:r w:rsidR="005517ED">
        <w:rPr>
          <w:szCs w:val="22"/>
          <w:lang w:val="ru-RU"/>
        </w:rPr>
        <w:t xml:space="preserve"> услуг</w:t>
      </w:r>
      <w:r w:rsidR="00C51FF3" w:rsidRPr="00C51FF3">
        <w:rPr>
          <w:szCs w:val="22"/>
          <w:lang w:val="ru-RU"/>
        </w:rPr>
        <w:t xml:space="preserve"> </w:t>
      </w:r>
      <w:r w:rsidR="00C51FF3">
        <w:rPr>
          <w:szCs w:val="22"/>
          <w:lang w:val="ru-RU"/>
        </w:rPr>
        <w:t>(ускоренно</w:t>
      </w:r>
      <w:r w:rsidR="005517ED">
        <w:rPr>
          <w:szCs w:val="22"/>
          <w:lang w:val="ru-RU"/>
        </w:rPr>
        <w:t>го</w:t>
      </w:r>
      <w:r w:rsidR="00C51FF3">
        <w:rPr>
          <w:szCs w:val="22"/>
          <w:lang w:val="ru-RU"/>
        </w:rPr>
        <w:t>) арбитраж</w:t>
      </w:r>
      <w:r w:rsidR="005517ED">
        <w:rPr>
          <w:szCs w:val="22"/>
          <w:lang w:val="ru-RU"/>
        </w:rPr>
        <w:t>а</w:t>
      </w:r>
      <w:r w:rsidR="00192C16" w:rsidRPr="00C51FF3">
        <w:rPr>
          <w:szCs w:val="22"/>
          <w:lang w:val="ru-RU"/>
        </w:rPr>
        <w:t xml:space="preserve"> (40%) </w:t>
      </w:r>
      <w:r w:rsidR="006F327E">
        <w:rPr>
          <w:szCs w:val="22"/>
          <w:lang w:val="ru-RU"/>
        </w:rPr>
        <w:t>передача спор</w:t>
      </w:r>
      <w:r w:rsidR="005517ED">
        <w:rPr>
          <w:szCs w:val="22"/>
          <w:lang w:val="ru-RU"/>
        </w:rPr>
        <w:t xml:space="preserve">а </w:t>
      </w:r>
      <w:r w:rsidR="006F327E">
        <w:rPr>
          <w:szCs w:val="22"/>
          <w:lang w:val="ru-RU"/>
        </w:rPr>
        <w:t xml:space="preserve">для </w:t>
      </w:r>
      <w:r w:rsidR="005517ED">
        <w:rPr>
          <w:szCs w:val="22"/>
          <w:lang w:val="ru-RU"/>
        </w:rPr>
        <w:t xml:space="preserve">рассмотрения на основе </w:t>
      </w:r>
      <w:r w:rsidR="006F327E">
        <w:rPr>
          <w:szCs w:val="22"/>
          <w:lang w:val="ru-RU"/>
        </w:rPr>
        <w:t xml:space="preserve">предлагаемых ВОИС процедур </w:t>
      </w:r>
      <w:r w:rsidR="00C51FF3">
        <w:rPr>
          <w:szCs w:val="22"/>
          <w:lang w:val="ru-RU"/>
        </w:rPr>
        <w:t xml:space="preserve">может </w:t>
      </w:r>
      <w:r w:rsidR="006F327E">
        <w:rPr>
          <w:szCs w:val="22"/>
          <w:lang w:val="ru-RU"/>
        </w:rPr>
        <w:t xml:space="preserve">создать позитивные возможности для </w:t>
      </w:r>
      <w:r w:rsidR="005517ED">
        <w:rPr>
          <w:szCs w:val="22"/>
          <w:lang w:val="ru-RU"/>
        </w:rPr>
        <w:t>его разрешения на усло</w:t>
      </w:r>
      <w:r w:rsidR="006F327E">
        <w:rPr>
          <w:szCs w:val="22"/>
          <w:lang w:val="ru-RU"/>
        </w:rPr>
        <w:t xml:space="preserve">виях </w:t>
      </w:r>
      <w:r w:rsidR="00192C16" w:rsidRPr="005517ED">
        <w:rPr>
          <w:szCs w:val="22"/>
        </w:rPr>
        <w:t>FRAND</w:t>
      </w:r>
      <w:r w:rsidR="00192C16" w:rsidRPr="00C51FF3">
        <w:rPr>
          <w:szCs w:val="22"/>
          <w:lang w:val="ru-RU"/>
        </w:rPr>
        <w:t>.</w:t>
      </w:r>
    </w:p>
    <w:p w:rsidR="00192C16" w:rsidRPr="00C51FF3" w:rsidRDefault="00192C16" w:rsidP="00192C16">
      <w:pPr>
        <w:pStyle w:val="Heading3"/>
        <w:spacing w:before="0" w:after="0"/>
        <w:ind w:left="1100" w:hanging="550"/>
        <w:rPr>
          <w:szCs w:val="22"/>
          <w:u w:val="none"/>
          <w:lang w:val="ru-RU"/>
        </w:rPr>
      </w:pPr>
    </w:p>
    <w:p w:rsidR="00192C16" w:rsidRPr="00CE4DAB" w:rsidRDefault="00CE4DAB" w:rsidP="00192C16">
      <w:pPr>
        <w:pStyle w:val="Heading3"/>
        <w:numPr>
          <w:ilvl w:val="0"/>
          <w:numId w:val="7"/>
        </w:numPr>
        <w:spacing w:before="0" w:after="0"/>
        <w:rPr>
          <w:szCs w:val="22"/>
          <w:lang w:val="ru-RU"/>
        </w:rPr>
      </w:pPr>
      <w:r>
        <w:rPr>
          <w:lang w:val="ru-RU"/>
        </w:rPr>
        <w:t>Урегулирование споров, связанных с НИОКР</w:t>
      </w:r>
    </w:p>
    <w:p w:rsidR="00192C16" w:rsidRPr="00CE4DAB" w:rsidRDefault="00192C16" w:rsidP="00192C16">
      <w:pPr>
        <w:rPr>
          <w:rStyle w:val="ONUMEChar"/>
          <w:lang w:val="ru-RU"/>
        </w:rPr>
      </w:pPr>
    </w:p>
    <w:p w:rsidR="00192C16" w:rsidRPr="00AC7FA2" w:rsidRDefault="00CE4DAB" w:rsidP="00EA7B9D">
      <w:pPr>
        <w:pStyle w:val="ListParagraph"/>
        <w:numPr>
          <w:ilvl w:val="0"/>
          <w:numId w:val="10"/>
        </w:numPr>
        <w:tabs>
          <w:tab w:val="left" w:pos="567"/>
        </w:tabs>
        <w:ind w:left="0" w:firstLine="0"/>
        <w:rPr>
          <w:lang w:val="ru-RU"/>
        </w:rPr>
      </w:pPr>
      <w:r w:rsidRPr="00CE4DAB">
        <w:rPr>
          <w:lang w:val="ru-RU"/>
        </w:rPr>
        <w:t>Еще одн</w:t>
      </w:r>
      <w:r>
        <w:rPr>
          <w:lang w:val="ru-RU"/>
        </w:rPr>
        <w:t>им</w:t>
      </w:r>
      <w:r w:rsidRPr="00CE4DAB">
        <w:rPr>
          <w:lang w:val="ru-RU"/>
        </w:rPr>
        <w:t xml:space="preserve"> </w:t>
      </w:r>
      <w:r>
        <w:rPr>
          <w:lang w:val="ru-RU"/>
        </w:rPr>
        <w:t xml:space="preserve">направлением </w:t>
      </w:r>
      <w:r w:rsidRPr="00CE4DAB">
        <w:rPr>
          <w:lang w:val="ru-RU"/>
        </w:rPr>
        <w:t xml:space="preserve">деятельности Центра является предоставление консультаций и услуг </w:t>
      </w:r>
      <w:r>
        <w:rPr>
          <w:lang w:val="ru-RU"/>
        </w:rPr>
        <w:t xml:space="preserve">по </w:t>
      </w:r>
      <w:r w:rsidRPr="00CE4DAB">
        <w:rPr>
          <w:lang w:val="ru-RU"/>
        </w:rPr>
        <w:t>рассмотрени</w:t>
      </w:r>
      <w:r>
        <w:rPr>
          <w:lang w:val="ru-RU"/>
        </w:rPr>
        <w:t>ю</w:t>
      </w:r>
      <w:r w:rsidRPr="00CE4DAB">
        <w:rPr>
          <w:lang w:val="ru-RU"/>
        </w:rPr>
        <w:t xml:space="preserve"> жалоб</w:t>
      </w:r>
      <w:r w:rsidR="004237BD">
        <w:rPr>
          <w:lang w:val="ru-RU"/>
        </w:rPr>
        <w:t xml:space="preserve">, помогающих </w:t>
      </w:r>
      <w:r w:rsidRPr="00CE4DAB">
        <w:rPr>
          <w:lang w:val="ru-RU"/>
        </w:rPr>
        <w:t>сторонам разреш</w:t>
      </w:r>
      <w:r w:rsidR="004237BD">
        <w:rPr>
          <w:lang w:val="ru-RU"/>
        </w:rPr>
        <w:t xml:space="preserve">ать </w:t>
      </w:r>
      <w:r w:rsidRPr="00CE4DAB">
        <w:rPr>
          <w:lang w:val="ru-RU"/>
        </w:rPr>
        <w:t>спор</w:t>
      </w:r>
      <w:r w:rsidR="004237BD">
        <w:rPr>
          <w:lang w:val="ru-RU"/>
        </w:rPr>
        <w:t>ы</w:t>
      </w:r>
      <w:r w:rsidRPr="00CE4DAB">
        <w:rPr>
          <w:lang w:val="ru-RU"/>
        </w:rPr>
        <w:t xml:space="preserve"> </w:t>
      </w:r>
      <w:r w:rsidR="004237BD">
        <w:rPr>
          <w:lang w:val="ru-RU"/>
        </w:rPr>
        <w:t xml:space="preserve">в области </w:t>
      </w:r>
      <w:r w:rsidRPr="00CE4DAB">
        <w:rPr>
          <w:lang w:val="ru-RU"/>
        </w:rPr>
        <w:t xml:space="preserve">НИОКР и передачи технологий. </w:t>
      </w:r>
      <w:r>
        <w:rPr>
          <w:lang w:val="ru-RU"/>
        </w:rPr>
        <w:t xml:space="preserve"> </w:t>
      </w:r>
      <w:r w:rsidRPr="00CE4DAB">
        <w:rPr>
          <w:lang w:val="ru-RU"/>
        </w:rPr>
        <w:t>Стороны, сотрудничающие в сфере НИОКР, часто используют типовые соглашения в качестве основы для подготовки и согласования своих научно-исследовательских контрактов</w:t>
      </w:r>
      <w:r w:rsidR="009B0480" w:rsidRPr="00CE4DAB">
        <w:rPr>
          <w:lang w:val="ru-RU"/>
        </w:rPr>
        <w:t>.</w:t>
      </w:r>
      <w:r w:rsidR="00232512">
        <w:rPr>
          <w:rStyle w:val="FootnoteReference"/>
        </w:rPr>
        <w:footnoteReference w:id="9"/>
      </w:r>
      <w:r w:rsidR="00192C16" w:rsidRPr="00CE4DAB">
        <w:rPr>
          <w:lang w:val="ru-RU"/>
        </w:rPr>
        <w:t xml:space="preserve">  </w:t>
      </w:r>
      <w:r>
        <w:rPr>
          <w:lang w:val="ru-RU"/>
        </w:rPr>
        <w:t>В</w:t>
      </w:r>
      <w:r w:rsidRPr="00CE4DAB">
        <w:rPr>
          <w:lang w:val="ru-RU"/>
        </w:rPr>
        <w:t xml:space="preserve"> </w:t>
      </w:r>
      <w:r w:rsidR="00192C16" w:rsidRPr="00CE4DAB">
        <w:rPr>
          <w:lang w:val="ru-RU"/>
        </w:rPr>
        <w:t>2013</w:t>
      </w:r>
      <w:r w:rsidRPr="00CE4DAB">
        <w:t> </w:t>
      </w:r>
      <w:r>
        <w:rPr>
          <w:lang w:val="ru-RU"/>
        </w:rPr>
        <w:t>г</w:t>
      </w:r>
      <w:r w:rsidRPr="00CE4DAB">
        <w:rPr>
          <w:lang w:val="ru-RU"/>
        </w:rPr>
        <w:t xml:space="preserve">. </w:t>
      </w:r>
      <w:r>
        <w:rPr>
          <w:lang w:val="ru-RU"/>
        </w:rPr>
        <w:t>Центр</w:t>
      </w:r>
      <w:r w:rsidRPr="00CE4DAB">
        <w:rPr>
          <w:lang w:val="ru-RU"/>
        </w:rPr>
        <w:t xml:space="preserve"> </w:t>
      </w:r>
      <w:r w:rsidR="004237BD">
        <w:rPr>
          <w:lang w:val="ru-RU"/>
        </w:rPr>
        <w:t xml:space="preserve">взаимодействовал </w:t>
      </w:r>
      <w:r>
        <w:rPr>
          <w:lang w:val="ru-RU"/>
        </w:rPr>
        <w:t>с</w:t>
      </w:r>
      <w:r w:rsidRPr="00CE4DAB">
        <w:rPr>
          <w:lang w:val="ru-RU"/>
        </w:rPr>
        <w:t xml:space="preserve"> </w:t>
      </w:r>
      <w:r>
        <w:rPr>
          <w:lang w:val="ru-RU"/>
        </w:rPr>
        <w:t>австрийскими</w:t>
      </w:r>
      <w:r w:rsidRPr="00CE4DAB">
        <w:rPr>
          <w:lang w:val="ru-RU"/>
        </w:rPr>
        <w:t xml:space="preserve"> </w:t>
      </w:r>
      <w:r>
        <w:rPr>
          <w:lang w:val="ru-RU"/>
        </w:rPr>
        <w:t>университетами</w:t>
      </w:r>
      <w:r w:rsidRPr="00CE4DAB">
        <w:rPr>
          <w:lang w:val="ru-RU"/>
        </w:rPr>
        <w:t xml:space="preserve"> </w:t>
      </w:r>
      <w:r>
        <w:rPr>
          <w:lang w:val="ru-RU"/>
        </w:rPr>
        <w:t>и</w:t>
      </w:r>
      <w:r w:rsidRPr="00CE4DAB">
        <w:rPr>
          <w:lang w:val="ru-RU"/>
        </w:rPr>
        <w:t xml:space="preserve"> </w:t>
      </w:r>
      <w:r>
        <w:rPr>
          <w:lang w:val="ru-RU"/>
        </w:rPr>
        <w:t>компаниями</w:t>
      </w:r>
      <w:r w:rsidRPr="00CE4DAB">
        <w:rPr>
          <w:lang w:val="ru-RU"/>
        </w:rPr>
        <w:t xml:space="preserve"> </w:t>
      </w:r>
      <w:r w:rsidR="00AC7FA2">
        <w:rPr>
          <w:lang w:val="ru-RU"/>
        </w:rPr>
        <w:t xml:space="preserve">в интересах создания </w:t>
      </w:r>
      <w:r>
        <w:rPr>
          <w:lang w:val="ru-RU"/>
        </w:rPr>
        <w:t>типовых</w:t>
      </w:r>
      <w:r w:rsidRPr="00CE4DAB">
        <w:rPr>
          <w:lang w:val="ru-RU"/>
        </w:rPr>
        <w:t xml:space="preserve"> </w:t>
      </w:r>
      <w:r>
        <w:rPr>
          <w:lang w:val="ru-RU"/>
        </w:rPr>
        <w:t>соглашений</w:t>
      </w:r>
      <w:r w:rsidRPr="00CE4DAB">
        <w:rPr>
          <w:lang w:val="ru-RU"/>
        </w:rPr>
        <w:t xml:space="preserve"> (</w:t>
      </w:r>
      <w:r>
        <w:rPr>
          <w:lang w:val="ru-RU"/>
        </w:rPr>
        <w:t>«Руководство</w:t>
      </w:r>
      <w:r w:rsidRPr="00CE4DAB">
        <w:rPr>
          <w:lang w:val="ru-RU"/>
        </w:rPr>
        <w:t xml:space="preserve"> </w:t>
      </w:r>
      <w:r>
        <w:rPr>
          <w:lang w:val="ru-RU"/>
        </w:rPr>
        <w:t>по</w:t>
      </w:r>
      <w:r w:rsidRPr="00CE4DAB">
        <w:rPr>
          <w:lang w:val="ru-RU"/>
        </w:rPr>
        <w:t xml:space="preserve"> </w:t>
      </w:r>
      <w:r>
        <w:rPr>
          <w:lang w:val="ru-RU"/>
        </w:rPr>
        <w:t>соглашениям</w:t>
      </w:r>
      <w:r w:rsidRPr="00CE4DAB">
        <w:rPr>
          <w:lang w:val="ru-RU"/>
        </w:rPr>
        <w:t xml:space="preserve"> </w:t>
      </w:r>
      <w:r>
        <w:rPr>
          <w:lang w:val="ru-RU"/>
        </w:rPr>
        <w:t>в</w:t>
      </w:r>
      <w:r w:rsidRPr="00CE4DAB">
        <w:rPr>
          <w:lang w:val="ru-RU"/>
        </w:rPr>
        <w:t xml:space="preserve"> </w:t>
      </w:r>
      <w:r>
        <w:rPr>
          <w:lang w:val="ru-RU"/>
        </w:rPr>
        <w:t>области</w:t>
      </w:r>
      <w:r w:rsidRPr="00CE4DAB">
        <w:rPr>
          <w:lang w:val="ru-RU"/>
        </w:rPr>
        <w:t xml:space="preserve"> </w:t>
      </w:r>
      <w:r>
        <w:rPr>
          <w:lang w:val="ru-RU"/>
        </w:rPr>
        <w:t>интеллектуальной собственности»</w:t>
      </w:r>
      <w:r w:rsidR="004237BD">
        <w:rPr>
          <w:lang w:val="ru-RU"/>
        </w:rPr>
        <w:t>,</w:t>
      </w:r>
      <w:r>
        <w:rPr>
          <w:lang w:val="ru-RU"/>
        </w:rPr>
        <w:t xml:space="preserve"> </w:t>
      </w:r>
      <w:r w:rsidR="004237BD">
        <w:rPr>
          <w:lang w:val="fr-CH"/>
        </w:rPr>
        <w:t>IPAG</w:t>
      </w:r>
      <w:r w:rsidRPr="00CE4DAB">
        <w:rPr>
          <w:lang w:val="ru-RU"/>
        </w:rPr>
        <w:t>)</w:t>
      </w:r>
      <w:r>
        <w:rPr>
          <w:lang w:val="ru-RU"/>
        </w:rPr>
        <w:t xml:space="preserve">, которые призваны упростить </w:t>
      </w:r>
      <w:r w:rsidR="004237BD">
        <w:rPr>
          <w:lang w:val="ru-RU"/>
        </w:rPr>
        <w:t xml:space="preserve">процедуру </w:t>
      </w:r>
      <w:r w:rsidR="00AC7FA2">
        <w:rPr>
          <w:lang w:val="ru-RU"/>
        </w:rPr>
        <w:t>плодотворн</w:t>
      </w:r>
      <w:r w:rsidR="004237BD">
        <w:rPr>
          <w:lang w:val="ru-RU"/>
        </w:rPr>
        <w:t>ой</w:t>
      </w:r>
      <w:r w:rsidR="00AC7FA2">
        <w:rPr>
          <w:lang w:val="ru-RU"/>
        </w:rPr>
        <w:t xml:space="preserve"> передач</w:t>
      </w:r>
      <w:r w:rsidR="004237BD">
        <w:rPr>
          <w:lang w:val="ru-RU"/>
        </w:rPr>
        <w:t>и</w:t>
      </w:r>
      <w:r w:rsidR="00AC7FA2">
        <w:rPr>
          <w:lang w:val="ru-RU"/>
        </w:rPr>
        <w:t xml:space="preserve"> знаний и технологий.  Эти</w:t>
      </w:r>
      <w:r w:rsidR="00AC7FA2" w:rsidRPr="00AC7FA2">
        <w:rPr>
          <w:lang w:val="ru-RU"/>
        </w:rPr>
        <w:t xml:space="preserve"> </w:t>
      </w:r>
      <w:r w:rsidR="00AC7FA2">
        <w:rPr>
          <w:lang w:val="ru-RU"/>
        </w:rPr>
        <w:t>соглашения</w:t>
      </w:r>
      <w:r w:rsidR="00AC7FA2" w:rsidRPr="00AC7FA2">
        <w:rPr>
          <w:lang w:val="ru-RU"/>
        </w:rPr>
        <w:t xml:space="preserve">, </w:t>
      </w:r>
      <w:r w:rsidR="00AC7FA2">
        <w:rPr>
          <w:lang w:val="ru-RU"/>
        </w:rPr>
        <w:t>получившие</w:t>
      </w:r>
      <w:r w:rsidR="00AC7FA2" w:rsidRPr="00AC7FA2">
        <w:rPr>
          <w:lang w:val="ru-RU"/>
        </w:rPr>
        <w:t xml:space="preserve"> </w:t>
      </w:r>
      <w:r w:rsidR="00AC7FA2">
        <w:rPr>
          <w:lang w:val="ru-RU"/>
        </w:rPr>
        <w:t>поддержку</w:t>
      </w:r>
      <w:r w:rsidR="00AC7FA2" w:rsidRPr="00AC7FA2">
        <w:rPr>
          <w:lang w:val="ru-RU"/>
        </w:rPr>
        <w:t xml:space="preserve"> </w:t>
      </w:r>
      <w:r w:rsidR="00AC7FA2">
        <w:rPr>
          <w:lang w:val="ru-RU"/>
        </w:rPr>
        <w:t>австрийского</w:t>
      </w:r>
      <w:r w:rsidR="00AC7FA2" w:rsidRPr="00AC7FA2">
        <w:rPr>
          <w:lang w:val="ru-RU"/>
        </w:rPr>
        <w:t xml:space="preserve"> </w:t>
      </w:r>
      <w:r w:rsidR="00AC7FA2">
        <w:rPr>
          <w:lang w:val="ru-RU"/>
        </w:rPr>
        <w:t>правительства</w:t>
      </w:r>
      <w:r w:rsidR="00AC7FA2" w:rsidRPr="00AC7FA2">
        <w:rPr>
          <w:lang w:val="ru-RU"/>
        </w:rPr>
        <w:t xml:space="preserve">, </w:t>
      </w:r>
      <w:r w:rsidR="00AC7FA2">
        <w:rPr>
          <w:lang w:val="ru-RU"/>
        </w:rPr>
        <w:t>предусматривают</w:t>
      </w:r>
      <w:r w:rsidR="00AC7FA2" w:rsidRPr="00AC7FA2">
        <w:rPr>
          <w:lang w:val="ru-RU"/>
        </w:rPr>
        <w:t xml:space="preserve"> </w:t>
      </w:r>
      <w:r w:rsidR="00AC7FA2">
        <w:rPr>
          <w:lang w:val="ru-RU"/>
        </w:rPr>
        <w:t>возможность</w:t>
      </w:r>
      <w:r w:rsidR="00AC7FA2" w:rsidRPr="00AC7FA2">
        <w:rPr>
          <w:lang w:val="ru-RU"/>
        </w:rPr>
        <w:t xml:space="preserve"> </w:t>
      </w:r>
      <w:r w:rsidR="00AC7FA2">
        <w:rPr>
          <w:lang w:val="ru-RU"/>
        </w:rPr>
        <w:t xml:space="preserve">урегулирования споров </w:t>
      </w:r>
      <w:r w:rsidR="004237BD">
        <w:rPr>
          <w:lang w:val="ru-RU"/>
        </w:rPr>
        <w:t xml:space="preserve">путем их рассмотрения на основе процедур </w:t>
      </w:r>
      <w:r w:rsidR="00AC7FA2">
        <w:rPr>
          <w:lang w:val="ru-RU"/>
        </w:rPr>
        <w:t>ВОИС.</w:t>
      </w:r>
      <w:r w:rsidR="00232512">
        <w:rPr>
          <w:rStyle w:val="FootnoteReference"/>
        </w:rPr>
        <w:footnoteReference w:id="10"/>
      </w:r>
      <w:r w:rsidR="00192C16" w:rsidRPr="00AC7FA2">
        <w:rPr>
          <w:lang w:val="ru-RU"/>
        </w:rPr>
        <w:t xml:space="preserve">  </w:t>
      </w:r>
      <w:r w:rsidR="00AC7FA2" w:rsidRPr="00AC7FA2">
        <w:rPr>
          <w:lang w:val="ru-RU"/>
        </w:rPr>
        <w:t xml:space="preserve">В рамках более масштабной деятельности, </w:t>
      </w:r>
      <w:r w:rsidR="00AC7FA2">
        <w:rPr>
          <w:lang w:val="ru-RU"/>
        </w:rPr>
        <w:t>основанной на реализации Меморандума о договоренности (</w:t>
      </w:r>
      <w:r w:rsidR="00AC7FA2" w:rsidRPr="00AC7FA2">
        <w:rPr>
          <w:lang w:val="ru-RU"/>
        </w:rPr>
        <w:t>МоД</w:t>
      </w:r>
      <w:r w:rsidR="00AC7FA2">
        <w:rPr>
          <w:lang w:val="ru-RU"/>
        </w:rPr>
        <w:t>)</w:t>
      </w:r>
      <w:r w:rsidR="00AC7FA2" w:rsidRPr="00AC7FA2">
        <w:rPr>
          <w:lang w:val="ru-RU"/>
        </w:rPr>
        <w:t xml:space="preserve"> между ВОИС и Ассоциацией университетских менеджеров по вопросам технологи</w:t>
      </w:r>
      <w:r w:rsidR="004237BD">
        <w:rPr>
          <w:lang w:val="ru-RU"/>
        </w:rPr>
        <w:t>й</w:t>
      </w:r>
      <w:r w:rsidR="00AC7FA2" w:rsidRPr="00AC7FA2">
        <w:rPr>
          <w:lang w:val="ru-RU"/>
        </w:rPr>
        <w:t xml:space="preserve"> (</w:t>
      </w:r>
      <w:r w:rsidR="004237BD">
        <w:t>AUTM</w:t>
      </w:r>
      <w:r w:rsidR="00AC7FA2" w:rsidRPr="00AC7FA2">
        <w:rPr>
          <w:lang w:val="ru-RU"/>
        </w:rPr>
        <w:t>), Центр продолж</w:t>
      </w:r>
      <w:r w:rsidR="004237BD">
        <w:rPr>
          <w:lang w:val="ru-RU"/>
        </w:rPr>
        <w:t>и</w:t>
      </w:r>
      <w:r w:rsidR="00AC7FA2" w:rsidRPr="00AC7FA2">
        <w:rPr>
          <w:lang w:val="ru-RU"/>
        </w:rPr>
        <w:t xml:space="preserve">л сотрудничество с </w:t>
      </w:r>
      <w:r w:rsidR="00AC7FA2">
        <w:rPr>
          <w:lang w:val="ru-RU"/>
        </w:rPr>
        <w:t>Ассоциацией</w:t>
      </w:r>
      <w:r w:rsidR="004237BD">
        <w:rPr>
          <w:lang w:val="ru-RU"/>
        </w:rPr>
        <w:t xml:space="preserve">, направленное содействие </w:t>
      </w:r>
      <w:r w:rsidR="00AC7FA2" w:rsidRPr="00AC7FA2">
        <w:rPr>
          <w:lang w:val="ru-RU"/>
        </w:rPr>
        <w:t>действенном</w:t>
      </w:r>
      <w:r w:rsidR="004237BD">
        <w:rPr>
          <w:lang w:val="ru-RU"/>
        </w:rPr>
        <w:t>у</w:t>
      </w:r>
      <w:r w:rsidR="00AC7FA2" w:rsidRPr="00AC7FA2">
        <w:rPr>
          <w:lang w:val="ru-RU"/>
        </w:rPr>
        <w:t xml:space="preserve"> и эффективном</w:t>
      </w:r>
      <w:r w:rsidR="004237BD">
        <w:rPr>
          <w:lang w:val="ru-RU"/>
        </w:rPr>
        <w:t>у</w:t>
      </w:r>
      <w:r w:rsidR="00AC7FA2" w:rsidRPr="00AC7FA2">
        <w:rPr>
          <w:lang w:val="ru-RU"/>
        </w:rPr>
        <w:t xml:space="preserve"> урегулировани</w:t>
      </w:r>
      <w:r w:rsidR="004237BD">
        <w:rPr>
          <w:lang w:val="ru-RU"/>
        </w:rPr>
        <w:t>ю</w:t>
      </w:r>
      <w:r w:rsidR="00AC7FA2" w:rsidRPr="00AC7FA2">
        <w:rPr>
          <w:lang w:val="ru-RU"/>
        </w:rPr>
        <w:t xml:space="preserve"> споров с участием универс</w:t>
      </w:r>
      <w:r w:rsidR="00AC7FA2">
        <w:rPr>
          <w:lang w:val="ru-RU"/>
        </w:rPr>
        <w:t>и</w:t>
      </w:r>
      <w:r w:rsidR="00AC7FA2" w:rsidRPr="00AC7FA2">
        <w:rPr>
          <w:lang w:val="ru-RU"/>
        </w:rPr>
        <w:t>тетских бюро по передаче технологий в разных странах мира</w:t>
      </w:r>
      <w:r w:rsidR="00AC7FA2">
        <w:rPr>
          <w:lang w:val="ru-RU"/>
        </w:rPr>
        <w:t>.</w:t>
      </w:r>
    </w:p>
    <w:p w:rsidR="00232512" w:rsidRPr="00AC7FA2" w:rsidRDefault="00232512" w:rsidP="00192C16">
      <w:pPr>
        <w:tabs>
          <w:tab w:val="left" w:pos="567"/>
        </w:tabs>
        <w:rPr>
          <w:lang w:val="ru-RU"/>
        </w:rPr>
      </w:pPr>
    </w:p>
    <w:p w:rsidR="00192C16" w:rsidRPr="00953878" w:rsidRDefault="00953878" w:rsidP="00EA7B9D">
      <w:pPr>
        <w:pStyle w:val="Heading3"/>
        <w:numPr>
          <w:ilvl w:val="0"/>
          <w:numId w:val="7"/>
        </w:numPr>
        <w:spacing w:before="0" w:after="0"/>
        <w:rPr>
          <w:szCs w:val="22"/>
          <w:lang w:val="ru-RU"/>
        </w:rPr>
      </w:pPr>
      <w:r>
        <w:rPr>
          <w:szCs w:val="22"/>
          <w:lang w:val="ru-RU"/>
        </w:rPr>
        <w:t>Урегулирование споров, связанных с фран</w:t>
      </w:r>
      <w:r w:rsidR="00AB6646">
        <w:rPr>
          <w:szCs w:val="22"/>
          <w:lang w:val="ru-RU"/>
        </w:rPr>
        <w:t>ши</w:t>
      </w:r>
      <w:r>
        <w:rPr>
          <w:szCs w:val="22"/>
          <w:lang w:val="ru-RU"/>
        </w:rPr>
        <w:t>зингом</w:t>
      </w:r>
    </w:p>
    <w:p w:rsidR="00A66287" w:rsidRPr="00953878" w:rsidRDefault="00A66287" w:rsidP="00192C16">
      <w:pPr>
        <w:rPr>
          <w:rStyle w:val="ONUMEChar"/>
          <w:szCs w:val="22"/>
          <w:lang w:val="ru-RU"/>
        </w:rPr>
      </w:pPr>
    </w:p>
    <w:p w:rsidR="00192C16" w:rsidRPr="00282A57" w:rsidRDefault="00801156" w:rsidP="00EA7B9D">
      <w:pPr>
        <w:pStyle w:val="ListParagraph"/>
        <w:numPr>
          <w:ilvl w:val="0"/>
          <w:numId w:val="10"/>
        </w:numPr>
        <w:ind w:left="0" w:firstLine="0"/>
        <w:rPr>
          <w:rStyle w:val="ONUMEChar"/>
          <w:szCs w:val="22"/>
          <w:lang w:val="ru-RU"/>
        </w:rPr>
      </w:pPr>
      <w:r>
        <w:rPr>
          <w:rStyle w:val="ONUMEChar"/>
          <w:szCs w:val="22"/>
          <w:lang w:val="ru-RU"/>
        </w:rPr>
        <w:t>В</w:t>
      </w:r>
      <w:r w:rsidRPr="00801156">
        <w:rPr>
          <w:rStyle w:val="ONUMEChar"/>
          <w:szCs w:val="22"/>
          <w:lang w:val="ru-RU"/>
        </w:rPr>
        <w:t xml:space="preserve"> </w:t>
      </w:r>
      <w:r>
        <w:rPr>
          <w:rStyle w:val="ONUMEChar"/>
          <w:szCs w:val="22"/>
          <w:lang w:val="ru-RU"/>
        </w:rPr>
        <w:t>контексте</w:t>
      </w:r>
      <w:r w:rsidRPr="00801156">
        <w:rPr>
          <w:rStyle w:val="ONUMEChar"/>
          <w:szCs w:val="22"/>
          <w:lang w:val="ru-RU"/>
        </w:rPr>
        <w:t xml:space="preserve"> </w:t>
      </w:r>
      <w:r>
        <w:rPr>
          <w:rStyle w:val="ONUMEChar"/>
          <w:szCs w:val="22"/>
          <w:lang w:val="ru-RU"/>
        </w:rPr>
        <w:t>услуг</w:t>
      </w:r>
      <w:r w:rsidRPr="00801156">
        <w:rPr>
          <w:rStyle w:val="ONUMEChar"/>
          <w:szCs w:val="22"/>
          <w:lang w:val="ru-RU"/>
        </w:rPr>
        <w:t xml:space="preserve"> </w:t>
      </w:r>
      <w:r>
        <w:rPr>
          <w:rStyle w:val="ONUMEChar"/>
          <w:szCs w:val="22"/>
          <w:lang w:val="ru-RU"/>
        </w:rPr>
        <w:t>АУС</w:t>
      </w:r>
      <w:r w:rsidRPr="00801156">
        <w:rPr>
          <w:rStyle w:val="ONUMEChar"/>
          <w:szCs w:val="22"/>
          <w:lang w:val="ru-RU"/>
        </w:rPr>
        <w:t xml:space="preserve">, </w:t>
      </w:r>
      <w:r>
        <w:rPr>
          <w:rStyle w:val="ONUMEChar"/>
          <w:szCs w:val="22"/>
          <w:lang w:val="ru-RU"/>
        </w:rPr>
        <w:t>предоставляемых</w:t>
      </w:r>
      <w:r w:rsidRPr="00801156">
        <w:rPr>
          <w:rStyle w:val="ONUMEChar"/>
          <w:szCs w:val="22"/>
          <w:lang w:val="ru-RU"/>
        </w:rPr>
        <w:t xml:space="preserve"> </w:t>
      </w:r>
      <w:r>
        <w:rPr>
          <w:rStyle w:val="ONUMEChar"/>
          <w:szCs w:val="22"/>
          <w:lang w:val="ru-RU"/>
        </w:rPr>
        <w:t>ВОИС</w:t>
      </w:r>
      <w:r w:rsidRPr="00801156">
        <w:rPr>
          <w:rStyle w:val="ONUMEChar"/>
          <w:szCs w:val="22"/>
          <w:lang w:val="ru-RU"/>
        </w:rPr>
        <w:t xml:space="preserve"> </w:t>
      </w:r>
      <w:r>
        <w:rPr>
          <w:rStyle w:val="ONUMEChar"/>
          <w:szCs w:val="22"/>
          <w:lang w:val="ru-RU"/>
        </w:rPr>
        <w:t>конкретным</w:t>
      </w:r>
      <w:r w:rsidRPr="00801156">
        <w:rPr>
          <w:rStyle w:val="ONUMEChar"/>
          <w:szCs w:val="22"/>
          <w:lang w:val="ru-RU"/>
        </w:rPr>
        <w:t xml:space="preserve"> </w:t>
      </w:r>
      <w:r>
        <w:rPr>
          <w:rStyle w:val="ONUMEChar"/>
          <w:szCs w:val="22"/>
          <w:lang w:val="ru-RU"/>
        </w:rPr>
        <w:t>секторам</w:t>
      </w:r>
      <w:r w:rsidRPr="00801156">
        <w:rPr>
          <w:rStyle w:val="ONUMEChar"/>
          <w:szCs w:val="22"/>
          <w:lang w:val="ru-RU"/>
        </w:rPr>
        <w:t xml:space="preserve">, </w:t>
      </w:r>
      <w:r>
        <w:rPr>
          <w:rStyle w:val="ONUMEChar"/>
          <w:szCs w:val="22"/>
          <w:lang w:val="ru-RU"/>
        </w:rPr>
        <w:t>Центр</w:t>
      </w:r>
      <w:r w:rsidRPr="00801156">
        <w:rPr>
          <w:rStyle w:val="ONUMEChar"/>
          <w:szCs w:val="22"/>
          <w:lang w:val="ru-RU"/>
        </w:rPr>
        <w:t xml:space="preserve"> </w:t>
      </w:r>
      <w:r>
        <w:rPr>
          <w:rStyle w:val="ONUMEChar"/>
          <w:szCs w:val="22"/>
          <w:lang w:val="ru-RU"/>
        </w:rPr>
        <w:t>ВОИС</w:t>
      </w:r>
      <w:r w:rsidRPr="00801156">
        <w:rPr>
          <w:rStyle w:val="ONUMEChar"/>
          <w:szCs w:val="22"/>
          <w:lang w:val="ru-RU"/>
        </w:rPr>
        <w:t xml:space="preserve"> </w:t>
      </w:r>
      <w:r>
        <w:rPr>
          <w:rStyle w:val="ONUMEChar"/>
          <w:szCs w:val="22"/>
          <w:lang w:val="ru-RU"/>
        </w:rPr>
        <w:t>оказывает</w:t>
      </w:r>
      <w:r w:rsidRPr="00801156">
        <w:rPr>
          <w:rStyle w:val="ONUMEChar"/>
          <w:szCs w:val="22"/>
          <w:lang w:val="ru-RU"/>
        </w:rPr>
        <w:t xml:space="preserve"> </w:t>
      </w:r>
      <w:r>
        <w:rPr>
          <w:rStyle w:val="ONUMEChar"/>
          <w:szCs w:val="22"/>
          <w:lang w:val="ru-RU"/>
        </w:rPr>
        <w:t>консультационную</w:t>
      </w:r>
      <w:r w:rsidRPr="00801156">
        <w:rPr>
          <w:rStyle w:val="ONUMEChar"/>
          <w:szCs w:val="22"/>
          <w:lang w:val="ru-RU"/>
        </w:rPr>
        <w:t xml:space="preserve"> </w:t>
      </w:r>
      <w:r>
        <w:rPr>
          <w:rStyle w:val="ONUMEChar"/>
          <w:szCs w:val="22"/>
          <w:lang w:val="ru-RU"/>
        </w:rPr>
        <w:t>помощь</w:t>
      </w:r>
      <w:r w:rsidRPr="00801156">
        <w:rPr>
          <w:rStyle w:val="ONUMEChar"/>
          <w:szCs w:val="22"/>
          <w:lang w:val="ru-RU"/>
        </w:rPr>
        <w:t xml:space="preserve"> </w:t>
      </w:r>
      <w:r>
        <w:rPr>
          <w:rStyle w:val="ONUMEChar"/>
          <w:szCs w:val="22"/>
          <w:lang w:val="ru-RU"/>
        </w:rPr>
        <w:t>в</w:t>
      </w:r>
      <w:r w:rsidRPr="00801156">
        <w:rPr>
          <w:rStyle w:val="ONUMEChar"/>
          <w:szCs w:val="22"/>
          <w:lang w:val="ru-RU"/>
        </w:rPr>
        <w:t xml:space="preserve"> </w:t>
      </w:r>
      <w:r>
        <w:rPr>
          <w:rStyle w:val="ONUMEChar"/>
          <w:szCs w:val="22"/>
          <w:lang w:val="ru-RU"/>
        </w:rPr>
        <w:t>разрешении</w:t>
      </w:r>
      <w:r w:rsidRPr="00801156">
        <w:rPr>
          <w:rStyle w:val="ONUMEChar"/>
          <w:szCs w:val="22"/>
          <w:lang w:val="ru-RU"/>
        </w:rPr>
        <w:t xml:space="preserve"> </w:t>
      </w:r>
      <w:r>
        <w:rPr>
          <w:rStyle w:val="ONUMEChar"/>
          <w:szCs w:val="22"/>
          <w:lang w:val="ru-RU"/>
        </w:rPr>
        <w:t>споров</w:t>
      </w:r>
      <w:r w:rsidRPr="00801156">
        <w:rPr>
          <w:rStyle w:val="ONUMEChar"/>
          <w:szCs w:val="22"/>
          <w:lang w:val="ru-RU"/>
        </w:rPr>
        <w:t xml:space="preserve"> </w:t>
      </w:r>
      <w:r>
        <w:rPr>
          <w:rStyle w:val="ONUMEChar"/>
          <w:szCs w:val="22"/>
          <w:lang w:val="ru-RU"/>
        </w:rPr>
        <w:t>и</w:t>
      </w:r>
      <w:r w:rsidRPr="00801156">
        <w:rPr>
          <w:rStyle w:val="ONUMEChar"/>
          <w:szCs w:val="22"/>
          <w:lang w:val="ru-RU"/>
        </w:rPr>
        <w:t xml:space="preserve"> </w:t>
      </w:r>
      <w:r>
        <w:rPr>
          <w:rStyle w:val="ONUMEChar"/>
          <w:szCs w:val="22"/>
          <w:lang w:val="ru-RU"/>
        </w:rPr>
        <w:t>услуги по рассмотрению жалоб</w:t>
      </w:r>
      <w:r w:rsidR="00AB6646">
        <w:rPr>
          <w:rStyle w:val="ONUMEChar"/>
          <w:szCs w:val="22"/>
          <w:lang w:val="ru-RU"/>
        </w:rPr>
        <w:t xml:space="preserve">, позволяющие </w:t>
      </w:r>
      <w:r w:rsidRPr="00801156">
        <w:rPr>
          <w:szCs w:val="22"/>
          <w:lang w:val="ru-RU"/>
        </w:rPr>
        <w:t xml:space="preserve">сторонам </w:t>
      </w:r>
      <w:r w:rsidR="00AB6646">
        <w:rPr>
          <w:szCs w:val="22"/>
          <w:lang w:val="ru-RU"/>
        </w:rPr>
        <w:t>разрешать</w:t>
      </w:r>
      <w:r>
        <w:rPr>
          <w:szCs w:val="22"/>
          <w:lang w:val="ru-RU"/>
        </w:rPr>
        <w:t xml:space="preserve"> </w:t>
      </w:r>
      <w:r w:rsidRPr="00801156">
        <w:rPr>
          <w:szCs w:val="22"/>
          <w:lang w:val="ru-RU"/>
        </w:rPr>
        <w:t>спор</w:t>
      </w:r>
      <w:r w:rsidR="00AB6646">
        <w:rPr>
          <w:szCs w:val="22"/>
          <w:lang w:val="ru-RU"/>
        </w:rPr>
        <w:t xml:space="preserve">ы, связанные с </w:t>
      </w:r>
      <w:r>
        <w:rPr>
          <w:szCs w:val="22"/>
          <w:lang w:val="ru-RU"/>
        </w:rPr>
        <w:t>фран</w:t>
      </w:r>
      <w:r w:rsidR="00AB6646">
        <w:rPr>
          <w:szCs w:val="22"/>
          <w:lang w:val="ru-RU"/>
        </w:rPr>
        <w:t>ши</w:t>
      </w:r>
      <w:r>
        <w:rPr>
          <w:szCs w:val="22"/>
          <w:lang w:val="ru-RU"/>
        </w:rPr>
        <w:t>зинг</w:t>
      </w:r>
      <w:r w:rsidR="00AB6646">
        <w:rPr>
          <w:szCs w:val="22"/>
          <w:lang w:val="ru-RU"/>
        </w:rPr>
        <w:t>ом,</w:t>
      </w:r>
      <w:r>
        <w:rPr>
          <w:szCs w:val="22"/>
          <w:lang w:val="ru-RU"/>
        </w:rPr>
        <w:t xml:space="preserve"> </w:t>
      </w:r>
      <w:r w:rsidR="00AB6646">
        <w:rPr>
          <w:szCs w:val="22"/>
          <w:lang w:val="ru-RU"/>
        </w:rPr>
        <w:t>во внесудебном порядке</w:t>
      </w:r>
      <w:r>
        <w:rPr>
          <w:szCs w:val="22"/>
          <w:lang w:val="ru-RU"/>
        </w:rPr>
        <w:t>.</w:t>
      </w:r>
      <w:r w:rsidR="00282A57">
        <w:rPr>
          <w:szCs w:val="22"/>
          <w:lang w:val="ru-RU"/>
        </w:rPr>
        <w:t xml:space="preserve">  В</w:t>
      </w:r>
      <w:r w:rsidR="00282A57" w:rsidRPr="00282A57">
        <w:rPr>
          <w:szCs w:val="22"/>
          <w:lang w:val="ru-RU"/>
        </w:rPr>
        <w:t xml:space="preserve"> </w:t>
      </w:r>
      <w:r w:rsidR="00282A57">
        <w:rPr>
          <w:szCs w:val="22"/>
          <w:lang w:val="ru-RU"/>
        </w:rPr>
        <w:t>частности</w:t>
      </w:r>
      <w:r w:rsidR="00282A57" w:rsidRPr="00282A57">
        <w:rPr>
          <w:szCs w:val="22"/>
          <w:lang w:val="ru-RU"/>
        </w:rPr>
        <w:t xml:space="preserve"> </w:t>
      </w:r>
      <w:r w:rsidR="00282A57">
        <w:rPr>
          <w:szCs w:val="22"/>
          <w:lang w:val="ru-RU"/>
        </w:rPr>
        <w:t>сингапурская</w:t>
      </w:r>
      <w:r w:rsidR="00282A57" w:rsidRPr="00282A57">
        <w:rPr>
          <w:szCs w:val="22"/>
          <w:lang w:val="ru-RU"/>
        </w:rPr>
        <w:t xml:space="preserve"> </w:t>
      </w:r>
      <w:r w:rsidR="00282A57">
        <w:rPr>
          <w:szCs w:val="22"/>
          <w:lang w:val="ru-RU"/>
        </w:rPr>
        <w:t>Ассоциация</w:t>
      </w:r>
      <w:r w:rsidR="00282A57" w:rsidRPr="00282A57">
        <w:rPr>
          <w:szCs w:val="22"/>
          <w:lang w:val="ru-RU"/>
        </w:rPr>
        <w:t xml:space="preserve"> </w:t>
      </w:r>
      <w:r w:rsidR="00282A57">
        <w:rPr>
          <w:szCs w:val="22"/>
          <w:lang w:val="ru-RU"/>
        </w:rPr>
        <w:t>фран</w:t>
      </w:r>
      <w:r w:rsidR="00AB6646">
        <w:rPr>
          <w:szCs w:val="22"/>
          <w:lang w:val="ru-RU"/>
        </w:rPr>
        <w:t>ши</w:t>
      </w:r>
      <w:r w:rsidR="00282A57">
        <w:rPr>
          <w:szCs w:val="22"/>
          <w:lang w:val="ru-RU"/>
        </w:rPr>
        <w:t>зинга</w:t>
      </w:r>
      <w:r w:rsidR="00282A57" w:rsidRPr="00282A57">
        <w:rPr>
          <w:szCs w:val="22"/>
          <w:lang w:val="ru-RU"/>
        </w:rPr>
        <w:t xml:space="preserve"> </w:t>
      </w:r>
      <w:r w:rsidR="00282A57">
        <w:rPr>
          <w:szCs w:val="22"/>
          <w:lang w:val="ru-RU"/>
        </w:rPr>
        <w:t>и</w:t>
      </w:r>
      <w:r w:rsidR="00282A57" w:rsidRPr="00282A57">
        <w:rPr>
          <w:szCs w:val="22"/>
          <w:lang w:val="ru-RU"/>
        </w:rPr>
        <w:t xml:space="preserve"> </w:t>
      </w:r>
      <w:r w:rsidR="00282A57">
        <w:rPr>
          <w:szCs w:val="22"/>
          <w:lang w:val="ru-RU"/>
        </w:rPr>
        <w:t>лицензирования</w:t>
      </w:r>
      <w:r w:rsidR="00282A57" w:rsidRPr="00282A57">
        <w:rPr>
          <w:szCs w:val="22"/>
          <w:lang w:val="ru-RU"/>
        </w:rPr>
        <w:t xml:space="preserve"> </w:t>
      </w:r>
      <w:r w:rsidR="00192C16" w:rsidRPr="00282A57">
        <w:rPr>
          <w:rStyle w:val="ONUMEChar"/>
          <w:szCs w:val="22"/>
          <w:lang w:val="ru-RU"/>
        </w:rPr>
        <w:t>(</w:t>
      </w:r>
      <w:r w:rsidR="00192C16" w:rsidRPr="00EA7B9D">
        <w:rPr>
          <w:rStyle w:val="ONUMEChar"/>
          <w:szCs w:val="22"/>
        </w:rPr>
        <w:t>FLA</w:t>
      </w:r>
      <w:r w:rsidR="00192C16" w:rsidRPr="00282A57">
        <w:rPr>
          <w:rStyle w:val="ONUMEChar"/>
          <w:szCs w:val="22"/>
          <w:lang w:val="ru-RU"/>
        </w:rPr>
        <w:t xml:space="preserve">) </w:t>
      </w:r>
      <w:r w:rsidR="00282A57">
        <w:rPr>
          <w:rStyle w:val="ONUMEChar"/>
          <w:szCs w:val="22"/>
          <w:lang w:val="ru-RU"/>
        </w:rPr>
        <w:t xml:space="preserve">начала </w:t>
      </w:r>
      <w:r w:rsidR="00AB6646">
        <w:rPr>
          <w:rStyle w:val="ONUMEChar"/>
          <w:szCs w:val="22"/>
          <w:lang w:val="ru-RU"/>
        </w:rPr>
        <w:t xml:space="preserve">взаимодействовать </w:t>
      </w:r>
      <w:r w:rsidR="00282A57">
        <w:rPr>
          <w:rStyle w:val="ONUMEChar"/>
          <w:szCs w:val="22"/>
          <w:lang w:val="ru-RU"/>
        </w:rPr>
        <w:t>с</w:t>
      </w:r>
      <w:r w:rsidR="00282A57" w:rsidRPr="00282A57">
        <w:rPr>
          <w:rStyle w:val="ONUMEChar"/>
          <w:szCs w:val="22"/>
          <w:lang w:val="ru-RU"/>
        </w:rPr>
        <w:t xml:space="preserve"> </w:t>
      </w:r>
      <w:r w:rsidR="00282A57">
        <w:rPr>
          <w:rStyle w:val="ONUMEChar"/>
          <w:szCs w:val="22"/>
          <w:lang w:val="ru-RU"/>
        </w:rPr>
        <w:t>Центром</w:t>
      </w:r>
      <w:r w:rsidR="00282A57" w:rsidRPr="00282A57">
        <w:rPr>
          <w:rStyle w:val="ONUMEChar"/>
          <w:szCs w:val="22"/>
          <w:lang w:val="ru-RU"/>
        </w:rPr>
        <w:t xml:space="preserve"> </w:t>
      </w:r>
      <w:r w:rsidR="00282A57">
        <w:rPr>
          <w:rStyle w:val="ONUMEChar"/>
          <w:szCs w:val="22"/>
          <w:lang w:val="ru-RU"/>
        </w:rPr>
        <w:t>в интересах информи</w:t>
      </w:r>
      <w:r w:rsidR="00AB6646">
        <w:rPr>
          <w:rStyle w:val="ONUMEChar"/>
          <w:szCs w:val="22"/>
          <w:lang w:val="ru-RU"/>
        </w:rPr>
        <w:t>рования общественности</w:t>
      </w:r>
      <w:r w:rsidR="00282A57">
        <w:rPr>
          <w:rStyle w:val="ONUMEChar"/>
          <w:szCs w:val="22"/>
          <w:lang w:val="ru-RU"/>
        </w:rPr>
        <w:t xml:space="preserve"> о возможностях АУС</w:t>
      </w:r>
      <w:r w:rsidR="00AB6646">
        <w:rPr>
          <w:rStyle w:val="ONUMEChar"/>
          <w:szCs w:val="22"/>
          <w:lang w:val="ru-RU"/>
        </w:rPr>
        <w:t xml:space="preserve"> для </w:t>
      </w:r>
      <w:r w:rsidR="00282A57">
        <w:rPr>
          <w:rStyle w:val="ONUMEChar"/>
          <w:szCs w:val="22"/>
          <w:lang w:val="ru-RU"/>
        </w:rPr>
        <w:t>заинтересованны</w:t>
      </w:r>
      <w:r w:rsidR="00AB6646">
        <w:rPr>
          <w:rStyle w:val="ONUMEChar"/>
          <w:szCs w:val="22"/>
          <w:lang w:val="ru-RU"/>
        </w:rPr>
        <w:t>х</w:t>
      </w:r>
      <w:r w:rsidR="00282A57">
        <w:rPr>
          <w:rStyle w:val="ONUMEChar"/>
          <w:szCs w:val="22"/>
          <w:lang w:val="ru-RU"/>
        </w:rPr>
        <w:t xml:space="preserve"> сторон в сфере фран</w:t>
      </w:r>
      <w:r w:rsidR="00AB6646">
        <w:rPr>
          <w:rStyle w:val="ONUMEChar"/>
          <w:szCs w:val="22"/>
          <w:lang w:val="ru-RU"/>
        </w:rPr>
        <w:t>ши</w:t>
      </w:r>
      <w:r w:rsidR="00282A57">
        <w:rPr>
          <w:rStyle w:val="ONUMEChar"/>
          <w:szCs w:val="22"/>
          <w:lang w:val="ru-RU"/>
        </w:rPr>
        <w:t>зинга и лицензирования.</w:t>
      </w:r>
      <w:r w:rsidR="00192C16" w:rsidRPr="00282A57">
        <w:rPr>
          <w:rStyle w:val="ONUMEChar"/>
          <w:szCs w:val="22"/>
          <w:lang w:val="ru-RU"/>
        </w:rPr>
        <w:t xml:space="preserve">  </w:t>
      </w:r>
      <w:r w:rsidR="00282A57">
        <w:rPr>
          <w:rStyle w:val="ONUMEChar"/>
          <w:szCs w:val="22"/>
          <w:lang w:val="ru-RU"/>
        </w:rPr>
        <w:t>Кроме</w:t>
      </w:r>
      <w:r w:rsidR="00282A57" w:rsidRPr="00282A57">
        <w:rPr>
          <w:rStyle w:val="ONUMEChar"/>
          <w:szCs w:val="22"/>
          <w:lang w:val="ru-RU"/>
        </w:rPr>
        <w:t xml:space="preserve"> </w:t>
      </w:r>
      <w:r w:rsidR="00282A57">
        <w:rPr>
          <w:rStyle w:val="ONUMEChar"/>
          <w:szCs w:val="22"/>
          <w:lang w:val="ru-RU"/>
        </w:rPr>
        <w:t>того</w:t>
      </w:r>
      <w:r w:rsidR="00282A57" w:rsidRPr="00282A57">
        <w:rPr>
          <w:rStyle w:val="ONUMEChar"/>
          <w:szCs w:val="22"/>
          <w:lang w:val="ru-RU"/>
        </w:rPr>
        <w:t xml:space="preserve">, </w:t>
      </w:r>
      <w:r w:rsidR="00282A57">
        <w:rPr>
          <w:rStyle w:val="ONUMEChar"/>
          <w:szCs w:val="22"/>
          <w:lang w:val="ru-RU"/>
        </w:rPr>
        <w:t>в</w:t>
      </w:r>
      <w:r w:rsidR="00282A57" w:rsidRPr="00282A57">
        <w:rPr>
          <w:rStyle w:val="ONUMEChar"/>
          <w:szCs w:val="22"/>
          <w:lang w:val="ru-RU"/>
        </w:rPr>
        <w:t xml:space="preserve"> </w:t>
      </w:r>
      <w:r w:rsidR="00282A57">
        <w:rPr>
          <w:rStyle w:val="ONUMEChar"/>
          <w:szCs w:val="22"/>
          <w:lang w:val="ru-RU"/>
        </w:rPr>
        <w:t>мае</w:t>
      </w:r>
      <w:r w:rsidR="00282A57" w:rsidRPr="00282A57">
        <w:rPr>
          <w:rStyle w:val="ONUMEChar"/>
          <w:szCs w:val="22"/>
          <w:lang w:val="ru-RU"/>
        </w:rPr>
        <w:t xml:space="preserve"> </w:t>
      </w:r>
      <w:r w:rsidR="00192C16" w:rsidRPr="00282A57">
        <w:rPr>
          <w:rStyle w:val="ONUMEChar"/>
          <w:szCs w:val="22"/>
          <w:lang w:val="ru-RU"/>
        </w:rPr>
        <w:t>2014</w:t>
      </w:r>
      <w:r w:rsidR="00282A57" w:rsidRPr="00282A57">
        <w:rPr>
          <w:rStyle w:val="ONUMEChar"/>
          <w:szCs w:val="22"/>
        </w:rPr>
        <w:t> </w:t>
      </w:r>
      <w:r w:rsidR="00282A57">
        <w:rPr>
          <w:rStyle w:val="ONUMEChar"/>
          <w:szCs w:val="22"/>
          <w:lang w:val="ru-RU"/>
        </w:rPr>
        <w:t>г</w:t>
      </w:r>
      <w:r w:rsidR="00282A57" w:rsidRPr="00282A57">
        <w:rPr>
          <w:rStyle w:val="ONUMEChar"/>
          <w:szCs w:val="22"/>
          <w:lang w:val="ru-RU"/>
        </w:rPr>
        <w:t xml:space="preserve">. </w:t>
      </w:r>
      <w:r w:rsidR="00282A57">
        <w:rPr>
          <w:rStyle w:val="ONUMEChar"/>
          <w:szCs w:val="22"/>
          <w:lang w:val="ru-RU"/>
        </w:rPr>
        <w:t>Центр</w:t>
      </w:r>
      <w:r w:rsidR="00282A57" w:rsidRPr="00282A57">
        <w:rPr>
          <w:rStyle w:val="ONUMEChar"/>
          <w:szCs w:val="22"/>
          <w:lang w:val="ru-RU"/>
        </w:rPr>
        <w:t xml:space="preserve"> </w:t>
      </w:r>
      <w:r w:rsidR="00282A57">
        <w:rPr>
          <w:rStyle w:val="ONUMEChar"/>
          <w:szCs w:val="22"/>
          <w:lang w:val="ru-RU"/>
        </w:rPr>
        <w:t>и</w:t>
      </w:r>
      <w:r w:rsidR="00282A57" w:rsidRPr="00282A57">
        <w:rPr>
          <w:rStyle w:val="ONUMEChar"/>
          <w:szCs w:val="22"/>
          <w:lang w:val="ru-RU"/>
        </w:rPr>
        <w:t xml:space="preserve"> </w:t>
      </w:r>
      <w:r w:rsidR="00282A57">
        <w:rPr>
          <w:rStyle w:val="ONUMEChar"/>
          <w:szCs w:val="22"/>
          <w:lang w:val="ru-RU"/>
        </w:rPr>
        <w:t>Испанская</w:t>
      </w:r>
      <w:r w:rsidR="00282A57" w:rsidRPr="00282A57">
        <w:rPr>
          <w:rStyle w:val="ONUMEChar"/>
          <w:szCs w:val="22"/>
          <w:lang w:val="ru-RU"/>
        </w:rPr>
        <w:t xml:space="preserve"> </w:t>
      </w:r>
      <w:r w:rsidR="00282A57">
        <w:rPr>
          <w:rStyle w:val="ONUMEChar"/>
          <w:szCs w:val="22"/>
          <w:lang w:val="ru-RU"/>
        </w:rPr>
        <w:t>ассоциация</w:t>
      </w:r>
      <w:r w:rsidR="00282A57" w:rsidRPr="00282A57">
        <w:rPr>
          <w:rStyle w:val="ONUMEChar"/>
          <w:szCs w:val="22"/>
          <w:lang w:val="ru-RU"/>
        </w:rPr>
        <w:t xml:space="preserve"> </w:t>
      </w:r>
      <w:r w:rsidR="00AB6646">
        <w:rPr>
          <w:rStyle w:val="ONUMEChar"/>
          <w:szCs w:val="22"/>
          <w:lang w:val="ru-RU"/>
        </w:rPr>
        <w:t xml:space="preserve">специалистов по </w:t>
      </w:r>
      <w:r w:rsidR="00282A57">
        <w:rPr>
          <w:rStyle w:val="ONUMEChar"/>
          <w:szCs w:val="22"/>
          <w:lang w:val="ru-RU"/>
        </w:rPr>
        <w:t>фран</w:t>
      </w:r>
      <w:r w:rsidR="00AB6646">
        <w:rPr>
          <w:rStyle w:val="ONUMEChar"/>
          <w:szCs w:val="22"/>
          <w:lang w:val="ru-RU"/>
        </w:rPr>
        <w:t>ши</w:t>
      </w:r>
      <w:r w:rsidR="00282A57">
        <w:rPr>
          <w:rStyle w:val="ONUMEChar"/>
          <w:szCs w:val="22"/>
          <w:lang w:val="ru-RU"/>
        </w:rPr>
        <w:t>з</w:t>
      </w:r>
      <w:r w:rsidR="00AB6646">
        <w:rPr>
          <w:rStyle w:val="ONUMEChar"/>
          <w:szCs w:val="22"/>
          <w:lang w:val="ru-RU"/>
        </w:rPr>
        <w:t>ингу</w:t>
      </w:r>
      <w:r w:rsidR="00192C16" w:rsidRPr="00282A57">
        <w:rPr>
          <w:rStyle w:val="ONUMEChar"/>
          <w:szCs w:val="22"/>
          <w:lang w:val="ru-RU"/>
        </w:rPr>
        <w:t xml:space="preserve"> (</w:t>
      </w:r>
      <w:r w:rsidR="00192C16" w:rsidRPr="00EA7B9D">
        <w:rPr>
          <w:rStyle w:val="ONUMEChar"/>
          <w:szCs w:val="22"/>
        </w:rPr>
        <w:t>AEF</w:t>
      </w:r>
      <w:r w:rsidR="00192C16" w:rsidRPr="00282A57">
        <w:rPr>
          <w:rStyle w:val="ONUMEChar"/>
          <w:szCs w:val="22"/>
          <w:lang w:val="ru-RU"/>
        </w:rPr>
        <w:t xml:space="preserve">) </w:t>
      </w:r>
      <w:r w:rsidR="00282A57">
        <w:rPr>
          <w:rStyle w:val="ONUMEChar"/>
          <w:szCs w:val="22"/>
          <w:lang w:val="ru-RU"/>
        </w:rPr>
        <w:t xml:space="preserve">договорились о сотрудничестве при создании процедур и услуг АУС для разрешения споров с участием членов </w:t>
      </w:r>
      <w:r w:rsidR="00192C16" w:rsidRPr="00EA7B9D">
        <w:rPr>
          <w:rStyle w:val="ONUMEChar"/>
          <w:szCs w:val="22"/>
        </w:rPr>
        <w:t>AEF</w:t>
      </w:r>
      <w:r w:rsidR="00A47223">
        <w:rPr>
          <w:rStyle w:val="ONUMEChar"/>
          <w:szCs w:val="22"/>
          <w:lang w:val="ru-RU"/>
        </w:rPr>
        <w:t>.</w:t>
      </w:r>
    </w:p>
    <w:p w:rsidR="00192C16" w:rsidRPr="00282A57" w:rsidRDefault="00192C16" w:rsidP="00192C16">
      <w:pPr>
        <w:pStyle w:val="NormalWeb"/>
        <w:spacing w:before="0" w:beforeAutospacing="0" w:after="0" w:afterAutospacing="0"/>
        <w:rPr>
          <w:rFonts w:ascii="Arial" w:hAnsi="Arial" w:cs="Arial"/>
          <w:sz w:val="22"/>
          <w:szCs w:val="22"/>
          <w:lang w:val="ru-RU"/>
        </w:rPr>
      </w:pPr>
    </w:p>
    <w:p w:rsidR="00192C16" w:rsidRPr="00282A57" w:rsidRDefault="00282A57" w:rsidP="00192C16">
      <w:pPr>
        <w:pStyle w:val="Heading1"/>
        <w:spacing w:before="0" w:after="0"/>
        <w:rPr>
          <w:szCs w:val="22"/>
          <w:lang w:val="ru-RU"/>
        </w:rPr>
      </w:pPr>
      <w:r>
        <w:rPr>
          <w:szCs w:val="22"/>
          <w:lang w:val="ru-RU"/>
        </w:rPr>
        <w:t xml:space="preserve">РАссмотрение </w:t>
      </w:r>
      <w:r w:rsidR="005F3EB9">
        <w:rPr>
          <w:szCs w:val="22"/>
          <w:lang w:val="ru-RU"/>
        </w:rPr>
        <w:t>споров</w:t>
      </w:r>
      <w:r>
        <w:rPr>
          <w:szCs w:val="22"/>
          <w:lang w:val="ru-RU"/>
        </w:rPr>
        <w:t xml:space="preserve">, </w:t>
      </w:r>
      <w:r w:rsidR="005F3EB9">
        <w:rPr>
          <w:szCs w:val="22"/>
          <w:lang w:val="ru-RU"/>
        </w:rPr>
        <w:t xml:space="preserve">связанных с </w:t>
      </w:r>
      <w:r>
        <w:rPr>
          <w:szCs w:val="22"/>
          <w:lang w:val="ru-RU"/>
        </w:rPr>
        <w:t>доменны</w:t>
      </w:r>
      <w:r w:rsidR="005F3EB9">
        <w:rPr>
          <w:szCs w:val="22"/>
          <w:lang w:val="ru-RU"/>
        </w:rPr>
        <w:t>ми</w:t>
      </w:r>
      <w:r>
        <w:rPr>
          <w:szCs w:val="22"/>
          <w:lang w:val="ru-RU"/>
        </w:rPr>
        <w:t xml:space="preserve"> имен</w:t>
      </w:r>
      <w:r w:rsidR="005F3EB9">
        <w:rPr>
          <w:szCs w:val="22"/>
          <w:lang w:val="ru-RU"/>
        </w:rPr>
        <w:t>ами</w:t>
      </w:r>
    </w:p>
    <w:p w:rsidR="00192C16" w:rsidRPr="00EA7B9D" w:rsidRDefault="000432E8" w:rsidP="00EA7B9D">
      <w:pPr>
        <w:pStyle w:val="Heading2"/>
        <w:numPr>
          <w:ilvl w:val="0"/>
          <w:numId w:val="18"/>
        </w:numPr>
      </w:pPr>
      <w:r>
        <w:rPr>
          <w:lang w:val="ru-RU"/>
        </w:rPr>
        <w:t>ЕПУС</w:t>
      </w:r>
    </w:p>
    <w:p w:rsidR="00192C16" w:rsidRPr="006475B9" w:rsidRDefault="00192C16" w:rsidP="00192C16"/>
    <w:p w:rsidR="00192C16" w:rsidRPr="000432E8" w:rsidRDefault="005F3EB9" w:rsidP="00EA7B9D">
      <w:pPr>
        <w:pStyle w:val="ListParagraph"/>
        <w:numPr>
          <w:ilvl w:val="0"/>
          <w:numId w:val="10"/>
        </w:numPr>
        <w:ind w:left="0" w:firstLine="0"/>
        <w:rPr>
          <w:lang w:val="ru-RU"/>
        </w:rPr>
      </w:pPr>
      <w:r w:rsidRPr="005F3EB9">
        <w:rPr>
          <w:szCs w:val="24"/>
          <w:lang w:val="ru-RU"/>
        </w:rPr>
        <w:t>Существование системы доменных имен (</w:t>
      </w:r>
      <w:r w:rsidRPr="005F3EB9">
        <w:rPr>
          <w:szCs w:val="24"/>
        </w:rPr>
        <w:t>DNS</w:t>
      </w:r>
      <w:r w:rsidRPr="005F3EB9">
        <w:rPr>
          <w:szCs w:val="24"/>
          <w:lang w:val="ru-RU"/>
        </w:rPr>
        <w:t xml:space="preserve">) создает ряд проблем, связанных с охраной ИС, решение которых, в силу глобальной природы Интернета, требует международного подхода.  ВОИС </w:t>
      </w:r>
      <w:r w:rsidR="006046CB">
        <w:rPr>
          <w:szCs w:val="24"/>
          <w:lang w:val="ru-RU"/>
        </w:rPr>
        <w:t xml:space="preserve">занимается устранением </w:t>
      </w:r>
      <w:r w:rsidRPr="005F3EB9">
        <w:rPr>
          <w:szCs w:val="24"/>
          <w:lang w:val="ru-RU"/>
        </w:rPr>
        <w:t>эти</w:t>
      </w:r>
      <w:r w:rsidR="006046CB">
        <w:rPr>
          <w:szCs w:val="24"/>
          <w:lang w:val="ru-RU"/>
        </w:rPr>
        <w:t>х</w:t>
      </w:r>
      <w:r w:rsidRPr="005F3EB9">
        <w:rPr>
          <w:szCs w:val="24"/>
          <w:lang w:val="ru-RU"/>
        </w:rPr>
        <w:t xml:space="preserve"> проблем с 1998</w:t>
      </w:r>
      <w:r w:rsidR="006046CB">
        <w:rPr>
          <w:szCs w:val="24"/>
          <w:lang w:val="ru-RU"/>
        </w:rPr>
        <w:t> </w:t>
      </w:r>
      <w:r w:rsidRPr="005F3EB9">
        <w:rPr>
          <w:szCs w:val="24"/>
          <w:lang w:val="ru-RU"/>
        </w:rPr>
        <w:t xml:space="preserve">г., разрабатывая конкретные решения, из которых особого упоминания заслуживают </w:t>
      </w:r>
      <w:r w:rsidRPr="005F3EB9">
        <w:rPr>
          <w:szCs w:val="24"/>
          <w:lang w:val="ru-RU"/>
        </w:rPr>
        <w:lastRenderedPageBreak/>
        <w:t>Первый</w:t>
      </w:r>
      <w:r w:rsidRPr="005F3EB9">
        <w:rPr>
          <w:szCs w:val="24"/>
          <w:vertAlign w:val="superscript"/>
        </w:rPr>
        <w:footnoteReference w:id="11"/>
      </w:r>
      <w:r w:rsidRPr="005F3EB9">
        <w:rPr>
          <w:szCs w:val="24"/>
          <w:lang w:val="ru-RU"/>
        </w:rPr>
        <w:t xml:space="preserve"> и Второй</w:t>
      </w:r>
      <w:r w:rsidRPr="005F3EB9">
        <w:rPr>
          <w:szCs w:val="24"/>
          <w:vertAlign w:val="superscript"/>
        </w:rPr>
        <w:footnoteReference w:id="12"/>
      </w:r>
      <w:r w:rsidRPr="005F3EB9">
        <w:rPr>
          <w:szCs w:val="24"/>
          <w:lang w:val="ru-RU"/>
        </w:rPr>
        <w:t xml:space="preserve"> процессы ВОИС по доменным именам в Интернете. </w:t>
      </w:r>
      <w:r>
        <w:rPr>
          <w:szCs w:val="24"/>
          <w:lang w:val="ru-RU"/>
        </w:rPr>
        <w:t xml:space="preserve"> </w:t>
      </w:r>
      <w:r w:rsidRPr="005F3EB9">
        <w:rPr>
          <w:szCs w:val="24"/>
          <w:lang w:val="ru-RU"/>
        </w:rPr>
        <w:t xml:space="preserve">В частности Центр предлагает владельцам товарных знаков </w:t>
      </w:r>
      <w:r w:rsidR="0089280F">
        <w:rPr>
          <w:szCs w:val="24"/>
          <w:lang w:val="ru-RU"/>
        </w:rPr>
        <w:t xml:space="preserve">эффективные </w:t>
      </w:r>
      <w:r w:rsidRPr="005F3EB9">
        <w:rPr>
          <w:szCs w:val="24"/>
          <w:lang w:val="ru-RU"/>
        </w:rPr>
        <w:t xml:space="preserve">международные механизмы противодействия недобросовестной регистрации и использования доменных имен, </w:t>
      </w:r>
      <w:r w:rsidR="0089280F">
        <w:rPr>
          <w:szCs w:val="24"/>
          <w:lang w:val="ru-RU"/>
        </w:rPr>
        <w:t>соответствующих</w:t>
      </w:r>
      <w:r w:rsidRPr="005F3EB9">
        <w:rPr>
          <w:szCs w:val="24"/>
          <w:lang w:val="ru-RU"/>
        </w:rPr>
        <w:t xml:space="preserve"> права</w:t>
      </w:r>
      <w:r w:rsidR="0089280F">
        <w:rPr>
          <w:szCs w:val="24"/>
          <w:lang w:val="ru-RU"/>
        </w:rPr>
        <w:t>м</w:t>
      </w:r>
      <w:r w:rsidRPr="005F3EB9">
        <w:rPr>
          <w:szCs w:val="24"/>
          <w:lang w:val="ru-RU"/>
        </w:rPr>
        <w:t xml:space="preserve"> на соответствующие товарные знаки</w:t>
      </w:r>
      <w:r w:rsidR="00192C16" w:rsidRPr="000432E8">
        <w:rPr>
          <w:szCs w:val="24"/>
          <w:lang w:val="ru-RU"/>
        </w:rPr>
        <w:t>.</w:t>
      </w:r>
    </w:p>
    <w:p w:rsidR="00192C16" w:rsidRPr="000432E8" w:rsidRDefault="00192C16" w:rsidP="00192C16">
      <w:pPr>
        <w:pStyle w:val="Footer"/>
        <w:keepNext/>
        <w:keepLines/>
        <w:tabs>
          <w:tab w:val="clear" w:pos="4320"/>
          <w:tab w:val="clear" w:pos="8640"/>
          <w:tab w:val="right" w:pos="-3080"/>
        </w:tabs>
        <w:ind w:left="550" w:hanging="550"/>
        <w:rPr>
          <w:b/>
          <w:szCs w:val="22"/>
          <w:lang w:val="ru-RU"/>
        </w:rPr>
      </w:pPr>
    </w:p>
    <w:p w:rsidR="00192C16" w:rsidRPr="00303A90" w:rsidRDefault="005F3EB9" w:rsidP="00EA7B9D">
      <w:pPr>
        <w:pStyle w:val="ListParagraph"/>
        <w:numPr>
          <w:ilvl w:val="0"/>
          <w:numId w:val="10"/>
        </w:numPr>
        <w:ind w:left="0" w:firstLine="0"/>
        <w:rPr>
          <w:szCs w:val="24"/>
          <w:lang w:val="ru-RU"/>
        </w:rPr>
      </w:pPr>
      <w:r w:rsidRPr="005F3EB9">
        <w:rPr>
          <w:szCs w:val="24"/>
          <w:lang w:val="ru-RU"/>
        </w:rPr>
        <w:t>Центр осуществляет разрешени</w:t>
      </w:r>
      <w:r w:rsidR="00AA6B14">
        <w:rPr>
          <w:szCs w:val="24"/>
          <w:lang w:val="ru-RU"/>
        </w:rPr>
        <w:t>е</w:t>
      </w:r>
      <w:r w:rsidRPr="005F3EB9">
        <w:rPr>
          <w:szCs w:val="24"/>
          <w:lang w:val="ru-RU"/>
        </w:rPr>
        <w:t xml:space="preserve"> споров </w:t>
      </w:r>
      <w:r w:rsidR="00AA6B14">
        <w:rPr>
          <w:szCs w:val="24"/>
          <w:lang w:val="ru-RU"/>
        </w:rPr>
        <w:t xml:space="preserve">главным образом </w:t>
      </w:r>
      <w:r w:rsidRPr="005F3EB9">
        <w:rPr>
          <w:szCs w:val="24"/>
          <w:lang w:val="ru-RU"/>
        </w:rPr>
        <w:t>на основании ЕПУС.</w:t>
      </w:r>
      <w:r>
        <w:rPr>
          <w:szCs w:val="24"/>
          <w:lang w:val="ru-RU"/>
        </w:rPr>
        <w:t xml:space="preserve"> </w:t>
      </w:r>
      <w:r w:rsidRPr="005F3EB9">
        <w:rPr>
          <w:szCs w:val="24"/>
          <w:lang w:val="ru-RU"/>
        </w:rPr>
        <w:t xml:space="preserve"> ЕПУС была принята на вооружение </w:t>
      </w:r>
      <w:r w:rsidRPr="005F3EB9">
        <w:rPr>
          <w:szCs w:val="24"/>
        </w:rPr>
        <w:t>ICANN</w:t>
      </w:r>
      <w:r w:rsidRPr="005F3EB9">
        <w:rPr>
          <w:szCs w:val="24"/>
          <w:lang w:val="ru-RU"/>
        </w:rPr>
        <w:t xml:space="preserve"> в соответствии с рекомендациями, сформулированными ВОИС в рамках Первого процесса ВОИС по доменным именам в Интернете. </w:t>
      </w:r>
      <w:r>
        <w:rPr>
          <w:szCs w:val="24"/>
          <w:lang w:val="ru-RU"/>
        </w:rPr>
        <w:t xml:space="preserve"> </w:t>
      </w:r>
      <w:r w:rsidRPr="005F3EB9">
        <w:rPr>
          <w:szCs w:val="24"/>
          <w:lang w:val="ru-RU"/>
        </w:rPr>
        <w:t xml:space="preserve">Применение ЕПУС ограничивается случаями явно недобросовестной и неправомочной регистрации и использования доменных имен и </w:t>
      </w:r>
      <w:r w:rsidR="00AA6B14">
        <w:rPr>
          <w:szCs w:val="24"/>
          <w:lang w:val="ru-RU"/>
        </w:rPr>
        <w:t xml:space="preserve">пользуется </w:t>
      </w:r>
      <w:r w:rsidRPr="005F3EB9">
        <w:rPr>
          <w:szCs w:val="24"/>
          <w:lang w:val="ru-RU"/>
        </w:rPr>
        <w:t>весьма широк</w:t>
      </w:r>
      <w:r w:rsidR="00AA6B14">
        <w:rPr>
          <w:szCs w:val="24"/>
          <w:lang w:val="ru-RU"/>
        </w:rPr>
        <w:t>ой</w:t>
      </w:r>
      <w:r w:rsidRPr="005F3EB9">
        <w:rPr>
          <w:szCs w:val="24"/>
          <w:lang w:val="ru-RU"/>
        </w:rPr>
        <w:t xml:space="preserve"> популярность</w:t>
      </w:r>
      <w:r w:rsidR="00AA6B14">
        <w:rPr>
          <w:szCs w:val="24"/>
          <w:lang w:val="ru-RU"/>
        </w:rPr>
        <w:t>ю</w:t>
      </w:r>
      <w:r w:rsidRPr="005F3EB9">
        <w:rPr>
          <w:szCs w:val="24"/>
          <w:lang w:val="ru-RU"/>
        </w:rPr>
        <w:t xml:space="preserve"> среди владельцев товарных знаков. </w:t>
      </w:r>
      <w:r>
        <w:rPr>
          <w:szCs w:val="24"/>
          <w:lang w:val="ru-RU"/>
        </w:rPr>
        <w:t xml:space="preserve"> </w:t>
      </w:r>
      <w:r w:rsidRPr="005F3EB9">
        <w:rPr>
          <w:szCs w:val="24"/>
          <w:lang w:val="ru-RU"/>
        </w:rPr>
        <w:t xml:space="preserve">Решение, принятое Центром, не лишает ни одну из сторон права передать спор в компетентный суд, но лишь очень немногие споры, по которым было принято решение на основе ЕПУС, </w:t>
      </w:r>
      <w:r w:rsidR="00AA6B14">
        <w:rPr>
          <w:szCs w:val="24"/>
          <w:lang w:val="ru-RU"/>
        </w:rPr>
        <w:t xml:space="preserve">были в дальнейшем </w:t>
      </w:r>
      <w:r w:rsidRPr="005F3EB9">
        <w:rPr>
          <w:szCs w:val="24"/>
          <w:lang w:val="ru-RU"/>
        </w:rPr>
        <w:t>переда</w:t>
      </w:r>
      <w:r w:rsidR="00AA6B14">
        <w:rPr>
          <w:szCs w:val="24"/>
          <w:lang w:val="ru-RU"/>
        </w:rPr>
        <w:t xml:space="preserve">ны в </w:t>
      </w:r>
      <w:r w:rsidRPr="005F3EB9">
        <w:rPr>
          <w:szCs w:val="24"/>
          <w:lang w:val="ru-RU"/>
        </w:rPr>
        <w:t>национальны</w:t>
      </w:r>
      <w:r w:rsidR="00AA6B14">
        <w:rPr>
          <w:szCs w:val="24"/>
          <w:lang w:val="ru-RU"/>
        </w:rPr>
        <w:t>е</w:t>
      </w:r>
      <w:r w:rsidRPr="005F3EB9">
        <w:rPr>
          <w:szCs w:val="24"/>
          <w:lang w:val="ru-RU"/>
        </w:rPr>
        <w:t xml:space="preserve"> суд</w:t>
      </w:r>
      <w:r w:rsidR="00AA6B14">
        <w:rPr>
          <w:szCs w:val="24"/>
          <w:lang w:val="ru-RU"/>
        </w:rPr>
        <w:t>ы</w:t>
      </w:r>
      <w:r w:rsidR="00192C16" w:rsidRPr="00303A90">
        <w:rPr>
          <w:szCs w:val="24"/>
          <w:lang w:val="ru-RU"/>
        </w:rPr>
        <w:t>.</w:t>
      </w:r>
      <w:r w:rsidR="00192C16" w:rsidRPr="006475B9">
        <w:rPr>
          <w:rStyle w:val="FootnoteReference"/>
          <w:szCs w:val="24"/>
        </w:rPr>
        <w:footnoteReference w:id="13"/>
      </w:r>
    </w:p>
    <w:p w:rsidR="00192C16" w:rsidRPr="00303A90" w:rsidRDefault="00192C16" w:rsidP="00EA7B9D">
      <w:pPr>
        <w:rPr>
          <w:szCs w:val="24"/>
          <w:lang w:val="ru-RU"/>
        </w:rPr>
      </w:pPr>
    </w:p>
    <w:p w:rsidR="00192C16" w:rsidRPr="00714917" w:rsidRDefault="005F3EB9" w:rsidP="00EA7B9D">
      <w:pPr>
        <w:pStyle w:val="ListParagraph"/>
        <w:numPr>
          <w:ilvl w:val="0"/>
          <w:numId w:val="10"/>
        </w:numPr>
        <w:ind w:left="0" w:firstLine="0"/>
        <w:rPr>
          <w:szCs w:val="24"/>
          <w:lang w:val="ru-RU"/>
        </w:rPr>
      </w:pPr>
      <w:r w:rsidRPr="005F3EB9">
        <w:rPr>
          <w:szCs w:val="24"/>
          <w:lang w:val="ru-RU"/>
        </w:rPr>
        <w:t>С декабря 1999</w:t>
      </w:r>
      <w:r w:rsidR="004B3F11">
        <w:rPr>
          <w:szCs w:val="24"/>
          <w:lang w:val="ru-RU"/>
        </w:rPr>
        <w:t> </w:t>
      </w:r>
      <w:r w:rsidRPr="005F3EB9">
        <w:rPr>
          <w:szCs w:val="24"/>
          <w:lang w:val="ru-RU"/>
        </w:rPr>
        <w:t>г. Центр рассмотрел по процедуре ЕПУС и связанным с ней процедурам п</w:t>
      </w:r>
      <w:r w:rsidR="004B3F11">
        <w:rPr>
          <w:szCs w:val="24"/>
          <w:lang w:val="ru-RU"/>
        </w:rPr>
        <w:t xml:space="preserve">орядка </w:t>
      </w:r>
      <w:r w:rsidRPr="005F3EB9">
        <w:rPr>
          <w:szCs w:val="24"/>
          <w:lang w:val="ru-RU"/>
        </w:rPr>
        <w:t>2</w:t>
      </w:r>
      <w:r>
        <w:rPr>
          <w:szCs w:val="24"/>
          <w:lang w:val="ru-RU"/>
        </w:rPr>
        <w:t>9</w:t>
      </w:r>
      <w:r w:rsidRPr="005F3EB9">
        <w:rPr>
          <w:szCs w:val="24"/>
        </w:rPr>
        <w:t> </w:t>
      </w:r>
      <w:r w:rsidR="004B3F11">
        <w:rPr>
          <w:szCs w:val="24"/>
          <w:lang w:val="ru-RU"/>
        </w:rPr>
        <w:t>тыс.</w:t>
      </w:r>
      <w:r w:rsidRPr="005F3EB9">
        <w:rPr>
          <w:szCs w:val="24"/>
          <w:lang w:val="ru-RU"/>
        </w:rPr>
        <w:t xml:space="preserve"> споров</w:t>
      </w:r>
      <w:r w:rsidR="00192C16" w:rsidRPr="00BB4ABC">
        <w:rPr>
          <w:szCs w:val="24"/>
          <w:lang w:val="ru-RU"/>
        </w:rPr>
        <w:t xml:space="preserve">.  </w:t>
      </w:r>
      <w:r w:rsidRPr="005F3EB9">
        <w:rPr>
          <w:szCs w:val="24"/>
          <w:lang w:val="ru-RU"/>
        </w:rPr>
        <w:t>Центр публикует в Интернете статистические данные в режиме реального времени, которыми могут пользоваться стороны споров, рассматриваемых органами ВОИС, нейтральные лица, поверенные по товарным знакам</w:t>
      </w:r>
      <w:r w:rsidR="00F00ECF" w:rsidRPr="00F00ECF">
        <w:rPr>
          <w:szCs w:val="24"/>
          <w:lang w:val="ru-RU"/>
        </w:rPr>
        <w:t xml:space="preserve">, </w:t>
      </w:r>
      <w:r w:rsidR="00856005">
        <w:rPr>
          <w:szCs w:val="24"/>
          <w:lang w:val="ru-RU"/>
        </w:rPr>
        <w:t>директивны</w:t>
      </w:r>
      <w:r>
        <w:rPr>
          <w:szCs w:val="24"/>
          <w:lang w:val="ru-RU"/>
        </w:rPr>
        <w:t>е</w:t>
      </w:r>
      <w:r w:rsidR="00856005">
        <w:rPr>
          <w:szCs w:val="24"/>
          <w:lang w:val="ru-RU"/>
        </w:rPr>
        <w:t xml:space="preserve"> орган</w:t>
      </w:r>
      <w:r>
        <w:rPr>
          <w:szCs w:val="24"/>
          <w:lang w:val="ru-RU"/>
        </w:rPr>
        <w:t>ы</w:t>
      </w:r>
      <w:r w:rsidR="00856005">
        <w:rPr>
          <w:szCs w:val="24"/>
          <w:lang w:val="ru-RU"/>
        </w:rPr>
        <w:t xml:space="preserve"> </w:t>
      </w:r>
      <w:r w:rsidR="00F00ECF" w:rsidRPr="00F00ECF">
        <w:rPr>
          <w:szCs w:val="24"/>
          <w:lang w:val="ru-RU"/>
        </w:rPr>
        <w:t>в области доменных имен, средств</w:t>
      </w:r>
      <w:r w:rsidR="00856005">
        <w:rPr>
          <w:szCs w:val="24"/>
          <w:lang w:val="ru-RU"/>
        </w:rPr>
        <w:t>а</w:t>
      </w:r>
      <w:r w:rsidR="00F00ECF" w:rsidRPr="00F00ECF">
        <w:rPr>
          <w:szCs w:val="24"/>
          <w:lang w:val="ru-RU"/>
        </w:rPr>
        <w:t xml:space="preserve"> массовой информации и </w:t>
      </w:r>
      <w:r w:rsidR="00856005">
        <w:rPr>
          <w:szCs w:val="24"/>
          <w:lang w:val="ru-RU"/>
        </w:rPr>
        <w:t>научны</w:t>
      </w:r>
      <w:r>
        <w:rPr>
          <w:szCs w:val="24"/>
          <w:lang w:val="ru-RU"/>
        </w:rPr>
        <w:t>е</w:t>
      </w:r>
      <w:r w:rsidR="00856005">
        <w:rPr>
          <w:szCs w:val="24"/>
          <w:lang w:val="ru-RU"/>
        </w:rPr>
        <w:t xml:space="preserve"> круг</w:t>
      </w:r>
      <w:r>
        <w:rPr>
          <w:szCs w:val="24"/>
          <w:lang w:val="ru-RU"/>
        </w:rPr>
        <w:t>и</w:t>
      </w:r>
      <w:r w:rsidR="00192C16" w:rsidRPr="00F00ECF">
        <w:rPr>
          <w:szCs w:val="24"/>
          <w:lang w:val="ru-RU"/>
        </w:rPr>
        <w:t>.</w:t>
      </w:r>
      <w:r w:rsidR="00192C16" w:rsidRPr="006475B9">
        <w:rPr>
          <w:vertAlign w:val="superscript"/>
        </w:rPr>
        <w:footnoteReference w:id="14"/>
      </w:r>
      <w:r w:rsidR="00192C16" w:rsidRPr="00F00ECF">
        <w:rPr>
          <w:szCs w:val="24"/>
          <w:lang w:val="ru-RU"/>
        </w:rPr>
        <w:t xml:space="preserve">  </w:t>
      </w:r>
      <w:r w:rsidRPr="005F3EB9">
        <w:rPr>
          <w:szCs w:val="24"/>
          <w:lang w:val="ru-RU"/>
        </w:rPr>
        <w:t>Сталкиваясь с неопределенност</w:t>
      </w:r>
      <w:r w:rsidR="004B3F11">
        <w:rPr>
          <w:szCs w:val="24"/>
          <w:lang w:val="ru-RU"/>
        </w:rPr>
        <w:t>ью</w:t>
      </w:r>
      <w:r w:rsidRPr="005F3EB9">
        <w:rPr>
          <w:szCs w:val="24"/>
          <w:lang w:val="ru-RU"/>
        </w:rPr>
        <w:t xml:space="preserve"> в плане надвигающегося расширения </w:t>
      </w:r>
      <w:r w:rsidRPr="005F3EB9">
        <w:rPr>
          <w:szCs w:val="24"/>
        </w:rPr>
        <w:t>DNS</w:t>
      </w:r>
      <w:r w:rsidRPr="005F3EB9">
        <w:rPr>
          <w:szCs w:val="24"/>
          <w:lang w:val="ru-RU"/>
        </w:rPr>
        <w:t xml:space="preserve"> и работая, во многих случаях, в условиях у</w:t>
      </w:r>
      <w:r w:rsidR="004B3F11">
        <w:rPr>
          <w:szCs w:val="24"/>
          <w:lang w:val="ru-RU"/>
        </w:rPr>
        <w:t xml:space="preserve">резанных </w:t>
      </w:r>
      <w:r w:rsidRPr="005F3EB9">
        <w:rPr>
          <w:szCs w:val="24"/>
          <w:lang w:val="ru-RU"/>
        </w:rPr>
        <w:t>бюджетов на цели защиты прав, владельцы товарных знаков в 2013</w:t>
      </w:r>
      <w:r w:rsidR="004B3F11">
        <w:rPr>
          <w:szCs w:val="24"/>
          <w:lang w:val="ru-RU"/>
        </w:rPr>
        <w:t> </w:t>
      </w:r>
      <w:r w:rsidRPr="005F3EB9">
        <w:rPr>
          <w:szCs w:val="24"/>
          <w:lang w:val="ru-RU"/>
        </w:rPr>
        <w:t>г. подали в Центр 2 585</w:t>
      </w:r>
      <w:r w:rsidRPr="005F3EB9">
        <w:rPr>
          <w:szCs w:val="24"/>
        </w:rPr>
        <w:t> </w:t>
      </w:r>
      <w:r w:rsidRPr="005F3EB9">
        <w:rPr>
          <w:szCs w:val="24"/>
          <w:lang w:val="ru-RU"/>
        </w:rPr>
        <w:t>жалоб по процедуре ЕПУС, что на 10</w:t>
      </w:r>
      <w:r>
        <w:rPr>
          <w:szCs w:val="24"/>
          <w:lang w:val="ru-RU"/>
        </w:rPr>
        <w:t> </w:t>
      </w:r>
      <w:r w:rsidRPr="005F3EB9">
        <w:rPr>
          <w:szCs w:val="24"/>
          <w:lang w:val="ru-RU"/>
        </w:rPr>
        <w:t xml:space="preserve">процентов меньше, </w:t>
      </w:r>
      <w:r>
        <w:rPr>
          <w:szCs w:val="24"/>
          <w:lang w:val="ru-RU"/>
        </w:rPr>
        <w:t>чем</w:t>
      </w:r>
      <w:r w:rsidRPr="005F3EB9">
        <w:rPr>
          <w:szCs w:val="24"/>
          <w:lang w:val="ru-RU"/>
        </w:rPr>
        <w:t xml:space="preserve"> в 2012</w:t>
      </w:r>
      <w:r>
        <w:rPr>
          <w:szCs w:val="24"/>
          <w:lang w:val="ru-RU"/>
        </w:rPr>
        <w:t> </w:t>
      </w:r>
      <w:r w:rsidRPr="005F3EB9">
        <w:rPr>
          <w:szCs w:val="24"/>
          <w:lang w:val="ru-RU"/>
        </w:rPr>
        <w:t xml:space="preserve">г.  </w:t>
      </w:r>
      <w:r w:rsidR="004B3F11">
        <w:rPr>
          <w:szCs w:val="24"/>
          <w:lang w:val="ru-RU"/>
        </w:rPr>
        <w:t xml:space="preserve">Несмотря на это </w:t>
      </w:r>
      <w:r w:rsidRPr="005F3EB9">
        <w:rPr>
          <w:szCs w:val="24"/>
          <w:lang w:val="ru-RU"/>
        </w:rPr>
        <w:t>Центр</w:t>
      </w:r>
      <w:r>
        <w:rPr>
          <w:szCs w:val="24"/>
          <w:lang w:val="ru-RU"/>
        </w:rPr>
        <w:t xml:space="preserve"> </w:t>
      </w:r>
      <w:r w:rsidR="004B3F11">
        <w:rPr>
          <w:szCs w:val="24"/>
          <w:lang w:val="ru-RU"/>
        </w:rPr>
        <w:t xml:space="preserve">удерживают свои позиции на рынке как </w:t>
      </w:r>
      <w:r>
        <w:rPr>
          <w:szCs w:val="24"/>
          <w:lang w:val="ru-RU"/>
        </w:rPr>
        <w:t>ведущ</w:t>
      </w:r>
      <w:r w:rsidR="004B3F11">
        <w:rPr>
          <w:szCs w:val="24"/>
          <w:lang w:val="ru-RU"/>
        </w:rPr>
        <w:t xml:space="preserve">ий </w:t>
      </w:r>
      <w:r w:rsidRPr="005F3EB9">
        <w:rPr>
          <w:szCs w:val="24"/>
          <w:lang w:val="ru-RU"/>
        </w:rPr>
        <w:t>поставщик услуг ЕПУС</w:t>
      </w:r>
      <w:r>
        <w:rPr>
          <w:szCs w:val="24"/>
          <w:lang w:val="ru-RU"/>
        </w:rPr>
        <w:t xml:space="preserve"> в мире</w:t>
      </w:r>
      <w:r w:rsidR="00714917">
        <w:rPr>
          <w:szCs w:val="24"/>
          <w:lang w:val="ru-RU"/>
        </w:rPr>
        <w:t>.</w:t>
      </w:r>
      <w:r w:rsidR="00192C16" w:rsidRPr="00714917">
        <w:rPr>
          <w:szCs w:val="24"/>
          <w:lang w:val="ru-RU"/>
        </w:rPr>
        <w:t xml:space="preserve">  </w:t>
      </w:r>
      <w:r w:rsidR="00714917">
        <w:rPr>
          <w:szCs w:val="24"/>
          <w:lang w:val="ru-RU"/>
        </w:rPr>
        <w:t>В</w:t>
      </w:r>
      <w:r w:rsidR="00714917" w:rsidRPr="00714917">
        <w:rPr>
          <w:szCs w:val="24"/>
          <w:lang w:val="ru-RU"/>
        </w:rPr>
        <w:t xml:space="preserve"> </w:t>
      </w:r>
      <w:r w:rsidR="00192C16" w:rsidRPr="00714917">
        <w:rPr>
          <w:szCs w:val="24"/>
          <w:lang w:val="ru-RU"/>
        </w:rPr>
        <w:t>2013</w:t>
      </w:r>
      <w:r w:rsidR="00714917" w:rsidRPr="00714917">
        <w:rPr>
          <w:szCs w:val="24"/>
        </w:rPr>
        <w:t> </w:t>
      </w:r>
      <w:r w:rsidR="00714917">
        <w:rPr>
          <w:szCs w:val="24"/>
          <w:lang w:val="ru-RU"/>
        </w:rPr>
        <w:t>г</w:t>
      </w:r>
      <w:r w:rsidR="00714917" w:rsidRPr="00714917">
        <w:rPr>
          <w:szCs w:val="24"/>
          <w:lang w:val="ru-RU"/>
        </w:rPr>
        <w:t xml:space="preserve">. </w:t>
      </w:r>
      <w:r w:rsidR="00714917">
        <w:rPr>
          <w:szCs w:val="24"/>
          <w:lang w:val="ru-RU"/>
        </w:rPr>
        <w:t>общее</w:t>
      </w:r>
      <w:r w:rsidR="00714917" w:rsidRPr="00714917">
        <w:rPr>
          <w:szCs w:val="24"/>
          <w:lang w:val="ru-RU"/>
        </w:rPr>
        <w:t xml:space="preserve"> </w:t>
      </w:r>
      <w:r w:rsidR="00714917">
        <w:rPr>
          <w:szCs w:val="24"/>
          <w:lang w:val="ru-RU"/>
        </w:rPr>
        <w:t>число</w:t>
      </w:r>
      <w:r w:rsidR="00714917" w:rsidRPr="00714917">
        <w:rPr>
          <w:szCs w:val="24"/>
          <w:lang w:val="ru-RU"/>
        </w:rPr>
        <w:t xml:space="preserve"> </w:t>
      </w:r>
      <w:r w:rsidR="00DA6596">
        <w:rPr>
          <w:szCs w:val="24"/>
          <w:lang w:val="ru-RU"/>
        </w:rPr>
        <w:t xml:space="preserve">оспариваемых </w:t>
      </w:r>
      <w:r w:rsidR="00714917">
        <w:rPr>
          <w:szCs w:val="24"/>
          <w:lang w:val="ru-RU"/>
        </w:rPr>
        <w:t>доменны</w:t>
      </w:r>
      <w:r w:rsidR="00DA6596">
        <w:rPr>
          <w:szCs w:val="24"/>
          <w:lang w:val="ru-RU"/>
        </w:rPr>
        <w:t>х</w:t>
      </w:r>
      <w:r w:rsidR="00714917" w:rsidRPr="00714917">
        <w:rPr>
          <w:szCs w:val="24"/>
          <w:lang w:val="ru-RU"/>
        </w:rPr>
        <w:t xml:space="preserve"> </w:t>
      </w:r>
      <w:r w:rsidR="00714917">
        <w:rPr>
          <w:szCs w:val="24"/>
          <w:lang w:val="ru-RU"/>
        </w:rPr>
        <w:t xml:space="preserve">имен </w:t>
      </w:r>
      <w:r w:rsidR="00DA6596">
        <w:rPr>
          <w:szCs w:val="24"/>
          <w:lang w:val="ru-RU"/>
        </w:rPr>
        <w:t xml:space="preserve">среди </w:t>
      </w:r>
      <w:r w:rsidR="00714917">
        <w:rPr>
          <w:szCs w:val="24"/>
          <w:lang w:val="ru-RU"/>
        </w:rPr>
        <w:t>поданных в ВОИС жалоб</w:t>
      </w:r>
      <w:r w:rsidR="00714917" w:rsidRPr="00714917">
        <w:rPr>
          <w:szCs w:val="24"/>
          <w:lang w:val="ru-RU"/>
        </w:rPr>
        <w:t>,</w:t>
      </w:r>
      <w:r w:rsidR="00714917">
        <w:rPr>
          <w:szCs w:val="24"/>
          <w:lang w:val="ru-RU"/>
        </w:rPr>
        <w:t xml:space="preserve"> рассматриваемых </w:t>
      </w:r>
      <w:r w:rsidR="00DA6596">
        <w:rPr>
          <w:szCs w:val="24"/>
          <w:lang w:val="ru-RU"/>
        </w:rPr>
        <w:t xml:space="preserve">по процедуре </w:t>
      </w:r>
      <w:r w:rsidR="00714917">
        <w:rPr>
          <w:szCs w:val="24"/>
          <w:lang w:val="ru-RU"/>
        </w:rPr>
        <w:t xml:space="preserve">ЕПУС, превысило </w:t>
      </w:r>
      <w:r w:rsidR="00EC1C32" w:rsidRPr="00714917">
        <w:rPr>
          <w:szCs w:val="24"/>
          <w:lang w:val="ru-RU"/>
        </w:rPr>
        <w:t>50</w:t>
      </w:r>
      <w:r w:rsidR="00714917">
        <w:rPr>
          <w:szCs w:val="24"/>
          <w:lang w:val="ru-RU"/>
        </w:rPr>
        <w:t> тыс.</w:t>
      </w:r>
      <w:r w:rsidR="004B3F11">
        <w:rPr>
          <w:szCs w:val="24"/>
          <w:lang w:val="ru-RU"/>
        </w:rPr>
        <w:t xml:space="preserve"> единиц.</w:t>
      </w:r>
    </w:p>
    <w:p w:rsidR="00192C16" w:rsidRPr="00714917" w:rsidRDefault="00192C16" w:rsidP="00EA7B9D">
      <w:pPr>
        <w:rPr>
          <w:szCs w:val="24"/>
          <w:lang w:val="ru-RU"/>
        </w:rPr>
      </w:pPr>
    </w:p>
    <w:p w:rsidR="00192C16" w:rsidRPr="009A759A" w:rsidRDefault="00CB2718" w:rsidP="00395CDB">
      <w:pPr>
        <w:pStyle w:val="ListParagraph"/>
        <w:numPr>
          <w:ilvl w:val="0"/>
          <w:numId w:val="10"/>
        </w:numPr>
        <w:ind w:left="0" w:firstLine="0"/>
        <w:rPr>
          <w:szCs w:val="24"/>
          <w:lang w:val="ru-RU"/>
        </w:rPr>
      </w:pPr>
      <w:r w:rsidRPr="00CB2718">
        <w:rPr>
          <w:szCs w:val="24"/>
          <w:lang w:val="ru-RU"/>
        </w:rPr>
        <w:t>В 2013</w:t>
      </w:r>
      <w:r w:rsidRPr="00CB2718">
        <w:rPr>
          <w:szCs w:val="24"/>
        </w:rPr>
        <w:t> </w:t>
      </w:r>
      <w:r w:rsidRPr="00CB2718">
        <w:rPr>
          <w:szCs w:val="24"/>
          <w:lang w:val="ru-RU"/>
        </w:rPr>
        <w:t xml:space="preserve">г. процедурами </w:t>
      </w:r>
      <w:r w:rsidR="00ED6B29">
        <w:rPr>
          <w:szCs w:val="24"/>
          <w:lang w:val="ru-RU"/>
        </w:rPr>
        <w:t xml:space="preserve">Центра в области </w:t>
      </w:r>
      <w:r w:rsidRPr="00CB2718">
        <w:rPr>
          <w:szCs w:val="24"/>
          <w:lang w:val="ru-RU"/>
        </w:rPr>
        <w:t>разрешения споров пользовались самые разные категории клиентов: частные лица и предприятия, фонды и учреждения.</w:t>
      </w:r>
      <w:r>
        <w:rPr>
          <w:szCs w:val="24"/>
          <w:lang w:val="ru-RU"/>
        </w:rPr>
        <w:t xml:space="preserve">  </w:t>
      </w:r>
      <w:r w:rsidRPr="00CB2718">
        <w:rPr>
          <w:szCs w:val="24"/>
          <w:lang w:val="ru-RU"/>
        </w:rPr>
        <w:t xml:space="preserve">Наиболее активно </w:t>
      </w:r>
      <w:r w:rsidR="00ED6B29">
        <w:rPr>
          <w:szCs w:val="24"/>
          <w:lang w:val="ru-RU"/>
        </w:rPr>
        <w:t xml:space="preserve">в этой связи действовали </w:t>
      </w:r>
      <w:r w:rsidRPr="00CB2718">
        <w:rPr>
          <w:szCs w:val="24"/>
          <w:lang w:val="ru-RU"/>
        </w:rPr>
        <w:t xml:space="preserve">представители пяти отраслей: сектора розничной торговли, </w:t>
      </w:r>
      <w:r>
        <w:rPr>
          <w:szCs w:val="24"/>
          <w:lang w:val="ru-RU"/>
        </w:rPr>
        <w:t>индустрии</w:t>
      </w:r>
      <w:r w:rsidRPr="00CB2718">
        <w:rPr>
          <w:szCs w:val="24"/>
          <w:lang w:val="ru-RU"/>
        </w:rPr>
        <w:t xml:space="preserve"> моды, банковского и финансового сектора, сектора биотехнологии и фармацевтической продукции и сектора Интернет- и информационных технологий.</w:t>
      </w:r>
      <w:r>
        <w:rPr>
          <w:szCs w:val="24"/>
          <w:lang w:val="ru-RU"/>
        </w:rPr>
        <w:t xml:space="preserve"> </w:t>
      </w:r>
      <w:r w:rsidRPr="00CB2718">
        <w:rPr>
          <w:szCs w:val="24"/>
          <w:lang w:val="ru-RU"/>
        </w:rPr>
        <w:t xml:space="preserve"> Возросшее число дел, связанных с использованием брендов модных изделий и предметов роскоши</w:t>
      </w:r>
      <w:r>
        <w:rPr>
          <w:szCs w:val="24"/>
          <w:lang w:val="ru-RU"/>
        </w:rPr>
        <w:t>,</w:t>
      </w:r>
      <w:r w:rsidRPr="00CB2718">
        <w:rPr>
          <w:szCs w:val="24"/>
          <w:lang w:val="ru-RU"/>
        </w:rPr>
        <w:t xml:space="preserve"> отчасти отражает рост числа жалоб, подаваемых владельцами брендов, заявляющих о продаже контрафактной продукции через вебсайты, использующие оспариваемые доменные имена.</w:t>
      </w:r>
      <w:r w:rsidR="00192C16" w:rsidRPr="00395CDB">
        <w:rPr>
          <w:szCs w:val="24"/>
          <w:lang w:val="ru-RU"/>
        </w:rPr>
        <w:t xml:space="preserve">  </w:t>
      </w:r>
      <w:r w:rsidRPr="00CB2718">
        <w:rPr>
          <w:szCs w:val="24"/>
          <w:lang w:val="ru-RU"/>
        </w:rPr>
        <w:t>Зафиксированные стороны споров, рассматриваемых в ВОИС по процедуре ЕПУС, на сегодня представляли 176</w:t>
      </w:r>
      <w:r w:rsidRPr="00CB2718">
        <w:rPr>
          <w:szCs w:val="24"/>
        </w:rPr>
        <w:t> </w:t>
      </w:r>
      <w:r w:rsidRPr="00CB2718">
        <w:rPr>
          <w:szCs w:val="24"/>
          <w:lang w:val="ru-RU"/>
        </w:rPr>
        <w:t xml:space="preserve">стран, что отражает поистине глобальный масштаб этого механизма разрешения споров. </w:t>
      </w:r>
      <w:r>
        <w:rPr>
          <w:szCs w:val="24"/>
          <w:lang w:val="ru-RU"/>
        </w:rPr>
        <w:t xml:space="preserve"> </w:t>
      </w:r>
      <w:r w:rsidRPr="00CB2718">
        <w:rPr>
          <w:szCs w:val="24"/>
          <w:lang w:val="ru-RU"/>
        </w:rPr>
        <w:t>С точки зрения языков</w:t>
      </w:r>
      <w:r w:rsidR="00ED6B29" w:rsidRPr="00ED6B29">
        <w:rPr>
          <w:szCs w:val="24"/>
          <w:lang w:val="ru-RU"/>
        </w:rPr>
        <w:t xml:space="preserve"> </w:t>
      </w:r>
      <w:r w:rsidR="00ED6B29" w:rsidRPr="00CB2718">
        <w:rPr>
          <w:szCs w:val="24"/>
          <w:lang w:val="ru-RU"/>
        </w:rPr>
        <w:t>регистрационны</w:t>
      </w:r>
      <w:r w:rsidR="00ED6B29">
        <w:rPr>
          <w:szCs w:val="24"/>
          <w:lang w:val="ru-RU"/>
        </w:rPr>
        <w:t>х</w:t>
      </w:r>
      <w:r w:rsidR="00ED6B29" w:rsidRPr="00CB2718">
        <w:rPr>
          <w:szCs w:val="24"/>
          <w:lang w:val="ru-RU"/>
        </w:rPr>
        <w:t xml:space="preserve"> соглашени</w:t>
      </w:r>
      <w:r w:rsidR="00ED6B29">
        <w:rPr>
          <w:szCs w:val="24"/>
          <w:lang w:val="ru-RU"/>
        </w:rPr>
        <w:t xml:space="preserve">й, </w:t>
      </w:r>
      <w:r w:rsidRPr="00CB2718">
        <w:rPr>
          <w:szCs w:val="24"/>
          <w:lang w:val="ru-RU"/>
        </w:rPr>
        <w:t>применимы</w:t>
      </w:r>
      <w:r w:rsidR="00ED6B29">
        <w:rPr>
          <w:szCs w:val="24"/>
          <w:lang w:val="ru-RU"/>
        </w:rPr>
        <w:t>х</w:t>
      </w:r>
      <w:r w:rsidRPr="00CB2718">
        <w:rPr>
          <w:szCs w:val="24"/>
          <w:lang w:val="ru-RU"/>
        </w:rPr>
        <w:t xml:space="preserve"> к оспариваемым доменным именам, процедуры ВОИС</w:t>
      </w:r>
      <w:r w:rsidR="00ED6B29">
        <w:rPr>
          <w:szCs w:val="24"/>
          <w:lang w:val="ru-RU"/>
        </w:rPr>
        <w:t>, определяемые ЕПУС,</w:t>
      </w:r>
      <w:r w:rsidRPr="00CB2718">
        <w:rPr>
          <w:szCs w:val="24"/>
          <w:lang w:val="ru-RU"/>
        </w:rPr>
        <w:t xml:space="preserve"> до сих пор осуществлялись на 20</w:t>
      </w:r>
      <w:r>
        <w:rPr>
          <w:szCs w:val="24"/>
          <w:lang w:val="ru-RU"/>
        </w:rPr>
        <w:t> </w:t>
      </w:r>
      <w:r w:rsidRPr="00CB2718">
        <w:rPr>
          <w:szCs w:val="24"/>
          <w:lang w:val="ru-RU"/>
        </w:rPr>
        <w:t>различных языках</w:t>
      </w:r>
      <w:r w:rsidR="009A759A">
        <w:rPr>
          <w:szCs w:val="24"/>
          <w:lang w:val="ru-RU"/>
        </w:rPr>
        <w:t>.</w:t>
      </w:r>
      <w:r w:rsidR="00192C16" w:rsidRPr="006475B9">
        <w:rPr>
          <w:rStyle w:val="FootnoteReference"/>
          <w:szCs w:val="24"/>
        </w:rPr>
        <w:footnoteReference w:id="15"/>
      </w:r>
    </w:p>
    <w:p w:rsidR="00192C16" w:rsidRPr="009A759A" w:rsidRDefault="00192C16" w:rsidP="00192C16">
      <w:pPr>
        <w:rPr>
          <w:szCs w:val="24"/>
          <w:lang w:val="ru-RU"/>
        </w:rPr>
      </w:pPr>
    </w:p>
    <w:p w:rsidR="00192C16" w:rsidRPr="00982986" w:rsidRDefault="00574686" w:rsidP="005C2C01">
      <w:pPr>
        <w:pStyle w:val="ListParagraph"/>
        <w:numPr>
          <w:ilvl w:val="0"/>
          <w:numId w:val="10"/>
        </w:numPr>
        <w:ind w:left="0" w:firstLine="0"/>
        <w:rPr>
          <w:szCs w:val="24"/>
          <w:lang w:val="ru-RU"/>
        </w:rPr>
      </w:pPr>
      <w:r w:rsidRPr="00574686">
        <w:rPr>
          <w:szCs w:val="24"/>
          <w:lang w:val="ru-RU"/>
        </w:rPr>
        <w:t>Все решения экспертных комиссий</w:t>
      </w:r>
      <w:r w:rsidR="00355E6F">
        <w:rPr>
          <w:szCs w:val="24"/>
          <w:lang w:val="ru-RU"/>
        </w:rPr>
        <w:t xml:space="preserve"> ЕПУС </w:t>
      </w:r>
      <w:r w:rsidRPr="00574686">
        <w:rPr>
          <w:szCs w:val="24"/>
          <w:lang w:val="ru-RU"/>
        </w:rPr>
        <w:t xml:space="preserve">ВОИС размещаются на веб-сайте Центра.  </w:t>
      </w:r>
      <w:r w:rsidR="004B1A7D">
        <w:rPr>
          <w:szCs w:val="24"/>
          <w:lang w:val="ru-RU"/>
        </w:rPr>
        <w:t xml:space="preserve">На странице </w:t>
      </w:r>
      <w:r w:rsidR="00355E6F" w:rsidRPr="00355E6F">
        <w:rPr>
          <w:szCs w:val="24"/>
          <w:lang w:val="ru-RU"/>
        </w:rPr>
        <w:t>Центр</w:t>
      </w:r>
      <w:r w:rsidR="004B1A7D">
        <w:rPr>
          <w:szCs w:val="24"/>
          <w:lang w:val="ru-RU"/>
        </w:rPr>
        <w:t xml:space="preserve">а </w:t>
      </w:r>
      <w:r w:rsidR="00355E6F" w:rsidRPr="00355E6F">
        <w:rPr>
          <w:szCs w:val="24"/>
          <w:lang w:val="ru-RU"/>
        </w:rPr>
        <w:t>также публикует</w:t>
      </w:r>
      <w:r w:rsidR="004B1A7D">
        <w:rPr>
          <w:szCs w:val="24"/>
          <w:lang w:val="ru-RU"/>
        </w:rPr>
        <w:t xml:space="preserve">ся </w:t>
      </w:r>
      <w:r w:rsidR="00355E6F" w:rsidRPr="00355E6F">
        <w:rPr>
          <w:szCs w:val="24"/>
          <w:lang w:val="ru-RU"/>
        </w:rPr>
        <w:t>уникальный материал: обзор общих тенденций в решениях по наиболее важным вопросам споров (Обзор ВОИС мнений комиссии ВОИС по избранным вопросам ЕПУС (</w:t>
      </w:r>
      <w:r w:rsidR="00355E6F" w:rsidRPr="00355E6F">
        <w:rPr>
          <w:szCs w:val="24"/>
        </w:rPr>
        <w:t>WIPO</w:t>
      </w:r>
      <w:r w:rsidR="00355E6F" w:rsidRPr="00355E6F">
        <w:rPr>
          <w:szCs w:val="24"/>
          <w:lang w:val="ru-RU"/>
        </w:rPr>
        <w:t xml:space="preserve"> </w:t>
      </w:r>
      <w:r w:rsidR="00355E6F" w:rsidRPr="00355E6F">
        <w:rPr>
          <w:szCs w:val="24"/>
        </w:rPr>
        <w:t>Overview</w:t>
      </w:r>
      <w:r w:rsidR="00355E6F" w:rsidRPr="00355E6F">
        <w:rPr>
          <w:szCs w:val="24"/>
          <w:lang w:val="ru-RU"/>
        </w:rPr>
        <w:t xml:space="preserve"> 2.0), в котором анализируются тысячи споров, рассмотренных Центром по процедуре ЕПУС. </w:t>
      </w:r>
      <w:r w:rsidR="004B1A7D">
        <w:rPr>
          <w:szCs w:val="24"/>
          <w:lang w:val="ru-RU"/>
        </w:rPr>
        <w:t xml:space="preserve"> </w:t>
      </w:r>
      <w:r w:rsidR="00355E6F" w:rsidRPr="00355E6F">
        <w:rPr>
          <w:szCs w:val="24"/>
          <w:lang w:val="ru-RU"/>
        </w:rPr>
        <w:t xml:space="preserve">Этот инструмент, </w:t>
      </w:r>
      <w:r w:rsidR="004B1A7D">
        <w:rPr>
          <w:szCs w:val="24"/>
          <w:lang w:val="ru-RU"/>
        </w:rPr>
        <w:t xml:space="preserve">широко </w:t>
      </w:r>
      <w:r w:rsidR="00355E6F" w:rsidRPr="00355E6F">
        <w:rPr>
          <w:szCs w:val="24"/>
          <w:lang w:val="ru-RU"/>
        </w:rPr>
        <w:t xml:space="preserve">востребованный во всем мире, был создан </w:t>
      </w:r>
      <w:r w:rsidR="004B1A7D">
        <w:rPr>
          <w:szCs w:val="24"/>
          <w:lang w:val="ru-RU"/>
        </w:rPr>
        <w:t xml:space="preserve">в </w:t>
      </w:r>
      <w:r w:rsidR="00355E6F" w:rsidRPr="00355E6F">
        <w:rPr>
          <w:szCs w:val="24"/>
          <w:lang w:val="ru-RU"/>
        </w:rPr>
        <w:t xml:space="preserve">ответ на высказываемые просьбы о том, чтобы в составе решений, принимаемых на основе ЕПУС, в максимальной степени выявлялись линии консенсуса, </w:t>
      </w:r>
      <w:r w:rsidR="004B1A7D">
        <w:rPr>
          <w:szCs w:val="24"/>
          <w:lang w:val="ru-RU"/>
        </w:rPr>
        <w:t xml:space="preserve">поскольку это </w:t>
      </w:r>
      <w:r w:rsidR="00355E6F" w:rsidRPr="00355E6F">
        <w:rPr>
          <w:szCs w:val="24"/>
          <w:lang w:val="ru-RU"/>
        </w:rPr>
        <w:t>будет способствовать обеспечению согласованности в судебной практик</w:t>
      </w:r>
      <w:r w:rsidR="004B1A7D">
        <w:rPr>
          <w:szCs w:val="24"/>
          <w:lang w:val="ru-RU"/>
        </w:rPr>
        <w:t>е</w:t>
      </w:r>
      <w:r w:rsidR="00355E6F" w:rsidRPr="00355E6F">
        <w:rPr>
          <w:szCs w:val="24"/>
          <w:lang w:val="ru-RU"/>
        </w:rPr>
        <w:t xml:space="preserve"> ВОИС на основе ЕПУС</w:t>
      </w:r>
      <w:r w:rsidR="00192C16" w:rsidRPr="00574686">
        <w:rPr>
          <w:szCs w:val="24"/>
          <w:lang w:val="ru-RU"/>
        </w:rPr>
        <w:t>.</w:t>
      </w:r>
      <w:r w:rsidR="00192C16" w:rsidRPr="006475B9">
        <w:rPr>
          <w:rStyle w:val="FootnoteReference"/>
          <w:rFonts w:eastAsia="Batang"/>
          <w:szCs w:val="24"/>
        </w:rPr>
        <w:footnoteReference w:id="16"/>
      </w:r>
      <w:r w:rsidR="00192C16" w:rsidRPr="00574686">
        <w:rPr>
          <w:szCs w:val="24"/>
          <w:lang w:val="ru-RU"/>
        </w:rPr>
        <w:t xml:space="preserve">  </w:t>
      </w:r>
      <w:r w:rsidR="00355E6F" w:rsidRPr="00355E6F">
        <w:rPr>
          <w:szCs w:val="24"/>
          <w:lang w:val="ru-RU"/>
        </w:rPr>
        <w:t>Для облегчения доступа к эти</w:t>
      </w:r>
      <w:r w:rsidR="006F675F">
        <w:rPr>
          <w:szCs w:val="24"/>
          <w:lang w:val="ru-RU"/>
        </w:rPr>
        <w:t xml:space="preserve">м решениям, сгруппированным по </w:t>
      </w:r>
      <w:r w:rsidR="00355E6F" w:rsidRPr="00355E6F">
        <w:rPr>
          <w:szCs w:val="24"/>
          <w:lang w:val="ru-RU"/>
        </w:rPr>
        <w:t>тема</w:t>
      </w:r>
      <w:r w:rsidR="006F675F">
        <w:rPr>
          <w:szCs w:val="24"/>
          <w:lang w:val="ru-RU"/>
        </w:rPr>
        <w:t>м</w:t>
      </w:r>
      <w:r w:rsidR="00355E6F" w:rsidRPr="00355E6F">
        <w:rPr>
          <w:szCs w:val="24"/>
          <w:lang w:val="ru-RU"/>
        </w:rPr>
        <w:t>, Центр также предлагает весьма популярный онлайн Юридический справочник решений ВОИС по процедуре ЕПУС с возможностью контекстного поиска</w:t>
      </w:r>
      <w:r w:rsidR="00192C16" w:rsidRPr="00574686">
        <w:rPr>
          <w:szCs w:val="24"/>
          <w:lang w:val="ru-RU"/>
        </w:rPr>
        <w:t>.</w:t>
      </w:r>
      <w:r w:rsidR="00192C16" w:rsidRPr="006475B9">
        <w:rPr>
          <w:vertAlign w:val="superscript"/>
        </w:rPr>
        <w:footnoteReference w:id="17"/>
      </w:r>
      <w:r w:rsidR="00192C16" w:rsidRPr="00574686">
        <w:rPr>
          <w:szCs w:val="24"/>
          <w:lang w:val="ru-RU"/>
        </w:rPr>
        <w:t xml:space="preserve"> </w:t>
      </w:r>
      <w:r>
        <w:rPr>
          <w:szCs w:val="24"/>
          <w:lang w:val="ru-RU"/>
        </w:rPr>
        <w:t xml:space="preserve"> </w:t>
      </w:r>
      <w:r w:rsidR="006F675F">
        <w:rPr>
          <w:szCs w:val="24"/>
          <w:lang w:val="ru-RU"/>
        </w:rPr>
        <w:t xml:space="preserve">Воспользоваться </w:t>
      </w:r>
      <w:r w:rsidR="00C05F9F">
        <w:rPr>
          <w:szCs w:val="24"/>
          <w:lang w:val="ru-RU"/>
        </w:rPr>
        <w:t>этим</w:t>
      </w:r>
      <w:r w:rsidR="006F675F">
        <w:rPr>
          <w:szCs w:val="24"/>
          <w:lang w:val="ru-RU"/>
        </w:rPr>
        <w:t>и</w:t>
      </w:r>
      <w:r w:rsidR="00C05F9F">
        <w:rPr>
          <w:szCs w:val="24"/>
          <w:lang w:val="ru-RU"/>
        </w:rPr>
        <w:t xml:space="preserve"> </w:t>
      </w:r>
      <w:r>
        <w:rPr>
          <w:szCs w:val="24"/>
          <w:lang w:val="ru-RU"/>
        </w:rPr>
        <w:t>ресурс</w:t>
      </w:r>
      <w:r w:rsidR="00C05F9F">
        <w:rPr>
          <w:szCs w:val="24"/>
          <w:lang w:val="ru-RU"/>
        </w:rPr>
        <w:t>ам</w:t>
      </w:r>
      <w:r w:rsidR="006F675F">
        <w:rPr>
          <w:szCs w:val="24"/>
          <w:lang w:val="ru-RU"/>
        </w:rPr>
        <w:t xml:space="preserve">и можно совершенно </w:t>
      </w:r>
      <w:r w:rsidR="00C05F9F">
        <w:rPr>
          <w:szCs w:val="24"/>
          <w:lang w:val="ru-RU"/>
        </w:rPr>
        <w:t>бесплатн</w:t>
      </w:r>
      <w:r w:rsidR="006F675F">
        <w:rPr>
          <w:szCs w:val="24"/>
          <w:lang w:val="ru-RU"/>
        </w:rPr>
        <w:t>о в любой точке мира</w:t>
      </w:r>
      <w:r w:rsidRPr="00982986">
        <w:rPr>
          <w:szCs w:val="24"/>
          <w:lang w:val="ru-RU"/>
        </w:rPr>
        <w:t>.</w:t>
      </w:r>
    </w:p>
    <w:p w:rsidR="00192C16" w:rsidRPr="00982986" w:rsidRDefault="00192C16" w:rsidP="00192C16">
      <w:pPr>
        <w:rPr>
          <w:szCs w:val="24"/>
          <w:lang w:val="ru-RU"/>
        </w:rPr>
      </w:pPr>
    </w:p>
    <w:p w:rsidR="00192C16" w:rsidRPr="00C629EC" w:rsidRDefault="00C02209" w:rsidP="00C02209">
      <w:pPr>
        <w:pStyle w:val="ListParagraph"/>
        <w:numPr>
          <w:ilvl w:val="0"/>
          <w:numId w:val="10"/>
        </w:numPr>
        <w:ind w:left="0" w:firstLine="0"/>
        <w:rPr>
          <w:szCs w:val="24"/>
          <w:lang w:val="ru-RU"/>
        </w:rPr>
      </w:pPr>
      <w:r w:rsidRPr="00C02209">
        <w:rPr>
          <w:szCs w:val="24"/>
          <w:lang w:val="ru-RU"/>
        </w:rPr>
        <w:t xml:space="preserve">Осознавая важнейшую роль ВОИС </w:t>
      </w:r>
      <w:r>
        <w:rPr>
          <w:szCs w:val="24"/>
          <w:lang w:val="ru-RU"/>
        </w:rPr>
        <w:t>в</w:t>
      </w:r>
      <w:r w:rsidRPr="00C02209">
        <w:rPr>
          <w:szCs w:val="24"/>
          <w:lang w:val="ru-RU"/>
        </w:rPr>
        <w:t xml:space="preserve"> </w:t>
      </w:r>
      <w:r>
        <w:rPr>
          <w:szCs w:val="24"/>
          <w:lang w:val="ru-RU"/>
        </w:rPr>
        <w:t>реализации</w:t>
      </w:r>
      <w:r w:rsidRPr="00C02209">
        <w:rPr>
          <w:szCs w:val="24"/>
          <w:lang w:val="ru-RU"/>
        </w:rPr>
        <w:t xml:space="preserve"> </w:t>
      </w:r>
      <w:r>
        <w:rPr>
          <w:szCs w:val="24"/>
          <w:lang w:val="ru-RU"/>
        </w:rPr>
        <w:t>ЕПУС</w:t>
      </w:r>
      <w:r w:rsidRPr="00C02209">
        <w:rPr>
          <w:szCs w:val="24"/>
          <w:lang w:val="ru-RU"/>
        </w:rPr>
        <w:t>,</w:t>
      </w:r>
      <w:r w:rsidR="00192C16" w:rsidRPr="00C02209">
        <w:rPr>
          <w:szCs w:val="24"/>
          <w:lang w:val="ru-RU"/>
        </w:rPr>
        <w:t xml:space="preserve"> </w:t>
      </w:r>
      <w:r w:rsidRPr="00C02209">
        <w:rPr>
          <w:szCs w:val="24"/>
          <w:lang w:val="ru-RU"/>
        </w:rPr>
        <w:t xml:space="preserve">Центр </w:t>
      </w:r>
      <w:r w:rsidR="00F65391">
        <w:rPr>
          <w:szCs w:val="24"/>
          <w:lang w:val="ru-RU"/>
        </w:rPr>
        <w:t xml:space="preserve">следит за </w:t>
      </w:r>
      <w:r w:rsidR="00BF0C99" w:rsidRPr="00BF0C99">
        <w:rPr>
          <w:szCs w:val="24"/>
          <w:lang w:val="ru-RU"/>
        </w:rPr>
        <w:t>ситуаци</w:t>
      </w:r>
      <w:r w:rsidR="00F65391">
        <w:rPr>
          <w:szCs w:val="24"/>
          <w:lang w:val="ru-RU"/>
        </w:rPr>
        <w:t>ей</w:t>
      </w:r>
      <w:r w:rsidR="00BF0C99" w:rsidRPr="00BF0C99">
        <w:rPr>
          <w:szCs w:val="24"/>
          <w:lang w:val="ru-RU"/>
        </w:rPr>
        <w:t xml:space="preserve"> в </w:t>
      </w:r>
      <w:r w:rsidR="00BF0C99" w:rsidRPr="00BF0C99">
        <w:rPr>
          <w:szCs w:val="24"/>
        </w:rPr>
        <w:t>DNS</w:t>
      </w:r>
      <w:r w:rsidR="00BF0C99" w:rsidRPr="00BF0C99">
        <w:rPr>
          <w:szCs w:val="24"/>
          <w:lang w:val="ru-RU"/>
        </w:rPr>
        <w:t xml:space="preserve"> с целью постоянно</w:t>
      </w:r>
      <w:r w:rsidR="00F65391">
        <w:rPr>
          <w:szCs w:val="24"/>
          <w:lang w:val="ru-RU"/>
        </w:rPr>
        <w:t>й</w:t>
      </w:r>
      <w:r w:rsidR="00BF0C99" w:rsidRPr="00BF0C99">
        <w:rPr>
          <w:szCs w:val="24"/>
          <w:lang w:val="ru-RU"/>
        </w:rPr>
        <w:t xml:space="preserve"> </w:t>
      </w:r>
      <w:r w:rsidR="00F65391">
        <w:rPr>
          <w:szCs w:val="24"/>
          <w:lang w:val="ru-RU"/>
        </w:rPr>
        <w:t xml:space="preserve">актуализации </w:t>
      </w:r>
      <w:r w:rsidR="00BF0C99" w:rsidRPr="00BF0C99">
        <w:rPr>
          <w:szCs w:val="24"/>
          <w:lang w:val="ru-RU"/>
        </w:rPr>
        <w:t>своих ресурсов и применяемой практики</w:t>
      </w:r>
      <w:r w:rsidRPr="00C02209">
        <w:rPr>
          <w:szCs w:val="24"/>
          <w:lang w:val="ru-RU"/>
        </w:rPr>
        <w:t>.</w:t>
      </w:r>
      <w:r w:rsidR="00192C16" w:rsidRPr="006475B9">
        <w:rPr>
          <w:rStyle w:val="FootnoteReference"/>
          <w:szCs w:val="24"/>
        </w:rPr>
        <w:footnoteReference w:id="18"/>
      </w:r>
      <w:r w:rsidR="00232512" w:rsidRPr="00C02209">
        <w:rPr>
          <w:szCs w:val="24"/>
          <w:lang w:val="ru-RU"/>
        </w:rPr>
        <w:t xml:space="preserve">  </w:t>
      </w:r>
      <w:r w:rsidR="00C629EC" w:rsidRPr="00C629EC">
        <w:rPr>
          <w:lang w:val="ru-RU"/>
        </w:rPr>
        <w:t>Центр регулярно организует семинары по вопросам урегулирования споров в области доменных имен</w:t>
      </w:r>
      <w:r w:rsidR="00F65391">
        <w:rPr>
          <w:lang w:val="ru-RU"/>
        </w:rPr>
        <w:t xml:space="preserve"> для информирования </w:t>
      </w:r>
      <w:r w:rsidR="00C629EC" w:rsidRPr="00C629EC">
        <w:rPr>
          <w:lang w:val="ru-RU"/>
        </w:rPr>
        <w:t>заинтересованны</w:t>
      </w:r>
      <w:r w:rsidR="00F65391">
        <w:rPr>
          <w:lang w:val="ru-RU"/>
        </w:rPr>
        <w:t>х</w:t>
      </w:r>
      <w:r w:rsidR="00C629EC" w:rsidRPr="00C629EC">
        <w:rPr>
          <w:lang w:val="ru-RU"/>
        </w:rPr>
        <w:t xml:space="preserve"> сторон</w:t>
      </w:r>
      <w:r w:rsidR="00F65391">
        <w:rPr>
          <w:lang w:val="ru-RU"/>
        </w:rPr>
        <w:t xml:space="preserve"> о </w:t>
      </w:r>
      <w:r w:rsidR="00C629EC" w:rsidRPr="00C629EC">
        <w:rPr>
          <w:lang w:val="ru-RU"/>
        </w:rPr>
        <w:t>последни</w:t>
      </w:r>
      <w:r w:rsidR="00F65391">
        <w:rPr>
          <w:lang w:val="ru-RU"/>
        </w:rPr>
        <w:t>х</w:t>
      </w:r>
      <w:r w:rsidR="00C629EC" w:rsidRPr="00C629EC">
        <w:rPr>
          <w:lang w:val="ru-RU"/>
        </w:rPr>
        <w:t xml:space="preserve"> </w:t>
      </w:r>
      <w:r w:rsidR="00C629EC">
        <w:rPr>
          <w:lang w:val="ru-RU"/>
        </w:rPr>
        <w:t>тенденция</w:t>
      </w:r>
      <w:r w:rsidR="00F65391">
        <w:rPr>
          <w:lang w:val="ru-RU"/>
        </w:rPr>
        <w:t>х</w:t>
      </w:r>
      <w:r w:rsidR="00192C16" w:rsidRPr="006475B9">
        <w:rPr>
          <w:rStyle w:val="FootnoteReference"/>
        </w:rPr>
        <w:footnoteReference w:id="19"/>
      </w:r>
      <w:r w:rsidR="00C629EC">
        <w:rPr>
          <w:lang w:val="ru-RU"/>
        </w:rPr>
        <w:t xml:space="preserve">, а также </w:t>
      </w:r>
      <w:r w:rsidR="00BF0C99" w:rsidRPr="00BF0C99">
        <w:rPr>
          <w:lang w:val="ru-RU"/>
        </w:rPr>
        <w:t>встречи с членами комиссии Центра по рассмотрению споров о доменных именах</w:t>
      </w:r>
      <w:r w:rsidR="00C629EC">
        <w:rPr>
          <w:lang w:val="ru-RU"/>
        </w:rPr>
        <w:t>.</w:t>
      </w:r>
    </w:p>
    <w:p w:rsidR="00192C16" w:rsidRPr="00C629EC" w:rsidRDefault="00192C16" w:rsidP="00192C16">
      <w:pPr>
        <w:rPr>
          <w:szCs w:val="24"/>
          <w:lang w:val="ru-RU"/>
        </w:rPr>
      </w:pPr>
    </w:p>
    <w:p w:rsidR="00192C16" w:rsidRPr="00DD5392" w:rsidRDefault="00CC00BF" w:rsidP="00192C16">
      <w:pPr>
        <w:pStyle w:val="Heading2"/>
        <w:keepNext w:val="0"/>
        <w:spacing w:before="0" w:after="0"/>
        <w:rPr>
          <w:lang w:val="ru-RU"/>
        </w:rPr>
      </w:pPr>
      <w:r w:rsidRPr="00CC00BF">
        <w:rPr>
          <w:lang w:val="ru-RU"/>
        </w:rPr>
        <w:t>Домены верхнего уровня с кодом стран</w:t>
      </w:r>
      <w:r w:rsidRPr="00DD5392">
        <w:rPr>
          <w:lang w:val="ru-RU"/>
        </w:rPr>
        <w:t xml:space="preserve"> </w:t>
      </w:r>
      <w:r w:rsidR="00192C16" w:rsidRPr="00DD5392">
        <w:rPr>
          <w:lang w:val="ru-RU"/>
        </w:rPr>
        <w:t>(</w:t>
      </w:r>
      <w:r w:rsidR="00994CC6">
        <w:rPr>
          <w:caps w:val="0"/>
          <w:lang w:val="ru-RU"/>
        </w:rPr>
        <w:t>кс</w:t>
      </w:r>
      <w:r w:rsidR="00994CC6">
        <w:rPr>
          <w:lang w:val="ru-RU"/>
        </w:rPr>
        <w:t>ДВУ</w:t>
      </w:r>
      <w:r w:rsidR="00192C16" w:rsidRPr="00DD5392">
        <w:rPr>
          <w:lang w:val="ru-RU"/>
        </w:rPr>
        <w:t>)</w:t>
      </w:r>
    </w:p>
    <w:p w:rsidR="00192C16" w:rsidRPr="00DD5392" w:rsidRDefault="00192C16" w:rsidP="00192C16">
      <w:pPr>
        <w:rPr>
          <w:lang w:val="ru-RU"/>
        </w:rPr>
      </w:pPr>
    </w:p>
    <w:p w:rsidR="00192C16" w:rsidRPr="00041571" w:rsidRDefault="007429B8" w:rsidP="00EA7B9D">
      <w:pPr>
        <w:pStyle w:val="ListParagraph"/>
        <w:numPr>
          <w:ilvl w:val="0"/>
          <w:numId w:val="10"/>
        </w:numPr>
        <w:ind w:left="0" w:firstLine="0"/>
        <w:rPr>
          <w:lang w:val="ru-RU"/>
        </w:rPr>
      </w:pPr>
      <w:r w:rsidRPr="007429B8">
        <w:rPr>
          <w:lang w:val="ru-RU"/>
        </w:rPr>
        <w:t>Хотя</w:t>
      </w:r>
      <w:r w:rsidRPr="000E03FD">
        <w:rPr>
          <w:lang w:val="ru-RU"/>
        </w:rPr>
        <w:t xml:space="preserve"> </w:t>
      </w:r>
      <w:r w:rsidRPr="007429B8">
        <w:rPr>
          <w:lang w:val="ru-RU"/>
        </w:rPr>
        <w:t>обязательное</w:t>
      </w:r>
      <w:r w:rsidRPr="000E03FD">
        <w:rPr>
          <w:lang w:val="ru-RU"/>
        </w:rPr>
        <w:t xml:space="preserve"> </w:t>
      </w:r>
      <w:r w:rsidRPr="007429B8">
        <w:rPr>
          <w:lang w:val="ru-RU"/>
        </w:rPr>
        <w:t>применение</w:t>
      </w:r>
      <w:r w:rsidRPr="000E03FD">
        <w:rPr>
          <w:lang w:val="ru-RU"/>
        </w:rPr>
        <w:t xml:space="preserve"> </w:t>
      </w:r>
      <w:r w:rsidRPr="007429B8">
        <w:rPr>
          <w:lang w:val="ru-RU"/>
        </w:rPr>
        <w:t>ЕПУС</w:t>
      </w:r>
      <w:r w:rsidRPr="000E03FD">
        <w:rPr>
          <w:lang w:val="ru-RU"/>
        </w:rPr>
        <w:t xml:space="preserve"> </w:t>
      </w:r>
      <w:r w:rsidRPr="007429B8">
        <w:rPr>
          <w:lang w:val="ru-RU"/>
        </w:rPr>
        <w:t>ограничивается</w:t>
      </w:r>
      <w:r w:rsidRPr="000E03FD">
        <w:rPr>
          <w:lang w:val="ru-RU"/>
        </w:rPr>
        <w:t xml:space="preserve"> </w:t>
      </w:r>
      <w:r w:rsidRPr="007429B8">
        <w:rPr>
          <w:lang w:val="ru-RU"/>
        </w:rPr>
        <w:t>доменными</w:t>
      </w:r>
      <w:r w:rsidRPr="000E03FD">
        <w:rPr>
          <w:lang w:val="ru-RU"/>
        </w:rPr>
        <w:t xml:space="preserve"> </w:t>
      </w:r>
      <w:r w:rsidRPr="007429B8">
        <w:rPr>
          <w:lang w:val="ru-RU"/>
        </w:rPr>
        <w:t>именами</w:t>
      </w:r>
      <w:r w:rsidRPr="000E03FD">
        <w:rPr>
          <w:lang w:val="ru-RU"/>
        </w:rPr>
        <w:t xml:space="preserve">, </w:t>
      </w:r>
      <w:r w:rsidRPr="007429B8">
        <w:rPr>
          <w:lang w:val="ru-RU"/>
        </w:rPr>
        <w:t>зарегистрированными</w:t>
      </w:r>
      <w:r w:rsidRPr="000E03FD">
        <w:rPr>
          <w:lang w:val="ru-RU"/>
        </w:rPr>
        <w:t xml:space="preserve"> </w:t>
      </w:r>
      <w:r w:rsidRPr="007429B8">
        <w:rPr>
          <w:lang w:val="ru-RU"/>
        </w:rPr>
        <w:t>в</w:t>
      </w:r>
      <w:r w:rsidRPr="000E03FD">
        <w:rPr>
          <w:lang w:val="ru-RU"/>
        </w:rPr>
        <w:t xml:space="preserve"> </w:t>
      </w:r>
      <w:r w:rsidRPr="007429B8">
        <w:rPr>
          <w:lang w:val="ru-RU"/>
        </w:rPr>
        <w:t>рДВУ</w:t>
      </w:r>
      <w:r w:rsidRPr="000E03FD">
        <w:rPr>
          <w:lang w:val="ru-RU"/>
        </w:rPr>
        <w:t xml:space="preserve">, </w:t>
      </w:r>
      <w:r>
        <w:rPr>
          <w:lang w:val="ru-RU"/>
        </w:rPr>
        <w:t>например</w:t>
      </w:r>
      <w:r w:rsidRPr="000E03FD">
        <w:rPr>
          <w:lang w:val="ru-RU"/>
        </w:rPr>
        <w:t xml:space="preserve"> .</w:t>
      </w:r>
      <w:r>
        <w:t>com</w:t>
      </w:r>
      <w:r w:rsidR="00CF7D3A">
        <w:rPr>
          <w:lang w:val="ru-RU"/>
        </w:rPr>
        <w:t xml:space="preserve">, а также </w:t>
      </w:r>
      <w:r>
        <w:rPr>
          <w:lang w:val="ru-RU"/>
        </w:rPr>
        <w:t>новы</w:t>
      </w:r>
      <w:r w:rsidR="00CF7D3A">
        <w:rPr>
          <w:lang w:val="ru-RU"/>
        </w:rPr>
        <w:t>ми</w:t>
      </w:r>
      <w:r w:rsidRPr="000E03FD">
        <w:rPr>
          <w:lang w:val="ru-RU"/>
        </w:rPr>
        <w:t xml:space="preserve">, </w:t>
      </w:r>
      <w:r w:rsidR="000E03FD">
        <w:rPr>
          <w:lang w:val="ru-RU"/>
        </w:rPr>
        <w:t>совсем свежи</w:t>
      </w:r>
      <w:r w:rsidR="00CF7D3A">
        <w:rPr>
          <w:lang w:val="ru-RU"/>
        </w:rPr>
        <w:t>ми</w:t>
      </w:r>
      <w:r w:rsidR="000E03FD">
        <w:rPr>
          <w:lang w:val="ru-RU"/>
        </w:rPr>
        <w:t xml:space="preserve"> </w:t>
      </w:r>
      <w:r>
        <w:rPr>
          <w:lang w:val="ru-RU"/>
        </w:rPr>
        <w:t>рДВУ</w:t>
      </w:r>
      <w:r w:rsidR="000E03FD">
        <w:rPr>
          <w:lang w:val="ru-RU"/>
        </w:rPr>
        <w:t>,</w:t>
      </w:r>
      <w:r w:rsidR="000E03FD" w:rsidRPr="000E03FD">
        <w:rPr>
          <w:rFonts w:eastAsia="GulimChe"/>
          <w:lang w:val="ru-RU" w:eastAsia="ko-KR"/>
        </w:rPr>
        <w:t xml:space="preserve"> </w:t>
      </w:r>
      <w:r w:rsidR="00BF0C99" w:rsidRPr="00BF0C99">
        <w:rPr>
          <w:lang w:val="ru-RU"/>
        </w:rPr>
        <w:t>Центр также оказывает помощь реестрам ксДВУ в создании условий для регистрации и разрешения споров</w:t>
      </w:r>
      <w:r w:rsidR="00CF7D3A">
        <w:rPr>
          <w:lang w:val="ru-RU"/>
        </w:rPr>
        <w:t xml:space="preserve"> на основе </w:t>
      </w:r>
      <w:r w:rsidR="00BF0C99" w:rsidRPr="00BF0C99">
        <w:rPr>
          <w:lang w:val="ru-RU"/>
        </w:rPr>
        <w:t>передовой практик</w:t>
      </w:r>
      <w:r w:rsidR="00CF7D3A">
        <w:rPr>
          <w:lang w:val="ru-RU"/>
        </w:rPr>
        <w:t>и</w:t>
      </w:r>
      <w:r w:rsidR="00BF0C99" w:rsidRPr="00BF0C99">
        <w:rPr>
          <w:lang w:val="ru-RU"/>
        </w:rPr>
        <w:t xml:space="preserve"> в области </w:t>
      </w:r>
      <w:r w:rsidR="000E03FD">
        <w:rPr>
          <w:lang w:val="ru-RU"/>
        </w:rPr>
        <w:t>управления регистра</w:t>
      </w:r>
      <w:r w:rsidR="00041571">
        <w:rPr>
          <w:lang w:val="ru-RU"/>
        </w:rPr>
        <w:t>цией</w:t>
      </w:r>
      <w:r w:rsidR="000E03FD">
        <w:rPr>
          <w:lang w:val="ru-RU"/>
        </w:rPr>
        <w:t xml:space="preserve"> и </w:t>
      </w:r>
      <w:r w:rsidR="000E03FD" w:rsidRPr="000E03FD">
        <w:rPr>
          <w:lang w:val="ru-RU"/>
        </w:rPr>
        <w:t>охраны</w:t>
      </w:r>
      <w:r w:rsidR="00BF0C99">
        <w:rPr>
          <w:lang w:val="ru-RU"/>
        </w:rPr>
        <w:t xml:space="preserve"> прав</w:t>
      </w:r>
      <w:r w:rsidR="000E03FD" w:rsidRPr="000E03FD">
        <w:rPr>
          <w:lang w:val="ru-RU"/>
        </w:rPr>
        <w:t xml:space="preserve"> ИС</w:t>
      </w:r>
      <w:r w:rsidR="000E03FD">
        <w:rPr>
          <w:lang w:val="ru-RU"/>
        </w:rPr>
        <w:t>.</w:t>
      </w:r>
      <w:r w:rsidR="00192C16" w:rsidRPr="000E03FD">
        <w:rPr>
          <w:lang w:val="ru-RU"/>
        </w:rPr>
        <w:t xml:space="preserve">  </w:t>
      </w:r>
      <w:r w:rsidR="00753E10" w:rsidRPr="00753E10">
        <w:rPr>
          <w:lang w:val="ru-RU"/>
        </w:rPr>
        <w:t xml:space="preserve">Эти процедуры в основном разрабатываются по образцу ЕПУС, но могут </w:t>
      </w:r>
      <w:r w:rsidR="00CF7D3A">
        <w:rPr>
          <w:lang w:val="ru-RU"/>
        </w:rPr>
        <w:t xml:space="preserve">учитывать </w:t>
      </w:r>
      <w:r w:rsidR="00753E10" w:rsidRPr="00753E10">
        <w:rPr>
          <w:lang w:val="ru-RU"/>
        </w:rPr>
        <w:t>конкретные обстоятельства и потребности отдельных ксДВУ.</w:t>
      </w:r>
      <w:r w:rsidR="00753E10">
        <w:rPr>
          <w:lang w:val="ru-RU"/>
        </w:rPr>
        <w:t xml:space="preserve"> </w:t>
      </w:r>
      <w:r w:rsidR="00753E10" w:rsidRPr="00753E10">
        <w:rPr>
          <w:lang w:val="ru-RU"/>
        </w:rPr>
        <w:t xml:space="preserve"> В настоящее время Центр оказывает услуги в области разрешения споров в отношении доменных имен </w:t>
      </w:r>
      <w:r w:rsidR="00041571">
        <w:rPr>
          <w:lang w:val="ru-RU"/>
        </w:rPr>
        <w:t>71</w:t>
      </w:r>
      <w:r w:rsidR="00041571" w:rsidRPr="00041571">
        <w:rPr>
          <w:lang w:val="ru-RU"/>
        </w:rPr>
        <w:t> регистратор</w:t>
      </w:r>
      <w:r w:rsidR="00041571">
        <w:rPr>
          <w:lang w:val="ru-RU"/>
        </w:rPr>
        <w:t xml:space="preserve">у </w:t>
      </w:r>
      <w:r w:rsidR="00041571" w:rsidRPr="00041571">
        <w:rPr>
          <w:lang w:val="ru-RU"/>
        </w:rPr>
        <w:t>ксДВУ, в том числе в появ</w:t>
      </w:r>
      <w:r w:rsidR="00041571">
        <w:rPr>
          <w:lang w:val="ru-RU"/>
        </w:rPr>
        <w:t xml:space="preserve">ившихся </w:t>
      </w:r>
      <w:r w:rsidR="00041571" w:rsidRPr="00041571">
        <w:rPr>
          <w:lang w:val="ru-RU"/>
        </w:rPr>
        <w:t>в последнее время доменных зон</w:t>
      </w:r>
      <w:r w:rsidR="00041571">
        <w:rPr>
          <w:lang w:val="ru-RU"/>
        </w:rPr>
        <w:t>ах</w:t>
      </w:r>
      <w:r w:rsidR="00192C16" w:rsidRPr="00041571">
        <w:rPr>
          <w:lang w:val="ru-RU"/>
        </w:rPr>
        <w:t xml:space="preserve"> .</w:t>
      </w:r>
      <w:r w:rsidR="00192C16" w:rsidRPr="006475B9">
        <w:t>GD</w:t>
      </w:r>
      <w:r w:rsidR="00192C16" w:rsidRPr="00041571">
        <w:rPr>
          <w:lang w:val="ru-RU"/>
        </w:rPr>
        <w:t xml:space="preserve"> (</w:t>
      </w:r>
      <w:r w:rsidR="00041571">
        <w:rPr>
          <w:lang w:val="ru-RU"/>
        </w:rPr>
        <w:t>Гренада</w:t>
      </w:r>
      <w:r w:rsidR="00192C16" w:rsidRPr="00041571">
        <w:rPr>
          <w:lang w:val="ru-RU"/>
        </w:rPr>
        <w:t>), .</w:t>
      </w:r>
      <w:r w:rsidR="00192C16" w:rsidRPr="006475B9">
        <w:t>ML</w:t>
      </w:r>
      <w:r w:rsidR="00192C16" w:rsidRPr="00041571">
        <w:rPr>
          <w:lang w:val="ru-RU"/>
        </w:rPr>
        <w:t xml:space="preserve"> (</w:t>
      </w:r>
      <w:r w:rsidR="00041571">
        <w:rPr>
          <w:lang w:val="ru-RU"/>
        </w:rPr>
        <w:t>Мали</w:t>
      </w:r>
      <w:r w:rsidR="00192C16" w:rsidRPr="00041571">
        <w:rPr>
          <w:lang w:val="ru-RU"/>
        </w:rPr>
        <w:t xml:space="preserve">), </w:t>
      </w:r>
      <w:r w:rsidR="00041571">
        <w:rPr>
          <w:lang w:val="ru-RU"/>
        </w:rPr>
        <w:t>и</w:t>
      </w:r>
      <w:r w:rsidR="00192C16" w:rsidRPr="00041571">
        <w:rPr>
          <w:lang w:val="ru-RU"/>
        </w:rPr>
        <w:t xml:space="preserve"> .</w:t>
      </w:r>
      <w:r w:rsidR="00192C16" w:rsidRPr="006475B9">
        <w:t>VG</w:t>
      </w:r>
      <w:r w:rsidR="00192C16" w:rsidRPr="00041571">
        <w:rPr>
          <w:lang w:val="ru-RU"/>
        </w:rPr>
        <w:t xml:space="preserve"> (</w:t>
      </w:r>
      <w:r w:rsidR="009B6BBA">
        <w:rPr>
          <w:lang w:val="ru-RU"/>
        </w:rPr>
        <w:t>Британские Виргинские острова</w:t>
      </w:r>
      <w:r w:rsidR="00192C16" w:rsidRPr="00041571">
        <w:rPr>
          <w:lang w:val="ru-RU"/>
        </w:rPr>
        <w:t>).</w:t>
      </w:r>
      <w:r w:rsidR="00192C16" w:rsidRPr="006475B9">
        <w:rPr>
          <w:vertAlign w:val="superscript"/>
        </w:rPr>
        <w:footnoteReference w:id="20"/>
      </w:r>
    </w:p>
    <w:p w:rsidR="00192C16" w:rsidRPr="00041571" w:rsidRDefault="00192C16" w:rsidP="00192C16">
      <w:pPr>
        <w:rPr>
          <w:lang w:val="ru-RU"/>
        </w:rPr>
      </w:pPr>
    </w:p>
    <w:p w:rsidR="00192C16" w:rsidRPr="009364A8" w:rsidRDefault="00753E10" w:rsidP="00192C16">
      <w:pPr>
        <w:pStyle w:val="Heading1"/>
        <w:keepNext w:val="0"/>
        <w:spacing w:before="0" w:after="0"/>
        <w:rPr>
          <w:lang w:val="ru-RU"/>
        </w:rPr>
      </w:pPr>
      <w:r>
        <w:rPr>
          <w:lang w:val="ru-RU"/>
        </w:rPr>
        <w:t xml:space="preserve">стратегические Изменения </w:t>
      </w:r>
      <w:r w:rsidR="009364A8">
        <w:rPr>
          <w:lang w:val="ru-RU"/>
        </w:rPr>
        <w:t xml:space="preserve">в </w:t>
      </w:r>
      <w:r w:rsidR="00BE5E66">
        <w:t>DNS</w:t>
      </w:r>
    </w:p>
    <w:p w:rsidR="00192C16" w:rsidRPr="009364A8" w:rsidRDefault="00192C16" w:rsidP="00192C16">
      <w:pPr>
        <w:rPr>
          <w:szCs w:val="24"/>
          <w:lang w:val="ru-RU"/>
        </w:rPr>
      </w:pPr>
    </w:p>
    <w:p w:rsidR="00192C16" w:rsidRPr="0079675D" w:rsidRDefault="0079675D" w:rsidP="00EA7B9D">
      <w:pPr>
        <w:pStyle w:val="ListParagraph"/>
        <w:widowControl w:val="0"/>
        <w:numPr>
          <w:ilvl w:val="0"/>
          <w:numId w:val="10"/>
        </w:numPr>
        <w:ind w:left="0" w:firstLine="0"/>
        <w:rPr>
          <w:lang w:val="ru-RU"/>
        </w:rPr>
      </w:pPr>
      <w:r w:rsidRPr="0079675D">
        <w:rPr>
          <w:lang w:val="ru-RU"/>
        </w:rPr>
        <w:t>Ряд стратегических и</w:t>
      </w:r>
      <w:r w:rsidR="00753E10">
        <w:rPr>
          <w:lang w:val="ru-RU"/>
        </w:rPr>
        <w:t xml:space="preserve">зменений в отношении </w:t>
      </w:r>
      <w:r>
        <w:t>ICANN</w:t>
      </w:r>
      <w:r w:rsidRPr="0079675D">
        <w:rPr>
          <w:lang w:val="ru-RU"/>
        </w:rPr>
        <w:t xml:space="preserve"> </w:t>
      </w:r>
      <w:r w:rsidR="00753E10">
        <w:rPr>
          <w:lang w:val="ru-RU"/>
        </w:rPr>
        <w:t xml:space="preserve">создает не только </w:t>
      </w:r>
      <w:r w:rsidR="0038581E">
        <w:rPr>
          <w:lang w:val="ru-RU"/>
        </w:rPr>
        <w:t xml:space="preserve">новые </w:t>
      </w:r>
      <w:r w:rsidR="00753E10">
        <w:rPr>
          <w:lang w:val="ru-RU"/>
        </w:rPr>
        <w:t>возможности</w:t>
      </w:r>
      <w:r w:rsidR="0038581E">
        <w:rPr>
          <w:lang w:val="ru-RU"/>
        </w:rPr>
        <w:t xml:space="preserve">, но и </w:t>
      </w:r>
      <w:r w:rsidRPr="0079675D">
        <w:rPr>
          <w:lang w:val="ru-RU"/>
        </w:rPr>
        <w:t xml:space="preserve">трудности для обладателей и пользователей прав ИС.  </w:t>
      </w:r>
      <w:r w:rsidR="0036348D">
        <w:rPr>
          <w:lang w:val="ru-RU"/>
        </w:rPr>
        <w:t xml:space="preserve">Например </w:t>
      </w:r>
      <w:r w:rsidRPr="0079675D">
        <w:rPr>
          <w:lang w:val="ru-RU"/>
        </w:rPr>
        <w:t>введение</w:t>
      </w:r>
      <w:r w:rsidR="0038581E">
        <w:rPr>
          <w:lang w:val="ru-RU"/>
        </w:rPr>
        <w:t xml:space="preserve"> </w:t>
      </w:r>
      <w:r w:rsidR="0038581E">
        <w:t>ICANN</w:t>
      </w:r>
      <w:r w:rsidRPr="0079675D">
        <w:rPr>
          <w:lang w:val="ru-RU"/>
        </w:rPr>
        <w:t xml:space="preserve"> более 1400</w:t>
      </w:r>
      <w:r w:rsidR="0038581E">
        <w:rPr>
          <w:lang w:val="ru-RU"/>
        </w:rPr>
        <w:t> </w:t>
      </w:r>
      <w:r w:rsidRPr="0079675D">
        <w:rPr>
          <w:lang w:val="ru-RU"/>
        </w:rPr>
        <w:t xml:space="preserve">новых рДВУ.  </w:t>
      </w:r>
      <w:r w:rsidR="0036348D">
        <w:rPr>
          <w:lang w:val="ru-RU"/>
        </w:rPr>
        <w:t>Н</w:t>
      </w:r>
      <w:r w:rsidR="00753E10" w:rsidRPr="00753E10">
        <w:rPr>
          <w:lang w:val="ru-RU"/>
        </w:rPr>
        <w:t xml:space="preserve">овые рДВУ могут быть «открытыми» по своему характеру (аналогично .com) или обладать более специфическими либо ограничительными свойствами, </w:t>
      </w:r>
      <w:r w:rsidR="0036348D">
        <w:rPr>
          <w:lang w:val="ru-RU"/>
        </w:rPr>
        <w:t xml:space="preserve">которые </w:t>
      </w:r>
      <w:r w:rsidR="00753E10" w:rsidRPr="00753E10">
        <w:rPr>
          <w:lang w:val="ru-RU"/>
        </w:rPr>
        <w:t>буд</w:t>
      </w:r>
      <w:r w:rsidR="0036348D">
        <w:rPr>
          <w:lang w:val="ru-RU"/>
        </w:rPr>
        <w:t>у</w:t>
      </w:r>
      <w:r w:rsidR="00753E10" w:rsidRPr="00753E10">
        <w:rPr>
          <w:lang w:val="ru-RU"/>
        </w:rPr>
        <w:t xml:space="preserve">т проявляться, в частности, в форме .[бренд], .[город], .[сообщество], .[культура].[отрасль] или .[язык]. </w:t>
      </w:r>
      <w:r w:rsidR="00075207">
        <w:rPr>
          <w:lang w:val="ru-RU"/>
        </w:rPr>
        <w:t xml:space="preserve"> </w:t>
      </w:r>
      <w:r w:rsidR="0036348D">
        <w:rPr>
          <w:lang w:val="ru-RU"/>
        </w:rPr>
        <w:t xml:space="preserve">Или другой пример: появление </w:t>
      </w:r>
      <w:r w:rsidR="00753E10" w:rsidRPr="00753E10">
        <w:rPr>
          <w:lang w:val="ru-RU"/>
        </w:rPr>
        <w:t xml:space="preserve">интернационализированных доменных имен (IDNs) верхнего уровня.  Кроме того, намеченное ICANN расширение системы доменных имен (DNS) </w:t>
      </w:r>
      <w:r w:rsidR="0036348D">
        <w:rPr>
          <w:lang w:val="ru-RU"/>
        </w:rPr>
        <w:t xml:space="preserve">вызывает </w:t>
      </w:r>
      <w:r w:rsidR="00753E10" w:rsidRPr="00753E10">
        <w:rPr>
          <w:lang w:val="ru-RU"/>
        </w:rPr>
        <w:t>вопросы</w:t>
      </w:r>
      <w:r w:rsidR="0036348D">
        <w:rPr>
          <w:lang w:val="ru-RU"/>
        </w:rPr>
        <w:t xml:space="preserve"> в связи</w:t>
      </w:r>
      <w:r w:rsidR="00753E10" w:rsidRPr="00753E10">
        <w:rPr>
          <w:lang w:val="ru-RU"/>
        </w:rPr>
        <w:t xml:space="preserve"> </w:t>
      </w:r>
      <w:r w:rsidR="0036348D">
        <w:rPr>
          <w:lang w:val="ru-RU"/>
        </w:rPr>
        <w:t xml:space="preserve">с </w:t>
      </w:r>
      <w:r w:rsidR="00753E10" w:rsidRPr="00753E10">
        <w:rPr>
          <w:lang w:val="ru-RU"/>
        </w:rPr>
        <w:t>охран</w:t>
      </w:r>
      <w:r w:rsidR="0036348D">
        <w:rPr>
          <w:lang w:val="ru-RU"/>
        </w:rPr>
        <w:t>ой</w:t>
      </w:r>
      <w:r w:rsidR="00753E10" w:rsidRPr="00753E10">
        <w:rPr>
          <w:lang w:val="ru-RU"/>
        </w:rPr>
        <w:t xml:space="preserve"> прав </w:t>
      </w:r>
      <w:r w:rsidR="0036348D">
        <w:rPr>
          <w:lang w:val="ru-RU"/>
        </w:rPr>
        <w:t xml:space="preserve">с точки зрения </w:t>
      </w:r>
      <w:r w:rsidR="00753E10" w:rsidRPr="00753E10">
        <w:rPr>
          <w:lang w:val="ru-RU"/>
        </w:rPr>
        <w:t>Втор</w:t>
      </w:r>
      <w:r w:rsidR="0036348D">
        <w:rPr>
          <w:lang w:val="ru-RU"/>
        </w:rPr>
        <w:t>ого</w:t>
      </w:r>
      <w:r w:rsidR="00753E10" w:rsidRPr="00753E10">
        <w:rPr>
          <w:lang w:val="ru-RU"/>
        </w:rPr>
        <w:t xml:space="preserve"> процесс</w:t>
      </w:r>
      <w:r w:rsidR="0036348D">
        <w:rPr>
          <w:lang w:val="ru-RU"/>
        </w:rPr>
        <w:t>а</w:t>
      </w:r>
      <w:r w:rsidR="00753E10" w:rsidRPr="00753E10">
        <w:rPr>
          <w:lang w:val="ru-RU"/>
        </w:rPr>
        <w:t xml:space="preserve"> ВОИС по доменным именам в Интернете.</w:t>
      </w:r>
    </w:p>
    <w:p w:rsidR="00192C16" w:rsidRPr="0079675D" w:rsidRDefault="00192C16" w:rsidP="00192C16">
      <w:pPr>
        <w:rPr>
          <w:lang w:val="ru-RU"/>
        </w:rPr>
      </w:pPr>
    </w:p>
    <w:p w:rsidR="00192C16" w:rsidRPr="006475B9" w:rsidRDefault="00462B50" w:rsidP="000A537D">
      <w:pPr>
        <w:pStyle w:val="Heading2"/>
        <w:keepNext w:val="0"/>
        <w:numPr>
          <w:ilvl w:val="0"/>
          <w:numId w:val="29"/>
        </w:numPr>
        <w:spacing w:before="0" w:after="0"/>
      </w:pPr>
      <w:r>
        <w:rPr>
          <w:lang w:val="ru-RU"/>
        </w:rPr>
        <w:lastRenderedPageBreak/>
        <w:t>Новые рдву</w:t>
      </w:r>
    </w:p>
    <w:p w:rsidR="00192C16" w:rsidRPr="006475B9" w:rsidRDefault="00192C16" w:rsidP="00192C16">
      <w:pPr>
        <w:rPr>
          <w:color w:val="000000"/>
          <w:szCs w:val="24"/>
        </w:rPr>
      </w:pPr>
    </w:p>
    <w:p w:rsidR="00192C16" w:rsidRPr="00292DDF" w:rsidRDefault="00645F5E" w:rsidP="00292DDF">
      <w:pPr>
        <w:pStyle w:val="ListParagraph"/>
        <w:widowControl w:val="0"/>
        <w:numPr>
          <w:ilvl w:val="0"/>
          <w:numId w:val="10"/>
        </w:numPr>
        <w:ind w:left="0" w:firstLine="0"/>
        <w:rPr>
          <w:szCs w:val="22"/>
          <w:lang w:val="ru-RU"/>
        </w:rPr>
      </w:pPr>
      <w:r>
        <w:rPr>
          <w:szCs w:val="22"/>
          <w:lang w:val="ru-RU"/>
        </w:rPr>
        <w:t xml:space="preserve">Реализация </w:t>
      </w:r>
      <w:r w:rsidR="005D696E">
        <w:rPr>
          <w:szCs w:val="22"/>
          <w:lang w:val="ru-RU"/>
        </w:rPr>
        <w:t>программы</w:t>
      </w:r>
      <w:r w:rsidR="005D696E" w:rsidRPr="005D696E">
        <w:rPr>
          <w:szCs w:val="22"/>
          <w:lang w:val="ru-RU"/>
        </w:rPr>
        <w:t xml:space="preserve"> </w:t>
      </w:r>
      <w:r w:rsidR="00192C16" w:rsidRPr="00EA7B9D">
        <w:rPr>
          <w:szCs w:val="22"/>
        </w:rPr>
        <w:t>ICANN</w:t>
      </w:r>
      <w:r w:rsidR="000A3CA0">
        <w:rPr>
          <w:szCs w:val="22"/>
          <w:lang w:val="ru-RU"/>
        </w:rPr>
        <w:t xml:space="preserve"> по </w:t>
      </w:r>
      <w:r>
        <w:rPr>
          <w:szCs w:val="22"/>
          <w:lang w:val="ru-RU"/>
        </w:rPr>
        <w:t xml:space="preserve">введению </w:t>
      </w:r>
      <w:r w:rsidR="003E4E12">
        <w:rPr>
          <w:szCs w:val="22"/>
          <w:lang w:val="ru-RU"/>
        </w:rPr>
        <w:t>новых</w:t>
      </w:r>
      <w:r w:rsidR="003E4E12" w:rsidRPr="003E4E12">
        <w:rPr>
          <w:szCs w:val="22"/>
          <w:lang w:val="ru-RU"/>
        </w:rPr>
        <w:t xml:space="preserve"> </w:t>
      </w:r>
      <w:r w:rsidR="003E4E12">
        <w:rPr>
          <w:szCs w:val="22"/>
          <w:lang w:val="ru-RU"/>
        </w:rPr>
        <w:t>рДВУ</w:t>
      </w:r>
      <w:r w:rsidR="00192C16" w:rsidRPr="003E4E12">
        <w:rPr>
          <w:szCs w:val="22"/>
          <w:lang w:val="ru-RU"/>
        </w:rPr>
        <w:t xml:space="preserve"> </w:t>
      </w:r>
      <w:r w:rsidR="005D696E">
        <w:rPr>
          <w:szCs w:val="22"/>
          <w:lang w:val="ru-RU"/>
        </w:rPr>
        <w:t xml:space="preserve">было </w:t>
      </w:r>
      <w:r w:rsidR="003E4E12">
        <w:rPr>
          <w:szCs w:val="22"/>
          <w:lang w:val="ru-RU"/>
        </w:rPr>
        <w:t>официально</w:t>
      </w:r>
      <w:r w:rsidR="003E4E12" w:rsidRPr="003E4E12">
        <w:rPr>
          <w:szCs w:val="22"/>
          <w:lang w:val="ru-RU"/>
        </w:rPr>
        <w:t xml:space="preserve"> </w:t>
      </w:r>
      <w:r w:rsidR="000A3CA0">
        <w:rPr>
          <w:szCs w:val="22"/>
          <w:lang w:val="ru-RU"/>
        </w:rPr>
        <w:t xml:space="preserve">одобрено </w:t>
      </w:r>
      <w:r w:rsidR="00D35A16">
        <w:rPr>
          <w:szCs w:val="22"/>
          <w:lang w:val="ru-RU"/>
        </w:rPr>
        <w:t>путем</w:t>
      </w:r>
      <w:r w:rsidR="005D696E">
        <w:rPr>
          <w:szCs w:val="22"/>
          <w:lang w:val="ru-RU"/>
        </w:rPr>
        <w:t xml:space="preserve"> </w:t>
      </w:r>
      <w:r w:rsidR="003E4E12">
        <w:rPr>
          <w:szCs w:val="22"/>
          <w:lang w:val="ru-RU"/>
        </w:rPr>
        <w:t>голосования</w:t>
      </w:r>
      <w:r w:rsidR="00075207">
        <w:rPr>
          <w:szCs w:val="22"/>
          <w:lang w:val="ru-RU"/>
        </w:rPr>
        <w:t xml:space="preserve"> в</w:t>
      </w:r>
      <w:r w:rsidR="003E4E12" w:rsidRPr="003E4E12">
        <w:rPr>
          <w:szCs w:val="22"/>
          <w:lang w:val="ru-RU"/>
        </w:rPr>
        <w:t xml:space="preserve"> </w:t>
      </w:r>
      <w:r w:rsidR="003E4E12">
        <w:rPr>
          <w:szCs w:val="22"/>
          <w:lang w:val="ru-RU"/>
        </w:rPr>
        <w:t>Совет</w:t>
      </w:r>
      <w:r w:rsidR="00075207">
        <w:rPr>
          <w:szCs w:val="22"/>
          <w:lang w:val="ru-RU"/>
        </w:rPr>
        <w:t>е</w:t>
      </w:r>
      <w:r w:rsidR="003E4E12" w:rsidRPr="003E4E12">
        <w:rPr>
          <w:szCs w:val="22"/>
          <w:lang w:val="ru-RU"/>
        </w:rPr>
        <w:t xml:space="preserve"> на заседании </w:t>
      </w:r>
      <w:r w:rsidR="005D696E">
        <w:rPr>
          <w:szCs w:val="22"/>
        </w:rPr>
        <w:t>ICANN</w:t>
      </w:r>
      <w:r w:rsidR="003E4E12" w:rsidRPr="003E4E12">
        <w:rPr>
          <w:szCs w:val="22"/>
          <w:lang w:val="ru-RU"/>
        </w:rPr>
        <w:t>, состоя</w:t>
      </w:r>
      <w:r w:rsidR="003E4E12">
        <w:rPr>
          <w:szCs w:val="22"/>
          <w:lang w:val="ru-RU"/>
        </w:rPr>
        <w:t>вшемся</w:t>
      </w:r>
      <w:r w:rsidR="003E4E12" w:rsidRPr="003E4E12">
        <w:rPr>
          <w:szCs w:val="22"/>
          <w:lang w:val="ru-RU"/>
        </w:rPr>
        <w:t xml:space="preserve"> 20</w:t>
      </w:r>
      <w:r w:rsidR="003E4E12" w:rsidRPr="003E4E12">
        <w:rPr>
          <w:szCs w:val="22"/>
        </w:rPr>
        <w:t> </w:t>
      </w:r>
      <w:r w:rsidR="003E4E12" w:rsidRPr="003E4E12">
        <w:rPr>
          <w:szCs w:val="22"/>
          <w:lang w:val="ru-RU"/>
        </w:rPr>
        <w:t xml:space="preserve">июня </w:t>
      </w:r>
      <w:smartTag w:uri="urn:schemas-microsoft-com:office:smarttags" w:element="metricconverter">
        <w:smartTagPr>
          <w:attr w:name="ProductID" w:val="2011 г"/>
        </w:smartTagPr>
        <w:r w:rsidR="003E4E12" w:rsidRPr="003E4E12">
          <w:rPr>
            <w:szCs w:val="22"/>
            <w:lang w:val="ru-RU"/>
          </w:rPr>
          <w:t>2011</w:t>
        </w:r>
        <w:r w:rsidR="003E4E12" w:rsidRPr="003E4E12">
          <w:rPr>
            <w:szCs w:val="22"/>
          </w:rPr>
          <w:t> </w:t>
        </w:r>
        <w:r w:rsidR="003E4E12" w:rsidRPr="003E4E12">
          <w:rPr>
            <w:szCs w:val="22"/>
            <w:lang w:val="ru-RU"/>
          </w:rPr>
          <w:t>г</w:t>
        </w:r>
      </w:smartTag>
      <w:r w:rsidR="003E4E12" w:rsidRPr="003E4E12">
        <w:rPr>
          <w:szCs w:val="22"/>
          <w:lang w:val="ru-RU"/>
        </w:rPr>
        <w:t>. в Сингапуре.</w:t>
      </w:r>
      <w:r w:rsidR="00192C16" w:rsidRPr="006475B9">
        <w:rPr>
          <w:rStyle w:val="FootnoteReference"/>
          <w:szCs w:val="22"/>
        </w:rPr>
        <w:footnoteReference w:id="21"/>
      </w:r>
      <w:r w:rsidR="00192C16" w:rsidRPr="003E4E12">
        <w:rPr>
          <w:szCs w:val="22"/>
          <w:lang w:val="ru-RU"/>
        </w:rPr>
        <w:t xml:space="preserve">  </w:t>
      </w:r>
      <w:r w:rsidR="00075207" w:rsidRPr="00075207">
        <w:rPr>
          <w:szCs w:val="22"/>
          <w:lang w:val="ru-RU"/>
        </w:rPr>
        <w:t>Информация была опубликована в</w:t>
      </w:r>
      <w:r w:rsidR="000A3CA0">
        <w:rPr>
          <w:szCs w:val="22"/>
          <w:lang w:val="ru-RU"/>
        </w:rPr>
        <w:t xml:space="preserve"> неоднократно</w:t>
      </w:r>
      <w:r w:rsidR="00075207" w:rsidRPr="00075207">
        <w:rPr>
          <w:szCs w:val="22"/>
          <w:lang w:val="ru-RU"/>
        </w:rPr>
        <w:t xml:space="preserve"> пересм</w:t>
      </w:r>
      <w:r w:rsidR="000E0A11">
        <w:rPr>
          <w:szCs w:val="22"/>
          <w:lang w:val="ru-RU"/>
        </w:rPr>
        <w:t xml:space="preserve">атривавшемся </w:t>
      </w:r>
      <w:r w:rsidR="00075207" w:rsidRPr="00075207">
        <w:rPr>
          <w:szCs w:val="22"/>
          <w:lang w:val="ru-RU"/>
        </w:rPr>
        <w:t xml:space="preserve">«Руководстве для заявителя», выпущенном </w:t>
      </w:r>
      <w:r w:rsidR="00075207" w:rsidRPr="00075207">
        <w:rPr>
          <w:szCs w:val="22"/>
        </w:rPr>
        <w:t>ICANN</w:t>
      </w:r>
      <w:r w:rsidR="00192C16" w:rsidRPr="005D696E">
        <w:rPr>
          <w:szCs w:val="22"/>
          <w:lang w:val="ru-RU"/>
        </w:rPr>
        <w:t>.</w:t>
      </w:r>
      <w:r w:rsidR="00192C16" w:rsidRPr="006475B9">
        <w:rPr>
          <w:vertAlign w:val="superscript"/>
        </w:rPr>
        <w:footnoteReference w:id="22"/>
      </w:r>
      <w:r w:rsidR="00192C16" w:rsidRPr="005D696E">
        <w:rPr>
          <w:szCs w:val="22"/>
          <w:lang w:val="ru-RU"/>
        </w:rPr>
        <w:t xml:space="preserve">  </w:t>
      </w:r>
      <w:r w:rsidR="00075207" w:rsidRPr="00075207">
        <w:rPr>
          <w:szCs w:val="22"/>
          <w:lang w:val="ru-RU"/>
        </w:rPr>
        <w:t>Присуждение первых новых рДВУ в корневой зоне Интернета произошло в октябре 2013</w:t>
      </w:r>
      <w:r w:rsidR="00273089">
        <w:rPr>
          <w:szCs w:val="22"/>
          <w:lang w:val="ru-RU"/>
        </w:rPr>
        <w:t> </w:t>
      </w:r>
      <w:r w:rsidR="00075207" w:rsidRPr="00075207">
        <w:rPr>
          <w:szCs w:val="22"/>
          <w:lang w:val="ru-RU"/>
        </w:rPr>
        <w:t xml:space="preserve">г., и по состоянию на </w:t>
      </w:r>
      <w:r w:rsidR="00075207">
        <w:rPr>
          <w:szCs w:val="22"/>
          <w:lang w:val="ru-RU"/>
        </w:rPr>
        <w:t xml:space="preserve">июнь </w:t>
      </w:r>
      <w:r w:rsidR="00075207" w:rsidRPr="00075207">
        <w:rPr>
          <w:szCs w:val="22"/>
          <w:lang w:val="ru-RU"/>
        </w:rPr>
        <w:t>2014</w:t>
      </w:r>
      <w:r w:rsidR="000A3CA0">
        <w:rPr>
          <w:szCs w:val="22"/>
          <w:lang w:val="ru-RU"/>
        </w:rPr>
        <w:t> </w:t>
      </w:r>
      <w:r w:rsidR="00075207" w:rsidRPr="00075207">
        <w:rPr>
          <w:szCs w:val="22"/>
          <w:lang w:val="ru-RU"/>
        </w:rPr>
        <w:t>г. количество новых присужденных рДВУ составляло</w:t>
      </w:r>
      <w:r w:rsidR="00075207">
        <w:rPr>
          <w:szCs w:val="22"/>
          <w:lang w:val="ru-RU"/>
        </w:rPr>
        <w:t xml:space="preserve"> 300</w:t>
      </w:r>
      <w:r w:rsidR="000A3CA0">
        <w:rPr>
          <w:szCs w:val="22"/>
          <w:lang w:val="ru-RU"/>
        </w:rPr>
        <w:t> </w:t>
      </w:r>
      <w:r w:rsidR="00075207">
        <w:rPr>
          <w:szCs w:val="22"/>
          <w:lang w:val="ru-RU"/>
        </w:rPr>
        <w:t>единиц</w:t>
      </w:r>
      <w:r w:rsidR="00292DDF">
        <w:rPr>
          <w:szCs w:val="22"/>
          <w:lang w:val="ru-RU"/>
        </w:rPr>
        <w:t>.</w:t>
      </w:r>
      <w:r w:rsidR="00192C16" w:rsidRPr="006475B9">
        <w:rPr>
          <w:rStyle w:val="FootnoteReference"/>
          <w:szCs w:val="22"/>
        </w:rPr>
        <w:footnoteReference w:id="23"/>
      </w:r>
    </w:p>
    <w:p w:rsidR="00192C16" w:rsidRPr="00292DDF" w:rsidRDefault="00192C16" w:rsidP="00192C16">
      <w:pPr>
        <w:rPr>
          <w:szCs w:val="22"/>
          <w:lang w:val="ru-RU"/>
        </w:rPr>
      </w:pPr>
    </w:p>
    <w:p w:rsidR="00192C16" w:rsidRPr="008C2301" w:rsidRDefault="00C34750" w:rsidP="00EA7B9D">
      <w:pPr>
        <w:pStyle w:val="ListParagraph"/>
        <w:numPr>
          <w:ilvl w:val="0"/>
          <w:numId w:val="10"/>
        </w:numPr>
        <w:ind w:left="0" w:firstLine="0"/>
        <w:rPr>
          <w:szCs w:val="22"/>
          <w:lang w:val="ru-RU"/>
        </w:rPr>
      </w:pPr>
      <w:r w:rsidRPr="00C34750">
        <w:rPr>
          <w:szCs w:val="22"/>
          <w:lang w:val="ru-RU"/>
        </w:rPr>
        <w:t xml:space="preserve">Хотя Центр сохраняет приверженность сотрудничеству с заинтересованными сторонами в попытке обеспечить соблюдение общих принципов охраны ИС в </w:t>
      </w:r>
      <w:r w:rsidR="000A3CA0">
        <w:rPr>
          <w:szCs w:val="22"/>
          <w:lang w:val="ru-RU"/>
        </w:rPr>
        <w:t xml:space="preserve">свете появления </w:t>
      </w:r>
      <w:r w:rsidR="0038372A" w:rsidRPr="0038372A">
        <w:rPr>
          <w:szCs w:val="22"/>
          <w:lang w:val="ru-RU"/>
        </w:rPr>
        <w:t xml:space="preserve">новых рДВУ, </w:t>
      </w:r>
      <w:r w:rsidRPr="00C34750">
        <w:rPr>
          <w:szCs w:val="22"/>
          <w:lang w:val="ru-RU"/>
        </w:rPr>
        <w:t xml:space="preserve">предполагаемая эффективность механизмов охраны прав, </w:t>
      </w:r>
      <w:r w:rsidR="000A3CA0">
        <w:rPr>
          <w:szCs w:val="22"/>
          <w:lang w:val="ru-RU"/>
        </w:rPr>
        <w:t xml:space="preserve">созданных в результате </w:t>
      </w:r>
      <w:r w:rsidRPr="00C34750">
        <w:rPr>
          <w:szCs w:val="22"/>
          <w:lang w:val="ru-RU"/>
        </w:rPr>
        <w:t xml:space="preserve">ряда заседаний комитетов </w:t>
      </w:r>
      <w:r w:rsidRPr="00C34750">
        <w:rPr>
          <w:szCs w:val="22"/>
        </w:rPr>
        <w:t>ICANN</w:t>
      </w:r>
      <w:r w:rsidRPr="00C34750">
        <w:rPr>
          <w:szCs w:val="22"/>
          <w:lang w:val="ru-RU"/>
        </w:rPr>
        <w:t xml:space="preserve"> и процессов, предназначенных для новых рДВУ, как представляется, снизилась как </w:t>
      </w:r>
      <w:r w:rsidR="000A3CA0">
        <w:rPr>
          <w:szCs w:val="22"/>
          <w:lang w:val="ru-RU"/>
        </w:rPr>
        <w:t>в оперативном</w:t>
      </w:r>
      <w:r w:rsidRPr="00C34750">
        <w:rPr>
          <w:iCs/>
          <w:szCs w:val="22"/>
          <w:lang w:val="ru-RU"/>
        </w:rPr>
        <w:t xml:space="preserve">, так и </w:t>
      </w:r>
      <w:r w:rsidR="000A3CA0">
        <w:rPr>
          <w:iCs/>
          <w:szCs w:val="22"/>
          <w:lang w:val="ru-RU"/>
        </w:rPr>
        <w:t xml:space="preserve">в </w:t>
      </w:r>
      <w:r w:rsidRPr="00C34750">
        <w:rPr>
          <w:iCs/>
          <w:szCs w:val="22"/>
          <w:lang w:val="ru-RU"/>
        </w:rPr>
        <w:t>функцион</w:t>
      </w:r>
      <w:r w:rsidR="000A3CA0">
        <w:rPr>
          <w:iCs/>
          <w:szCs w:val="22"/>
          <w:lang w:val="ru-RU"/>
        </w:rPr>
        <w:t>альном плане</w:t>
      </w:r>
      <w:r w:rsidR="00192C16" w:rsidRPr="0038372A">
        <w:rPr>
          <w:szCs w:val="22"/>
          <w:lang w:val="ru-RU"/>
        </w:rPr>
        <w:t>.</w:t>
      </w:r>
      <w:r w:rsidR="00192C16" w:rsidRPr="006475B9">
        <w:rPr>
          <w:rStyle w:val="FootnoteReference"/>
          <w:szCs w:val="22"/>
        </w:rPr>
        <w:footnoteReference w:id="24"/>
      </w:r>
      <w:r w:rsidR="00192C16" w:rsidRPr="0038372A">
        <w:rPr>
          <w:szCs w:val="22"/>
          <w:lang w:val="ru-RU"/>
        </w:rPr>
        <w:t xml:space="preserve">  </w:t>
      </w:r>
      <w:r w:rsidRPr="00C34750">
        <w:rPr>
          <w:szCs w:val="22"/>
          <w:lang w:val="ru-RU"/>
        </w:rPr>
        <w:t xml:space="preserve">Ниже приведено общее описание </w:t>
      </w:r>
      <w:r>
        <w:rPr>
          <w:szCs w:val="22"/>
          <w:lang w:val="ru-RU"/>
        </w:rPr>
        <w:t>МОП</w:t>
      </w:r>
      <w:r w:rsidRPr="00C34750">
        <w:rPr>
          <w:szCs w:val="22"/>
          <w:lang w:val="ru-RU"/>
        </w:rPr>
        <w:t xml:space="preserve">, адаптированных и одобренных </w:t>
      </w:r>
      <w:r w:rsidRPr="00C34750">
        <w:rPr>
          <w:szCs w:val="22"/>
        </w:rPr>
        <w:t>ICANN</w:t>
      </w:r>
      <w:r w:rsidRPr="00C34750">
        <w:rPr>
          <w:szCs w:val="22"/>
          <w:lang w:val="ru-RU"/>
        </w:rPr>
        <w:t>, в отношении верхнего и второго уровней, соответственно</w:t>
      </w:r>
      <w:r w:rsidR="00192C16" w:rsidRPr="008C2301">
        <w:rPr>
          <w:szCs w:val="22"/>
          <w:lang w:val="ru-RU"/>
        </w:rPr>
        <w:t>.</w:t>
      </w:r>
    </w:p>
    <w:p w:rsidR="00192C16" w:rsidRPr="008C2301" w:rsidRDefault="00192C16" w:rsidP="00192C16">
      <w:pPr>
        <w:pStyle w:val="Heading3"/>
        <w:spacing w:before="0" w:after="0"/>
        <w:ind w:left="1100" w:hanging="550"/>
        <w:rPr>
          <w:szCs w:val="22"/>
          <w:u w:val="none"/>
          <w:lang w:val="ru-RU"/>
        </w:rPr>
      </w:pPr>
    </w:p>
    <w:p w:rsidR="00192C16" w:rsidRPr="00061935" w:rsidRDefault="00061935" w:rsidP="00C74D6B">
      <w:pPr>
        <w:pStyle w:val="Heading3"/>
        <w:numPr>
          <w:ilvl w:val="1"/>
          <w:numId w:val="10"/>
        </w:numPr>
        <w:spacing w:before="0" w:after="0"/>
        <w:ind w:left="1080" w:hanging="540"/>
        <w:rPr>
          <w:szCs w:val="22"/>
          <w:lang w:val="ru-RU"/>
        </w:rPr>
      </w:pPr>
      <w:r>
        <w:rPr>
          <w:szCs w:val="22"/>
          <w:lang w:val="ru-RU"/>
        </w:rPr>
        <w:t>МОП верхнего уровня</w:t>
      </w:r>
    </w:p>
    <w:p w:rsidR="00192C16" w:rsidRPr="00061935" w:rsidRDefault="00192C16" w:rsidP="00192C16">
      <w:pPr>
        <w:pStyle w:val="Heading3"/>
        <w:spacing w:before="0" w:after="0"/>
        <w:ind w:left="1100"/>
        <w:rPr>
          <w:szCs w:val="22"/>
          <w:u w:val="none"/>
          <w:lang w:val="ru-RU"/>
        </w:rPr>
      </w:pPr>
    </w:p>
    <w:p w:rsidR="00192C16" w:rsidRPr="003A3DD6" w:rsidRDefault="003A3DD6" w:rsidP="00192C16">
      <w:pPr>
        <w:ind w:left="1701" w:hanging="680"/>
        <w:rPr>
          <w:color w:val="000000"/>
          <w:szCs w:val="22"/>
          <w:lang w:val="ru-RU"/>
        </w:rPr>
      </w:pPr>
      <w:r w:rsidRPr="003A3DD6">
        <w:rPr>
          <w:bCs/>
          <w:szCs w:val="22"/>
          <w:u w:val="single"/>
          <w:lang w:val="ru-RU"/>
        </w:rPr>
        <w:t>Процедура урегулирования споров</w:t>
      </w:r>
      <w:r w:rsidR="00894079">
        <w:rPr>
          <w:bCs/>
          <w:szCs w:val="22"/>
          <w:u w:val="single"/>
          <w:lang w:val="ru-RU"/>
        </w:rPr>
        <w:t xml:space="preserve">, предшествующая присуждению </w:t>
      </w:r>
      <w:r w:rsidRPr="003A3DD6">
        <w:rPr>
          <w:bCs/>
          <w:szCs w:val="22"/>
          <w:u w:val="single"/>
          <w:lang w:val="ru-RU"/>
        </w:rPr>
        <w:t>(ДВУ)</w:t>
      </w:r>
    </w:p>
    <w:p w:rsidR="00192C16" w:rsidRPr="001A7C32" w:rsidRDefault="000C6020" w:rsidP="00C74D6B">
      <w:pPr>
        <w:pStyle w:val="ListParagraph"/>
        <w:numPr>
          <w:ilvl w:val="0"/>
          <w:numId w:val="10"/>
        </w:numPr>
        <w:ind w:left="0" w:firstLine="0"/>
        <w:rPr>
          <w:szCs w:val="22"/>
          <w:lang w:val="ru-RU"/>
        </w:rPr>
      </w:pPr>
      <w:r w:rsidRPr="000C6020">
        <w:rPr>
          <w:szCs w:val="22"/>
          <w:lang w:val="ru-RU"/>
        </w:rPr>
        <w:t>Данный механизм позволяет владельцам товарных знаков подавать возражения на основании юридических прав (</w:t>
      </w:r>
      <w:r w:rsidRPr="000C6020">
        <w:rPr>
          <w:szCs w:val="22"/>
        </w:rPr>
        <w:t>LRO</w:t>
      </w:r>
      <w:r w:rsidRPr="000C6020">
        <w:rPr>
          <w:szCs w:val="22"/>
          <w:lang w:val="ru-RU"/>
        </w:rPr>
        <w:t xml:space="preserve">) </w:t>
      </w:r>
      <w:r w:rsidR="00DB1274">
        <w:rPr>
          <w:szCs w:val="22"/>
          <w:lang w:val="ru-RU"/>
        </w:rPr>
        <w:t>в связи с</w:t>
      </w:r>
      <w:r w:rsidRPr="000C6020">
        <w:rPr>
          <w:szCs w:val="22"/>
          <w:lang w:val="ru-RU"/>
        </w:rPr>
        <w:t xml:space="preserve"> заявк</w:t>
      </w:r>
      <w:r w:rsidR="00DB1274">
        <w:rPr>
          <w:szCs w:val="22"/>
          <w:lang w:val="ru-RU"/>
        </w:rPr>
        <w:t>ами</w:t>
      </w:r>
      <w:r w:rsidRPr="000C6020">
        <w:rPr>
          <w:szCs w:val="22"/>
          <w:lang w:val="ru-RU"/>
        </w:rPr>
        <w:t xml:space="preserve"> </w:t>
      </w:r>
      <w:r w:rsidR="00DB1274">
        <w:rPr>
          <w:szCs w:val="22"/>
          <w:lang w:val="ru-RU"/>
        </w:rPr>
        <w:t xml:space="preserve">на </w:t>
      </w:r>
      <w:r w:rsidRPr="000C6020">
        <w:rPr>
          <w:szCs w:val="22"/>
          <w:lang w:val="ru-RU"/>
        </w:rPr>
        <w:t>создани</w:t>
      </w:r>
      <w:r w:rsidR="00DB1274">
        <w:rPr>
          <w:szCs w:val="22"/>
          <w:lang w:val="ru-RU"/>
        </w:rPr>
        <w:t>е</w:t>
      </w:r>
      <w:r w:rsidRPr="000C6020">
        <w:rPr>
          <w:szCs w:val="22"/>
          <w:lang w:val="ru-RU"/>
        </w:rPr>
        <w:t xml:space="preserve"> новых рДВУ </w:t>
      </w:r>
      <w:r w:rsidR="00DB1274">
        <w:rPr>
          <w:szCs w:val="22"/>
          <w:lang w:val="ru-RU"/>
        </w:rPr>
        <w:t xml:space="preserve">на </w:t>
      </w:r>
      <w:r w:rsidRPr="000C6020">
        <w:rPr>
          <w:szCs w:val="22"/>
          <w:lang w:val="ru-RU"/>
        </w:rPr>
        <w:t>верхнем уровне при условии соблюдения некоторых существенных критериев</w:t>
      </w:r>
      <w:r w:rsidR="00F23C61" w:rsidRPr="00AB4E53">
        <w:rPr>
          <w:szCs w:val="22"/>
          <w:lang w:val="ru-RU"/>
        </w:rPr>
        <w:t>.</w:t>
      </w:r>
      <w:r w:rsidR="00F23C61" w:rsidRPr="006475B9">
        <w:rPr>
          <w:rStyle w:val="FootnoteReference"/>
          <w:szCs w:val="22"/>
        </w:rPr>
        <w:footnoteReference w:id="25"/>
      </w:r>
      <w:r w:rsidR="00F23C61" w:rsidRPr="00AB4E53">
        <w:rPr>
          <w:szCs w:val="22"/>
          <w:lang w:val="ru-RU"/>
        </w:rPr>
        <w:t xml:space="preserve">  </w:t>
      </w:r>
      <w:r w:rsidRPr="000C6020">
        <w:rPr>
          <w:szCs w:val="22"/>
          <w:lang w:val="ru-RU"/>
        </w:rPr>
        <w:t xml:space="preserve">Центр также оказывал помощь </w:t>
      </w:r>
      <w:r w:rsidRPr="000C6020">
        <w:rPr>
          <w:szCs w:val="22"/>
        </w:rPr>
        <w:t>ICANN</w:t>
      </w:r>
      <w:r w:rsidRPr="000C6020">
        <w:rPr>
          <w:szCs w:val="22"/>
          <w:lang w:val="ru-RU"/>
        </w:rPr>
        <w:t xml:space="preserve"> в разработке процедурных правил для </w:t>
      </w:r>
      <w:r w:rsidRPr="000C6020">
        <w:rPr>
          <w:szCs w:val="22"/>
        </w:rPr>
        <w:t>LRO</w:t>
      </w:r>
      <w:r w:rsidRPr="000C6020">
        <w:rPr>
          <w:szCs w:val="22"/>
          <w:lang w:val="ru-RU"/>
        </w:rPr>
        <w:t>, опирающихся на «</w:t>
      </w:r>
      <w:r w:rsidRPr="000C6020">
        <w:rPr>
          <w:iCs/>
          <w:szCs w:val="22"/>
          <w:lang w:val="ru-RU"/>
        </w:rPr>
        <w:t>Совместную рекомендацию ВОИС о положениях в отношении охраны знаков и других прав промышленной собственности на обозначения в Интернете</w:t>
      </w:r>
      <w:r w:rsidRPr="000C6020">
        <w:rPr>
          <w:szCs w:val="22"/>
          <w:lang w:val="ru-RU"/>
        </w:rPr>
        <w:t>»</w:t>
      </w:r>
      <w:r w:rsidR="00192C16" w:rsidRPr="006475B9">
        <w:rPr>
          <w:vertAlign w:val="superscript"/>
        </w:rPr>
        <w:footnoteReference w:id="26"/>
      </w:r>
      <w:r w:rsidR="00192C16" w:rsidRPr="001A7C32">
        <w:rPr>
          <w:szCs w:val="22"/>
          <w:lang w:val="ru-RU"/>
        </w:rPr>
        <w:t xml:space="preserve"> (</w:t>
      </w:r>
      <w:r w:rsidR="001A7C32">
        <w:rPr>
          <w:szCs w:val="22"/>
          <w:lang w:val="ru-RU"/>
        </w:rPr>
        <w:t>«Совместная рекомендация»</w:t>
      </w:r>
      <w:r w:rsidR="00192C16" w:rsidRPr="001A7C32">
        <w:rPr>
          <w:szCs w:val="22"/>
          <w:lang w:val="ru-RU"/>
        </w:rPr>
        <w:t>)</w:t>
      </w:r>
      <w:r w:rsidR="001A7C32">
        <w:rPr>
          <w:szCs w:val="22"/>
          <w:lang w:val="ru-RU"/>
        </w:rPr>
        <w:t>, принят</w:t>
      </w:r>
      <w:r>
        <w:rPr>
          <w:szCs w:val="22"/>
          <w:lang w:val="ru-RU"/>
        </w:rPr>
        <w:t>ую</w:t>
      </w:r>
      <w:r w:rsidR="001A7C32">
        <w:rPr>
          <w:szCs w:val="22"/>
          <w:lang w:val="ru-RU"/>
        </w:rPr>
        <w:t xml:space="preserve"> Генеральной Ассамблеей ВОИС в сентябре 2</w:t>
      </w:r>
      <w:r w:rsidR="00192C16" w:rsidRPr="001A7C32">
        <w:rPr>
          <w:szCs w:val="22"/>
          <w:lang w:val="ru-RU"/>
        </w:rPr>
        <w:t>001</w:t>
      </w:r>
      <w:r w:rsidR="001A7C32">
        <w:rPr>
          <w:szCs w:val="22"/>
          <w:lang w:val="ru-RU"/>
        </w:rPr>
        <w:t> г</w:t>
      </w:r>
      <w:r w:rsidR="00192C16" w:rsidRPr="001A7C32">
        <w:rPr>
          <w:szCs w:val="22"/>
          <w:lang w:val="ru-RU"/>
        </w:rPr>
        <w:t>.</w:t>
      </w:r>
    </w:p>
    <w:p w:rsidR="00192C16" w:rsidRPr="001A7C32" w:rsidRDefault="00192C16" w:rsidP="00C74D6B">
      <w:pPr>
        <w:rPr>
          <w:szCs w:val="22"/>
          <w:lang w:val="ru-RU"/>
        </w:rPr>
      </w:pPr>
    </w:p>
    <w:p w:rsidR="00192C16" w:rsidRPr="009323BC" w:rsidRDefault="001F2EC3" w:rsidP="007C4CBC">
      <w:pPr>
        <w:pStyle w:val="ListParagraph"/>
        <w:numPr>
          <w:ilvl w:val="0"/>
          <w:numId w:val="10"/>
        </w:numPr>
        <w:ind w:left="0" w:firstLine="0"/>
        <w:rPr>
          <w:szCs w:val="22"/>
          <w:lang w:val="ru-RU"/>
        </w:rPr>
      </w:pPr>
      <w:r w:rsidRPr="001F2EC3">
        <w:rPr>
          <w:szCs w:val="22"/>
          <w:lang w:val="ru-RU"/>
        </w:rPr>
        <w:t xml:space="preserve">Центр был назначен </w:t>
      </w:r>
      <w:r w:rsidRPr="001F2EC3">
        <w:rPr>
          <w:szCs w:val="22"/>
        </w:rPr>
        <w:t>ICANN</w:t>
      </w:r>
      <w:r w:rsidRPr="001F2EC3">
        <w:rPr>
          <w:szCs w:val="22"/>
          <w:lang w:val="ru-RU"/>
        </w:rPr>
        <w:t xml:space="preserve"> эксклюзивным п</w:t>
      </w:r>
      <w:r w:rsidR="00DB1274">
        <w:rPr>
          <w:szCs w:val="22"/>
          <w:lang w:val="ru-RU"/>
        </w:rPr>
        <w:t xml:space="preserve">оставщиком </w:t>
      </w:r>
      <w:r w:rsidRPr="001F2EC3">
        <w:rPr>
          <w:szCs w:val="22"/>
          <w:lang w:val="ru-RU"/>
        </w:rPr>
        <w:t xml:space="preserve">услуг в области рассмотрения споров, связанных с </w:t>
      </w:r>
      <w:r w:rsidRPr="001F2EC3">
        <w:rPr>
          <w:szCs w:val="22"/>
        </w:rPr>
        <w:t>LRO</w:t>
      </w:r>
      <w:r w:rsidR="00192C16" w:rsidRPr="007C4CBC">
        <w:rPr>
          <w:szCs w:val="22"/>
          <w:lang w:val="ru-RU"/>
        </w:rPr>
        <w:t>.</w:t>
      </w:r>
      <w:r w:rsidR="00192C16" w:rsidRPr="006475B9">
        <w:rPr>
          <w:rStyle w:val="FootnoteReference"/>
          <w:szCs w:val="22"/>
        </w:rPr>
        <w:footnoteReference w:id="27"/>
      </w:r>
      <w:r w:rsidR="00192C16" w:rsidRPr="007C4CBC">
        <w:rPr>
          <w:bCs/>
          <w:szCs w:val="22"/>
          <w:lang w:val="ru-RU"/>
        </w:rPr>
        <w:t xml:space="preserve"> </w:t>
      </w:r>
      <w:r w:rsidR="00192C16" w:rsidRPr="007C4CBC">
        <w:rPr>
          <w:szCs w:val="22"/>
          <w:lang w:val="ru-RU"/>
        </w:rPr>
        <w:t xml:space="preserve"> </w:t>
      </w:r>
      <w:r w:rsidRPr="001F2EC3">
        <w:rPr>
          <w:szCs w:val="22"/>
          <w:lang w:val="ru-RU"/>
        </w:rPr>
        <w:t xml:space="preserve">Срок для подачи возражений </w:t>
      </w:r>
      <w:r w:rsidRPr="001F2EC3">
        <w:rPr>
          <w:szCs w:val="22"/>
        </w:rPr>
        <w:t>LRO</w:t>
      </w:r>
      <w:r w:rsidRPr="001F2EC3">
        <w:rPr>
          <w:szCs w:val="22"/>
          <w:lang w:val="ru-RU"/>
        </w:rPr>
        <w:t xml:space="preserve"> завершился в марте 2013</w:t>
      </w:r>
      <w:r w:rsidR="00273089">
        <w:rPr>
          <w:szCs w:val="22"/>
          <w:lang w:val="ru-RU"/>
        </w:rPr>
        <w:t> </w:t>
      </w:r>
      <w:r w:rsidRPr="001F2EC3">
        <w:rPr>
          <w:szCs w:val="22"/>
          <w:lang w:val="ru-RU"/>
        </w:rPr>
        <w:t xml:space="preserve">г., </w:t>
      </w:r>
      <w:r w:rsidR="00DB1274">
        <w:rPr>
          <w:szCs w:val="22"/>
          <w:lang w:val="ru-RU"/>
        </w:rPr>
        <w:t>к этому времени</w:t>
      </w:r>
      <w:r w:rsidRPr="001F2EC3">
        <w:rPr>
          <w:szCs w:val="22"/>
          <w:lang w:val="ru-RU"/>
        </w:rPr>
        <w:t xml:space="preserve"> Центр получил </w:t>
      </w:r>
      <w:r>
        <w:rPr>
          <w:szCs w:val="22"/>
          <w:lang w:val="ru-RU"/>
        </w:rPr>
        <w:t>69 </w:t>
      </w:r>
      <w:r w:rsidRPr="001F2EC3">
        <w:rPr>
          <w:szCs w:val="22"/>
          <w:lang w:val="ru-RU"/>
        </w:rPr>
        <w:t xml:space="preserve">возражений </w:t>
      </w:r>
      <w:r w:rsidRPr="001F2EC3">
        <w:rPr>
          <w:szCs w:val="22"/>
        </w:rPr>
        <w:t>LRO</w:t>
      </w:r>
      <w:r w:rsidRPr="001F2EC3">
        <w:rPr>
          <w:szCs w:val="22"/>
          <w:lang w:val="ru-RU"/>
        </w:rPr>
        <w:t>, которые были признаны соответствующими требованиям в процедурном отношении</w:t>
      </w:r>
      <w:r w:rsidR="00192C16" w:rsidRPr="007C4CBC">
        <w:rPr>
          <w:szCs w:val="22"/>
          <w:lang w:val="ru-RU"/>
        </w:rPr>
        <w:t>.</w:t>
      </w:r>
      <w:r w:rsidR="00192C16" w:rsidRPr="006475B9">
        <w:rPr>
          <w:rStyle w:val="FootnoteReference"/>
          <w:szCs w:val="22"/>
        </w:rPr>
        <w:footnoteReference w:id="28"/>
      </w:r>
      <w:r w:rsidR="00192C16" w:rsidRPr="007C4CBC">
        <w:rPr>
          <w:szCs w:val="22"/>
          <w:lang w:val="ru-RU"/>
        </w:rPr>
        <w:t xml:space="preserve">  </w:t>
      </w:r>
      <w:r w:rsidR="003956BB" w:rsidRPr="003956BB">
        <w:rPr>
          <w:szCs w:val="22"/>
          <w:lang w:val="ru-RU"/>
        </w:rPr>
        <w:t xml:space="preserve">Первые решения на основе </w:t>
      </w:r>
      <w:r w:rsidR="003956BB" w:rsidRPr="003956BB">
        <w:rPr>
          <w:szCs w:val="22"/>
        </w:rPr>
        <w:t>LRO</w:t>
      </w:r>
      <w:r w:rsidR="003956BB" w:rsidRPr="003956BB">
        <w:rPr>
          <w:szCs w:val="22"/>
          <w:lang w:val="ru-RU"/>
        </w:rPr>
        <w:t xml:space="preserve"> уже были направлены сторонам и опубликованы Центром в июле 2013</w:t>
      </w:r>
      <w:r w:rsidR="00DB1274">
        <w:rPr>
          <w:szCs w:val="22"/>
          <w:lang w:val="ru-RU"/>
        </w:rPr>
        <w:t> </w:t>
      </w:r>
      <w:r w:rsidR="003956BB" w:rsidRPr="003956BB">
        <w:rPr>
          <w:szCs w:val="22"/>
          <w:lang w:val="ru-RU"/>
        </w:rPr>
        <w:t xml:space="preserve">г., </w:t>
      </w:r>
      <w:r w:rsidR="00DB1274">
        <w:rPr>
          <w:szCs w:val="22"/>
          <w:lang w:val="ru-RU"/>
        </w:rPr>
        <w:t>а</w:t>
      </w:r>
      <w:r w:rsidR="003956BB" w:rsidRPr="003956BB">
        <w:rPr>
          <w:szCs w:val="22"/>
          <w:lang w:val="ru-RU"/>
        </w:rPr>
        <w:t xml:space="preserve"> рассмотрение Центром вопросов, связанных с </w:t>
      </w:r>
      <w:r w:rsidR="003956BB" w:rsidRPr="003956BB">
        <w:rPr>
          <w:szCs w:val="22"/>
        </w:rPr>
        <w:t>LRO</w:t>
      </w:r>
      <w:r w:rsidR="003956BB" w:rsidRPr="003956BB">
        <w:rPr>
          <w:szCs w:val="22"/>
          <w:lang w:val="ru-RU"/>
        </w:rPr>
        <w:t xml:space="preserve">, было в основном завершено к </w:t>
      </w:r>
      <w:r w:rsidR="003956BB" w:rsidRPr="003956BB">
        <w:rPr>
          <w:szCs w:val="22"/>
          <w:lang w:val="ru-RU"/>
        </w:rPr>
        <w:lastRenderedPageBreak/>
        <w:t>началу сентября 2013</w:t>
      </w:r>
      <w:r w:rsidR="00DB1274">
        <w:rPr>
          <w:szCs w:val="22"/>
          <w:lang w:val="ru-RU"/>
        </w:rPr>
        <w:t> </w:t>
      </w:r>
      <w:r w:rsidR="003956BB" w:rsidRPr="003956BB">
        <w:rPr>
          <w:szCs w:val="22"/>
          <w:lang w:val="ru-RU"/>
        </w:rPr>
        <w:t>г.  Все решения комиссии экспертов ВОИС размещены на вебсайте Центра</w:t>
      </w:r>
      <w:r w:rsidR="009323BC">
        <w:rPr>
          <w:szCs w:val="22"/>
          <w:lang w:val="ru-RU"/>
        </w:rPr>
        <w:t>.</w:t>
      </w:r>
      <w:r w:rsidR="00192C16" w:rsidRPr="006475B9">
        <w:rPr>
          <w:rStyle w:val="FootnoteReference"/>
          <w:szCs w:val="22"/>
        </w:rPr>
        <w:footnoteReference w:id="29"/>
      </w:r>
      <w:r w:rsidR="00F23C61" w:rsidRPr="009323BC">
        <w:rPr>
          <w:szCs w:val="22"/>
          <w:lang w:val="ru-RU"/>
        </w:rPr>
        <w:t xml:space="preserve">  </w:t>
      </w:r>
      <w:r w:rsidR="009323BC">
        <w:rPr>
          <w:szCs w:val="22"/>
          <w:lang w:val="ru-RU"/>
        </w:rPr>
        <w:t>Центр</w:t>
      </w:r>
      <w:r w:rsidR="009323BC" w:rsidRPr="009323BC">
        <w:rPr>
          <w:szCs w:val="22"/>
          <w:lang w:val="ru-RU"/>
        </w:rPr>
        <w:t xml:space="preserve"> </w:t>
      </w:r>
      <w:r w:rsidR="009323BC">
        <w:rPr>
          <w:szCs w:val="22"/>
          <w:lang w:val="ru-RU"/>
        </w:rPr>
        <w:t>также</w:t>
      </w:r>
      <w:r w:rsidR="009323BC" w:rsidRPr="009323BC">
        <w:rPr>
          <w:szCs w:val="22"/>
          <w:lang w:val="ru-RU"/>
        </w:rPr>
        <w:t xml:space="preserve"> </w:t>
      </w:r>
      <w:r w:rsidR="009323BC">
        <w:rPr>
          <w:szCs w:val="22"/>
          <w:lang w:val="ru-RU"/>
        </w:rPr>
        <w:t>опубликовал</w:t>
      </w:r>
      <w:r w:rsidR="009323BC" w:rsidRPr="009323BC">
        <w:rPr>
          <w:szCs w:val="22"/>
          <w:lang w:val="ru-RU"/>
        </w:rPr>
        <w:t xml:space="preserve"> </w:t>
      </w:r>
      <w:r w:rsidR="009323BC">
        <w:rPr>
          <w:szCs w:val="22"/>
          <w:lang w:val="ru-RU"/>
        </w:rPr>
        <w:t>отчет</w:t>
      </w:r>
      <w:r w:rsidR="009323BC" w:rsidRPr="009323BC">
        <w:rPr>
          <w:szCs w:val="22"/>
          <w:lang w:val="ru-RU"/>
        </w:rPr>
        <w:t xml:space="preserve"> </w:t>
      </w:r>
      <w:r w:rsidR="00F234A5">
        <w:rPr>
          <w:szCs w:val="22"/>
          <w:lang w:val="ru-RU"/>
        </w:rPr>
        <w:t>п</w:t>
      </w:r>
      <w:r w:rsidR="009323BC">
        <w:rPr>
          <w:szCs w:val="22"/>
          <w:lang w:val="ru-RU"/>
        </w:rPr>
        <w:t>о</w:t>
      </w:r>
      <w:r w:rsidR="009323BC" w:rsidRPr="009323BC">
        <w:rPr>
          <w:szCs w:val="22"/>
          <w:lang w:val="ru-RU"/>
        </w:rPr>
        <w:t xml:space="preserve"> </w:t>
      </w:r>
      <w:r w:rsidR="003956BB">
        <w:rPr>
          <w:szCs w:val="22"/>
          <w:lang w:val="ru-RU"/>
        </w:rPr>
        <w:t xml:space="preserve">процедуре </w:t>
      </w:r>
      <w:r w:rsidR="003956BB">
        <w:rPr>
          <w:szCs w:val="22"/>
          <w:lang w:val="fr-CH"/>
        </w:rPr>
        <w:t>LRO</w:t>
      </w:r>
      <w:r w:rsidR="009323BC">
        <w:rPr>
          <w:szCs w:val="22"/>
          <w:lang w:val="ru-RU"/>
        </w:rPr>
        <w:t xml:space="preserve">, ознакомиться с которым можно на </w:t>
      </w:r>
      <w:r w:rsidR="00540828">
        <w:rPr>
          <w:szCs w:val="22"/>
          <w:lang w:val="ru-RU"/>
        </w:rPr>
        <w:t xml:space="preserve">его </w:t>
      </w:r>
      <w:r w:rsidR="009323BC">
        <w:rPr>
          <w:szCs w:val="22"/>
          <w:lang w:val="ru-RU"/>
        </w:rPr>
        <w:t>веб-сайте</w:t>
      </w:r>
      <w:r w:rsidR="00F23C61" w:rsidRPr="009323BC">
        <w:rPr>
          <w:szCs w:val="22"/>
          <w:lang w:val="ru-RU"/>
        </w:rPr>
        <w:t>.</w:t>
      </w:r>
      <w:r w:rsidR="00F23C61" w:rsidRPr="006475B9">
        <w:rPr>
          <w:rStyle w:val="FootnoteReference"/>
          <w:szCs w:val="22"/>
        </w:rPr>
        <w:footnoteReference w:id="30"/>
      </w:r>
    </w:p>
    <w:p w:rsidR="00192C16" w:rsidRPr="00CD3132" w:rsidRDefault="00CD3132" w:rsidP="00C74D6B">
      <w:pPr>
        <w:pStyle w:val="Heading3"/>
        <w:numPr>
          <w:ilvl w:val="2"/>
          <w:numId w:val="10"/>
        </w:numPr>
        <w:ind w:left="1710" w:hanging="630"/>
        <w:rPr>
          <w:szCs w:val="22"/>
          <w:lang w:val="ru-RU"/>
        </w:rPr>
      </w:pPr>
      <w:r w:rsidRPr="00CD3132">
        <w:rPr>
          <w:szCs w:val="22"/>
          <w:lang w:val="ru-RU"/>
        </w:rPr>
        <w:t xml:space="preserve">Процедура урегулирования споров </w:t>
      </w:r>
      <w:r w:rsidR="00FA5899">
        <w:rPr>
          <w:szCs w:val="22"/>
          <w:lang w:val="ru-RU"/>
        </w:rPr>
        <w:t>после присуждения</w:t>
      </w:r>
      <w:r>
        <w:rPr>
          <w:szCs w:val="22"/>
          <w:lang w:val="ru-RU"/>
        </w:rPr>
        <w:t xml:space="preserve"> (ДВУ)</w:t>
      </w:r>
      <w:r w:rsidRPr="00CD3132">
        <w:rPr>
          <w:szCs w:val="22"/>
          <w:lang w:val="ru-RU"/>
        </w:rPr>
        <w:t xml:space="preserve"> </w:t>
      </w:r>
      <w:r w:rsidR="00275AE9">
        <w:rPr>
          <w:szCs w:val="22"/>
          <w:lang w:val="ru-RU"/>
        </w:rPr>
        <w:t>(</w:t>
      </w:r>
      <w:r w:rsidR="00275AE9" w:rsidRPr="00275AE9">
        <w:rPr>
          <w:szCs w:val="22"/>
        </w:rPr>
        <w:t>PDDRP</w:t>
      </w:r>
      <w:r w:rsidR="00275AE9">
        <w:rPr>
          <w:szCs w:val="22"/>
          <w:lang w:val="ru-RU"/>
        </w:rPr>
        <w:t>)</w:t>
      </w:r>
    </w:p>
    <w:p w:rsidR="00192C16" w:rsidRPr="00CD3132" w:rsidRDefault="00192C16" w:rsidP="00192C16">
      <w:pPr>
        <w:rPr>
          <w:color w:val="000000"/>
          <w:szCs w:val="22"/>
          <w:lang w:val="ru-RU"/>
        </w:rPr>
      </w:pPr>
    </w:p>
    <w:p w:rsidR="00192C16" w:rsidRPr="0024616E" w:rsidRDefault="007A455A" w:rsidP="0024616E">
      <w:pPr>
        <w:pStyle w:val="ListParagraph"/>
        <w:numPr>
          <w:ilvl w:val="0"/>
          <w:numId w:val="10"/>
        </w:numPr>
        <w:ind w:left="0" w:firstLine="0"/>
        <w:rPr>
          <w:szCs w:val="22"/>
          <w:lang w:val="ru-RU"/>
        </w:rPr>
      </w:pPr>
      <w:r>
        <w:rPr>
          <w:szCs w:val="22"/>
          <w:lang w:val="ru-RU"/>
        </w:rPr>
        <w:t>С</w:t>
      </w:r>
      <w:r w:rsidRPr="007A455A">
        <w:rPr>
          <w:szCs w:val="22"/>
          <w:lang w:val="ru-RU"/>
        </w:rPr>
        <w:t xml:space="preserve"> </w:t>
      </w:r>
      <w:r>
        <w:rPr>
          <w:szCs w:val="22"/>
          <w:lang w:val="ru-RU"/>
        </w:rPr>
        <w:t>начала</w:t>
      </w:r>
      <w:r w:rsidRPr="007A455A">
        <w:rPr>
          <w:szCs w:val="22"/>
          <w:lang w:val="ru-RU"/>
        </w:rPr>
        <w:t xml:space="preserve"> </w:t>
      </w:r>
      <w:r w:rsidR="00192C16" w:rsidRPr="007A455A">
        <w:rPr>
          <w:szCs w:val="22"/>
          <w:lang w:val="ru-RU"/>
        </w:rPr>
        <w:t>2008</w:t>
      </w:r>
      <w:r w:rsidRPr="007A455A">
        <w:rPr>
          <w:szCs w:val="22"/>
        </w:rPr>
        <w:t> </w:t>
      </w:r>
      <w:r>
        <w:rPr>
          <w:szCs w:val="22"/>
          <w:lang w:val="ru-RU"/>
        </w:rPr>
        <w:t>г</w:t>
      </w:r>
      <w:r w:rsidRPr="007A455A">
        <w:rPr>
          <w:szCs w:val="22"/>
          <w:lang w:val="ru-RU"/>
        </w:rPr>
        <w:t xml:space="preserve">. Центр обсуждает с ICANN потенциальную целесообразность использования постоянной административной альтернативы </w:t>
      </w:r>
      <w:r w:rsidR="00540828">
        <w:rPr>
          <w:szCs w:val="22"/>
          <w:lang w:val="ru-RU"/>
        </w:rPr>
        <w:t xml:space="preserve">помимо </w:t>
      </w:r>
      <w:r w:rsidRPr="007A455A">
        <w:rPr>
          <w:szCs w:val="22"/>
          <w:lang w:val="ru-RU"/>
        </w:rPr>
        <w:t>процедур</w:t>
      </w:r>
      <w:r w:rsidR="00540828">
        <w:rPr>
          <w:szCs w:val="22"/>
          <w:lang w:val="ru-RU"/>
        </w:rPr>
        <w:t>ы</w:t>
      </w:r>
      <w:r w:rsidRPr="007A455A">
        <w:rPr>
          <w:szCs w:val="22"/>
          <w:lang w:val="ru-RU"/>
        </w:rPr>
        <w:t xml:space="preserve">, которая позволяла бы подавать жалобы в отношении регистратора, управляющего </w:t>
      </w:r>
      <w:r w:rsidR="00540828">
        <w:rPr>
          <w:szCs w:val="22"/>
          <w:lang w:val="ru-RU"/>
        </w:rPr>
        <w:t xml:space="preserve">новыми, </w:t>
      </w:r>
      <w:r w:rsidRPr="007A455A">
        <w:rPr>
          <w:szCs w:val="22"/>
          <w:lang w:val="ru-RU"/>
        </w:rPr>
        <w:t xml:space="preserve">утвержденными рДВУ, </w:t>
      </w:r>
      <w:r w:rsidR="00540828">
        <w:rPr>
          <w:szCs w:val="22"/>
          <w:lang w:val="ru-RU"/>
        </w:rPr>
        <w:t xml:space="preserve">действующего </w:t>
      </w:r>
      <w:r w:rsidRPr="007A455A">
        <w:rPr>
          <w:szCs w:val="22"/>
          <w:lang w:val="ru-RU"/>
        </w:rPr>
        <w:t>таким образом, который может вызвать или в значительной мере способствовать злоупотреблениям товарны</w:t>
      </w:r>
      <w:r w:rsidR="00540828">
        <w:rPr>
          <w:szCs w:val="22"/>
          <w:lang w:val="ru-RU"/>
        </w:rPr>
        <w:t>ми</w:t>
      </w:r>
      <w:r w:rsidRPr="007A455A">
        <w:rPr>
          <w:szCs w:val="22"/>
          <w:lang w:val="ru-RU"/>
        </w:rPr>
        <w:t xml:space="preserve"> знак</w:t>
      </w:r>
      <w:r w:rsidR="00540828">
        <w:rPr>
          <w:szCs w:val="22"/>
          <w:lang w:val="ru-RU"/>
        </w:rPr>
        <w:t>ами</w:t>
      </w:r>
      <w:r w:rsidR="00192C16" w:rsidRPr="007A455A">
        <w:rPr>
          <w:szCs w:val="22"/>
          <w:lang w:val="ru-RU"/>
        </w:rPr>
        <w:t xml:space="preserve">.  </w:t>
      </w:r>
      <w:r>
        <w:rPr>
          <w:szCs w:val="22"/>
          <w:lang w:val="ru-RU"/>
        </w:rPr>
        <w:t>В</w:t>
      </w:r>
      <w:r w:rsidRPr="007A455A">
        <w:rPr>
          <w:szCs w:val="22"/>
          <w:lang w:val="ru-RU"/>
        </w:rPr>
        <w:t xml:space="preserve"> </w:t>
      </w:r>
      <w:r>
        <w:rPr>
          <w:szCs w:val="22"/>
          <w:lang w:val="ru-RU"/>
        </w:rPr>
        <w:t>начале</w:t>
      </w:r>
      <w:r w:rsidRPr="007A455A">
        <w:rPr>
          <w:szCs w:val="22"/>
          <w:lang w:val="ru-RU"/>
        </w:rPr>
        <w:t xml:space="preserve"> </w:t>
      </w:r>
      <w:r w:rsidR="00192C16" w:rsidRPr="007A455A">
        <w:rPr>
          <w:szCs w:val="22"/>
          <w:lang w:val="ru-RU"/>
        </w:rPr>
        <w:t>2009</w:t>
      </w:r>
      <w:r w:rsidRPr="007A455A">
        <w:rPr>
          <w:szCs w:val="22"/>
        </w:rPr>
        <w:t> </w:t>
      </w:r>
      <w:r>
        <w:rPr>
          <w:szCs w:val="22"/>
          <w:lang w:val="ru-RU"/>
        </w:rPr>
        <w:t>г</w:t>
      </w:r>
      <w:r w:rsidRPr="007A455A">
        <w:rPr>
          <w:lang w:val="ru-RU"/>
        </w:rPr>
        <w:t xml:space="preserve"> </w:t>
      </w:r>
      <w:r w:rsidRPr="007A455A">
        <w:rPr>
          <w:szCs w:val="22"/>
          <w:lang w:val="ru-RU"/>
        </w:rPr>
        <w:t xml:space="preserve">Центр направил в </w:t>
      </w:r>
      <w:r w:rsidRPr="007A455A">
        <w:rPr>
          <w:szCs w:val="22"/>
        </w:rPr>
        <w:t>ICANN</w:t>
      </w:r>
      <w:r w:rsidRPr="007A455A">
        <w:rPr>
          <w:szCs w:val="22"/>
          <w:lang w:val="ru-RU"/>
        </w:rPr>
        <w:t xml:space="preserve"> конкретное содержательное предложение в отношении процедуры урегулировани</w:t>
      </w:r>
      <w:r w:rsidR="00540828">
        <w:rPr>
          <w:szCs w:val="22"/>
          <w:lang w:val="ru-RU"/>
        </w:rPr>
        <w:t>я</w:t>
      </w:r>
      <w:r w:rsidRPr="007A455A">
        <w:rPr>
          <w:szCs w:val="22"/>
          <w:lang w:val="ru-RU"/>
        </w:rPr>
        <w:t xml:space="preserve"> споров, касающихся товарных знаков, после присуждения ДВУ</w:t>
      </w:r>
      <w:r w:rsidR="00192C16" w:rsidRPr="007A455A">
        <w:rPr>
          <w:szCs w:val="22"/>
          <w:lang w:val="ru-RU"/>
        </w:rPr>
        <w:t>.</w:t>
      </w:r>
      <w:r w:rsidR="00192C16" w:rsidRPr="006475B9">
        <w:rPr>
          <w:vertAlign w:val="superscript"/>
        </w:rPr>
        <w:footnoteReference w:id="31"/>
      </w:r>
      <w:r w:rsidR="00192C16" w:rsidRPr="007A455A">
        <w:rPr>
          <w:szCs w:val="22"/>
          <w:lang w:val="ru-RU"/>
        </w:rPr>
        <w:t xml:space="preserve">  </w:t>
      </w:r>
      <w:r w:rsidR="0024616E" w:rsidRPr="0024616E">
        <w:rPr>
          <w:szCs w:val="22"/>
          <w:lang w:val="ru-RU"/>
        </w:rPr>
        <w:t xml:space="preserve">Идея данного предложения заключалась в том, чтобы в дополнение к собственным функциям </w:t>
      </w:r>
      <w:r w:rsidR="0024616E" w:rsidRPr="0024616E">
        <w:rPr>
          <w:szCs w:val="22"/>
        </w:rPr>
        <w:t>ICANN</w:t>
      </w:r>
      <w:r w:rsidR="0024616E" w:rsidRPr="0024616E">
        <w:rPr>
          <w:szCs w:val="22"/>
          <w:lang w:val="ru-RU"/>
        </w:rPr>
        <w:t xml:space="preserve"> по надзору за соблюдением прав обеспечить дополнительную стандартизированную помощь на основе административной альтернативы судебному разбирательству и содействия ответственному поведению соответствующих сторон и создание соответствующих </w:t>
      </w:r>
      <w:r w:rsidR="0024616E">
        <w:rPr>
          <w:szCs w:val="22"/>
          <w:lang w:val="ru-RU"/>
        </w:rPr>
        <w:t>«</w:t>
      </w:r>
      <w:r w:rsidR="0024616E" w:rsidRPr="0024616E">
        <w:rPr>
          <w:szCs w:val="22"/>
          <w:lang w:val="ru-RU"/>
        </w:rPr>
        <w:t>зон безопасности</w:t>
      </w:r>
      <w:r w:rsidR="0024616E">
        <w:rPr>
          <w:szCs w:val="22"/>
          <w:lang w:val="ru-RU"/>
        </w:rPr>
        <w:t>»</w:t>
      </w:r>
      <w:r w:rsidR="00192C16" w:rsidRPr="0024616E">
        <w:rPr>
          <w:szCs w:val="22"/>
          <w:lang w:val="ru-RU"/>
        </w:rPr>
        <w:t>.</w:t>
      </w:r>
      <w:r w:rsidR="00192C16" w:rsidRPr="006475B9">
        <w:rPr>
          <w:rStyle w:val="FootnoteReference"/>
          <w:szCs w:val="22"/>
        </w:rPr>
        <w:footnoteReference w:id="32"/>
      </w:r>
    </w:p>
    <w:p w:rsidR="00192C16" w:rsidRPr="0024616E" w:rsidRDefault="00192C16" w:rsidP="00192C16">
      <w:pPr>
        <w:rPr>
          <w:szCs w:val="22"/>
          <w:lang w:val="ru-RU"/>
        </w:rPr>
      </w:pPr>
    </w:p>
    <w:p w:rsidR="00192C16" w:rsidRPr="00D31AB3" w:rsidRDefault="00540828" w:rsidP="002D6B3B">
      <w:pPr>
        <w:pStyle w:val="ListParagraph"/>
        <w:numPr>
          <w:ilvl w:val="0"/>
          <w:numId w:val="10"/>
        </w:numPr>
        <w:ind w:left="0" w:firstLine="0"/>
        <w:rPr>
          <w:szCs w:val="22"/>
          <w:lang w:val="ru-RU"/>
        </w:rPr>
      </w:pPr>
      <w:r>
        <w:rPr>
          <w:szCs w:val="22"/>
          <w:lang w:val="ru-RU"/>
        </w:rPr>
        <w:t>П</w:t>
      </w:r>
      <w:r w:rsidR="00FA5899" w:rsidRPr="00FA5899">
        <w:rPr>
          <w:szCs w:val="22"/>
          <w:lang w:val="ru-RU"/>
        </w:rPr>
        <w:t xml:space="preserve">осле проведения различных процессов в рамках комитетов </w:t>
      </w:r>
      <w:r w:rsidR="00FA5899" w:rsidRPr="00FA5899">
        <w:rPr>
          <w:szCs w:val="22"/>
        </w:rPr>
        <w:t>ICANN</w:t>
      </w:r>
      <w:r w:rsidR="00FA5899" w:rsidRPr="00FA5899">
        <w:rPr>
          <w:szCs w:val="22"/>
          <w:lang w:val="ru-RU"/>
        </w:rPr>
        <w:t xml:space="preserve"> и консультаций с операторами реестров эффективность процедуры урегулирования споров после присуждения ДВУ</w:t>
      </w:r>
      <w:r w:rsidR="00FA5899" w:rsidRPr="00FA5899" w:rsidDel="005C6F6E">
        <w:rPr>
          <w:szCs w:val="22"/>
          <w:lang w:val="ru-RU"/>
        </w:rPr>
        <w:t xml:space="preserve"> </w:t>
      </w:r>
      <w:r w:rsidR="00FA5899" w:rsidRPr="00FA5899">
        <w:rPr>
          <w:szCs w:val="22"/>
          <w:lang w:val="ru-RU"/>
        </w:rPr>
        <w:t>(</w:t>
      </w:r>
      <w:r w:rsidR="00FA5899" w:rsidRPr="00FA5899">
        <w:rPr>
          <w:szCs w:val="22"/>
        </w:rPr>
        <w:t>PDDRP</w:t>
      </w:r>
      <w:r w:rsidR="00FA5899" w:rsidRPr="00FA5899">
        <w:rPr>
          <w:szCs w:val="22"/>
          <w:lang w:val="ru-RU"/>
        </w:rPr>
        <w:t xml:space="preserve">) в том виде, в каком она принята </w:t>
      </w:r>
      <w:r w:rsidR="00FA5899" w:rsidRPr="00FA5899">
        <w:rPr>
          <w:szCs w:val="22"/>
        </w:rPr>
        <w:t>ICANN</w:t>
      </w:r>
      <w:r w:rsidR="00FA5899" w:rsidRPr="00FA5899">
        <w:rPr>
          <w:szCs w:val="22"/>
          <w:lang w:val="ru-RU"/>
        </w:rPr>
        <w:t>, по-прежнему вызывает сомнения, в частности в том, что касается добавления дублирующих друг друга процедурных уровней и вопросов, связанных с планируемой сферой охвата этого механизма</w:t>
      </w:r>
      <w:r w:rsidR="00192C16" w:rsidRPr="00D31AB3">
        <w:rPr>
          <w:szCs w:val="22"/>
          <w:lang w:val="ru-RU"/>
        </w:rPr>
        <w:t xml:space="preserve">.  </w:t>
      </w:r>
      <w:r w:rsidR="00D31AB3" w:rsidRPr="00D31AB3">
        <w:rPr>
          <w:szCs w:val="22"/>
          <w:lang w:val="ru-RU"/>
        </w:rPr>
        <w:t xml:space="preserve">Несмотря на эту неопределенность, </w:t>
      </w:r>
      <w:r w:rsidR="00D31AB3">
        <w:rPr>
          <w:szCs w:val="22"/>
          <w:lang w:val="ru-RU"/>
        </w:rPr>
        <w:t>с учетом</w:t>
      </w:r>
      <w:r w:rsidR="00D31AB3" w:rsidRPr="00D31AB3">
        <w:rPr>
          <w:szCs w:val="22"/>
          <w:lang w:val="ru-RU"/>
        </w:rPr>
        <w:t xml:space="preserve"> соответствующих интересов, касающихся разработки мер регулирования, 18</w:t>
      </w:r>
      <w:r w:rsidR="00D31AB3">
        <w:rPr>
          <w:szCs w:val="22"/>
          <w:lang w:val="ru-RU"/>
        </w:rPr>
        <w:t> </w:t>
      </w:r>
      <w:r w:rsidR="00D31AB3" w:rsidRPr="00D31AB3">
        <w:rPr>
          <w:szCs w:val="22"/>
          <w:lang w:val="ru-RU"/>
        </w:rPr>
        <w:t>сентября 2013</w:t>
      </w:r>
      <w:r w:rsidR="00D31AB3">
        <w:rPr>
          <w:szCs w:val="22"/>
          <w:lang w:val="ru-RU"/>
        </w:rPr>
        <w:t> </w:t>
      </w:r>
      <w:r w:rsidR="00D31AB3" w:rsidRPr="00D31AB3">
        <w:rPr>
          <w:szCs w:val="22"/>
          <w:lang w:val="ru-RU"/>
        </w:rPr>
        <w:t>г.</w:t>
      </w:r>
      <w:r w:rsidR="00192C16" w:rsidRPr="00D31AB3">
        <w:rPr>
          <w:szCs w:val="22"/>
          <w:lang w:val="ru-RU"/>
        </w:rPr>
        <w:t xml:space="preserve"> </w:t>
      </w:r>
      <w:r w:rsidR="00D31AB3">
        <w:rPr>
          <w:szCs w:val="22"/>
          <w:lang w:val="ru-RU"/>
        </w:rPr>
        <w:t xml:space="preserve">Центр договорился с </w:t>
      </w:r>
      <w:r w:rsidR="00192C16" w:rsidRPr="00C74D6B">
        <w:rPr>
          <w:szCs w:val="22"/>
        </w:rPr>
        <w:t>ICANN</w:t>
      </w:r>
      <w:r w:rsidR="00192C16" w:rsidRPr="00D31AB3">
        <w:rPr>
          <w:szCs w:val="22"/>
          <w:lang w:val="ru-RU"/>
        </w:rPr>
        <w:t xml:space="preserve"> </w:t>
      </w:r>
      <w:r w:rsidR="00D31AB3">
        <w:rPr>
          <w:szCs w:val="22"/>
          <w:lang w:val="ru-RU"/>
        </w:rPr>
        <w:t xml:space="preserve">о </w:t>
      </w:r>
      <w:r w:rsidR="00D31AB3" w:rsidRPr="00D31AB3">
        <w:rPr>
          <w:szCs w:val="22"/>
          <w:lang w:val="ru-RU"/>
        </w:rPr>
        <w:t xml:space="preserve">рассмотрении споров по процедуре </w:t>
      </w:r>
      <w:r w:rsidR="00275AE9" w:rsidRPr="00275AE9">
        <w:rPr>
          <w:szCs w:val="22"/>
        </w:rPr>
        <w:t>PDDRP</w:t>
      </w:r>
      <w:r w:rsidR="00D31AB3">
        <w:rPr>
          <w:szCs w:val="22"/>
          <w:lang w:val="ru-RU"/>
        </w:rPr>
        <w:t xml:space="preserve"> </w:t>
      </w:r>
      <w:r>
        <w:rPr>
          <w:szCs w:val="22"/>
          <w:lang w:val="ru-RU"/>
        </w:rPr>
        <w:t xml:space="preserve">применительно к </w:t>
      </w:r>
      <w:r w:rsidR="00D31AB3" w:rsidRPr="00D31AB3">
        <w:rPr>
          <w:szCs w:val="22"/>
          <w:lang w:val="ru-RU"/>
        </w:rPr>
        <w:t>товарны</w:t>
      </w:r>
      <w:r>
        <w:rPr>
          <w:szCs w:val="22"/>
          <w:lang w:val="ru-RU"/>
        </w:rPr>
        <w:t>м</w:t>
      </w:r>
      <w:r w:rsidR="00D31AB3" w:rsidRPr="00D31AB3">
        <w:rPr>
          <w:szCs w:val="22"/>
          <w:lang w:val="ru-RU"/>
        </w:rPr>
        <w:t xml:space="preserve"> знак</w:t>
      </w:r>
      <w:r>
        <w:rPr>
          <w:szCs w:val="22"/>
          <w:lang w:val="ru-RU"/>
        </w:rPr>
        <w:t>ам</w:t>
      </w:r>
      <w:r w:rsidR="00192C16" w:rsidRPr="00D31AB3">
        <w:rPr>
          <w:szCs w:val="22"/>
          <w:lang w:val="ru-RU"/>
        </w:rPr>
        <w:t>.</w:t>
      </w:r>
    </w:p>
    <w:p w:rsidR="00192C16" w:rsidRPr="00273089" w:rsidRDefault="00273089" w:rsidP="000A537D">
      <w:pPr>
        <w:pStyle w:val="Heading3"/>
        <w:numPr>
          <w:ilvl w:val="0"/>
          <w:numId w:val="26"/>
        </w:numPr>
        <w:ind w:left="1080" w:hanging="530"/>
        <w:rPr>
          <w:u w:val="none"/>
          <w:lang w:val="ru-RU"/>
        </w:rPr>
      </w:pPr>
      <w:r w:rsidRPr="00273089">
        <w:rPr>
          <w:u w:val="none"/>
          <w:lang w:val="ru-RU"/>
        </w:rPr>
        <w:t>М</w:t>
      </w:r>
      <w:r>
        <w:rPr>
          <w:u w:val="none"/>
          <w:lang w:val="ru-RU"/>
        </w:rPr>
        <w:t>ОП</w:t>
      </w:r>
      <w:r w:rsidRPr="00273089">
        <w:rPr>
          <w:u w:val="none"/>
          <w:lang w:val="ru-RU"/>
        </w:rPr>
        <w:t xml:space="preserve"> второ</w:t>
      </w:r>
      <w:r w:rsidR="00540828">
        <w:rPr>
          <w:u w:val="none"/>
          <w:lang w:val="ru-RU"/>
        </w:rPr>
        <w:t xml:space="preserve">го </w:t>
      </w:r>
      <w:r w:rsidRPr="00273089">
        <w:rPr>
          <w:u w:val="none"/>
          <w:lang w:val="ru-RU"/>
        </w:rPr>
        <w:t>уровн</w:t>
      </w:r>
      <w:r w:rsidR="00540828">
        <w:rPr>
          <w:u w:val="none"/>
          <w:lang w:val="ru-RU"/>
        </w:rPr>
        <w:t>я</w:t>
      </w:r>
    </w:p>
    <w:p w:rsidR="00192C16" w:rsidRPr="00455CF4" w:rsidRDefault="00455CF4" w:rsidP="000A537D">
      <w:pPr>
        <w:pStyle w:val="Heading3"/>
        <w:numPr>
          <w:ilvl w:val="2"/>
          <w:numId w:val="10"/>
        </w:numPr>
        <w:ind w:left="1620" w:hanging="540"/>
        <w:rPr>
          <w:szCs w:val="22"/>
          <w:lang w:val="ru-RU"/>
        </w:rPr>
      </w:pPr>
      <w:r w:rsidRPr="00455CF4">
        <w:rPr>
          <w:szCs w:val="22"/>
          <w:lang w:val="ru-RU"/>
        </w:rPr>
        <w:t>Центр обмена информацией о товарных знаках</w:t>
      </w:r>
    </w:p>
    <w:p w:rsidR="00192C16" w:rsidRPr="00455CF4" w:rsidRDefault="00192C16" w:rsidP="00192C16">
      <w:pPr>
        <w:pStyle w:val="Heading3"/>
        <w:keepLines/>
        <w:spacing w:before="0" w:after="0"/>
        <w:rPr>
          <w:szCs w:val="22"/>
          <w:u w:val="none"/>
          <w:lang w:val="ru-RU"/>
        </w:rPr>
      </w:pPr>
    </w:p>
    <w:p w:rsidR="00192C16" w:rsidRPr="00B16159" w:rsidRDefault="00D73105" w:rsidP="00C74D6B">
      <w:pPr>
        <w:pStyle w:val="ListParagraph"/>
        <w:numPr>
          <w:ilvl w:val="0"/>
          <w:numId w:val="10"/>
        </w:numPr>
        <w:ind w:left="0" w:firstLine="0"/>
        <w:rPr>
          <w:lang w:val="ru-RU"/>
        </w:rPr>
      </w:pPr>
      <w:r w:rsidRPr="00D73105">
        <w:rPr>
          <w:lang w:val="ru-RU"/>
        </w:rPr>
        <w:t xml:space="preserve">Программа </w:t>
      </w:r>
      <w:r w:rsidRPr="00D73105">
        <w:t>ICANN</w:t>
      </w:r>
      <w:r w:rsidRPr="00D73105">
        <w:rPr>
          <w:lang w:val="ru-RU"/>
        </w:rPr>
        <w:t xml:space="preserve"> по введению новых рДВУ предусматривает создание Центра обмена информацией о товарных знаках</w:t>
      </w:r>
      <w:r w:rsidR="004C1D33">
        <w:rPr>
          <w:lang w:val="ru-RU"/>
        </w:rPr>
        <w:t>,</w:t>
      </w:r>
      <w:r w:rsidRPr="00D73105">
        <w:rPr>
          <w:lang w:val="ru-RU"/>
        </w:rPr>
        <w:t xml:space="preserve"> централизованного хранилища проверенных данных о товарных знаках, на которые можно ссылаться в качестве основы для подачи заявок в соответствии с </w:t>
      </w:r>
      <w:r>
        <w:rPr>
          <w:lang w:val="ru-RU"/>
        </w:rPr>
        <w:t>МОП</w:t>
      </w:r>
      <w:r w:rsidRPr="00D73105">
        <w:rPr>
          <w:lang w:val="ru-RU"/>
        </w:rPr>
        <w:t>, связанных с введением новых рДВУ</w:t>
      </w:r>
      <w:r w:rsidR="00192C16" w:rsidRPr="00D73105">
        <w:rPr>
          <w:lang w:val="ru-RU"/>
        </w:rPr>
        <w:t>.</w:t>
      </w:r>
      <w:r w:rsidR="00192C16" w:rsidRPr="006475B9">
        <w:rPr>
          <w:rStyle w:val="FootnoteReference"/>
        </w:rPr>
        <w:footnoteReference w:id="33"/>
      </w:r>
      <w:r w:rsidR="00192C16" w:rsidRPr="00D73105">
        <w:rPr>
          <w:lang w:val="ru-RU"/>
        </w:rPr>
        <w:t xml:space="preserve">  </w:t>
      </w:r>
      <w:r w:rsidRPr="00D73105">
        <w:rPr>
          <w:lang w:val="ru-RU"/>
        </w:rPr>
        <w:t xml:space="preserve">Утверждение этой </w:t>
      </w:r>
      <w:r w:rsidRPr="00D73105">
        <w:rPr>
          <w:lang w:val="ru-RU"/>
        </w:rPr>
        <w:lastRenderedPageBreak/>
        <w:t xml:space="preserve">концепции сопровождалось развернутыми дискуссиями в рамках </w:t>
      </w:r>
      <w:r w:rsidRPr="00D73105">
        <w:t>ICANN</w:t>
      </w:r>
      <w:r w:rsidRPr="00D73105">
        <w:rPr>
          <w:lang w:val="ru-RU"/>
        </w:rPr>
        <w:t>, которые касались, в частности, порядка вынесения решений ведомствами по товарным знакам.  Центр сообщил, что создание такого рода Центра не должно налагать неоправданного бремени на правообладателей при оформлении регистрации на товарные знаки, которая была законным образом приобретена посредством обращения к экспертным и регистрационным системам, как это принято во многих странах мира, и при необходимости могут быть предусмотрены практические меры по выявлению всех случаев, когда предположительно имело место ненадлежащее применение прав в конкретных условиях</w:t>
      </w:r>
      <w:r w:rsidR="00B16159">
        <w:rPr>
          <w:lang w:val="ru-RU"/>
        </w:rPr>
        <w:t>.</w:t>
      </w:r>
      <w:r w:rsidR="007F64F8" w:rsidRPr="00D73105">
        <w:rPr>
          <w:lang w:val="ru-RU"/>
        </w:rPr>
        <w:t xml:space="preserve">  </w:t>
      </w:r>
      <w:r w:rsidR="00B16159" w:rsidRPr="00B16159">
        <w:rPr>
          <w:lang w:val="ru-RU"/>
        </w:rPr>
        <w:t>Центр обмена информацией открыт для подачи и подтверждения товарных знаков с марта 2013</w:t>
      </w:r>
      <w:r w:rsidR="00B16159">
        <w:rPr>
          <w:lang w:val="ru-RU"/>
        </w:rPr>
        <w:t> </w:t>
      </w:r>
      <w:r w:rsidR="00B16159" w:rsidRPr="00B16159">
        <w:rPr>
          <w:lang w:val="ru-RU"/>
        </w:rPr>
        <w:t>г.</w:t>
      </w:r>
      <w:r w:rsidR="00192C16" w:rsidRPr="006475B9">
        <w:rPr>
          <w:rStyle w:val="FootnoteReference"/>
          <w:szCs w:val="22"/>
        </w:rPr>
        <w:footnoteReference w:id="34"/>
      </w:r>
      <w:r w:rsidR="00E749A5">
        <w:rPr>
          <w:lang w:val="ru-RU"/>
        </w:rPr>
        <w:t>;</w:t>
      </w:r>
      <w:r w:rsidR="00B16159">
        <w:rPr>
          <w:lang w:val="ru-RU"/>
        </w:rPr>
        <w:t xml:space="preserve"> </w:t>
      </w:r>
      <w:r w:rsidR="00B16159" w:rsidRPr="00B16159">
        <w:rPr>
          <w:lang w:val="ru-RU"/>
        </w:rPr>
        <w:t>Центр</w:t>
      </w:r>
      <w:r w:rsidR="00E749A5">
        <w:rPr>
          <w:lang w:val="ru-RU"/>
        </w:rPr>
        <w:t xml:space="preserve"> ВОИС</w:t>
      </w:r>
      <w:r w:rsidR="00B16159" w:rsidRPr="00B16159">
        <w:rPr>
          <w:lang w:val="ru-RU"/>
        </w:rPr>
        <w:t xml:space="preserve"> продолжает </w:t>
      </w:r>
      <w:r w:rsidR="00B16159">
        <w:rPr>
          <w:lang w:val="ru-RU"/>
        </w:rPr>
        <w:t xml:space="preserve">следить </w:t>
      </w:r>
      <w:r w:rsidR="00B16159" w:rsidRPr="00B16159">
        <w:rPr>
          <w:lang w:val="ru-RU"/>
        </w:rPr>
        <w:t xml:space="preserve">за </w:t>
      </w:r>
      <w:r w:rsidR="00B16159">
        <w:rPr>
          <w:lang w:val="ru-RU"/>
        </w:rPr>
        <w:t xml:space="preserve">ходом </w:t>
      </w:r>
      <w:r w:rsidR="00E749A5">
        <w:rPr>
          <w:lang w:val="ru-RU"/>
        </w:rPr>
        <w:t xml:space="preserve">использования </w:t>
      </w:r>
      <w:r w:rsidR="00B16159" w:rsidRPr="00B16159">
        <w:rPr>
          <w:lang w:val="ru-RU"/>
        </w:rPr>
        <w:t>данного механизма</w:t>
      </w:r>
      <w:r w:rsidR="00192C16" w:rsidRPr="00B16159">
        <w:rPr>
          <w:lang w:val="ru-RU"/>
        </w:rPr>
        <w:t>.</w:t>
      </w:r>
    </w:p>
    <w:p w:rsidR="00192C16" w:rsidRPr="00943638" w:rsidRDefault="00943638" w:rsidP="000A537D">
      <w:pPr>
        <w:pStyle w:val="Heading3"/>
        <w:keepNext w:val="0"/>
        <w:numPr>
          <w:ilvl w:val="2"/>
          <w:numId w:val="10"/>
        </w:numPr>
        <w:ind w:left="1620" w:hanging="540"/>
        <w:rPr>
          <w:color w:val="000000"/>
          <w:szCs w:val="22"/>
          <w:lang w:val="ru-RU"/>
        </w:rPr>
      </w:pPr>
      <w:r w:rsidRPr="00943638">
        <w:rPr>
          <w:szCs w:val="22"/>
          <w:lang w:val="ru-RU"/>
        </w:rPr>
        <w:t>Единая система быстрого приостановления действия</w:t>
      </w:r>
      <w:r>
        <w:rPr>
          <w:szCs w:val="22"/>
          <w:lang w:val="ru-RU"/>
        </w:rPr>
        <w:t xml:space="preserve"> (</w:t>
      </w:r>
      <w:r>
        <w:rPr>
          <w:szCs w:val="22"/>
        </w:rPr>
        <w:t>URS</w:t>
      </w:r>
      <w:r>
        <w:rPr>
          <w:szCs w:val="22"/>
          <w:lang w:val="ru-RU"/>
        </w:rPr>
        <w:t>)</w:t>
      </w:r>
    </w:p>
    <w:p w:rsidR="00192C16" w:rsidRPr="00943638" w:rsidRDefault="00192C16" w:rsidP="00192C16">
      <w:pPr>
        <w:rPr>
          <w:szCs w:val="22"/>
          <w:lang w:val="ru-RU"/>
        </w:rPr>
      </w:pPr>
    </w:p>
    <w:p w:rsidR="00192C16" w:rsidRPr="004F56EF" w:rsidRDefault="004F56EF" w:rsidP="000A537D">
      <w:pPr>
        <w:pStyle w:val="ListParagraph"/>
        <w:numPr>
          <w:ilvl w:val="0"/>
          <w:numId w:val="10"/>
        </w:numPr>
        <w:ind w:left="0" w:firstLine="0"/>
        <w:rPr>
          <w:lang w:val="ru-RU"/>
        </w:rPr>
      </w:pPr>
      <w:r w:rsidRPr="004F56EF">
        <w:rPr>
          <w:lang w:val="ru-RU"/>
        </w:rPr>
        <w:t xml:space="preserve">Хотя - что весьма важно, - ЕПУС остается корректирующим средством при рассмотрении споров вокруг новых рДВУ, связанных с рассматриваемой передачей оспариваемого доменного имени владельцу товарного знака, </w:t>
      </w:r>
      <w:r w:rsidRPr="004F56EF">
        <w:t>ICANN</w:t>
      </w:r>
      <w:r w:rsidRPr="004F56EF">
        <w:rPr>
          <w:lang w:val="ru-RU"/>
        </w:rPr>
        <w:t xml:space="preserve"> внедрила </w:t>
      </w:r>
      <w:r w:rsidR="00D95840">
        <w:rPr>
          <w:lang w:val="ru-RU"/>
        </w:rPr>
        <w:t>механизм</w:t>
      </w:r>
      <w:r w:rsidRPr="004F56EF">
        <w:rPr>
          <w:lang w:val="ru-RU"/>
        </w:rPr>
        <w:t xml:space="preserve">, </w:t>
      </w:r>
      <w:r w:rsidR="00D95840">
        <w:rPr>
          <w:lang w:val="ru-RU"/>
        </w:rPr>
        <w:t>призванный</w:t>
      </w:r>
      <w:r w:rsidRPr="004F56EF">
        <w:rPr>
          <w:lang w:val="ru-RU"/>
        </w:rPr>
        <w:t xml:space="preserve"> </w:t>
      </w:r>
      <w:r w:rsidR="00D95840">
        <w:rPr>
          <w:lang w:val="ru-RU"/>
        </w:rPr>
        <w:t>упростить</w:t>
      </w:r>
      <w:r w:rsidRPr="004F56EF">
        <w:rPr>
          <w:lang w:val="ru-RU"/>
        </w:rPr>
        <w:t xml:space="preserve"> охран</w:t>
      </w:r>
      <w:r w:rsidR="00D95840">
        <w:rPr>
          <w:lang w:val="ru-RU"/>
        </w:rPr>
        <w:t>у</w:t>
      </w:r>
      <w:r w:rsidRPr="004F56EF">
        <w:rPr>
          <w:lang w:val="ru-RU"/>
        </w:rPr>
        <w:t xml:space="preserve"> прав второго уровня при рассмотрении соответствующих </w:t>
      </w:r>
      <w:r w:rsidR="00D95840">
        <w:rPr>
          <w:lang w:val="ru-RU"/>
        </w:rPr>
        <w:t>споров</w:t>
      </w:r>
      <w:r w:rsidR="00192C16" w:rsidRPr="004F56EF">
        <w:rPr>
          <w:lang w:val="ru-RU"/>
        </w:rPr>
        <w:t>.</w:t>
      </w:r>
      <w:r w:rsidR="007F64F8" w:rsidRPr="006475B9">
        <w:rPr>
          <w:vertAlign w:val="superscript"/>
        </w:rPr>
        <w:footnoteReference w:id="35"/>
      </w:r>
    </w:p>
    <w:p w:rsidR="007F64F8" w:rsidRPr="004F56EF" w:rsidRDefault="007F64F8" w:rsidP="00192C16">
      <w:pPr>
        <w:rPr>
          <w:szCs w:val="22"/>
          <w:lang w:val="ru-RU"/>
        </w:rPr>
      </w:pPr>
    </w:p>
    <w:p w:rsidR="00192C16" w:rsidRPr="00684A5D" w:rsidRDefault="00851EC3" w:rsidP="000A537D">
      <w:pPr>
        <w:pStyle w:val="ListParagraph"/>
        <w:numPr>
          <w:ilvl w:val="0"/>
          <w:numId w:val="10"/>
        </w:numPr>
        <w:ind w:left="0" w:firstLine="0"/>
        <w:rPr>
          <w:lang w:val="ru-RU"/>
        </w:rPr>
      </w:pPr>
      <w:r>
        <w:rPr>
          <w:lang w:val="ru-RU"/>
        </w:rPr>
        <w:t>Хотя</w:t>
      </w:r>
      <w:r w:rsidRPr="00851EC3">
        <w:rPr>
          <w:lang w:val="ru-RU"/>
        </w:rPr>
        <w:t xml:space="preserve"> </w:t>
      </w:r>
      <w:r w:rsidR="00192C16" w:rsidRPr="006475B9">
        <w:t>URS</w:t>
      </w:r>
      <w:r>
        <w:rPr>
          <w:lang w:val="ru-RU"/>
        </w:rPr>
        <w:t xml:space="preserve">, </w:t>
      </w:r>
      <w:r w:rsidR="00684A5D">
        <w:rPr>
          <w:lang w:val="ru-RU"/>
        </w:rPr>
        <w:t xml:space="preserve">появившаяся в результате </w:t>
      </w:r>
      <w:r w:rsidRPr="00851EC3">
        <w:rPr>
          <w:lang w:val="ru-RU"/>
        </w:rPr>
        <w:t xml:space="preserve">целого ряда процессов и заседаний комитетов в рамках </w:t>
      </w:r>
      <w:r w:rsidRPr="00851EC3">
        <w:t>ICANN</w:t>
      </w:r>
      <w:r w:rsidRPr="00851EC3">
        <w:rPr>
          <w:lang w:val="ru-RU"/>
        </w:rPr>
        <w:t xml:space="preserve">, </w:t>
      </w:r>
      <w:r>
        <w:rPr>
          <w:lang w:val="ru-RU"/>
        </w:rPr>
        <w:t>по мнению многих, превратилась в</w:t>
      </w:r>
      <w:r w:rsidRPr="00851EC3">
        <w:rPr>
          <w:lang w:val="ru-RU"/>
        </w:rPr>
        <w:t xml:space="preserve"> слишком громоздк</w:t>
      </w:r>
      <w:r>
        <w:rPr>
          <w:lang w:val="ru-RU"/>
        </w:rPr>
        <w:t>ую</w:t>
      </w:r>
      <w:r w:rsidRPr="00851EC3">
        <w:rPr>
          <w:lang w:val="ru-RU"/>
        </w:rPr>
        <w:t xml:space="preserve"> процедур</w:t>
      </w:r>
      <w:r>
        <w:rPr>
          <w:lang w:val="ru-RU"/>
        </w:rPr>
        <w:t>у</w:t>
      </w:r>
      <w:r w:rsidRPr="00851EC3">
        <w:rPr>
          <w:lang w:val="ru-RU"/>
        </w:rPr>
        <w:t>, обеспечивающ</w:t>
      </w:r>
      <w:r>
        <w:rPr>
          <w:lang w:val="ru-RU"/>
        </w:rPr>
        <w:t>ую</w:t>
      </w:r>
      <w:r w:rsidRPr="00851EC3">
        <w:rPr>
          <w:lang w:val="ru-RU"/>
        </w:rPr>
        <w:t xml:space="preserve"> лишь ограниченную защиту</w:t>
      </w:r>
      <w:r>
        <w:rPr>
          <w:lang w:val="ru-RU"/>
        </w:rPr>
        <w:t>,</w:t>
      </w:r>
      <w:r w:rsidRPr="00851EC3">
        <w:rPr>
          <w:lang w:val="ru-RU"/>
        </w:rPr>
        <w:t xml:space="preserve"> </w:t>
      </w:r>
      <w:r>
        <w:rPr>
          <w:lang w:val="ru-RU"/>
        </w:rPr>
        <w:t>с появлением новых рДВУ этот механизм на</w:t>
      </w:r>
      <w:r w:rsidR="00684A5D">
        <w:rPr>
          <w:lang w:val="ru-RU"/>
        </w:rPr>
        <w:t>конец заработал</w:t>
      </w:r>
      <w:r>
        <w:rPr>
          <w:lang w:val="ru-RU"/>
        </w:rPr>
        <w:t>.  С</w:t>
      </w:r>
      <w:r w:rsidRPr="00851EC3">
        <w:rPr>
          <w:lang w:val="ru-RU"/>
        </w:rPr>
        <w:t xml:space="preserve">охраняются вопросы относительно того, насколько эффективно </w:t>
      </w:r>
      <w:r w:rsidRPr="00851EC3">
        <w:t>URS</w:t>
      </w:r>
      <w:r w:rsidR="00684A5D">
        <w:rPr>
          <w:lang w:val="ru-RU"/>
        </w:rPr>
        <w:t xml:space="preserve"> покажет себя</w:t>
      </w:r>
      <w:r w:rsidRPr="00851EC3">
        <w:rPr>
          <w:lang w:val="ru-RU"/>
        </w:rPr>
        <w:t xml:space="preserve"> в качестве действенного и обладающего исковой силой дополнения </w:t>
      </w:r>
      <w:r w:rsidR="00684A5D">
        <w:rPr>
          <w:lang w:val="ru-RU"/>
        </w:rPr>
        <w:t xml:space="preserve">к </w:t>
      </w:r>
      <w:r w:rsidRPr="00851EC3">
        <w:rPr>
          <w:lang w:val="ru-RU"/>
        </w:rPr>
        <w:t>ЕПУС, представляющей собой альтернативу судебному разбирательству, и в этой связи предстоит р</w:t>
      </w:r>
      <w:r w:rsidR="00684A5D">
        <w:rPr>
          <w:lang w:val="ru-RU"/>
        </w:rPr>
        <w:t xml:space="preserve">ассмотреть </w:t>
      </w:r>
      <w:r w:rsidRPr="00851EC3">
        <w:rPr>
          <w:lang w:val="ru-RU"/>
        </w:rPr>
        <w:t xml:space="preserve">целый ряд </w:t>
      </w:r>
      <w:r w:rsidR="00684A5D">
        <w:rPr>
          <w:lang w:val="ru-RU"/>
        </w:rPr>
        <w:t>м</w:t>
      </w:r>
      <w:r w:rsidRPr="00851EC3">
        <w:rPr>
          <w:lang w:val="ru-RU"/>
        </w:rPr>
        <w:t>о</w:t>
      </w:r>
      <w:r w:rsidR="00684A5D">
        <w:rPr>
          <w:lang w:val="ru-RU"/>
        </w:rPr>
        <w:t>ментов</w:t>
      </w:r>
      <w:r w:rsidRPr="00851EC3">
        <w:rPr>
          <w:lang w:val="ru-RU"/>
        </w:rPr>
        <w:t>, включая взаимосвязь</w:t>
      </w:r>
      <w:r w:rsidR="00684A5D">
        <w:rPr>
          <w:lang w:val="ru-RU"/>
        </w:rPr>
        <w:t xml:space="preserve"> системы </w:t>
      </w:r>
      <w:r w:rsidR="00684A5D">
        <w:t>URS</w:t>
      </w:r>
      <w:r w:rsidRPr="00851EC3">
        <w:rPr>
          <w:lang w:val="ru-RU"/>
        </w:rPr>
        <w:t xml:space="preserve"> с ЕПУС</w:t>
      </w:r>
      <w:r w:rsidR="00192C16" w:rsidRPr="00851EC3">
        <w:rPr>
          <w:lang w:val="ru-RU"/>
        </w:rPr>
        <w:t>.</w:t>
      </w:r>
      <w:r w:rsidR="00192C16" w:rsidRPr="006475B9">
        <w:rPr>
          <w:rStyle w:val="FootnoteReference"/>
          <w:szCs w:val="22"/>
        </w:rPr>
        <w:footnoteReference w:id="36"/>
      </w:r>
      <w:r w:rsidR="00192C16" w:rsidRPr="00851EC3">
        <w:rPr>
          <w:lang w:val="ru-RU"/>
        </w:rPr>
        <w:t xml:space="preserve">  </w:t>
      </w:r>
      <w:r w:rsidR="00A25361" w:rsidRPr="00A25361">
        <w:rPr>
          <w:lang w:val="ru-RU"/>
        </w:rPr>
        <w:t xml:space="preserve">В конце 2012 г. </w:t>
      </w:r>
      <w:r w:rsidR="00A25361" w:rsidRPr="00A25361">
        <w:t>ICANN</w:t>
      </w:r>
      <w:r w:rsidR="00A25361" w:rsidRPr="00A25361">
        <w:rPr>
          <w:lang w:val="ru-RU"/>
        </w:rPr>
        <w:t xml:space="preserve"> запросила конкурсные заявки от потенциальных провайдеров услуг в связи с </w:t>
      </w:r>
      <w:r w:rsidR="00A25361" w:rsidRPr="00A25361">
        <w:t>URS</w:t>
      </w:r>
      <w:r w:rsidR="00A25361">
        <w:rPr>
          <w:lang w:val="ru-RU"/>
        </w:rPr>
        <w:t>;  п</w:t>
      </w:r>
      <w:r w:rsidR="00A25361" w:rsidRPr="00A25361">
        <w:rPr>
          <w:lang w:val="ru-RU"/>
        </w:rPr>
        <w:t xml:space="preserve">осле тщательного рассмотрения принятой </w:t>
      </w:r>
      <w:r w:rsidR="00A25361" w:rsidRPr="00A25361">
        <w:t>ICANN</w:t>
      </w:r>
      <w:r w:rsidR="00A25361" w:rsidRPr="00A25361">
        <w:rPr>
          <w:lang w:val="ru-RU"/>
        </w:rPr>
        <w:t xml:space="preserve"> </w:t>
      </w:r>
      <w:r w:rsidR="00A25361" w:rsidRPr="00A25361">
        <w:rPr>
          <w:lang w:val="ru-RU"/>
        </w:rPr>
        <w:lastRenderedPageBreak/>
        <w:t xml:space="preserve">модели </w:t>
      </w:r>
      <w:r w:rsidR="00A25361" w:rsidRPr="00A25361">
        <w:t>URS</w:t>
      </w:r>
      <w:r w:rsidR="00A25361" w:rsidRPr="00A25361">
        <w:rPr>
          <w:lang w:val="ru-RU"/>
        </w:rPr>
        <w:t xml:space="preserve"> и смежных вопросов, касающихся ресурсов, Центр не стал подавать заявку</w:t>
      </w:r>
      <w:r w:rsidR="00192C16" w:rsidRPr="00A25361">
        <w:rPr>
          <w:lang w:val="ru-RU"/>
        </w:rPr>
        <w:t>.</w:t>
      </w:r>
      <w:r w:rsidR="00192C16" w:rsidRPr="006475B9">
        <w:rPr>
          <w:rStyle w:val="FootnoteReference"/>
        </w:rPr>
        <w:footnoteReference w:id="37"/>
      </w:r>
      <w:r w:rsidR="00192C16" w:rsidRPr="00A25361">
        <w:rPr>
          <w:lang w:val="ru-RU"/>
        </w:rPr>
        <w:t xml:space="preserve">  </w:t>
      </w:r>
      <w:r w:rsidR="00475758" w:rsidRPr="00475758">
        <w:rPr>
          <w:lang w:val="ru-RU"/>
        </w:rPr>
        <w:t xml:space="preserve">Центр </w:t>
      </w:r>
      <w:r w:rsidR="00684A5D">
        <w:rPr>
          <w:lang w:val="ru-RU"/>
        </w:rPr>
        <w:t xml:space="preserve">ВОИС </w:t>
      </w:r>
      <w:r w:rsidR="00475758" w:rsidRPr="00475758">
        <w:rPr>
          <w:lang w:val="ru-RU"/>
        </w:rPr>
        <w:t>продолжает пристально следить за развитием событий</w:t>
      </w:r>
      <w:r w:rsidR="009161C8" w:rsidRPr="00684A5D">
        <w:rPr>
          <w:lang w:val="ru-RU"/>
        </w:rPr>
        <w:t>.</w:t>
      </w:r>
    </w:p>
    <w:p w:rsidR="00192C16" w:rsidRPr="00684A5D" w:rsidRDefault="00192C16" w:rsidP="00192C16">
      <w:pPr>
        <w:rPr>
          <w:lang w:val="ru-RU"/>
        </w:rPr>
      </w:pPr>
    </w:p>
    <w:p w:rsidR="00192C16" w:rsidRPr="00E53D4E" w:rsidRDefault="00E53D4E" w:rsidP="000A537D">
      <w:pPr>
        <w:pStyle w:val="Heading2"/>
        <w:spacing w:before="0" w:after="0"/>
        <w:ind w:left="567" w:hanging="387"/>
        <w:rPr>
          <w:szCs w:val="22"/>
          <w:lang w:val="ru-RU"/>
        </w:rPr>
      </w:pPr>
      <w:r w:rsidRPr="00E53D4E">
        <w:rPr>
          <w:szCs w:val="22"/>
          <w:lang w:val="ru-RU"/>
        </w:rPr>
        <w:t xml:space="preserve">ПЛАНИРУЕМЫЙ </w:t>
      </w:r>
      <w:r w:rsidRPr="00E53D4E">
        <w:rPr>
          <w:szCs w:val="22"/>
        </w:rPr>
        <w:t>ICANN</w:t>
      </w:r>
      <w:r w:rsidRPr="00E53D4E">
        <w:rPr>
          <w:szCs w:val="22"/>
          <w:lang w:val="ru-RU"/>
        </w:rPr>
        <w:t xml:space="preserve"> КРИТИЧЕСКИЙ АНАЛИЗ РАЗРАБОТАННОЙ ВОИС ЕПУС И РАБОЧАЯ ГРУППА ПО ВОПРОСАМ «ФИКСАЦИИ» В РАМКАХ ЕПУС</w:t>
      </w:r>
    </w:p>
    <w:p w:rsidR="00192C16" w:rsidRPr="00E53D4E" w:rsidRDefault="00192C16" w:rsidP="00192C16">
      <w:pPr>
        <w:keepNext/>
        <w:keepLines/>
        <w:ind w:firstLine="567"/>
        <w:rPr>
          <w:bCs/>
          <w:color w:val="000000"/>
          <w:szCs w:val="22"/>
          <w:lang w:val="ru-RU"/>
        </w:rPr>
      </w:pPr>
    </w:p>
    <w:p w:rsidR="00192C16" w:rsidRPr="005F01DF" w:rsidRDefault="00E2104E" w:rsidP="000A537D">
      <w:pPr>
        <w:pStyle w:val="ListParagraph"/>
        <w:numPr>
          <w:ilvl w:val="0"/>
          <w:numId w:val="10"/>
        </w:numPr>
        <w:ind w:left="0" w:firstLine="0"/>
        <w:rPr>
          <w:lang w:val="ru-RU"/>
        </w:rPr>
      </w:pPr>
      <w:r w:rsidRPr="00E2104E">
        <w:rPr>
          <w:lang w:val="ru-RU"/>
        </w:rPr>
        <w:t xml:space="preserve">Учитывая динамичное развитие </w:t>
      </w:r>
      <w:r w:rsidRPr="00E2104E">
        <w:t>DNS</w:t>
      </w:r>
      <w:r w:rsidRPr="00E2104E">
        <w:rPr>
          <w:lang w:val="ru-RU"/>
        </w:rPr>
        <w:t>, ЕПУС предлагает владельцам товарных знаков, владельцам регистрации доменных имен и органам регистрации эффективную альтернативу судебному разбирательству.  Тем не менее после состоявшихся обсуждений, на которых явное большинство участников высказали мнение, что любо</w:t>
      </w:r>
      <w:r w:rsidR="00875CBA">
        <w:rPr>
          <w:lang w:val="ru-RU"/>
        </w:rPr>
        <w:t>е</w:t>
      </w:r>
      <w:r w:rsidRPr="00E2104E">
        <w:rPr>
          <w:lang w:val="ru-RU"/>
        </w:rPr>
        <w:t xml:space="preserve"> </w:t>
      </w:r>
      <w:r w:rsidR="00875CBA">
        <w:rPr>
          <w:lang w:val="ru-RU"/>
        </w:rPr>
        <w:t xml:space="preserve">изменение </w:t>
      </w:r>
      <w:r w:rsidRPr="00E2104E">
        <w:rPr>
          <w:lang w:val="ru-RU"/>
        </w:rPr>
        <w:t>ЕПУС</w:t>
      </w:r>
      <w:r w:rsidR="00875CBA">
        <w:rPr>
          <w:lang w:val="ru-RU"/>
        </w:rPr>
        <w:t>, основанное на</w:t>
      </w:r>
      <w:r w:rsidR="00361F05">
        <w:rPr>
          <w:lang w:val="ru-RU"/>
        </w:rPr>
        <w:t xml:space="preserve"> стремлени</w:t>
      </w:r>
      <w:r w:rsidR="00875CBA">
        <w:rPr>
          <w:lang w:val="ru-RU"/>
        </w:rPr>
        <w:t>и</w:t>
      </w:r>
      <w:r w:rsidR="00361F05">
        <w:rPr>
          <w:lang w:val="ru-RU"/>
        </w:rPr>
        <w:t xml:space="preserve"> </w:t>
      </w:r>
      <w:r w:rsidR="00361F05">
        <w:t>ICANN</w:t>
      </w:r>
      <w:r w:rsidR="00361F05">
        <w:rPr>
          <w:lang w:val="ru-RU"/>
        </w:rPr>
        <w:t xml:space="preserve"> увеличить число регистраций</w:t>
      </w:r>
      <w:r w:rsidR="00192C16" w:rsidRPr="006475B9">
        <w:rPr>
          <w:rStyle w:val="FootnoteReference"/>
          <w:szCs w:val="22"/>
        </w:rPr>
        <w:footnoteReference w:id="38"/>
      </w:r>
      <w:r w:rsidR="00875CBA">
        <w:rPr>
          <w:lang w:val="ru-RU"/>
        </w:rPr>
        <w:t>,</w:t>
      </w:r>
      <w:r w:rsidR="00192C16" w:rsidRPr="00E2104E">
        <w:rPr>
          <w:lang w:val="ru-RU"/>
        </w:rPr>
        <w:t xml:space="preserve"> </w:t>
      </w:r>
      <w:r w:rsidR="00361F05" w:rsidRPr="00361F05">
        <w:rPr>
          <w:lang w:val="ru-RU"/>
        </w:rPr>
        <w:t xml:space="preserve">может принести больше вреда, чем пользы, </w:t>
      </w:r>
      <w:r w:rsidR="00361F05">
        <w:rPr>
          <w:lang w:val="ru-RU"/>
        </w:rPr>
        <w:t>Организация поддержки родовых названий (</w:t>
      </w:r>
      <w:r w:rsidR="00361F05" w:rsidRPr="00361F05">
        <w:t>GNSO</w:t>
      </w:r>
      <w:r w:rsidR="00361F05">
        <w:rPr>
          <w:lang w:val="ru-RU"/>
        </w:rPr>
        <w:t>)</w:t>
      </w:r>
      <w:r w:rsidR="00361F05" w:rsidRPr="00361F05">
        <w:rPr>
          <w:lang w:val="ru-RU"/>
        </w:rPr>
        <w:t xml:space="preserve"> </w:t>
      </w:r>
      <w:r w:rsidR="00361F05" w:rsidRPr="00361F05">
        <w:t>ICANN</w:t>
      </w:r>
      <w:r w:rsidR="00361F05" w:rsidRPr="00361F05">
        <w:rPr>
          <w:lang w:val="ru-RU"/>
        </w:rPr>
        <w:t xml:space="preserve"> приняла решение провести критический анализ ЕПУС на основе процесса, который планируется запустить в течение приблизительно 18</w:t>
      </w:r>
      <w:r w:rsidR="00875CBA">
        <w:rPr>
          <w:lang w:val="ru-RU"/>
        </w:rPr>
        <w:t> </w:t>
      </w:r>
      <w:r w:rsidR="00361F05" w:rsidRPr="00361F05">
        <w:rPr>
          <w:lang w:val="ru-RU"/>
        </w:rPr>
        <w:t>месяцев после присуждения первых новых рДВУ</w:t>
      </w:r>
      <w:r w:rsidR="00192C16" w:rsidRPr="00E2104E">
        <w:rPr>
          <w:lang w:val="ru-RU"/>
        </w:rPr>
        <w:t>.</w:t>
      </w:r>
      <w:r w:rsidR="00192C16" w:rsidRPr="006475B9">
        <w:rPr>
          <w:rStyle w:val="FootnoteReference"/>
          <w:szCs w:val="22"/>
        </w:rPr>
        <w:footnoteReference w:id="39"/>
      </w:r>
      <w:r w:rsidR="001E4B86" w:rsidRPr="00E2104E">
        <w:rPr>
          <w:lang w:val="ru-RU"/>
        </w:rPr>
        <w:t xml:space="preserve">  </w:t>
      </w:r>
      <w:r w:rsidR="005F01DF">
        <w:rPr>
          <w:lang w:val="ru-RU"/>
        </w:rPr>
        <w:t>Центр</w:t>
      </w:r>
      <w:r w:rsidR="005F01DF" w:rsidRPr="005F01DF">
        <w:rPr>
          <w:lang w:val="ru-RU"/>
        </w:rPr>
        <w:t xml:space="preserve"> </w:t>
      </w:r>
      <w:r w:rsidR="005F01DF">
        <w:rPr>
          <w:lang w:val="ru-RU"/>
        </w:rPr>
        <w:t>будет</w:t>
      </w:r>
      <w:r w:rsidR="005F01DF" w:rsidRPr="005F01DF">
        <w:rPr>
          <w:lang w:val="ru-RU"/>
        </w:rPr>
        <w:t xml:space="preserve"> </w:t>
      </w:r>
      <w:r w:rsidR="005F01DF">
        <w:rPr>
          <w:lang w:val="ru-RU"/>
        </w:rPr>
        <w:t>активно</w:t>
      </w:r>
      <w:r w:rsidR="005F01DF" w:rsidRPr="005F01DF">
        <w:rPr>
          <w:lang w:val="ru-RU"/>
        </w:rPr>
        <w:t xml:space="preserve"> </w:t>
      </w:r>
      <w:r w:rsidR="005F01DF">
        <w:rPr>
          <w:lang w:val="ru-RU"/>
        </w:rPr>
        <w:t>участвовать</w:t>
      </w:r>
      <w:r w:rsidR="005F01DF" w:rsidRPr="005F01DF">
        <w:rPr>
          <w:lang w:val="ru-RU"/>
        </w:rPr>
        <w:t xml:space="preserve"> </w:t>
      </w:r>
      <w:r w:rsidR="005F01DF">
        <w:rPr>
          <w:lang w:val="ru-RU"/>
        </w:rPr>
        <w:t>в</w:t>
      </w:r>
      <w:r w:rsidR="005F01DF" w:rsidRPr="005F01DF">
        <w:rPr>
          <w:lang w:val="ru-RU"/>
        </w:rPr>
        <w:t xml:space="preserve"> </w:t>
      </w:r>
      <w:r w:rsidR="005F01DF">
        <w:rPr>
          <w:lang w:val="ru-RU"/>
        </w:rPr>
        <w:t>любой</w:t>
      </w:r>
      <w:r w:rsidR="005F01DF" w:rsidRPr="005F01DF">
        <w:rPr>
          <w:lang w:val="ru-RU"/>
        </w:rPr>
        <w:t xml:space="preserve"> </w:t>
      </w:r>
      <w:r w:rsidR="005F01DF">
        <w:rPr>
          <w:lang w:val="ru-RU"/>
        </w:rPr>
        <w:t>работе</w:t>
      </w:r>
      <w:r w:rsidR="005F01DF" w:rsidRPr="005F01DF">
        <w:rPr>
          <w:lang w:val="ru-RU"/>
        </w:rPr>
        <w:t xml:space="preserve"> </w:t>
      </w:r>
      <w:r w:rsidR="005F01DF">
        <w:rPr>
          <w:lang w:val="ru-RU"/>
        </w:rPr>
        <w:t>по</w:t>
      </w:r>
      <w:r w:rsidR="005F01DF" w:rsidRPr="005F01DF">
        <w:rPr>
          <w:lang w:val="ru-RU"/>
        </w:rPr>
        <w:t xml:space="preserve"> </w:t>
      </w:r>
      <w:r w:rsidR="005F01DF">
        <w:rPr>
          <w:lang w:val="ru-RU"/>
        </w:rPr>
        <w:t>пересмотру</w:t>
      </w:r>
      <w:r w:rsidR="005F01DF" w:rsidRPr="005F01DF">
        <w:rPr>
          <w:lang w:val="ru-RU"/>
        </w:rPr>
        <w:t xml:space="preserve"> </w:t>
      </w:r>
      <w:r w:rsidR="005F01DF">
        <w:rPr>
          <w:lang w:val="ru-RU"/>
        </w:rPr>
        <w:t>в</w:t>
      </w:r>
      <w:r w:rsidR="005F01DF" w:rsidRPr="005F01DF">
        <w:rPr>
          <w:lang w:val="ru-RU"/>
        </w:rPr>
        <w:t xml:space="preserve"> </w:t>
      </w:r>
      <w:r w:rsidR="005F01DF">
        <w:rPr>
          <w:lang w:val="ru-RU"/>
        </w:rPr>
        <w:t>интересах ЕПУС</w:t>
      </w:r>
      <w:r w:rsidR="001E4B86" w:rsidRPr="005F01DF">
        <w:rPr>
          <w:lang w:val="ru-RU"/>
        </w:rPr>
        <w:t>.</w:t>
      </w:r>
      <w:r w:rsidR="001E4B86">
        <w:rPr>
          <w:rStyle w:val="FootnoteReference"/>
        </w:rPr>
        <w:footnoteReference w:id="40"/>
      </w:r>
    </w:p>
    <w:p w:rsidR="00192C16" w:rsidRPr="005F01DF" w:rsidRDefault="00192C16" w:rsidP="00192C16">
      <w:pPr>
        <w:rPr>
          <w:lang w:val="ru-RU"/>
        </w:rPr>
      </w:pPr>
    </w:p>
    <w:p w:rsidR="00192C16" w:rsidRDefault="000A537D" w:rsidP="000A537D">
      <w:pPr>
        <w:pStyle w:val="Heading2"/>
      </w:pPr>
      <w:r>
        <w:t>I</w:t>
      </w:r>
      <w:r w:rsidR="00BE5E66">
        <w:t>DNS</w:t>
      </w:r>
    </w:p>
    <w:p w:rsidR="007F64F8" w:rsidRPr="006475B9" w:rsidRDefault="007F64F8" w:rsidP="007F64F8">
      <w:pPr>
        <w:rPr>
          <w:color w:val="000000"/>
          <w:szCs w:val="22"/>
        </w:rPr>
      </w:pPr>
    </w:p>
    <w:p w:rsidR="00192C16" w:rsidRPr="00C67DE8" w:rsidRDefault="00C67DE8" w:rsidP="000A537D">
      <w:pPr>
        <w:pStyle w:val="ListParagraph"/>
        <w:widowControl w:val="0"/>
        <w:numPr>
          <w:ilvl w:val="0"/>
          <w:numId w:val="10"/>
        </w:numPr>
        <w:tabs>
          <w:tab w:val="left" w:pos="720"/>
        </w:tabs>
        <w:ind w:left="0" w:firstLine="0"/>
        <w:rPr>
          <w:szCs w:val="22"/>
          <w:lang w:val="ru-RU"/>
        </w:rPr>
      </w:pPr>
      <w:r w:rsidRPr="00C67DE8">
        <w:rPr>
          <w:szCs w:val="22"/>
          <w:lang w:val="ru-RU"/>
        </w:rPr>
        <w:t>Как было отмечено в пункте</w:t>
      </w:r>
      <w:r w:rsidRPr="00C67DE8">
        <w:rPr>
          <w:szCs w:val="22"/>
        </w:rPr>
        <w:t> </w:t>
      </w:r>
      <w:r w:rsidRPr="00C67DE8">
        <w:rPr>
          <w:szCs w:val="22"/>
          <w:lang w:val="ru-RU"/>
        </w:rPr>
        <w:t xml:space="preserve">2, еще одним важным шагом в области политики </w:t>
      </w:r>
      <w:r w:rsidRPr="00C67DE8">
        <w:rPr>
          <w:szCs w:val="22"/>
        </w:rPr>
        <w:t>DNS</w:t>
      </w:r>
      <w:r w:rsidRPr="00C67DE8">
        <w:rPr>
          <w:szCs w:val="22"/>
          <w:lang w:val="ru-RU"/>
        </w:rPr>
        <w:t xml:space="preserve"> </w:t>
      </w:r>
      <w:r>
        <w:rPr>
          <w:szCs w:val="22"/>
          <w:lang w:val="ru-RU"/>
        </w:rPr>
        <w:t>стало</w:t>
      </w:r>
      <w:r w:rsidRPr="00C67DE8">
        <w:rPr>
          <w:szCs w:val="22"/>
          <w:lang w:val="ru-RU"/>
        </w:rPr>
        <w:t xml:space="preserve"> введение </w:t>
      </w:r>
      <w:r w:rsidRPr="00C67DE8">
        <w:rPr>
          <w:szCs w:val="22"/>
        </w:rPr>
        <w:t>IDN</w:t>
      </w:r>
      <w:r w:rsidRPr="00C67DE8">
        <w:rPr>
          <w:szCs w:val="22"/>
          <w:lang w:val="ru-RU"/>
        </w:rPr>
        <w:t xml:space="preserve"> </w:t>
      </w:r>
      <w:r w:rsidR="0057466C">
        <w:rPr>
          <w:szCs w:val="22"/>
          <w:lang w:val="ru-RU"/>
        </w:rPr>
        <w:t xml:space="preserve">верхнего уровня </w:t>
      </w:r>
      <w:r w:rsidRPr="00C67DE8">
        <w:rPr>
          <w:szCs w:val="22"/>
          <w:lang w:val="ru-RU"/>
        </w:rPr>
        <w:t>(выполненных нелатинским шрифтом)</w:t>
      </w:r>
      <w:r w:rsidR="00192C16" w:rsidRPr="00C67DE8">
        <w:rPr>
          <w:szCs w:val="22"/>
          <w:lang w:val="ru-RU"/>
        </w:rPr>
        <w:t>.</w:t>
      </w:r>
      <w:r w:rsidR="00192C16" w:rsidRPr="006475B9">
        <w:rPr>
          <w:rStyle w:val="FootnoteReference"/>
          <w:szCs w:val="22"/>
        </w:rPr>
        <w:footnoteReference w:id="41"/>
      </w:r>
      <w:r w:rsidR="00192C16" w:rsidRPr="00C67DE8">
        <w:rPr>
          <w:szCs w:val="22"/>
          <w:lang w:val="ru-RU"/>
        </w:rPr>
        <w:t xml:space="preserve">  </w:t>
      </w:r>
      <w:r w:rsidRPr="00C67DE8">
        <w:rPr>
          <w:szCs w:val="22"/>
          <w:lang w:val="ru-RU"/>
        </w:rPr>
        <w:t xml:space="preserve">В силу того, что заявки на </w:t>
      </w:r>
      <w:r w:rsidRPr="00C67DE8">
        <w:rPr>
          <w:szCs w:val="22"/>
        </w:rPr>
        <w:t>IDN</w:t>
      </w:r>
      <w:r w:rsidRPr="00C67DE8">
        <w:rPr>
          <w:szCs w:val="22"/>
          <w:lang w:val="ru-RU"/>
        </w:rPr>
        <w:t xml:space="preserve"> пользуются высоким приоритетом в осуществляемом </w:t>
      </w:r>
      <w:r w:rsidRPr="00C67DE8">
        <w:rPr>
          <w:szCs w:val="22"/>
        </w:rPr>
        <w:t>ICANN</w:t>
      </w:r>
      <w:r w:rsidRPr="00C67DE8">
        <w:rPr>
          <w:szCs w:val="22"/>
          <w:lang w:val="ru-RU"/>
        </w:rPr>
        <w:t xml:space="preserve"> процессе утверждения новых рДВУ, ряд таких заявок попал в число первых новых рДВУ, которые </w:t>
      </w:r>
      <w:r w:rsidRPr="00C67DE8">
        <w:rPr>
          <w:szCs w:val="22"/>
        </w:rPr>
        <w:t>ICANN</w:t>
      </w:r>
      <w:r w:rsidRPr="00C67DE8">
        <w:rPr>
          <w:szCs w:val="22"/>
          <w:lang w:val="ru-RU"/>
        </w:rPr>
        <w:t xml:space="preserve"> объявил</w:t>
      </w:r>
      <w:r>
        <w:rPr>
          <w:szCs w:val="22"/>
          <w:lang w:val="ru-RU"/>
        </w:rPr>
        <w:t>а</w:t>
      </w:r>
      <w:r w:rsidRPr="00C67DE8">
        <w:rPr>
          <w:szCs w:val="22"/>
          <w:lang w:val="ru-RU"/>
        </w:rPr>
        <w:t xml:space="preserve"> для присуждения в корневой зоне </w:t>
      </w:r>
      <w:r w:rsidRPr="00C67DE8">
        <w:rPr>
          <w:szCs w:val="22"/>
        </w:rPr>
        <w:t>DN</w:t>
      </w:r>
      <w:r>
        <w:rPr>
          <w:szCs w:val="22"/>
        </w:rPr>
        <w:t>S</w:t>
      </w:r>
      <w:r w:rsidR="007F54DF">
        <w:rPr>
          <w:szCs w:val="22"/>
          <w:lang w:val="ru-RU"/>
        </w:rPr>
        <w:t>.</w:t>
      </w:r>
    </w:p>
    <w:p w:rsidR="00192C16" w:rsidRPr="00C67DE8" w:rsidRDefault="00192C16" w:rsidP="00192C16">
      <w:pPr>
        <w:ind w:left="1701" w:hanging="680"/>
        <w:rPr>
          <w:szCs w:val="22"/>
          <w:lang w:val="ru-RU"/>
        </w:rPr>
      </w:pPr>
    </w:p>
    <w:p w:rsidR="00192C16" w:rsidRPr="0057466C" w:rsidRDefault="00C3128B" w:rsidP="00192C16">
      <w:pPr>
        <w:pStyle w:val="Heading2"/>
        <w:spacing w:before="0" w:after="0"/>
        <w:rPr>
          <w:szCs w:val="22"/>
          <w:lang w:val="ru-RU"/>
        </w:rPr>
      </w:pPr>
      <w:r w:rsidRPr="00C3128B">
        <w:rPr>
          <w:szCs w:val="22"/>
          <w:lang w:val="ru-RU"/>
        </w:rPr>
        <w:t>другие обозначения</w:t>
      </w:r>
    </w:p>
    <w:p w:rsidR="00192C16" w:rsidRPr="0057466C" w:rsidRDefault="00192C16" w:rsidP="00192C16">
      <w:pPr>
        <w:rPr>
          <w:lang w:val="ru-RU"/>
        </w:rPr>
      </w:pPr>
    </w:p>
    <w:p w:rsidR="00192C16" w:rsidRPr="00C3128B" w:rsidRDefault="00C3128B" w:rsidP="000A537D">
      <w:pPr>
        <w:pStyle w:val="ListParagraph"/>
        <w:numPr>
          <w:ilvl w:val="0"/>
          <w:numId w:val="10"/>
        </w:numPr>
        <w:ind w:left="0" w:firstLine="0"/>
        <w:rPr>
          <w:szCs w:val="22"/>
          <w:lang w:val="ru-RU"/>
        </w:rPr>
      </w:pPr>
      <w:r w:rsidRPr="00C3128B">
        <w:rPr>
          <w:szCs w:val="22"/>
          <w:lang w:val="ru-RU"/>
        </w:rPr>
        <w:t xml:space="preserve">В дополнение к упомянутым выше инициативам и в связи с ними в </w:t>
      </w:r>
      <w:r w:rsidRPr="00C3128B">
        <w:rPr>
          <w:szCs w:val="22"/>
        </w:rPr>
        <w:t>ICANN</w:t>
      </w:r>
      <w:r w:rsidRPr="00C3128B">
        <w:rPr>
          <w:szCs w:val="22"/>
          <w:lang w:val="ru-RU"/>
        </w:rPr>
        <w:t xml:space="preserve"> происходят другие изменения, относящиеся к охране обозначений, не связанных с товарными знаками</w:t>
      </w:r>
      <w:r w:rsidR="00192C16" w:rsidRPr="00C3128B">
        <w:rPr>
          <w:szCs w:val="22"/>
          <w:lang w:val="ru-RU"/>
        </w:rPr>
        <w:t>.</w:t>
      </w:r>
    </w:p>
    <w:p w:rsidR="00192C16" w:rsidRPr="00C3128B" w:rsidRDefault="00192C16" w:rsidP="00192C16">
      <w:pPr>
        <w:rPr>
          <w:szCs w:val="22"/>
          <w:lang w:val="ru-RU"/>
        </w:rPr>
      </w:pPr>
    </w:p>
    <w:p w:rsidR="00192C16" w:rsidRPr="006475B9" w:rsidRDefault="0003752A" w:rsidP="000A537D">
      <w:pPr>
        <w:pStyle w:val="ListParagraph"/>
        <w:numPr>
          <w:ilvl w:val="1"/>
          <w:numId w:val="10"/>
        </w:numPr>
        <w:ind w:left="1170" w:hanging="630"/>
      </w:pPr>
      <w:r w:rsidRPr="0003752A">
        <w:rPr>
          <w:lang w:val="ru-RU"/>
        </w:rPr>
        <w:t>Международные правительственные организац</w:t>
      </w:r>
      <w:r>
        <w:rPr>
          <w:lang w:val="ru-RU"/>
        </w:rPr>
        <w:t>ии</w:t>
      </w:r>
      <w:r w:rsidRPr="0003752A">
        <w:t xml:space="preserve"> </w:t>
      </w:r>
      <w:r w:rsidR="00BE5E66" w:rsidRPr="000A537D">
        <w:rPr>
          <w:szCs w:val="22"/>
        </w:rPr>
        <w:t>(</w:t>
      </w:r>
      <w:r>
        <w:rPr>
          <w:szCs w:val="22"/>
          <w:lang w:val="ru-RU"/>
        </w:rPr>
        <w:t>МПО</w:t>
      </w:r>
      <w:r w:rsidR="00BE5E66" w:rsidRPr="000A537D">
        <w:rPr>
          <w:szCs w:val="22"/>
        </w:rPr>
        <w:t>)</w:t>
      </w:r>
    </w:p>
    <w:p w:rsidR="00192C16" w:rsidRPr="006475B9" w:rsidRDefault="00192C16" w:rsidP="00192C16">
      <w:pPr>
        <w:rPr>
          <w:szCs w:val="22"/>
        </w:rPr>
      </w:pPr>
    </w:p>
    <w:p w:rsidR="00192C16" w:rsidRPr="00784F98" w:rsidRDefault="00784F98" w:rsidP="000A537D">
      <w:pPr>
        <w:pStyle w:val="ListParagraph"/>
        <w:numPr>
          <w:ilvl w:val="0"/>
          <w:numId w:val="10"/>
        </w:numPr>
        <w:ind w:left="0" w:firstLine="0"/>
        <w:rPr>
          <w:szCs w:val="22"/>
          <w:lang w:val="ru-RU"/>
        </w:rPr>
      </w:pPr>
      <w:r w:rsidRPr="00784F98">
        <w:rPr>
          <w:szCs w:val="22"/>
          <w:lang w:val="ru-RU"/>
        </w:rPr>
        <w:t xml:space="preserve">Следует напомнить, что Первый процесс в рамках ВОИС по доменным именам в Интернете касался связи между доменными именами и товарными знаками.  Второй процесс в рамках ВОИС по доменным именам в Интернете </w:t>
      </w:r>
      <w:r w:rsidR="00D37999">
        <w:rPr>
          <w:szCs w:val="22"/>
          <w:lang w:val="ru-RU"/>
        </w:rPr>
        <w:t xml:space="preserve">был посвящен </w:t>
      </w:r>
      <w:r w:rsidRPr="00784F98">
        <w:rPr>
          <w:szCs w:val="22"/>
          <w:lang w:val="ru-RU"/>
        </w:rPr>
        <w:t>связи между доменными именами и пятью другими видами обозначений, которые до этого не рассматривались, включая названия стран и полные и сокращенные названия</w:t>
      </w:r>
      <w:r>
        <w:rPr>
          <w:szCs w:val="22"/>
          <w:lang w:val="ru-RU"/>
        </w:rPr>
        <w:t xml:space="preserve"> МПО</w:t>
      </w:r>
      <w:r w:rsidR="00192C16" w:rsidRPr="00784F98">
        <w:rPr>
          <w:szCs w:val="22"/>
          <w:lang w:val="ru-RU"/>
        </w:rPr>
        <w:t>.</w:t>
      </w:r>
    </w:p>
    <w:p w:rsidR="00192C16" w:rsidRPr="00784F98" w:rsidRDefault="00192C16" w:rsidP="000A537D">
      <w:pPr>
        <w:rPr>
          <w:szCs w:val="22"/>
          <w:lang w:val="ru-RU"/>
        </w:rPr>
      </w:pPr>
    </w:p>
    <w:p w:rsidR="00192C16" w:rsidRPr="00E175B4" w:rsidRDefault="004B5B7D" w:rsidP="00715857">
      <w:pPr>
        <w:pStyle w:val="ListParagraph"/>
        <w:keepLines/>
        <w:numPr>
          <w:ilvl w:val="0"/>
          <w:numId w:val="10"/>
        </w:numPr>
        <w:ind w:left="0" w:firstLine="0"/>
        <w:rPr>
          <w:szCs w:val="22"/>
          <w:lang w:val="ru-RU"/>
        </w:rPr>
      </w:pPr>
      <w:r w:rsidRPr="004B5B7D">
        <w:rPr>
          <w:szCs w:val="22"/>
          <w:lang w:val="ru-RU"/>
        </w:rPr>
        <w:lastRenderedPageBreak/>
        <w:t>На своей сессии, проходившей с 23</w:t>
      </w:r>
      <w:r w:rsidR="00E175B4">
        <w:rPr>
          <w:szCs w:val="22"/>
          <w:lang w:val="ru-RU"/>
        </w:rPr>
        <w:t> </w:t>
      </w:r>
      <w:r w:rsidRPr="004B5B7D">
        <w:rPr>
          <w:szCs w:val="22"/>
          <w:lang w:val="ru-RU"/>
        </w:rPr>
        <w:t>сентября по 1 октября 2002</w:t>
      </w:r>
      <w:r w:rsidR="00E175B4">
        <w:rPr>
          <w:szCs w:val="22"/>
          <w:lang w:val="ru-RU"/>
        </w:rPr>
        <w:t> </w:t>
      </w:r>
      <w:r w:rsidRPr="004B5B7D">
        <w:rPr>
          <w:szCs w:val="22"/>
          <w:lang w:val="ru-RU"/>
        </w:rPr>
        <w:t>г., Генеральная Ассамблея ВОИС рекомендовала изменить ЕПУС т</w:t>
      </w:r>
      <w:r w:rsidR="00D37999">
        <w:rPr>
          <w:szCs w:val="22"/>
          <w:lang w:val="ru-RU"/>
        </w:rPr>
        <w:t>аки</w:t>
      </w:r>
      <w:r w:rsidRPr="004B5B7D">
        <w:rPr>
          <w:szCs w:val="22"/>
          <w:lang w:val="ru-RU"/>
        </w:rPr>
        <w:t>м</w:t>
      </w:r>
      <w:r w:rsidR="00D37999">
        <w:rPr>
          <w:szCs w:val="22"/>
          <w:lang w:val="ru-RU"/>
        </w:rPr>
        <w:t xml:space="preserve"> образом</w:t>
      </w:r>
      <w:r w:rsidRPr="004B5B7D">
        <w:rPr>
          <w:szCs w:val="22"/>
          <w:lang w:val="ru-RU"/>
        </w:rPr>
        <w:t>, чтобы обеспечить охрану названий стран и полных и сокращенных названий МПО</w:t>
      </w:r>
      <w:r w:rsidR="00192C16" w:rsidRPr="004B5B7D">
        <w:rPr>
          <w:szCs w:val="22"/>
          <w:lang w:val="ru-RU"/>
        </w:rPr>
        <w:t>.</w:t>
      </w:r>
      <w:r w:rsidR="00192C16" w:rsidRPr="006475B9">
        <w:rPr>
          <w:vertAlign w:val="superscript"/>
        </w:rPr>
        <w:footnoteReference w:id="42"/>
      </w:r>
      <w:r w:rsidR="00192C16" w:rsidRPr="004B5B7D">
        <w:rPr>
          <w:szCs w:val="22"/>
          <w:lang w:val="ru-RU"/>
        </w:rPr>
        <w:t xml:space="preserve">  </w:t>
      </w:r>
      <w:r w:rsidR="00E175B4" w:rsidRPr="00E175B4">
        <w:rPr>
          <w:szCs w:val="22"/>
          <w:lang w:val="ru-RU"/>
        </w:rPr>
        <w:t xml:space="preserve">Секретариат ВОИС передал эти рекомендации («рекомендации ВОИС-2») </w:t>
      </w:r>
      <w:r w:rsidR="00E175B4" w:rsidRPr="00E175B4">
        <w:rPr>
          <w:szCs w:val="22"/>
        </w:rPr>
        <w:t>ICANN</w:t>
      </w:r>
      <w:r w:rsidR="00E175B4" w:rsidRPr="00E175B4">
        <w:rPr>
          <w:szCs w:val="22"/>
          <w:lang w:val="ru-RU"/>
        </w:rPr>
        <w:t xml:space="preserve"> в феврале 2003</w:t>
      </w:r>
      <w:r w:rsidR="00E175B4">
        <w:rPr>
          <w:szCs w:val="22"/>
          <w:lang w:val="ru-RU"/>
        </w:rPr>
        <w:t> </w:t>
      </w:r>
      <w:r w:rsidR="00E175B4" w:rsidRPr="00E175B4">
        <w:rPr>
          <w:szCs w:val="22"/>
          <w:lang w:val="ru-RU"/>
        </w:rPr>
        <w:t>г</w:t>
      </w:r>
      <w:r w:rsidR="00192C16" w:rsidRPr="00E175B4">
        <w:rPr>
          <w:szCs w:val="22"/>
          <w:lang w:val="ru-RU"/>
        </w:rPr>
        <w:t>.</w:t>
      </w:r>
      <w:r w:rsidR="00192C16" w:rsidRPr="006475B9">
        <w:rPr>
          <w:vertAlign w:val="superscript"/>
        </w:rPr>
        <w:footnoteReference w:id="43"/>
      </w:r>
    </w:p>
    <w:p w:rsidR="00192C16" w:rsidRPr="00E175B4" w:rsidRDefault="00192C16" w:rsidP="000A537D">
      <w:pPr>
        <w:autoSpaceDE w:val="0"/>
        <w:autoSpaceDN w:val="0"/>
        <w:adjustRightInd w:val="0"/>
        <w:rPr>
          <w:szCs w:val="22"/>
          <w:lang w:val="ru-RU"/>
        </w:rPr>
      </w:pPr>
    </w:p>
    <w:p w:rsidR="00192C16" w:rsidRPr="004C07AC" w:rsidRDefault="00966AEE" w:rsidP="000A537D">
      <w:pPr>
        <w:pStyle w:val="ListParagraph"/>
        <w:numPr>
          <w:ilvl w:val="0"/>
          <w:numId w:val="10"/>
        </w:numPr>
        <w:ind w:left="0" w:firstLine="0"/>
        <w:rPr>
          <w:szCs w:val="22"/>
          <w:lang w:val="ru-RU"/>
        </w:rPr>
      </w:pPr>
      <w:r>
        <w:rPr>
          <w:szCs w:val="22"/>
          <w:lang w:val="ru-RU"/>
        </w:rPr>
        <w:t>По</w:t>
      </w:r>
      <w:r w:rsidR="0057521E">
        <w:rPr>
          <w:szCs w:val="22"/>
          <w:lang w:val="ru-RU"/>
        </w:rPr>
        <w:t xml:space="preserve"> итогам последующих дискуссий в рамках</w:t>
      </w:r>
      <w:r w:rsidR="00D270DD" w:rsidRPr="00D270DD">
        <w:rPr>
          <w:szCs w:val="22"/>
          <w:lang w:val="ru-RU"/>
        </w:rPr>
        <w:t xml:space="preserve"> </w:t>
      </w:r>
      <w:r w:rsidR="00192C16" w:rsidRPr="000A537D">
        <w:rPr>
          <w:szCs w:val="22"/>
        </w:rPr>
        <w:t>ICANN</w:t>
      </w:r>
      <w:r w:rsidR="00192C16" w:rsidRPr="006475B9">
        <w:rPr>
          <w:rStyle w:val="FootnoteReference"/>
          <w:szCs w:val="22"/>
        </w:rPr>
        <w:footnoteReference w:id="44"/>
      </w:r>
      <w:r w:rsidR="00192C16" w:rsidRPr="00D270DD">
        <w:rPr>
          <w:szCs w:val="22"/>
          <w:lang w:val="ru-RU"/>
        </w:rPr>
        <w:t xml:space="preserve"> </w:t>
      </w:r>
      <w:r w:rsidR="0057521E">
        <w:rPr>
          <w:szCs w:val="22"/>
          <w:lang w:val="ru-RU"/>
        </w:rPr>
        <w:t>«</w:t>
      </w:r>
      <w:r w:rsidR="00D270DD" w:rsidRPr="00D270DD">
        <w:rPr>
          <w:szCs w:val="22"/>
          <w:lang w:val="ru-RU"/>
        </w:rPr>
        <w:t>Руководство для заявителя», касающ</w:t>
      </w:r>
      <w:r w:rsidR="0057521E">
        <w:rPr>
          <w:szCs w:val="22"/>
          <w:lang w:val="ru-RU"/>
        </w:rPr>
        <w:t>ееся</w:t>
      </w:r>
      <w:r w:rsidR="00D270DD" w:rsidRPr="00D270DD">
        <w:rPr>
          <w:szCs w:val="22"/>
          <w:lang w:val="ru-RU"/>
        </w:rPr>
        <w:t xml:space="preserve"> программы </w:t>
      </w:r>
      <w:r w:rsidR="00D270DD" w:rsidRPr="00D270DD">
        <w:rPr>
          <w:szCs w:val="22"/>
        </w:rPr>
        <w:t>ICANN</w:t>
      </w:r>
      <w:r w:rsidR="00D270DD" w:rsidRPr="00D270DD">
        <w:rPr>
          <w:szCs w:val="22"/>
          <w:lang w:val="ru-RU"/>
        </w:rPr>
        <w:t xml:space="preserve"> в отношении новых рДВУ, огранич</w:t>
      </w:r>
      <w:r w:rsidR="00D270DD">
        <w:rPr>
          <w:szCs w:val="22"/>
          <w:lang w:val="ru-RU"/>
        </w:rPr>
        <w:t xml:space="preserve">ило </w:t>
      </w:r>
      <w:r w:rsidR="00D270DD" w:rsidRPr="00D270DD">
        <w:rPr>
          <w:szCs w:val="22"/>
          <w:lang w:val="ru-RU"/>
        </w:rPr>
        <w:t>рассмотрение вопросов охраны полных и сокращенных названий МПО обеспечением потенциального обращения к процедуре подачи возражений, предшествующей присуждению ДВУ, в отношении верхнего уровня (т.е. ДВУ, в отношении которых поданы заявки), о которой шла речь в пунктах</w:t>
      </w:r>
      <w:r w:rsidR="006B798E">
        <w:rPr>
          <w:szCs w:val="22"/>
          <w:lang w:val="ru-RU"/>
        </w:rPr>
        <w:t> </w:t>
      </w:r>
      <w:r w:rsidR="00D270DD" w:rsidRPr="00D270DD">
        <w:rPr>
          <w:szCs w:val="22"/>
          <w:lang w:val="ru-RU"/>
        </w:rPr>
        <w:t>19 и 20</w:t>
      </w:r>
      <w:r w:rsidR="00D270DD">
        <w:rPr>
          <w:szCs w:val="22"/>
          <w:lang w:val="ru-RU"/>
        </w:rPr>
        <w:t>,</w:t>
      </w:r>
      <w:r w:rsidR="00D270DD" w:rsidRPr="00D270DD">
        <w:rPr>
          <w:szCs w:val="22"/>
          <w:lang w:val="ru-RU"/>
        </w:rPr>
        <w:t xml:space="preserve"> выше.</w:t>
      </w:r>
      <w:r w:rsidR="00D270DD">
        <w:rPr>
          <w:szCs w:val="22"/>
          <w:lang w:val="ru-RU"/>
        </w:rPr>
        <w:t xml:space="preserve">  </w:t>
      </w:r>
      <w:r w:rsidR="00D270DD" w:rsidRPr="00D270DD">
        <w:rPr>
          <w:szCs w:val="22"/>
          <w:lang w:val="ru-RU"/>
        </w:rPr>
        <w:t xml:space="preserve">Однако после открытого письма юрисконсультов МПО в адрес </w:t>
      </w:r>
      <w:r w:rsidR="00D270DD" w:rsidRPr="00D270DD">
        <w:rPr>
          <w:szCs w:val="22"/>
        </w:rPr>
        <w:t>ICANN</w:t>
      </w:r>
      <w:r w:rsidR="00D270DD" w:rsidRPr="00D270DD">
        <w:rPr>
          <w:szCs w:val="22"/>
          <w:lang w:val="ru-RU"/>
        </w:rPr>
        <w:t xml:space="preserve"> в декабре 2011</w:t>
      </w:r>
      <w:r w:rsidR="00D270DD">
        <w:rPr>
          <w:szCs w:val="22"/>
          <w:lang w:val="ru-RU"/>
        </w:rPr>
        <w:t> </w:t>
      </w:r>
      <w:r w:rsidR="00D270DD" w:rsidRPr="00D270DD">
        <w:rPr>
          <w:szCs w:val="22"/>
          <w:lang w:val="ru-RU"/>
        </w:rPr>
        <w:t xml:space="preserve">г. и вследствие неустанных усилий МПО Правительственный консультативный комитет в рамках </w:t>
      </w:r>
      <w:r w:rsidR="00D270DD">
        <w:rPr>
          <w:szCs w:val="22"/>
        </w:rPr>
        <w:t>ICANN</w:t>
      </w:r>
      <w:r w:rsidR="00D270DD">
        <w:rPr>
          <w:szCs w:val="22"/>
          <w:lang w:val="ru-RU"/>
        </w:rPr>
        <w:t xml:space="preserve"> </w:t>
      </w:r>
      <w:r w:rsidR="00D270DD" w:rsidRPr="00D270DD">
        <w:rPr>
          <w:szCs w:val="22"/>
          <w:lang w:val="ru-RU"/>
        </w:rPr>
        <w:t>(</w:t>
      </w:r>
      <w:r w:rsidR="00D270DD" w:rsidRPr="00D270DD">
        <w:rPr>
          <w:szCs w:val="22"/>
        </w:rPr>
        <w:t>GAC</w:t>
      </w:r>
      <w:r w:rsidR="00D270DD" w:rsidRPr="00D270DD">
        <w:rPr>
          <w:szCs w:val="22"/>
          <w:lang w:val="ru-RU"/>
        </w:rPr>
        <w:t xml:space="preserve">) вынес Совету </w:t>
      </w:r>
      <w:r w:rsidR="00D270DD" w:rsidRPr="00D270DD">
        <w:rPr>
          <w:szCs w:val="22"/>
        </w:rPr>
        <w:t>ICANN</w:t>
      </w:r>
      <w:r w:rsidR="00D270DD" w:rsidRPr="00D270DD">
        <w:rPr>
          <w:szCs w:val="22"/>
          <w:lang w:val="ru-RU"/>
        </w:rPr>
        <w:t xml:space="preserve"> рекомендацию о том, чтобы полным и сокращенным названиям МПО была предоставлена охрана от ненадлежащей регистрации третьих сторон в </w:t>
      </w:r>
      <w:r w:rsidR="00D270DD" w:rsidRPr="00D270DD">
        <w:rPr>
          <w:szCs w:val="22"/>
        </w:rPr>
        <w:t>DNS</w:t>
      </w:r>
      <w:r w:rsidR="00D270DD" w:rsidRPr="00D270DD">
        <w:rPr>
          <w:szCs w:val="22"/>
          <w:lang w:val="ru-RU"/>
        </w:rPr>
        <w:t xml:space="preserve"> до присуждения любых новых рДВУ</w:t>
      </w:r>
      <w:r w:rsidR="00192C16" w:rsidRPr="00D270DD">
        <w:rPr>
          <w:szCs w:val="22"/>
          <w:lang w:val="ru-RU"/>
        </w:rPr>
        <w:t>.</w:t>
      </w:r>
      <w:r w:rsidR="00192C16" w:rsidRPr="006475B9">
        <w:rPr>
          <w:rStyle w:val="FootnoteReference"/>
          <w:szCs w:val="22"/>
        </w:rPr>
        <w:footnoteReference w:id="45"/>
      </w:r>
      <w:r w:rsidR="00192C16" w:rsidRPr="00D270DD">
        <w:rPr>
          <w:szCs w:val="22"/>
          <w:lang w:val="ru-RU"/>
        </w:rPr>
        <w:t xml:space="preserve">  </w:t>
      </w:r>
      <w:r w:rsidR="004C07AC" w:rsidRPr="004C07AC">
        <w:rPr>
          <w:szCs w:val="22"/>
          <w:lang w:val="ru-RU"/>
        </w:rPr>
        <w:t xml:space="preserve">Кроме того, </w:t>
      </w:r>
      <w:r w:rsidR="004C07AC" w:rsidRPr="004C07AC">
        <w:rPr>
          <w:szCs w:val="22"/>
        </w:rPr>
        <w:t>GAC</w:t>
      </w:r>
      <w:r w:rsidR="004C07AC" w:rsidRPr="004C07AC">
        <w:rPr>
          <w:szCs w:val="22"/>
          <w:lang w:val="ru-RU"/>
        </w:rPr>
        <w:t xml:space="preserve"> рекомендовал Совету </w:t>
      </w:r>
      <w:r w:rsidR="004C07AC" w:rsidRPr="004C07AC">
        <w:rPr>
          <w:szCs w:val="22"/>
        </w:rPr>
        <w:t>ICANN</w:t>
      </w:r>
      <w:r w:rsidR="004C07AC" w:rsidRPr="004C07AC">
        <w:rPr>
          <w:szCs w:val="22"/>
          <w:lang w:val="ru-RU"/>
        </w:rPr>
        <w:t xml:space="preserve">, чтобы </w:t>
      </w:r>
      <w:r w:rsidR="0057521E">
        <w:rPr>
          <w:szCs w:val="22"/>
          <w:lang w:val="ru-RU"/>
        </w:rPr>
        <w:t>тот</w:t>
      </w:r>
      <w:r w:rsidR="004C07AC" w:rsidRPr="004C07AC">
        <w:rPr>
          <w:szCs w:val="22"/>
          <w:lang w:val="ru-RU"/>
        </w:rPr>
        <w:t>, опираясь на существующие критерии</w:t>
      </w:r>
      <w:r w:rsidR="0057521E">
        <w:rPr>
          <w:szCs w:val="22"/>
          <w:lang w:val="ru-RU"/>
        </w:rPr>
        <w:t xml:space="preserve"> </w:t>
      </w:r>
      <w:r w:rsidR="004C07AC" w:rsidRPr="004C07AC">
        <w:rPr>
          <w:szCs w:val="22"/>
          <w:lang w:val="ru-RU"/>
        </w:rPr>
        <w:t>.</w:t>
      </w:r>
      <w:proofErr w:type="spellStart"/>
      <w:r w:rsidR="004C07AC" w:rsidRPr="004C07AC">
        <w:rPr>
          <w:szCs w:val="22"/>
        </w:rPr>
        <w:t>int</w:t>
      </w:r>
      <w:proofErr w:type="spellEnd"/>
      <w:r w:rsidR="004C07AC" w:rsidRPr="004C07AC">
        <w:rPr>
          <w:szCs w:val="22"/>
          <w:lang w:val="ru-RU"/>
        </w:rPr>
        <w:t xml:space="preserve"> для регистраций </w:t>
      </w:r>
      <w:r w:rsidR="0057521E">
        <w:rPr>
          <w:szCs w:val="22"/>
          <w:lang w:val="ru-RU"/>
        </w:rPr>
        <w:t xml:space="preserve">доменов </w:t>
      </w:r>
      <w:r w:rsidR="004C07AC" w:rsidRPr="004C07AC">
        <w:rPr>
          <w:szCs w:val="22"/>
          <w:lang w:val="ru-RU"/>
        </w:rPr>
        <w:t>второго уровня в этом пространстве, во взаимодействии с МПО разработал список полных и сокращенных названий МПО, которые должны пользоваться охраной.</w:t>
      </w:r>
      <w:r w:rsidR="0057521E">
        <w:rPr>
          <w:szCs w:val="22"/>
          <w:lang w:val="ru-RU"/>
        </w:rPr>
        <w:t xml:space="preserve"> </w:t>
      </w:r>
      <w:r w:rsidR="004C07AC" w:rsidRPr="004C07AC">
        <w:rPr>
          <w:szCs w:val="22"/>
          <w:lang w:val="ru-RU"/>
        </w:rPr>
        <w:t xml:space="preserve"> Предусматривается, что охрана будет предоставляться на втором уровне для нынешнего раунда новых рДВУ и на втором и верхнем уровнях в случае любых последующих раундов новых рДВУ.  </w:t>
      </w:r>
      <w:r w:rsidR="004C07AC" w:rsidRPr="004C07AC">
        <w:rPr>
          <w:szCs w:val="22"/>
        </w:rPr>
        <w:t>GAC</w:t>
      </w:r>
      <w:r w:rsidR="004C07AC" w:rsidRPr="004C07AC">
        <w:rPr>
          <w:szCs w:val="22"/>
          <w:lang w:val="ru-RU"/>
        </w:rPr>
        <w:t xml:space="preserve"> также рекомендовал Совету, чтобы в ожидании работы над вопросами будущего осуществления промежуточная охрана полных и сокращенных названий МПО обеспечивалась посредством моратория на регистрацию третьих сторон до присуждения любых новых рДВУ</w:t>
      </w:r>
      <w:r w:rsidR="007F54DF">
        <w:rPr>
          <w:szCs w:val="22"/>
          <w:lang w:val="ru-RU"/>
        </w:rPr>
        <w:t>.</w:t>
      </w:r>
    </w:p>
    <w:p w:rsidR="00192C16" w:rsidRPr="004C07AC" w:rsidRDefault="00192C16" w:rsidP="000A537D">
      <w:pPr>
        <w:rPr>
          <w:szCs w:val="22"/>
          <w:lang w:val="ru-RU"/>
        </w:rPr>
      </w:pPr>
    </w:p>
    <w:p w:rsidR="00192C16" w:rsidRPr="001C6C8D" w:rsidRDefault="007771B6" w:rsidP="000A537D">
      <w:pPr>
        <w:pStyle w:val="ListParagraph"/>
        <w:numPr>
          <w:ilvl w:val="0"/>
          <w:numId w:val="10"/>
        </w:numPr>
        <w:ind w:left="0" w:firstLine="0"/>
        <w:rPr>
          <w:szCs w:val="22"/>
          <w:lang w:val="ru-RU"/>
        </w:rPr>
      </w:pPr>
      <w:r w:rsidRPr="007771B6">
        <w:rPr>
          <w:szCs w:val="22"/>
          <w:lang w:val="ru-RU"/>
        </w:rPr>
        <w:t xml:space="preserve">Совет </w:t>
      </w:r>
      <w:r w:rsidRPr="007771B6">
        <w:rPr>
          <w:szCs w:val="22"/>
        </w:rPr>
        <w:t>ICANN</w:t>
      </w:r>
      <w:r w:rsidRPr="007771B6">
        <w:rPr>
          <w:szCs w:val="22"/>
          <w:lang w:val="ru-RU"/>
        </w:rPr>
        <w:t xml:space="preserve"> в своем ответе </w:t>
      </w:r>
      <w:r w:rsidRPr="007771B6">
        <w:rPr>
          <w:szCs w:val="22"/>
        </w:rPr>
        <w:t>GAC</w:t>
      </w:r>
      <w:r w:rsidRPr="007771B6">
        <w:rPr>
          <w:szCs w:val="22"/>
          <w:lang w:val="ru-RU"/>
        </w:rPr>
        <w:t xml:space="preserve"> указал на то, что он принял резолюцию, закладывающую основу для такой промежуточной охраны на втором уровне на основе существующих критериев .</w:t>
      </w:r>
      <w:r w:rsidRPr="007771B6">
        <w:rPr>
          <w:szCs w:val="22"/>
        </w:rPr>
        <w:t>int</w:t>
      </w:r>
      <w:r w:rsidRPr="007771B6">
        <w:rPr>
          <w:szCs w:val="22"/>
          <w:lang w:val="ru-RU"/>
        </w:rPr>
        <w:t xml:space="preserve"> через посредство имеющегося в </w:t>
      </w:r>
      <w:r w:rsidRPr="007771B6">
        <w:rPr>
          <w:szCs w:val="22"/>
        </w:rPr>
        <w:t>ICANN</w:t>
      </w:r>
      <w:r w:rsidRPr="007771B6">
        <w:rPr>
          <w:szCs w:val="22"/>
          <w:lang w:val="ru-RU"/>
        </w:rPr>
        <w:t xml:space="preserve"> резервного списка установленных полных и сокращенных названий МПО, в связи с которым следует воздерживаться от регистрации третьих сторон посредством регистрационного соглашения касательно новых рДВУ.  </w:t>
      </w:r>
      <w:r w:rsidRPr="007771B6">
        <w:rPr>
          <w:szCs w:val="22"/>
        </w:rPr>
        <w:t>ICANN</w:t>
      </w:r>
      <w:r w:rsidRPr="007771B6">
        <w:rPr>
          <w:szCs w:val="22"/>
          <w:lang w:val="ru-RU"/>
        </w:rPr>
        <w:t xml:space="preserve"> установила крайний срок – 28</w:t>
      </w:r>
      <w:r w:rsidR="006B798E">
        <w:rPr>
          <w:szCs w:val="22"/>
          <w:lang w:val="ru-RU"/>
        </w:rPr>
        <w:t> </w:t>
      </w:r>
      <w:r w:rsidRPr="007771B6">
        <w:rPr>
          <w:szCs w:val="22"/>
          <w:lang w:val="ru-RU"/>
        </w:rPr>
        <w:t>февраля 2013</w:t>
      </w:r>
      <w:r w:rsidR="006B798E">
        <w:rPr>
          <w:szCs w:val="22"/>
          <w:lang w:val="ru-RU"/>
        </w:rPr>
        <w:t> </w:t>
      </w:r>
      <w:r w:rsidRPr="007771B6">
        <w:rPr>
          <w:szCs w:val="22"/>
          <w:lang w:val="ru-RU"/>
        </w:rPr>
        <w:t xml:space="preserve">г. - для представления соответствующих полных и сокращенных названий правомочных МПО, предложив правомочным МПО </w:t>
      </w:r>
      <w:r w:rsidR="0057521E">
        <w:rPr>
          <w:szCs w:val="22"/>
          <w:lang w:val="ru-RU"/>
        </w:rPr>
        <w:t xml:space="preserve">заявить о </w:t>
      </w:r>
      <w:r w:rsidRPr="007771B6">
        <w:rPr>
          <w:szCs w:val="22"/>
          <w:lang w:val="ru-RU"/>
        </w:rPr>
        <w:t>себ</w:t>
      </w:r>
      <w:r w:rsidR="0057521E">
        <w:rPr>
          <w:szCs w:val="22"/>
          <w:lang w:val="ru-RU"/>
        </w:rPr>
        <w:t>е</w:t>
      </w:r>
      <w:r w:rsidRPr="007771B6">
        <w:rPr>
          <w:szCs w:val="22"/>
          <w:lang w:val="ru-RU"/>
        </w:rPr>
        <w:t xml:space="preserve"> </w:t>
      </w:r>
      <w:r w:rsidRPr="007771B6">
        <w:rPr>
          <w:szCs w:val="22"/>
        </w:rPr>
        <w:t>ICANN</w:t>
      </w:r>
      <w:r w:rsidRPr="007771B6">
        <w:rPr>
          <w:szCs w:val="22"/>
          <w:lang w:val="ru-RU"/>
        </w:rPr>
        <w:t xml:space="preserve"> к </w:t>
      </w:r>
      <w:r w:rsidR="0057521E">
        <w:rPr>
          <w:szCs w:val="22"/>
          <w:lang w:val="ru-RU"/>
        </w:rPr>
        <w:t xml:space="preserve">указанной </w:t>
      </w:r>
      <w:r w:rsidRPr="007771B6">
        <w:rPr>
          <w:szCs w:val="22"/>
          <w:lang w:val="ru-RU"/>
        </w:rPr>
        <w:t xml:space="preserve">дате, одновременно добиваясь также предоставления </w:t>
      </w:r>
      <w:r w:rsidRPr="007771B6">
        <w:rPr>
          <w:szCs w:val="22"/>
        </w:rPr>
        <w:t>GAC</w:t>
      </w:r>
      <w:r w:rsidRPr="007771B6">
        <w:rPr>
          <w:szCs w:val="22"/>
          <w:lang w:val="ru-RU"/>
        </w:rPr>
        <w:t xml:space="preserve"> (с участием МПО) сводного пакета МПО, содержащего критерии и список полных и сокращенных названий МПО, в отношении которых </w:t>
      </w:r>
      <w:r w:rsidRPr="007771B6">
        <w:rPr>
          <w:szCs w:val="22"/>
        </w:rPr>
        <w:t>GAC</w:t>
      </w:r>
      <w:r w:rsidRPr="007771B6">
        <w:rPr>
          <w:szCs w:val="22"/>
          <w:lang w:val="ru-RU"/>
        </w:rPr>
        <w:t xml:space="preserve"> рекомендует охрану</w:t>
      </w:r>
      <w:r w:rsidR="00192C16" w:rsidRPr="007771B6">
        <w:rPr>
          <w:szCs w:val="22"/>
          <w:lang w:val="ru-RU"/>
        </w:rPr>
        <w:t>.</w:t>
      </w:r>
      <w:r w:rsidR="00192C16" w:rsidRPr="006475B9">
        <w:rPr>
          <w:rStyle w:val="FootnoteReference"/>
          <w:szCs w:val="22"/>
        </w:rPr>
        <w:footnoteReference w:id="46"/>
      </w:r>
      <w:r w:rsidR="00192C16" w:rsidRPr="007771B6">
        <w:rPr>
          <w:szCs w:val="22"/>
          <w:lang w:val="ru-RU"/>
        </w:rPr>
        <w:t xml:space="preserve">  </w:t>
      </w:r>
      <w:r w:rsidR="001C6C8D">
        <w:rPr>
          <w:szCs w:val="22"/>
          <w:lang w:val="ru-RU"/>
        </w:rPr>
        <w:t>В</w:t>
      </w:r>
      <w:r w:rsidR="001C6C8D" w:rsidRPr="001C6C8D">
        <w:rPr>
          <w:szCs w:val="22"/>
          <w:lang w:val="ru-RU"/>
        </w:rPr>
        <w:t xml:space="preserve"> </w:t>
      </w:r>
      <w:r w:rsidR="001C6C8D">
        <w:rPr>
          <w:szCs w:val="22"/>
          <w:lang w:val="ru-RU"/>
        </w:rPr>
        <w:t>ответ</w:t>
      </w:r>
      <w:r w:rsidR="001C6C8D" w:rsidRPr="001C6C8D">
        <w:rPr>
          <w:szCs w:val="22"/>
          <w:lang w:val="ru-RU"/>
        </w:rPr>
        <w:t xml:space="preserve"> </w:t>
      </w:r>
      <w:r w:rsidR="0057521E">
        <w:rPr>
          <w:szCs w:val="22"/>
          <w:lang w:val="ru-RU"/>
        </w:rPr>
        <w:t xml:space="preserve">на это </w:t>
      </w:r>
      <w:r w:rsidR="001C6C8D" w:rsidRPr="001C6C8D">
        <w:rPr>
          <w:szCs w:val="22"/>
          <w:lang w:val="ru-RU"/>
        </w:rPr>
        <w:t>коалиция МПО разработала основанные на .</w:t>
      </w:r>
      <w:r w:rsidR="001C6C8D" w:rsidRPr="001C6C8D">
        <w:rPr>
          <w:szCs w:val="22"/>
        </w:rPr>
        <w:t>int</w:t>
      </w:r>
      <w:r w:rsidR="001C6C8D" w:rsidRPr="001C6C8D">
        <w:rPr>
          <w:szCs w:val="22"/>
          <w:lang w:val="ru-RU"/>
        </w:rPr>
        <w:t xml:space="preserve"> критерии охраны МПО и сопутствующий список МПО, которые были препровождены Совету 28</w:t>
      </w:r>
      <w:r w:rsidR="006B798E">
        <w:rPr>
          <w:szCs w:val="22"/>
          <w:lang w:val="ru-RU"/>
        </w:rPr>
        <w:t> </w:t>
      </w:r>
      <w:r w:rsidR="001C6C8D" w:rsidRPr="001C6C8D">
        <w:rPr>
          <w:szCs w:val="22"/>
          <w:lang w:val="ru-RU"/>
        </w:rPr>
        <w:t>февраля 2013</w:t>
      </w:r>
      <w:r w:rsidR="006B798E">
        <w:rPr>
          <w:szCs w:val="22"/>
          <w:lang w:val="ru-RU"/>
        </w:rPr>
        <w:t> </w:t>
      </w:r>
      <w:r w:rsidR="001C6C8D" w:rsidRPr="001C6C8D">
        <w:rPr>
          <w:szCs w:val="22"/>
          <w:lang w:val="ru-RU"/>
        </w:rPr>
        <w:t xml:space="preserve">г.  За этим последовало сообщение </w:t>
      </w:r>
      <w:r w:rsidR="001C6C8D" w:rsidRPr="001C6C8D">
        <w:rPr>
          <w:szCs w:val="22"/>
        </w:rPr>
        <w:t>GAC</w:t>
      </w:r>
      <w:r w:rsidR="001C6C8D" w:rsidRPr="001C6C8D">
        <w:rPr>
          <w:szCs w:val="22"/>
          <w:lang w:val="ru-RU"/>
        </w:rPr>
        <w:t xml:space="preserve"> в адрес Совета </w:t>
      </w:r>
      <w:r w:rsidR="001C6C8D" w:rsidRPr="001C6C8D">
        <w:rPr>
          <w:szCs w:val="22"/>
        </w:rPr>
        <w:t>ICANN</w:t>
      </w:r>
      <w:r w:rsidR="001C6C8D" w:rsidRPr="001C6C8D">
        <w:rPr>
          <w:szCs w:val="22"/>
          <w:lang w:val="ru-RU"/>
        </w:rPr>
        <w:t xml:space="preserve"> относительно предпочтительных для </w:t>
      </w:r>
      <w:r w:rsidR="001C6C8D" w:rsidRPr="001C6C8D">
        <w:rPr>
          <w:szCs w:val="22"/>
        </w:rPr>
        <w:t>GAC</w:t>
      </w:r>
      <w:r w:rsidR="001C6C8D" w:rsidRPr="001C6C8D">
        <w:rPr>
          <w:szCs w:val="22"/>
          <w:lang w:val="ru-RU"/>
        </w:rPr>
        <w:t xml:space="preserve"> критериев правомочности МПО на охрану (включая договорные МПО с международной правосубъектностью, или МПО, являющиеся наблюдателями в ООН, или МПО, являющиеся фондами либо программами ООН) наряду со списком пользующихся такой охраной полных и сокращенных названий МПО</w:t>
      </w:r>
      <w:r w:rsidR="00192C16" w:rsidRPr="001C6C8D">
        <w:rPr>
          <w:szCs w:val="22"/>
          <w:lang w:val="ru-RU"/>
        </w:rPr>
        <w:t>.</w:t>
      </w:r>
      <w:r w:rsidR="00192C16" w:rsidRPr="006475B9">
        <w:rPr>
          <w:rStyle w:val="FootnoteReference"/>
          <w:szCs w:val="22"/>
        </w:rPr>
        <w:footnoteReference w:id="47"/>
      </w:r>
    </w:p>
    <w:p w:rsidR="00192C16" w:rsidRPr="001C6C8D" w:rsidRDefault="00192C16" w:rsidP="00192C16">
      <w:pPr>
        <w:rPr>
          <w:szCs w:val="22"/>
          <w:lang w:val="ru-RU"/>
        </w:rPr>
      </w:pPr>
    </w:p>
    <w:p w:rsidR="00192C16" w:rsidRPr="00160DF4" w:rsidRDefault="00FD494F" w:rsidP="000A537D">
      <w:pPr>
        <w:pStyle w:val="ListParagraph"/>
        <w:numPr>
          <w:ilvl w:val="0"/>
          <w:numId w:val="10"/>
        </w:numPr>
        <w:ind w:left="0" w:firstLine="0"/>
        <w:rPr>
          <w:szCs w:val="22"/>
          <w:lang w:val="ru-RU"/>
        </w:rPr>
      </w:pPr>
      <w:r>
        <w:rPr>
          <w:szCs w:val="22"/>
          <w:lang w:val="ru-RU"/>
        </w:rPr>
        <w:t>Первого</w:t>
      </w:r>
      <w:r w:rsidRPr="00B84E4B">
        <w:rPr>
          <w:szCs w:val="22"/>
          <w:lang w:val="ru-RU"/>
        </w:rPr>
        <w:t xml:space="preserve"> </w:t>
      </w:r>
      <w:r w:rsidR="00843F3D" w:rsidRPr="00843F3D">
        <w:rPr>
          <w:szCs w:val="22"/>
          <w:lang w:val="ru-RU"/>
        </w:rPr>
        <w:t>апреля</w:t>
      </w:r>
      <w:r w:rsidR="00843F3D" w:rsidRPr="00B84E4B">
        <w:rPr>
          <w:szCs w:val="22"/>
          <w:lang w:val="ru-RU"/>
        </w:rPr>
        <w:t xml:space="preserve"> 2013</w:t>
      </w:r>
      <w:r w:rsidRPr="00FD494F">
        <w:rPr>
          <w:szCs w:val="22"/>
        </w:rPr>
        <w:t> </w:t>
      </w:r>
      <w:r w:rsidR="00843F3D" w:rsidRPr="00843F3D">
        <w:rPr>
          <w:szCs w:val="22"/>
          <w:lang w:val="ru-RU"/>
        </w:rPr>
        <w:t>г</w:t>
      </w:r>
      <w:r w:rsidR="00843F3D" w:rsidRPr="00B84E4B">
        <w:rPr>
          <w:szCs w:val="22"/>
          <w:lang w:val="ru-RU"/>
        </w:rPr>
        <w:t xml:space="preserve">. </w:t>
      </w:r>
      <w:r w:rsidR="00843F3D" w:rsidRPr="00843F3D">
        <w:rPr>
          <w:szCs w:val="22"/>
          <w:lang w:val="ru-RU"/>
        </w:rPr>
        <w:t>Совет</w:t>
      </w:r>
      <w:r w:rsidR="00843F3D" w:rsidRPr="00B84E4B">
        <w:rPr>
          <w:szCs w:val="22"/>
          <w:lang w:val="ru-RU"/>
        </w:rPr>
        <w:t xml:space="preserve"> </w:t>
      </w:r>
      <w:r w:rsidR="00AF55DD">
        <w:rPr>
          <w:szCs w:val="22"/>
          <w:lang w:val="ru-RU"/>
        </w:rPr>
        <w:t xml:space="preserve">дал </w:t>
      </w:r>
      <w:r w:rsidR="00843F3D" w:rsidRPr="00843F3D">
        <w:rPr>
          <w:szCs w:val="22"/>
        </w:rPr>
        <w:t>GAC</w:t>
      </w:r>
      <w:r w:rsidR="00AF55DD">
        <w:rPr>
          <w:szCs w:val="22"/>
          <w:lang w:val="ru-RU"/>
        </w:rPr>
        <w:t xml:space="preserve"> ответ в</w:t>
      </w:r>
      <w:r w:rsidR="00843F3D" w:rsidRPr="00B84E4B">
        <w:rPr>
          <w:szCs w:val="22"/>
          <w:lang w:val="ru-RU"/>
        </w:rPr>
        <w:t xml:space="preserve"> </w:t>
      </w:r>
      <w:r w:rsidR="00843F3D" w:rsidRPr="00843F3D">
        <w:rPr>
          <w:szCs w:val="22"/>
          <w:lang w:val="ru-RU"/>
        </w:rPr>
        <w:t>письм</w:t>
      </w:r>
      <w:r w:rsidR="00AF55DD">
        <w:rPr>
          <w:szCs w:val="22"/>
          <w:lang w:val="ru-RU"/>
        </w:rPr>
        <w:t>е</w:t>
      </w:r>
      <w:r w:rsidR="00843F3D" w:rsidRPr="00B84E4B">
        <w:rPr>
          <w:szCs w:val="22"/>
          <w:lang w:val="ru-RU"/>
        </w:rPr>
        <w:t xml:space="preserve">, </w:t>
      </w:r>
      <w:r w:rsidR="00843F3D" w:rsidRPr="00843F3D">
        <w:rPr>
          <w:szCs w:val="22"/>
          <w:lang w:val="ru-RU"/>
        </w:rPr>
        <w:t>в</w:t>
      </w:r>
      <w:r w:rsidR="00843F3D" w:rsidRPr="00B84E4B">
        <w:rPr>
          <w:szCs w:val="22"/>
          <w:lang w:val="ru-RU"/>
        </w:rPr>
        <w:t xml:space="preserve"> </w:t>
      </w:r>
      <w:r w:rsidR="00843F3D" w:rsidRPr="00843F3D">
        <w:rPr>
          <w:szCs w:val="22"/>
          <w:lang w:val="ru-RU"/>
        </w:rPr>
        <w:t>котором</w:t>
      </w:r>
      <w:r w:rsidR="00843F3D" w:rsidRPr="00B84E4B">
        <w:rPr>
          <w:szCs w:val="22"/>
          <w:lang w:val="ru-RU"/>
        </w:rPr>
        <w:t xml:space="preserve"> </w:t>
      </w:r>
      <w:r w:rsidR="00843F3D" w:rsidRPr="00843F3D">
        <w:rPr>
          <w:szCs w:val="22"/>
          <w:lang w:val="ru-RU"/>
        </w:rPr>
        <w:t>поставил</w:t>
      </w:r>
      <w:r w:rsidR="00843F3D" w:rsidRPr="00B84E4B">
        <w:rPr>
          <w:szCs w:val="22"/>
          <w:lang w:val="ru-RU"/>
        </w:rPr>
        <w:t xml:space="preserve"> </w:t>
      </w:r>
      <w:r w:rsidR="00843F3D" w:rsidRPr="00843F3D">
        <w:rPr>
          <w:szCs w:val="22"/>
          <w:lang w:val="ru-RU"/>
        </w:rPr>
        <w:t>некоторые</w:t>
      </w:r>
      <w:r w:rsidR="00843F3D" w:rsidRPr="00B84E4B">
        <w:rPr>
          <w:szCs w:val="22"/>
          <w:lang w:val="ru-RU"/>
        </w:rPr>
        <w:t xml:space="preserve"> </w:t>
      </w:r>
      <w:r w:rsidR="00843F3D" w:rsidRPr="00843F3D">
        <w:rPr>
          <w:szCs w:val="22"/>
          <w:lang w:val="ru-RU"/>
        </w:rPr>
        <w:t>вопросы</w:t>
      </w:r>
      <w:r w:rsidR="00843F3D" w:rsidRPr="00B84E4B">
        <w:rPr>
          <w:szCs w:val="22"/>
          <w:lang w:val="ru-RU"/>
        </w:rPr>
        <w:t xml:space="preserve"> </w:t>
      </w:r>
      <w:r w:rsidR="00843F3D" w:rsidRPr="00843F3D">
        <w:rPr>
          <w:szCs w:val="22"/>
          <w:lang w:val="ru-RU"/>
        </w:rPr>
        <w:t>относительно</w:t>
      </w:r>
      <w:r w:rsidR="00B84E4B" w:rsidRPr="00B84E4B">
        <w:rPr>
          <w:szCs w:val="22"/>
          <w:lang w:val="ru-RU"/>
        </w:rPr>
        <w:t xml:space="preserve"> того, как </w:t>
      </w:r>
      <w:r w:rsidR="00AF55DD">
        <w:rPr>
          <w:szCs w:val="22"/>
          <w:lang w:val="ru-RU"/>
        </w:rPr>
        <w:t xml:space="preserve">предлагается </w:t>
      </w:r>
      <w:r w:rsidR="00B84E4B">
        <w:rPr>
          <w:szCs w:val="22"/>
          <w:lang w:val="ru-RU"/>
        </w:rPr>
        <w:t>«уравнове</w:t>
      </w:r>
      <w:r w:rsidR="00AF55DD">
        <w:rPr>
          <w:szCs w:val="22"/>
          <w:lang w:val="ru-RU"/>
        </w:rPr>
        <w:t>сить</w:t>
      </w:r>
      <w:r w:rsidR="00B84E4B">
        <w:rPr>
          <w:szCs w:val="22"/>
          <w:lang w:val="ru-RU"/>
        </w:rPr>
        <w:t xml:space="preserve">» </w:t>
      </w:r>
      <w:r w:rsidR="00B84E4B" w:rsidRPr="00B84E4B">
        <w:rPr>
          <w:szCs w:val="22"/>
          <w:lang w:val="ru-RU"/>
        </w:rPr>
        <w:t>охран</w:t>
      </w:r>
      <w:r w:rsidR="00AF55DD">
        <w:rPr>
          <w:szCs w:val="22"/>
          <w:lang w:val="ru-RU"/>
        </w:rPr>
        <w:t>у</w:t>
      </w:r>
      <w:r w:rsidR="00B84E4B" w:rsidRPr="00B84E4B">
        <w:rPr>
          <w:szCs w:val="22"/>
          <w:lang w:val="ru-RU"/>
        </w:rPr>
        <w:t xml:space="preserve"> сокращенных названий МПО </w:t>
      </w:r>
      <w:r w:rsidR="00AF55DD">
        <w:rPr>
          <w:szCs w:val="22"/>
          <w:lang w:val="ru-RU"/>
        </w:rPr>
        <w:t>с</w:t>
      </w:r>
      <w:r w:rsidR="00B84E4B" w:rsidRPr="00B84E4B">
        <w:rPr>
          <w:szCs w:val="22"/>
          <w:lang w:val="ru-RU"/>
        </w:rPr>
        <w:t xml:space="preserve"> некоторы</w:t>
      </w:r>
      <w:r w:rsidR="00AF55DD">
        <w:rPr>
          <w:szCs w:val="22"/>
          <w:lang w:val="ru-RU"/>
        </w:rPr>
        <w:t>ми</w:t>
      </w:r>
      <w:r w:rsidR="00B84E4B" w:rsidRPr="00B84E4B">
        <w:rPr>
          <w:szCs w:val="22"/>
          <w:lang w:val="ru-RU"/>
        </w:rPr>
        <w:t xml:space="preserve"> потенциально законны</w:t>
      </w:r>
      <w:r w:rsidR="00AF55DD">
        <w:rPr>
          <w:szCs w:val="22"/>
          <w:lang w:val="ru-RU"/>
        </w:rPr>
        <w:t>ми</w:t>
      </w:r>
      <w:r w:rsidR="00B84E4B" w:rsidRPr="00B84E4B">
        <w:rPr>
          <w:szCs w:val="22"/>
          <w:lang w:val="ru-RU"/>
        </w:rPr>
        <w:t xml:space="preserve"> попытк</w:t>
      </w:r>
      <w:r w:rsidR="00AF55DD">
        <w:rPr>
          <w:szCs w:val="22"/>
          <w:lang w:val="ru-RU"/>
        </w:rPr>
        <w:t>ам</w:t>
      </w:r>
      <w:r w:rsidR="00B84E4B" w:rsidRPr="00B84E4B">
        <w:rPr>
          <w:szCs w:val="22"/>
          <w:lang w:val="ru-RU"/>
        </w:rPr>
        <w:t xml:space="preserve">и третьих сторон зарегистрировать доменные имена, соответствующие охраняемому сокращенному названию МПО, и в связи с </w:t>
      </w:r>
      <w:r w:rsidR="00B84E4B">
        <w:rPr>
          <w:szCs w:val="22"/>
          <w:lang w:val="ru-RU"/>
        </w:rPr>
        <w:t>этим</w:t>
      </w:r>
      <w:r w:rsidR="00B84E4B" w:rsidRPr="00B84E4B">
        <w:rPr>
          <w:szCs w:val="22"/>
          <w:lang w:val="ru-RU"/>
        </w:rPr>
        <w:t xml:space="preserve"> запрашивались дополнительные сведения относительно возможных средств, с помощью которых можно было бы на практике регулировать случаи потенциально легитимного совместного использования.</w:t>
      </w:r>
      <w:r w:rsidR="00192C16" w:rsidRPr="006475B9">
        <w:rPr>
          <w:rStyle w:val="FootnoteReference"/>
          <w:szCs w:val="22"/>
        </w:rPr>
        <w:footnoteReference w:id="48"/>
      </w:r>
      <w:r w:rsidR="00192C16" w:rsidRPr="00B84E4B">
        <w:rPr>
          <w:szCs w:val="22"/>
          <w:lang w:val="ru-RU"/>
        </w:rPr>
        <w:t xml:space="preserve">  </w:t>
      </w:r>
      <w:r w:rsidR="00160DF4" w:rsidRPr="00160DF4">
        <w:rPr>
          <w:szCs w:val="22"/>
          <w:lang w:val="ru-RU"/>
        </w:rPr>
        <w:t xml:space="preserve">В ответе </w:t>
      </w:r>
      <w:r w:rsidR="00160DF4" w:rsidRPr="00160DF4">
        <w:rPr>
          <w:szCs w:val="22"/>
        </w:rPr>
        <w:t>GAC</w:t>
      </w:r>
      <w:r w:rsidR="00160DF4" w:rsidRPr="00160DF4">
        <w:rPr>
          <w:szCs w:val="22"/>
          <w:lang w:val="ru-RU"/>
        </w:rPr>
        <w:t xml:space="preserve"> подчеркивается, что МПО</w:t>
      </w:r>
      <w:r w:rsidR="00DE1426">
        <w:rPr>
          <w:szCs w:val="22"/>
          <w:lang w:val="ru-RU"/>
        </w:rPr>
        <w:t>,</w:t>
      </w:r>
      <w:r w:rsidR="00160DF4" w:rsidRPr="00160DF4">
        <w:rPr>
          <w:szCs w:val="22"/>
          <w:lang w:val="ru-RU"/>
        </w:rPr>
        <w:t xml:space="preserve"> выполня</w:t>
      </w:r>
      <w:r w:rsidR="00DE1426">
        <w:rPr>
          <w:szCs w:val="22"/>
          <w:lang w:val="ru-RU"/>
        </w:rPr>
        <w:t>я</w:t>
      </w:r>
      <w:r w:rsidR="00160DF4" w:rsidRPr="00160DF4">
        <w:rPr>
          <w:szCs w:val="22"/>
          <w:lang w:val="ru-RU"/>
        </w:rPr>
        <w:t xml:space="preserve"> важную глобальную общественную миссию, привержены цели активного поиска пути вперед, и вновь повторяется рекомендация Совету </w:t>
      </w:r>
      <w:r w:rsidR="00160DF4" w:rsidRPr="00160DF4">
        <w:rPr>
          <w:szCs w:val="22"/>
        </w:rPr>
        <w:t>ICANN</w:t>
      </w:r>
      <w:r w:rsidR="00160DF4" w:rsidRPr="00160DF4">
        <w:rPr>
          <w:szCs w:val="22"/>
          <w:lang w:val="ru-RU"/>
        </w:rPr>
        <w:t xml:space="preserve"> о том, чтобы была обеспечена надлежащая превентивная первоначальная охрана полных и сокращенных названий МПО, включенных в список, до присуждения любых новых рДВУ</w:t>
      </w:r>
      <w:r w:rsidR="00192C16" w:rsidRPr="00160DF4">
        <w:rPr>
          <w:szCs w:val="22"/>
          <w:lang w:val="ru-RU"/>
        </w:rPr>
        <w:t>.</w:t>
      </w:r>
      <w:r w:rsidR="00192C16" w:rsidRPr="006475B9">
        <w:rPr>
          <w:rStyle w:val="FootnoteReference"/>
          <w:szCs w:val="22"/>
        </w:rPr>
        <w:footnoteReference w:id="49"/>
      </w:r>
    </w:p>
    <w:p w:rsidR="00192C16" w:rsidRPr="00160DF4" w:rsidRDefault="00192C16" w:rsidP="000A537D">
      <w:pPr>
        <w:rPr>
          <w:szCs w:val="22"/>
          <w:lang w:val="ru-RU"/>
        </w:rPr>
      </w:pPr>
    </w:p>
    <w:p w:rsidR="00192C16" w:rsidRPr="006B798E" w:rsidRDefault="0033042E" w:rsidP="000A537D">
      <w:pPr>
        <w:pStyle w:val="ListParagraph"/>
        <w:numPr>
          <w:ilvl w:val="0"/>
          <w:numId w:val="10"/>
        </w:numPr>
        <w:ind w:left="0" w:firstLine="0"/>
        <w:rPr>
          <w:szCs w:val="22"/>
          <w:lang w:val="ru-RU"/>
        </w:rPr>
      </w:pPr>
      <w:r w:rsidRPr="0033042E">
        <w:rPr>
          <w:szCs w:val="22"/>
          <w:lang w:val="ru-RU"/>
        </w:rPr>
        <w:t>В июле 2013</w:t>
      </w:r>
      <w:r w:rsidR="006B798E">
        <w:rPr>
          <w:szCs w:val="22"/>
          <w:lang w:val="ru-RU"/>
        </w:rPr>
        <w:t> </w:t>
      </w:r>
      <w:r w:rsidRPr="0033042E">
        <w:rPr>
          <w:szCs w:val="22"/>
          <w:lang w:val="ru-RU"/>
        </w:rPr>
        <w:t xml:space="preserve">г., после новых обсуждений с </w:t>
      </w:r>
      <w:r w:rsidRPr="0033042E">
        <w:rPr>
          <w:szCs w:val="22"/>
        </w:rPr>
        <w:t>ICANN</w:t>
      </w:r>
      <w:r w:rsidRPr="0033042E">
        <w:rPr>
          <w:szCs w:val="22"/>
          <w:lang w:val="ru-RU"/>
        </w:rPr>
        <w:t xml:space="preserve"> и систематических усилий со стороны МПО, </w:t>
      </w:r>
      <w:r w:rsidRPr="0033042E">
        <w:rPr>
          <w:szCs w:val="22"/>
        </w:rPr>
        <w:t>GAC</w:t>
      </w:r>
      <w:r w:rsidRPr="0033042E">
        <w:rPr>
          <w:szCs w:val="22"/>
          <w:lang w:val="ru-RU"/>
        </w:rPr>
        <w:t xml:space="preserve"> направил Совету </w:t>
      </w:r>
      <w:r w:rsidRPr="0033042E">
        <w:rPr>
          <w:szCs w:val="22"/>
        </w:rPr>
        <w:t>ICANN</w:t>
      </w:r>
      <w:r w:rsidRPr="0033042E">
        <w:rPr>
          <w:szCs w:val="22"/>
          <w:lang w:val="ru-RU"/>
        </w:rPr>
        <w:t xml:space="preserve"> уведомление</w:t>
      </w:r>
      <w:r w:rsidR="000B18C1">
        <w:rPr>
          <w:szCs w:val="22"/>
          <w:lang w:val="ru-RU"/>
        </w:rPr>
        <w:t>,</w:t>
      </w:r>
      <w:r w:rsidRPr="0033042E">
        <w:rPr>
          <w:szCs w:val="22"/>
          <w:lang w:val="ru-RU"/>
        </w:rPr>
        <w:t xml:space="preserve"> подтверждающее поддержку с его стороны особой превентивной охраны полных и сокращенных названий МПО в </w:t>
      </w:r>
      <w:r w:rsidRPr="0033042E">
        <w:rPr>
          <w:szCs w:val="22"/>
        </w:rPr>
        <w:t>DNS</w:t>
      </w:r>
      <w:r w:rsidR="003A76E5" w:rsidRPr="0033042E">
        <w:rPr>
          <w:szCs w:val="22"/>
          <w:lang w:val="ru-RU"/>
        </w:rPr>
        <w:t>.</w:t>
      </w:r>
      <w:r w:rsidR="00192C16" w:rsidRPr="006475B9">
        <w:rPr>
          <w:rStyle w:val="FootnoteReference"/>
          <w:szCs w:val="22"/>
        </w:rPr>
        <w:footnoteReference w:id="50"/>
      </w:r>
      <w:r w:rsidR="003A76E5" w:rsidRPr="0033042E">
        <w:rPr>
          <w:szCs w:val="22"/>
          <w:lang w:val="ru-RU"/>
        </w:rPr>
        <w:t xml:space="preserve">  </w:t>
      </w:r>
      <w:r w:rsidR="006B798E" w:rsidRPr="006B798E">
        <w:rPr>
          <w:szCs w:val="22"/>
          <w:lang w:val="ru-RU"/>
        </w:rPr>
        <w:t xml:space="preserve">В порядке выполнения этой рекомендации Совет </w:t>
      </w:r>
      <w:r w:rsidR="006B798E" w:rsidRPr="006B798E">
        <w:rPr>
          <w:szCs w:val="22"/>
        </w:rPr>
        <w:t>ICANN</w:t>
      </w:r>
      <w:r w:rsidR="006B798E" w:rsidRPr="006B798E">
        <w:rPr>
          <w:szCs w:val="22"/>
          <w:lang w:val="ru-RU"/>
        </w:rPr>
        <w:t xml:space="preserve"> принял решение, расширяющее объем временной охраны названий МПО впредь до проведения первого заседания Программного комитета </w:t>
      </w:r>
      <w:r w:rsidR="006B798E" w:rsidRPr="006B798E">
        <w:rPr>
          <w:szCs w:val="22"/>
        </w:rPr>
        <w:t>ICANN</w:t>
      </w:r>
      <w:r w:rsidR="006B798E" w:rsidRPr="006B798E">
        <w:rPr>
          <w:szCs w:val="22"/>
          <w:lang w:val="ru-RU"/>
        </w:rPr>
        <w:t xml:space="preserve"> по новым рДВУ (</w:t>
      </w:r>
      <w:r w:rsidR="006B798E" w:rsidRPr="006B798E">
        <w:rPr>
          <w:szCs w:val="22"/>
        </w:rPr>
        <w:t>NGPC</w:t>
      </w:r>
      <w:r w:rsidR="006B798E" w:rsidRPr="006B798E">
        <w:rPr>
          <w:szCs w:val="22"/>
          <w:lang w:val="ru-RU"/>
        </w:rPr>
        <w:t xml:space="preserve">) после сессии </w:t>
      </w:r>
      <w:r w:rsidR="006B798E" w:rsidRPr="006B798E">
        <w:rPr>
          <w:szCs w:val="22"/>
        </w:rPr>
        <w:t>ICANN</w:t>
      </w:r>
      <w:r w:rsidR="006B798E" w:rsidRPr="006B798E">
        <w:rPr>
          <w:szCs w:val="22"/>
          <w:lang w:val="ru-RU"/>
        </w:rPr>
        <w:t xml:space="preserve"> в ноябре </w:t>
      </w:r>
      <w:r w:rsidR="006B798E">
        <w:rPr>
          <w:szCs w:val="22"/>
          <w:lang w:val="ru-RU"/>
        </w:rPr>
        <w:t>2013 </w:t>
      </w:r>
      <w:r w:rsidR="006B798E" w:rsidRPr="006B798E">
        <w:rPr>
          <w:szCs w:val="22"/>
          <w:lang w:val="ru-RU"/>
        </w:rPr>
        <w:t>г</w:t>
      </w:r>
      <w:r w:rsidR="00C96755" w:rsidRPr="006B798E">
        <w:rPr>
          <w:szCs w:val="22"/>
          <w:lang w:val="ru-RU"/>
        </w:rPr>
        <w:t>.</w:t>
      </w:r>
      <w:r w:rsidR="00C96755" w:rsidRPr="006475B9">
        <w:rPr>
          <w:rStyle w:val="FootnoteReference"/>
          <w:szCs w:val="22"/>
        </w:rPr>
        <w:footnoteReference w:id="51"/>
      </w:r>
    </w:p>
    <w:p w:rsidR="00192C16" w:rsidRPr="006B798E" w:rsidRDefault="00192C16" w:rsidP="000A537D">
      <w:pPr>
        <w:rPr>
          <w:szCs w:val="22"/>
          <w:lang w:val="ru-RU"/>
        </w:rPr>
      </w:pPr>
    </w:p>
    <w:p w:rsidR="00192C16" w:rsidRPr="00F96760" w:rsidRDefault="00831AF6" w:rsidP="000A537D">
      <w:pPr>
        <w:pStyle w:val="ListParagraph"/>
        <w:numPr>
          <w:ilvl w:val="0"/>
          <w:numId w:val="10"/>
        </w:numPr>
        <w:ind w:left="0" w:firstLine="0"/>
        <w:rPr>
          <w:szCs w:val="22"/>
          <w:lang w:val="ru-RU"/>
        </w:rPr>
      </w:pPr>
      <w:r w:rsidRPr="00831AF6">
        <w:rPr>
          <w:szCs w:val="22"/>
          <w:lang w:val="ru-RU"/>
        </w:rPr>
        <w:t>В октябре</w:t>
      </w:r>
      <w:r>
        <w:rPr>
          <w:szCs w:val="22"/>
          <w:lang w:val="ru-RU"/>
        </w:rPr>
        <w:t xml:space="preserve"> </w:t>
      </w:r>
      <w:r w:rsidRPr="00831AF6">
        <w:rPr>
          <w:szCs w:val="22"/>
          <w:lang w:val="ru-RU"/>
        </w:rPr>
        <w:t>2013</w:t>
      </w:r>
      <w:r>
        <w:rPr>
          <w:szCs w:val="22"/>
          <w:lang w:val="ru-RU"/>
        </w:rPr>
        <w:t> </w:t>
      </w:r>
      <w:r w:rsidRPr="00831AF6">
        <w:rPr>
          <w:szCs w:val="22"/>
          <w:lang w:val="ru-RU"/>
        </w:rPr>
        <w:t xml:space="preserve">г. </w:t>
      </w:r>
      <w:r w:rsidRPr="00831AF6">
        <w:rPr>
          <w:szCs w:val="22"/>
        </w:rPr>
        <w:t>NGPC</w:t>
      </w:r>
      <w:r w:rsidRPr="00831AF6">
        <w:rPr>
          <w:szCs w:val="22"/>
          <w:lang w:val="ru-RU"/>
        </w:rPr>
        <w:t xml:space="preserve"> выступил с предложением об охране сокращенных названий МПО на втором уровне, что отнюдь не соответствовало обеспечению для сокращенных названий МПО постоянной превентивной охраны, предусматривавшейся в более ранних коммюнике </w:t>
      </w:r>
      <w:r w:rsidRPr="00831AF6">
        <w:rPr>
          <w:szCs w:val="22"/>
        </w:rPr>
        <w:t>GAC</w:t>
      </w:r>
      <w:r w:rsidR="00192C16" w:rsidRPr="00831AF6">
        <w:rPr>
          <w:szCs w:val="22"/>
          <w:lang w:val="ru-RU"/>
        </w:rPr>
        <w:t>.</w:t>
      </w:r>
      <w:r w:rsidR="003A76E5">
        <w:rPr>
          <w:rStyle w:val="FootnoteReference"/>
          <w:szCs w:val="22"/>
        </w:rPr>
        <w:footnoteReference w:id="52"/>
      </w:r>
      <w:r w:rsidR="00192C16" w:rsidRPr="00831AF6">
        <w:rPr>
          <w:szCs w:val="22"/>
          <w:lang w:val="ru-RU"/>
        </w:rPr>
        <w:t xml:space="preserve">  </w:t>
      </w:r>
      <w:r w:rsidR="00F96760" w:rsidRPr="00F96760">
        <w:rPr>
          <w:szCs w:val="22"/>
          <w:lang w:val="ru-RU"/>
        </w:rPr>
        <w:t xml:space="preserve">Коалиция МПО ответила </w:t>
      </w:r>
      <w:r w:rsidR="00F96760" w:rsidRPr="00F96760">
        <w:rPr>
          <w:szCs w:val="22"/>
        </w:rPr>
        <w:t>NGPC</w:t>
      </w:r>
      <w:r w:rsidR="00F96760" w:rsidRPr="00F96760">
        <w:rPr>
          <w:szCs w:val="22"/>
          <w:lang w:val="ru-RU"/>
        </w:rPr>
        <w:t xml:space="preserve">, указав на свое разочарование по поводу этого предложения, </w:t>
      </w:r>
      <w:r w:rsidR="00F96760">
        <w:rPr>
          <w:szCs w:val="22"/>
          <w:lang w:val="ru-RU"/>
        </w:rPr>
        <w:t>которое</w:t>
      </w:r>
      <w:r w:rsidR="00F96760" w:rsidRPr="00F96760">
        <w:rPr>
          <w:szCs w:val="22"/>
          <w:lang w:val="ru-RU"/>
        </w:rPr>
        <w:t xml:space="preserve"> </w:t>
      </w:r>
      <w:r w:rsidR="005C1815">
        <w:rPr>
          <w:szCs w:val="22"/>
          <w:lang w:val="ru-RU"/>
        </w:rPr>
        <w:t xml:space="preserve">носит сугубо корректирующий характер и никоим образом не пресекает ущерб, нанесенный ранее, и сообщила о своей обеспокоенности </w:t>
      </w:r>
      <w:r w:rsidR="00192C16" w:rsidRPr="000A537D">
        <w:rPr>
          <w:szCs w:val="22"/>
        </w:rPr>
        <w:t>GAC</w:t>
      </w:r>
      <w:r w:rsidR="00192C16" w:rsidRPr="00F96760">
        <w:rPr>
          <w:szCs w:val="22"/>
          <w:lang w:val="ru-RU"/>
        </w:rPr>
        <w:t>.</w:t>
      </w:r>
    </w:p>
    <w:p w:rsidR="00192C16" w:rsidRPr="00F96760" w:rsidRDefault="00192C16" w:rsidP="000A537D">
      <w:pPr>
        <w:rPr>
          <w:szCs w:val="22"/>
          <w:lang w:val="ru-RU"/>
        </w:rPr>
      </w:pPr>
    </w:p>
    <w:p w:rsidR="00192C16" w:rsidRPr="00732E0C" w:rsidRDefault="004D506C" w:rsidP="000A537D">
      <w:pPr>
        <w:pStyle w:val="ListParagraph"/>
        <w:numPr>
          <w:ilvl w:val="0"/>
          <w:numId w:val="10"/>
        </w:numPr>
        <w:ind w:left="0" w:firstLine="0"/>
        <w:rPr>
          <w:szCs w:val="22"/>
          <w:lang w:val="ru-RU"/>
        </w:rPr>
      </w:pPr>
      <w:r w:rsidRPr="004D506C">
        <w:rPr>
          <w:szCs w:val="22"/>
        </w:rPr>
        <w:t>NGPC</w:t>
      </w:r>
      <w:r w:rsidRPr="004D506C">
        <w:rPr>
          <w:szCs w:val="22"/>
          <w:lang w:val="ru-RU"/>
        </w:rPr>
        <w:t xml:space="preserve">, </w:t>
      </w:r>
      <w:r w:rsidRPr="004D506C">
        <w:rPr>
          <w:szCs w:val="22"/>
        </w:rPr>
        <w:t>GAC</w:t>
      </w:r>
      <w:r w:rsidRPr="004D506C">
        <w:rPr>
          <w:szCs w:val="22"/>
          <w:lang w:val="ru-RU"/>
        </w:rPr>
        <w:t xml:space="preserve"> и МПО провели обсуждения в связи с заседанием </w:t>
      </w:r>
      <w:r w:rsidRPr="004D506C">
        <w:rPr>
          <w:szCs w:val="22"/>
        </w:rPr>
        <w:t>ICANN</w:t>
      </w:r>
      <w:r w:rsidRPr="004D506C">
        <w:rPr>
          <w:szCs w:val="22"/>
          <w:lang w:val="ru-RU"/>
        </w:rPr>
        <w:t xml:space="preserve"> в Буэнос-Айресе в ноябре</w:t>
      </w:r>
      <w:r w:rsidR="00732E0C">
        <w:rPr>
          <w:szCs w:val="22"/>
          <w:lang w:val="ru-RU"/>
        </w:rPr>
        <w:t xml:space="preserve"> 2013 </w:t>
      </w:r>
      <w:r w:rsidRPr="004D506C">
        <w:rPr>
          <w:szCs w:val="22"/>
          <w:lang w:val="ru-RU"/>
        </w:rPr>
        <w:t xml:space="preserve">г.  </w:t>
      </w:r>
      <w:r w:rsidRPr="004D506C">
        <w:rPr>
          <w:szCs w:val="22"/>
        </w:rPr>
        <w:t>NGPC</w:t>
      </w:r>
      <w:r w:rsidRPr="004D506C">
        <w:rPr>
          <w:szCs w:val="22"/>
          <w:lang w:val="ru-RU"/>
        </w:rPr>
        <w:t xml:space="preserve"> указал на то, что, хотя конкретные технические моменты в его предложении от октября 2013</w:t>
      </w:r>
      <w:r w:rsidR="00732E0C">
        <w:rPr>
          <w:szCs w:val="22"/>
          <w:lang w:val="ru-RU"/>
        </w:rPr>
        <w:t> </w:t>
      </w:r>
      <w:r w:rsidRPr="004D506C">
        <w:rPr>
          <w:szCs w:val="22"/>
          <w:lang w:val="ru-RU"/>
        </w:rPr>
        <w:t>г. можно доработать, полная превентивная охрана сокращенных названий МПО исключается</w:t>
      </w:r>
      <w:r w:rsidR="00192C16" w:rsidRPr="004D506C">
        <w:rPr>
          <w:szCs w:val="22"/>
          <w:lang w:val="ru-RU"/>
        </w:rPr>
        <w:t xml:space="preserve">.  </w:t>
      </w:r>
      <w:r w:rsidRPr="004D506C">
        <w:rPr>
          <w:szCs w:val="22"/>
        </w:rPr>
        <w:t>GAC</w:t>
      </w:r>
      <w:r w:rsidRPr="004D506C">
        <w:rPr>
          <w:szCs w:val="22"/>
          <w:lang w:val="ru-RU"/>
        </w:rPr>
        <w:t xml:space="preserve"> рекомендовал Совету </w:t>
      </w:r>
      <w:r w:rsidRPr="004D506C">
        <w:rPr>
          <w:szCs w:val="22"/>
        </w:rPr>
        <w:t>ICANN</w:t>
      </w:r>
      <w:r w:rsidRPr="004D506C">
        <w:rPr>
          <w:szCs w:val="22"/>
          <w:lang w:val="ru-RU"/>
        </w:rPr>
        <w:t xml:space="preserve"> оставить в силе временные меры охраны сокращенных названий МПО до тех пор, пока не завершится диалог между </w:t>
      </w:r>
      <w:r w:rsidRPr="004D506C">
        <w:rPr>
          <w:szCs w:val="22"/>
        </w:rPr>
        <w:t>GAC</w:t>
      </w:r>
      <w:r w:rsidRPr="004D506C">
        <w:rPr>
          <w:szCs w:val="22"/>
          <w:lang w:val="ru-RU"/>
        </w:rPr>
        <w:t xml:space="preserve">, </w:t>
      </w:r>
      <w:r w:rsidRPr="004D506C">
        <w:rPr>
          <w:szCs w:val="22"/>
        </w:rPr>
        <w:t>NGPC</w:t>
      </w:r>
      <w:r w:rsidRPr="004D506C">
        <w:rPr>
          <w:szCs w:val="22"/>
          <w:lang w:val="ru-RU"/>
        </w:rPr>
        <w:t xml:space="preserve"> и МПО относительно обеспечения охраны, но </w:t>
      </w:r>
      <w:r>
        <w:rPr>
          <w:szCs w:val="22"/>
          <w:lang w:val="ru-RU"/>
        </w:rPr>
        <w:t xml:space="preserve">не стал </w:t>
      </w:r>
      <w:r w:rsidRPr="004D506C">
        <w:rPr>
          <w:szCs w:val="22"/>
          <w:lang w:val="ru-RU"/>
        </w:rPr>
        <w:t>повтор</w:t>
      </w:r>
      <w:r>
        <w:rPr>
          <w:szCs w:val="22"/>
          <w:lang w:val="ru-RU"/>
        </w:rPr>
        <w:t>ять свою</w:t>
      </w:r>
      <w:r w:rsidRPr="004D506C">
        <w:rPr>
          <w:szCs w:val="22"/>
          <w:lang w:val="ru-RU"/>
        </w:rPr>
        <w:t xml:space="preserve"> прежнюю позицию</w:t>
      </w:r>
      <w:r w:rsidRPr="00732E0C">
        <w:rPr>
          <w:szCs w:val="22"/>
          <w:lang w:val="ru-RU"/>
        </w:rPr>
        <w:t xml:space="preserve"> </w:t>
      </w:r>
      <w:r w:rsidRPr="004D506C">
        <w:rPr>
          <w:szCs w:val="22"/>
          <w:lang w:val="ru-RU"/>
        </w:rPr>
        <w:t>о</w:t>
      </w:r>
      <w:r w:rsidRPr="00732E0C">
        <w:rPr>
          <w:szCs w:val="22"/>
          <w:lang w:val="ru-RU"/>
        </w:rPr>
        <w:t xml:space="preserve"> </w:t>
      </w:r>
      <w:r w:rsidRPr="004D506C">
        <w:rPr>
          <w:szCs w:val="22"/>
          <w:lang w:val="ru-RU"/>
        </w:rPr>
        <w:t>необходимости</w:t>
      </w:r>
      <w:r w:rsidRPr="00732E0C">
        <w:rPr>
          <w:szCs w:val="22"/>
          <w:lang w:val="ru-RU"/>
        </w:rPr>
        <w:t xml:space="preserve"> </w:t>
      </w:r>
      <w:r w:rsidRPr="004D506C">
        <w:rPr>
          <w:szCs w:val="22"/>
          <w:lang w:val="ru-RU"/>
        </w:rPr>
        <w:t>превентивной</w:t>
      </w:r>
      <w:r w:rsidRPr="00732E0C">
        <w:rPr>
          <w:szCs w:val="22"/>
          <w:lang w:val="ru-RU"/>
        </w:rPr>
        <w:t xml:space="preserve"> </w:t>
      </w:r>
      <w:r w:rsidRPr="004D506C">
        <w:rPr>
          <w:szCs w:val="22"/>
          <w:lang w:val="ru-RU"/>
        </w:rPr>
        <w:t>охраны</w:t>
      </w:r>
      <w:r w:rsidR="00192C16" w:rsidRPr="00732E0C">
        <w:rPr>
          <w:szCs w:val="22"/>
          <w:lang w:val="ru-RU"/>
        </w:rPr>
        <w:t>.</w:t>
      </w:r>
      <w:r w:rsidR="00C96755" w:rsidRPr="006475B9">
        <w:rPr>
          <w:rStyle w:val="FootnoteReference"/>
          <w:szCs w:val="22"/>
        </w:rPr>
        <w:footnoteReference w:id="53"/>
      </w:r>
      <w:r w:rsidR="00192C16" w:rsidRPr="00732E0C">
        <w:rPr>
          <w:szCs w:val="22"/>
          <w:lang w:val="ru-RU"/>
        </w:rPr>
        <w:t xml:space="preserve">  </w:t>
      </w:r>
      <w:r w:rsidR="00732E0C">
        <w:rPr>
          <w:szCs w:val="22"/>
          <w:lang w:val="ru-RU"/>
        </w:rPr>
        <w:t>Девятого</w:t>
      </w:r>
      <w:r w:rsidR="00732E0C" w:rsidRPr="00732E0C">
        <w:rPr>
          <w:szCs w:val="22"/>
          <w:lang w:val="ru-RU"/>
        </w:rPr>
        <w:t xml:space="preserve"> января 2014</w:t>
      </w:r>
      <w:r w:rsidR="00732E0C">
        <w:rPr>
          <w:szCs w:val="22"/>
          <w:lang w:val="ru-RU"/>
        </w:rPr>
        <w:t> </w:t>
      </w:r>
      <w:r w:rsidR="00732E0C" w:rsidRPr="00732E0C">
        <w:rPr>
          <w:szCs w:val="22"/>
          <w:lang w:val="ru-RU"/>
        </w:rPr>
        <w:t xml:space="preserve">г. </w:t>
      </w:r>
      <w:r w:rsidR="00732E0C" w:rsidRPr="00732E0C">
        <w:rPr>
          <w:szCs w:val="22"/>
        </w:rPr>
        <w:t>NGPC</w:t>
      </w:r>
      <w:r w:rsidR="00732E0C" w:rsidRPr="00732E0C">
        <w:rPr>
          <w:szCs w:val="22"/>
          <w:lang w:val="ru-RU"/>
        </w:rPr>
        <w:t xml:space="preserve"> принял резолюцию, продлевающую действие временной охраны для сокращенных названий МПО до тех пор, пока </w:t>
      </w:r>
      <w:r w:rsidR="00732E0C" w:rsidRPr="00732E0C">
        <w:rPr>
          <w:szCs w:val="22"/>
        </w:rPr>
        <w:t>NGPC</w:t>
      </w:r>
      <w:r w:rsidR="00732E0C" w:rsidRPr="00732E0C">
        <w:rPr>
          <w:szCs w:val="22"/>
          <w:lang w:val="ru-RU"/>
        </w:rPr>
        <w:t xml:space="preserve"> не </w:t>
      </w:r>
      <w:r w:rsidR="000B18C1">
        <w:rPr>
          <w:szCs w:val="22"/>
          <w:lang w:val="ru-RU"/>
        </w:rPr>
        <w:t xml:space="preserve">примет </w:t>
      </w:r>
      <w:r w:rsidR="00732E0C" w:rsidRPr="00732E0C">
        <w:rPr>
          <w:szCs w:val="22"/>
          <w:lang w:val="ru-RU"/>
        </w:rPr>
        <w:t>окончательное решение</w:t>
      </w:r>
      <w:r w:rsidR="00192C16" w:rsidRPr="00732E0C">
        <w:rPr>
          <w:szCs w:val="22"/>
          <w:lang w:val="ru-RU"/>
        </w:rPr>
        <w:t>.</w:t>
      </w:r>
      <w:r w:rsidR="00C96755" w:rsidRPr="006475B9">
        <w:rPr>
          <w:rStyle w:val="FootnoteReference"/>
          <w:szCs w:val="22"/>
        </w:rPr>
        <w:footnoteReference w:id="54"/>
      </w:r>
    </w:p>
    <w:p w:rsidR="00192C16" w:rsidRPr="00732E0C" w:rsidRDefault="00192C16" w:rsidP="000A537D">
      <w:pPr>
        <w:tabs>
          <w:tab w:val="left" w:pos="1500"/>
        </w:tabs>
        <w:rPr>
          <w:szCs w:val="22"/>
          <w:lang w:val="ru-RU"/>
        </w:rPr>
      </w:pPr>
    </w:p>
    <w:p w:rsidR="00192C16" w:rsidRPr="0027158B" w:rsidRDefault="0077576A" w:rsidP="00715857">
      <w:pPr>
        <w:pStyle w:val="ListParagraph"/>
        <w:keepLines/>
        <w:numPr>
          <w:ilvl w:val="0"/>
          <w:numId w:val="10"/>
        </w:numPr>
        <w:ind w:left="0" w:firstLine="0"/>
        <w:rPr>
          <w:szCs w:val="22"/>
          <w:lang w:val="ru-RU"/>
        </w:rPr>
      </w:pPr>
      <w:r w:rsidRPr="0077576A">
        <w:rPr>
          <w:szCs w:val="22"/>
          <w:lang w:val="ru-RU"/>
        </w:rPr>
        <w:lastRenderedPageBreak/>
        <w:t xml:space="preserve">Параллельно с этими усилиями </w:t>
      </w:r>
      <w:r w:rsidRPr="0077576A">
        <w:rPr>
          <w:szCs w:val="22"/>
        </w:rPr>
        <w:t>GNSO</w:t>
      </w:r>
      <w:r w:rsidRPr="0077576A">
        <w:rPr>
          <w:szCs w:val="22"/>
          <w:lang w:val="ru-RU"/>
        </w:rPr>
        <w:t xml:space="preserve"> </w:t>
      </w:r>
      <w:r w:rsidRPr="0077576A">
        <w:rPr>
          <w:szCs w:val="22"/>
        </w:rPr>
        <w:t>ICANN</w:t>
      </w:r>
      <w:r w:rsidRPr="0077576A">
        <w:rPr>
          <w:szCs w:val="22"/>
          <w:lang w:val="ru-RU"/>
        </w:rPr>
        <w:t xml:space="preserve"> приступила к «процессу разработки политики» (ПРП) по вопросу об охране МПО, в котором Центр участвовал совместно с другими представителями МПО. </w:t>
      </w:r>
      <w:r w:rsidR="0027158B">
        <w:rPr>
          <w:szCs w:val="22"/>
          <w:lang w:val="ru-RU"/>
        </w:rPr>
        <w:t xml:space="preserve"> </w:t>
      </w:r>
      <w:r w:rsidRPr="0077576A">
        <w:rPr>
          <w:szCs w:val="22"/>
          <w:lang w:val="ru-RU"/>
        </w:rPr>
        <w:t>Вопреки возражениям МПО, в ноябре 2013</w:t>
      </w:r>
      <w:r w:rsidR="0027158B">
        <w:rPr>
          <w:szCs w:val="22"/>
          <w:lang w:val="ru-RU"/>
        </w:rPr>
        <w:t> </w:t>
      </w:r>
      <w:r w:rsidRPr="0077576A">
        <w:rPr>
          <w:szCs w:val="22"/>
          <w:lang w:val="ru-RU"/>
        </w:rPr>
        <w:t xml:space="preserve">г. данный процесс, проводимый </w:t>
      </w:r>
      <w:r w:rsidRPr="0077576A">
        <w:rPr>
          <w:szCs w:val="22"/>
        </w:rPr>
        <w:t>GNSO</w:t>
      </w:r>
      <w:r w:rsidRPr="0077576A">
        <w:rPr>
          <w:szCs w:val="22"/>
          <w:lang w:val="ru-RU"/>
        </w:rPr>
        <w:t>, вынес решение, направленное против превентивной охраны сокращенных названий МПО на втором уровне.</w:t>
      </w:r>
      <w:r w:rsidR="00C752BE">
        <w:rPr>
          <w:szCs w:val="22"/>
          <w:lang w:val="ru-RU"/>
        </w:rPr>
        <w:t xml:space="preserve"> </w:t>
      </w:r>
      <w:r w:rsidRPr="0077576A">
        <w:rPr>
          <w:szCs w:val="22"/>
          <w:lang w:val="ru-RU"/>
        </w:rPr>
        <w:t xml:space="preserve"> Вместо этого </w:t>
      </w:r>
      <w:r w:rsidR="0027158B">
        <w:rPr>
          <w:szCs w:val="22"/>
          <w:lang w:val="ru-RU"/>
        </w:rPr>
        <w:t>были</w:t>
      </w:r>
      <w:r w:rsidRPr="0077576A">
        <w:rPr>
          <w:szCs w:val="22"/>
          <w:lang w:val="ru-RU"/>
        </w:rPr>
        <w:t xml:space="preserve"> рекомендова</w:t>
      </w:r>
      <w:r w:rsidR="0027158B">
        <w:rPr>
          <w:szCs w:val="22"/>
          <w:lang w:val="ru-RU"/>
        </w:rPr>
        <w:t>ны</w:t>
      </w:r>
      <w:r w:rsidRPr="0077576A">
        <w:rPr>
          <w:szCs w:val="22"/>
          <w:lang w:val="ru-RU"/>
        </w:rPr>
        <w:t xml:space="preserve"> лишь механизмы охраны сокращенных названий МПО корректирующего типа, а также исключение уже действующих временных мер охраны сокращенных названий МПО.  Эти рекомендации были приняты единогласно Советом </w:t>
      </w:r>
      <w:r w:rsidRPr="0077576A">
        <w:rPr>
          <w:szCs w:val="22"/>
        </w:rPr>
        <w:t>GNSO</w:t>
      </w:r>
      <w:r w:rsidRPr="0077576A">
        <w:rPr>
          <w:szCs w:val="22"/>
          <w:lang w:val="ru-RU"/>
        </w:rPr>
        <w:t xml:space="preserve"> 20</w:t>
      </w:r>
      <w:r w:rsidR="0027158B">
        <w:rPr>
          <w:szCs w:val="22"/>
          <w:lang w:val="ru-RU"/>
        </w:rPr>
        <w:t> </w:t>
      </w:r>
      <w:r w:rsidRPr="0077576A">
        <w:rPr>
          <w:szCs w:val="22"/>
          <w:lang w:val="ru-RU"/>
        </w:rPr>
        <w:t>ноября 2013</w:t>
      </w:r>
      <w:r w:rsidR="0027158B">
        <w:rPr>
          <w:szCs w:val="22"/>
          <w:lang w:val="fr-CH"/>
        </w:rPr>
        <w:t> </w:t>
      </w:r>
      <w:r w:rsidRPr="0077576A">
        <w:rPr>
          <w:szCs w:val="22"/>
          <w:lang w:val="ru-RU"/>
        </w:rPr>
        <w:t>г.  В</w:t>
      </w:r>
      <w:r w:rsidRPr="0027158B">
        <w:rPr>
          <w:szCs w:val="22"/>
          <w:lang w:val="ru-RU"/>
        </w:rPr>
        <w:t xml:space="preserve"> </w:t>
      </w:r>
      <w:r w:rsidRPr="0077576A">
        <w:rPr>
          <w:szCs w:val="22"/>
          <w:lang w:val="ru-RU"/>
        </w:rPr>
        <w:t>ответ</w:t>
      </w:r>
      <w:r w:rsidRPr="0027158B">
        <w:rPr>
          <w:szCs w:val="22"/>
          <w:lang w:val="ru-RU"/>
        </w:rPr>
        <w:t xml:space="preserve"> </w:t>
      </w:r>
      <w:r w:rsidRPr="0077576A">
        <w:rPr>
          <w:szCs w:val="22"/>
          <w:lang w:val="ru-RU"/>
        </w:rPr>
        <w:t>МПО</w:t>
      </w:r>
      <w:r w:rsidR="0027158B" w:rsidRPr="0027158B">
        <w:rPr>
          <w:szCs w:val="22"/>
          <w:lang w:val="ru-RU"/>
        </w:rPr>
        <w:t xml:space="preserve"> </w:t>
      </w:r>
      <w:r w:rsidR="0027158B">
        <w:rPr>
          <w:szCs w:val="22"/>
          <w:lang w:val="ru-RU"/>
        </w:rPr>
        <w:t>в</w:t>
      </w:r>
      <w:r w:rsidR="0027158B" w:rsidRPr="0027158B">
        <w:rPr>
          <w:szCs w:val="22"/>
          <w:lang w:val="ru-RU"/>
        </w:rPr>
        <w:t xml:space="preserve"> </w:t>
      </w:r>
      <w:r w:rsidR="0027158B">
        <w:rPr>
          <w:szCs w:val="22"/>
          <w:lang w:val="ru-RU"/>
        </w:rPr>
        <w:t>письме</w:t>
      </w:r>
      <w:r w:rsidR="0027158B" w:rsidRPr="0027158B">
        <w:rPr>
          <w:szCs w:val="22"/>
          <w:lang w:val="ru-RU"/>
        </w:rPr>
        <w:t xml:space="preserve"> </w:t>
      </w:r>
      <w:r w:rsidR="0027158B">
        <w:rPr>
          <w:szCs w:val="22"/>
          <w:lang w:val="ru-RU"/>
        </w:rPr>
        <w:t>от</w:t>
      </w:r>
      <w:r w:rsidR="0027158B" w:rsidRPr="0027158B">
        <w:rPr>
          <w:szCs w:val="22"/>
          <w:lang w:val="ru-RU"/>
        </w:rPr>
        <w:t xml:space="preserve"> </w:t>
      </w:r>
      <w:r w:rsidRPr="0027158B">
        <w:rPr>
          <w:szCs w:val="22"/>
          <w:lang w:val="ru-RU"/>
        </w:rPr>
        <w:t>24</w:t>
      </w:r>
      <w:r w:rsidR="0027158B" w:rsidRPr="0027158B">
        <w:rPr>
          <w:szCs w:val="22"/>
        </w:rPr>
        <w:t> </w:t>
      </w:r>
      <w:r w:rsidRPr="0077576A">
        <w:rPr>
          <w:szCs w:val="22"/>
          <w:lang w:val="ru-RU"/>
        </w:rPr>
        <w:t>января</w:t>
      </w:r>
      <w:r w:rsidRPr="0027158B">
        <w:rPr>
          <w:szCs w:val="22"/>
          <w:lang w:val="ru-RU"/>
        </w:rPr>
        <w:t xml:space="preserve"> 2014</w:t>
      </w:r>
      <w:r w:rsidR="0027158B" w:rsidRPr="0027158B">
        <w:rPr>
          <w:szCs w:val="22"/>
        </w:rPr>
        <w:t> </w:t>
      </w:r>
      <w:r w:rsidRPr="0077576A">
        <w:rPr>
          <w:szCs w:val="22"/>
          <w:lang w:val="ru-RU"/>
        </w:rPr>
        <w:t>г</w:t>
      </w:r>
      <w:r w:rsidRPr="0027158B">
        <w:rPr>
          <w:szCs w:val="22"/>
          <w:lang w:val="ru-RU"/>
        </w:rPr>
        <w:t xml:space="preserve">. </w:t>
      </w:r>
      <w:r w:rsidRPr="0077576A">
        <w:rPr>
          <w:szCs w:val="22"/>
          <w:lang w:val="ru-RU"/>
        </w:rPr>
        <w:t>выразили</w:t>
      </w:r>
      <w:r w:rsidRPr="0027158B">
        <w:rPr>
          <w:szCs w:val="22"/>
          <w:lang w:val="ru-RU"/>
        </w:rPr>
        <w:t xml:space="preserve"> </w:t>
      </w:r>
      <w:r w:rsidRPr="0077576A">
        <w:rPr>
          <w:szCs w:val="22"/>
          <w:lang w:val="ru-RU"/>
        </w:rPr>
        <w:t>свою</w:t>
      </w:r>
      <w:r w:rsidRPr="0027158B">
        <w:rPr>
          <w:szCs w:val="22"/>
          <w:lang w:val="ru-RU"/>
        </w:rPr>
        <w:t xml:space="preserve"> </w:t>
      </w:r>
      <w:r w:rsidRPr="0077576A">
        <w:rPr>
          <w:szCs w:val="22"/>
          <w:lang w:val="ru-RU"/>
        </w:rPr>
        <w:t>обеспокоенность</w:t>
      </w:r>
      <w:r w:rsidR="0027158B" w:rsidRPr="0027158B">
        <w:rPr>
          <w:szCs w:val="22"/>
          <w:lang w:val="ru-RU"/>
        </w:rPr>
        <w:t xml:space="preserve"> </w:t>
      </w:r>
      <w:r w:rsidR="0027158B">
        <w:rPr>
          <w:szCs w:val="22"/>
          <w:lang w:val="ru-RU"/>
        </w:rPr>
        <w:t>развитием</w:t>
      </w:r>
      <w:r w:rsidR="0027158B" w:rsidRPr="0027158B">
        <w:rPr>
          <w:szCs w:val="22"/>
          <w:lang w:val="ru-RU"/>
        </w:rPr>
        <w:t xml:space="preserve"> </w:t>
      </w:r>
      <w:r w:rsidR="0027158B">
        <w:rPr>
          <w:szCs w:val="22"/>
          <w:lang w:val="ru-RU"/>
        </w:rPr>
        <w:t xml:space="preserve">событий, отметив, </w:t>
      </w:r>
      <w:r w:rsidR="0027158B" w:rsidRPr="0027158B">
        <w:rPr>
          <w:szCs w:val="22"/>
          <w:lang w:val="ru-RU"/>
        </w:rPr>
        <w:t>что предусматриваемые в настоящее время механизмы упус</w:t>
      </w:r>
      <w:r w:rsidR="00A5697A">
        <w:rPr>
          <w:szCs w:val="22"/>
          <w:lang w:val="ru-RU"/>
        </w:rPr>
        <w:t xml:space="preserve">кают </w:t>
      </w:r>
      <w:r w:rsidR="0027158B" w:rsidRPr="0027158B">
        <w:rPr>
          <w:szCs w:val="22"/>
          <w:lang w:val="ru-RU"/>
        </w:rPr>
        <w:t>важную возможность пресечь неправомочное использование сокращенных названий МПО</w:t>
      </w:r>
      <w:r w:rsidR="0027158B">
        <w:rPr>
          <w:szCs w:val="22"/>
          <w:lang w:val="ru-RU"/>
        </w:rPr>
        <w:t xml:space="preserve"> в </w:t>
      </w:r>
      <w:r w:rsidR="00192C16" w:rsidRPr="000A537D">
        <w:rPr>
          <w:szCs w:val="22"/>
        </w:rPr>
        <w:t>DNS</w:t>
      </w:r>
      <w:r w:rsidR="00A5697A">
        <w:rPr>
          <w:szCs w:val="22"/>
          <w:lang w:val="ru-RU"/>
        </w:rPr>
        <w:t xml:space="preserve"> во избежание возможного </w:t>
      </w:r>
      <w:r w:rsidR="0027158B">
        <w:rPr>
          <w:szCs w:val="22"/>
          <w:lang w:val="ru-RU"/>
        </w:rPr>
        <w:t>ущерб</w:t>
      </w:r>
      <w:r w:rsidR="00A5697A">
        <w:rPr>
          <w:szCs w:val="22"/>
          <w:lang w:val="ru-RU"/>
        </w:rPr>
        <w:t>а</w:t>
      </w:r>
      <w:r w:rsidR="00192C16" w:rsidRPr="0027158B">
        <w:rPr>
          <w:szCs w:val="22"/>
          <w:lang w:val="ru-RU"/>
        </w:rPr>
        <w:t>.</w:t>
      </w:r>
      <w:r w:rsidR="00192C16" w:rsidRPr="006475B9">
        <w:rPr>
          <w:rStyle w:val="FootnoteReference"/>
          <w:szCs w:val="22"/>
        </w:rPr>
        <w:footnoteReference w:id="55"/>
      </w:r>
    </w:p>
    <w:p w:rsidR="00192C16" w:rsidRPr="0027158B" w:rsidRDefault="00192C16" w:rsidP="00192C16">
      <w:pPr>
        <w:rPr>
          <w:szCs w:val="22"/>
          <w:lang w:val="ru-RU"/>
        </w:rPr>
      </w:pPr>
    </w:p>
    <w:p w:rsidR="00192C16" w:rsidRPr="00877667" w:rsidRDefault="009B2482" w:rsidP="000A537D">
      <w:pPr>
        <w:pStyle w:val="ListParagraph"/>
        <w:numPr>
          <w:ilvl w:val="0"/>
          <w:numId w:val="10"/>
        </w:numPr>
        <w:ind w:left="0" w:firstLine="0"/>
        <w:rPr>
          <w:szCs w:val="22"/>
          <w:lang w:val="ru-RU"/>
        </w:rPr>
      </w:pPr>
      <w:r>
        <w:rPr>
          <w:szCs w:val="22"/>
          <w:lang w:val="ru-RU"/>
        </w:rPr>
        <w:t>Двадцать</w:t>
      </w:r>
      <w:r w:rsidRPr="009B2482">
        <w:rPr>
          <w:szCs w:val="22"/>
          <w:lang w:val="ru-RU"/>
        </w:rPr>
        <w:t xml:space="preserve"> </w:t>
      </w:r>
      <w:r>
        <w:rPr>
          <w:szCs w:val="22"/>
          <w:lang w:val="ru-RU"/>
        </w:rPr>
        <w:t>пятого</w:t>
      </w:r>
      <w:r w:rsidRPr="009B2482">
        <w:rPr>
          <w:szCs w:val="22"/>
          <w:lang w:val="ru-RU"/>
        </w:rPr>
        <w:t xml:space="preserve"> </w:t>
      </w:r>
      <w:r>
        <w:rPr>
          <w:szCs w:val="22"/>
          <w:lang w:val="ru-RU"/>
        </w:rPr>
        <w:t>февраля</w:t>
      </w:r>
      <w:r w:rsidRPr="009B2482">
        <w:rPr>
          <w:szCs w:val="22"/>
          <w:lang w:val="ru-RU"/>
        </w:rPr>
        <w:t xml:space="preserve"> </w:t>
      </w:r>
      <w:r w:rsidR="00192C16" w:rsidRPr="009B2482">
        <w:rPr>
          <w:szCs w:val="22"/>
          <w:lang w:val="ru-RU"/>
        </w:rPr>
        <w:t>2014</w:t>
      </w:r>
      <w:r w:rsidRPr="009B2482">
        <w:rPr>
          <w:szCs w:val="22"/>
        </w:rPr>
        <w:t> </w:t>
      </w:r>
      <w:r>
        <w:rPr>
          <w:szCs w:val="22"/>
          <w:lang w:val="ru-RU"/>
        </w:rPr>
        <w:t>г</w:t>
      </w:r>
      <w:r w:rsidRPr="009B2482">
        <w:rPr>
          <w:szCs w:val="22"/>
          <w:lang w:val="ru-RU"/>
        </w:rPr>
        <w:t xml:space="preserve">. </w:t>
      </w:r>
      <w:r>
        <w:rPr>
          <w:szCs w:val="22"/>
          <w:lang w:val="ru-RU"/>
        </w:rPr>
        <w:t xml:space="preserve">МПО провели встречу с представителем </w:t>
      </w:r>
      <w:r w:rsidR="00192C16" w:rsidRPr="000A537D">
        <w:rPr>
          <w:szCs w:val="22"/>
        </w:rPr>
        <w:t>ICANN</w:t>
      </w:r>
      <w:r w:rsidR="00716D33">
        <w:rPr>
          <w:szCs w:val="22"/>
          <w:lang w:val="ru-RU"/>
        </w:rPr>
        <w:t xml:space="preserve">, отвечающим за </w:t>
      </w:r>
      <w:r w:rsidR="00192C16" w:rsidRPr="000A537D">
        <w:rPr>
          <w:szCs w:val="22"/>
        </w:rPr>
        <w:t>NGPC</w:t>
      </w:r>
      <w:r w:rsidR="00716D33">
        <w:rPr>
          <w:szCs w:val="22"/>
          <w:lang w:val="ru-RU"/>
        </w:rPr>
        <w:t>,</w:t>
      </w:r>
      <w:r w:rsidR="00192C16" w:rsidRPr="009B2482">
        <w:rPr>
          <w:szCs w:val="22"/>
          <w:lang w:val="ru-RU"/>
        </w:rPr>
        <w:t xml:space="preserve"> </w:t>
      </w:r>
      <w:r w:rsidR="00716D33">
        <w:rPr>
          <w:szCs w:val="22"/>
          <w:lang w:val="ru-RU"/>
        </w:rPr>
        <w:t xml:space="preserve">для обсуждения предложения </w:t>
      </w:r>
      <w:r w:rsidR="00192C16" w:rsidRPr="000A537D">
        <w:rPr>
          <w:szCs w:val="22"/>
        </w:rPr>
        <w:t>NGPC</w:t>
      </w:r>
      <w:r w:rsidR="00716D33">
        <w:rPr>
          <w:szCs w:val="22"/>
          <w:lang w:val="ru-RU"/>
        </w:rPr>
        <w:t xml:space="preserve"> от октября </w:t>
      </w:r>
      <w:r w:rsidR="00192C16" w:rsidRPr="009B2482">
        <w:rPr>
          <w:szCs w:val="22"/>
          <w:lang w:val="ru-RU"/>
        </w:rPr>
        <w:t>2013</w:t>
      </w:r>
      <w:r w:rsidR="00716D33">
        <w:rPr>
          <w:szCs w:val="22"/>
          <w:lang w:val="ru-RU"/>
        </w:rPr>
        <w:t> г.</w:t>
      </w:r>
      <w:r w:rsidR="00192C16" w:rsidRPr="009B2482">
        <w:rPr>
          <w:szCs w:val="22"/>
          <w:lang w:val="ru-RU"/>
        </w:rPr>
        <w:t xml:space="preserve">  </w:t>
      </w:r>
      <w:r w:rsidR="00877667">
        <w:rPr>
          <w:szCs w:val="22"/>
          <w:lang w:val="ru-RU"/>
        </w:rPr>
        <w:t>По</w:t>
      </w:r>
      <w:r w:rsidR="00877667" w:rsidRPr="00877667">
        <w:rPr>
          <w:szCs w:val="22"/>
          <w:lang w:val="ru-RU"/>
        </w:rPr>
        <w:t xml:space="preserve"> </w:t>
      </w:r>
      <w:r w:rsidR="00877667">
        <w:rPr>
          <w:szCs w:val="22"/>
          <w:lang w:val="ru-RU"/>
        </w:rPr>
        <w:t>итогам</w:t>
      </w:r>
      <w:r w:rsidR="00877667" w:rsidRPr="00877667">
        <w:rPr>
          <w:szCs w:val="22"/>
          <w:lang w:val="ru-RU"/>
        </w:rPr>
        <w:t xml:space="preserve"> </w:t>
      </w:r>
      <w:r w:rsidR="00877667">
        <w:rPr>
          <w:szCs w:val="22"/>
          <w:lang w:val="ru-RU"/>
        </w:rPr>
        <w:t>этого</w:t>
      </w:r>
      <w:r w:rsidR="00877667" w:rsidRPr="00877667">
        <w:rPr>
          <w:szCs w:val="22"/>
          <w:lang w:val="ru-RU"/>
        </w:rPr>
        <w:t xml:space="preserve"> </w:t>
      </w:r>
      <w:r w:rsidR="00877667">
        <w:rPr>
          <w:szCs w:val="22"/>
          <w:lang w:val="ru-RU"/>
        </w:rPr>
        <w:t>мероприятия</w:t>
      </w:r>
      <w:r w:rsidR="00877667" w:rsidRPr="00877667">
        <w:rPr>
          <w:szCs w:val="22"/>
          <w:lang w:val="ru-RU"/>
        </w:rPr>
        <w:t xml:space="preserve"> </w:t>
      </w:r>
      <w:r w:rsidR="00192C16" w:rsidRPr="000A537D">
        <w:rPr>
          <w:szCs w:val="22"/>
        </w:rPr>
        <w:t>NGPC</w:t>
      </w:r>
      <w:r w:rsidR="00192C16" w:rsidRPr="00877667">
        <w:rPr>
          <w:szCs w:val="22"/>
          <w:lang w:val="ru-RU"/>
        </w:rPr>
        <w:t xml:space="preserve"> </w:t>
      </w:r>
      <w:r w:rsidR="00877667">
        <w:rPr>
          <w:szCs w:val="22"/>
          <w:lang w:val="ru-RU"/>
        </w:rPr>
        <w:t xml:space="preserve">внес </w:t>
      </w:r>
      <w:r w:rsidR="00A5697A" w:rsidRPr="00877667">
        <w:rPr>
          <w:szCs w:val="22"/>
          <w:lang w:val="ru-RU"/>
        </w:rPr>
        <w:t>10</w:t>
      </w:r>
      <w:r w:rsidR="00A5697A" w:rsidRPr="00877667">
        <w:rPr>
          <w:szCs w:val="22"/>
        </w:rPr>
        <w:t> </w:t>
      </w:r>
      <w:r w:rsidR="00A5697A">
        <w:rPr>
          <w:szCs w:val="22"/>
          <w:lang w:val="ru-RU"/>
        </w:rPr>
        <w:t>марта</w:t>
      </w:r>
      <w:r w:rsidR="00A5697A" w:rsidRPr="00877667">
        <w:rPr>
          <w:szCs w:val="22"/>
          <w:lang w:val="ru-RU"/>
        </w:rPr>
        <w:t xml:space="preserve"> 2014</w:t>
      </w:r>
      <w:r w:rsidR="00A5697A" w:rsidRPr="00877667">
        <w:rPr>
          <w:szCs w:val="22"/>
        </w:rPr>
        <w:t> </w:t>
      </w:r>
      <w:r w:rsidR="00A5697A">
        <w:rPr>
          <w:szCs w:val="22"/>
          <w:lang w:val="ru-RU"/>
        </w:rPr>
        <w:t>г</w:t>
      </w:r>
      <w:r w:rsidR="00A5697A" w:rsidRPr="00877667">
        <w:rPr>
          <w:szCs w:val="22"/>
          <w:lang w:val="ru-RU"/>
        </w:rPr>
        <w:t xml:space="preserve">. </w:t>
      </w:r>
      <w:r w:rsidR="00877667">
        <w:rPr>
          <w:szCs w:val="22"/>
          <w:lang w:val="ru-RU"/>
        </w:rPr>
        <w:t>проект предложения о механизмах охраны прав на сокращенные названия МПО корректирующего характера.  На</w:t>
      </w:r>
      <w:r w:rsidR="00877667" w:rsidRPr="00877667">
        <w:rPr>
          <w:szCs w:val="22"/>
          <w:lang w:val="ru-RU"/>
        </w:rPr>
        <w:t xml:space="preserve"> </w:t>
      </w:r>
      <w:r w:rsidR="00877667">
        <w:rPr>
          <w:szCs w:val="22"/>
          <w:lang w:val="ru-RU"/>
        </w:rPr>
        <w:t>сингапурском</w:t>
      </w:r>
      <w:r w:rsidR="00877667" w:rsidRPr="00877667">
        <w:rPr>
          <w:szCs w:val="22"/>
          <w:lang w:val="ru-RU"/>
        </w:rPr>
        <w:t xml:space="preserve"> </w:t>
      </w:r>
      <w:r w:rsidR="00877667">
        <w:rPr>
          <w:szCs w:val="22"/>
          <w:lang w:val="ru-RU"/>
        </w:rPr>
        <w:t>заседании</w:t>
      </w:r>
      <w:r w:rsidR="00877667" w:rsidRPr="00877667">
        <w:rPr>
          <w:szCs w:val="22"/>
          <w:lang w:val="ru-RU"/>
        </w:rPr>
        <w:t xml:space="preserve"> </w:t>
      </w:r>
      <w:r w:rsidR="00877667">
        <w:rPr>
          <w:szCs w:val="22"/>
        </w:rPr>
        <w:t>ICANN</w:t>
      </w:r>
      <w:r w:rsidR="00877667" w:rsidRPr="00877667">
        <w:rPr>
          <w:szCs w:val="22"/>
          <w:lang w:val="ru-RU"/>
        </w:rPr>
        <w:t xml:space="preserve"> </w:t>
      </w:r>
      <w:r w:rsidR="00877667">
        <w:rPr>
          <w:szCs w:val="22"/>
          <w:lang w:val="ru-RU"/>
        </w:rPr>
        <w:t>в</w:t>
      </w:r>
      <w:r w:rsidR="00877667" w:rsidRPr="00877667">
        <w:rPr>
          <w:szCs w:val="22"/>
          <w:lang w:val="ru-RU"/>
        </w:rPr>
        <w:t xml:space="preserve"> </w:t>
      </w:r>
      <w:r w:rsidR="00877667">
        <w:rPr>
          <w:szCs w:val="22"/>
          <w:lang w:val="ru-RU"/>
        </w:rPr>
        <w:t>марте</w:t>
      </w:r>
      <w:r w:rsidR="00877667" w:rsidRPr="00877667">
        <w:rPr>
          <w:szCs w:val="22"/>
          <w:lang w:val="ru-RU"/>
        </w:rPr>
        <w:t xml:space="preserve"> 2014</w:t>
      </w:r>
      <w:r w:rsidR="00877667" w:rsidRPr="00877667">
        <w:rPr>
          <w:szCs w:val="22"/>
        </w:rPr>
        <w:t> </w:t>
      </w:r>
      <w:r w:rsidR="00877667">
        <w:rPr>
          <w:szCs w:val="22"/>
          <w:lang w:val="ru-RU"/>
        </w:rPr>
        <w:t>г</w:t>
      </w:r>
      <w:r w:rsidR="00877667" w:rsidRPr="00877667">
        <w:rPr>
          <w:szCs w:val="22"/>
          <w:lang w:val="ru-RU"/>
        </w:rPr>
        <w:t xml:space="preserve">. </w:t>
      </w:r>
      <w:r w:rsidR="00877667">
        <w:rPr>
          <w:szCs w:val="22"/>
          <w:lang w:val="ru-RU"/>
        </w:rPr>
        <w:t>МПО</w:t>
      </w:r>
      <w:r w:rsidR="00877667" w:rsidRPr="00877667">
        <w:rPr>
          <w:szCs w:val="22"/>
          <w:lang w:val="ru-RU"/>
        </w:rPr>
        <w:t xml:space="preserve"> </w:t>
      </w:r>
      <w:r w:rsidR="00877667">
        <w:rPr>
          <w:szCs w:val="22"/>
          <w:lang w:val="ru-RU"/>
        </w:rPr>
        <w:t>и</w:t>
      </w:r>
      <w:r w:rsidR="00877667" w:rsidRPr="00877667">
        <w:rPr>
          <w:szCs w:val="22"/>
          <w:lang w:val="ru-RU"/>
        </w:rPr>
        <w:t xml:space="preserve"> </w:t>
      </w:r>
      <w:r w:rsidR="00192C16" w:rsidRPr="000A537D">
        <w:rPr>
          <w:szCs w:val="22"/>
        </w:rPr>
        <w:t>NGPC</w:t>
      </w:r>
      <w:r w:rsidR="00877667" w:rsidRPr="00877667">
        <w:rPr>
          <w:szCs w:val="22"/>
          <w:lang w:val="ru-RU"/>
        </w:rPr>
        <w:t xml:space="preserve"> </w:t>
      </w:r>
      <w:r w:rsidR="00877667">
        <w:rPr>
          <w:szCs w:val="22"/>
          <w:lang w:val="ru-RU"/>
        </w:rPr>
        <w:t>продолжили</w:t>
      </w:r>
      <w:r w:rsidR="00877667" w:rsidRPr="00877667">
        <w:rPr>
          <w:szCs w:val="22"/>
          <w:lang w:val="ru-RU"/>
        </w:rPr>
        <w:t xml:space="preserve"> </w:t>
      </w:r>
      <w:r w:rsidR="00877667">
        <w:rPr>
          <w:szCs w:val="22"/>
          <w:lang w:val="ru-RU"/>
        </w:rPr>
        <w:t>обсуждение</w:t>
      </w:r>
      <w:r w:rsidR="00877667" w:rsidRPr="00877667">
        <w:rPr>
          <w:szCs w:val="22"/>
          <w:lang w:val="ru-RU"/>
        </w:rPr>
        <w:t xml:space="preserve"> </w:t>
      </w:r>
      <w:r w:rsidR="00877667">
        <w:rPr>
          <w:szCs w:val="22"/>
          <w:lang w:val="ru-RU"/>
        </w:rPr>
        <w:t>этого</w:t>
      </w:r>
      <w:r w:rsidR="00877667" w:rsidRPr="00877667">
        <w:rPr>
          <w:szCs w:val="22"/>
          <w:lang w:val="ru-RU"/>
        </w:rPr>
        <w:t xml:space="preserve"> </w:t>
      </w:r>
      <w:r w:rsidR="00877667">
        <w:rPr>
          <w:szCs w:val="22"/>
          <w:lang w:val="ru-RU"/>
        </w:rPr>
        <w:t>вопроса</w:t>
      </w:r>
      <w:r w:rsidR="00A5697A">
        <w:rPr>
          <w:szCs w:val="22"/>
          <w:lang w:val="ru-RU"/>
        </w:rPr>
        <w:t xml:space="preserve">; тогда же </w:t>
      </w:r>
      <w:r w:rsidR="00192C16" w:rsidRPr="000A537D">
        <w:rPr>
          <w:szCs w:val="22"/>
        </w:rPr>
        <w:t>GAC</w:t>
      </w:r>
      <w:r w:rsidR="00877667">
        <w:rPr>
          <w:szCs w:val="22"/>
          <w:lang w:val="ru-RU"/>
        </w:rPr>
        <w:t xml:space="preserve">, помимо прочего, </w:t>
      </w:r>
      <w:r w:rsidR="008D584B">
        <w:rPr>
          <w:szCs w:val="22"/>
          <w:lang w:val="ru-RU"/>
        </w:rPr>
        <w:t xml:space="preserve">сообщил Совету </w:t>
      </w:r>
      <w:r w:rsidR="00192C16" w:rsidRPr="000A537D">
        <w:rPr>
          <w:szCs w:val="22"/>
        </w:rPr>
        <w:t>ICANN</w:t>
      </w:r>
      <w:r w:rsidR="00192C16" w:rsidRPr="00877667">
        <w:rPr>
          <w:szCs w:val="22"/>
          <w:lang w:val="ru-RU"/>
        </w:rPr>
        <w:t xml:space="preserve"> </w:t>
      </w:r>
      <w:r w:rsidR="008D584B">
        <w:rPr>
          <w:szCs w:val="22"/>
          <w:lang w:val="ru-RU"/>
        </w:rPr>
        <w:t xml:space="preserve">о том, что он ожидает информации Совета о выполнении рекомендации, </w:t>
      </w:r>
      <w:r w:rsidR="00A5697A">
        <w:rPr>
          <w:szCs w:val="22"/>
          <w:lang w:val="ru-RU"/>
        </w:rPr>
        <w:t xml:space="preserve">вынесенной </w:t>
      </w:r>
      <w:r w:rsidR="008D584B">
        <w:rPr>
          <w:szCs w:val="22"/>
          <w:lang w:val="ru-RU"/>
        </w:rPr>
        <w:t>на предыдущих заседаниях.</w:t>
      </w:r>
    </w:p>
    <w:p w:rsidR="00192C16" w:rsidRPr="00877667" w:rsidRDefault="00192C16" w:rsidP="000A537D">
      <w:pPr>
        <w:rPr>
          <w:szCs w:val="22"/>
          <w:lang w:val="ru-RU"/>
        </w:rPr>
      </w:pPr>
    </w:p>
    <w:p w:rsidR="00192C16" w:rsidRPr="0072342D" w:rsidRDefault="00976152" w:rsidP="000A537D">
      <w:pPr>
        <w:pStyle w:val="ListParagraph"/>
        <w:numPr>
          <w:ilvl w:val="0"/>
          <w:numId w:val="10"/>
        </w:numPr>
        <w:ind w:left="0" w:firstLine="0"/>
        <w:rPr>
          <w:szCs w:val="22"/>
          <w:lang w:val="ru-RU"/>
        </w:rPr>
      </w:pPr>
      <w:r>
        <w:rPr>
          <w:szCs w:val="22"/>
          <w:lang w:val="ru-RU"/>
        </w:rPr>
        <w:t>Тридцатого</w:t>
      </w:r>
      <w:r w:rsidRPr="00976152">
        <w:rPr>
          <w:szCs w:val="22"/>
          <w:lang w:val="ru-RU"/>
        </w:rPr>
        <w:t xml:space="preserve"> </w:t>
      </w:r>
      <w:r>
        <w:rPr>
          <w:szCs w:val="22"/>
          <w:lang w:val="ru-RU"/>
        </w:rPr>
        <w:t>апреля</w:t>
      </w:r>
      <w:r w:rsidRPr="00976152">
        <w:rPr>
          <w:szCs w:val="22"/>
          <w:lang w:val="ru-RU"/>
        </w:rPr>
        <w:t xml:space="preserve"> </w:t>
      </w:r>
      <w:r w:rsidR="00192C16" w:rsidRPr="00976152">
        <w:rPr>
          <w:szCs w:val="22"/>
          <w:lang w:val="ru-RU"/>
        </w:rPr>
        <w:t>2014</w:t>
      </w:r>
      <w:r w:rsidRPr="00976152">
        <w:rPr>
          <w:szCs w:val="22"/>
        </w:rPr>
        <w:t> </w:t>
      </w:r>
      <w:r>
        <w:rPr>
          <w:szCs w:val="22"/>
          <w:lang w:val="ru-RU"/>
        </w:rPr>
        <w:t>г</w:t>
      </w:r>
      <w:r w:rsidRPr="00976152">
        <w:rPr>
          <w:szCs w:val="22"/>
          <w:lang w:val="ru-RU"/>
        </w:rPr>
        <w:t xml:space="preserve">. </w:t>
      </w:r>
      <w:r>
        <w:rPr>
          <w:szCs w:val="22"/>
          <w:lang w:val="ru-RU"/>
        </w:rPr>
        <w:t>Совет</w:t>
      </w:r>
      <w:r w:rsidRPr="00976152">
        <w:rPr>
          <w:szCs w:val="22"/>
          <w:lang w:val="ru-RU"/>
        </w:rPr>
        <w:t xml:space="preserve"> </w:t>
      </w:r>
      <w:r w:rsidR="00192C16" w:rsidRPr="000A537D">
        <w:rPr>
          <w:szCs w:val="22"/>
        </w:rPr>
        <w:t>ICANN</w:t>
      </w:r>
      <w:r w:rsidR="00192C16" w:rsidRPr="00976152">
        <w:rPr>
          <w:szCs w:val="22"/>
          <w:lang w:val="ru-RU"/>
        </w:rPr>
        <w:t xml:space="preserve"> </w:t>
      </w:r>
      <w:r>
        <w:rPr>
          <w:szCs w:val="22"/>
          <w:lang w:val="ru-RU"/>
        </w:rPr>
        <w:t>постановил</w:t>
      </w:r>
      <w:r w:rsidRPr="00976152">
        <w:rPr>
          <w:szCs w:val="22"/>
          <w:lang w:val="ru-RU"/>
        </w:rPr>
        <w:t xml:space="preserve"> </w:t>
      </w:r>
      <w:r>
        <w:rPr>
          <w:szCs w:val="22"/>
          <w:lang w:val="ru-RU"/>
        </w:rPr>
        <w:t>принять</w:t>
      </w:r>
      <w:r w:rsidRPr="00976152">
        <w:rPr>
          <w:szCs w:val="22"/>
          <w:lang w:val="ru-RU"/>
        </w:rPr>
        <w:t xml:space="preserve"> </w:t>
      </w:r>
      <w:r>
        <w:rPr>
          <w:szCs w:val="22"/>
          <w:lang w:val="ru-RU"/>
        </w:rPr>
        <w:t>рекомендации</w:t>
      </w:r>
      <w:r w:rsidRPr="00976152">
        <w:rPr>
          <w:szCs w:val="22"/>
          <w:lang w:val="ru-RU"/>
        </w:rPr>
        <w:t xml:space="preserve"> </w:t>
      </w:r>
      <w:r>
        <w:rPr>
          <w:szCs w:val="22"/>
          <w:lang w:val="ru-RU"/>
        </w:rPr>
        <w:t>Совета</w:t>
      </w:r>
      <w:r w:rsidRPr="00976152">
        <w:rPr>
          <w:szCs w:val="22"/>
          <w:lang w:val="ru-RU"/>
        </w:rPr>
        <w:t xml:space="preserve"> </w:t>
      </w:r>
      <w:r w:rsidR="00192C16" w:rsidRPr="000A537D">
        <w:rPr>
          <w:szCs w:val="22"/>
        </w:rPr>
        <w:t>GNSO</w:t>
      </w:r>
      <w:r w:rsidRPr="00976152">
        <w:rPr>
          <w:szCs w:val="22"/>
          <w:lang w:val="ru-RU"/>
        </w:rPr>
        <w:t xml:space="preserve"> </w:t>
      </w:r>
      <w:r>
        <w:rPr>
          <w:szCs w:val="22"/>
          <w:lang w:val="ru-RU"/>
        </w:rPr>
        <w:t xml:space="preserve">во избежание противоречий с рекомендацией </w:t>
      </w:r>
      <w:r w:rsidR="00192C16" w:rsidRPr="000A537D">
        <w:rPr>
          <w:szCs w:val="22"/>
        </w:rPr>
        <w:t>GAC</w:t>
      </w:r>
      <w:r>
        <w:rPr>
          <w:szCs w:val="22"/>
          <w:lang w:val="ru-RU"/>
        </w:rPr>
        <w:t xml:space="preserve">, запросив при этом дополнительное время для рассмотрения рекомендаций, которые отличаются от рекомендации </w:t>
      </w:r>
      <w:r w:rsidR="00192C16" w:rsidRPr="000A537D">
        <w:rPr>
          <w:szCs w:val="22"/>
        </w:rPr>
        <w:t>GAC</w:t>
      </w:r>
      <w:r w:rsidR="00192C16" w:rsidRPr="00976152">
        <w:rPr>
          <w:szCs w:val="22"/>
          <w:lang w:val="ru-RU"/>
        </w:rPr>
        <w:t xml:space="preserve">.  </w:t>
      </w:r>
      <w:r>
        <w:rPr>
          <w:szCs w:val="22"/>
          <w:lang w:val="ru-RU"/>
        </w:rPr>
        <w:t>Пятого</w:t>
      </w:r>
      <w:r w:rsidRPr="00976152">
        <w:rPr>
          <w:szCs w:val="22"/>
          <w:lang w:val="ru-RU"/>
        </w:rPr>
        <w:t xml:space="preserve"> </w:t>
      </w:r>
      <w:r>
        <w:rPr>
          <w:szCs w:val="22"/>
          <w:lang w:val="ru-RU"/>
        </w:rPr>
        <w:t>июня</w:t>
      </w:r>
      <w:r w:rsidRPr="00976152">
        <w:rPr>
          <w:szCs w:val="22"/>
          <w:lang w:val="ru-RU"/>
        </w:rPr>
        <w:t xml:space="preserve"> </w:t>
      </w:r>
      <w:r w:rsidR="00192C16" w:rsidRPr="00976152">
        <w:rPr>
          <w:szCs w:val="22"/>
          <w:lang w:val="ru-RU"/>
        </w:rPr>
        <w:t>2014</w:t>
      </w:r>
      <w:r w:rsidRPr="00976152">
        <w:rPr>
          <w:szCs w:val="22"/>
        </w:rPr>
        <w:t> </w:t>
      </w:r>
      <w:r>
        <w:rPr>
          <w:szCs w:val="22"/>
          <w:lang w:val="ru-RU"/>
        </w:rPr>
        <w:t>г</w:t>
      </w:r>
      <w:r w:rsidRPr="00976152">
        <w:rPr>
          <w:szCs w:val="22"/>
          <w:lang w:val="ru-RU"/>
        </w:rPr>
        <w:t xml:space="preserve">. </w:t>
      </w:r>
      <w:r>
        <w:rPr>
          <w:szCs w:val="22"/>
          <w:lang w:val="ru-RU"/>
        </w:rPr>
        <w:t>Совет</w:t>
      </w:r>
      <w:r w:rsidRPr="00976152">
        <w:rPr>
          <w:szCs w:val="22"/>
          <w:lang w:val="ru-RU"/>
        </w:rPr>
        <w:t xml:space="preserve"> </w:t>
      </w:r>
      <w:r w:rsidR="00192C16" w:rsidRPr="000A537D">
        <w:rPr>
          <w:szCs w:val="22"/>
        </w:rPr>
        <w:t>GNSO</w:t>
      </w:r>
      <w:r w:rsidR="00192C16" w:rsidRPr="00976152">
        <w:rPr>
          <w:szCs w:val="22"/>
          <w:lang w:val="ru-RU"/>
        </w:rPr>
        <w:t xml:space="preserve"> </w:t>
      </w:r>
      <w:r>
        <w:rPr>
          <w:szCs w:val="22"/>
          <w:lang w:val="ru-RU"/>
        </w:rPr>
        <w:t>проголосовал</w:t>
      </w:r>
      <w:r w:rsidRPr="00976152">
        <w:rPr>
          <w:szCs w:val="22"/>
          <w:lang w:val="ru-RU"/>
        </w:rPr>
        <w:t xml:space="preserve"> </w:t>
      </w:r>
      <w:r>
        <w:rPr>
          <w:szCs w:val="22"/>
          <w:lang w:val="ru-RU"/>
        </w:rPr>
        <w:t>за</w:t>
      </w:r>
      <w:r w:rsidRPr="00976152">
        <w:rPr>
          <w:szCs w:val="22"/>
          <w:lang w:val="ru-RU"/>
        </w:rPr>
        <w:t xml:space="preserve"> </w:t>
      </w:r>
      <w:r>
        <w:rPr>
          <w:szCs w:val="22"/>
          <w:lang w:val="ru-RU"/>
        </w:rPr>
        <w:t>проведение</w:t>
      </w:r>
      <w:r w:rsidRPr="00976152">
        <w:rPr>
          <w:szCs w:val="22"/>
          <w:lang w:val="ru-RU"/>
        </w:rPr>
        <w:t xml:space="preserve"> </w:t>
      </w:r>
      <w:r>
        <w:rPr>
          <w:szCs w:val="22"/>
          <w:lang w:val="ru-RU"/>
        </w:rPr>
        <w:t>второго</w:t>
      </w:r>
      <w:r w:rsidRPr="00976152">
        <w:rPr>
          <w:szCs w:val="22"/>
          <w:lang w:val="ru-RU"/>
        </w:rPr>
        <w:t xml:space="preserve"> </w:t>
      </w:r>
      <w:r>
        <w:rPr>
          <w:szCs w:val="22"/>
          <w:lang w:val="ru-RU"/>
        </w:rPr>
        <w:t xml:space="preserve">раунда ПРП с целью изучения возможности предоставления МПО корректирующих механизмов охраны прав, например ЕПУС или </w:t>
      </w:r>
      <w:r w:rsidR="008C1FE3">
        <w:rPr>
          <w:szCs w:val="22"/>
          <w:lang w:val="ru-RU"/>
        </w:rPr>
        <w:t xml:space="preserve">системы </w:t>
      </w:r>
      <w:r w:rsidR="00D4121B" w:rsidRPr="000A537D">
        <w:rPr>
          <w:szCs w:val="22"/>
        </w:rPr>
        <w:t>URS</w:t>
      </w:r>
      <w:r w:rsidR="00D4121B" w:rsidRPr="00976152">
        <w:rPr>
          <w:szCs w:val="22"/>
          <w:lang w:val="ru-RU"/>
        </w:rPr>
        <w:t xml:space="preserve">.  </w:t>
      </w:r>
      <w:r w:rsidR="0072342D">
        <w:rPr>
          <w:szCs w:val="22"/>
          <w:lang w:val="ru-RU"/>
        </w:rPr>
        <w:t xml:space="preserve">МПО </w:t>
      </w:r>
      <w:r w:rsidR="0072342D" w:rsidRPr="0072342D">
        <w:rPr>
          <w:szCs w:val="22"/>
          <w:lang w:val="ru-RU"/>
        </w:rPr>
        <w:t>буд</w:t>
      </w:r>
      <w:r w:rsidR="0072342D">
        <w:rPr>
          <w:szCs w:val="22"/>
          <w:lang w:val="ru-RU"/>
        </w:rPr>
        <w:t>у</w:t>
      </w:r>
      <w:r w:rsidR="0072342D" w:rsidRPr="0072342D">
        <w:rPr>
          <w:szCs w:val="22"/>
          <w:lang w:val="ru-RU"/>
        </w:rPr>
        <w:t xml:space="preserve">т и далее пристально следить за </w:t>
      </w:r>
      <w:r w:rsidR="0072342D">
        <w:rPr>
          <w:szCs w:val="22"/>
          <w:lang w:val="ru-RU"/>
        </w:rPr>
        <w:t xml:space="preserve">развитием </w:t>
      </w:r>
      <w:r w:rsidR="0072342D" w:rsidRPr="0072342D">
        <w:rPr>
          <w:szCs w:val="22"/>
          <w:lang w:val="ru-RU"/>
        </w:rPr>
        <w:t>событи</w:t>
      </w:r>
      <w:r w:rsidR="0072342D">
        <w:rPr>
          <w:szCs w:val="22"/>
          <w:lang w:val="ru-RU"/>
        </w:rPr>
        <w:t>й</w:t>
      </w:r>
      <w:r w:rsidR="008C1FE3">
        <w:rPr>
          <w:szCs w:val="22"/>
          <w:lang w:val="ru-RU"/>
        </w:rPr>
        <w:t xml:space="preserve"> в этой области</w:t>
      </w:r>
      <w:r w:rsidR="00192C16" w:rsidRPr="0072342D">
        <w:rPr>
          <w:szCs w:val="22"/>
          <w:lang w:val="ru-RU"/>
        </w:rPr>
        <w:t>.</w:t>
      </w:r>
    </w:p>
    <w:p w:rsidR="00192C16" w:rsidRPr="0072342D" w:rsidRDefault="00192C16" w:rsidP="00192C16">
      <w:pPr>
        <w:ind w:right="-143"/>
        <w:rPr>
          <w:szCs w:val="22"/>
          <w:lang w:val="ru-RU"/>
        </w:rPr>
      </w:pPr>
    </w:p>
    <w:p w:rsidR="00192C16" w:rsidRPr="00183C1B" w:rsidRDefault="001A3CCA" w:rsidP="00183C1B">
      <w:pPr>
        <w:pStyle w:val="ListParagraph"/>
        <w:numPr>
          <w:ilvl w:val="0"/>
          <w:numId w:val="31"/>
        </w:numPr>
        <w:ind w:right="-143"/>
        <w:rPr>
          <w:szCs w:val="22"/>
        </w:rPr>
      </w:pPr>
      <w:r w:rsidRPr="001A3CCA">
        <w:rPr>
          <w:szCs w:val="22"/>
          <w:lang w:val="ru-RU"/>
        </w:rPr>
        <w:t>Географические термин</w:t>
      </w:r>
      <w:r>
        <w:rPr>
          <w:szCs w:val="22"/>
          <w:lang w:val="ru-RU"/>
        </w:rPr>
        <w:t>ы</w:t>
      </w:r>
    </w:p>
    <w:p w:rsidR="00192C16" w:rsidRPr="006475B9" w:rsidRDefault="00192C16" w:rsidP="00192C16">
      <w:pPr>
        <w:ind w:right="-143"/>
        <w:rPr>
          <w:szCs w:val="22"/>
        </w:rPr>
      </w:pPr>
    </w:p>
    <w:p w:rsidR="00192C16" w:rsidRPr="00270FF6" w:rsidRDefault="002737A2" w:rsidP="00183C1B">
      <w:pPr>
        <w:pStyle w:val="ListParagraph"/>
        <w:numPr>
          <w:ilvl w:val="0"/>
          <w:numId w:val="10"/>
        </w:numPr>
        <w:ind w:left="0" w:right="-143" w:firstLine="0"/>
        <w:rPr>
          <w:iCs/>
          <w:szCs w:val="22"/>
          <w:lang w:val="ru-RU"/>
        </w:rPr>
      </w:pPr>
      <w:r w:rsidRPr="002737A2">
        <w:rPr>
          <w:szCs w:val="22"/>
          <w:lang w:val="ru-RU"/>
        </w:rPr>
        <w:t xml:space="preserve">Что касается географических терминов, то </w:t>
      </w:r>
      <w:r w:rsidRPr="002737A2">
        <w:rPr>
          <w:szCs w:val="22"/>
        </w:rPr>
        <w:t>GAC</w:t>
      </w:r>
      <w:r w:rsidRPr="002737A2">
        <w:rPr>
          <w:szCs w:val="22"/>
          <w:lang w:val="ru-RU"/>
        </w:rPr>
        <w:t>, в частности, выразил о</w:t>
      </w:r>
      <w:r>
        <w:rPr>
          <w:szCs w:val="22"/>
          <w:lang w:val="ru-RU"/>
        </w:rPr>
        <w:t>беспокоенность</w:t>
      </w:r>
      <w:r w:rsidRPr="002737A2">
        <w:rPr>
          <w:szCs w:val="22"/>
          <w:lang w:val="ru-RU"/>
        </w:rPr>
        <w:t xml:space="preserve"> их </w:t>
      </w:r>
      <w:r>
        <w:rPr>
          <w:szCs w:val="22"/>
          <w:lang w:val="ru-RU"/>
        </w:rPr>
        <w:t>использовани</w:t>
      </w:r>
      <w:r w:rsidR="001D0421">
        <w:rPr>
          <w:szCs w:val="22"/>
          <w:lang w:val="ru-RU"/>
        </w:rPr>
        <w:t>ем</w:t>
      </w:r>
      <w:r w:rsidRPr="002737A2">
        <w:rPr>
          <w:szCs w:val="22"/>
          <w:lang w:val="ru-RU"/>
        </w:rPr>
        <w:t xml:space="preserve"> </w:t>
      </w:r>
      <w:r>
        <w:rPr>
          <w:szCs w:val="22"/>
          <w:lang w:val="ru-RU"/>
        </w:rPr>
        <w:t xml:space="preserve">и </w:t>
      </w:r>
      <w:r w:rsidRPr="002737A2">
        <w:rPr>
          <w:szCs w:val="22"/>
          <w:lang w:val="ru-RU"/>
        </w:rPr>
        <w:t>охран</w:t>
      </w:r>
      <w:r w:rsidR="001D0421">
        <w:rPr>
          <w:szCs w:val="22"/>
          <w:lang w:val="ru-RU"/>
        </w:rPr>
        <w:t>ой</w:t>
      </w:r>
      <w:r w:rsidRPr="002737A2">
        <w:rPr>
          <w:szCs w:val="22"/>
          <w:lang w:val="ru-RU"/>
        </w:rPr>
        <w:t xml:space="preserve"> в новых рДВУ</w:t>
      </w:r>
      <w:r w:rsidR="00192C16" w:rsidRPr="002737A2">
        <w:rPr>
          <w:szCs w:val="22"/>
          <w:lang w:val="ru-RU"/>
        </w:rPr>
        <w:t>.</w:t>
      </w:r>
      <w:r w:rsidR="009278BC" w:rsidRPr="006475B9">
        <w:rPr>
          <w:vertAlign w:val="superscript"/>
        </w:rPr>
        <w:footnoteReference w:id="56"/>
      </w:r>
      <w:r w:rsidR="009278BC" w:rsidRPr="002737A2">
        <w:rPr>
          <w:szCs w:val="22"/>
          <w:lang w:val="ru-RU"/>
        </w:rPr>
        <w:t xml:space="preserve">  </w:t>
      </w:r>
      <w:r w:rsidR="000537DA">
        <w:rPr>
          <w:szCs w:val="22"/>
          <w:lang w:val="ru-RU"/>
        </w:rPr>
        <w:t xml:space="preserve">По вопросу доменов </w:t>
      </w:r>
      <w:r w:rsidR="00E75A69">
        <w:rPr>
          <w:szCs w:val="22"/>
          <w:lang w:val="ru-RU"/>
        </w:rPr>
        <w:t>верхнего</w:t>
      </w:r>
      <w:r w:rsidR="00E75A69" w:rsidRPr="000537DA">
        <w:rPr>
          <w:szCs w:val="22"/>
          <w:lang w:val="ru-RU"/>
        </w:rPr>
        <w:t xml:space="preserve"> </w:t>
      </w:r>
      <w:r w:rsidR="00E75A69">
        <w:rPr>
          <w:szCs w:val="22"/>
          <w:lang w:val="ru-RU"/>
        </w:rPr>
        <w:t>уровня</w:t>
      </w:r>
      <w:r w:rsidR="00934BB7">
        <w:rPr>
          <w:rStyle w:val="FootnoteReference"/>
          <w:szCs w:val="22"/>
        </w:rPr>
        <w:footnoteReference w:id="57"/>
      </w:r>
      <w:r w:rsidR="00192C16" w:rsidRPr="000537DA">
        <w:rPr>
          <w:szCs w:val="22"/>
          <w:lang w:val="ru-RU"/>
        </w:rPr>
        <w:t xml:space="preserve"> </w:t>
      </w:r>
      <w:r w:rsidR="001D0421">
        <w:rPr>
          <w:szCs w:val="22"/>
          <w:lang w:val="ru-RU"/>
        </w:rPr>
        <w:t>«</w:t>
      </w:r>
      <w:r w:rsidR="000537DA" w:rsidRPr="000537DA">
        <w:rPr>
          <w:szCs w:val="22"/>
          <w:lang w:val="ru-RU"/>
        </w:rPr>
        <w:t xml:space="preserve">Руководство </w:t>
      </w:r>
      <w:r w:rsidR="000537DA" w:rsidRPr="000537DA">
        <w:rPr>
          <w:szCs w:val="22"/>
        </w:rPr>
        <w:t>ICANN</w:t>
      </w:r>
      <w:r w:rsidR="000537DA" w:rsidRPr="000537DA">
        <w:rPr>
          <w:szCs w:val="22"/>
          <w:lang w:val="ru-RU"/>
        </w:rPr>
        <w:t xml:space="preserve"> для заявителя</w:t>
      </w:r>
      <w:r w:rsidR="001D0421">
        <w:rPr>
          <w:szCs w:val="22"/>
          <w:lang w:val="ru-RU"/>
        </w:rPr>
        <w:t>»</w:t>
      </w:r>
      <w:r w:rsidR="000537DA" w:rsidRPr="000537DA">
        <w:rPr>
          <w:szCs w:val="22"/>
          <w:lang w:val="ru-RU"/>
        </w:rPr>
        <w:t xml:space="preserve"> предусматривает, что «заявки на доменные строки, представляющие собой названия стран или территорий, не будут одобрены, поскольку в соответствии с программой ввода новых рДВУ они не предоставляются в ходе данного раунда»</w:t>
      </w:r>
      <w:r w:rsidR="000537DA">
        <w:rPr>
          <w:szCs w:val="22"/>
          <w:lang w:val="ru-RU"/>
        </w:rPr>
        <w:t>.</w:t>
      </w:r>
      <w:r w:rsidR="00192C16" w:rsidRPr="006475B9">
        <w:rPr>
          <w:rStyle w:val="FootnoteReference"/>
          <w:szCs w:val="22"/>
        </w:rPr>
        <w:footnoteReference w:id="58"/>
      </w:r>
      <w:r w:rsidR="00192C16" w:rsidRPr="000537DA">
        <w:rPr>
          <w:szCs w:val="22"/>
          <w:lang w:val="ru-RU"/>
        </w:rPr>
        <w:t xml:space="preserve">  </w:t>
      </w:r>
      <w:r w:rsidR="00270FF6" w:rsidRPr="00270FF6">
        <w:rPr>
          <w:szCs w:val="22"/>
          <w:lang w:val="ru-RU"/>
        </w:rPr>
        <w:t xml:space="preserve">Подача заявок на доменные строки, которые, </w:t>
      </w:r>
      <w:bookmarkStart w:id="5" w:name="_GoBack"/>
      <w:bookmarkEnd w:id="5"/>
      <w:r w:rsidR="00270FF6" w:rsidRPr="00270FF6">
        <w:rPr>
          <w:szCs w:val="22"/>
          <w:lang w:val="ru-RU"/>
        </w:rPr>
        <w:t xml:space="preserve">по мнению </w:t>
      </w:r>
      <w:r w:rsidR="00270FF6" w:rsidRPr="00270FF6">
        <w:rPr>
          <w:szCs w:val="22"/>
        </w:rPr>
        <w:t>ICANN</w:t>
      </w:r>
      <w:r w:rsidR="00270FF6" w:rsidRPr="00270FF6">
        <w:rPr>
          <w:szCs w:val="22"/>
          <w:lang w:val="ru-RU"/>
        </w:rPr>
        <w:t xml:space="preserve">, представляют собой определенные иные географические названия, например, названия столиц мира, должна сопровождаться документальным </w:t>
      </w:r>
      <w:r w:rsidR="00270FF6" w:rsidRPr="00270FF6">
        <w:rPr>
          <w:szCs w:val="22"/>
          <w:lang w:val="ru-RU"/>
        </w:rPr>
        <w:lastRenderedPageBreak/>
        <w:t>подтверждением поддержки или отсутствия возражений со стороны соответствующих правительств или государственных органов</w:t>
      </w:r>
      <w:r w:rsidR="00192C16" w:rsidRPr="00270FF6">
        <w:rPr>
          <w:szCs w:val="22"/>
          <w:lang w:val="ru-RU"/>
        </w:rPr>
        <w:t>.</w:t>
      </w:r>
      <w:r w:rsidR="00192C16" w:rsidRPr="006475B9">
        <w:rPr>
          <w:rStyle w:val="FootnoteReference"/>
          <w:szCs w:val="22"/>
        </w:rPr>
        <w:footnoteReference w:id="59"/>
      </w:r>
    </w:p>
    <w:p w:rsidR="00192C16" w:rsidRPr="00270FF6" w:rsidRDefault="00192C16" w:rsidP="00183C1B">
      <w:pPr>
        <w:rPr>
          <w:iCs/>
          <w:szCs w:val="22"/>
          <w:lang w:val="ru-RU"/>
        </w:rPr>
      </w:pPr>
    </w:p>
    <w:p w:rsidR="00192C16" w:rsidRPr="00CE5590" w:rsidRDefault="00CE5590" w:rsidP="00183C1B">
      <w:pPr>
        <w:pStyle w:val="ListParagraph"/>
        <w:numPr>
          <w:ilvl w:val="0"/>
          <w:numId w:val="10"/>
        </w:numPr>
        <w:ind w:left="0" w:firstLine="0"/>
        <w:rPr>
          <w:szCs w:val="22"/>
          <w:lang w:val="ru-RU"/>
        </w:rPr>
      </w:pPr>
      <w:r w:rsidRPr="00CE5590">
        <w:rPr>
          <w:iCs/>
          <w:szCs w:val="22"/>
        </w:rPr>
        <w:t>GAC</w:t>
      </w:r>
      <w:r w:rsidRPr="00CE5590">
        <w:rPr>
          <w:iCs/>
          <w:szCs w:val="22"/>
          <w:lang w:val="ru-RU"/>
        </w:rPr>
        <w:t xml:space="preserve"> </w:t>
      </w:r>
      <w:r w:rsidR="00461D75">
        <w:rPr>
          <w:iCs/>
          <w:szCs w:val="22"/>
          <w:lang w:val="ru-RU"/>
        </w:rPr>
        <w:t xml:space="preserve">заявил </w:t>
      </w:r>
      <w:r w:rsidRPr="00CE5590">
        <w:rPr>
          <w:iCs/>
          <w:szCs w:val="22"/>
          <w:lang w:val="ru-RU"/>
        </w:rPr>
        <w:t>д</w:t>
      </w:r>
      <w:r w:rsidR="00461D75">
        <w:rPr>
          <w:iCs/>
          <w:szCs w:val="22"/>
          <w:lang w:val="ru-RU"/>
        </w:rPr>
        <w:t xml:space="preserve">ополнительные </w:t>
      </w:r>
      <w:r w:rsidRPr="00CE5590">
        <w:rPr>
          <w:iCs/>
          <w:szCs w:val="22"/>
          <w:lang w:val="ru-RU"/>
        </w:rPr>
        <w:t>оговорки относительно числа заявок на создание новых рДВУ по основаниям соответствия географическим или иным</w:t>
      </w:r>
      <w:r>
        <w:rPr>
          <w:iCs/>
          <w:szCs w:val="22"/>
          <w:lang w:val="ru-RU"/>
        </w:rPr>
        <w:t xml:space="preserve"> «особым»</w:t>
      </w:r>
      <w:r w:rsidRPr="00CE5590">
        <w:rPr>
          <w:iCs/>
          <w:szCs w:val="22"/>
          <w:lang w:val="ru-RU"/>
        </w:rPr>
        <w:t xml:space="preserve"> терминам, рекомендовав Совету </w:t>
      </w:r>
      <w:r w:rsidRPr="00CE5590">
        <w:rPr>
          <w:iCs/>
          <w:szCs w:val="22"/>
        </w:rPr>
        <w:t>ICANN</w:t>
      </w:r>
      <w:r w:rsidRPr="00CE5590">
        <w:rPr>
          <w:iCs/>
          <w:szCs w:val="22"/>
          <w:lang w:val="ru-RU"/>
        </w:rPr>
        <w:t xml:space="preserve"> не идти далее их первоначальной оценки, и запросил у Совета дальнейшие разъяснения касательно возможностей для заявителей вносить исправления в заявки на создание новых рДВУ для учета конкретных вопросов, вызывающих озабоченность </w:t>
      </w:r>
      <w:r w:rsidRPr="00CE5590">
        <w:rPr>
          <w:iCs/>
          <w:szCs w:val="22"/>
        </w:rPr>
        <w:t>GAC</w:t>
      </w:r>
      <w:r w:rsidR="00192C16" w:rsidRPr="00CE5590">
        <w:rPr>
          <w:iCs/>
          <w:szCs w:val="22"/>
          <w:lang w:val="ru-RU"/>
        </w:rPr>
        <w:t>.</w:t>
      </w:r>
      <w:r w:rsidR="00192C16" w:rsidRPr="006475B9">
        <w:rPr>
          <w:rStyle w:val="FootnoteReference"/>
          <w:iCs/>
          <w:szCs w:val="22"/>
        </w:rPr>
        <w:footnoteReference w:id="60"/>
      </w:r>
    </w:p>
    <w:p w:rsidR="00192C16" w:rsidRPr="00CE5590" w:rsidRDefault="00192C16" w:rsidP="00183C1B">
      <w:pPr>
        <w:rPr>
          <w:szCs w:val="22"/>
          <w:lang w:val="ru-RU"/>
        </w:rPr>
      </w:pPr>
    </w:p>
    <w:p w:rsidR="00192C16" w:rsidRPr="006B5EF6" w:rsidRDefault="003A0127" w:rsidP="005A0A51">
      <w:pPr>
        <w:pStyle w:val="ListParagraph"/>
        <w:numPr>
          <w:ilvl w:val="0"/>
          <w:numId w:val="10"/>
        </w:numPr>
        <w:ind w:left="0" w:firstLine="0"/>
        <w:rPr>
          <w:szCs w:val="24"/>
          <w:lang w:val="ru-RU"/>
        </w:rPr>
      </w:pPr>
      <w:r>
        <w:rPr>
          <w:szCs w:val="22"/>
          <w:lang w:val="ru-RU"/>
        </w:rPr>
        <w:t xml:space="preserve">Таким образом, </w:t>
      </w:r>
      <w:r w:rsidR="005A0A51" w:rsidRPr="005A0A51">
        <w:rPr>
          <w:szCs w:val="22"/>
          <w:lang w:val="ru-RU"/>
        </w:rPr>
        <w:t xml:space="preserve">Центр приложил </w:t>
      </w:r>
      <w:r>
        <w:rPr>
          <w:szCs w:val="22"/>
          <w:lang w:val="ru-RU"/>
        </w:rPr>
        <w:t xml:space="preserve">все </w:t>
      </w:r>
      <w:r w:rsidR="005A0A51" w:rsidRPr="005A0A51">
        <w:rPr>
          <w:szCs w:val="22"/>
          <w:lang w:val="ru-RU"/>
        </w:rPr>
        <w:t xml:space="preserve">усилия </w:t>
      </w:r>
      <w:r>
        <w:rPr>
          <w:szCs w:val="22"/>
          <w:lang w:val="ru-RU"/>
        </w:rPr>
        <w:t xml:space="preserve">к </w:t>
      </w:r>
      <w:r w:rsidR="005A0A51" w:rsidRPr="005A0A51">
        <w:rPr>
          <w:szCs w:val="22"/>
          <w:lang w:val="ru-RU"/>
        </w:rPr>
        <w:t>то</w:t>
      </w:r>
      <w:r>
        <w:rPr>
          <w:szCs w:val="22"/>
          <w:lang w:val="ru-RU"/>
        </w:rPr>
        <w:t>му</w:t>
      </w:r>
      <w:r w:rsidR="005A0A51" w:rsidRPr="005A0A51">
        <w:rPr>
          <w:szCs w:val="22"/>
          <w:lang w:val="ru-RU"/>
        </w:rPr>
        <w:t>, чтобы оценить работу соответствующих отделов Секретариата по вышеизложенным вопросам, включая усилия в поддержку работы Постоянного комитета по законодательству в области товарных знаков, промышленных образцов и географических указаний (ПКТЗ)</w:t>
      </w:r>
      <w:r w:rsidR="00192C16" w:rsidRPr="005A0A51">
        <w:rPr>
          <w:szCs w:val="22"/>
          <w:lang w:val="ru-RU"/>
        </w:rPr>
        <w:t>.</w:t>
      </w:r>
      <w:r w:rsidR="00192C16" w:rsidRPr="006475B9">
        <w:rPr>
          <w:rStyle w:val="FootnoteReference"/>
          <w:szCs w:val="22"/>
        </w:rPr>
        <w:footnoteReference w:id="61"/>
      </w:r>
      <w:r w:rsidR="009278BC" w:rsidRPr="005A0A51">
        <w:rPr>
          <w:szCs w:val="22"/>
          <w:lang w:val="ru-RU"/>
        </w:rPr>
        <w:t xml:space="preserve">  </w:t>
      </w:r>
      <w:r w:rsidR="006B5EF6" w:rsidRPr="006B5EF6">
        <w:rPr>
          <w:rFonts w:eastAsia="Times New Roman"/>
          <w:color w:val="000000"/>
          <w:szCs w:val="22"/>
          <w:lang w:val="ru-RU" w:eastAsia="en-US"/>
        </w:rPr>
        <w:t>Секретариат будет продолжать следить за развитием событий и предоставлять, по мере возможности, необходимую информацию</w:t>
      </w:r>
      <w:r w:rsidR="00192C16" w:rsidRPr="006B5EF6">
        <w:rPr>
          <w:rFonts w:eastAsia="Times New Roman"/>
          <w:color w:val="000000"/>
          <w:szCs w:val="22"/>
          <w:lang w:val="ru-RU" w:eastAsia="en-US"/>
        </w:rPr>
        <w:t>.</w:t>
      </w:r>
    </w:p>
    <w:p w:rsidR="00192C16" w:rsidRPr="006B5EF6" w:rsidRDefault="00192C16" w:rsidP="00192C16">
      <w:pPr>
        <w:rPr>
          <w:szCs w:val="24"/>
          <w:lang w:val="ru-RU"/>
        </w:rPr>
      </w:pPr>
    </w:p>
    <w:p w:rsidR="00A517DE" w:rsidRPr="003A0127" w:rsidRDefault="00D56F83" w:rsidP="00183C1B">
      <w:pPr>
        <w:pStyle w:val="DecisionInvitingPara"/>
        <w:numPr>
          <w:ilvl w:val="0"/>
          <w:numId w:val="10"/>
        </w:numPr>
        <w:spacing w:after="0"/>
        <w:ind w:left="5580" w:firstLine="0"/>
        <w:rPr>
          <w:sz w:val="22"/>
          <w:szCs w:val="22"/>
          <w:lang w:val="ru-RU"/>
        </w:rPr>
      </w:pPr>
      <w:r w:rsidRPr="003A0127">
        <w:rPr>
          <w:sz w:val="22"/>
          <w:szCs w:val="22"/>
          <w:lang w:val="ru-RU"/>
        </w:rPr>
        <w:t xml:space="preserve">Генеральной Ассамблее ВОИС предлагается принять к сведению содержание документа </w:t>
      </w:r>
      <w:r w:rsidR="00B73287" w:rsidRPr="003A0127">
        <w:rPr>
          <w:sz w:val="22"/>
          <w:szCs w:val="22"/>
          <w:lang w:val="ru-RU"/>
        </w:rPr>
        <w:t>«</w:t>
      </w:r>
      <w:r w:rsidR="003A0127" w:rsidRPr="003A0127">
        <w:rPr>
          <w:sz w:val="22"/>
          <w:szCs w:val="22"/>
          <w:lang w:val="ru-RU"/>
        </w:rPr>
        <w:t>Центр ВОИС по арбитражу и посредничеству, включая доменные имена</w:t>
      </w:r>
      <w:r w:rsidR="00B73287" w:rsidRPr="003A0127">
        <w:rPr>
          <w:sz w:val="22"/>
          <w:szCs w:val="22"/>
          <w:lang w:val="ru-RU"/>
        </w:rPr>
        <w:t>»</w:t>
      </w:r>
      <w:r w:rsidR="003E0704" w:rsidRPr="003A0127">
        <w:rPr>
          <w:sz w:val="22"/>
          <w:szCs w:val="22"/>
          <w:lang w:val="ru-RU"/>
        </w:rPr>
        <w:t xml:space="preserve"> (</w:t>
      </w:r>
      <w:r w:rsidR="003E0704" w:rsidRPr="003A0127">
        <w:rPr>
          <w:sz w:val="22"/>
          <w:szCs w:val="22"/>
        </w:rPr>
        <w:t>WO</w:t>
      </w:r>
      <w:r w:rsidR="003E0704" w:rsidRPr="003A0127">
        <w:rPr>
          <w:sz w:val="22"/>
          <w:szCs w:val="22"/>
          <w:lang w:val="ru-RU"/>
        </w:rPr>
        <w:t>/</w:t>
      </w:r>
      <w:r w:rsidR="003E0704" w:rsidRPr="003A0127">
        <w:rPr>
          <w:sz w:val="22"/>
          <w:szCs w:val="22"/>
        </w:rPr>
        <w:t>GA</w:t>
      </w:r>
      <w:r w:rsidR="003E0704" w:rsidRPr="003A0127">
        <w:rPr>
          <w:sz w:val="22"/>
          <w:szCs w:val="22"/>
          <w:lang w:val="ru-RU"/>
        </w:rPr>
        <w:t>/46/8)</w:t>
      </w:r>
      <w:r w:rsidR="00192C16" w:rsidRPr="003A0127">
        <w:rPr>
          <w:sz w:val="22"/>
          <w:szCs w:val="22"/>
          <w:lang w:val="ru-RU"/>
        </w:rPr>
        <w:t>.</w:t>
      </w:r>
    </w:p>
    <w:p w:rsidR="00183C1B" w:rsidRPr="007F54DF" w:rsidRDefault="00183C1B" w:rsidP="00A517DE">
      <w:pPr>
        <w:pStyle w:val="DecisionInvitingPara"/>
        <w:spacing w:after="0"/>
        <w:rPr>
          <w:sz w:val="22"/>
          <w:szCs w:val="22"/>
          <w:lang w:val="ru-RU"/>
        </w:rPr>
      </w:pPr>
    </w:p>
    <w:p w:rsidR="00A517DE" w:rsidRPr="007F54DF" w:rsidRDefault="00A517DE" w:rsidP="00A517DE">
      <w:pPr>
        <w:pStyle w:val="DecisionInvitingPara"/>
        <w:spacing w:after="0"/>
        <w:rPr>
          <w:sz w:val="22"/>
          <w:szCs w:val="22"/>
          <w:lang w:val="ru-RU"/>
        </w:rPr>
      </w:pPr>
    </w:p>
    <w:p w:rsidR="002928D3" w:rsidRPr="00A517DE" w:rsidRDefault="00192C16" w:rsidP="00A517DE">
      <w:pPr>
        <w:ind w:left="4967" w:firstLine="567"/>
        <w:rPr>
          <w:szCs w:val="22"/>
        </w:rPr>
      </w:pPr>
      <w:r w:rsidRPr="00A517DE">
        <w:rPr>
          <w:szCs w:val="22"/>
        </w:rPr>
        <w:t>[</w:t>
      </w:r>
      <w:r w:rsidR="00D56F83">
        <w:rPr>
          <w:szCs w:val="22"/>
          <w:lang w:val="ru-RU"/>
        </w:rPr>
        <w:t>Конец документа</w:t>
      </w:r>
      <w:r w:rsidRPr="00A517DE">
        <w:rPr>
          <w:szCs w:val="22"/>
        </w:rPr>
        <w:t>]</w:t>
      </w:r>
    </w:p>
    <w:sectPr w:rsidR="002928D3" w:rsidRPr="00A517DE" w:rsidSect="00192C1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D33" w:rsidRDefault="004C1D33">
      <w:r>
        <w:separator/>
      </w:r>
    </w:p>
  </w:endnote>
  <w:endnote w:type="continuationSeparator" w:id="0">
    <w:p w:rsidR="004C1D33" w:rsidRDefault="004C1D33" w:rsidP="003B38C1">
      <w:r>
        <w:separator/>
      </w:r>
    </w:p>
    <w:p w:rsidR="004C1D33" w:rsidRPr="003B38C1" w:rsidRDefault="004C1D33" w:rsidP="003B38C1">
      <w:pPr>
        <w:spacing w:after="60"/>
        <w:rPr>
          <w:sz w:val="17"/>
        </w:rPr>
      </w:pPr>
      <w:r>
        <w:rPr>
          <w:sz w:val="17"/>
        </w:rPr>
        <w:t>[Endnote continued from previous page]</w:t>
      </w:r>
    </w:p>
  </w:endnote>
  <w:endnote w:type="continuationNotice" w:id="1">
    <w:p w:rsidR="004C1D33" w:rsidRPr="003B38C1" w:rsidRDefault="004C1D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Guli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D33" w:rsidRDefault="004C1D33">
      <w:r>
        <w:separator/>
      </w:r>
    </w:p>
  </w:footnote>
  <w:footnote w:type="continuationSeparator" w:id="0">
    <w:p w:rsidR="004C1D33" w:rsidRDefault="004C1D33" w:rsidP="008B60B2">
      <w:r>
        <w:separator/>
      </w:r>
    </w:p>
    <w:p w:rsidR="004C1D33" w:rsidRPr="00ED77FB" w:rsidRDefault="004C1D33" w:rsidP="008B60B2">
      <w:pPr>
        <w:spacing w:after="60"/>
        <w:rPr>
          <w:sz w:val="17"/>
          <w:szCs w:val="17"/>
        </w:rPr>
      </w:pPr>
      <w:r w:rsidRPr="00ED77FB">
        <w:rPr>
          <w:sz w:val="17"/>
          <w:szCs w:val="17"/>
        </w:rPr>
        <w:t>[Footnote continued from previous page]</w:t>
      </w:r>
    </w:p>
  </w:footnote>
  <w:footnote w:type="continuationNotice" w:id="1">
    <w:p w:rsidR="004C1D33" w:rsidRPr="00ED77FB" w:rsidRDefault="004C1D33" w:rsidP="008B60B2">
      <w:pPr>
        <w:spacing w:before="60"/>
        <w:jc w:val="right"/>
        <w:rPr>
          <w:sz w:val="17"/>
          <w:szCs w:val="17"/>
        </w:rPr>
      </w:pPr>
      <w:r w:rsidRPr="00ED77FB">
        <w:rPr>
          <w:sz w:val="17"/>
          <w:szCs w:val="17"/>
        </w:rPr>
        <w:t>[Footnote continued on next page]</w:t>
      </w:r>
    </w:p>
  </w:footnote>
  <w:footnote w:id="2">
    <w:p w:rsidR="004C1D33" w:rsidRPr="00D758C0" w:rsidRDefault="004C1D33" w:rsidP="00192C16">
      <w:pPr>
        <w:pStyle w:val="FootnoteText"/>
        <w:rPr>
          <w:szCs w:val="18"/>
          <w:u w:val="single"/>
          <w:lang w:val="ru-RU"/>
        </w:rPr>
      </w:pPr>
      <w:r w:rsidRPr="004B7471">
        <w:rPr>
          <w:rStyle w:val="FootnoteReference"/>
          <w:szCs w:val="18"/>
        </w:rPr>
        <w:footnoteRef/>
      </w:r>
      <w:r w:rsidRPr="00D758C0">
        <w:rPr>
          <w:szCs w:val="18"/>
          <w:lang w:val="ru-RU"/>
        </w:rPr>
        <w:t xml:space="preserve"> </w:t>
      </w:r>
      <w:r w:rsidRPr="00D758C0">
        <w:rPr>
          <w:szCs w:val="18"/>
          <w:lang w:val="ru-RU"/>
        </w:rPr>
        <w:tab/>
      </w:r>
      <w:r>
        <w:rPr>
          <w:szCs w:val="18"/>
          <w:lang w:val="ru-RU"/>
        </w:rPr>
        <w:t>Ознакомиться с п</w:t>
      </w:r>
      <w:r w:rsidRPr="00D758C0">
        <w:rPr>
          <w:szCs w:val="18"/>
          <w:lang w:val="ru-RU"/>
        </w:rPr>
        <w:t>редыдущи</w:t>
      </w:r>
      <w:r>
        <w:rPr>
          <w:szCs w:val="18"/>
          <w:lang w:val="ru-RU"/>
        </w:rPr>
        <w:t>м</w:t>
      </w:r>
      <w:r w:rsidRPr="00D758C0">
        <w:rPr>
          <w:szCs w:val="18"/>
          <w:lang w:val="ru-RU"/>
        </w:rPr>
        <w:t xml:space="preserve"> </w:t>
      </w:r>
      <w:r>
        <w:rPr>
          <w:szCs w:val="18"/>
          <w:lang w:val="ru-RU"/>
        </w:rPr>
        <w:t xml:space="preserve">отчетом </w:t>
      </w:r>
      <w:r w:rsidRPr="00D758C0">
        <w:rPr>
          <w:szCs w:val="18"/>
          <w:lang w:val="ru-RU"/>
        </w:rPr>
        <w:t>Центра</w:t>
      </w:r>
      <w:r>
        <w:rPr>
          <w:szCs w:val="18"/>
          <w:lang w:val="ru-RU"/>
        </w:rPr>
        <w:t xml:space="preserve"> для</w:t>
      </w:r>
      <w:r w:rsidRPr="00D758C0">
        <w:rPr>
          <w:szCs w:val="18"/>
          <w:lang w:val="ru-RU"/>
        </w:rPr>
        <w:t xml:space="preserve"> Генеральной Ассамбле</w:t>
      </w:r>
      <w:r>
        <w:rPr>
          <w:szCs w:val="18"/>
          <w:lang w:val="ru-RU"/>
        </w:rPr>
        <w:t>и</w:t>
      </w:r>
      <w:r w:rsidRPr="00D758C0">
        <w:rPr>
          <w:szCs w:val="18"/>
          <w:lang w:val="ru-RU"/>
        </w:rPr>
        <w:t xml:space="preserve"> ВОИС (</w:t>
      </w:r>
      <w:r>
        <w:t>WO</w:t>
      </w:r>
      <w:r w:rsidRPr="00D758C0">
        <w:rPr>
          <w:lang w:val="ru-RU"/>
        </w:rPr>
        <w:t>/</w:t>
      </w:r>
      <w:r>
        <w:t>GA</w:t>
      </w:r>
      <w:r w:rsidRPr="00D758C0">
        <w:rPr>
          <w:lang w:val="ru-RU"/>
        </w:rPr>
        <w:t>/43/17</w:t>
      </w:r>
      <w:r w:rsidRPr="00D758C0">
        <w:rPr>
          <w:szCs w:val="18"/>
          <w:lang w:val="ru-RU"/>
        </w:rPr>
        <w:t xml:space="preserve">) </w:t>
      </w:r>
      <w:r>
        <w:rPr>
          <w:szCs w:val="18"/>
          <w:lang w:val="ru-RU"/>
        </w:rPr>
        <w:t xml:space="preserve">можно по адресу:  </w:t>
      </w:r>
      <w:r w:rsidRPr="00C24A99">
        <w:rPr>
          <w:szCs w:val="18"/>
          <w:u w:val="single"/>
        </w:rPr>
        <w:t>http</w:t>
      </w:r>
      <w:r w:rsidRPr="00D758C0">
        <w:rPr>
          <w:szCs w:val="18"/>
          <w:u w:val="single"/>
          <w:lang w:val="ru-RU"/>
        </w:rPr>
        <w:t>://</w:t>
      </w:r>
      <w:r w:rsidRPr="00C24A99">
        <w:rPr>
          <w:szCs w:val="18"/>
          <w:u w:val="single"/>
        </w:rPr>
        <w:t>www</w:t>
      </w:r>
      <w:r w:rsidRPr="00D758C0">
        <w:rPr>
          <w:szCs w:val="18"/>
          <w:u w:val="single"/>
          <w:lang w:val="ru-RU"/>
        </w:rPr>
        <w:t>.</w:t>
      </w:r>
      <w:r w:rsidRPr="00C24A99">
        <w:rPr>
          <w:szCs w:val="18"/>
          <w:u w:val="single"/>
        </w:rPr>
        <w:t>wipo</w:t>
      </w:r>
      <w:r w:rsidRPr="00D758C0">
        <w:rPr>
          <w:szCs w:val="18"/>
          <w:u w:val="single"/>
          <w:lang w:val="ru-RU"/>
        </w:rPr>
        <w:t>.</w:t>
      </w:r>
      <w:r w:rsidRPr="00C24A99">
        <w:rPr>
          <w:szCs w:val="18"/>
          <w:u w:val="single"/>
        </w:rPr>
        <w:t>int</w:t>
      </w:r>
      <w:r w:rsidRPr="00D758C0">
        <w:rPr>
          <w:szCs w:val="18"/>
          <w:u w:val="single"/>
          <w:lang w:val="ru-RU"/>
        </w:rPr>
        <w:t>/</w:t>
      </w:r>
      <w:r w:rsidRPr="00C24A99">
        <w:rPr>
          <w:szCs w:val="18"/>
          <w:u w:val="single"/>
        </w:rPr>
        <w:t>edocs</w:t>
      </w:r>
      <w:r w:rsidRPr="00D758C0">
        <w:rPr>
          <w:szCs w:val="18"/>
          <w:u w:val="single"/>
          <w:lang w:val="ru-RU"/>
        </w:rPr>
        <w:t>/</w:t>
      </w:r>
      <w:r w:rsidRPr="00C24A99">
        <w:rPr>
          <w:szCs w:val="18"/>
          <w:u w:val="single"/>
        </w:rPr>
        <w:t>mdocs</w:t>
      </w:r>
      <w:r w:rsidRPr="00D758C0">
        <w:rPr>
          <w:szCs w:val="18"/>
          <w:u w:val="single"/>
          <w:lang w:val="ru-RU"/>
        </w:rPr>
        <w:t>/</w:t>
      </w:r>
      <w:r w:rsidRPr="00C24A99">
        <w:rPr>
          <w:szCs w:val="18"/>
          <w:u w:val="single"/>
        </w:rPr>
        <w:t>govbody</w:t>
      </w:r>
      <w:r w:rsidRPr="00D758C0">
        <w:rPr>
          <w:szCs w:val="18"/>
          <w:u w:val="single"/>
          <w:lang w:val="ru-RU"/>
        </w:rPr>
        <w:t>/</w:t>
      </w:r>
      <w:r w:rsidRPr="00C24A99">
        <w:rPr>
          <w:szCs w:val="18"/>
          <w:u w:val="single"/>
        </w:rPr>
        <w:t>en</w:t>
      </w:r>
      <w:r w:rsidRPr="00D758C0">
        <w:rPr>
          <w:szCs w:val="18"/>
          <w:u w:val="single"/>
          <w:lang w:val="ru-RU"/>
        </w:rPr>
        <w:t>/</w:t>
      </w:r>
      <w:r w:rsidRPr="00C24A99">
        <w:rPr>
          <w:szCs w:val="18"/>
          <w:u w:val="single"/>
        </w:rPr>
        <w:t>wo</w:t>
      </w:r>
      <w:r w:rsidRPr="00D758C0">
        <w:rPr>
          <w:szCs w:val="18"/>
          <w:u w:val="single"/>
          <w:lang w:val="ru-RU"/>
        </w:rPr>
        <w:t>_</w:t>
      </w:r>
      <w:r w:rsidRPr="00C24A99">
        <w:rPr>
          <w:szCs w:val="18"/>
          <w:u w:val="single"/>
        </w:rPr>
        <w:t>ga</w:t>
      </w:r>
      <w:r w:rsidRPr="00D758C0">
        <w:rPr>
          <w:szCs w:val="18"/>
          <w:u w:val="single"/>
          <w:lang w:val="ru-RU"/>
        </w:rPr>
        <w:t>_43/</w:t>
      </w:r>
      <w:r w:rsidRPr="00C24A99">
        <w:rPr>
          <w:szCs w:val="18"/>
          <w:u w:val="single"/>
        </w:rPr>
        <w:t>wo</w:t>
      </w:r>
      <w:r w:rsidRPr="00D758C0">
        <w:rPr>
          <w:szCs w:val="18"/>
          <w:u w:val="single"/>
          <w:lang w:val="ru-RU"/>
        </w:rPr>
        <w:t>_</w:t>
      </w:r>
      <w:r w:rsidRPr="00C24A99">
        <w:rPr>
          <w:szCs w:val="18"/>
          <w:u w:val="single"/>
        </w:rPr>
        <w:t>ga</w:t>
      </w:r>
      <w:r w:rsidRPr="00D758C0">
        <w:rPr>
          <w:szCs w:val="18"/>
          <w:u w:val="single"/>
          <w:lang w:val="ru-RU"/>
        </w:rPr>
        <w:t>_43_17.</w:t>
      </w:r>
      <w:r w:rsidRPr="00C24A99">
        <w:rPr>
          <w:szCs w:val="18"/>
          <w:u w:val="single"/>
        </w:rPr>
        <w:t>pdf</w:t>
      </w:r>
      <w:r w:rsidRPr="00D758C0">
        <w:rPr>
          <w:szCs w:val="18"/>
          <w:lang w:val="ru-RU"/>
        </w:rPr>
        <w:t>.</w:t>
      </w:r>
      <w:r w:rsidRPr="00D758C0">
        <w:rPr>
          <w:lang w:val="ru-RU"/>
        </w:rPr>
        <w:t xml:space="preserve"> </w:t>
      </w:r>
    </w:p>
  </w:footnote>
  <w:footnote w:id="3">
    <w:p w:rsidR="004C1D33" w:rsidRPr="00E16300" w:rsidRDefault="004C1D33" w:rsidP="00C65A95">
      <w:pPr>
        <w:pStyle w:val="FootnoteText"/>
        <w:rPr>
          <w:lang w:val="ru-RU"/>
        </w:rPr>
      </w:pPr>
      <w:r w:rsidRPr="00700A97">
        <w:rPr>
          <w:rStyle w:val="FootnoteReference"/>
        </w:rPr>
        <w:footnoteRef/>
      </w:r>
      <w:r w:rsidRPr="00E16300">
        <w:rPr>
          <w:lang w:val="ru-RU"/>
        </w:rPr>
        <w:t xml:space="preserve"> </w:t>
      </w:r>
      <w:r w:rsidRPr="00E16300">
        <w:rPr>
          <w:lang w:val="ru-RU"/>
        </w:rPr>
        <w:tab/>
      </w:r>
      <w:r>
        <w:rPr>
          <w:lang w:val="ru-RU"/>
        </w:rPr>
        <w:t>Ознакомиться с перечнем всех</w:t>
      </w:r>
      <w:r w:rsidRPr="00E16300">
        <w:rPr>
          <w:lang w:val="ru-RU"/>
        </w:rPr>
        <w:t xml:space="preserve"> </w:t>
      </w:r>
      <w:r>
        <w:rPr>
          <w:lang w:val="ru-RU"/>
        </w:rPr>
        <w:t>семинаров</w:t>
      </w:r>
      <w:r w:rsidRPr="00E16300">
        <w:rPr>
          <w:lang w:val="ru-RU"/>
        </w:rPr>
        <w:t xml:space="preserve"> </w:t>
      </w:r>
      <w:r>
        <w:rPr>
          <w:lang w:val="ru-RU"/>
        </w:rPr>
        <w:t>и</w:t>
      </w:r>
      <w:r w:rsidRPr="00E16300">
        <w:rPr>
          <w:lang w:val="ru-RU"/>
        </w:rPr>
        <w:t xml:space="preserve"> </w:t>
      </w:r>
      <w:r>
        <w:rPr>
          <w:lang w:val="ru-RU"/>
        </w:rPr>
        <w:t>других</w:t>
      </w:r>
      <w:r w:rsidRPr="00E16300">
        <w:rPr>
          <w:lang w:val="ru-RU"/>
        </w:rPr>
        <w:t xml:space="preserve"> </w:t>
      </w:r>
      <w:r>
        <w:rPr>
          <w:lang w:val="ru-RU"/>
        </w:rPr>
        <w:t>мероприятий, организованных</w:t>
      </w:r>
      <w:r w:rsidRPr="00E16300">
        <w:rPr>
          <w:lang w:val="ru-RU"/>
        </w:rPr>
        <w:t xml:space="preserve"> </w:t>
      </w:r>
      <w:r>
        <w:rPr>
          <w:lang w:val="ru-RU"/>
        </w:rPr>
        <w:t>Центром,</w:t>
      </w:r>
      <w:r w:rsidRPr="00E16300">
        <w:rPr>
          <w:lang w:val="ru-RU"/>
        </w:rPr>
        <w:t xml:space="preserve"> </w:t>
      </w:r>
      <w:r>
        <w:rPr>
          <w:lang w:val="ru-RU"/>
        </w:rPr>
        <w:t>можно по адресу</w:t>
      </w:r>
      <w:r w:rsidRPr="00E16300">
        <w:rPr>
          <w:lang w:val="ru-RU"/>
        </w:rPr>
        <w:t>:</w:t>
      </w:r>
      <w:r>
        <w:rPr>
          <w:lang w:val="ru-RU"/>
        </w:rPr>
        <w:t xml:space="preserve"> </w:t>
      </w:r>
      <w:r w:rsidRPr="00E16300">
        <w:rPr>
          <w:lang w:val="ru-RU"/>
        </w:rPr>
        <w:t xml:space="preserve"> </w:t>
      </w:r>
      <w:r w:rsidRPr="00700A97">
        <w:rPr>
          <w:szCs w:val="18"/>
          <w:u w:val="single"/>
        </w:rPr>
        <w:t>http</w:t>
      </w:r>
      <w:r w:rsidRPr="00E16300">
        <w:rPr>
          <w:szCs w:val="18"/>
          <w:u w:val="single"/>
          <w:lang w:val="ru-RU"/>
        </w:rPr>
        <w:t>://</w:t>
      </w:r>
      <w:r w:rsidRPr="00700A97">
        <w:rPr>
          <w:szCs w:val="18"/>
          <w:u w:val="single"/>
        </w:rPr>
        <w:t>www</w:t>
      </w:r>
      <w:r w:rsidRPr="00E16300">
        <w:rPr>
          <w:szCs w:val="18"/>
          <w:u w:val="single"/>
          <w:lang w:val="ru-RU"/>
        </w:rPr>
        <w:t>.</w:t>
      </w:r>
      <w:r w:rsidRPr="00700A97">
        <w:rPr>
          <w:szCs w:val="18"/>
          <w:u w:val="single"/>
        </w:rPr>
        <w:t>wipo</w:t>
      </w:r>
      <w:r w:rsidRPr="00E16300">
        <w:rPr>
          <w:szCs w:val="18"/>
          <w:u w:val="single"/>
          <w:lang w:val="ru-RU"/>
        </w:rPr>
        <w:t>.</w:t>
      </w:r>
      <w:r w:rsidRPr="00700A97">
        <w:rPr>
          <w:szCs w:val="18"/>
          <w:u w:val="single"/>
        </w:rPr>
        <w:t>int</w:t>
      </w:r>
      <w:r w:rsidRPr="00E16300">
        <w:rPr>
          <w:szCs w:val="18"/>
          <w:u w:val="single"/>
          <w:lang w:val="ru-RU"/>
        </w:rPr>
        <w:t>/</w:t>
      </w:r>
      <w:r w:rsidRPr="00700A97">
        <w:rPr>
          <w:szCs w:val="18"/>
          <w:u w:val="single"/>
        </w:rPr>
        <w:t>amc</w:t>
      </w:r>
      <w:r w:rsidRPr="00E16300">
        <w:rPr>
          <w:szCs w:val="18"/>
          <w:u w:val="single"/>
          <w:lang w:val="ru-RU"/>
        </w:rPr>
        <w:t>/</w:t>
      </w:r>
      <w:r w:rsidRPr="00700A97">
        <w:rPr>
          <w:szCs w:val="18"/>
          <w:u w:val="single"/>
        </w:rPr>
        <w:t>en</w:t>
      </w:r>
      <w:r w:rsidRPr="00E16300">
        <w:rPr>
          <w:szCs w:val="18"/>
          <w:u w:val="single"/>
          <w:lang w:val="ru-RU"/>
        </w:rPr>
        <w:t>/</w:t>
      </w:r>
      <w:r w:rsidRPr="00700A97">
        <w:rPr>
          <w:szCs w:val="18"/>
          <w:u w:val="single"/>
        </w:rPr>
        <w:t>events</w:t>
      </w:r>
      <w:r w:rsidRPr="00E16300">
        <w:rPr>
          <w:lang w:val="ru-RU"/>
        </w:rPr>
        <w:t>.</w:t>
      </w:r>
    </w:p>
  </w:footnote>
  <w:footnote w:id="4">
    <w:p w:rsidR="004C1D33" w:rsidRPr="00BC3BBA" w:rsidRDefault="004C1D33" w:rsidP="00C65A95">
      <w:pPr>
        <w:pStyle w:val="FootnoteText"/>
        <w:rPr>
          <w:lang w:val="ru-RU"/>
        </w:rPr>
      </w:pPr>
      <w:r>
        <w:rPr>
          <w:rStyle w:val="FootnoteReference"/>
        </w:rPr>
        <w:footnoteRef/>
      </w:r>
      <w:r>
        <w:rPr>
          <w:lang w:val="ru-RU"/>
        </w:rPr>
        <w:t xml:space="preserve">          </w:t>
      </w:r>
      <w:proofErr w:type="gramStart"/>
      <w:r>
        <w:t>ECAF</w:t>
      </w:r>
      <w:r w:rsidRPr="00C37197">
        <w:rPr>
          <w:lang w:val="ru-RU"/>
        </w:rPr>
        <w:t xml:space="preserve"> </w:t>
      </w:r>
      <w:r>
        <w:rPr>
          <w:lang w:val="ru-RU"/>
        </w:rPr>
        <w:t>позволяет направлять жалобы и сохранять документы в электронном виде, что экономит время и средства в ходе процедур посредничества и арбитража.</w:t>
      </w:r>
      <w:proofErr w:type="gramEnd"/>
      <w:r>
        <w:rPr>
          <w:lang w:val="ru-RU"/>
        </w:rPr>
        <w:t xml:space="preserve">  См. </w:t>
      </w:r>
      <w:r w:rsidRPr="00BC3BBA">
        <w:rPr>
          <w:lang w:val="ru-RU"/>
        </w:rPr>
        <w:t>http://www.wipo.int/amc/en/ecaf/index.html</w:t>
      </w:r>
      <w:r>
        <w:rPr>
          <w:lang w:val="ru-RU"/>
        </w:rPr>
        <w:t>.</w:t>
      </w:r>
    </w:p>
  </w:footnote>
  <w:footnote w:id="5">
    <w:p w:rsidR="004C1D33" w:rsidRPr="00B63790" w:rsidRDefault="004C1D33" w:rsidP="00192C16">
      <w:pPr>
        <w:pStyle w:val="FootnoteText"/>
        <w:rPr>
          <w:lang w:val="ru-RU"/>
        </w:rPr>
      </w:pPr>
      <w:r>
        <w:rPr>
          <w:rStyle w:val="FootnoteReference"/>
        </w:rPr>
        <w:footnoteRef/>
      </w:r>
      <w:r w:rsidRPr="00B63790">
        <w:rPr>
          <w:lang w:val="ru-RU"/>
        </w:rPr>
        <w:t xml:space="preserve"> </w:t>
      </w:r>
      <w:r w:rsidRPr="00B63790">
        <w:rPr>
          <w:lang w:val="ru-RU"/>
        </w:rPr>
        <w:tab/>
      </w:r>
      <w:r>
        <w:rPr>
          <w:lang w:val="ru-RU"/>
        </w:rPr>
        <w:t>См.</w:t>
      </w:r>
      <w:r w:rsidRPr="00B63790">
        <w:rPr>
          <w:lang w:val="ru-RU"/>
        </w:rPr>
        <w:t xml:space="preserve"> </w:t>
      </w:r>
      <w:r w:rsidRPr="00E41F21">
        <w:rPr>
          <w:u w:val="single"/>
        </w:rPr>
        <w:t>http</w:t>
      </w:r>
      <w:r w:rsidRPr="00B63790">
        <w:rPr>
          <w:u w:val="single"/>
          <w:lang w:val="ru-RU"/>
        </w:rPr>
        <w:t>://</w:t>
      </w:r>
      <w:r w:rsidRPr="00E41F21">
        <w:rPr>
          <w:u w:val="single"/>
        </w:rPr>
        <w:t>www</w:t>
      </w:r>
      <w:r w:rsidRPr="00B63790">
        <w:rPr>
          <w:u w:val="single"/>
          <w:lang w:val="ru-RU"/>
        </w:rPr>
        <w:t>.</w:t>
      </w:r>
      <w:r w:rsidRPr="00E41F21">
        <w:rPr>
          <w:u w:val="single"/>
        </w:rPr>
        <w:t>wipo</w:t>
      </w:r>
      <w:r w:rsidRPr="00B63790">
        <w:rPr>
          <w:u w:val="single"/>
          <w:lang w:val="ru-RU"/>
        </w:rPr>
        <w:t>.</w:t>
      </w:r>
      <w:r w:rsidRPr="00E41F21">
        <w:rPr>
          <w:u w:val="single"/>
        </w:rPr>
        <w:t>int</w:t>
      </w:r>
      <w:r w:rsidRPr="00B63790">
        <w:rPr>
          <w:u w:val="single"/>
          <w:lang w:val="ru-RU"/>
        </w:rPr>
        <w:t>/</w:t>
      </w:r>
      <w:r w:rsidRPr="00E41F21">
        <w:rPr>
          <w:u w:val="single"/>
        </w:rPr>
        <w:t>amc</w:t>
      </w:r>
      <w:r w:rsidRPr="00B63790">
        <w:rPr>
          <w:u w:val="single"/>
          <w:lang w:val="ru-RU"/>
        </w:rPr>
        <w:t>/</w:t>
      </w:r>
      <w:r w:rsidRPr="00E41F21">
        <w:rPr>
          <w:u w:val="single"/>
        </w:rPr>
        <w:t>en</w:t>
      </w:r>
      <w:r w:rsidRPr="00B63790">
        <w:rPr>
          <w:u w:val="single"/>
          <w:lang w:val="ru-RU"/>
        </w:rPr>
        <w:t>/</w:t>
      </w:r>
      <w:r w:rsidRPr="00E41F21">
        <w:rPr>
          <w:u w:val="single"/>
        </w:rPr>
        <w:t>rules</w:t>
      </w:r>
      <w:r w:rsidRPr="00B63790">
        <w:rPr>
          <w:u w:val="single"/>
          <w:lang w:val="ru-RU"/>
        </w:rPr>
        <w:t>/</w:t>
      </w:r>
      <w:r w:rsidRPr="00E41F21">
        <w:rPr>
          <w:u w:val="single"/>
        </w:rPr>
        <w:t>newrules</w:t>
      </w:r>
      <w:r w:rsidRPr="00B63790">
        <w:rPr>
          <w:u w:val="single"/>
          <w:lang w:val="ru-RU"/>
        </w:rPr>
        <w:t>.</w:t>
      </w:r>
      <w:r w:rsidRPr="00E41F21">
        <w:rPr>
          <w:u w:val="single"/>
        </w:rPr>
        <w:t>html</w:t>
      </w:r>
      <w:r w:rsidRPr="00B63790">
        <w:rPr>
          <w:lang w:val="ru-RU"/>
        </w:rPr>
        <w:t>.</w:t>
      </w:r>
    </w:p>
  </w:footnote>
  <w:footnote w:id="6">
    <w:p w:rsidR="004C1D33" w:rsidRPr="003D20D5" w:rsidRDefault="004C1D33" w:rsidP="003D20D5">
      <w:pPr>
        <w:pStyle w:val="FootnoteText"/>
        <w:rPr>
          <w:lang w:val="ru-RU"/>
        </w:rPr>
      </w:pPr>
      <w:r>
        <w:rPr>
          <w:rStyle w:val="FootnoteReference"/>
        </w:rPr>
        <w:footnoteRef/>
      </w:r>
      <w:r w:rsidRPr="003D20D5">
        <w:rPr>
          <w:lang w:val="ru-RU"/>
        </w:rPr>
        <w:t xml:space="preserve"> </w:t>
      </w:r>
      <w:r w:rsidRPr="003D20D5">
        <w:rPr>
          <w:lang w:val="ru-RU"/>
        </w:rPr>
        <w:tab/>
      </w:r>
      <w:r>
        <w:rPr>
          <w:lang w:val="ru-RU"/>
        </w:rPr>
        <w:t>См</w:t>
      </w:r>
      <w:r w:rsidRPr="003D20D5">
        <w:rPr>
          <w:lang w:val="ru-RU"/>
        </w:rPr>
        <w:t xml:space="preserve">. </w:t>
      </w:r>
      <w:r w:rsidRPr="00E41F21">
        <w:rPr>
          <w:u w:val="single"/>
        </w:rPr>
        <w:t>http</w:t>
      </w:r>
      <w:r w:rsidRPr="003D20D5">
        <w:rPr>
          <w:u w:val="single"/>
          <w:lang w:val="ru-RU"/>
        </w:rPr>
        <w:t>://</w:t>
      </w:r>
      <w:r w:rsidRPr="00E41F21">
        <w:rPr>
          <w:u w:val="single"/>
        </w:rPr>
        <w:t>www</w:t>
      </w:r>
      <w:r w:rsidRPr="003D20D5">
        <w:rPr>
          <w:u w:val="single"/>
          <w:lang w:val="ru-RU"/>
        </w:rPr>
        <w:t>.</w:t>
      </w:r>
      <w:r w:rsidRPr="00E41F21">
        <w:rPr>
          <w:u w:val="single"/>
        </w:rPr>
        <w:t>wipo</w:t>
      </w:r>
      <w:r w:rsidRPr="003D20D5">
        <w:rPr>
          <w:u w:val="single"/>
          <w:lang w:val="ru-RU"/>
        </w:rPr>
        <w:t>.</w:t>
      </w:r>
      <w:r w:rsidRPr="00E41F21">
        <w:rPr>
          <w:u w:val="single"/>
        </w:rPr>
        <w:t>int</w:t>
      </w:r>
      <w:r w:rsidRPr="003D20D5">
        <w:rPr>
          <w:u w:val="single"/>
          <w:lang w:val="ru-RU"/>
        </w:rPr>
        <w:t>/</w:t>
      </w:r>
      <w:r w:rsidRPr="00E41F21">
        <w:rPr>
          <w:u w:val="single"/>
        </w:rPr>
        <w:t>mdocsarchives</w:t>
      </w:r>
      <w:r w:rsidRPr="003D20D5">
        <w:rPr>
          <w:u w:val="single"/>
          <w:lang w:val="ru-RU"/>
        </w:rPr>
        <w:t>/</w:t>
      </w:r>
      <w:r w:rsidRPr="00E41F21">
        <w:rPr>
          <w:u w:val="single"/>
        </w:rPr>
        <w:t>ARB</w:t>
      </w:r>
      <w:r w:rsidRPr="003D20D5">
        <w:rPr>
          <w:u w:val="single"/>
          <w:lang w:val="ru-RU"/>
        </w:rPr>
        <w:t>_</w:t>
      </w:r>
      <w:r w:rsidRPr="00E41F21">
        <w:rPr>
          <w:u w:val="single"/>
        </w:rPr>
        <w:t>AC</w:t>
      </w:r>
      <w:r w:rsidRPr="003D20D5">
        <w:rPr>
          <w:u w:val="single"/>
          <w:lang w:val="ru-RU"/>
        </w:rPr>
        <w:t>_</w:t>
      </w:r>
      <w:r w:rsidRPr="00E41F21">
        <w:rPr>
          <w:u w:val="single"/>
        </w:rPr>
        <w:t>III</w:t>
      </w:r>
      <w:r w:rsidRPr="003D20D5">
        <w:rPr>
          <w:u w:val="single"/>
          <w:lang w:val="ru-RU"/>
        </w:rPr>
        <w:t>_96/</w:t>
      </w:r>
      <w:r w:rsidRPr="00E41F21">
        <w:rPr>
          <w:u w:val="single"/>
        </w:rPr>
        <w:t>ARB</w:t>
      </w:r>
      <w:r w:rsidRPr="003D20D5">
        <w:rPr>
          <w:u w:val="single"/>
          <w:lang w:val="ru-RU"/>
        </w:rPr>
        <w:t>_</w:t>
      </w:r>
      <w:r w:rsidRPr="00E41F21">
        <w:rPr>
          <w:u w:val="single"/>
        </w:rPr>
        <w:t>AC</w:t>
      </w:r>
      <w:r w:rsidRPr="003D20D5">
        <w:rPr>
          <w:u w:val="single"/>
          <w:lang w:val="ru-RU"/>
        </w:rPr>
        <w:t>_</w:t>
      </w:r>
      <w:r w:rsidRPr="00E41F21">
        <w:rPr>
          <w:u w:val="single"/>
        </w:rPr>
        <w:t>III</w:t>
      </w:r>
      <w:r w:rsidRPr="003D20D5">
        <w:rPr>
          <w:u w:val="single"/>
          <w:lang w:val="ru-RU"/>
        </w:rPr>
        <w:t>_96_3_</w:t>
      </w:r>
      <w:r w:rsidRPr="00E41F21">
        <w:rPr>
          <w:u w:val="single"/>
        </w:rPr>
        <w:t>E</w:t>
      </w:r>
      <w:r w:rsidRPr="003D20D5">
        <w:rPr>
          <w:u w:val="single"/>
          <w:lang w:val="ru-RU"/>
        </w:rPr>
        <w:t>.</w:t>
      </w:r>
      <w:r w:rsidRPr="00E41F21">
        <w:rPr>
          <w:u w:val="single"/>
        </w:rPr>
        <w:t>pdf</w:t>
      </w:r>
      <w:r w:rsidRPr="003D20D5">
        <w:rPr>
          <w:lang w:val="ru-RU"/>
        </w:rPr>
        <w:t xml:space="preserve">. </w:t>
      </w:r>
    </w:p>
  </w:footnote>
  <w:footnote w:id="7">
    <w:p w:rsidR="004C1D33" w:rsidRPr="007835EE" w:rsidRDefault="004C1D33" w:rsidP="00192C16">
      <w:pPr>
        <w:pStyle w:val="FootnoteText"/>
        <w:rPr>
          <w:lang w:val="ru-RU"/>
        </w:rPr>
      </w:pPr>
      <w:r>
        <w:rPr>
          <w:rStyle w:val="FootnoteReference"/>
        </w:rPr>
        <w:footnoteRef/>
      </w:r>
      <w:r w:rsidRPr="00B806D5">
        <w:rPr>
          <w:lang w:val="ru-RU"/>
        </w:rPr>
        <w:t xml:space="preserve"> </w:t>
      </w:r>
      <w:r w:rsidRPr="00B806D5">
        <w:rPr>
          <w:lang w:val="ru-RU"/>
        </w:rPr>
        <w:tab/>
      </w:r>
      <w:r>
        <w:rPr>
          <w:lang w:val="ru-RU"/>
        </w:rPr>
        <w:t>Если</w:t>
      </w:r>
      <w:r w:rsidRPr="00B806D5">
        <w:rPr>
          <w:lang w:val="ru-RU"/>
        </w:rPr>
        <w:t xml:space="preserve"> </w:t>
      </w:r>
      <w:r>
        <w:rPr>
          <w:lang w:val="ru-RU"/>
        </w:rPr>
        <w:t>сторонами</w:t>
      </w:r>
      <w:r w:rsidRPr="00B806D5">
        <w:rPr>
          <w:lang w:val="ru-RU"/>
        </w:rPr>
        <w:t xml:space="preserve"> </w:t>
      </w:r>
      <w:r>
        <w:rPr>
          <w:lang w:val="ru-RU"/>
        </w:rPr>
        <w:t>не</w:t>
      </w:r>
      <w:r w:rsidRPr="00B806D5">
        <w:rPr>
          <w:lang w:val="ru-RU"/>
        </w:rPr>
        <w:t xml:space="preserve"> </w:t>
      </w:r>
      <w:r>
        <w:rPr>
          <w:lang w:val="ru-RU"/>
        </w:rPr>
        <w:t>согласовано</w:t>
      </w:r>
      <w:r w:rsidRPr="00B806D5">
        <w:rPr>
          <w:lang w:val="ru-RU"/>
        </w:rPr>
        <w:t xml:space="preserve"> </w:t>
      </w:r>
      <w:r>
        <w:rPr>
          <w:lang w:val="ru-RU"/>
        </w:rPr>
        <w:t>иное</w:t>
      </w:r>
      <w:r w:rsidRPr="00B806D5">
        <w:rPr>
          <w:lang w:val="ru-RU"/>
        </w:rPr>
        <w:t xml:space="preserve">, </w:t>
      </w:r>
      <w:r>
        <w:rPr>
          <w:lang w:val="ru-RU"/>
        </w:rPr>
        <w:t>статья</w:t>
      </w:r>
      <w:r w:rsidRPr="00B806D5">
        <w:t> </w:t>
      </w:r>
      <w:r w:rsidRPr="00B806D5">
        <w:rPr>
          <w:szCs w:val="18"/>
          <w:lang w:val="ru-RU"/>
        </w:rPr>
        <w:t xml:space="preserve">49 </w:t>
      </w:r>
      <w:r>
        <w:rPr>
          <w:szCs w:val="18"/>
          <w:lang w:val="ru-RU"/>
        </w:rPr>
        <w:t>Правил</w:t>
      </w:r>
      <w:r w:rsidRPr="00B806D5">
        <w:rPr>
          <w:szCs w:val="18"/>
          <w:lang w:val="ru-RU"/>
        </w:rPr>
        <w:t xml:space="preserve"> </w:t>
      </w:r>
      <w:r>
        <w:rPr>
          <w:szCs w:val="18"/>
          <w:lang w:val="ru-RU"/>
        </w:rPr>
        <w:t>об</w:t>
      </w:r>
      <w:r w:rsidRPr="00B806D5">
        <w:rPr>
          <w:szCs w:val="18"/>
          <w:lang w:val="ru-RU"/>
        </w:rPr>
        <w:t xml:space="preserve"> </w:t>
      </w:r>
      <w:r>
        <w:rPr>
          <w:szCs w:val="18"/>
          <w:lang w:val="ru-RU"/>
        </w:rPr>
        <w:t>арбитраже</w:t>
      </w:r>
      <w:r w:rsidRPr="00B806D5">
        <w:rPr>
          <w:szCs w:val="18"/>
          <w:lang w:val="ru-RU"/>
        </w:rPr>
        <w:t xml:space="preserve"> </w:t>
      </w:r>
      <w:r>
        <w:rPr>
          <w:szCs w:val="18"/>
          <w:lang w:val="ru-RU"/>
        </w:rPr>
        <w:t>в</w:t>
      </w:r>
      <w:r w:rsidRPr="00B806D5">
        <w:rPr>
          <w:szCs w:val="18"/>
          <w:lang w:val="ru-RU"/>
        </w:rPr>
        <w:t xml:space="preserve"> </w:t>
      </w:r>
      <w:r>
        <w:rPr>
          <w:szCs w:val="18"/>
          <w:lang w:val="ru-RU"/>
        </w:rPr>
        <w:t>редакции</w:t>
      </w:r>
      <w:r w:rsidRPr="00B806D5">
        <w:rPr>
          <w:szCs w:val="18"/>
          <w:lang w:val="ru-RU"/>
        </w:rPr>
        <w:t xml:space="preserve"> 2014</w:t>
      </w:r>
      <w:r w:rsidRPr="00B806D5">
        <w:rPr>
          <w:szCs w:val="18"/>
        </w:rPr>
        <w:t> </w:t>
      </w:r>
      <w:r>
        <w:rPr>
          <w:szCs w:val="18"/>
          <w:lang w:val="ru-RU"/>
        </w:rPr>
        <w:t>г</w:t>
      </w:r>
      <w:r w:rsidRPr="00B806D5">
        <w:rPr>
          <w:szCs w:val="18"/>
          <w:lang w:val="ru-RU"/>
        </w:rPr>
        <w:t>.</w:t>
      </w:r>
      <w:r>
        <w:rPr>
          <w:szCs w:val="18"/>
          <w:lang w:val="ru-RU"/>
        </w:rPr>
        <w:t xml:space="preserve"> и статья </w:t>
      </w:r>
      <w:r w:rsidRPr="00B806D5">
        <w:rPr>
          <w:szCs w:val="18"/>
          <w:lang w:val="ru-RU"/>
        </w:rPr>
        <w:t xml:space="preserve">43 </w:t>
      </w:r>
      <w:r>
        <w:rPr>
          <w:szCs w:val="18"/>
          <w:lang w:val="ru-RU"/>
        </w:rPr>
        <w:t xml:space="preserve">Правил об ускоренном арбитраже в редакции </w:t>
      </w:r>
      <w:r w:rsidRPr="00B806D5">
        <w:rPr>
          <w:szCs w:val="18"/>
          <w:lang w:val="ru-RU"/>
        </w:rPr>
        <w:t>2014</w:t>
      </w:r>
      <w:r>
        <w:rPr>
          <w:szCs w:val="18"/>
          <w:lang w:val="ru-RU"/>
        </w:rPr>
        <w:t> г.</w:t>
      </w:r>
      <w:r w:rsidRPr="00B806D5">
        <w:rPr>
          <w:szCs w:val="18"/>
          <w:lang w:val="ru-RU"/>
        </w:rPr>
        <w:t xml:space="preserve"> </w:t>
      </w:r>
      <w:r>
        <w:rPr>
          <w:szCs w:val="18"/>
          <w:lang w:val="ru-RU"/>
        </w:rPr>
        <w:t>применяются только к тем соглашениям о передаче споров в арбитраж, которые были заключены 1 июня 2014 г. или после этой даты</w:t>
      </w:r>
      <w:r w:rsidRPr="00B806D5">
        <w:rPr>
          <w:szCs w:val="18"/>
          <w:lang w:val="ru-RU"/>
        </w:rPr>
        <w:t xml:space="preserve">.  </w:t>
      </w:r>
      <w:r>
        <w:rPr>
          <w:szCs w:val="18"/>
          <w:lang w:val="ru-RU"/>
        </w:rPr>
        <w:t>Стороны имеют возможность направить в судебный орган ходатайство об оказании помощи в чрезвычайных обстоятельствах</w:t>
      </w:r>
      <w:r w:rsidRPr="007835EE">
        <w:rPr>
          <w:szCs w:val="18"/>
          <w:lang w:val="ru-RU"/>
        </w:rPr>
        <w:t>.</w:t>
      </w:r>
    </w:p>
  </w:footnote>
  <w:footnote w:id="8">
    <w:p w:rsidR="004C1D33" w:rsidRPr="008564BB" w:rsidRDefault="004C1D33" w:rsidP="00232512">
      <w:pPr>
        <w:pStyle w:val="FootnoteText"/>
        <w:rPr>
          <w:lang w:val="ru-RU"/>
        </w:rPr>
      </w:pPr>
      <w:r>
        <w:rPr>
          <w:rStyle w:val="FootnoteReference"/>
        </w:rPr>
        <w:footnoteRef/>
      </w:r>
      <w:r w:rsidRPr="008564BB">
        <w:rPr>
          <w:lang w:val="ru-RU"/>
        </w:rPr>
        <w:t xml:space="preserve"> </w:t>
      </w:r>
      <w:r w:rsidRPr="008564BB">
        <w:rPr>
          <w:lang w:val="ru-RU"/>
        </w:rPr>
        <w:tab/>
      </w:r>
      <w:r>
        <w:rPr>
          <w:lang w:val="ru-RU"/>
        </w:rPr>
        <w:t>См.</w:t>
      </w:r>
      <w:r w:rsidRPr="008564BB">
        <w:rPr>
          <w:lang w:val="ru-RU"/>
        </w:rPr>
        <w:t xml:space="preserve"> </w:t>
      </w:r>
      <w:r w:rsidRPr="00C84829">
        <w:rPr>
          <w:u w:val="single"/>
        </w:rPr>
        <w:t>http</w:t>
      </w:r>
      <w:r w:rsidRPr="008564BB">
        <w:rPr>
          <w:u w:val="single"/>
          <w:lang w:val="ru-RU"/>
        </w:rPr>
        <w:t>://</w:t>
      </w:r>
      <w:r w:rsidRPr="00C84829">
        <w:rPr>
          <w:u w:val="single"/>
        </w:rPr>
        <w:t>www</w:t>
      </w:r>
      <w:r w:rsidRPr="008564BB">
        <w:rPr>
          <w:u w:val="single"/>
          <w:lang w:val="ru-RU"/>
        </w:rPr>
        <w:t>.</w:t>
      </w:r>
      <w:r w:rsidRPr="00C84829">
        <w:rPr>
          <w:u w:val="single"/>
        </w:rPr>
        <w:t>wipo</w:t>
      </w:r>
      <w:r w:rsidRPr="008564BB">
        <w:rPr>
          <w:u w:val="single"/>
          <w:lang w:val="ru-RU"/>
        </w:rPr>
        <w:t>.</w:t>
      </w:r>
      <w:r w:rsidRPr="00C84829">
        <w:rPr>
          <w:u w:val="single"/>
        </w:rPr>
        <w:t>int</w:t>
      </w:r>
      <w:r w:rsidRPr="008564BB">
        <w:rPr>
          <w:u w:val="single"/>
          <w:lang w:val="ru-RU"/>
        </w:rPr>
        <w:t>/</w:t>
      </w:r>
      <w:r w:rsidRPr="00C84829">
        <w:rPr>
          <w:u w:val="single"/>
        </w:rPr>
        <w:t>amc</w:t>
      </w:r>
      <w:r w:rsidRPr="008564BB">
        <w:rPr>
          <w:u w:val="single"/>
          <w:lang w:val="ru-RU"/>
        </w:rPr>
        <w:t>/</w:t>
      </w:r>
      <w:r w:rsidRPr="00C84829">
        <w:rPr>
          <w:u w:val="single"/>
        </w:rPr>
        <w:t>en</w:t>
      </w:r>
      <w:r w:rsidRPr="008564BB">
        <w:rPr>
          <w:u w:val="single"/>
          <w:lang w:val="ru-RU"/>
        </w:rPr>
        <w:t>/</w:t>
      </w:r>
      <w:r w:rsidRPr="00C84829">
        <w:rPr>
          <w:u w:val="single"/>
        </w:rPr>
        <w:t>center</w:t>
      </w:r>
      <w:r w:rsidRPr="008564BB">
        <w:rPr>
          <w:u w:val="single"/>
          <w:lang w:val="ru-RU"/>
        </w:rPr>
        <w:t>/</w:t>
      </w:r>
      <w:r w:rsidRPr="00C84829">
        <w:rPr>
          <w:u w:val="single"/>
        </w:rPr>
        <w:t>specific</w:t>
      </w:r>
      <w:r w:rsidRPr="008564BB">
        <w:rPr>
          <w:u w:val="single"/>
          <w:lang w:val="ru-RU"/>
        </w:rPr>
        <w:t>-</w:t>
      </w:r>
      <w:r w:rsidRPr="00C84829">
        <w:rPr>
          <w:u w:val="single"/>
        </w:rPr>
        <w:t>sectors</w:t>
      </w:r>
      <w:r w:rsidRPr="008564BB">
        <w:rPr>
          <w:u w:val="single"/>
          <w:lang w:val="ru-RU"/>
        </w:rPr>
        <w:t>/</w:t>
      </w:r>
      <w:r w:rsidRPr="00C84829">
        <w:rPr>
          <w:u w:val="single"/>
        </w:rPr>
        <w:t>ict</w:t>
      </w:r>
      <w:r w:rsidRPr="008564BB">
        <w:rPr>
          <w:u w:val="single"/>
          <w:lang w:val="ru-RU"/>
        </w:rPr>
        <w:t>/</w:t>
      </w:r>
      <w:r w:rsidRPr="00C84829">
        <w:rPr>
          <w:u w:val="single"/>
        </w:rPr>
        <w:t>frand</w:t>
      </w:r>
      <w:r w:rsidRPr="008564BB">
        <w:rPr>
          <w:u w:val="single"/>
          <w:lang w:val="ru-RU"/>
        </w:rPr>
        <w:t>/</w:t>
      </w:r>
      <w:r w:rsidRPr="008564BB">
        <w:rPr>
          <w:lang w:val="ru-RU"/>
        </w:rPr>
        <w:t>.</w:t>
      </w:r>
    </w:p>
  </w:footnote>
  <w:footnote w:id="9">
    <w:p w:rsidR="004C1D33" w:rsidRPr="000873AA" w:rsidRDefault="004C1D33" w:rsidP="00232512">
      <w:pPr>
        <w:pStyle w:val="FootnoteText"/>
        <w:rPr>
          <w:lang w:val="ru-RU"/>
        </w:rPr>
      </w:pPr>
      <w:r w:rsidRPr="009D416F">
        <w:rPr>
          <w:rStyle w:val="FootnoteReference"/>
          <w:szCs w:val="18"/>
        </w:rPr>
        <w:footnoteRef/>
      </w:r>
      <w:r w:rsidRPr="00540549">
        <w:rPr>
          <w:szCs w:val="18"/>
          <w:lang w:val="ru-RU"/>
        </w:rPr>
        <w:t xml:space="preserve"> </w:t>
      </w:r>
      <w:r w:rsidRPr="00540549">
        <w:rPr>
          <w:szCs w:val="18"/>
          <w:lang w:val="ru-RU"/>
        </w:rPr>
        <w:tab/>
      </w:r>
      <w:r w:rsidRPr="00540549">
        <w:rPr>
          <w:lang w:val="ru-RU"/>
        </w:rPr>
        <w:t xml:space="preserve">Одним из таких примеров является финансируемое за счет седьмой Рамочной программы Европейского </w:t>
      </w:r>
      <w:r>
        <w:rPr>
          <w:lang w:val="ru-RU"/>
        </w:rPr>
        <w:t>союза</w:t>
      </w:r>
      <w:r w:rsidRPr="00540549">
        <w:rPr>
          <w:lang w:val="ru-RU"/>
        </w:rPr>
        <w:t xml:space="preserve"> (РП7) многостороннее сотрудничество, в рамках которого стороны используют типовое соглашение о создании консорциума </w:t>
      </w:r>
      <w:r>
        <w:rPr>
          <w:lang w:val="ru-RU"/>
        </w:rPr>
        <w:t>«</w:t>
      </w:r>
      <w:r w:rsidRPr="00540549">
        <w:rPr>
          <w:lang w:val="ru-RU"/>
        </w:rPr>
        <w:t>ДЕСКА</w:t>
      </w:r>
      <w:r>
        <w:rPr>
          <w:lang w:val="ru-RU"/>
        </w:rPr>
        <w:t>»</w:t>
      </w:r>
      <w:r w:rsidRPr="00540549">
        <w:rPr>
          <w:lang w:val="ru-RU"/>
        </w:rPr>
        <w:t xml:space="preserve">, содержащее рекомендацию о посредничестве и ускоренном арбитраже ВОИС.  </w:t>
      </w:r>
      <w:r>
        <w:rPr>
          <w:lang w:val="ru-RU"/>
        </w:rPr>
        <w:t>«</w:t>
      </w:r>
      <w:r w:rsidRPr="00107EE7">
        <w:rPr>
          <w:szCs w:val="18"/>
          <w:lang w:val="ru-RU"/>
        </w:rPr>
        <w:t>ДЕСКА</w:t>
      </w:r>
      <w:r>
        <w:rPr>
          <w:szCs w:val="18"/>
          <w:lang w:val="ru-RU"/>
        </w:rPr>
        <w:t>» (р</w:t>
      </w:r>
      <w:r w:rsidRPr="00107EE7">
        <w:rPr>
          <w:szCs w:val="18"/>
          <w:lang w:val="ru-RU"/>
        </w:rPr>
        <w:t>азработка упрощенного соглашения о создании консорциума</w:t>
      </w:r>
      <w:r>
        <w:rPr>
          <w:szCs w:val="18"/>
          <w:lang w:val="ru-RU"/>
        </w:rPr>
        <w:t xml:space="preserve"> – пер.)</w:t>
      </w:r>
      <w:r w:rsidRPr="00107EE7">
        <w:rPr>
          <w:szCs w:val="18"/>
          <w:lang w:val="ru-RU"/>
        </w:rPr>
        <w:t xml:space="preserve"> </w:t>
      </w:r>
      <w:r>
        <w:rPr>
          <w:szCs w:val="18"/>
          <w:lang w:val="ru-RU"/>
        </w:rPr>
        <w:t xml:space="preserve">— это </w:t>
      </w:r>
      <w:r w:rsidRPr="00107EE7">
        <w:rPr>
          <w:szCs w:val="18"/>
          <w:lang w:val="ru-RU"/>
        </w:rPr>
        <w:t xml:space="preserve">типовое соглашение о создании консорциума, которое было первоначально разработано для научно-исследовательских проектов, финансируемых Европейской комиссией в рамках седьмой Рамочной программы (РП7).  </w:t>
      </w:r>
      <w:r w:rsidRPr="00842C63">
        <w:rPr>
          <w:szCs w:val="18"/>
          <w:lang w:val="ru-RU"/>
        </w:rPr>
        <w:t xml:space="preserve">По имеющимся оценкам, типовое соглашение </w:t>
      </w:r>
      <w:r>
        <w:rPr>
          <w:szCs w:val="18"/>
          <w:lang w:val="ru-RU"/>
        </w:rPr>
        <w:t>«</w:t>
      </w:r>
      <w:r w:rsidRPr="00842C63">
        <w:rPr>
          <w:szCs w:val="18"/>
          <w:lang w:val="ru-RU"/>
        </w:rPr>
        <w:t>ДЕСКА</w:t>
      </w:r>
      <w:r>
        <w:rPr>
          <w:szCs w:val="18"/>
          <w:lang w:val="ru-RU"/>
        </w:rPr>
        <w:t>»</w:t>
      </w:r>
      <w:r w:rsidRPr="00842C63">
        <w:rPr>
          <w:szCs w:val="18"/>
          <w:lang w:val="ru-RU"/>
        </w:rPr>
        <w:t xml:space="preserve"> используют около 75% компаний, научно-исследовательских институтов, университетов и частных лиц, участвующих в </w:t>
      </w:r>
      <w:r>
        <w:rPr>
          <w:szCs w:val="18"/>
          <w:lang w:val="ru-RU"/>
        </w:rPr>
        <w:t xml:space="preserve">межнациональных </w:t>
      </w:r>
      <w:r w:rsidRPr="00842C63">
        <w:rPr>
          <w:szCs w:val="18"/>
          <w:lang w:val="ru-RU"/>
        </w:rPr>
        <w:t>научных исследовани</w:t>
      </w:r>
      <w:r>
        <w:rPr>
          <w:szCs w:val="18"/>
          <w:lang w:val="ru-RU"/>
        </w:rPr>
        <w:t>ях</w:t>
      </w:r>
      <w:r w:rsidRPr="00842C63">
        <w:rPr>
          <w:szCs w:val="18"/>
          <w:lang w:val="ru-RU"/>
        </w:rPr>
        <w:t xml:space="preserve">, финансируемых по линии РП7.  </w:t>
      </w:r>
      <w:r>
        <w:rPr>
          <w:szCs w:val="18"/>
          <w:lang w:val="ru-RU"/>
        </w:rPr>
        <w:t>См.</w:t>
      </w:r>
      <w:r w:rsidRPr="000873AA">
        <w:rPr>
          <w:szCs w:val="18"/>
          <w:lang w:val="ru-RU"/>
        </w:rPr>
        <w:t xml:space="preserve"> </w:t>
      </w:r>
      <w:r w:rsidRPr="009D416F">
        <w:rPr>
          <w:szCs w:val="18"/>
          <w:u w:val="single"/>
        </w:rPr>
        <w:t>http</w:t>
      </w:r>
      <w:r w:rsidRPr="000873AA">
        <w:rPr>
          <w:szCs w:val="18"/>
          <w:u w:val="single"/>
          <w:lang w:val="ru-RU"/>
        </w:rPr>
        <w:t>://</w:t>
      </w:r>
      <w:r w:rsidRPr="009D416F">
        <w:rPr>
          <w:szCs w:val="18"/>
          <w:u w:val="single"/>
        </w:rPr>
        <w:t>www</w:t>
      </w:r>
      <w:r w:rsidRPr="000873AA">
        <w:rPr>
          <w:szCs w:val="18"/>
          <w:u w:val="single"/>
          <w:lang w:val="ru-RU"/>
        </w:rPr>
        <w:t>.</w:t>
      </w:r>
      <w:r w:rsidRPr="009D416F">
        <w:rPr>
          <w:szCs w:val="18"/>
          <w:u w:val="single"/>
        </w:rPr>
        <w:t>desca</w:t>
      </w:r>
      <w:r w:rsidRPr="000873AA">
        <w:rPr>
          <w:szCs w:val="18"/>
          <w:u w:val="single"/>
          <w:lang w:val="ru-RU"/>
        </w:rPr>
        <w:t>-</w:t>
      </w:r>
      <w:r w:rsidRPr="009D416F">
        <w:rPr>
          <w:szCs w:val="18"/>
          <w:u w:val="single"/>
        </w:rPr>
        <w:t>fp</w:t>
      </w:r>
      <w:r w:rsidRPr="000873AA">
        <w:rPr>
          <w:szCs w:val="18"/>
          <w:u w:val="single"/>
          <w:lang w:val="ru-RU"/>
        </w:rPr>
        <w:t>7.</w:t>
      </w:r>
      <w:r w:rsidRPr="009D416F">
        <w:rPr>
          <w:szCs w:val="18"/>
          <w:u w:val="single"/>
        </w:rPr>
        <w:t>eu</w:t>
      </w:r>
      <w:r w:rsidRPr="000873AA">
        <w:rPr>
          <w:szCs w:val="18"/>
          <w:u w:val="single"/>
          <w:lang w:val="ru-RU"/>
        </w:rPr>
        <w:t>/</w:t>
      </w:r>
      <w:r w:rsidRPr="000873AA">
        <w:rPr>
          <w:szCs w:val="18"/>
          <w:lang w:val="ru-RU"/>
        </w:rPr>
        <w:t>.</w:t>
      </w:r>
    </w:p>
  </w:footnote>
  <w:footnote w:id="10">
    <w:p w:rsidR="004C1D33" w:rsidRPr="00AC7FA2" w:rsidRDefault="004C1D33" w:rsidP="00232512">
      <w:pPr>
        <w:pStyle w:val="FootnoteText"/>
        <w:rPr>
          <w:lang w:val="ru-RU"/>
        </w:rPr>
      </w:pPr>
      <w:r>
        <w:rPr>
          <w:rStyle w:val="FootnoteReference"/>
        </w:rPr>
        <w:footnoteRef/>
      </w:r>
      <w:r w:rsidRPr="00AC7FA2">
        <w:rPr>
          <w:lang w:val="ru-RU"/>
        </w:rPr>
        <w:t xml:space="preserve"> </w:t>
      </w:r>
      <w:r w:rsidRPr="00AC7FA2">
        <w:rPr>
          <w:lang w:val="ru-RU"/>
        </w:rPr>
        <w:tab/>
      </w:r>
      <w:r>
        <w:rPr>
          <w:lang w:val="ru-RU"/>
        </w:rPr>
        <w:t>См.</w:t>
      </w:r>
      <w:r w:rsidRPr="00AC7FA2">
        <w:rPr>
          <w:lang w:val="ru-RU"/>
        </w:rPr>
        <w:t xml:space="preserve"> </w:t>
      </w:r>
      <w:r w:rsidRPr="00C84829">
        <w:rPr>
          <w:u w:val="single"/>
        </w:rPr>
        <w:t>http</w:t>
      </w:r>
      <w:r w:rsidRPr="00AC7FA2">
        <w:rPr>
          <w:u w:val="single"/>
          <w:lang w:val="ru-RU"/>
        </w:rPr>
        <w:t>://</w:t>
      </w:r>
      <w:r w:rsidRPr="00C84829">
        <w:rPr>
          <w:u w:val="single"/>
        </w:rPr>
        <w:t>www</w:t>
      </w:r>
      <w:r w:rsidRPr="00AC7FA2">
        <w:rPr>
          <w:u w:val="single"/>
          <w:lang w:val="ru-RU"/>
        </w:rPr>
        <w:t>.</w:t>
      </w:r>
      <w:r w:rsidRPr="00C84829">
        <w:rPr>
          <w:u w:val="single"/>
        </w:rPr>
        <w:t>wipo</w:t>
      </w:r>
      <w:r w:rsidRPr="00AC7FA2">
        <w:rPr>
          <w:u w:val="single"/>
          <w:lang w:val="ru-RU"/>
        </w:rPr>
        <w:t>.</w:t>
      </w:r>
      <w:r w:rsidRPr="00C84829">
        <w:rPr>
          <w:u w:val="single"/>
        </w:rPr>
        <w:t>int</w:t>
      </w:r>
      <w:r w:rsidRPr="00AC7FA2">
        <w:rPr>
          <w:u w:val="single"/>
          <w:lang w:val="ru-RU"/>
        </w:rPr>
        <w:t>/</w:t>
      </w:r>
      <w:r w:rsidRPr="00C84829">
        <w:rPr>
          <w:u w:val="single"/>
        </w:rPr>
        <w:t>amc</w:t>
      </w:r>
      <w:r w:rsidRPr="00AC7FA2">
        <w:rPr>
          <w:u w:val="single"/>
          <w:lang w:val="ru-RU"/>
        </w:rPr>
        <w:t>/</w:t>
      </w:r>
      <w:r w:rsidRPr="00C84829">
        <w:rPr>
          <w:u w:val="single"/>
        </w:rPr>
        <w:t>en</w:t>
      </w:r>
      <w:r w:rsidRPr="00AC7FA2">
        <w:rPr>
          <w:u w:val="single"/>
          <w:lang w:val="ru-RU"/>
        </w:rPr>
        <w:t>/</w:t>
      </w:r>
      <w:r w:rsidRPr="00C84829">
        <w:rPr>
          <w:u w:val="single"/>
        </w:rPr>
        <w:t>center</w:t>
      </w:r>
      <w:r w:rsidRPr="00AC7FA2">
        <w:rPr>
          <w:u w:val="single"/>
          <w:lang w:val="ru-RU"/>
        </w:rPr>
        <w:t>/</w:t>
      </w:r>
      <w:r w:rsidRPr="00C84829">
        <w:rPr>
          <w:u w:val="single"/>
        </w:rPr>
        <w:t>specific</w:t>
      </w:r>
      <w:r w:rsidRPr="00AC7FA2">
        <w:rPr>
          <w:u w:val="single"/>
          <w:lang w:val="ru-RU"/>
        </w:rPr>
        <w:t>-</w:t>
      </w:r>
      <w:r w:rsidRPr="00C84829">
        <w:rPr>
          <w:u w:val="single"/>
        </w:rPr>
        <w:t>sectors</w:t>
      </w:r>
      <w:r w:rsidRPr="00AC7FA2">
        <w:rPr>
          <w:u w:val="single"/>
          <w:lang w:val="ru-RU"/>
        </w:rPr>
        <w:t>/</w:t>
      </w:r>
      <w:r w:rsidRPr="00C84829">
        <w:rPr>
          <w:u w:val="single"/>
        </w:rPr>
        <w:t>rd</w:t>
      </w:r>
      <w:r w:rsidRPr="00AC7FA2">
        <w:rPr>
          <w:u w:val="single"/>
          <w:lang w:val="ru-RU"/>
        </w:rPr>
        <w:t>/</w:t>
      </w:r>
      <w:r w:rsidRPr="00C84829">
        <w:rPr>
          <w:u w:val="single"/>
        </w:rPr>
        <w:t>ipag</w:t>
      </w:r>
      <w:r w:rsidRPr="00AC7FA2">
        <w:rPr>
          <w:u w:val="single"/>
          <w:lang w:val="ru-RU"/>
        </w:rPr>
        <w:t>/</w:t>
      </w:r>
      <w:r w:rsidRPr="00AC7FA2">
        <w:rPr>
          <w:lang w:val="ru-RU"/>
        </w:rPr>
        <w:t>.</w:t>
      </w:r>
    </w:p>
  </w:footnote>
  <w:footnote w:id="11">
    <w:p w:rsidR="004C1D33" w:rsidRPr="00A57DBD" w:rsidRDefault="004C1D33" w:rsidP="005F3EB9">
      <w:pPr>
        <w:pStyle w:val="FootnoteText"/>
        <w:rPr>
          <w:szCs w:val="18"/>
          <w:lang w:val="ru-RU"/>
        </w:rPr>
      </w:pPr>
      <w:r w:rsidRPr="005C74BE">
        <w:rPr>
          <w:rStyle w:val="FootnoteReference"/>
          <w:szCs w:val="18"/>
        </w:rPr>
        <w:footnoteRef/>
      </w:r>
      <w:r w:rsidRPr="00A57DBD">
        <w:rPr>
          <w:szCs w:val="18"/>
          <w:lang w:val="ru-RU"/>
        </w:rPr>
        <w:t xml:space="preserve"> </w:t>
      </w:r>
      <w:r w:rsidRPr="00A57DBD">
        <w:rPr>
          <w:szCs w:val="18"/>
          <w:lang w:val="ru-RU"/>
        </w:rPr>
        <w:tab/>
      </w:r>
      <w:r>
        <w:rPr>
          <w:szCs w:val="18"/>
          <w:lang w:val="ru-RU"/>
        </w:rPr>
        <w:t>«</w:t>
      </w:r>
      <w:r w:rsidRPr="00A57DBD">
        <w:rPr>
          <w:szCs w:val="18"/>
          <w:lang w:val="ru-RU"/>
        </w:rPr>
        <w:t xml:space="preserve">Управление </w:t>
      </w:r>
      <w:r>
        <w:rPr>
          <w:szCs w:val="18"/>
          <w:lang w:val="ru-RU"/>
        </w:rPr>
        <w:t xml:space="preserve">именами </w:t>
      </w:r>
      <w:r w:rsidRPr="00A57DBD">
        <w:rPr>
          <w:szCs w:val="18"/>
          <w:lang w:val="ru-RU"/>
        </w:rPr>
        <w:t>и адресами в Интернете:  вопросы интеллектуальной собственности</w:t>
      </w:r>
      <w:r>
        <w:rPr>
          <w:szCs w:val="18"/>
          <w:lang w:val="ru-RU"/>
        </w:rPr>
        <w:t>»,</w:t>
      </w:r>
      <w:r w:rsidRPr="00A57DBD">
        <w:rPr>
          <w:szCs w:val="18"/>
          <w:lang w:val="ru-RU"/>
        </w:rPr>
        <w:t xml:space="preserve"> </w:t>
      </w:r>
      <w:r>
        <w:rPr>
          <w:szCs w:val="18"/>
          <w:lang w:val="ru-RU"/>
        </w:rPr>
        <w:t xml:space="preserve">итоговый </w:t>
      </w:r>
      <w:r w:rsidRPr="00A57DBD">
        <w:rPr>
          <w:szCs w:val="18"/>
          <w:lang w:val="ru-RU"/>
        </w:rPr>
        <w:t>отчет</w:t>
      </w:r>
      <w:r>
        <w:rPr>
          <w:szCs w:val="18"/>
          <w:lang w:val="ru-RU"/>
        </w:rPr>
        <w:t xml:space="preserve"> о Первом </w:t>
      </w:r>
      <w:r w:rsidRPr="00A57DBD">
        <w:rPr>
          <w:szCs w:val="24"/>
          <w:lang w:val="ru-RU"/>
        </w:rPr>
        <w:t>процесс</w:t>
      </w:r>
      <w:r>
        <w:rPr>
          <w:szCs w:val="24"/>
          <w:lang w:val="ru-RU"/>
        </w:rPr>
        <w:t xml:space="preserve">е </w:t>
      </w:r>
      <w:r w:rsidRPr="00A57DBD">
        <w:rPr>
          <w:szCs w:val="24"/>
          <w:lang w:val="ru-RU"/>
        </w:rPr>
        <w:t>ВОИС</w:t>
      </w:r>
      <w:r>
        <w:rPr>
          <w:szCs w:val="24"/>
          <w:lang w:val="ru-RU"/>
        </w:rPr>
        <w:t xml:space="preserve"> по </w:t>
      </w:r>
      <w:r w:rsidRPr="00A57DBD">
        <w:rPr>
          <w:szCs w:val="24"/>
          <w:lang w:val="ru-RU"/>
        </w:rPr>
        <w:t>доменным именам</w:t>
      </w:r>
      <w:r>
        <w:rPr>
          <w:szCs w:val="24"/>
          <w:lang w:val="ru-RU"/>
        </w:rPr>
        <w:t xml:space="preserve"> в И</w:t>
      </w:r>
      <w:r w:rsidRPr="00A57DBD">
        <w:rPr>
          <w:szCs w:val="24"/>
          <w:lang w:val="ru-RU"/>
        </w:rPr>
        <w:t>нтернет</w:t>
      </w:r>
      <w:r>
        <w:rPr>
          <w:szCs w:val="24"/>
          <w:lang w:val="ru-RU"/>
        </w:rPr>
        <w:t>е</w:t>
      </w:r>
      <w:r w:rsidRPr="00A57DBD">
        <w:rPr>
          <w:szCs w:val="18"/>
          <w:lang w:val="ru-RU"/>
        </w:rPr>
        <w:t>, публикаци</w:t>
      </w:r>
      <w:r>
        <w:rPr>
          <w:szCs w:val="18"/>
          <w:lang w:val="ru-RU"/>
        </w:rPr>
        <w:t xml:space="preserve">я </w:t>
      </w:r>
      <w:r w:rsidRPr="00A57DBD">
        <w:rPr>
          <w:szCs w:val="18"/>
          <w:lang w:val="ru-RU"/>
        </w:rPr>
        <w:t>ВОИС</w:t>
      </w:r>
      <w:r>
        <w:rPr>
          <w:szCs w:val="18"/>
          <w:lang w:val="ru-RU"/>
        </w:rPr>
        <w:t xml:space="preserve"> № </w:t>
      </w:r>
      <w:r w:rsidRPr="00A57DBD">
        <w:rPr>
          <w:szCs w:val="18"/>
          <w:lang w:val="ru-RU"/>
        </w:rPr>
        <w:t xml:space="preserve">439, </w:t>
      </w:r>
      <w:r>
        <w:rPr>
          <w:szCs w:val="18"/>
          <w:lang w:val="ru-RU"/>
        </w:rPr>
        <w:t xml:space="preserve">размещена по адресу: </w:t>
      </w:r>
      <w:r w:rsidRPr="005C74BE">
        <w:rPr>
          <w:szCs w:val="18"/>
          <w:u w:val="single"/>
        </w:rPr>
        <w:t>http</w:t>
      </w:r>
      <w:r w:rsidRPr="00A57DBD">
        <w:rPr>
          <w:szCs w:val="18"/>
          <w:u w:val="single"/>
          <w:lang w:val="ru-RU"/>
        </w:rPr>
        <w:t>://</w:t>
      </w:r>
      <w:r w:rsidRPr="005C74BE">
        <w:rPr>
          <w:szCs w:val="18"/>
          <w:u w:val="single"/>
        </w:rPr>
        <w:t>www</w:t>
      </w:r>
      <w:r w:rsidRPr="00A57DBD">
        <w:rPr>
          <w:szCs w:val="18"/>
          <w:u w:val="single"/>
          <w:lang w:val="ru-RU"/>
        </w:rPr>
        <w:t>.</w:t>
      </w:r>
      <w:proofErr w:type="spellStart"/>
      <w:r w:rsidRPr="005C74BE">
        <w:rPr>
          <w:szCs w:val="18"/>
          <w:u w:val="single"/>
        </w:rPr>
        <w:t>wipo</w:t>
      </w:r>
      <w:proofErr w:type="spellEnd"/>
      <w:r w:rsidRPr="00A57DBD">
        <w:rPr>
          <w:szCs w:val="18"/>
          <w:u w:val="single"/>
          <w:lang w:val="ru-RU"/>
        </w:rPr>
        <w:t>.</w:t>
      </w:r>
      <w:proofErr w:type="spellStart"/>
      <w:r w:rsidRPr="005C74BE">
        <w:rPr>
          <w:szCs w:val="18"/>
          <w:u w:val="single"/>
        </w:rPr>
        <w:t>int</w:t>
      </w:r>
      <w:proofErr w:type="spellEnd"/>
      <w:r w:rsidRPr="00A57DBD">
        <w:rPr>
          <w:szCs w:val="18"/>
          <w:u w:val="single"/>
          <w:lang w:val="ru-RU"/>
        </w:rPr>
        <w:t>/</w:t>
      </w:r>
      <w:proofErr w:type="spellStart"/>
      <w:r w:rsidRPr="005C74BE">
        <w:rPr>
          <w:szCs w:val="18"/>
          <w:u w:val="single"/>
        </w:rPr>
        <w:t>amc</w:t>
      </w:r>
      <w:proofErr w:type="spellEnd"/>
      <w:r w:rsidRPr="00A57DBD">
        <w:rPr>
          <w:szCs w:val="18"/>
          <w:u w:val="single"/>
          <w:lang w:val="ru-RU"/>
        </w:rPr>
        <w:t>/</w:t>
      </w:r>
      <w:r w:rsidRPr="005C74BE">
        <w:rPr>
          <w:szCs w:val="18"/>
          <w:u w:val="single"/>
        </w:rPr>
        <w:t>en</w:t>
      </w:r>
      <w:r w:rsidRPr="00A57DBD">
        <w:rPr>
          <w:szCs w:val="18"/>
          <w:u w:val="single"/>
          <w:lang w:val="ru-RU"/>
        </w:rPr>
        <w:t>/</w:t>
      </w:r>
      <w:r w:rsidRPr="005C74BE">
        <w:rPr>
          <w:szCs w:val="18"/>
          <w:u w:val="single"/>
        </w:rPr>
        <w:t>processes</w:t>
      </w:r>
      <w:r w:rsidRPr="00A57DBD">
        <w:rPr>
          <w:szCs w:val="18"/>
          <w:u w:val="single"/>
          <w:lang w:val="ru-RU"/>
        </w:rPr>
        <w:t>/</w:t>
      </w:r>
      <w:r w:rsidRPr="005C74BE">
        <w:rPr>
          <w:szCs w:val="18"/>
          <w:u w:val="single"/>
        </w:rPr>
        <w:t>process</w:t>
      </w:r>
      <w:r w:rsidRPr="00A57DBD">
        <w:rPr>
          <w:szCs w:val="18"/>
          <w:u w:val="single"/>
          <w:lang w:val="ru-RU"/>
        </w:rPr>
        <w:t>1/</w:t>
      </w:r>
      <w:r w:rsidRPr="005C74BE">
        <w:rPr>
          <w:szCs w:val="18"/>
          <w:u w:val="single"/>
        </w:rPr>
        <w:t>report</w:t>
      </w:r>
      <w:r w:rsidRPr="00A57DBD">
        <w:rPr>
          <w:szCs w:val="18"/>
          <w:lang w:val="ru-RU"/>
        </w:rPr>
        <w:t>.</w:t>
      </w:r>
    </w:p>
  </w:footnote>
  <w:footnote w:id="12">
    <w:p w:rsidR="004C1D33" w:rsidRPr="00A57DBD" w:rsidRDefault="004C1D33" w:rsidP="005F3EB9">
      <w:pPr>
        <w:pStyle w:val="FootnoteText"/>
        <w:rPr>
          <w:szCs w:val="18"/>
          <w:lang w:val="ru-RU"/>
        </w:rPr>
      </w:pPr>
      <w:r w:rsidRPr="005C74BE">
        <w:rPr>
          <w:rStyle w:val="FootnoteReference"/>
          <w:szCs w:val="18"/>
        </w:rPr>
        <w:footnoteRef/>
      </w:r>
      <w:r w:rsidRPr="00A57DBD">
        <w:rPr>
          <w:szCs w:val="18"/>
          <w:lang w:val="ru-RU"/>
        </w:rPr>
        <w:t xml:space="preserve"> </w:t>
      </w:r>
      <w:r w:rsidRPr="00A57DBD">
        <w:rPr>
          <w:szCs w:val="18"/>
          <w:lang w:val="ru-RU"/>
        </w:rPr>
        <w:tab/>
      </w:r>
      <w:r>
        <w:rPr>
          <w:szCs w:val="18"/>
          <w:lang w:val="ru-RU"/>
        </w:rPr>
        <w:t>Признание</w:t>
      </w:r>
      <w:r w:rsidRPr="00A57DBD">
        <w:rPr>
          <w:szCs w:val="18"/>
          <w:lang w:val="ru-RU"/>
        </w:rPr>
        <w:t xml:space="preserve"> </w:t>
      </w:r>
      <w:r>
        <w:rPr>
          <w:szCs w:val="18"/>
          <w:lang w:val="ru-RU"/>
        </w:rPr>
        <w:t>прав</w:t>
      </w:r>
      <w:r w:rsidRPr="00A57DBD">
        <w:rPr>
          <w:szCs w:val="18"/>
          <w:lang w:val="ru-RU"/>
        </w:rPr>
        <w:t xml:space="preserve"> </w:t>
      </w:r>
      <w:r>
        <w:rPr>
          <w:szCs w:val="18"/>
          <w:lang w:val="ru-RU"/>
        </w:rPr>
        <w:t>и</w:t>
      </w:r>
      <w:r w:rsidRPr="00A57DBD">
        <w:rPr>
          <w:szCs w:val="18"/>
          <w:lang w:val="ru-RU"/>
        </w:rPr>
        <w:t xml:space="preserve"> использовани</w:t>
      </w:r>
      <w:r>
        <w:rPr>
          <w:szCs w:val="18"/>
          <w:lang w:val="ru-RU"/>
        </w:rPr>
        <w:t>е</w:t>
      </w:r>
      <w:r w:rsidRPr="00A57DBD">
        <w:rPr>
          <w:szCs w:val="18"/>
          <w:lang w:val="ru-RU"/>
        </w:rPr>
        <w:t xml:space="preserve"> </w:t>
      </w:r>
      <w:r>
        <w:rPr>
          <w:szCs w:val="18"/>
          <w:lang w:val="ru-RU"/>
        </w:rPr>
        <w:t>имен</w:t>
      </w:r>
      <w:r w:rsidRPr="00A57DBD">
        <w:rPr>
          <w:szCs w:val="18"/>
          <w:lang w:val="ru-RU"/>
        </w:rPr>
        <w:t xml:space="preserve"> в системе названий доменов в Интернете – отчет</w:t>
      </w:r>
      <w:r>
        <w:rPr>
          <w:szCs w:val="18"/>
          <w:lang w:val="ru-RU"/>
        </w:rPr>
        <w:t xml:space="preserve"> о Втором </w:t>
      </w:r>
      <w:r w:rsidRPr="00A57DBD">
        <w:rPr>
          <w:szCs w:val="24"/>
          <w:lang w:val="ru-RU"/>
        </w:rPr>
        <w:t>процесс</w:t>
      </w:r>
      <w:r>
        <w:rPr>
          <w:szCs w:val="24"/>
          <w:lang w:val="ru-RU"/>
        </w:rPr>
        <w:t xml:space="preserve">е </w:t>
      </w:r>
      <w:r w:rsidRPr="00A57DBD">
        <w:rPr>
          <w:szCs w:val="24"/>
          <w:lang w:val="ru-RU"/>
        </w:rPr>
        <w:t>ВОИС</w:t>
      </w:r>
      <w:r>
        <w:rPr>
          <w:szCs w:val="24"/>
          <w:lang w:val="ru-RU"/>
        </w:rPr>
        <w:t xml:space="preserve"> по </w:t>
      </w:r>
      <w:r w:rsidRPr="00A57DBD">
        <w:rPr>
          <w:szCs w:val="24"/>
          <w:lang w:val="ru-RU"/>
        </w:rPr>
        <w:t>доменным именам</w:t>
      </w:r>
      <w:r>
        <w:rPr>
          <w:szCs w:val="24"/>
          <w:lang w:val="ru-RU"/>
        </w:rPr>
        <w:t xml:space="preserve"> в И</w:t>
      </w:r>
      <w:r w:rsidRPr="00A57DBD">
        <w:rPr>
          <w:szCs w:val="24"/>
          <w:lang w:val="ru-RU"/>
        </w:rPr>
        <w:t>нтернет</w:t>
      </w:r>
      <w:r>
        <w:rPr>
          <w:szCs w:val="24"/>
          <w:lang w:val="ru-RU"/>
        </w:rPr>
        <w:t>е</w:t>
      </w:r>
      <w:r w:rsidRPr="00A57DBD">
        <w:rPr>
          <w:szCs w:val="18"/>
          <w:lang w:val="ru-RU"/>
        </w:rPr>
        <w:t>, публикаци</w:t>
      </w:r>
      <w:r>
        <w:rPr>
          <w:szCs w:val="18"/>
          <w:lang w:val="ru-RU"/>
        </w:rPr>
        <w:t xml:space="preserve">я </w:t>
      </w:r>
      <w:r w:rsidRPr="00A57DBD">
        <w:rPr>
          <w:szCs w:val="18"/>
          <w:lang w:val="ru-RU"/>
        </w:rPr>
        <w:t>ВОИС</w:t>
      </w:r>
      <w:r>
        <w:rPr>
          <w:szCs w:val="18"/>
          <w:lang w:val="ru-RU"/>
        </w:rPr>
        <w:t xml:space="preserve"> № 843</w:t>
      </w:r>
      <w:r w:rsidRPr="00A57DBD">
        <w:rPr>
          <w:szCs w:val="18"/>
          <w:lang w:val="ru-RU"/>
        </w:rPr>
        <w:t xml:space="preserve">, </w:t>
      </w:r>
      <w:r>
        <w:rPr>
          <w:szCs w:val="18"/>
          <w:lang w:val="ru-RU"/>
        </w:rPr>
        <w:t xml:space="preserve">размещена по адресу: </w:t>
      </w:r>
      <w:r w:rsidRPr="005C74BE">
        <w:rPr>
          <w:szCs w:val="18"/>
          <w:u w:val="single"/>
        </w:rPr>
        <w:t>http</w:t>
      </w:r>
      <w:r w:rsidRPr="00A57DBD">
        <w:rPr>
          <w:szCs w:val="18"/>
          <w:u w:val="single"/>
          <w:lang w:val="ru-RU"/>
        </w:rPr>
        <w:t>://</w:t>
      </w:r>
      <w:r w:rsidRPr="005C74BE">
        <w:rPr>
          <w:szCs w:val="18"/>
          <w:u w:val="single"/>
        </w:rPr>
        <w:t>www</w:t>
      </w:r>
      <w:r w:rsidRPr="00A57DBD">
        <w:rPr>
          <w:szCs w:val="18"/>
          <w:u w:val="single"/>
          <w:lang w:val="ru-RU"/>
        </w:rPr>
        <w:t>.</w:t>
      </w:r>
      <w:proofErr w:type="spellStart"/>
      <w:r w:rsidRPr="005C74BE">
        <w:rPr>
          <w:szCs w:val="18"/>
          <w:u w:val="single"/>
        </w:rPr>
        <w:t>wipo</w:t>
      </w:r>
      <w:proofErr w:type="spellEnd"/>
      <w:r w:rsidRPr="00A57DBD">
        <w:rPr>
          <w:szCs w:val="18"/>
          <w:u w:val="single"/>
          <w:lang w:val="ru-RU"/>
        </w:rPr>
        <w:t>.</w:t>
      </w:r>
      <w:proofErr w:type="spellStart"/>
      <w:r w:rsidRPr="005C74BE">
        <w:rPr>
          <w:szCs w:val="18"/>
          <w:u w:val="single"/>
        </w:rPr>
        <w:t>int</w:t>
      </w:r>
      <w:proofErr w:type="spellEnd"/>
      <w:r w:rsidRPr="00A57DBD">
        <w:rPr>
          <w:szCs w:val="18"/>
          <w:u w:val="single"/>
          <w:lang w:val="ru-RU"/>
        </w:rPr>
        <w:t>/</w:t>
      </w:r>
      <w:proofErr w:type="spellStart"/>
      <w:r w:rsidRPr="005C74BE">
        <w:rPr>
          <w:szCs w:val="18"/>
          <w:u w:val="single"/>
        </w:rPr>
        <w:t>amc</w:t>
      </w:r>
      <w:proofErr w:type="spellEnd"/>
      <w:r w:rsidRPr="00A57DBD">
        <w:rPr>
          <w:szCs w:val="18"/>
          <w:u w:val="single"/>
          <w:lang w:val="ru-RU"/>
        </w:rPr>
        <w:t>/</w:t>
      </w:r>
      <w:r w:rsidRPr="005C74BE">
        <w:rPr>
          <w:szCs w:val="18"/>
          <w:u w:val="single"/>
        </w:rPr>
        <w:t>en</w:t>
      </w:r>
      <w:r w:rsidRPr="00A57DBD">
        <w:rPr>
          <w:szCs w:val="18"/>
          <w:u w:val="single"/>
          <w:lang w:val="ru-RU"/>
        </w:rPr>
        <w:t>/</w:t>
      </w:r>
      <w:r w:rsidRPr="005C74BE">
        <w:rPr>
          <w:szCs w:val="18"/>
          <w:u w:val="single"/>
        </w:rPr>
        <w:t>processes</w:t>
      </w:r>
      <w:r w:rsidRPr="00A57DBD">
        <w:rPr>
          <w:szCs w:val="18"/>
          <w:u w:val="single"/>
          <w:lang w:val="ru-RU"/>
        </w:rPr>
        <w:t>/</w:t>
      </w:r>
      <w:r w:rsidRPr="005C74BE">
        <w:rPr>
          <w:szCs w:val="18"/>
          <w:u w:val="single"/>
        </w:rPr>
        <w:t>process</w:t>
      </w:r>
      <w:r w:rsidRPr="00A57DBD">
        <w:rPr>
          <w:szCs w:val="18"/>
          <w:u w:val="single"/>
          <w:lang w:val="ru-RU"/>
        </w:rPr>
        <w:t>2/</w:t>
      </w:r>
      <w:r w:rsidRPr="005C74BE">
        <w:rPr>
          <w:szCs w:val="18"/>
          <w:u w:val="single"/>
        </w:rPr>
        <w:t>report</w:t>
      </w:r>
      <w:r w:rsidRPr="00A57DBD">
        <w:rPr>
          <w:szCs w:val="18"/>
          <w:lang w:val="ru-RU"/>
        </w:rPr>
        <w:t>.</w:t>
      </w:r>
    </w:p>
  </w:footnote>
  <w:footnote w:id="13">
    <w:p w:rsidR="004C1D33" w:rsidRPr="007C6239" w:rsidRDefault="004C1D33" w:rsidP="00192C16">
      <w:pPr>
        <w:pStyle w:val="FootnoteText"/>
        <w:rPr>
          <w:szCs w:val="18"/>
          <w:lang w:val="ru-RU"/>
        </w:rPr>
      </w:pPr>
      <w:r w:rsidRPr="006475B9">
        <w:rPr>
          <w:rStyle w:val="FootnoteReference"/>
          <w:szCs w:val="18"/>
        </w:rPr>
        <w:footnoteRef/>
      </w:r>
      <w:r w:rsidRPr="007C6239">
        <w:rPr>
          <w:szCs w:val="18"/>
          <w:lang w:val="ru-RU"/>
        </w:rPr>
        <w:tab/>
      </w:r>
      <w:r>
        <w:rPr>
          <w:szCs w:val="18"/>
          <w:lang w:val="ru-RU"/>
        </w:rPr>
        <w:t>См</w:t>
      </w:r>
      <w:r w:rsidRPr="007C6239">
        <w:rPr>
          <w:szCs w:val="18"/>
          <w:lang w:val="ru-RU"/>
        </w:rPr>
        <w:t xml:space="preserve">. </w:t>
      </w:r>
      <w:r>
        <w:rPr>
          <w:szCs w:val="18"/>
          <w:lang w:val="ru-RU"/>
        </w:rPr>
        <w:t>подборку</w:t>
      </w:r>
      <w:r w:rsidRPr="007C6239">
        <w:rPr>
          <w:szCs w:val="18"/>
          <w:lang w:val="ru-RU"/>
        </w:rPr>
        <w:t xml:space="preserve"> </w:t>
      </w:r>
      <w:r>
        <w:rPr>
          <w:szCs w:val="18"/>
          <w:lang w:val="ru-RU"/>
        </w:rPr>
        <w:t>судебных</w:t>
      </w:r>
      <w:r w:rsidRPr="007C6239">
        <w:rPr>
          <w:szCs w:val="18"/>
          <w:lang w:val="ru-RU"/>
        </w:rPr>
        <w:t xml:space="preserve"> </w:t>
      </w:r>
      <w:r>
        <w:rPr>
          <w:szCs w:val="18"/>
          <w:lang w:val="ru-RU"/>
        </w:rPr>
        <w:t>дел</w:t>
      </w:r>
      <w:r w:rsidRPr="007C6239">
        <w:rPr>
          <w:szCs w:val="18"/>
          <w:lang w:val="ru-RU"/>
        </w:rPr>
        <w:t xml:space="preserve">, </w:t>
      </w:r>
      <w:r>
        <w:rPr>
          <w:szCs w:val="18"/>
          <w:lang w:val="ru-RU"/>
        </w:rPr>
        <w:t>рассматриваемых на основе ЕПУС, по адресу:</w:t>
      </w:r>
      <w:r w:rsidRPr="007C6239">
        <w:rPr>
          <w:szCs w:val="18"/>
          <w:lang w:val="ru-RU"/>
        </w:rPr>
        <w:t xml:space="preserve"> </w:t>
      </w:r>
      <w:r w:rsidRPr="006475B9">
        <w:rPr>
          <w:szCs w:val="18"/>
          <w:u w:val="single"/>
        </w:rPr>
        <w:t>http</w:t>
      </w:r>
      <w:r w:rsidRPr="007C6239">
        <w:rPr>
          <w:szCs w:val="18"/>
          <w:u w:val="single"/>
          <w:lang w:val="ru-RU"/>
        </w:rPr>
        <w:t>://</w:t>
      </w:r>
      <w:r w:rsidRPr="006475B9">
        <w:rPr>
          <w:szCs w:val="18"/>
          <w:u w:val="single"/>
        </w:rPr>
        <w:t>www</w:t>
      </w:r>
      <w:r w:rsidRPr="007C6239">
        <w:rPr>
          <w:szCs w:val="18"/>
          <w:u w:val="single"/>
          <w:lang w:val="ru-RU"/>
        </w:rPr>
        <w:t>.</w:t>
      </w:r>
      <w:proofErr w:type="spellStart"/>
      <w:r w:rsidRPr="006475B9">
        <w:rPr>
          <w:szCs w:val="18"/>
          <w:u w:val="single"/>
        </w:rPr>
        <w:t>wipo</w:t>
      </w:r>
      <w:proofErr w:type="spellEnd"/>
      <w:r w:rsidRPr="007C6239">
        <w:rPr>
          <w:szCs w:val="18"/>
          <w:u w:val="single"/>
          <w:lang w:val="ru-RU"/>
        </w:rPr>
        <w:t>.</w:t>
      </w:r>
      <w:proofErr w:type="spellStart"/>
      <w:r w:rsidRPr="006475B9">
        <w:rPr>
          <w:szCs w:val="18"/>
          <w:u w:val="single"/>
        </w:rPr>
        <w:t>int</w:t>
      </w:r>
      <w:proofErr w:type="spellEnd"/>
      <w:r w:rsidRPr="007C6239">
        <w:rPr>
          <w:szCs w:val="18"/>
          <w:u w:val="single"/>
          <w:lang w:val="ru-RU"/>
        </w:rPr>
        <w:t>/</w:t>
      </w:r>
      <w:proofErr w:type="spellStart"/>
      <w:r w:rsidRPr="006475B9">
        <w:rPr>
          <w:szCs w:val="18"/>
          <w:u w:val="single"/>
        </w:rPr>
        <w:t>amc</w:t>
      </w:r>
      <w:proofErr w:type="spellEnd"/>
      <w:r w:rsidRPr="007C6239">
        <w:rPr>
          <w:szCs w:val="18"/>
          <w:u w:val="single"/>
          <w:lang w:val="ru-RU"/>
        </w:rPr>
        <w:t>/</w:t>
      </w:r>
      <w:r w:rsidRPr="006475B9">
        <w:rPr>
          <w:szCs w:val="18"/>
          <w:u w:val="single"/>
        </w:rPr>
        <w:t>en</w:t>
      </w:r>
      <w:r w:rsidRPr="007C6239">
        <w:rPr>
          <w:szCs w:val="18"/>
          <w:u w:val="single"/>
          <w:lang w:val="ru-RU"/>
        </w:rPr>
        <w:t>/</w:t>
      </w:r>
      <w:r w:rsidRPr="006475B9">
        <w:rPr>
          <w:szCs w:val="18"/>
          <w:u w:val="single"/>
        </w:rPr>
        <w:t>domains</w:t>
      </w:r>
      <w:r w:rsidRPr="007C6239">
        <w:rPr>
          <w:szCs w:val="18"/>
          <w:u w:val="single"/>
          <w:lang w:val="ru-RU"/>
        </w:rPr>
        <w:t>/</w:t>
      </w:r>
      <w:r w:rsidRPr="006475B9">
        <w:rPr>
          <w:szCs w:val="18"/>
          <w:u w:val="single"/>
        </w:rPr>
        <w:t>challenged</w:t>
      </w:r>
      <w:r w:rsidRPr="007C6239">
        <w:rPr>
          <w:szCs w:val="18"/>
          <w:lang w:val="ru-RU"/>
        </w:rPr>
        <w:t>.</w:t>
      </w:r>
    </w:p>
  </w:footnote>
  <w:footnote w:id="14">
    <w:p w:rsidR="004C1D33" w:rsidRPr="009364A8" w:rsidRDefault="004C1D33" w:rsidP="00A66287">
      <w:pPr>
        <w:pStyle w:val="FootnoteText"/>
        <w:rPr>
          <w:color w:val="000000"/>
          <w:szCs w:val="18"/>
          <w:lang w:val="ru-RU"/>
        </w:rPr>
      </w:pPr>
      <w:r w:rsidRPr="006475B9">
        <w:rPr>
          <w:rStyle w:val="FootnoteReference"/>
          <w:szCs w:val="18"/>
        </w:rPr>
        <w:footnoteRef/>
      </w:r>
      <w:r w:rsidRPr="00856005">
        <w:rPr>
          <w:szCs w:val="18"/>
          <w:lang w:val="ru-RU"/>
        </w:rPr>
        <w:t xml:space="preserve"> </w:t>
      </w:r>
      <w:r w:rsidRPr="00856005">
        <w:rPr>
          <w:szCs w:val="18"/>
          <w:lang w:val="ru-RU"/>
        </w:rPr>
        <w:tab/>
        <w:t xml:space="preserve">Предлагаемые статистические данные подразделяются на множество </w:t>
      </w:r>
      <w:r>
        <w:rPr>
          <w:szCs w:val="18"/>
          <w:lang w:val="ru-RU"/>
        </w:rPr>
        <w:t xml:space="preserve">рубрик, как-то: </w:t>
      </w:r>
      <w:r w:rsidRPr="00856005">
        <w:rPr>
          <w:szCs w:val="18"/>
          <w:lang w:val="ru-RU"/>
        </w:rPr>
        <w:t xml:space="preserve">«сферы деятельности истца», «названные ответчики», «шрифт доменного имени» и «25 решений, наиболее часто цитируемых в жалобе».  </w:t>
      </w:r>
      <w:r>
        <w:rPr>
          <w:szCs w:val="18"/>
          <w:lang w:val="ru-RU"/>
        </w:rPr>
        <w:t>См</w:t>
      </w:r>
      <w:r w:rsidRPr="009364A8">
        <w:rPr>
          <w:szCs w:val="18"/>
          <w:lang w:val="ru-RU"/>
        </w:rPr>
        <w:t xml:space="preserve">. </w:t>
      </w:r>
      <w:r w:rsidRPr="006475B9">
        <w:rPr>
          <w:szCs w:val="18"/>
          <w:u w:val="single"/>
        </w:rPr>
        <w:t>http</w:t>
      </w:r>
      <w:r w:rsidRPr="009364A8">
        <w:rPr>
          <w:szCs w:val="18"/>
          <w:u w:val="single"/>
          <w:lang w:val="ru-RU"/>
        </w:rPr>
        <w:t>://</w:t>
      </w:r>
      <w:r w:rsidRPr="006475B9">
        <w:rPr>
          <w:szCs w:val="18"/>
          <w:u w:val="single"/>
        </w:rPr>
        <w:t>www</w:t>
      </w:r>
      <w:r w:rsidRPr="009364A8">
        <w:rPr>
          <w:szCs w:val="18"/>
          <w:u w:val="single"/>
          <w:lang w:val="ru-RU"/>
        </w:rPr>
        <w:t>.</w:t>
      </w:r>
      <w:proofErr w:type="spellStart"/>
      <w:r w:rsidRPr="006475B9">
        <w:rPr>
          <w:szCs w:val="18"/>
          <w:u w:val="single"/>
        </w:rPr>
        <w:t>wipo</w:t>
      </w:r>
      <w:proofErr w:type="spellEnd"/>
      <w:r w:rsidRPr="009364A8">
        <w:rPr>
          <w:szCs w:val="18"/>
          <w:u w:val="single"/>
          <w:lang w:val="ru-RU"/>
        </w:rPr>
        <w:t>.</w:t>
      </w:r>
      <w:proofErr w:type="spellStart"/>
      <w:r w:rsidRPr="006475B9">
        <w:rPr>
          <w:szCs w:val="18"/>
          <w:u w:val="single"/>
        </w:rPr>
        <w:t>int</w:t>
      </w:r>
      <w:proofErr w:type="spellEnd"/>
      <w:r w:rsidRPr="009364A8">
        <w:rPr>
          <w:szCs w:val="18"/>
          <w:u w:val="single"/>
          <w:lang w:val="ru-RU"/>
        </w:rPr>
        <w:t>/</w:t>
      </w:r>
      <w:proofErr w:type="spellStart"/>
      <w:r w:rsidRPr="006475B9">
        <w:rPr>
          <w:szCs w:val="18"/>
          <w:u w:val="single"/>
        </w:rPr>
        <w:t>amc</w:t>
      </w:r>
      <w:proofErr w:type="spellEnd"/>
      <w:r w:rsidRPr="009364A8">
        <w:rPr>
          <w:szCs w:val="18"/>
          <w:u w:val="single"/>
          <w:lang w:val="ru-RU"/>
        </w:rPr>
        <w:t>/</w:t>
      </w:r>
      <w:r w:rsidRPr="006475B9">
        <w:rPr>
          <w:szCs w:val="18"/>
          <w:u w:val="single"/>
        </w:rPr>
        <w:t>en</w:t>
      </w:r>
      <w:r w:rsidRPr="009364A8">
        <w:rPr>
          <w:szCs w:val="18"/>
          <w:u w:val="single"/>
          <w:lang w:val="ru-RU"/>
        </w:rPr>
        <w:t>/</w:t>
      </w:r>
      <w:r w:rsidRPr="006475B9">
        <w:rPr>
          <w:szCs w:val="18"/>
          <w:u w:val="single"/>
        </w:rPr>
        <w:t>domains</w:t>
      </w:r>
      <w:r w:rsidRPr="009364A8">
        <w:rPr>
          <w:szCs w:val="18"/>
          <w:u w:val="single"/>
          <w:lang w:val="ru-RU"/>
        </w:rPr>
        <w:t>/</w:t>
      </w:r>
      <w:r w:rsidRPr="006475B9">
        <w:rPr>
          <w:szCs w:val="18"/>
          <w:u w:val="single"/>
        </w:rPr>
        <w:t>statistics</w:t>
      </w:r>
      <w:r w:rsidRPr="009364A8">
        <w:rPr>
          <w:szCs w:val="18"/>
          <w:lang w:val="ru-RU"/>
        </w:rPr>
        <w:t xml:space="preserve">. </w:t>
      </w:r>
    </w:p>
  </w:footnote>
  <w:footnote w:id="15">
    <w:p w:rsidR="004C1D33" w:rsidRPr="009A759A" w:rsidRDefault="004C1D33" w:rsidP="00192C16">
      <w:pPr>
        <w:pStyle w:val="FootnoteText"/>
        <w:rPr>
          <w:szCs w:val="18"/>
          <w:lang w:val="ru-RU"/>
        </w:rPr>
      </w:pPr>
      <w:r w:rsidRPr="006475B9">
        <w:rPr>
          <w:rStyle w:val="FootnoteReference"/>
          <w:szCs w:val="18"/>
        </w:rPr>
        <w:footnoteRef/>
      </w:r>
      <w:r w:rsidRPr="009A759A">
        <w:rPr>
          <w:szCs w:val="18"/>
          <w:lang w:val="ru-RU"/>
        </w:rPr>
        <w:t xml:space="preserve"> </w:t>
      </w:r>
      <w:r w:rsidRPr="009A759A">
        <w:rPr>
          <w:szCs w:val="18"/>
          <w:lang w:val="ru-RU"/>
        </w:rPr>
        <w:tab/>
      </w:r>
      <w:r>
        <w:rPr>
          <w:szCs w:val="18"/>
          <w:lang w:val="ru-RU"/>
        </w:rPr>
        <w:t>На</w:t>
      </w:r>
      <w:r w:rsidRPr="009A759A">
        <w:rPr>
          <w:szCs w:val="18"/>
          <w:lang w:val="ru-RU"/>
        </w:rPr>
        <w:t xml:space="preserve"> </w:t>
      </w:r>
      <w:r>
        <w:rPr>
          <w:szCs w:val="18"/>
          <w:lang w:val="ru-RU"/>
        </w:rPr>
        <w:t>китайском</w:t>
      </w:r>
      <w:r w:rsidRPr="009A759A">
        <w:rPr>
          <w:szCs w:val="18"/>
          <w:lang w:val="ru-RU"/>
        </w:rPr>
        <w:t xml:space="preserve">, </w:t>
      </w:r>
      <w:r>
        <w:rPr>
          <w:szCs w:val="18"/>
          <w:lang w:val="ru-RU"/>
        </w:rPr>
        <w:t>чешском</w:t>
      </w:r>
      <w:r w:rsidRPr="009A759A">
        <w:rPr>
          <w:szCs w:val="18"/>
          <w:lang w:val="ru-RU"/>
        </w:rPr>
        <w:t xml:space="preserve">, </w:t>
      </w:r>
      <w:r>
        <w:rPr>
          <w:szCs w:val="18"/>
          <w:lang w:val="ru-RU"/>
        </w:rPr>
        <w:t>датском</w:t>
      </w:r>
      <w:r w:rsidRPr="009A759A">
        <w:rPr>
          <w:szCs w:val="18"/>
          <w:lang w:val="ru-RU"/>
        </w:rPr>
        <w:t xml:space="preserve">, </w:t>
      </w:r>
      <w:r>
        <w:rPr>
          <w:szCs w:val="18"/>
          <w:lang w:val="ru-RU"/>
        </w:rPr>
        <w:t>голландском</w:t>
      </w:r>
      <w:r w:rsidRPr="009A759A">
        <w:rPr>
          <w:szCs w:val="18"/>
          <w:lang w:val="ru-RU"/>
        </w:rPr>
        <w:t xml:space="preserve">, </w:t>
      </w:r>
      <w:r>
        <w:rPr>
          <w:szCs w:val="18"/>
          <w:lang w:val="ru-RU"/>
        </w:rPr>
        <w:t>английском</w:t>
      </w:r>
      <w:r w:rsidRPr="009A759A">
        <w:rPr>
          <w:szCs w:val="18"/>
          <w:lang w:val="ru-RU"/>
        </w:rPr>
        <w:t xml:space="preserve">, </w:t>
      </w:r>
      <w:r>
        <w:rPr>
          <w:szCs w:val="18"/>
          <w:lang w:val="ru-RU"/>
        </w:rPr>
        <w:t>французском</w:t>
      </w:r>
      <w:r w:rsidRPr="009A759A">
        <w:rPr>
          <w:szCs w:val="18"/>
          <w:lang w:val="ru-RU"/>
        </w:rPr>
        <w:t xml:space="preserve">, </w:t>
      </w:r>
      <w:r>
        <w:rPr>
          <w:szCs w:val="18"/>
          <w:lang w:val="ru-RU"/>
        </w:rPr>
        <w:t>немецком</w:t>
      </w:r>
      <w:r w:rsidRPr="009A759A">
        <w:rPr>
          <w:szCs w:val="18"/>
          <w:lang w:val="ru-RU"/>
        </w:rPr>
        <w:t xml:space="preserve">, </w:t>
      </w:r>
      <w:r>
        <w:rPr>
          <w:szCs w:val="18"/>
          <w:lang w:val="ru-RU"/>
        </w:rPr>
        <w:t>иврите</w:t>
      </w:r>
      <w:r w:rsidRPr="009A759A">
        <w:rPr>
          <w:szCs w:val="18"/>
          <w:lang w:val="ru-RU"/>
        </w:rPr>
        <w:t xml:space="preserve">, </w:t>
      </w:r>
      <w:r>
        <w:rPr>
          <w:szCs w:val="18"/>
          <w:lang w:val="ru-RU"/>
        </w:rPr>
        <w:t>итальянском</w:t>
      </w:r>
      <w:r w:rsidRPr="009A759A">
        <w:rPr>
          <w:szCs w:val="18"/>
          <w:lang w:val="ru-RU"/>
        </w:rPr>
        <w:t xml:space="preserve">, </w:t>
      </w:r>
      <w:r>
        <w:rPr>
          <w:szCs w:val="18"/>
          <w:lang w:val="ru-RU"/>
        </w:rPr>
        <w:t>японском</w:t>
      </w:r>
      <w:r w:rsidRPr="009A759A">
        <w:rPr>
          <w:szCs w:val="18"/>
          <w:lang w:val="ru-RU"/>
        </w:rPr>
        <w:t xml:space="preserve">, </w:t>
      </w:r>
      <w:r>
        <w:rPr>
          <w:szCs w:val="18"/>
          <w:lang w:val="ru-RU"/>
        </w:rPr>
        <w:t>корейском</w:t>
      </w:r>
      <w:r w:rsidRPr="009A759A">
        <w:rPr>
          <w:szCs w:val="18"/>
          <w:lang w:val="ru-RU"/>
        </w:rPr>
        <w:t xml:space="preserve">, </w:t>
      </w:r>
      <w:r>
        <w:rPr>
          <w:szCs w:val="18"/>
          <w:lang w:val="ru-RU"/>
        </w:rPr>
        <w:t>норвежском</w:t>
      </w:r>
      <w:r w:rsidRPr="009A759A">
        <w:rPr>
          <w:szCs w:val="18"/>
          <w:lang w:val="ru-RU"/>
        </w:rPr>
        <w:t xml:space="preserve">, </w:t>
      </w:r>
      <w:r>
        <w:rPr>
          <w:szCs w:val="18"/>
          <w:lang w:val="ru-RU"/>
        </w:rPr>
        <w:t>польском</w:t>
      </w:r>
      <w:r w:rsidRPr="009A759A">
        <w:rPr>
          <w:szCs w:val="18"/>
          <w:lang w:val="ru-RU"/>
        </w:rPr>
        <w:t xml:space="preserve">, </w:t>
      </w:r>
      <w:r>
        <w:rPr>
          <w:szCs w:val="18"/>
          <w:lang w:val="ru-RU"/>
        </w:rPr>
        <w:t>португальском</w:t>
      </w:r>
      <w:r w:rsidRPr="009A759A">
        <w:rPr>
          <w:szCs w:val="18"/>
          <w:lang w:val="ru-RU"/>
        </w:rPr>
        <w:t xml:space="preserve">, </w:t>
      </w:r>
      <w:r>
        <w:rPr>
          <w:szCs w:val="18"/>
          <w:lang w:val="ru-RU"/>
        </w:rPr>
        <w:t>румынском</w:t>
      </w:r>
      <w:r w:rsidRPr="009A759A">
        <w:rPr>
          <w:szCs w:val="18"/>
          <w:lang w:val="ru-RU"/>
        </w:rPr>
        <w:t xml:space="preserve">, </w:t>
      </w:r>
      <w:r>
        <w:rPr>
          <w:szCs w:val="18"/>
          <w:lang w:val="ru-RU"/>
        </w:rPr>
        <w:t>русском</w:t>
      </w:r>
      <w:r w:rsidRPr="009A759A">
        <w:rPr>
          <w:szCs w:val="18"/>
          <w:lang w:val="ru-RU"/>
        </w:rPr>
        <w:t xml:space="preserve">, </w:t>
      </w:r>
      <w:r>
        <w:rPr>
          <w:szCs w:val="18"/>
          <w:lang w:val="ru-RU"/>
        </w:rPr>
        <w:t>словацком</w:t>
      </w:r>
      <w:r w:rsidRPr="009A759A">
        <w:rPr>
          <w:szCs w:val="18"/>
          <w:lang w:val="ru-RU"/>
        </w:rPr>
        <w:t xml:space="preserve">, </w:t>
      </w:r>
      <w:r>
        <w:rPr>
          <w:szCs w:val="18"/>
          <w:lang w:val="ru-RU"/>
        </w:rPr>
        <w:t>испанском</w:t>
      </w:r>
      <w:r w:rsidRPr="009A759A">
        <w:rPr>
          <w:szCs w:val="18"/>
          <w:lang w:val="ru-RU"/>
        </w:rPr>
        <w:t xml:space="preserve">, </w:t>
      </w:r>
      <w:r>
        <w:rPr>
          <w:szCs w:val="18"/>
          <w:lang w:val="ru-RU"/>
        </w:rPr>
        <w:t>шведском</w:t>
      </w:r>
      <w:r w:rsidRPr="009A759A">
        <w:rPr>
          <w:szCs w:val="18"/>
          <w:lang w:val="ru-RU"/>
        </w:rPr>
        <w:t xml:space="preserve"> </w:t>
      </w:r>
      <w:r>
        <w:rPr>
          <w:szCs w:val="18"/>
          <w:lang w:val="ru-RU"/>
        </w:rPr>
        <w:t>и</w:t>
      </w:r>
      <w:r w:rsidRPr="009A759A">
        <w:rPr>
          <w:szCs w:val="18"/>
          <w:lang w:val="ru-RU"/>
        </w:rPr>
        <w:t xml:space="preserve"> </w:t>
      </w:r>
      <w:r>
        <w:rPr>
          <w:szCs w:val="18"/>
          <w:lang w:val="ru-RU"/>
        </w:rPr>
        <w:t>турецком</w:t>
      </w:r>
      <w:r w:rsidRPr="009A759A">
        <w:rPr>
          <w:szCs w:val="18"/>
          <w:lang w:val="ru-RU"/>
        </w:rPr>
        <w:t xml:space="preserve"> (</w:t>
      </w:r>
      <w:r>
        <w:rPr>
          <w:szCs w:val="18"/>
          <w:lang w:val="ru-RU"/>
        </w:rPr>
        <w:t>в</w:t>
      </w:r>
      <w:r w:rsidRPr="009A759A">
        <w:rPr>
          <w:szCs w:val="18"/>
          <w:lang w:val="ru-RU"/>
        </w:rPr>
        <w:t xml:space="preserve"> </w:t>
      </w:r>
      <w:r>
        <w:rPr>
          <w:szCs w:val="18"/>
          <w:lang w:val="ru-RU"/>
        </w:rPr>
        <w:t>английском</w:t>
      </w:r>
      <w:r w:rsidRPr="009A759A">
        <w:rPr>
          <w:szCs w:val="18"/>
          <w:lang w:val="ru-RU"/>
        </w:rPr>
        <w:t xml:space="preserve"> </w:t>
      </w:r>
      <w:r>
        <w:rPr>
          <w:szCs w:val="18"/>
          <w:lang w:val="ru-RU"/>
        </w:rPr>
        <w:t>алфавитном</w:t>
      </w:r>
      <w:r w:rsidRPr="009A759A">
        <w:rPr>
          <w:szCs w:val="18"/>
          <w:lang w:val="ru-RU"/>
        </w:rPr>
        <w:t xml:space="preserve"> </w:t>
      </w:r>
      <w:r>
        <w:rPr>
          <w:szCs w:val="18"/>
          <w:lang w:val="ru-RU"/>
        </w:rPr>
        <w:t>порядке</w:t>
      </w:r>
      <w:r w:rsidRPr="009A759A">
        <w:rPr>
          <w:szCs w:val="18"/>
          <w:lang w:val="ru-RU"/>
        </w:rPr>
        <w:t>).</w:t>
      </w:r>
    </w:p>
  </w:footnote>
  <w:footnote w:id="16">
    <w:p w:rsidR="004C1D33" w:rsidRPr="004E1F57" w:rsidRDefault="004C1D33" w:rsidP="00192C16">
      <w:pPr>
        <w:pStyle w:val="FootnoteText"/>
        <w:rPr>
          <w:szCs w:val="18"/>
          <w:lang w:val="ru-RU"/>
        </w:rPr>
      </w:pPr>
      <w:r w:rsidRPr="006475B9">
        <w:rPr>
          <w:rStyle w:val="FootnoteReference"/>
          <w:szCs w:val="18"/>
        </w:rPr>
        <w:footnoteRef/>
      </w:r>
      <w:r w:rsidRPr="004E1F57">
        <w:rPr>
          <w:szCs w:val="18"/>
          <w:lang w:val="ru-RU"/>
        </w:rPr>
        <w:tab/>
      </w:r>
      <w:r>
        <w:rPr>
          <w:szCs w:val="18"/>
          <w:lang w:val="ru-RU"/>
        </w:rPr>
        <w:t xml:space="preserve">Текст Обзора размещен по адресу:  </w:t>
      </w:r>
      <w:r w:rsidRPr="006475B9">
        <w:rPr>
          <w:szCs w:val="18"/>
          <w:u w:val="single"/>
        </w:rPr>
        <w:t>http</w:t>
      </w:r>
      <w:r w:rsidRPr="004E1F57">
        <w:rPr>
          <w:szCs w:val="18"/>
          <w:u w:val="single"/>
          <w:lang w:val="ru-RU"/>
        </w:rPr>
        <w:t>://</w:t>
      </w:r>
      <w:r w:rsidRPr="006475B9">
        <w:rPr>
          <w:szCs w:val="18"/>
          <w:u w:val="single"/>
        </w:rPr>
        <w:t>www</w:t>
      </w:r>
      <w:r w:rsidRPr="004E1F57">
        <w:rPr>
          <w:szCs w:val="18"/>
          <w:u w:val="single"/>
          <w:lang w:val="ru-RU"/>
        </w:rPr>
        <w:t>.</w:t>
      </w:r>
      <w:proofErr w:type="spellStart"/>
      <w:r w:rsidRPr="006475B9">
        <w:rPr>
          <w:szCs w:val="18"/>
          <w:u w:val="single"/>
        </w:rPr>
        <w:t>wipo</w:t>
      </w:r>
      <w:proofErr w:type="spellEnd"/>
      <w:r w:rsidRPr="004E1F57">
        <w:rPr>
          <w:szCs w:val="18"/>
          <w:u w:val="single"/>
          <w:lang w:val="ru-RU"/>
        </w:rPr>
        <w:t>.</w:t>
      </w:r>
      <w:proofErr w:type="spellStart"/>
      <w:r w:rsidRPr="006475B9">
        <w:rPr>
          <w:szCs w:val="18"/>
          <w:u w:val="single"/>
        </w:rPr>
        <w:t>int</w:t>
      </w:r>
      <w:proofErr w:type="spellEnd"/>
      <w:r w:rsidRPr="004E1F57">
        <w:rPr>
          <w:szCs w:val="18"/>
          <w:u w:val="single"/>
          <w:lang w:val="ru-RU"/>
        </w:rPr>
        <w:t>/</w:t>
      </w:r>
      <w:proofErr w:type="spellStart"/>
      <w:r w:rsidRPr="006475B9">
        <w:rPr>
          <w:szCs w:val="18"/>
          <w:u w:val="single"/>
        </w:rPr>
        <w:t>amc</w:t>
      </w:r>
      <w:proofErr w:type="spellEnd"/>
      <w:r w:rsidRPr="004E1F57">
        <w:rPr>
          <w:szCs w:val="18"/>
          <w:u w:val="single"/>
          <w:lang w:val="ru-RU"/>
        </w:rPr>
        <w:t>/</w:t>
      </w:r>
      <w:r w:rsidRPr="006475B9">
        <w:rPr>
          <w:szCs w:val="18"/>
          <w:u w:val="single"/>
        </w:rPr>
        <w:t>en</w:t>
      </w:r>
      <w:r w:rsidRPr="004E1F57">
        <w:rPr>
          <w:szCs w:val="18"/>
          <w:u w:val="single"/>
          <w:lang w:val="ru-RU"/>
        </w:rPr>
        <w:t>/</w:t>
      </w:r>
      <w:r w:rsidRPr="006475B9">
        <w:rPr>
          <w:szCs w:val="18"/>
          <w:u w:val="single"/>
        </w:rPr>
        <w:t>domains</w:t>
      </w:r>
      <w:r w:rsidRPr="004E1F57">
        <w:rPr>
          <w:szCs w:val="18"/>
          <w:u w:val="single"/>
          <w:lang w:val="ru-RU"/>
        </w:rPr>
        <w:t>/</w:t>
      </w:r>
      <w:r w:rsidRPr="006475B9">
        <w:rPr>
          <w:szCs w:val="18"/>
          <w:u w:val="single"/>
        </w:rPr>
        <w:t>search</w:t>
      </w:r>
      <w:r w:rsidRPr="004E1F57">
        <w:rPr>
          <w:szCs w:val="18"/>
          <w:u w:val="single"/>
          <w:lang w:val="ru-RU"/>
        </w:rPr>
        <w:t>/</w:t>
      </w:r>
      <w:r w:rsidRPr="006475B9">
        <w:rPr>
          <w:szCs w:val="18"/>
          <w:u w:val="single"/>
        </w:rPr>
        <w:t>overview</w:t>
      </w:r>
      <w:r w:rsidRPr="004E1F57">
        <w:rPr>
          <w:szCs w:val="18"/>
          <w:u w:val="single"/>
          <w:lang w:val="ru-RU"/>
        </w:rPr>
        <w:t>2.0</w:t>
      </w:r>
      <w:r w:rsidRPr="004E1F57">
        <w:rPr>
          <w:szCs w:val="18"/>
          <w:lang w:val="ru-RU"/>
        </w:rPr>
        <w:t>.</w:t>
      </w:r>
    </w:p>
  </w:footnote>
  <w:footnote w:id="17">
    <w:p w:rsidR="004C1D33" w:rsidRPr="004E1F57" w:rsidRDefault="004C1D33" w:rsidP="00192C16">
      <w:pPr>
        <w:pStyle w:val="FootnoteText"/>
        <w:rPr>
          <w:szCs w:val="18"/>
          <w:lang w:val="ru-RU"/>
        </w:rPr>
      </w:pPr>
      <w:r w:rsidRPr="006475B9">
        <w:rPr>
          <w:rStyle w:val="FootnoteReference"/>
          <w:szCs w:val="18"/>
        </w:rPr>
        <w:footnoteRef/>
      </w:r>
      <w:r w:rsidRPr="004E1F57">
        <w:rPr>
          <w:szCs w:val="18"/>
          <w:lang w:val="ru-RU"/>
        </w:rPr>
        <w:tab/>
      </w:r>
      <w:r>
        <w:rPr>
          <w:szCs w:val="18"/>
          <w:lang w:val="ru-RU"/>
        </w:rPr>
        <w:t>Этот</w:t>
      </w:r>
      <w:r w:rsidRPr="004E1F57">
        <w:rPr>
          <w:szCs w:val="18"/>
          <w:lang w:val="ru-RU"/>
        </w:rPr>
        <w:t xml:space="preserve"> </w:t>
      </w:r>
      <w:r>
        <w:rPr>
          <w:szCs w:val="18"/>
          <w:lang w:val="ru-RU"/>
        </w:rPr>
        <w:t>специализированный</w:t>
      </w:r>
      <w:r w:rsidRPr="004E1F57">
        <w:rPr>
          <w:szCs w:val="18"/>
          <w:lang w:val="ru-RU"/>
        </w:rPr>
        <w:t xml:space="preserve"> </w:t>
      </w:r>
      <w:r>
        <w:rPr>
          <w:szCs w:val="18"/>
          <w:lang w:val="ru-RU"/>
        </w:rPr>
        <w:t>ресурс</w:t>
      </w:r>
      <w:r w:rsidRPr="004E1F57">
        <w:rPr>
          <w:szCs w:val="18"/>
          <w:lang w:val="ru-RU"/>
        </w:rPr>
        <w:t xml:space="preserve"> </w:t>
      </w:r>
      <w:r>
        <w:rPr>
          <w:szCs w:val="18"/>
          <w:lang w:val="ru-RU"/>
        </w:rPr>
        <w:t xml:space="preserve">размещен по адресу: </w:t>
      </w:r>
      <w:r w:rsidRPr="004E1F57">
        <w:rPr>
          <w:szCs w:val="18"/>
          <w:lang w:val="ru-RU"/>
        </w:rPr>
        <w:t xml:space="preserve"> </w:t>
      </w:r>
      <w:r w:rsidRPr="006475B9">
        <w:rPr>
          <w:szCs w:val="18"/>
          <w:u w:val="single"/>
        </w:rPr>
        <w:t>http</w:t>
      </w:r>
      <w:r w:rsidRPr="004E1F57">
        <w:rPr>
          <w:szCs w:val="18"/>
          <w:u w:val="single"/>
          <w:lang w:val="ru-RU"/>
        </w:rPr>
        <w:t>://</w:t>
      </w:r>
      <w:r w:rsidRPr="006475B9">
        <w:rPr>
          <w:szCs w:val="18"/>
          <w:u w:val="single"/>
        </w:rPr>
        <w:t>www</w:t>
      </w:r>
      <w:r w:rsidRPr="004E1F57">
        <w:rPr>
          <w:szCs w:val="18"/>
          <w:u w:val="single"/>
          <w:lang w:val="ru-RU"/>
        </w:rPr>
        <w:t>.</w:t>
      </w:r>
      <w:proofErr w:type="spellStart"/>
      <w:r w:rsidRPr="006475B9">
        <w:rPr>
          <w:szCs w:val="18"/>
          <w:u w:val="single"/>
        </w:rPr>
        <w:t>wipo</w:t>
      </w:r>
      <w:proofErr w:type="spellEnd"/>
      <w:r w:rsidRPr="004E1F57">
        <w:rPr>
          <w:szCs w:val="18"/>
          <w:u w:val="single"/>
          <w:lang w:val="ru-RU"/>
        </w:rPr>
        <w:t>.</w:t>
      </w:r>
      <w:proofErr w:type="spellStart"/>
      <w:r w:rsidRPr="006475B9">
        <w:rPr>
          <w:szCs w:val="18"/>
          <w:u w:val="single"/>
        </w:rPr>
        <w:t>int</w:t>
      </w:r>
      <w:proofErr w:type="spellEnd"/>
      <w:r w:rsidRPr="004E1F57">
        <w:rPr>
          <w:szCs w:val="18"/>
          <w:u w:val="single"/>
          <w:lang w:val="ru-RU"/>
        </w:rPr>
        <w:t>/</w:t>
      </w:r>
      <w:proofErr w:type="spellStart"/>
      <w:r w:rsidRPr="006475B9">
        <w:rPr>
          <w:szCs w:val="18"/>
          <w:u w:val="single"/>
        </w:rPr>
        <w:t>cgi</w:t>
      </w:r>
      <w:proofErr w:type="spellEnd"/>
      <w:r w:rsidRPr="004E1F57">
        <w:rPr>
          <w:szCs w:val="18"/>
          <w:u w:val="single"/>
          <w:lang w:val="ru-RU"/>
        </w:rPr>
        <w:t>-</w:t>
      </w:r>
      <w:r w:rsidRPr="006475B9">
        <w:rPr>
          <w:szCs w:val="18"/>
          <w:u w:val="single"/>
        </w:rPr>
        <w:t>bin</w:t>
      </w:r>
      <w:r w:rsidRPr="004E1F57">
        <w:rPr>
          <w:szCs w:val="18"/>
          <w:u w:val="single"/>
          <w:lang w:val="ru-RU"/>
        </w:rPr>
        <w:t>/</w:t>
      </w:r>
      <w:r w:rsidRPr="006475B9">
        <w:rPr>
          <w:szCs w:val="18"/>
          <w:u w:val="single"/>
        </w:rPr>
        <w:t>domains</w:t>
      </w:r>
      <w:r w:rsidRPr="004E1F57">
        <w:rPr>
          <w:szCs w:val="18"/>
          <w:u w:val="single"/>
          <w:lang w:val="ru-RU"/>
        </w:rPr>
        <w:t>/</w:t>
      </w:r>
      <w:r w:rsidRPr="006475B9">
        <w:rPr>
          <w:szCs w:val="18"/>
          <w:u w:val="single"/>
        </w:rPr>
        <w:t>search</w:t>
      </w:r>
      <w:r w:rsidRPr="004E1F57">
        <w:rPr>
          <w:szCs w:val="18"/>
          <w:u w:val="single"/>
          <w:lang w:val="ru-RU"/>
        </w:rPr>
        <w:t>/</w:t>
      </w:r>
      <w:proofErr w:type="spellStart"/>
      <w:r w:rsidRPr="006475B9">
        <w:rPr>
          <w:szCs w:val="18"/>
          <w:u w:val="single"/>
        </w:rPr>
        <w:t>legalindex</w:t>
      </w:r>
      <w:proofErr w:type="spellEnd"/>
      <w:r w:rsidRPr="004E1F57">
        <w:rPr>
          <w:szCs w:val="18"/>
          <w:lang w:val="ru-RU"/>
        </w:rPr>
        <w:t>.</w:t>
      </w:r>
    </w:p>
  </w:footnote>
  <w:footnote w:id="18">
    <w:p w:rsidR="004C1D33" w:rsidRPr="00C02209" w:rsidRDefault="004C1D33" w:rsidP="00192C16">
      <w:pPr>
        <w:pStyle w:val="FootnoteText"/>
        <w:rPr>
          <w:lang w:val="ru-RU"/>
        </w:rPr>
      </w:pPr>
      <w:r w:rsidRPr="006475B9">
        <w:rPr>
          <w:rStyle w:val="FootnoteReference"/>
        </w:rPr>
        <w:footnoteRef/>
      </w:r>
      <w:r w:rsidRPr="00C02209">
        <w:rPr>
          <w:lang w:val="ru-RU"/>
        </w:rPr>
        <w:t xml:space="preserve"> </w:t>
      </w:r>
      <w:r w:rsidRPr="00C02209">
        <w:rPr>
          <w:lang w:val="ru-RU"/>
        </w:rPr>
        <w:tab/>
      </w:r>
      <w:r>
        <w:rPr>
          <w:lang w:val="ru-RU"/>
        </w:rPr>
        <w:t>См</w:t>
      </w:r>
      <w:r w:rsidRPr="00C02209">
        <w:rPr>
          <w:lang w:val="ru-RU"/>
        </w:rPr>
        <w:t xml:space="preserve">., </w:t>
      </w:r>
      <w:r w:rsidR="00CD3470">
        <w:rPr>
          <w:lang w:val="ru-RU"/>
        </w:rPr>
        <w:t>в частности</w:t>
      </w:r>
      <w:r w:rsidRPr="00C02209">
        <w:rPr>
          <w:lang w:val="ru-RU"/>
        </w:rPr>
        <w:t xml:space="preserve">, </w:t>
      </w:r>
      <w:r>
        <w:rPr>
          <w:lang w:val="ru-RU"/>
        </w:rPr>
        <w:t>документ</w:t>
      </w:r>
      <w:r w:rsidRPr="00C02209">
        <w:rPr>
          <w:lang w:val="ru-RU"/>
        </w:rPr>
        <w:t xml:space="preserve"> </w:t>
      </w:r>
      <w:r w:rsidRPr="006475B9">
        <w:t>W</w:t>
      </w:r>
      <w:r>
        <w:t>O</w:t>
      </w:r>
      <w:r w:rsidRPr="00C02209">
        <w:rPr>
          <w:lang w:val="ru-RU"/>
        </w:rPr>
        <w:t>/</w:t>
      </w:r>
      <w:r>
        <w:t>GA</w:t>
      </w:r>
      <w:r w:rsidRPr="00C02209">
        <w:rPr>
          <w:lang w:val="ru-RU"/>
        </w:rPr>
        <w:t xml:space="preserve">/41/17 </w:t>
      </w:r>
      <w:r>
        <w:t>Rev</w:t>
      </w:r>
      <w:r w:rsidRPr="00C02209">
        <w:rPr>
          <w:lang w:val="ru-RU"/>
        </w:rPr>
        <w:t>.2,</w:t>
      </w:r>
      <w:r>
        <w:rPr>
          <w:lang w:val="ru-RU"/>
        </w:rPr>
        <w:t xml:space="preserve"> пункты </w:t>
      </w:r>
      <w:r w:rsidRPr="00C02209">
        <w:rPr>
          <w:lang w:val="ru-RU"/>
        </w:rPr>
        <w:t>14</w:t>
      </w:r>
      <w:r>
        <w:rPr>
          <w:lang w:val="ru-RU"/>
        </w:rPr>
        <w:t>-</w:t>
      </w:r>
      <w:r w:rsidRPr="00C02209">
        <w:rPr>
          <w:lang w:val="ru-RU"/>
        </w:rPr>
        <w:t>16.</w:t>
      </w:r>
    </w:p>
  </w:footnote>
  <w:footnote w:id="19">
    <w:p w:rsidR="004C1D33" w:rsidRPr="0085336A" w:rsidRDefault="004C1D33" w:rsidP="00192C16">
      <w:pPr>
        <w:pStyle w:val="FootnoteText"/>
        <w:rPr>
          <w:lang w:val="ru-RU"/>
        </w:rPr>
      </w:pPr>
      <w:r w:rsidRPr="006475B9">
        <w:rPr>
          <w:rStyle w:val="FootnoteReference"/>
        </w:rPr>
        <w:footnoteRef/>
      </w:r>
      <w:r w:rsidRPr="0085336A">
        <w:rPr>
          <w:lang w:val="ru-RU"/>
        </w:rPr>
        <w:t xml:space="preserve"> </w:t>
      </w:r>
      <w:r w:rsidRPr="0085336A">
        <w:rPr>
          <w:lang w:val="ru-RU"/>
        </w:rPr>
        <w:tab/>
      </w:r>
      <w:r>
        <w:rPr>
          <w:lang w:val="ru-RU"/>
        </w:rPr>
        <w:t>См</w:t>
      </w:r>
      <w:r w:rsidRPr="0085336A">
        <w:rPr>
          <w:lang w:val="ru-RU"/>
        </w:rPr>
        <w:t xml:space="preserve">. </w:t>
      </w:r>
      <w:r>
        <w:rPr>
          <w:lang w:val="ru-RU"/>
        </w:rPr>
        <w:t>сноску </w:t>
      </w:r>
      <w:r w:rsidRPr="0085336A">
        <w:rPr>
          <w:lang w:val="ru-RU"/>
        </w:rPr>
        <w:t xml:space="preserve">2, </w:t>
      </w:r>
      <w:r>
        <w:rPr>
          <w:lang w:val="ru-RU"/>
        </w:rPr>
        <w:t>выше</w:t>
      </w:r>
      <w:r w:rsidRPr="0085336A">
        <w:rPr>
          <w:lang w:val="ru-RU"/>
        </w:rPr>
        <w:t>.</w:t>
      </w:r>
    </w:p>
  </w:footnote>
  <w:footnote w:id="20">
    <w:p w:rsidR="004C1D33" w:rsidRPr="0085336A" w:rsidRDefault="004C1D33" w:rsidP="00192C16">
      <w:pPr>
        <w:pStyle w:val="FootnoteText"/>
        <w:rPr>
          <w:szCs w:val="18"/>
          <w:lang w:val="ru-RU"/>
        </w:rPr>
      </w:pPr>
      <w:r w:rsidRPr="006475B9">
        <w:rPr>
          <w:rStyle w:val="FootnoteReference"/>
          <w:szCs w:val="18"/>
        </w:rPr>
        <w:footnoteRef/>
      </w:r>
      <w:r w:rsidRPr="0085336A">
        <w:rPr>
          <w:szCs w:val="18"/>
          <w:lang w:val="ru-RU"/>
        </w:rPr>
        <w:tab/>
      </w:r>
      <w:r w:rsidRPr="0085336A">
        <w:rPr>
          <w:szCs w:val="18"/>
          <w:lang w:val="ru-RU"/>
        </w:rPr>
        <w:t xml:space="preserve">С полным списком ксДВУ, в отношении которых Центр выбран в качестве поставщика услуг по урегулированию споров в отношении доменных имен, можно ознакомиться </w:t>
      </w:r>
      <w:r>
        <w:rPr>
          <w:szCs w:val="18"/>
          <w:lang w:val="ru-RU"/>
        </w:rPr>
        <w:t xml:space="preserve">по адресу:  </w:t>
      </w:r>
      <w:r w:rsidRPr="006475B9">
        <w:rPr>
          <w:szCs w:val="18"/>
          <w:u w:val="single"/>
        </w:rPr>
        <w:t>http</w:t>
      </w:r>
      <w:r w:rsidRPr="0085336A">
        <w:rPr>
          <w:szCs w:val="18"/>
          <w:u w:val="single"/>
          <w:lang w:val="ru-RU"/>
        </w:rPr>
        <w:t>://</w:t>
      </w:r>
      <w:r w:rsidRPr="006475B9">
        <w:rPr>
          <w:szCs w:val="18"/>
          <w:u w:val="single"/>
        </w:rPr>
        <w:t>www</w:t>
      </w:r>
      <w:r w:rsidRPr="0085336A">
        <w:rPr>
          <w:szCs w:val="18"/>
          <w:u w:val="single"/>
          <w:lang w:val="ru-RU"/>
        </w:rPr>
        <w:t>.</w:t>
      </w:r>
      <w:proofErr w:type="spellStart"/>
      <w:r w:rsidRPr="006475B9">
        <w:rPr>
          <w:szCs w:val="18"/>
          <w:u w:val="single"/>
        </w:rPr>
        <w:t>wipo</w:t>
      </w:r>
      <w:proofErr w:type="spellEnd"/>
      <w:r w:rsidRPr="0085336A">
        <w:rPr>
          <w:szCs w:val="18"/>
          <w:u w:val="single"/>
          <w:lang w:val="ru-RU"/>
        </w:rPr>
        <w:t>.</w:t>
      </w:r>
      <w:proofErr w:type="spellStart"/>
      <w:r w:rsidRPr="006475B9">
        <w:rPr>
          <w:szCs w:val="18"/>
          <w:u w:val="single"/>
        </w:rPr>
        <w:t>int</w:t>
      </w:r>
      <w:proofErr w:type="spellEnd"/>
      <w:r w:rsidRPr="0085336A">
        <w:rPr>
          <w:szCs w:val="18"/>
          <w:u w:val="single"/>
          <w:lang w:val="ru-RU"/>
        </w:rPr>
        <w:t>/</w:t>
      </w:r>
      <w:proofErr w:type="spellStart"/>
      <w:r w:rsidRPr="006475B9">
        <w:rPr>
          <w:szCs w:val="18"/>
          <w:u w:val="single"/>
        </w:rPr>
        <w:t>amc</w:t>
      </w:r>
      <w:proofErr w:type="spellEnd"/>
      <w:r w:rsidRPr="0085336A">
        <w:rPr>
          <w:szCs w:val="18"/>
          <w:u w:val="single"/>
          <w:lang w:val="ru-RU"/>
        </w:rPr>
        <w:t>/</w:t>
      </w:r>
      <w:r w:rsidRPr="006475B9">
        <w:rPr>
          <w:szCs w:val="18"/>
          <w:u w:val="single"/>
        </w:rPr>
        <w:t>en</w:t>
      </w:r>
      <w:r w:rsidRPr="0085336A">
        <w:rPr>
          <w:szCs w:val="18"/>
          <w:u w:val="single"/>
          <w:lang w:val="ru-RU"/>
        </w:rPr>
        <w:t>/</w:t>
      </w:r>
      <w:r w:rsidRPr="006475B9">
        <w:rPr>
          <w:szCs w:val="18"/>
          <w:u w:val="single"/>
        </w:rPr>
        <w:t>domains</w:t>
      </w:r>
      <w:r w:rsidRPr="0085336A">
        <w:rPr>
          <w:szCs w:val="18"/>
          <w:u w:val="single"/>
          <w:lang w:val="ru-RU"/>
        </w:rPr>
        <w:t>/</w:t>
      </w:r>
      <w:proofErr w:type="spellStart"/>
      <w:r w:rsidRPr="006475B9">
        <w:rPr>
          <w:szCs w:val="18"/>
          <w:u w:val="single"/>
        </w:rPr>
        <w:t>cctld</w:t>
      </w:r>
      <w:proofErr w:type="spellEnd"/>
      <w:r w:rsidRPr="0085336A">
        <w:rPr>
          <w:szCs w:val="18"/>
          <w:lang w:val="ru-RU"/>
        </w:rPr>
        <w:t>.</w:t>
      </w:r>
    </w:p>
  </w:footnote>
  <w:footnote w:id="21">
    <w:p w:rsidR="004C1D33" w:rsidRPr="003E4E12" w:rsidRDefault="004C1D33" w:rsidP="00192C16">
      <w:pPr>
        <w:pStyle w:val="FootnoteText"/>
        <w:rPr>
          <w:szCs w:val="18"/>
          <w:lang w:val="ru-RU"/>
        </w:rPr>
      </w:pPr>
      <w:r w:rsidRPr="006475B9">
        <w:rPr>
          <w:rStyle w:val="FootnoteReference"/>
          <w:szCs w:val="18"/>
        </w:rPr>
        <w:footnoteRef/>
      </w:r>
      <w:r w:rsidRPr="003E4E12">
        <w:rPr>
          <w:szCs w:val="18"/>
          <w:lang w:val="ru-RU"/>
        </w:rPr>
        <w:t xml:space="preserve"> </w:t>
      </w:r>
      <w:r w:rsidRPr="003E4E12">
        <w:rPr>
          <w:szCs w:val="18"/>
          <w:lang w:val="ru-RU"/>
        </w:rPr>
        <w:tab/>
      </w:r>
      <w:r>
        <w:rPr>
          <w:szCs w:val="18"/>
          <w:lang w:val="ru-RU"/>
        </w:rPr>
        <w:t>См.</w:t>
      </w:r>
      <w:r w:rsidRPr="003E4E12">
        <w:rPr>
          <w:szCs w:val="18"/>
          <w:lang w:val="ru-RU"/>
        </w:rPr>
        <w:t xml:space="preserve"> </w:t>
      </w:r>
      <w:r w:rsidRPr="006475B9">
        <w:rPr>
          <w:szCs w:val="18"/>
          <w:u w:val="single"/>
        </w:rPr>
        <w:t>http</w:t>
      </w:r>
      <w:r w:rsidRPr="003E4E12">
        <w:rPr>
          <w:szCs w:val="18"/>
          <w:u w:val="single"/>
          <w:lang w:val="ru-RU"/>
        </w:rPr>
        <w:t>://</w:t>
      </w:r>
      <w:r w:rsidRPr="006475B9">
        <w:rPr>
          <w:szCs w:val="18"/>
          <w:u w:val="single"/>
        </w:rPr>
        <w:t>www</w:t>
      </w:r>
      <w:r w:rsidRPr="003E4E12">
        <w:rPr>
          <w:szCs w:val="18"/>
          <w:u w:val="single"/>
          <w:lang w:val="ru-RU"/>
        </w:rPr>
        <w:t>.</w:t>
      </w:r>
      <w:proofErr w:type="spellStart"/>
      <w:r w:rsidRPr="006475B9">
        <w:rPr>
          <w:szCs w:val="18"/>
          <w:u w:val="single"/>
        </w:rPr>
        <w:t>icann</w:t>
      </w:r>
      <w:proofErr w:type="spellEnd"/>
      <w:r w:rsidRPr="003E4E12">
        <w:rPr>
          <w:szCs w:val="18"/>
          <w:u w:val="single"/>
          <w:lang w:val="ru-RU"/>
        </w:rPr>
        <w:t>.</w:t>
      </w:r>
      <w:r w:rsidRPr="006475B9">
        <w:rPr>
          <w:szCs w:val="18"/>
          <w:u w:val="single"/>
        </w:rPr>
        <w:t>org</w:t>
      </w:r>
      <w:r w:rsidRPr="003E4E12">
        <w:rPr>
          <w:szCs w:val="18"/>
          <w:u w:val="single"/>
          <w:lang w:val="ru-RU"/>
        </w:rPr>
        <w:t>/</w:t>
      </w:r>
      <w:r w:rsidRPr="006475B9">
        <w:rPr>
          <w:szCs w:val="18"/>
          <w:u w:val="single"/>
        </w:rPr>
        <w:t>en</w:t>
      </w:r>
      <w:r w:rsidRPr="003E4E12">
        <w:rPr>
          <w:szCs w:val="18"/>
          <w:u w:val="single"/>
          <w:lang w:val="ru-RU"/>
        </w:rPr>
        <w:t>/</w:t>
      </w:r>
      <w:r w:rsidRPr="006475B9">
        <w:rPr>
          <w:szCs w:val="18"/>
          <w:u w:val="single"/>
        </w:rPr>
        <w:t>minutes</w:t>
      </w:r>
      <w:r w:rsidRPr="003E4E12">
        <w:rPr>
          <w:szCs w:val="18"/>
          <w:u w:val="single"/>
          <w:lang w:val="ru-RU"/>
        </w:rPr>
        <w:t>/</w:t>
      </w:r>
      <w:r w:rsidRPr="006475B9">
        <w:rPr>
          <w:szCs w:val="18"/>
          <w:u w:val="single"/>
        </w:rPr>
        <w:t>resolutions</w:t>
      </w:r>
      <w:r w:rsidRPr="003E4E12">
        <w:rPr>
          <w:szCs w:val="18"/>
          <w:u w:val="single"/>
          <w:lang w:val="ru-RU"/>
        </w:rPr>
        <w:t>-20</w:t>
      </w:r>
      <w:proofErr w:type="spellStart"/>
      <w:r w:rsidRPr="006475B9">
        <w:rPr>
          <w:szCs w:val="18"/>
          <w:u w:val="single"/>
        </w:rPr>
        <w:t>jun</w:t>
      </w:r>
      <w:proofErr w:type="spellEnd"/>
      <w:r w:rsidRPr="003E4E12">
        <w:rPr>
          <w:szCs w:val="18"/>
          <w:u w:val="single"/>
          <w:lang w:val="ru-RU"/>
        </w:rPr>
        <w:t>11-</w:t>
      </w:r>
      <w:r w:rsidRPr="006475B9">
        <w:rPr>
          <w:szCs w:val="18"/>
          <w:u w:val="single"/>
        </w:rPr>
        <w:t>en</w:t>
      </w:r>
      <w:r w:rsidRPr="003E4E12">
        <w:rPr>
          <w:szCs w:val="18"/>
          <w:u w:val="single"/>
          <w:lang w:val="ru-RU"/>
        </w:rPr>
        <w:t>.</w:t>
      </w:r>
      <w:proofErr w:type="spellStart"/>
      <w:r w:rsidRPr="006475B9">
        <w:rPr>
          <w:szCs w:val="18"/>
          <w:u w:val="single"/>
        </w:rPr>
        <w:t>htm</w:t>
      </w:r>
      <w:proofErr w:type="spellEnd"/>
      <w:r w:rsidRPr="003E4E12">
        <w:rPr>
          <w:szCs w:val="18"/>
          <w:lang w:val="ru-RU"/>
        </w:rPr>
        <w:t xml:space="preserve">.  </w:t>
      </w:r>
      <w:r>
        <w:rPr>
          <w:szCs w:val="18"/>
          <w:lang w:val="ru-RU"/>
        </w:rPr>
        <w:t>Дополнительная</w:t>
      </w:r>
      <w:r w:rsidRPr="003E4E12">
        <w:rPr>
          <w:szCs w:val="18"/>
          <w:lang w:val="ru-RU"/>
        </w:rPr>
        <w:t xml:space="preserve"> </w:t>
      </w:r>
      <w:r>
        <w:rPr>
          <w:szCs w:val="18"/>
          <w:lang w:val="ru-RU"/>
        </w:rPr>
        <w:t>справочная</w:t>
      </w:r>
      <w:r w:rsidRPr="003E4E12">
        <w:rPr>
          <w:szCs w:val="18"/>
          <w:lang w:val="ru-RU"/>
        </w:rPr>
        <w:t xml:space="preserve"> </w:t>
      </w:r>
      <w:r>
        <w:rPr>
          <w:szCs w:val="18"/>
          <w:lang w:val="ru-RU"/>
        </w:rPr>
        <w:t>информация</w:t>
      </w:r>
      <w:r w:rsidRPr="003E4E12">
        <w:rPr>
          <w:szCs w:val="18"/>
          <w:lang w:val="ru-RU"/>
        </w:rPr>
        <w:t xml:space="preserve">, </w:t>
      </w:r>
      <w:r>
        <w:rPr>
          <w:szCs w:val="18"/>
          <w:lang w:val="ru-RU"/>
        </w:rPr>
        <w:t>включая</w:t>
      </w:r>
      <w:r w:rsidRPr="003E4E12">
        <w:rPr>
          <w:szCs w:val="18"/>
          <w:lang w:val="ru-RU"/>
        </w:rPr>
        <w:t xml:space="preserve"> </w:t>
      </w:r>
      <w:r>
        <w:rPr>
          <w:szCs w:val="18"/>
          <w:lang w:val="ru-RU"/>
        </w:rPr>
        <w:t>ссылки</w:t>
      </w:r>
      <w:r w:rsidRPr="003E4E12">
        <w:rPr>
          <w:szCs w:val="18"/>
          <w:lang w:val="ru-RU"/>
        </w:rPr>
        <w:t xml:space="preserve">, </w:t>
      </w:r>
      <w:r>
        <w:rPr>
          <w:szCs w:val="18"/>
          <w:lang w:val="ru-RU"/>
        </w:rPr>
        <w:t xml:space="preserve">содержится в документе </w:t>
      </w:r>
      <w:r w:rsidRPr="006475B9">
        <w:rPr>
          <w:szCs w:val="18"/>
        </w:rPr>
        <w:t>WO</w:t>
      </w:r>
      <w:r w:rsidRPr="003E4E12">
        <w:rPr>
          <w:szCs w:val="18"/>
          <w:lang w:val="ru-RU"/>
        </w:rPr>
        <w:t>/</w:t>
      </w:r>
      <w:r w:rsidRPr="006475B9">
        <w:rPr>
          <w:szCs w:val="18"/>
        </w:rPr>
        <w:t>GA</w:t>
      </w:r>
      <w:r w:rsidRPr="003E4E12">
        <w:rPr>
          <w:szCs w:val="18"/>
          <w:lang w:val="ru-RU"/>
        </w:rPr>
        <w:t xml:space="preserve">/39/10, </w:t>
      </w:r>
      <w:r>
        <w:rPr>
          <w:szCs w:val="18"/>
          <w:lang w:val="ru-RU"/>
        </w:rPr>
        <w:t>в частности в пункте </w:t>
      </w:r>
      <w:r w:rsidRPr="003E4E12">
        <w:rPr>
          <w:szCs w:val="18"/>
          <w:lang w:val="ru-RU"/>
        </w:rPr>
        <w:t>14.</w:t>
      </w:r>
    </w:p>
  </w:footnote>
  <w:footnote w:id="22">
    <w:p w:rsidR="004C1D33" w:rsidRPr="005D696E" w:rsidRDefault="004C1D33" w:rsidP="00192C16">
      <w:pPr>
        <w:pStyle w:val="FootnoteText"/>
        <w:rPr>
          <w:szCs w:val="18"/>
          <w:lang w:val="ru-RU"/>
        </w:rPr>
      </w:pPr>
      <w:r w:rsidRPr="006475B9">
        <w:rPr>
          <w:rStyle w:val="FootnoteReference"/>
          <w:szCs w:val="18"/>
        </w:rPr>
        <w:footnoteRef/>
      </w:r>
      <w:r w:rsidRPr="005D696E">
        <w:rPr>
          <w:szCs w:val="18"/>
          <w:lang w:val="ru-RU"/>
        </w:rPr>
        <w:t xml:space="preserve"> </w:t>
      </w:r>
      <w:r w:rsidRPr="005D696E">
        <w:rPr>
          <w:szCs w:val="18"/>
          <w:lang w:val="ru-RU"/>
        </w:rPr>
        <w:tab/>
      </w:r>
      <w:r>
        <w:rPr>
          <w:szCs w:val="18"/>
          <w:lang w:val="ru-RU"/>
        </w:rPr>
        <w:t xml:space="preserve">Ознакомиться с </w:t>
      </w:r>
      <w:r w:rsidRPr="005D696E">
        <w:rPr>
          <w:szCs w:val="18"/>
          <w:lang w:val="ru-RU"/>
        </w:rPr>
        <w:t>«</w:t>
      </w:r>
      <w:r>
        <w:rPr>
          <w:szCs w:val="18"/>
          <w:lang w:val="ru-RU"/>
        </w:rPr>
        <w:t>Руководством</w:t>
      </w:r>
      <w:r w:rsidRPr="005D696E">
        <w:rPr>
          <w:szCs w:val="18"/>
          <w:lang w:val="ru-RU"/>
        </w:rPr>
        <w:t xml:space="preserve"> </w:t>
      </w:r>
      <w:r w:rsidRPr="006475B9">
        <w:rPr>
          <w:szCs w:val="18"/>
        </w:rPr>
        <w:t>ICANN</w:t>
      </w:r>
      <w:r w:rsidRPr="005D696E">
        <w:rPr>
          <w:szCs w:val="18"/>
          <w:lang w:val="ru-RU"/>
        </w:rPr>
        <w:t xml:space="preserve"> </w:t>
      </w:r>
      <w:r>
        <w:rPr>
          <w:szCs w:val="18"/>
          <w:lang w:val="ru-RU"/>
        </w:rPr>
        <w:t>для</w:t>
      </w:r>
      <w:r w:rsidRPr="005D696E">
        <w:rPr>
          <w:szCs w:val="18"/>
          <w:lang w:val="ru-RU"/>
        </w:rPr>
        <w:t xml:space="preserve"> </w:t>
      </w:r>
      <w:r>
        <w:rPr>
          <w:szCs w:val="18"/>
          <w:lang w:val="ru-RU"/>
        </w:rPr>
        <w:t xml:space="preserve">заявителя» можно по адресу:  </w:t>
      </w:r>
      <w:r w:rsidRPr="006475B9">
        <w:rPr>
          <w:szCs w:val="18"/>
          <w:u w:val="single"/>
        </w:rPr>
        <w:t>http</w:t>
      </w:r>
      <w:r w:rsidRPr="005D696E">
        <w:rPr>
          <w:szCs w:val="18"/>
          <w:u w:val="single"/>
          <w:lang w:val="ru-RU"/>
        </w:rPr>
        <w:t>://</w:t>
      </w:r>
      <w:proofErr w:type="spellStart"/>
      <w:r w:rsidRPr="006475B9">
        <w:rPr>
          <w:szCs w:val="18"/>
          <w:u w:val="single"/>
        </w:rPr>
        <w:t>newgtlds</w:t>
      </w:r>
      <w:proofErr w:type="spellEnd"/>
      <w:r w:rsidRPr="005D696E">
        <w:rPr>
          <w:szCs w:val="18"/>
          <w:u w:val="single"/>
          <w:lang w:val="ru-RU"/>
        </w:rPr>
        <w:t>.</w:t>
      </w:r>
      <w:proofErr w:type="spellStart"/>
      <w:r w:rsidRPr="006475B9">
        <w:rPr>
          <w:szCs w:val="18"/>
          <w:u w:val="single"/>
        </w:rPr>
        <w:t>icann</w:t>
      </w:r>
      <w:proofErr w:type="spellEnd"/>
      <w:r w:rsidRPr="005D696E">
        <w:rPr>
          <w:szCs w:val="18"/>
          <w:u w:val="single"/>
          <w:lang w:val="ru-RU"/>
        </w:rPr>
        <w:t>.</w:t>
      </w:r>
      <w:r w:rsidRPr="006475B9">
        <w:rPr>
          <w:szCs w:val="18"/>
          <w:u w:val="single"/>
        </w:rPr>
        <w:t>org</w:t>
      </w:r>
      <w:r w:rsidRPr="005D696E">
        <w:rPr>
          <w:szCs w:val="18"/>
          <w:u w:val="single"/>
          <w:lang w:val="ru-RU"/>
        </w:rPr>
        <w:t>/</w:t>
      </w:r>
      <w:r w:rsidRPr="006475B9">
        <w:rPr>
          <w:szCs w:val="18"/>
          <w:u w:val="single"/>
        </w:rPr>
        <w:t>en</w:t>
      </w:r>
      <w:r w:rsidRPr="005D696E">
        <w:rPr>
          <w:szCs w:val="18"/>
          <w:u w:val="single"/>
          <w:lang w:val="ru-RU"/>
        </w:rPr>
        <w:t>/</w:t>
      </w:r>
      <w:r w:rsidRPr="006475B9">
        <w:rPr>
          <w:szCs w:val="18"/>
          <w:u w:val="single"/>
        </w:rPr>
        <w:t>applicants</w:t>
      </w:r>
      <w:r w:rsidRPr="005D696E">
        <w:rPr>
          <w:szCs w:val="18"/>
          <w:u w:val="single"/>
          <w:lang w:val="ru-RU"/>
        </w:rPr>
        <w:t>/</w:t>
      </w:r>
      <w:proofErr w:type="spellStart"/>
      <w:r w:rsidRPr="006475B9">
        <w:rPr>
          <w:szCs w:val="18"/>
          <w:u w:val="single"/>
        </w:rPr>
        <w:t>agb</w:t>
      </w:r>
      <w:proofErr w:type="spellEnd"/>
      <w:r w:rsidRPr="005D696E">
        <w:rPr>
          <w:szCs w:val="18"/>
          <w:lang w:val="ru-RU"/>
        </w:rPr>
        <w:t xml:space="preserve">. </w:t>
      </w:r>
    </w:p>
  </w:footnote>
  <w:footnote w:id="23">
    <w:p w:rsidR="004C1D33" w:rsidRPr="00292DDF" w:rsidRDefault="004C1D33" w:rsidP="00192C16">
      <w:pPr>
        <w:pStyle w:val="FootnoteText"/>
        <w:rPr>
          <w:lang w:val="ru-RU"/>
        </w:rPr>
      </w:pPr>
      <w:r w:rsidRPr="006475B9">
        <w:rPr>
          <w:rStyle w:val="FootnoteReference"/>
        </w:rPr>
        <w:footnoteRef/>
      </w:r>
      <w:r w:rsidRPr="00292DDF">
        <w:rPr>
          <w:lang w:val="ru-RU"/>
        </w:rPr>
        <w:t xml:space="preserve"> </w:t>
      </w:r>
      <w:r w:rsidRPr="00292DDF">
        <w:rPr>
          <w:lang w:val="ru-RU"/>
        </w:rPr>
        <w:tab/>
      </w:r>
      <w:r>
        <w:rPr>
          <w:lang w:val="ru-RU"/>
        </w:rPr>
        <w:t>Новые делегированные</w:t>
      </w:r>
      <w:r w:rsidRPr="00292DDF">
        <w:rPr>
          <w:lang w:val="ru-RU"/>
        </w:rPr>
        <w:t xml:space="preserve"> </w:t>
      </w:r>
      <w:r>
        <w:rPr>
          <w:lang w:val="ru-RU"/>
        </w:rPr>
        <w:t>рДВУ</w:t>
      </w:r>
      <w:r w:rsidRPr="00292DDF">
        <w:rPr>
          <w:lang w:val="ru-RU"/>
        </w:rPr>
        <w:t xml:space="preserve"> </w:t>
      </w:r>
      <w:r>
        <w:rPr>
          <w:lang w:val="ru-RU"/>
        </w:rPr>
        <w:t xml:space="preserve">указаны по адресу: </w:t>
      </w:r>
      <w:r w:rsidRPr="00292DDF">
        <w:rPr>
          <w:lang w:val="ru-RU"/>
        </w:rPr>
        <w:t xml:space="preserve"> </w:t>
      </w:r>
      <w:r w:rsidRPr="00EC1C32">
        <w:rPr>
          <w:u w:val="single"/>
        </w:rPr>
        <w:t>http</w:t>
      </w:r>
      <w:r w:rsidRPr="00292DDF">
        <w:rPr>
          <w:u w:val="single"/>
          <w:lang w:val="ru-RU"/>
        </w:rPr>
        <w:t>://</w:t>
      </w:r>
      <w:proofErr w:type="spellStart"/>
      <w:r w:rsidRPr="00EC1C32">
        <w:rPr>
          <w:u w:val="single"/>
        </w:rPr>
        <w:t>newgtlds</w:t>
      </w:r>
      <w:proofErr w:type="spellEnd"/>
      <w:r w:rsidRPr="00292DDF">
        <w:rPr>
          <w:u w:val="single"/>
          <w:lang w:val="ru-RU"/>
        </w:rPr>
        <w:t>.</w:t>
      </w:r>
      <w:proofErr w:type="spellStart"/>
      <w:r w:rsidRPr="00EC1C32">
        <w:rPr>
          <w:u w:val="single"/>
        </w:rPr>
        <w:t>icann</w:t>
      </w:r>
      <w:proofErr w:type="spellEnd"/>
      <w:r w:rsidRPr="00292DDF">
        <w:rPr>
          <w:u w:val="single"/>
          <w:lang w:val="ru-RU"/>
        </w:rPr>
        <w:t>.</w:t>
      </w:r>
      <w:r w:rsidRPr="00EC1C32">
        <w:rPr>
          <w:u w:val="single"/>
        </w:rPr>
        <w:t>org</w:t>
      </w:r>
      <w:r w:rsidRPr="00292DDF">
        <w:rPr>
          <w:u w:val="single"/>
          <w:lang w:val="ru-RU"/>
        </w:rPr>
        <w:t>/</w:t>
      </w:r>
      <w:r w:rsidRPr="00EC1C32">
        <w:rPr>
          <w:u w:val="single"/>
        </w:rPr>
        <w:t>en</w:t>
      </w:r>
      <w:r w:rsidRPr="00292DDF">
        <w:rPr>
          <w:u w:val="single"/>
          <w:lang w:val="ru-RU"/>
        </w:rPr>
        <w:t>/</w:t>
      </w:r>
      <w:r w:rsidRPr="00EC1C32">
        <w:rPr>
          <w:u w:val="single"/>
        </w:rPr>
        <w:t>program</w:t>
      </w:r>
      <w:r w:rsidRPr="00292DDF">
        <w:rPr>
          <w:u w:val="single"/>
          <w:lang w:val="ru-RU"/>
        </w:rPr>
        <w:t>-</w:t>
      </w:r>
      <w:r w:rsidRPr="00EC1C32">
        <w:rPr>
          <w:u w:val="single"/>
        </w:rPr>
        <w:t>status</w:t>
      </w:r>
      <w:r w:rsidRPr="00292DDF">
        <w:rPr>
          <w:u w:val="single"/>
          <w:lang w:val="ru-RU"/>
        </w:rPr>
        <w:t>/</w:t>
      </w:r>
      <w:r w:rsidRPr="00EC1C32">
        <w:rPr>
          <w:u w:val="single"/>
        </w:rPr>
        <w:t>delegated</w:t>
      </w:r>
      <w:r w:rsidRPr="00292DDF">
        <w:rPr>
          <w:u w:val="single"/>
          <w:lang w:val="ru-RU"/>
        </w:rPr>
        <w:t>-</w:t>
      </w:r>
      <w:r w:rsidRPr="00EC1C32">
        <w:rPr>
          <w:u w:val="single"/>
        </w:rPr>
        <w:t>strings</w:t>
      </w:r>
      <w:r w:rsidRPr="00292DDF">
        <w:rPr>
          <w:lang w:val="ru-RU"/>
        </w:rPr>
        <w:t xml:space="preserve">.  </w:t>
      </w:r>
    </w:p>
  </w:footnote>
  <w:footnote w:id="24">
    <w:p w:rsidR="004C1D33" w:rsidRPr="009E1CC3" w:rsidRDefault="004C1D33" w:rsidP="00192C16">
      <w:pPr>
        <w:pStyle w:val="FootnoteText"/>
        <w:rPr>
          <w:szCs w:val="18"/>
          <w:lang w:val="ru-RU"/>
        </w:rPr>
      </w:pPr>
      <w:r w:rsidRPr="006475B9">
        <w:rPr>
          <w:rStyle w:val="FootnoteReference"/>
          <w:szCs w:val="18"/>
        </w:rPr>
        <w:footnoteRef/>
      </w:r>
      <w:r w:rsidRPr="009E1CC3">
        <w:rPr>
          <w:rStyle w:val="FootnoteReference"/>
          <w:lang w:val="ru-RU"/>
        </w:rPr>
        <w:t xml:space="preserve"> </w:t>
      </w:r>
      <w:r w:rsidRPr="009E1CC3">
        <w:rPr>
          <w:szCs w:val="18"/>
          <w:lang w:val="ru-RU"/>
        </w:rPr>
        <w:tab/>
      </w:r>
      <w:r>
        <w:rPr>
          <w:szCs w:val="18"/>
          <w:lang w:val="ru-RU"/>
        </w:rPr>
        <w:t>Дополнительная</w:t>
      </w:r>
      <w:r w:rsidRPr="009E1CC3">
        <w:rPr>
          <w:szCs w:val="18"/>
          <w:lang w:val="ru-RU"/>
        </w:rPr>
        <w:t xml:space="preserve"> </w:t>
      </w:r>
      <w:r>
        <w:rPr>
          <w:szCs w:val="18"/>
          <w:lang w:val="ru-RU"/>
        </w:rPr>
        <w:t>справочная</w:t>
      </w:r>
      <w:r w:rsidRPr="009E1CC3">
        <w:rPr>
          <w:szCs w:val="18"/>
          <w:lang w:val="ru-RU"/>
        </w:rPr>
        <w:t xml:space="preserve"> </w:t>
      </w:r>
      <w:r>
        <w:rPr>
          <w:szCs w:val="18"/>
          <w:lang w:val="ru-RU"/>
        </w:rPr>
        <w:t>информация</w:t>
      </w:r>
      <w:r w:rsidRPr="009E1CC3">
        <w:rPr>
          <w:szCs w:val="18"/>
          <w:lang w:val="ru-RU"/>
        </w:rPr>
        <w:t xml:space="preserve">, </w:t>
      </w:r>
      <w:r>
        <w:rPr>
          <w:szCs w:val="18"/>
          <w:lang w:val="ru-RU"/>
        </w:rPr>
        <w:t>включая</w:t>
      </w:r>
      <w:r w:rsidRPr="009E1CC3">
        <w:rPr>
          <w:szCs w:val="18"/>
          <w:lang w:val="ru-RU"/>
        </w:rPr>
        <w:t xml:space="preserve"> </w:t>
      </w:r>
      <w:r>
        <w:rPr>
          <w:szCs w:val="18"/>
          <w:lang w:val="ru-RU"/>
        </w:rPr>
        <w:t>ссылки</w:t>
      </w:r>
      <w:r w:rsidRPr="009E1CC3">
        <w:rPr>
          <w:szCs w:val="18"/>
          <w:lang w:val="ru-RU"/>
        </w:rPr>
        <w:t xml:space="preserve">, </w:t>
      </w:r>
      <w:r>
        <w:rPr>
          <w:szCs w:val="18"/>
          <w:lang w:val="ru-RU"/>
        </w:rPr>
        <w:t xml:space="preserve">содержится в документе </w:t>
      </w:r>
      <w:r w:rsidRPr="006475B9">
        <w:rPr>
          <w:szCs w:val="18"/>
        </w:rPr>
        <w:t>WO</w:t>
      </w:r>
      <w:r w:rsidRPr="009E1CC3">
        <w:rPr>
          <w:szCs w:val="18"/>
          <w:lang w:val="ru-RU"/>
        </w:rPr>
        <w:t>/</w:t>
      </w:r>
      <w:r w:rsidRPr="006475B9">
        <w:rPr>
          <w:szCs w:val="18"/>
        </w:rPr>
        <w:t>GA</w:t>
      </w:r>
      <w:r w:rsidRPr="009E1CC3">
        <w:rPr>
          <w:szCs w:val="18"/>
          <w:lang w:val="ru-RU"/>
        </w:rPr>
        <w:t xml:space="preserve">/39/10, </w:t>
      </w:r>
      <w:r>
        <w:rPr>
          <w:szCs w:val="18"/>
          <w:lang w:val="ru-RU"/>
        </w:rPr>
        <w:t>в</w:t>
      </w:r>
      <w:r w:rsidRPr="009E1CC3">
        <w:rPr>
          <w:szCs w:val="18"/>
          <w:lang w:val="ru-RU"/>
        </w:rPr>
        <w:t xml:space="preserve"> </w:t>
      </w:r>
      <w:r>
        <w:rPr>
          <w:szCs w:val="18"/>
          <w:lang w:val="ru-RU"/>
        </w:rPr>
        <w:t>частности в пунктах </w:t>
      </w:r>
      <w:r w:rsidRPr="009E1CC3">
        <w:rPr>
          <w:szCs w:val="18"/>
          <w:lang w:val="ru-RU"/>
        </w:rPr>
        <w:t>23</w:t>
      </w:r>
      <w:r>
        <w:rPr>
          <w:szCs w:val="18"/>
          <w:lang w:val="ru-RU"/>
        </w:rPr>
        <w:t>-</w:t>
      </w:r>
      <w:r w:rsidRPr="009E1CC3">
        <w:rPr>
          <w:szCs w:val="18"/>
          <w:lang w:val="ru-RU"/>
        </w:rPr>
        <w:t xml:space="preserve">30.  Следует </w:t>
      </w:r>
      <w:r>
        <w:rPr>
          <w:szCs w:val="18"/>
          <w:lang w:val="ru-RU"/>
        </w:rPr>
        <w:t>также</w:t>
      </w:r>
      <w:r w:rsidRPr="009E1CC3">
        <w:rPr>
          <w:szCs w:val="18"/>
          <w:lang w:val="ru-RU"/>
        </w:rPr>
        <w:t xml:space="preserve"> отметить, что </w:t>
      </w:r>
      <w:r>
        <w:rPr>
          <w:szCs w:val="18"/>
        </w:rPr>
        <w:t>ICANN</w:t>
      </w:r>
      <w:r w:rsidRPr="009E1CC3">
        <w:rPr>
          <w:szCs w:val="18"/>
          <w:lang w:val="ru-RU"/>
        </w:rPr>
        <w:t xml:space="preserve"> произвольно отклонила предложение </w:t>
      </w:r>
      <w:r>
        <w:rPr>
          <w:szCs w:val="18"/>
          <w:lang w:val="ru-RU"/>
        </w:rPr>
        <w:t>о</w:t>
      </w:r>
      <w:r w:rsidRPr="009E1CC3">
        <w:rPr>
          <w:szCs w:val="18"/>
          <w:lang w:val="ru-RU"/>
        </w:rPr>
        <w:t xml:space="preserve"> подготовк</w:t>
      </w:r>
      <w:r>
        <w:rPr>
          <w:szCs w:val="18"/>
          <w:lang w:val="ru-RU"/>
        </w:rPr>
        <w:t>е</w:t>
      </w:r>
      <w:r w:rsidRPr="009E1CC3">
        <w:rPr>
          <w:szCs w:val="18"/>
          <w:lang w:val="ru-RU"/>
        </w:rPr>
        <w:t xml:space="preserve"> «Перечня знаков, пользующихся глобальной охраной».</w:t>
      </w:r>
    </w:p>
  </w:footnote>
  <w:footnote w:id="25">
    <w:p w:rsidR="004C1D33" w:rsidRPr="00404FD5" w:rsidRDefault="004C1D33" w:rsidP="00F23C61">
      <w:pPr>
        <w:pStyle w:val="FootnoteText"/>
        <w:rPr>
          <w:szCs w:val="18"/>
          <w:lang w:val="ru-RU"/>
        </w:rPr>
      </w:pPr>
      <w:r w:rsidRPr="006475B9">
        <w:rPr>
          <w:rStyle w:val="FootnoteReference"/>
          <w:szCs w:val="18"/>
        </w:rPr>
        <w:footnoteRef/>
      </w:r>
      <w:r w:rsidRPr="00327995">
        <w:rPr>
          <w:rStyle w:val="FootnoteReference"/>
          <w:lang w:val="ru-RU"/>
        </w:rPr>
        <w:t xml:space="preserve"> </w:t>
      </w:r>
      <w:r>
        <w:rPr>
          <w:lang w:val="ru-RU"/>
        </w:rPr>
        <w:tab/>
        <w:t>Д</w:t>
      </w:r>
      <w:r w:rsidRPr="00327995">
        <w:rPr>
          <w:szCs w:val="22"/>
          <w:lang w:val="ru-RU"/>
        </w:rPr>
        <w:t xml:space="preserve">ругими основаниями для подачи возражений, признаваемыми ИКАНН, являются: «возражения на основании путаницы в доменной строке», «возражения на основании требований сообщества» и «возражения на основании ущемления интересов общества».  </w:t>
      </w:r>
      <w:r>
        <w:rPr>
          <w:szCs w:val="22"/>
          <w:lang w:val="ru-RU"/>
        </w:rPr>
        <w:t>«</w:t>
      </w:r>
      <w:r w:rsidRPr="00404FD5">
        <w:rPr>
          <w:szCs w:val="18"/>
          <w:lang w:val="ru-RU"/>
        </w:rPr>
        <w:t>Руководство для заявителя</w:t>
      </w:r>
      <w:r>
        <w:rPr>
          <w:szCs w:val="18"/>
          <w:lang w:val="ru-RU"/>
        </w:rPr>
        <w:t>»</w:t>
      </w:r>
      <w:r w:rsidRPr="00404FD5">
        <w:rPr>
          <w:szCs w:val="18"/>
          <w:lang w:val="ru-RU"/>
        </w:rPr>
        <w:t xml:space="preserve"> предусматривает также ряд других процедур, которыми могут воспользоваться правительства после того, как </w:t>
      </w:r>
      <w:r>
        <w:rPr>
          <w:szCs w:val="18"/>
        </w:rPr>
        <w:t>ICANN</w:t>
      </w:r>
      <w:r w:rsidRPr="00404FD5">
        <w:rPr>
          <w:szCs w:val="18"/>
          <w:lang w:val="ru-RU"/>
        </w:rPr>
        <w:t xml:space="preserve"> объявляет о подаче заявок </w:t>
      </w:r>
      <w:r w:rsidRPr="00404FD5">
        <w:rPr>
          <w:szCs w:val="18"/>
          <w:lang w:val="ru-RU"/>
        </w:rPr>
        <w:t>на регистрацию новых рДВУ.  В частности, раздел</w:t>
      </w:r>
      <w:r>
        <w:rPr>
          <w:szCs w:val="18"/>
        </w:rPr>
        <w:t> </w:t>
      </w:r>
      <w:r w:rsidRPr="00404FD5">
        <w:rPr>
          <w:szCs w:val="18"/>
          <w:lang w:val="ru-RU"/>
        </w:rPr>
        <w:t xml:space="preserve">1.1.2.4 посвящен </w:t>
      </w:r>
      <w:r>
        <w:rPr>
          <w:szCs w:val="18"/>
          <w:lang w:val="ru-RU"/>
        </w:rPr>
        <w:t>р</w:t>
      </w:r>
      <w:r w:rsidRPr="00404FD5">
        <w:rPr>
          <w:szCs w:val="18"/>
          <w:lang w:val="ru-RU"/>
        </w:rPr>
        <w:t xml:space="preserve">аннему предупреждению ПКК, а раздел 1.1.2.7 касается </w:t>
      </w:r>
      <w:r>
        <w:rPr>
          <w:szCs w:val="18"/>
          <w:lang w:val="ru-RU"/>
        </w:rPr>
        <w:t>п</w:t>
      </w:r>
      <w:r w:rsidRPr="00404FD5">
        <w:rPr>
          <w:szCs w:val="18"/>
          <w:lang w:val="ru-RU"/>
        </w:rPr>
        <w:t>олучения консультаций ПКК в отношении новых рДВУ для рассмотрени</w:t>
      </w:r>
      <w:r>
        <w:rPr>
          <w:szCs w:val="18"/>
          <w:lang w:val="ru-RU"/>
        </w:rPr>
        <w:t>я</w:t>
      </w:r>
      <w:r w:rsidRPr="00404FD5">
        <w:rPr>
          <w:szCs w:val="18"/>
          <w:lang w:val="ru-RU"/>
        </w:rPr>
        <w:t xml:space="preserve"> Советом </w:t>
      </w:r>
      <w:r>
        <w:rPr>
          <w:szCs w:val="18"/>
        </w:rPr>
        <w:t>ICANN</w:t>
      </w:r>
      <w:r w:rsidRPr="00404FD5">
        <w:rPr>
          <w:szCs w:val="18"/>
          <w:lang w:val="ru-RU"/>
        </w:rPr>
        <w:t>.</w:t>
      </w:r>
    </w:p>
  </w:footnote>
  <w:footnote w:id="26">
    <w:p w:rsidR="004C1D33" w:rsidRPr="007C4CBC" w:rsidRDefault="004C1D33" w:rsidP="00192C16">
      <w:pPr>
        <w:pStyle w:val="FootnoteText"/>
        <w:rPr>
          <w:szCs w:val="18"/>
          <w:lang w:val="ru-RU"/>
        </w:rPr>
      </w:pPr>
      <w:r w:rsidRPr="006475B9">
        <w:rPr>
          <w:rStyle w:val="FootnoteReference"/>
          <w:szCs w:val="18"/>
        </w:rPr>
        <w:footnoteRef/>
      </w:r>
      <w:r w:rsidRPr="007C4CBC">
        <w:rPr>
          <w:rStyle w:val="FootnoteReference"/>
          <w:lang w:val="ru-RU"/>
        </w:rPr>
        <w:t xml:space="preserve"> </w:t>
      </w:r>
      <w:r w:rsidRPr="007C4CBC">
        <w:rPr>
          <w:szCs w:val="18"/>
          <w:lang w:val="ru-RU"/>
        </w:rPr>
        <w:tab/>
      </w:r>
      <w:r>
        <w:rPr>
          <w:szCs w:val="18"/>
          <w:lang w:val="ru-RU"/>
        </w:rPr>
        <w:t>См.</w:t>
      </w:r>
      <w:r w:rsidRPr="007C4CBC">
        <w:rPr>
          <w:szCs w:val="18"/>
          <w:lang w:val="ru-RU"/>
        </w:rPr>
        <w:t xml:space="preserve"> </w:t>
      </w:r>
      <w:r w:rsidRPr="006475B9">
        <w:rPr>
          <w:szCs w:val="18"/>
          <w:u w:val="single"/>
        </w:rPr>
        <w:t>http</w:t>
      </w:r>
      <w:r w:rsidRPr="007C4CBC">
        <w:rPr>
          <w:szCs w:val="18"/>
          <w:u w:val="single"/>
          <w:lang w:val="ru-RU"/>
        </w:rPr>
        <w:t>://</w:t>
      </w:r>
      <w:r w:rsidRPr="006475B9">
        <w:rPr>
          <w:szCs w:val="18"/>
          <w:u w:val="single"/>
        </w:rPr>
        <w:t>www</w:t>
      </w:r>
      <w:r w:rsidRPr="007C4CBC">
        <w:rPr>
          <w:szCs w:val="18"/>
          <w:u w:val="single"/>
          <w:lang w:val="ru-RU"/>
        </w:rPr>
        <w:t>.</w:t>
      </w:r>
      <w:proofErr w:type="spellStart"/>
      <w:r w:rsidRPr="006475B9">
        <w:rPr>
          <w:szCs w:val="18"/>
          <w:u w:val="single"/>
        </w:rPr>
        <w:t>wipo</w:t>
      </w:r>
      <w:proofErr w:type="spellEnd"/>
      <w:r w:rsidRPr="007C4CBC">
        <w:rPr>
          <w:szCs w:val="18"/>
          <w:u w:val="single"/>
          <w:lang w:val="ru-RU"/>
        </w:rPr>
        <w:t>.</w:t>
      </w:r>
      <w:proofErr w:type="spellStart"/>
      <w:r w:rsidRPr="006475B9">
        <w:rPr>
          <w:szCs w:val="18"/>
          <w:u w:val="single"/>
        </w:rPr>
        <w:t>int</w:t>
      </w:r>
      <w:proofErr w:type="spellEnd"/>
      <w:r w:rsidRPr="007C4CBC">
        <w:rPr>
          <w:szCs w:val="18"/>
          <w:u w:val="single"/>
          <w:lang w:val="ru-RU"/>
        </w:rPr>
        <w:t>/</w:t>
      </w:r>
      <w:r w:rsidRPr="006475B9">
        <w:rPr>
          <w:szCs w:val="18"/>
          <w:u w:val="single"/>
        </w:rPr>
        <w:t>about</w:t>
      </w:r>
      <w:r w:rsidRPr="007C4CBC">
        <w:rPr>
          <w:szCs w:val="18"/>
          <w:u w:val="single"/>
          <w:lang w:val="ru-RU"/>
        </w:rPr>
        <w:t>-</w:t>
      </w:r>
      <w:proofErr w:type="spellStart"/>
      <w:r w:rsidRPr="006475B9">
        <w:rPr>
          <w:szCs w:val="18"/>
          <w:u w:val="single"/>
        </w:rPr>
        <w:t>ip</w:t>
      </w:r>
      <w:proofErr w:type="spellEnd"/>
      <w:r w:rsidRPr="007C4CBC">
        <w:rPr>
          <w:szCs w:val="18"/>
          <w:u w:val="single"/>
          <w:lang w:val="ru-RU"/>
        </w:rPr>
        <w:t>/</w:t>
      </w:r>
      <w:r w:rsidRPr="006475B9">
        <w:rPr>
          <w:szCs w:val="18"/>
          <w:u w:val="single"/>
        </w:rPr>
        <w:t>en</w:t>
      </w:r>
      <w:r w:rsidRPr="007C4CBC">
        <w:rPr>
          <w:szCs w:val="18"/>
          <w:u w:val="single"/>
          <w:lang w:val="ru-RU"/>
        </w:rPr>
        <w:t>/</w:t>
      </w:r>
      <w:r w:rsidRPr="006475B9">
        <w:rPr>
          <w:szCs w:val="18"/>
          <w:u w:val="single"/>
        </w:rPr>
        <w:t>development</w:t>
      </w:r>
      <w:r w:rsidRPr="007C4CBC">
        <w:rPr>
          <w:szCs w:val="18"/>
          <w:u w:val="single"/>
          <w:lang w:val="ru-RU"/>
        </w:rPr>
        <w:t>_</w:t>
      </w:r>
      <w:proofErr w:type="spellStart"/>
      <w:r w:rsidRPr="006475B9">
        <w:rPr>
          <w:szCs w:val="18"/>
          <w:u w:val="single"/>
        </w:rPr>
        <w:t>iplaw</w:t>
      </w:r>
      <w:proofErr w:type="spellEnd"/>
      <w:r w:rsidRPr="007C4CBC">
        <w:rPr>
          <w:szCs w:val="18"/>
          <w:u w:val="single"/>
          <w:lang w:val="ru-RU"/>
        </w:rPr>
        <w:t>/</w:t>
      </w:r>
      <w:r w:rsidRPr="006475B9">
        <w:rPr>
          <w:szCs w:val="18"/>
          <w:u w:val="single"/>
        </w:rPr>
        <w:t>pub</w:t>
      </w:r>
      <w:r w:rsidRPr="007C4CBC">
        <w:rPr>
          <w:szCs w:val="18"/>
          <w:u w:val="single"/>
          <w:lang w:val="ru-RU"/>
        </w:rPr>
        <w:t>845-</w:t>
      </w:r>
      <w:proofErr w:type="spellStart"/>
      <w:r w:rsidRPr="006475B9">
        <w:rPr>
          <w:szCs w:val="18"/>
          <w:u w:val="single"/>
        </w:rPr>
        <w:t>toc</w:t>
      </w:r>
      <w:proofErr w:type="spellEnd"/>
      <w:r w:rsidRPr="007C4CBC">
        <w:rPr>
          <w:szCs w:val="18"/>
          <w:u w:val="single"/>
          <w:lang w:val="ru-RU"/>
        </w:rPr>
        <w:t>.</w:t>
      </w:r>
      <w:proofErr w:type="spellStart"/>
      <w:r w:rsidRPr="006475B9">
        <w:rPr>
          <w:szCs w:val="18"/>
          <w:u w:val="single"/>
        </w:rPr>
        <w:t>htm</w:t>
      </w:r>
      <w:proofErr w:type="spellEnd"/>
      <w:r w:rsidRPr="007C4CBC">
        <w:rPr>
          <w:szCs w:val="18"/>
          <w:lang w:val="ru-RU"/>
        </w:rPr>
        <w:t>.</w:t>
      </w:r>
    </w:p>
  </w:footnote>
  <w:footnote w:id="27">
    <w:p w:rsidR="004C1D33" w:rsidRPr="007C4CBC" w:rsidRDefault="004C1D33" w:rsidP="00192C16">
      <w:pPr>
        <w:pStyle w:val="FootnoteText"/>
        <w:rPr>
          <w:szCs w:val="18"/>
          <w:lang w:val="ru-RU"/>
        </w:rPr>
      </w:pPr>
      <w:r w:rsidRPr="006475B9">
        <w:rPr>
          <w:rStyle w:val="FootnoteReference"/>
        </w:rPr>
        <w:footnoteRef/>
      </w:r>
      <w:r w:rsidRPr="007C4CBC">
        <w:rPr>
          <w:lang w:val="ru-RU"/>
        </w:rPr>
        <w:t xml:space="preserve"> </w:t>
      </w:r>
      <w:r w:rsidRPr="007C4CBC">
        <w:rPr>
          <w:lang w:val="ru-RU"/>
        </w:rPr>
        <w:tab/>
      </w:r>
      <w:r>
        <w:rPr>
          <w:lang w:val="ru-RU"/>
        </w:rPr>
        <w:t>См</w:t>
      </w:r>
      <w:r w:rsidRPr="007C4CBC">
        <w:rPr>
          <w:lang w:val="ru-RU"/>
        </w:rPr>
        <w:t xml:space="preserve">. </w:t>
      </w:r>
      <w:r>
        <w:rPr>
          <w:lang w:val="ru-RU"/>
        </w:rPr>
        <w:t>раздел</w:t>
      </w:r>
      <w:r w:rsidRPr="007C4CBC">
        <w:t> </w:t>
      </w:r>
      <w:r w:rsidRPr="007C4CBC">
        <w:rPr>
          <w:szCs w:val="18"/>
          <w:lang w:val="ru-RU"/>
        </w:rPr>
        <w:t>3.2 «</w:t>
      </w:r>
      <w:r>
        <w:rPr>
          <w:szCs w:val="18"/>
          <w:lang w:val="ru-RU"/>
        </w:rPr>
        <w:t>Руководства</w:t>
      </w:r>
      <w:r w:rsidRPr="007C4CBC">
        <w:rPr>
          <w:szCs w:val="18"/>
          <w:lang w:val="ru-RU"/>
        </w:rPr>
        <w:t xml:space="preserve"> </w:t>
      </w:r>
      <w:r>
        <w:rPr>
          <w:szCs w:val="18"/>
        </w:rPr>
        <w:t>ICANN</w:t>
      </w:r>
      <w:r w:rsidRPr="007C4CBC">
        <w:rPr>
          <w:szCs w:val="18"/>
          <w:lang w:val="ru-RU"/>
        </w:rPr>
        <w:t xml:space="preserve"> </w:t>
      </w:r>
      <w:r>
        <w:rPr>
          <w:szCs w:val="18"/>
          <w:lang w:val="ru-RU"/>
        </w:rPr>
        <w:t xml:space="preserve">для заявителя» по адресу: </w:t>
      </w:r>
      <w:r w:rsidRPr="007C4CBC">
        <w:rPr>
          <w:szCs w:val="18"/>
          <w:lang w:val="ru-RU"/>
        </w:rPr>
        <w:t xml:space="preserve"> </w:t>
      </w:r>
      <w:hyperlink r:id="rId1" w:history="1">
        <w:r w:rsidRPr="00760679">
          <w:rPr>
            <w:szCs w:val="18"/>
            <w:u w:val="single"/>
          </w:rPr>
          <w:t>http</w:t>
        </w:r>
        <w:r w:rsidRPr="007C4CBC">
          <w:rPr>
            <w:szCs w:val="18"/>
            <w:u w:val="single"/>
            <w:lang w:val="ru-RU"/>
          </w:rPr>
          <w:t>://</w:t>
        </w:r>
        <w:proofErr w:type="spellStart"/>
        <w:r w:rsidRPr="00760679">
          <w:rPr>
            <w:szCs w:val="18"/>
            <w:u w:val="single"/>
          </w:rPr>
          <w:t>newgtlds</w:t>
        </w:r>
        <w:proofErr w:type="spellEnd"/>
        <w:r w:rsidRPr="007C4CBC">
          <w:rPr>
            <w:szCs w:val="18"/>
            <w:u w:val="single"/>
            <w:lang w:val="ru-RU"/>
          </w:rPr>
          <w:t>.</w:t>
        </w:r>
        <w:proofErr w:type="spellStart"/>
        <w:r w:rsidRPr="00760679">
          <w:rPr>
            <w:szCs w:val="18"/>
            <w:u w:val="single"/>
          </w:rPr>
          <w:t>icann</w:t>
        </w:r>
        <w:proofErr w:type="spellEnd"/>
        <w:r w:rsidRPr="007C4CBC">
          <w:rPr>
            <w:szCs w:val="18"/>
            <w:u w:val="single"/>
            <w:lang w:val="ru-RU"/>
          </w:rPr>
          <w:t>.</w:t>
        </w:r>
        <w:r w:rsidRPr="00760679">
          <w:rPr>
            <w:szCs w:val="18"/>
            <w:u w:val="single"/>
          </w:rPr>
          <w:t>org</w:t>
        </w:r>
        <w:r w:rsidRPr="007C4CBC">
          <w:rPr>
            <w:szCs w:val="18"/>
            <w:u w:val="single"/>
            <w:lang w:val="ru-RU"/>
          </w:rPr>
          <w:t>/</w:t>
        </w:r>
        <w:r w:rsidRPr="00760679">
          <w:rPr>
            <w:szCs w:val="18"/>
            <w:u w:val="single"/>
          </w:rPr>
          <w:t>en</w:t>
        </w:r>
        <w:r w:rsidRPr="007C4CBC">
          <w:rPr>
            <w:szCs w:val="18"/>
            <w:u w:val="single"/>
            <w:lang w:val="ru-RU"/>
          </w:rPr>
          <w:t>/</w:t>
        </w:r>
        <w:r w:rsidRPr="00760679">
          <w:rPr>
            <w:szCs w:val="18"/>
            <w:u w:val="single"/>
          </w:rPr>
          <w:t>applicants</w:t>
        </w:r>
        <w:r w:rsidRPr="007C4CBC">
          <w:rPr>
            <w:szCs w:val="18"/>
            <w:u w:val="single"/>
            <w:lang w:val="ru-RU"/>
          </w:rPr>
          <w:t>/</w:t>
        </w:r>
        <w:proofErr w:type="spellStart"/>
        <w:r w:rsidRPr="00760679">
          <w:rPr>
            <w:szCs w:val="18"/>
            <w:u w:val="single"/>
          </w:rPr>
          <w:t>agb</w:t>
        </w:r>
        <w:proofErr w:type="spellEnd"/>
        <w:r w:rsidRPr="007C4CBC">
          <w:rPr>
            <w:szCs w:val="18"/>
            <w:u w:val="single"/>
            <w:lang w:val="ru-RU"/>
          </w:rPr>
          <w:t>/</w:t>
        </w:r>
        <w:r w:rsidRPr="00760679">
          <w:rPr>
            <w:szCs w:val="18"/>
            <w:u w:val="single"/>
          </w:rPr>
          <w:t>objection</w:t>
        </w:r>
        <w:r w:rsidRPr="007C4CBC">
          <w:rPr>
            <w:szCs w:val="18"/>
            <w:u w:val="single"/>
            <w:lang w:val="ru-RU"/>
          </w:rPr>
          <w:t>-</w:t>
        </w:r>
        <w:r w:rsidRPr="00760679">
          <w:rPr>
            <w:szCs w:val="18"/>
            <w:u w:val="single"/>
          </w:rPr>
          <w:t>procedures</w:t>
        </w:r>
        <w:r w:rsidRPr="007C4CBC">
          <w:rPr>
            <w:szCs w:val="18"/>
            <w:u w:val="single"/>
            <w:lang w:val="ru-RU"/>
          </w:rPr>
          <w:t>-04</w:t>
        </w:r>
        <w:proofErr w:type="spellStart"/>
        <w:r w:rsidRPr="00760679">
          <w:rPr>
            <w:szCs w:val="18"/>
            <w:u w:val="single"/>
          </w:rPr>
          <w:t>jun</w:t>
        </w:r>
        <w:proofErr w:type="spellEnd"/>
        <w:r w:rsidRPr="007C4CBC">
          <w:rPr>
            <w:szCs w:val="18"/>
            <w:u w:val="single"/>
            <w:lang w:val="ru-RU"/>
          </w:rPr>
          <w:t>12-</w:t>
        </w:r>
        <w:r w:rsidRPr="00760679">
          <w:rPr>
            <w:szCs w:val="18"/>
            <w:u w:val="single"/>
          </w:rPr>
          <w:t>en</w:t>
        </w:r>
        <w:r w:rsidRPr="007C4CBC">
          <w:rPr>
            <w:szCs w:val="18"/>
            <w:u w:val="single"/>
            <w:lang w:val="ru-RU"/>
          </w:rPr>
          <w:t>.</w:t>
        </w:r>
        <w:r w:rsidRPr="00760679">
          <w:rPr>
            <w:szCs w:val="18"/>
            <w:u w:val="single"/>
          </w:rPr>
          <w:t>pdf</w:t>
        </w:r>
      </w:hyperlink>
      <w:r w:rsidRPr="007C4CBC">
        <w:rPr>
          <w:szCs w:val="18"/>
          <w:lang w:val="ru-RU"/>
        </w:rPr>
        <w:t>.</w:t>
      </w:r>
    </w:p>
  </w:footnote>
  <w:footnote w:id="28">
    <w:p w:rsidR="004C1D33" w:rsidRPr="007C4CBC" w:rsidRDefault="004C1D33" w:rsidP="00192C16">
      <w:pPr>
        <w:pStyle w:val="FootnoteText"/>
        <w:rPr>
          <w:szCs w:val="18"/>
          <w:lang w:val="ru-RU"/>
        </w:rPr>
      </w:pPr>
      <w:r w:rsidRPr="006475B9">
        <w:rPr>
          <w:rStyle w:val="FootnoteReference"/>
        </w:rPr>
        <w:footnoteRef/>
      </w:r>
      <w:r w:rsidRPr="007C4CBC">
        <w:rPr>
          <w:lang w:val="ru-RU"/>
        </w:rPr>
        <w:t xml:space="preserve"> </w:t>
      </w:r>
      <w:r w:rsidRPr="007C4CBC">
        <w:rPr>
          <w:lang w:val="ru-RU"/>
        </w:rPr>
        <w:tab/>
      </w:r>
      <w:r>
        <w:rPr>
          <w:lang w:val="ru-RU"/>
        </w:rPr>
        <w:t>См</w:t>
      </w:r>
      <w:r w:rsidRPr="007C4CBC">
        <w:rPr>
          <w:lang w:val="ru-RU"/>
        </w:rPr>
        <w:t xml:space="preserve">. </w:t>
      </w:r>
      <w:r w:rsidRPr="007C4CBC">
        <w:rPr>
          <w:szCs w:val="18"/>
          <w:lang w:val="ru-RU"/>
        </w:rPr>
        <w:t>Правила ВОИС по урегулированию споров, касающихся новых рДВУ, и Перечень пошлин и сборов, соответственно, по адрес</w:t>
      </w:r>
      <w:r>
        <w:rPr>
          <w:szCs w:val="18"/>
          <w:lang w:val="ru-RU"/>
        </w:rPr>
        <w:t>у:</w:t>
      </w:r>
      <w:r w:rsidRPr="007C4CBC">
        <w:rPr>
          <w:szCs w:val="18"/>
          <w:u w:val="single"/>
          <w:lang w:val="ru-RU"/>
        </w:rPr>
        <w:t xml:space="preserve"> </w:t>
      </w:r>
      <w:r>
        <w:rPr>
          <w:szCs w:val="18"/>
          <w:u w:val="single"/>
          <w:lang w:val="ru-RU"/>
        </w:rPr>
        <w:t xml:space="preserve"> </w:t>
      </w:r>
      <w:r w:rsidRPr="006475B9">
        <w:rPr>
          <w:szCs w:val="18"/>
          <w:u w:val="single"/>
        </w:rPr>
        <w:t>http</w:t>
      </w:r>
      <w:r w:rsidRPr="007C4CBC">
        <w:rPr>
          <w:szCs w:val="18"/>
          <w:u w:val="single"/>
          <w:lang w:val="ru-RU"/>
        </w:rPr>
        <w:t>://</w:t>
      </w:r>
      <w:r w:rsidRPr="006475B9">
        <w:rPr>
          <w:szCs w:val="18"/>
          <w:u w:val="single"/>
        </w:rPr>
        <w:t>www</w:t>
      </w:r>
      <w:r w:rsidRPr="007C4CBC">
        <w:rPr>
          <w:szCs w:val="18"/>
          <w:u w:val="single"/>
          <w:lang w:val="ru-RU"/>
        </w:rPr>
        <w:t>.</w:t>
      </w:r>
      <w:proofErr w:type="spellStart"/>
      <w:r w:rsidRPr="006475B9">
        <w:rPr>
          <w:szCs w:val="18"/>
          <w:u w:val="single"/>
        </w:rPr>
        <w:t>wipo</w:t>
      </w:r>
      <w:proofErr w:type="spellEnd"/>
      <w:r w:rsidRPr="007C4CBC">
        <w:rPr>
          <w:szCs w:val="18"/>
          <w:u w:val="single"/>
          <w:lang w:val="ru-RU"/>
        </w:rPr>
        <w:t>.</w:t>
      </w:r>
      <w:proofErr w:type="spellStart"/>
      <w:r w:rsidRPr="006475B9">
        <w:rPr>
          <w:szCs w:val="18"/>
          <w:u w:val="single"/>
        </w:rPr>
        <w:t>int</w:t>
      </w:r>
      <w:proofErr w:type="spellEnd"/>
      <w:r w:rsidRPr="007C4CBC">
        <w:rPr>
          <w:szCs w:val="18"/>
          <w:u w:val="single"/>
          <w:lang w:val="ru-RU"/>
        </w:rPr>
        <w:t>/</w:t>
      </w:r>
      <w:proofErr w:type="spellStart"/>
      <w:r w:rsidRPr="006475B9">
        <w:rPr>
          <w:szCs w:val="18"/>
          <w:u w:val="single"/>
        </w:rPr>
        <w:t>amc</w:t>
      </w:r>
      <w:proofErr w:type="spellEnd"/>
      <w:r w:rsidRPr="007C4CBC">
        <w:rPr>
          <w:szCs w:val="18"/>
          <w:u w:val="single"/>
          <w:lang w:val="ru-RU"/>
        </w:rPr>
        <w:t>/</w:t>
      </w:r>
      <w:r w:rsidRPr="006475B9">
        <w:rPr>
          <w:szCs w:val="18"/>
          <w:u w:val="single"/>
        </w:rPr>
        <w:t>en</w:t>
      </w:r>
      <w:r w:rsidRPr="007C4CBC">
        <w:rPr>
          <w:szCs w:val="18"/>
          <w:u w:val="single"/>
          <w:lang w:val="ru-RU"/>
        </w:rPr>
        <w:t>/</w:t>
      </w:r>
      <w:r w:rsidRPr="006475B9">
        <w:rPr>
          <w:szCs w:val="18"/>
          <w:u w:val="single"/>
        </w:rPr>
        <w:t>docs</w:t>
      </w:r>
      <w:r w:rsidRPr="007C4CBC">
        <w:rPr>
          <w:szCs w:val="18"/>
          <w:u w:val="single"/>
          <w:lang w:val="ru-RU"/>
        </w:rPr>
        <w:t>/</w:t>
      </w:r>
      <w:proofErr w:type="spellStart"/>
      <w:r w:rsidRPr="006475B9">
        <w:rPr>
          <w:szCs w:val="18"/>
          <w:u w:val="single"/>
        </w:rPr>
        <w:t>wipolrorules</w:t>
      </w:r>
      <w:proofErr w:type="spellEnd"/>
      <w:r w:rsidRPr="007C4CBC">
        <w:rPr>
          <w:szCs w:val="18"/>
          <w:u w:val="single"/>
          <w:lang w:val="ru-RU"/>
        </w:rPr>
        <w:t>.</w:t>
      </w:r>
      <w:r w:rsidRPr="006475B9">
        <w:rPr>
          <w:szCs w:val="18"/>
          <w:u w:val="single"/>
        </w:rPr>
        <w:t>pdf</w:t>
      </w:r>
      <w:r w:rsidRPr="007C4CBC">
        <w:rPr>
          <w:szCs w:val="18"/>
          <w:lang w:val="ru-RU"/>
        </w:rPr>
        <w:t xml:space="preserve"> </w:t>
      </w:r>
      <w:r>
        <w:rPr>
          <w:szCs w:val="18"/>
          <w:lang w:val="ru-RU"/>
        </w:rPr>
        <w:t>и</w:t>
      </w:r>
      <w:r w:rsidRPr="007C4CBC">
        <w:rPr>
          <w:szCs w:val="18"/>
          <w:lang w:val="ru-RU"/>
        </w:rPr>
        <w:t xml:space="preserve"> </w:t>
      </w:r>
      <w:hyperlink r:id="rId2" w:history="1">
        <w:r w:rsidRPr="006475B9">
          <w:rPr>
            <w:szCs w:val="18"/>
            <w:u w:val="single"/>
          </w:rPr>
          <w:t>http</w:t>
        </w:r>
        <w:r w:rsidRPr="007C4CBC">
          <w:rPr>
            <w:szCs w:val="18"/>
            <w:u w:val="single"/>
            <w:lang w:val="ru-RU"/>
          </w:rPr>
          <w:t>://</w:t>
        </w:r>
        <w:r w:rsidRPr="006475B9">
          <w:rPr>
            <w:szCs w:val="18"/>
            <w:u w:val="single"/>
          </w:rPr>
          <w:t>www</w:t>
        </w:r>
        <w:r w:rsidRPr="007C4CBC">
          <w:rPr>
            <w:szCs w:val="18"/>
            <w:u w:val="single"/>
            <w:lang w:val="ru-RU"/>
          </w:rPr>
          <w:t>.</w:t>
        </w:r>
        <w:r w:rsidRPr="006475B9">
          <w:rPr>
            <w:szCs w:val="18"/>
            <w:u w:val="single"/>
          </w:rPr>
          <w:t>wipo</w:t>
        </w:r>
        <w:r w:rsidRPr="007C4CBC">
          <w:rPr>
            <w:szCs w:val="18"/>
            <w:u w:val="single"/>
            <w:lang w:val="ru-RU"/>
          </w:rPr>
          <w:t>.</w:t>
        </w:r>
        <w:r w:rsidRPr="006475B9">
          <w:rPr>
            <w:szCs w:val="18"/>
            <w:u w:val="single"/>
          </w:rPr>
          <w:t>int</w:t>
        </w:r>
        <w:r w:rsidRPr="007C4CBC">
          <w:rPr>
            <w:szCs w:val="18"/>
            <w:u w:val="single"/>
            <w:lang w:val="ru-RU"/>
          </w:rPr>
          <w:t>/</w:t>
        </w:r>
        <w:r w:rsidRPr="006475B9">
          <w:rPr>
            <w:szCs w:val="18"/>
            <w:u w:val="single"/>
          </w:rPr>
          <w:t>amc</w:t>
        </w:r>
        <w:r w:rsidRPr="007C4CBC">
          <w:rPr>
            <w:szCs w:val="18"/>
            <w:u w:val="single"/>
            <w:lang w:val="ru-RU"/>
          </w:rPr>
          <w:t>/</w:t>
        </w:r>
        <w:r w:rsidRPr="006475B9">
          <w:rPr>
            <w:szCs w:val="18"/>
            <w:u w:val="single"/>
          </w:rPr>
          <w:t>en</w:t>
        </w:r>
        <w:r w:rsidRPr="007C4CBC">
          <w:rPr>
            <w:szCs w:val="18"/>
            <w:u w:val="single"/>
            <w:lang w:val="ru-RU"/>
          </w:rPr>
          <w:t>/</w:t>
        </w:r>
        <w:r w:rsidRPr="006475B9">
          <w:rPr>
            <w:szCs w:val="18"/>
            <w:u w:val="single"/>
          </w:rPr>
          <w:t>domains</w:t>
        </w:r>
        <w:r w:rsidRPr="007C4CBC">
          <w:rPr>
            <w:szCs w:val="18"/>
            <w:u w:val="single"/>
            <w:lang w:val="ru-RU"/>
          </w:rPr>
          <w:t>/</w:t>
        </w:r>
        <w:r w:rsidRPr="006475B9">
          <w:rPr>
            <w:szCs w:val="18"/>
            <w:u w:val="single"/>
          </w:rPr>
          <w:t>lro</w:t>
        </w:r>
        <w:r w:rsidRPr="007C4CBC">
          <w:rPr>
            <w:szCs w:val="18"/>
            <w:u w:val="single"/>
            <w:lang w:val="ru-RU"/>
          </w:rPr>
          <w:t>/</w:t>
        </w:r>
        <w:r w:rsidRPr="006475B9">
          <w:rPr>
            <w:szCs w:val="18"/>
            <w:u w:val="single"/>
          </w:rPr>
          <w:t>fees</w:t>
        </w:r>
        <w:r w:rsidRPr="007C4CBC">
          <w:rPr>
            <w:szCs w:val="18"/>
            <w:lang w:val="ru-RU"/>
          </w:rPr>
          <w:t>/</w:t>
        </w:r>
      </w:hyperlink>
      <w:r w:rsidRPr="007C4CBC">
        <w:rPr>
          <w:szCs w:val="18"/>
          <w:lang w:val="ru-RU"/>
        </w:rPr>
        <w:t xml:space="preserve">;  зарегистрированные ВОИС возражения на основании юридических прав </w:t>
      </w:r>
      <w:r>
        <w:rPr>
          <w:szCs w:val="18"/>
          <w:lang w:val="ru-RU"/>
        </w:rPr>
        <w:t xml:space="preserve">размещены по адресу:  </w:t>
      </w:r>
      <w:r w:rsidR="00D65C11">
        <w:fldChar w:fldCharType="begin"/>
      </w:r>
      <w:r w:rsidR="00D65C11">
        <w:instrText xml:space="preserve"> HYPERLINK "http://www.wipo.int/amc/en/domains/lro/cases/" </w:instrText>
      </w:r>
      <w:r w:rsidR="00D65C11">
        <w:fldChar w:fldCharType="separate"/>
      </w:r>
      <w:r w:rsidRPr="006475B9">
        <w:rPr>
          <w:szCs w:val="18"/>
          <w:u w:val="single"/>
        </w:rPr>
        <w:t>http</w:t>
      </w:r>
      <w:r w:rsidRPr="007C4CBC">
        <w:rPr>
          <w:szCs w:val="18"/>
          <w:u w:val="single"/>
          <w:lang w:val="ru-RU"/>
        </w:rPr>
        <w:t>://</w:t>
      </w:r>
      <w:r w:rsidRPr="006475B9">
        <w:rPr>
          <w:szCs w:val="18"/>
          <w:u w:val="single"/>
        </w:rPr>
        <w:t>www</w:t>
      </w:r>
      <w:r w:rsidRPr="007C4CBC">
        <w:rPr>
          <w:szCs w:val="18"/>
          <w:u w:val="single"/>
          <w:lang w:val="ru-RU"/>
        </w:rPr>
        <w:t>.</w:t>
      </w:r>
      <w:r w:rsidRPr="006475B9">
        <w:rPr>
          <w:szCs w:val="18"/>
          <w:u w:val="single"/>
        </w:rPr>
        <w:t>wipo</w:t>
      </w:r>
      <w:r w:rsidRPr="007C4CBC">
        <w:rPr>
          <w:szCs w:val="18"/>
          <w:u w:val="single"/>
          <w:lang w:val="ru-RU"/>
        </w:rPr>
        <w:t>.</w:t>
      </w:r>
      <w:r w:rsidRPr="006475B9">
        <w:rPr>
          <w:szCs w:val="18"/>
          <w:u w:val="single"/>
        </w:rPr>
        <w:t>int</w:t>
      </w:r>
      <w:r w:rsidRPr="007C4CBC">
        <w:rPr>
          <w:szCs w:val="18"/>
          <w:u w:val="single"/>
          <w:lang w:val="ru-RU"/>
        </w:rPr>
        <w:t>/</w:t>
      </w:r>
      <w:r w:rsidRPr="006475B9">
        <w:rPr>
          <w:szCs w:val="18"/>
          <w:u w:val="single"/>
        </w:rPr>
        <w:t>amc</w:t>
      </w:r>
      <w:r w:rsidRPr="007C4CBC">
        <w:rPr>
          <w:szCs w:val="18"/>
          <w:u w:val="single"/>
          <w:lang w:val="ru-RU"/>
        </w:rPr>
        <w:t>/</w:t>
      </w:r>
      <w:r w:rsidRPr="006475B9">
        <w:rPr>
          <w:szCs w:val="18"/>
          <w:u w:val="single"/>
        </w:rPr>
        <w:t>en</w:t>
      </w:r>
      <w:r w:rsidRPr="007C4CBC">
        <w:rPr>
          <w:szCs w:val="18"/>
          <w:u w:val="single"/>
          <w:lang w:val="ru-RU"/>
        </w:rPr>
        <w:t>/</w:t>
      </w:r>
      <w:r w:rsidRPr="006475B9">
        <w:rPr>
          <w:szCs w:val="18"/>
          <w:u w:val="single"/>
        </w:rPr>
        <w:t>domains</w:t>
      </w:r>
      <w:r w:rsidRPr="007C4CBC">
        <w:rPr>
          <w:szCs w:val="18"/>
          <w:u w:val="single"/>
          <w:lang w:val="ru-RU"/>
        </w:rPr>
        <w:t>/</w:t>
      </w:r>
      <w:r w:rsidRPr="006475B9">
        <w:rPr>
          <w:szCs w:val="18"/>
          <w:u w:val="single"/>
        </w:rPr>
        <w:t>lro</w:t>
      </w:r>
      <w:r w:rsidRPr="007C4CBC">
        <w:rPr>
          <w:szCs w:val="18"/>
          <w:u w:val="single"/>
          <w:lang w:val="ru-RU"/>
        </w:rPr>
        <w:t>/</w:t>
      </w:r>
      <w:r w:rsidRPr="006475B9">
        <w:rPr>
          <w:szCs w:val="18"/>
          <w:u w:val="single"/>
        </w:rPr>
        <w:t>cases</w:t>
      </w:r>
      <w:r w:rsidRPr="007C4CBC">
        <w:rPr>
          <w:szCs w:val="18"/>
          <w:u w:val="single"/>
          <w:lang w:val="ru-RU"/>
        </w:rPr>
        <w:t>/</w:t>
      </w:r>
      <w:r w:rsidR="00D65C11">
        <w:rPr>
          <w:szCs w:val="18"/>
          <w:u w:val="single"/>
          <w:lang w:val="ru-RU"/>
        </w:rPr>
        <w:fldChar w:fldCharType="end"/>
      </w:r>
      <w:r w:rsidRPr="007C4CBC">
        <w:rPr>
          <w:szCs w:val="18"/>
          <w:lang w:val="ru-RU"/>
        </w:rPr>
        <w:t xml:space="preserve">. </w:t>
      </w:r>
    </w:p>
  </w:footnote>
  <w:footnote w:id="29">
    <w:p w:rsidR="004C1D33" w:rsidRPr="009323BC" w:rsidRDefault="004C1D33" w:rsidP="00192C16">
      <w:pPr>
        <w:pStyle w:val="FootnoteText"/>
        <w:rPr>
          <w:lang w:val="ru-RU"/>
        </w:rPr>
      </w:pPr>
      <w:r w:rsidRPr="006475B9">
        <w:rPr>
          <w:rStyle w:val="FootnoteReference"/>
        </w:rPr>
        <w:footnoteRef/>
      </w:r>
      <w:r w:rsidRPr="009323BC">
        <w:rPr>
          <w:lang w:val="ru-RU"/>
        </w:rPr>
        <w:t xml:space="preserve"> </w:t>
      </w:r>
      <w:r w:rsidRPr="009323BC">
        <w:rPr>
          <w:lang w:val="ru-RU"/>
        </w:rPr>
        <w:tab/>
      </w:r>
      <w:r>
        <w:rPr>
          <w:lang w:val="ru-RU"/>
        </w:rPr>
        <w:t>См.</w:t>
      </w:r>
      <w:r w:rsidRPr="009323BC">
        <w:rPr>
          <w:lang w:val="ru-RU"/>
        </w:rPr>
        <w:t xml:space="preserve"> </w:t>
      </w:r>
      <w:r w:rsidRPr="006475B9">
        <w:rPr>
          <w:u w:val="single"/>
        </w:rPr>
        <w:t>http</w:t>
      </w:r>
      <w:r w:rsidRPr="009323BC">
        <w:rPr>
          <w:u w:val="single"/>
          <w:lang w:val="ru-RU"/>
        </w:rPr>
        <w:t>://</w:t>
      </w:r>
      <w:r w:rsidRPr="006475B9">
        <w:rPr>
          <w:u w:val="single"/>
        </w:rPr>
        <w:t>www</w:t>
      </w:r>
      <w:r w:rsidRPr="009323BC">
        <w:rPr>
          <w:u w:val="single"/>
          <w:lang w:val="ru-RU"/>
        </w:rPr>
        <w:t>.</w:t>
      </w:r>
      <w:proofErr w:type="spellStart"/>
      <w:r w:rsidRPr="006475B9">
        <w:rPr>
          <w:u w:val="single"/>
        </w:rPr>
        <w:t>wipo</w:t>
      </w:r>
      <w:proofErr w:type="spellEnd"/>
      <w:r w:rsidRPr="009323BC">
        <w:rPr>
          <w:u w:val="single"/>
          <w:lang w:val="ru-RU"/>
        </w:rPr>
        <w:t>.</w:t>
      </w:r>
      <w:proofErr w:type="spellStart"/>
      <w:r w:rsidRPr="006475B9">
        <w:rPr>
          <w:u w:val="single"/>
        </w:rPr>
        <w:t>int</w:t>
      </w:r>
      <w:proofErr w:type="spellEnd"/>
      <w:r w:rsidRPr="009323BC">
        <w:rPr>
          <w:u w:val="single"/>
          <w:lang w:val="ru-RU"/>
        </w:rPr>
        <w:t>/</w:t>
      </w:r>
      <w:proofErr w:type="spellStart"/>
      <w:r w:rsidRPr="006475B9">
        <w:rPr>
          <w:u w:val="single"/>
        </w:rPr>
        <w:t>amc</w:t>
      </w:r>
      <w:proofErr w:type="spellEnd"/>
      <w:r w:rsidRPr="009323BC">
        <w:rPr>
          <w:u w:val="single"/>
          <w:lang w:val="ru-RU"/>
        </w:rPr>
        <w:t>/</w:t>
      </w:r>
      <w:r w:rsidRPr="006475B9">
        <w:rPr>
          <w:u w:val="single"/>
        </w:rPr>
        <w:t>en</w:t>
      </w:r>
      <w:r w:rsidRPr="009323BC">
        <w:rPr>
          <w:u w:val="single"/>
          <w:lang w:val="ru-RU"/>
        </w:rPr>
        <w:t>/</w:t>
      </w:r>
      <w:r w:rsidRPr="006475B9">
        <w:rPr>
          <w:u w:val="single"/>
        </w:rPr>
        <w:t>domains</w:t>
      </w:r>
      <w:r w:rsidRPr="009323BC">
        <w:rPr>
          <w:u w:val="single"/>
          <w:lang w:val="ru-RU"/>
        </w:rPr>
        <w:t>/</w:t>
      </w:r>
      <w:proofErr w:type="spellStart"/>
      <w:r w:rsidRPr="006475B9">
        <w:rPr>
          <w:u w:val="single"/>
        </w:rPr>
        <w:t>lro</w:t>
      </w:r>
      <w:proofErr w:type="spellEnd"/>
      <w:r w:rsidRPr="009323BC">
        <w:rPr>
          <w:u w:val="single"/>
          <w:lang w:val="ru-RU"/>
        </w:rPr>
        <w:t>/</w:t>
      </w:r>
      <w:r w:rsidRPr="006475B9">
        <w:rPr>
          <w:u w:val="single"/>
        </w:rPr>
        <w:t>cases</w:t>
      </w:r>
      <w:r w:rsidRPr="009323BC">
        <w:rPr>
          <w:u w:val="single"/>
          <w:lang w:val="ru-RU"/>
        </w:rPr>
        <w:t>/</w:t>
      </w:r>
      <w:r w:rsidRPr="009323BC">
        <w:rPr>
          <w:lang w:val="ru-RU"/>
        </w:rPr>
        <w:t>.</w:t>
      </w:r>
      <w:r w:rsidRPr="009323BC">
        <w:rPr>
          <w:u w:val="single"/>
          <w:lang w:val="ru-RU"/>
        </w:rPr>
        <w:t xml:space="preserve"> </w:t>
      </w:r>
    </w:p>
  </w:footnote>
  <w:footnote w:id="30">
    <w:p w:rsidR="004C1D33" w:rsidRPr="00CD3132" w:rsidRDefault="004C1D33" w:rsidP="00F23C61">
      <w:pPr>
        <w:pStyle w:val="FootnoteText"/>
        <w:rPr>
          <w:lang w:val="ru-RU"/>
        </w:rPr>
      </w:pPr>
      <w:r w:rsidRPr="006475B9">
        <w:rPr>
          <w:rStyle w:val="FootnoteReference"/>
        </w:rPr>
        <w:footnoteRef/>
      </w:r>
      <w:r w:rsidRPr="00325A3E">
        <w:rPr>
          <w:lang w:val="ru-RU"/>
        </w:rPr>
        <w:t xml:space="preserve"> </w:t>
      </w:r>
      <w:r w:rsidRPr="00325A3E">
        <w:rPr>
          <w:lang w:val="ru-RU"/>
        </w:rPr>
        <w:tab/>
      </w:r>
      <w:r>
        <w:rPr>
          <w:lang w:val="ru-RU"/>
        </w:rPr>
        <w:t>В</w:t>
      </w:r>
      <w:r w:rsidRPr="00D03572">
        <w:rPr>
          <w:lang w:val="ru-RU"/>
        </w:rPr>
        <w:t xml:space="preserve"> отчете ВОИС по процедуре </w:t>
      </w:r>
      <w:r w:rsidRPr="00D03572">
        <w:t>LRO</w:t>
      </w:r>
      <w:r w:rsidRPr="00D03572">
        <w:rPr>
          <w:lang w:val="ru-RU"/>
        </w:rPr>
        <w:t xml:space="preserve"> отмечается, что подавляющее большинство возражений </w:t>
      </w:r>
      <w:r w:rsidRPr="00D03572">
        <w:t>LRO</w:t>
      </w:r>
      <w:r w:rsidRPr="00D03572">
        <w:rPr>
          <w:lang w:val="ru-RU"/>
        </w:rPr>
        <w:t xml:space="preserve"> было подано против заявок </w:t>
      </w:r>
      <w:r w:rsidRPr="00D03572">
        <w:rPr>
          <w:lang w:val="ru-RU"/>
        </w:rPr>
        <w:t xml:space="preserve">на доменные строки рДВУ с описательным или словарным значением.  Многие группы экспертов пришли к выводу о том, что, когда владелец товарного знака принимает обычный словарный термин в качестве товарного знака, заявка на рДВУ, предназначенная для того, чтобы воспользоваться таким общим значением, не будет, по сути дела, нарушать стандарты по урегулированию споров для </w:t>
      </w:r>
      <w:r w:rsidRPr="00D03572">
        <w:t>LRO</w:t>
      </w:r>
      <w:r w:rsidRPr="00325A3E">
        <w:rPr>
          <w:szCs w:val="22"/>
          <w:lang w:val="ru-RU"/>
        </w:rPr>
        <w:t xml:space="preserve">.  </w:t>
      </w:r>
      <w:r w:rsidRPr="00D03572">
        <w:rPr>
          <w:szCs w:val="22"/>
          <w:lang w:val="ru-RU"/>
        </w:rPr>
        <w:t xml:space="preserve">В некоторых случаях группы экспертов рассматривали регистрации товарных знаков, полученные прежде всего в целях поддержки заявки на новый рДВУ и/или </w:t>
      </w:r>
      <w:r w:rsidRPr="00D03572">
        <w:rPr>
          <w:szCs w:val="22"/>
        </w:rPr>
        <w:t>LRO</w:t>
      </w:r>
      <w:r w:rsidRPr="00D03572">
        <w:rPr>
          <w:szCs w:val="22"/>
          <w:lang w:val="ru-RU"/>
        </w:rPr>
        <w:t>, с незначительным очевидным преждепользованием или вообще без такового</w:t>
      </w:r>
      <w:r w:rsidRPr="00CD3132">
        <w:rPr>
          <w:szCs w:val="22"/>
          <w:lang w:val="ru-RU"/>
        </w:rPr>
        <w:t xml:space="preserve">.  </w:t>
      </w:r>
      <w:r>
        <w:rPr>
          <w:szCs w:val="22"/>
          <w:lang w:val="ru-RU"/>
        </w:rPr>
        <w:t>См.</w:t>
      </w:r>
      <w:r w:rsidRPr="00CD3132">
        <w:rPr>
          <w:lang w:val="ru-RU"/>
        </w:rPr>
        <w:t xml:space="preserve"> </w:t>
      </w:r>
      <w:r w:rsidRPr="00EC1C32">
        <w:rPr>
          <w:u w:val="single"/>
        </w:rPr>
        <w:t>http</w:t>
      </w:r>
      <w:r w:rsidRPr="00CD3132">
        <w:rPr>
          <w:u w:val="single"/>
          <w:lang w:val="ru-RU"/>
        </w:rPr>
        <w:t>://</w:t>
      </w:r>
      <w:r w:rsidRPr="00EC1C32">
        <w:rPr>
          <w:u w:val="single"/>
        </w:rPr>
        <w:t>www</w:t>
      </w:r>
      <w:r w:rsidRPr="00CD3132">
        <w:rPr>
          <w:u w:val="single"/>
          <w:lang w:val="ru-RU"/>
        </w:rPr>
        <w:t>.</w:t>
      </w:r>
      <w:proofErr w:type="spellStart"/>
      <w:r w:rsidRPr="00EC1C32">
        <w:rPr>
          <w:u w:val="single"/>
        </w:rPr>
        <w:t>wipo</w:t>
      </w:r>
      <w:proofErr w:type="spellEnd"/>
      <w:r w:rsidRPr="00CD3132">
        <w:rPr>
          <w:u w:val="single"/>
          <w:lang w:val="ru-RU"/>
        </w:rPr>
        <w:t>.</w:t>
      </w:r>
      <w:proofErr w:type="spellStart"/>
      <w:r w:rsidRPr="00EC1C32">
        <w:rPr>
          <w:u w:val="single"/>
        </w:rPr>
        <w:t>int</w:t>
      </w:r>
      <w:proofErr w:type="spellEnd"/>
      <w:r w:rsidRPr="00CD3132">
        <w:rPr>
          <w:u w:val="single"/>
          <w:lang w:val="ru-RU"/>
        </w:rPr>
        <w:t>/</w:t>
      </w:r>
      <w:proofErr w:type="spellStart"/>
      <w:r>
        <w:rPr>
          <w:u w:val="single"/>
        </w:rPr>
        <w:t>amc</w:t>
      </w:r>
      <w:proofErr w:type="spellEnd"/>
      <w:r w:rsidRPr="00CD3132">
        <w:rPr>
          <w:u w:val="single"/>
          <w:lang w:val="ru-RU"/>
        </w:rPr>
        <w:t>/</w:t>
      </w:r>
      <w:r>
        <w:rPr>
          <w:u w:val="single"/>
        </w:rPr>
        <w:t>en</w:t>
      </w:r>
      <w:r w:rsidRPr="00CD3132">
        <w:rPr>
          <w:u w:val="single"/>
          <w:lang w:val="ru-RU"/>
        </w:rPr>
        <w:t>/</w:t>
      </w:r>
      <w:r w:rsidRPr="00EC1C32">
        <w:rPr>
          <w:u w:val="single"/>
        </w:rPr>
        <w:t>docs</w:t>
      </w:r>
      <w:r w:rsidRPr="00CD3132">
        <w:rPr>
          <w:u w:val="single"/>
          <w:lang w:val="ru-RU"/>
        </w:rPr>
        <w:t>/</w:t>
      </w:r>
      <w:proofErr w:type="spellStart"/>
      <w:r w:rsidRPr="00EC1C32">
        <w:rPr>
          <w:u w:val="single"/>
        </w:rPr>
        <w:t>lroreport</w:t>
      </w:r>
      <w:proofErr w:type="spellEnd"/>
      <w:r w:rsidRPr="00CD3132">
        <w:rPr>
          <w:u w:val="single"/>
          <w:lang w:val="ru-RU"/>
        </w:rPr>
        <w:t>.</w:t>
      </w:r>
      <w:r w:rsidRPr="00EC1C32">
        <w:rPr>
          <w:u w:val="single"/>
        </w:rPr>
        <w:t>pdf</w:t>
      </w:r>
      <w:r w:rsidRPr="00CD3132">
        <w:rPr>
          <w:lang w:val="ru-RU"/>
        </w:rPr>
        <w:t xml:space="preserve">. </w:t>
      </w:r>
    </w:p>
  </w:footnote>
  <w:footnote w:id="31">
    <w:p w:rsidR="004C1D33" w:rsidRPr="00176B65" w:rsidRDefault="004C1D33" w:rsidP="00192C16">
      <w:pPr>
        <w:pStyle w:val="FootnoteText"/>
        <w:rPr>
          <w:szCs w:val="18"/>
          <w:lang w:val="ru-RU"/>
        </w:rPr>
      </w:pPr>
      <w:r w:rsidRPr="00176B65">
        <w:rPr>
          <w:rStyle w:val="FootnoteReference"/>
        </w:rPr>
        <w:footnoteRef/>
      </w:r>
      <w:r w:rsidRPr="00176B65">
        <w:rPr>
          <w:szCs w:val="18"/>
          <w:lang w:val="ru-RU"/>
        </w:rPr>
        <w:t xml:space="preserve"> </w:t>
      </w:r>
      <w:r w:rsidRPr="00176B65">
        <w:rPr>
          <w:szCs w:val="18"/>
          <w:lang w:val="ru-RU"/>
        </w:rPr>
        <w:tab/>
        <w:t xml:space="preserve">См. </w:t>
      </w:r>
      <w:r w:rsidRPr="00176B65">
        <w:rPr>
          <w:szCs w:val="18"/>
          <w:u w:val="single"/>
        </w:rPr>
        <w:t>http</w:t>
      </w:r>
      <w:r w:rsidRPr="00176B65">
        <w:rPr>
          <w:szCs w:val="18"/>
          <w:u w:val="single"/>
          <w:lang w:val="ru-RU"/>
        </w:rPr>
        <w:t>://</w:t>
      </w:r>
      <w:r w:rsidRPr="00176B65">
        <w:rPr>
          <w:szCs w:val="18"/>
          <w:u w:val="single"/>
        </w:rPr>
        <w:t>www</w:t>
      </w:r>
      <w:r w:rsidRPr="00176B65">
        <w:rPr>
          <w:szCs w:val="18"/>
          <w:u w:val="single"/>
          <w:lang w:val="ru-RU"/>
        </w:rPr>
        <w:t>.</w:t>
      </w:r>
      <w:proofErr w:type="spellStart"/>
      <w:r w:rsidRPr="00176B65">
        <w:rPr>
          <w:szCs w:val="18"/>
          <w:u w:val="single"/>
        </w:rPr>
        <w:t>wipo</w:t>
      </w:r>
      <w:proofErr w:type="spellEnd"/>
      <w:r w:rsidRPr="00176B65">
        <w:rPr>
          <w:szCs w:val="18"/>
          <w:u w:val="single"/>
          <w:lang w:val="ru-RU"/>
        </w:rPr>
        <w:t>.</w:t>
      </w:r>
      <w:proofErr w:type="spellStart"/>
      <w:r w:rsidRPr="00176B65">
        <w:rPr>
          <w:szCs w:val="18"/>
          <w:u w:val="single"/>
        </w:rPr>
        <w:t>int</w:t>
      </w:r>
      <w:proofErr w:type="spellEnd"/>
      <w:r w:rsidRPr="00176B65">
        <w:rPr>
          <w:szCs w:val="18"/>
          <w:u w:val="single"/>
          <w:lang w:val="ru-RU"/>
        </w:rPr>
        <w:t>/</w:t>
      </w:r>
      <w:proofErr w:type="spellStart"/>
      <w:r w:rsidRPr="00176B65">
        <w:rPr>
          <w:szCs w:val="18"/>
          <w:u w:val="single"/>
        </w:rPr>
        <w:t>amc</w:t>
      </w:r>
      <w:proofErr w:type="spellEnd"/>
      <w:r w:rsidRPr="00176B65">
        <w:rPr>
          <w:szCs w:val="18"/>
          <w:u w:val="single"/>
          <w:lang w:val="ru-RU"/>
        </w:rPr>
        <w:t>/</w:t>
      </w:r>
      <w:r w:rsidRPr="00176B65">
        <w:rPr>
          <w:szCs w:val="18"/>
          <w:u w:val="single"/>
        </w:rPr>
        <w:t>en</w:t>
      </w:r>
      <w:r w:rsidRPr="00176B65">
        <w:rPr>
          <w:szCs w:val="18"/>
          <w:u w:val="single"/>
          <w:lang w:val="ru-RU"/>
        </w:rPr>
        <w:t>/</w:t>
      </w:r>
      <w:r w:rsidRPr="00176B65">
        <w:rPr>
          <w:szCs w:val="18"/>
          <w:u w:val="single"/>
        </w:rPr>
        <w:t>docs</w:t>
      </w:r>
      <w:r w:rsidRPr="00176B65">
        <w:rPr>
          <w:szCs w:val="18"/>
          <w:u w:val="single"/>
          <w:lang w:val="ru-RU"/>
        </w:rPr>
        <w:t>/</w:t>
      </w:r>
      <w:proofErr w:type="spellStart"/>
      <w:r w:rsidRPr="00176B65">
        <w:rPr>
          <w:szCs w:val="18"/>
          <w:u w:val="single"/>
        </w:rPr>
        <w:t>icann</w:t>
      </w:r>
      <w:proofErr w:type="spellEnd"/>
      <w:r w:rsidRPr="00176B65">
        <w:rPr>
          <w:szCs w:val="18"/>
          <w:u w:val="single"/>
          <w:lang w:val="ru-RU"/>
        </w:rPr>
        <w:t>130309.</w:t>
      </w:r>
      <w:r w:rsidRPr="00176B65">
        <w:rPr>
          <w:szCs w:val="18"/>
          <w:u w:val="single"/>
        </w:rPr>
        <w:t>pdf</w:t>
      </w:r>
      <w:r w:rsidRPr="00176B65">
        <w:rPr>
          <w:szCs w:val="18"/>
          <w:lang w:val="ru-RU"/>
        </w:rPr>
        <w:t>.</w:t>
      </w:r>
    </w:p>
  </w:footnote>
  <w:footnote w:id="32">
    <w:p w:rsidR="004C1D33" w:rsidRPr="00176B65" w:rsidRDefault="004C1D33" w:rsidP="00192C16">
      <w:pPr>
        <w:pStyle w:val="FootnoteText"/>
        <w:rPr>
          <w:szCs w:val="18"/>
          <w:lang w:val="ru-RU"/>
        </w:rPr>
      </w:pPr>
      <w:r w:rsidRPr="00176B65">
        <w:rPr>
          <w:rStyle w:val="FootnoteReference"/>
        </w:rPr>
        <w:footnoteRef/>
      </w:r>
      <w:r w:rsidRPr="00176B65">
        <w:rPr>
          <w:rStyle w:val="FootnoteReference"/>
          <w:lang w:val="ru-RU"/>
        </w:rPr>
        <w:t xml:space="preserve"> </w:t>
      </w:r>
      <w:r w:rsidRPr="00176B65">
        <w:rPr>
          <w:szCs w:val="18"/>
          <w:lang w:val="ru-RU"/>
        </w:rPr>
        <w:tab/>
      </w:r>
      <w:r w:rsidRPr="00176B65">
        <w:rPr>
          <w:szCs w:val="18"/>
          <w:lang w:val="ru-RU"/>
        </w:rPr>
        <w:t xml:space="preserve">С учетом того, что функции реестра, регистратора и владельца регистрации в рамках </w:t>
      </w:r>
      <w:r w:rsidRPr="00176B65">
        <w:rPr>
          <w:szCs w:val="18"/>
        </w:rPr>
        <w:t>DNS</w:t>
      </w:r>
      <w:r w:rsidRPr="00176B65">
        <w:rPr>
          <w:szCs w:val="18"/>
          <w:lang w:val="ru-RU"/>
        </w:rPr>
        <w:t xml:space="preserve">, как представляется, сближаются, Центр также рекомендовал, в частности, исходя из своего опыта использования ЕПУС и решения </w:t>
      </w:r>
      <w:r w:rsidRPr="00176B65">
        <w:rPr>
          <w:szCs w:val="18"/>
          <w:lang w:val="fr-CH"/>
        </w:rPr>
        <w:t>ICANN</w:t>
      </w:r>
      <w:r w:rsidRPr="00176B65">
        <w:rPr>
          <w:szCs w:val="18"/>
          <w:lang w:val="ru-RU"/>
        </w:rPr>
        <w:t xml:space="preserve">, разрешить совместное владение регистраторов реестрами (см. </w:t>
      </w:r>
      <w:proofErr w:type="gramStart"/>
      <w:r w:rsidRPr="00176B65">
        <w:rPr>
          <w:szCs w:val="18"/>
          <w:u w:val="single"/>
        </w:rPr>
        <w:t>http</w:t>
      </w:r>
      <w:r w:rsidRPr="00176B65">
        <w:rPr>
          <w:szCs w:val="18"/>
          <w:u w:val="single"/>
          <w:lang w:val="ru-RU"/>
        </w:rPr>
        <w:t>://</w:t>
      </w:r>
      <w:r w:rsidRPr="00176B65">
        <w:rPr>
          <w:szCs w:val="18"/>
          <w:u w:val="single"/>
        </w:rPr>
        <w:t>www</w:t>
      </w:r>
      <w:r w:rsidRPr="00176B65">
        <w:rPr>
          <w:szCs w:val="18"/>
          <w:u w:val="single"/>
          <w:lang w:val="ru-RU"/>
        </w:rPr>
        <w:t>.</w:t>
      </w:r>
      <w:proofErr w:type="spellStart"/>
      <w:r w:rsidRPr="00176B65">
        <w:rPr>
          <w:szCs w:val="18"/>
          <w:u w:val="single"/>
        </w:rPr>
        <w:t>icann</w:t>
      </w:r>
      <w:proofErr w:type="spellEnd"/>
      <w:r w:rsidRPr="00176B65">
        <w:rPr>
          <w:szCs w:val="18"/>
          <w:u w:val="single"/>
          <w:lang w:val="ru-RU"/>
        </w:rPr>
        <w:t>.</w:t>
      </w:r>
      <w:r w:rsidRPr="00176B65">
        <w:rPr>
          <w:szCs w:val="18"/>
          <w:u w:val="single"/>
        </w:rPr>
        <w:t>org</w:t>
      </w:r>
      <w:r w:rsidRPr="00176B65">
        <w:rPr>
          <w:szCs w:val="18"/>
          <w:u w:val="single"/>
          <w:lang w:val="ru-RU"/>
        </w:rPr>
        <w:t>/</w:t>
      </w:r>
      <w:r w:rsidRPr="00176B65">
        <w:rPr>
          <w:szCs w:val="18"/>
          <w:u w:val="single"/>
        </w:rPr>
        <w:t>en</w:t>
      </w:r>
      <w:r w:rsidRPr="00176B65">
        <w:rPr>
          <w:szCs w:val="18"/>
          <w:u w:val="single"/>
          <w:lang w:val="ru-RU"/>
        </w:rPr>
        <w:t>/</w:t>
      </w:r>
      <w:r w:rsidRPr="00176B65">
        <w:rPr>
          <w:szCs w:val="18"/>
          <w:u w:val="single"/>
        </w:rPr>
        <w:t>minutes</w:t>
      </w:r>
      <w:r w:rsidRPr="00176B65">
        <w:rPr>
          <w:szCs w:val="18"/>
          <w:u w:val="single"/>
          <w:lang w:val="ru-RU"/>
        </w:rPr>
        <w:t>/</w:t>
      </w:r>
      <w:r w:rsidRPr="00176B65">
        <w:rPr>
          <w:szCs w:val="18"/>
          <w:u w:val="single"/>
        </w:rPr>
        <w:t>resolutions</w:t>
      </w:r>
      <w:r w:rsidRPr="00176B65">
        <w:rPr>
          <w:szCs w:val="18"/>
          <w:u w:val="single"/>
          <w:lang w:val="ru-RU"/>
        </w:rPr>
        <w:t>-05</w:t>
      </w:r>
      <w:proofErr w:type="spellStart"/>
      <w:r w:rsidRPr="00176B65">
        <w:rPr>
          <w:szCs w:val="18"/>
          <w:u w:val="single"/>
        </w:rPr>
        <w:t>nov</w:t>
      </w:r>
      <w:proofErr w:type="spellEnd"/>
      <w:r w:rsidRPr="00176B65">
        <w:rPr>
          <w:szCs w:val="18"/>
          <w:u w:val="single"/>
          <w:lang w:val="ru-RU"/>
        </w:rPr>
        <w:t>10-</w:t>
      </w:r>
      <w:r w:rsidRPr="00176B65">
        <w:rPr>
          <w:szCs w:val="18"/>
          <w:u w:val="single"/>
        </w:rPr>
        <w:t>en</w:t>
      </w:r>
      <w:r w:rsidRPr="00176B65">
        <w:rPr>
          <w:szCs w:val="18"/>
          <w:u w:val="single"/>
          <w:lang w:val="ru-RU"/>
        </w:rPr>
        <w:t>.</w:t>
      </w:r>
      <w:proofErr w:type="spellStart"/>
      <w:r w:rsidRPr="00176B65">
        <w:rPr>
          <w:szCs w:val="18"/>
          <w:u w:val="single"/>
        </w:rPr>
        <w:t>htm</w:t>
      </w:r>
      <w:proofErr w:type="spellEnd"/>
      <w:r w:rsidRPr="00176B65">
        <w:rPr>
          <w:szCs w:val="18"/>
          <w:lang w:val="ru-RU"/>
        </w:rPr>
        <w:t xml:space="preserve">), чтобы </w:t>
      </w:r>
      <w:r w:rsidRPr="00176B65">
        <w:rPr>
          <w:szCs w:val="18"/>
        </w:rPr>
        <w:t>ICANN</w:t>
      </w:r>
      <w:r w:rsidRPr="00176B65">
        <w:rPr>
          <w:szCs w:val="18"/>
          <w:lang w:val="ru-RU"/>
        </w:rPr>
        <w:t xml:space="preserve"> рассмотрела возможность распространения процедуры </w:t>
      </w:r>
      <w:r w:rsidRPr="00176B65">
        <w:rPr>
          <w:szCs w:val="18"/>
        </w:rPr>
        <w:t>PDDRP</w:t>
      </w:r>
      <w:r w:rsidRPr="00176B65">
        <w:rPr>
          <w:szCs w:val="18"/>
          <w:lang w:val="ru-RU"/>
        </w:rPr>
        <w:t xml:space="preserve"> применительно к реестрам на поведение регистратора (см. также </w:t>
      </w:r>
      <w:r w:rsidRPr="00176B65">
        <w:rPr>
          <w:szCs w:val="18"/>
          <w:u w:val="single"/>
        </w:rPr>
        <w:t>http</w:t>
      </w:r>
      <w:r w:rsidRPr="00176B65">
        <w:rPr>
          <w:szCs w:val="18"/>
          <w:u w:val="single"/>
          <w:lang w:val="ru-RU"/>
        </w:rPr>
        <w:t>://</w:t>
      </w:r>
      <w:r w:rsidRPr="00176B65">
        <w:rPr>
          <w:szCs w:val="18"/>
          <w:u w:val="single"/>
        </w:rPr>
        <w:t>www</w:t>
      </w:r>
      <w:r w:rsidRPr="00176B65">
        <w:rPr>
          <w:szCs w:val="18"/>
          <w:u w:val="single"/>
          <w:lang w:val="ru-RU"/>
        </w:rPr>
        <w:t>.</w:t>
      </w:r>
      <w:proofErr w:type="spellStart"/>
      <w:r w:rsidRPr="00176B65">
        <w:rPr>
          <w:szCs w:val="18"/>
          <w:u w:val="single"/>
        </w:rPr>
        <w:t>wipo</w:t>
      </w:r>
      <w:proofErr w:type="spellEnd"/>
      <w:r w:rsidRPr="00176B65">
        <w:rPr>
          <w:szCs w:val="18"/>
          <w:u w:val="single"/>
          <w:lang w:val="ru-RU"/>
        </w:rPr>
        <w:t>.</w:t>
      </w:r>
      <w:proofErr w:type="spellStart"/>
      <w:r w:rsidRPr="00176B65">
        <w:rPr>
          <w:szCs w:val="18"/>
          <w:u w:val="single"/>
        </w:rPr>
        <w:t>int</w:t>
      </w:r>
      <w:proofErr w:type="spellEnd"/>
      <w:r w:rsidRPr="00176B65">
        <w:rPr>
          <w:szCs w:val="18"/>
          <w:u w:val="single"/>
          <w:lang w:val="ru-RU"/>
        </w:rPr>
        <w:t>/</w:t>
      </w:r>
      <w:proofErr w:type="spellStart"/>
      <w:r w:rsidRPr="00176B65">
        <w:rPr>
          <w:szCs w:val="18"/>
          <w:u w:val="single"/>
        </w:rPr>
        <w:t>amc</w:t>
      </w:r>
      <w:proofErr w:type="spellEnd"/>
      <w:r w:rsidRPr="00176B65">
        <w:rPr>
          <w:szCs w:val="18"/>
          <w:u w:val="single"/>
          <w:lang w:val="ru-RU"/>
        </w:rPr>
        <w:t>/</w:t>
      </w:r>
      <w:r w:rsidRPr="00176B65">
        <w:rPr>
          <w:szCs w:val="18"/>
          <w:u w:val="single"/>
        </w:rPr>
        <w:t>en</w:t>
      </w:r>
      <w:r w:rsidRPr="00176B65">
        <w:rPr>
          <w:szCs w:val="18"/>
          <w:u w:val="single"/>
          <w:lang w:val="ru-RU"/>
        </w:rPr>
        <w:t>/</w:t>
      </w:r>
      <w:r w:rsidRPr="00176B65">
        <w:rPr>
          <w:szCs w:val="18"/>
          <w:u w:val="single"/>
        </w:rPr>
        <w:t>docs</w:t>
      </w:r>
      <w:r w:rsidRPr="00176B65">
        <w:rPr>
          <w:szCs w:val="18"/>
          <w:u w:val="single"/>
          <w:lang w:val="ru-RU"/>
        </w:rPr>
        <w:t>/</w:t>
      </w:r>
      <w:proofErr w:type="spellStart"/>
      <w:r w:rsidRPr="00176B65">
        <w:rPr>
          <w:szCs w:val="18"/>
          <w:u w:val="single"/>
        </w:rPr>
        <w:t>icann</w:t>
      </w:r>
      <w:proofErr w:type="spellEnd"/>
      <w:r w:rsidRPr="00176B65">
        <w:rPr>
          <w:szCs w:val="18"/>
          <w:u w:val="single"/>
          <w:lang w:val="ru-RU"/>
        </w:rPr>
        <w:t>260310</w:t>
      </w:r>
      <w:r w:rsidRPr="00176B65">
        <w:rPr>
          <w:szCs w:val="18"/>
          <w:u w:val="single"/>
        </w:rPr>
        <w:t>rap</w:t>
      </w:r>
      <w:r w:rsidRPr="00176B65">
        <w:rPr>
          <w:szCs w:val="18"/>
          <w:u w:val="single"/>
          <w:lang w:val="ru-RU"/>
        </w:rPr>
        <w:t>.</w:t>
      </w:r>
      <w:r w:rsidRPr="00176B65">
        <w:rPr>
          <w:szCs w:val="18"/>
          <w:u w:val="single"/>
        </w:rPr>
        <w:t>pdf</w:t>
      </w:r>
      <w:r w:rsidRPr="00176B65">
        <w:rPr>
          <w:szCs w:val="18"/>
          <w:lang w:val="ru-RU"/>
        </w:rPr>
        <w:t>).</w:t>
      </w:r>
      <w:proofErr w:type="gramEnd"/>
    </w:p>
  </w:footnote>
  <w:footnote w:id="33">
    <w:p w:rsidR="004C1D33" w:rsidRPr="00D73105" w:rsidRDefault="004C1D33" w:rsidP="00192C16">
      <w:pPr>
        <w:pStyle w:val="FootnoteText"/>
        <w:rPr>
          <w:lang w:val="ru-RU"/>
        </w:rPr>
      </w:pPr>
      <w:r w:rsidRPr="00176B65">
        <w:rPr>
          <w:rStyle w:val="FootnoteReference"/>
        </w:rPr>
        <w:footnoteRef/>
      </w:r>
      <w:r w:rsidRPr="00176B65">
        <w:rPr>
          <w:lang w:val="ru-RU"/>
        </w:rPr>
        <w:t xml:space="preserve"> </w:t>
      </w:r>
      <w:r w:rsidRPr="00176B65">
        <w:rPr>
          <w:lang w:val="ru-RU"/>
        </w:rPr>
        <w:tab/>
        <w:t xml:space="preserve">Центр обмена информацией предусматривает возможность включения зарегистрированных словесных знаков, словесных знаков, охраняемых в соответствии с законом или договором или на основании судебного подтверждения, и «прочих знаков, которые представляют собой интеллектуальную собственность» (последнее понятие не определено).  </w:t>
      </w:r>
      <w:r w:rsidRPr="00176B65">
        <w:rPr>
          <w:lang w:val="ru-RU"/>
        </w:rPr>
        <w:t>Что касается использования данных Центра обмена информацией в соответствии с МОП, то в настоящее время предоставление услуг «</w:t>
      </w:r>
      <w:r w:rsidRPr="00176B65">
        <w:t>Sunrise</w:t>
      </w:r>
      <w:r w:rsidRPr="00176B65">
        <w:rPr>
          <w:lang w:val="ru-RU"/>
        </w:rPr>
        <w:t>» (т.е. возможность для владельца товарного знака при условии оплаты пошлины осуществить в качестве превентивной меры регистрацию в качестве доменного имени слова, полностью совпадающего с его знаком) ограничено теми товарными знаками, текущее использование которых может быть подтверждено.  Независимо от того, подтверждено ли текущее использование соответствующей демонстрацией или нет, владельцы товарных знаков будут также иметь право на участие в услуге «</w:t>
      </w:r>
      <w:r w:rsidRPr="00176B65">
        <w:t>Claims</w:t>
      </w:r>
      <w:r w:rsidRPr="00176B65">
        <w:rPr>
          <w:lang w:val="ru-RU"/>
        </w:rPr>
        <w:t>», действие которой ограничено во времени (т.е. подача уведомления потенциальному владельцу регистрации доменного имени о наличии потенциально конфликтующего права на товарный знак, равно как и подача уведомления соответствующему владельцу (владельцам) товарного знака в случае, если владелец регистрации все же осуществляет регистрацию доменного имени).  Наличие услуги «</w:t>
      </w:r>
      <w:r w:rsidRPr="00176B65">
        <w:t>Claims</w:t>
      </w:r>
      <w:r w:rsidRPr="00176B65">
        <w:rPr>
          <w:lang w:val="ru-RU"/>
        </w:rPr>
        <w:t xml:space="preserve">», согласно решению </w:t>
      </w:r>
      <w:r w:rsidRPr="00176B65">
        <w:t>ICANN</w:t>
      </w:r>
      <w:r w:rsidRPr="00176B65">
        <w:rPr>
          <w:lang w:val="ru-RU"/>
        </w:rPr>
        <w:t xml:space="preserve">, сейчас ограничено максимальной продолжительностью в 90 дней после </w:t>
      </w:r>
      <w:r w:rsidRPr="00176B65">
        <w:rPr>
          <w:lang w:val="ru-RU"/>
        </w:rPr>
        <w:t>того, как новый рДВУ открыт для общей публичной регистрации, но клиенты Центра обмена информацией могут запросить информировать их бессрочно.  Требование о подтверждении использования, необходимое для обращения к услугам «</w:t>
      </w:r>
      <w:r w:rsidRPr="00176B65">
        <w:t>Sunrise</w:t>
      </w:r>
      <w:r w:rsidRPr="00176B65">
        <w:rPr>
          <w:lang w:val="ru-RU"/>
        </w:rPr>
        <w:t>», аналогичным образом распространяется на применение товарных знаков в качестве основания для подачи иска в соответствии с механизмом охраны прав под названием «Единая система быстрого приостановления действия», описание которой приводится ниже.</w:t>
      </w:r>
    </w:p>
  </w:footnote>
  <w:footnote w:id="34">
    <w:p w:rsidR="004C1D33" w:rsidRPr="00B16159" w:rsidRDefault="004C1D33" w:rsidP="00192C16">
      <w:pPr>
        <w:pStyle w:val="FootnoteText"/>
        <w:rPr>
          <w:szCs w:val="18"/>
          <w:lang w:val="ru-RU"/>
        </w:rPr>
      </w:pPr>
      <w:r w:rsidRPr="006475B9">
        <w:rPr>
          <w:rStyle w:val="FootnoteReference"/>
        </w:rPr>
        <w:footnoteRef/>
      </w:r>
      <w:r w:rsidRPr="00B16159">
        <w:rPr>
          <w:rStyle w:val="FootnoteReference"/>
          <w:lang w:val="ru-RU"/>
        </w:rPr>
        <w:t xml:space="preserve"> </w:t>
      </w:r>
      <w:r w:rsidRPr="00B16159">
        <w:rPr>
          <w:szCs w:val="18"/>
          <w:lang w:val="ru-RU"/>
        </w:rPr>
        <w:tab/>
      </w:r>
      <w:r>
        <w:rPr>
          <w:szCs w:val="18"/>
          <w:lang w:val="ru-RU"/>
        </w:rPr>
        <w:t>По</w:t>
      </w:r>
      <w:r w:rsidRPr="00B16159">
        <w:rPr>
          <w:szCs w:val="18"/>
          <w:lang w:val="ru-RU"/>
        </w:rPr>
        <w:t xml:space="preserve"> </w:t>
      </w:r>
      <w:r>
        <w:rPr>
          <w:szCs w:val="18"/>
          <w:lang w:val="ru-RU"/>
        </w:rPr>
        <w:t>имеющимся</w:t>
      </w:r>
      <w:r w:rsidRPr="00B16159">
        <w:rPr>
          <w:szCs w:val="18"/>
          <w:lang w:val="ru-RU"/>
        </w:rPr>
        <w:t xml:space="preserve"> </w:t>
      </w:r>
      <w:r>
        <w:rPr>
          <w:szCs w:val="18"/>
          <w:lang w:val="ru-RU"/>
        </w:rPr>
        <w:t>данным</w:t>
      </w:r>
      <w:r w:rsidRPr="00B16159">
        <w:rPr>
          <w:szCs w:val="18"/>
          <w:lang w:val="ru-RU"/>
        </w:rPr>
        <w:t xml:space="preserve">, </w:t>
      </w:r>
      <w:r>
        <w:rPr>
          <w:szCs w:val="18"/>
          <w:lang w:val="ru-RU"/>
        </w:rPr>
        <w:t>на</w:t>
      </w:r>
      <w:r w:rsidRPr="00B16159">
        <w:rPr>
          <w:szCs w:val="18"/>
          <w:lang w:val="ru-RU"/>
        </w:rPr>
        <w:t xml:space="preserve"> </w:t>
      </w:r>
      <w:r>
        <w:rPr>
          <w:szCs w:val="18"/>
          <w:lang w:val="ru-RU"/>
        </w:rPr>
        <w:t>май</w:t>
      </w:r>
      <w:r w:rsidRPr="00B16159">
        <w:rPr>
          <w:szCs w:val="18"/>
          <w:lang w:val="ru-RU"/>
        </w:rPr>
        <w:t xml:space="preserve"> 2014</w:t>
      </w:r>
      <w:r w:rsidRPr="00B16159">
        <w:rPr>
          <w:szCs w:val="18"/>
        </w:rPr>
        <w:t> </w:t>
      </w:r>
      <w:r>
        <w:rPr>
          <w:szCs w:val="18"/>
          <w:lang w:val="ru-RU"/>
        </w:rPr>
        <w:t>г</w:t>
      </w:r>
      <w:r w:rsidRPr="00B16159">
        <w:rPr>
          <w:szCs w:val="18"/>
          <w:lang w:val="ru-RU"/>
        </w:rPr>
        <w:t xml:space="preserve"> </w:t>
      </w:r>
      <w:r>
        <w:rPr>
          <w:szCs w:val="18"/>
          <w:lang w:val="ru-RU"/>
        </w:rPr>
        <w:t>число</w:t>
      </w:r>
      <w:r w:rsidRPr="00B16159">
        <w:rPr>
          <w:szCs w:val="18"/>
          <w:lang w:val="ru-RU"/>
        </w:rPr>
        <w:t xml:space="preserve"> </w:t>
      </w:r>
      <w:r>
        <w:rPr>
          <w:szCs w:val="18"/>
          <w:lang w:val="ru-RU"/>
        </w:rPr>
        <w:t>товарных</w:t>
      </w:r>
      <w:r w:rsidRPr="00B16159">
        <w:rPr>
          <w:szCs w:val="18"/>
          <w:lang w:val="ru-RU"/>
        </w:rPr>
        <w:t xml:space="preserve"> </w:t>
      </w:r>
      <w:r>
        <w:rPr>
          <w:szCs w:val="18"/>
          <w:lang w:val="ru-RU"/>
        </w:rPr>
        <w:t>знаков</w:t>
      </w:r>
      <w:r w:rsidRPr="00B16159">
        <w:rPr>
          <w:szCs w:val="18"/>
          <w:lang w:val="ru-RU"/>
        </w:rPr>
        <w:t xml:space="preserve">, </w:t>
      </w:r>
      <w:r>
        <w:rPr>
          <w:szCs w:val="18"/>
          <w:lang w:val="ru-RU"/>
        </w:rPr>
        <w:t>зарегистрированных</w:t>
      </w:r>
      <w:r w:rsidRPr="00B16159">
        <w:rPr>
          <w:szCs w:val="18"/>
          <w:lang w:val="ru-RU"/>
        </w:rPr>
        <w:t xml:space="preserve"> </w:t>
      </w:r>
      <w:r>
        <w:rPr>
          <w:szCs w:val="18"/>
          <w:lang w:val="ru-RU"/>
        </w:rPr>
        <w:t xml:space="preserve">в Центре обмена информацией, составляло порядка </w:t>
      </w:r>
      <w:r w:rsidRPr="00B16159">
        <w:rPr>
          <w:szCs w:val="18"/>
          <w:lang w:val="ru-RU"/>
        </w:rPr>
        <w:t>35</w:t>
      </w:r>
      <w:r>
        <w:rPr>
          <w:szCs w:val="18"/>
          <w:lang w:val="ru-RU"/>
        </w:rPr>
        <w:t> тыс.</w:t>
      </w:r>
      <w:r w:rsidRPr="00B16159">
        <w:rPr>
          <w:szCs w:val="18"/>
          <w:lang w:val="ru-RU"/>
        </w:rPr>
        <w:t xml:space="preserve"> (</w:t>
      </w:r>
      <w:r>
        <w:rPr>
          <w:szCs w:val="18"/>
          <w:lang w:val="ru-RU"/>
        </w:rPr>
        <w:t>см.</w:t>
      </w:r>
      <w:r w:rsidRPr="00B16159">
        <w:rPr>
          <w:szCs w:val="18"/>
          <w:lang w:val="ru-RU"/>
        </w:rPr>
        <w:t xml:space="preserve"> </w:t>
      </w:r>
      <w:r w:rsidRPr="00C84829">
        <w:rPr>
          <w:szCs w:val="18"/>
          <w:u w:val="single"/>
        </w:rPr>
        <w:t>http</w:t>
      </w:r>
      <w:r w:rsidRPr="00B16159">
        <w:rPr>
          <w:szCs w:val="18"/>
          <w:u w:val="single"/>
          <w:lang w:val="ru-RU"/>
        </w:rPr>
        <w:t>://</w:t>
      </w:r>
      <w:r w:rsidRPr="00C84829">
        <w:rPr>
          <w:szCs w:val="18"/>
          <w:u w:val="single"/>
        </w:rPr>
        <w:t>www</w:t>
      </w:r>
      <w:r w:rsidRPr="00B16159">
        <w:rPr>
          <w:szCs w:val="18"/>
          <w:u w:val="single"/>
          <w:lang w:val="ru-RU"/>
        </w:rPr>
        <w:t>.</w:t>
      </w:r>
      <w:r w:rsidRPr="00C84829">
        <w:rPr>
          <w:szCs w:val="18"/>
          <w:u w:val="single"/>
        </w:rPr>
        <w:t>trademark</w:t>
      </w:r>
      <w:r w:rsidRPr="00B16159">
        <w:rPr>
          <w:szCs w:val="18"/>
          <w:u w:val="single"/>
          <w:lang w:val="ru-RU"/>
        </w:rPr>
        <w:t>-</w:t>
      </w:r>
      <w:r w:rsidRPr="00C84829">
        <w:rPr>
          <w:szCs w:val="18"/>
          <w:u w:val="single"/>
        </w:rPr>
        <w:t>clearinghouse</w:t>
      </w:r>
      <w:r w:rsidRPr="00B16159">
        <w:rPr>
          <w:szCs w:val="18"/>
          <w:u w:val="single"/>
          <w:lang w:val="ru-RU"/>
        </w:rPr>
        <w:t>.</w:t>
      </w:r>
      <w:r w:rsidRPr="00C84829">
        <w:rPr>
          <w:szCs w:val="18"/>
          <w:u w:val="single"/>
        </w:rPr>
        <w:t>com</w:t>
      </w:r>
      <w:r w:rsidRPr="00B16159">
        <w:rPr>
          <w:szCs w:val="18"/>
          <w:u w:val="single"/>
          <w:lang w:val="ru-RU"/>
        </w:rPr>
        <w:t>/</w:t>
      </w:r>
      <w:r w:rsidRPr="00C84829">
        <w:rPr>
          <w:szCs w:val="18"/>
          <w:u w:val="single"/>
        </w:rPr>
        <w:t>content</w:t>
      </w:r>
      <w:r w:rsidRPr="00B16159">
        <w:rPr>
          <w:szCs w:val="18"/>
          <w:u w:val="single"/>
          <w:lang w:val="ru-RU"/>
        </w:rPr>
        <w:t>/</w:t>
      </w:r>
      <w:r w:rsidRPr="00C84829">
        <w:rPr>
          <w:szCs w:val="18"/>
          <w:u w:val="single"/>
        </w:rPr>
        <w:t>updated</w:t>
      </w:r>
      <w:r w:rsidRPr="00B16159">
        <w:rPr>
          <w:szCs w:val="18"/>
          <w:u w:val="single"/>
          <w:lang w:val="ru-RU"/>
        </w:rPr>
        <w:t>-</w:t>
      </w:r>
      <w:r w:rsidRPr="00C84829">
        <w:rPr>
          <w:szCs w:val="18"/>
          <w:u w:val="single"/>
        </w:rPr>
        <w:t>stats</w:t>
      </w:r>
      <w:r w:rsidRPr="00B16159">
        <w:rPr>
          <w:szCs w:val="18"/>
          <w:u w:val="single"/>
          <w:lang w:val="ru-RU"/>
        </w:rPr>
        <w:t>-</w:t>
      </w:r>
      <w:r w:rsidRPr="00C84829">
        <w:rPr>
          <w:szCs w:val="18"/>
          <w:u w:val="single"/>
        </w:rPr>
        <w:t>page</w:t>
      </w:r>
      <w:r w:rsidRPr="00B16159">
        <w:rPr>
          <w:szCs w:val="18"/>
          <w:lang w:val="ru-RU"/>
        </w:rPr>
        <w:t xml:space="preserve">). </w:t>
      </w:r>
    </w:p>
  </w:footnote>
  <w:footnote w:id="35">
    <w:p w:rsidR="004C1D33" w:rsidRPr="004F56EF" w:rsidRDefault="004C1D33" w:rsidP="007F64F8">
      <w:pPr>
        <w:pStyle w:val="FootnoteText"/>
        <w:rPr>
          <w:szCs w:val="18"/>
          <w:lang w:val="ru-RU"/>
        </w:rPr>
      </w:pPr>
      <w:r w:rsidRPr="006475B9">
        <w:rPr>
          <w:rStyle w:val="FootnoteReference"/>
        </w:rPr>
        <w:footnoteRef/>
      </w:r>
      <w:r w:rsidRPr="004F56EF">
        <w:rPr>
          <w:szCs w:val="18"/>
          <w:lang w:val="ru-RU"/>
        </w:rPr>
        <w:t xml:space="preserve"> </w:t>
      </w:r>
      <w:r w:rsidRPr="004F56EF">
        <w:rPr>
          <w:szCs w:val="18"/>
          <w:lang w:val="ru-RU"/>
        </w:rPr>
        <w:tab/>
      </w:r>
      <w:r w:rsidR="00684A5D">
        <w:rPr>
          <w:szCs w:val="18"/>
          <w:lang w:val="ru-RU"/>
        </w:rPr>
        <w:t>Центра, с</w:t>
      </w:r>
      <w:r w:rsidRPr="004F56EF">
        <w:rPr>
          <w:lang w:val="ru-RU"/>
        </w:rPr>
        <w:t>о своей стороны</w:t>
      </w:r>
      <w:r w:rsidR="00684A5D">
        <w:rPr>
          <w:lang w:val="ru-RU"/>
        </w:rPr>
        <w:t>,</w:t>
      </w:r>
      <w:r w:rsidRPr="004F56EF">
        <w:rPr>
          <w:lang w:val="ru-RU"/>
        </w:rPr>
        <w:t xml:space="preserve"> направил в </w:t>
      </w:r>
      <w:r w:rsidRPr="004F56EF">
        <w:t>ICANN</w:t>
      </w:r>
      <w:r w:rsidR="00684A5D" w:rsidRPr="004F56EF">
        <w:rPr>
          <w:lang w:val="ru-RU"/>
        </w:rPr>
        <w:t xml:space="preserve"> в апреле 2009</w:t>
      </w:r>
      <w:r w:rsidR="00684A5D" w:rsidRPr="004F56EF">
        <w:t> </w:t>
      </w:r>
      <w:r w:rsidR="00684A5D" w:rsidRPr="004F56EF">
        <w:rPr>
          <w:lang w:val="ru-RU"/>
        </w:rPr>
        <w:t>г.</w:t>
      </w:r>
      <w:r w:rsidRPr="004F56EF">
        <w:rPr>
          <w:lang w:val="ru-RU"/>
        </w:rPr>
        <w:t xml:space="preserve"> дискуссионный проект «Ускоренный механизм приостановления действия регистрации (доменных имен)» и внес последующие предложения относительно усовершенствованного механизма, основанного на этой модели, на заседаниях </w:t>
      </w:r>
      <w:r w:rsidRPr="004F56EF">
        <w:t>ICANN</w:t>
      </w:r>
      <w:r w:rsidRPr="004F56EF">
        <w:rPr>
          <w:lang w:val="ru-RU"/>
        </w:rPr>
        <w:t xml:space="preserve"> в Праге и Торонто в 2012</w:t>
      </w:r>
      <w:r>
        <w:t> </w:t>
      </w:r>
      <w:r>
        <w:rPr>
          <w:lang w:val="ru-RU"/>
        </w:rPr>
        <w:t xml:space="preserve">г.  </w:t>
      </w:r>
      <w:r w:rsidRPr="004F56EF">
        <w:rPr>
          <w:lang w:val="ru-RU"/>
        </w:rPr>
        <w:t xml:space="preserve">Такие предложения учитывали необходимость установления разумного равновесия между охраной признаваемых законодательством прав на товарный знак, практическими интересами добросовестных регистрирующих органов с целью минимизации оперативной нагрузки и законными ожиданиями добросовестных владельцев зарегистрированных доменных имен.  </w:t>
      </w:r>
      <w:r>
        <w:rPr>
          <w:lang w:val="ru-RU"/>
        </w:rPr>
        <w:t>См</w:t>
      </w:r>
      <w:r w:rsidRPr="004F56EF">
        <w:rPr>
          <w:lang w:val="ru-RU"/>
        </w:rPr>
        <w:t>.</w:t>
      </w:r>
      <w:r w:rsidRPr="004F56EF">
        <w:rPr>
          <w:szCs w:val="18"/>
          <w:lang w:val="ru-RU"/>
        </w:rPr>
        <w:t xml:space="preserve"> </w:t>
      </w:r>
      <w:proofErr w:type="gramStart"/>
      <w:r w:rsidRPr="007F64F8">
        <w:rPr>
          <w:szCs w:val="18"/>
          <w:u w:val="single"/>
        </w:rPr>
        <w:t>http</w:t>
      </w:r>
      <w:r w:rsidRPr="004F56EF">
        <w:rPr>
          <w:szCs w:val="18"/>
          <w:u w:val="single"/>
          <w:lang w:val="ru-RU"/>
        </w:rPr>
        <w:t>://</w:t>
      </w:r>
      <w:r w:rsidRPr="007F64F8">
        <w:rPr>
          <w:szCs w:val="18"/>
          <w:u w:val="single"/>
        </w:rPr>
        <w:t>www</w:t>
      </w:r>
      <w:r w:rsidRPr="004F56EF">
        <w:rPr>
          <w:szCs w:val="18"/>
          <w:u w:val="single"/>
          <w:lang w:val="ru-RU"/>
        </w:rPr>
        <w:t>.</w:t>
      </w:r>
      <w:proofErr w:type="spellStart"/>
      <w:r w:rsidRPr="007F64F8">
        <w:rPr>
          <w:szCs w:val="18"/>
          <w:u w:val="single"/>
        </w:rPr>
        <w:t>wipo</w:t>
      </w:r>
      <w:proofErr w:type="spellEnd"/>
      <w:r w:rsidRPr="004F56EF">
        <w:rPr>
          <w:szCs w:val="18"/>
          <w:u w:val="single"/>
          <w:lang w:val="ru-RU"/>
        </w:rPr>
        <w:t>.</w:t>
      </w:r>
      <w:proofErr w:type="spellStart"/>
      <w:r w:rsidRPr="007F64F8">
        <w:rPr>
          <w:szCs w:val="18"/>
          <w:u w:val="single"/>
        </w:rPr>
        <w:t>int</w:t>
      </w:r>
      <w:proofErr w:type="spellEnd"/>
      <w:r w:rsidRPr="004F56EF">
        <w:rPr>
          <w:szCs w:val="18"/>
          <w:u w:val="single"/>
          <w:lang w:val="ru-RU"/>
        </w:rPr>
        <w:t>/</w:t>
      </w:r>
      <w:proofErr w:type="spellStart"/>
      <w:r w:rsidRPr="007F64F8">
        <w:rPr>
          <w:szCs w:val="18"/>
          <w:u w:val="single"/>
        </w:rPr>
        <w:t>amc</w:t>
      </w:r>
      <w:proofErr w:type="spellEnd"/>
      <w:r w:rsidRPr="004F56EF">
        <w:rPr>
          <w:szCs w:val="18"/>
          <w:u w:val="single"/>
          <w:lang w:val="ru-RU"/>
        </w:rPr>
        <w:t>/</w:t>
      </w:r>
      <w:r w:rsidRPr="007F64F8">
        <w:rPr>
          <w:szCs w:val="18"/>
          <w:u w:val="single"/>
        </w:rPr>
        <w:t>en</w:t>
      </w:r>
      <w:r w:rsidRPr="004F56EF">
        <w:rPr>
          <w:szCs w:val="18"/>
          <w:u w:val="single"/>
          <w:lang w:val="ru-RU"/>
        </w:rPr>
        <w:t>/</w:t>
      </w:r>
      <w:r w:rsidRPr="007F64F8">
        <w:rPr>
          <w:szCs w:val="18"/>
          <w:u w:val="single"/>
        </w:rPr>
        <w:t>docs</w:t>
      </w:r>
      <w:r w:rsidRPr="004F56EF">
        <w:rPr>
          <w:szCs w:val="18"/>
          <w:u w:val="single"/>
          <w:lang w:val="ru-RU"/>
        </w:rPr>
        <w:t>/</w:t>
      </w:r>
      <w:proofErr w:type="spellStart"/>
      <w:r w:rsidRPr="007F64F8">
        <w:rPr>
          <w:szCs w:val="18"/>
          <w:u w:val="single"/>
        </w:rPr>
        <w:t>icann</w:t>
      </w:r>
      <w:proofErr w:type="spellEnd"/>
      <w:r w:rsidRPr="004F56EF">
        <w:rPr>
          <w:szCs w:val="18"/>
          <w:u w:val="single"/>
          <w:lang w:val="ru-RU"/>
        </w:rPr>
        <w:t>030409.</w:t>
      </w:r>
      <w:r w:rsidRPr="007F64F8">
        <w:rPr>
          <w:szCs w:val="18"/>
          <w:u w:val="single"/>
        </w:rPr>
        <w:t>pdf</w:t>
      </w:r>
      <w:r>
        <w:rPr>
          <w:szCs w:val="18"/>
          <w:u w:val="single"/>
          <w:lang w:val="ru-RU"/>
        </w:rPr>
        <w:t>;</w:t>
      </w:r>
      <w:r w:rsidRPr="004F56EF">
        <w:rPr>
          <w:szCs w:val="18"/>
          <w:lang w:val="ru-RU"/>
        </w:rPr>
        <w:t xml:space="preserve"> </w:t>
      </w:r>
      <w:hyperlink r:id="rId3" w:history="1">
        <w:r w:rsidRPr="006475B9">
          <w:rPr>
            <w:szCs w:val="18"/>
            <w:u w:val="single"/>
          </w:rPr>
          <w:t>http</w:t>
        </w:r>
        <w:r w:rsidRPr="004F56EF">
          <w:rPr>
            <w:szCs w:val="18"/>
            <w:u w:val="single"/>
            <w:lang w:val="ru-RU"/>
          </w:rPr>
          <w:t>://</w:t>
        </w:r>
        <w:r w:rsidRPr="006475B9">
          <w:rPr>
            <w:szCs w:val="18"/>
            <w:u w:val="single"/>
          </w:rPr>
          <w:t>prague</w:t>
        </w:r>
        <w:r w:rsidRPr="004F56EF">
          <w:rPr>
            <w:szCs w:val="18"/>
            <w:u w:val="single"/>
            <w:lang w:val="ru-RU"/>
          </w:rPr>
          <w:t>44.</w:t>
        </w:r>
        <w:r w:rsidRPr="006475B9">
          <w:rPr>
            <w:szCs w:val="18"/>
            <w:u w:val="single"/>
          </w:rPr>
          <w:t>icann</w:t>
        </w:r>
        <w:r w:rsidRPr="004F56EF">
          <w:rPr>
            <w:szCs w:val="18"/>
            <w:u w:val="single"/>
            <w:lang w:val="ru-RU"/>
          </w:rPr>
          <w:t>.</w:t>
        </w:r>
        <w:r w:rsidRPr="006475B9">
          <w:rPr>
            <w:szCs w:val="18"/>
            <w:u w:val="single"/>
          </w:rPr>
          <w:t>org</w:t>
        </w:r>
        <w:r w:rsidRPr="004F56EF">
          <w:rPr>
            <w:szCs w:val="18"/>
            <w:u w:val="single"/>
            <w:lang w:val="ru-RU"/>
          </w:rPr>
          <w:t>/</w:t>
        </w:r>
        <w:r w:rsidRPr="006475B9">
          <w:rPr>
            <w:szCs w:val="18"/>
            <w:u w:val="single"/>
          </w:rPr>
          <w:t>node</w:t>
        </w:r>
        <w:r w:rsidRPr="004F56EF">
          <w:rPr>
            <w:szCs w:val="18"/>
            <w:u w:val="single"/>
            <w:lang w:val="ru-RU"/>
          </w:rPr>
          <w:t>/31773</w:t>
        </w:r>
      </w:hyperlink>
      <w:r w:rsidRPr="004F56EF">
        <w:rPr>
          <w:szCs w:val="18"/>
          <w:u w:val="single"/>
          <w:lang w:val="ru-RU"/>
        </w:rPr>
        <w:t xml:space="preserve"> </w:t>
      </w:r>
      <w:r>
        <w:rPr>
          <w:szCs w:val="18"/>
          <w:u w:val="single"/>
          <w:lang w:val="ru-RU"/>
        </w:rPr>
        <w:t>и</w:t>
      </w:r>
      <w:r w:rsidRPr="004F56EF">
        <w:rPr>
          <w:szCs w:val="18"/>
          <w:u w:val="single"/>
          <w:lang w:val="ru-RU"/>
        </w:rPr>
        <w:t xml:space="preserve"> </w:t>
      </w:r>
      <w:hyperlink r:id="rId4" w:history="1">
        <w:proofErr w:type="gramEnd"/>
        <w:r w:rsidRPr="006475B9">
          <w:rPr>
            <w:szCs w:val="18"/>
            <w:u w:val="single"/>
          </w:rPr>
          <w:t>http</w:t>
        </w:r>
        <w:r w:rsidRPr="004F56EF">
          <w:rPr>
            <w:szCs w:val="18"/>
            <w:u w:val="single"/>
            <w:lang w:val="ru-RU"/>
          </w:rPr>
          <w:t>://</w:t>
        </w:r>
        <w:r w:rsidRPr="006475B9">
          <w:rPr>
            <w:szCs w:val="18"/>
            <w:u w:val="single"/>
          </w:rPr>
          <w:t>toronto</w:t>
        </w:r>
        <w:r w:rsidRPr="004F56EF">
          <w:rPr>
            <w:szCs w:val="18"/>
            <w:u w:val="single"/>
            <w:lang w:val="ru-RU"/>
          </w:rPr>
          <w:t>45.</w:t>
        </w:r>
        <w:r w:rsidRPr="006475B9">
          <w:rPr>
            <w:szCs w:val="18"/>
            <w:u w:val="single"/>
          </w:rPr>
          <w:t>icann</w:t>
        </w:r>
        <w:r w:rsidRPr="004F56EF">
          <w:rPr>
            <w:szCs w:val="18"/>
            <w:u w:val="single"/>
            <w:lang w:val="ru-RU"/>
          </w:rPr>
          <w:t>.</w:t>
        </w:r>
        <w:r w:rsidRPr="006475B9">
          <w:rPr>
            <w:szCs w:val="18"/>
            <w:u w:val="single"/>
          </w:rPr>
          <w:t>org</w:t>
        </w:r>
        <w:r w:rsidRPr="004F56EF">
          <w:rPr>
            <w:szCs w:val="18"/>
            <w:u w:val="single"/>
            <w:lang w:val="ru-RU"/>
          </w:rPr>
          <w:t>/</w:t>
        </w:r>
        <w:r w:rsidRPr="006475B9">
          <w:rPr>
            <w:szCs w:val="18"/>
            <w:u w:val="single"/>
          </w:rPr>
          <w:t>node</w:t>
        </w:r>
        <w:r w:rsidRPr="004F56EF">
          <w:rPr>
            <w:szCs w:val="18"/>
            <w:u w:val="single"/>
            <w:lang w:val="ru-RU"/>
          </w:rPr>
          <w:t>/34325</w:t>
        </w:r>
        <w:proofErr w:type="gramStart"/>
      </w:hyperlink>
      <w:r w:rsidRPr="004F56EF">
        <w:rPr>
          <w:szCs w:val="18"/>
          <w:lang w:val="ru-RU"/>
        </w:rPr>
        <w:t>.</w:t>
      </w:r>
      <w:proofErr w:type="gramEnd"/>
    </w:p>
  </w:footnote>
  <w:footnote w:id="36">
    <w:p w:rsidR="004C1D33" w:rsidRPr="00A25361" w:rsidRDefault="004C1D33" w:rsidP="00192C16">
      <w:pPr>
        <w:pStyle w:val="FootnoteText"/>
        <w:rPr>
          <w:szCs w:val="18"/>
          <w:lang w:val="ru-RU"/>
        </w:rPr>
      </w:pPr>
      <w:r w:rsidRPr="006475B9">
        <w:rPr>
          <w:rStyle w:val="FootnoteReference"/>
        </w:rPr>
        <w:footnoteRef/>
      </w:r>
      <w:r w:rsidRPr="00A25361">
        <w:rPr>
          <w:szCs w:val="18"/>
          <w:lang w:val="ru-RU"/>
        </w:rPr>
        <w:t xml:space="preserve"> </w:t>
      </w:r>
      <w:r w:rsidRPr="00A25361">
        <w:rPr>
          <w:szCs w:val="18"/>
          <w:lang w:val="ru-RU"/>
        </w:rPr>
        <w:tab/>
        <w:t>Подробный перечень таких вопросов содержится, в частности, в письме Центра от 2</w:t>
      </w:r>
      <w:r w:rsidRPr="00A25361">
        <w:rPr>
          <w:szCs w:val="18"/>
        </w:rPr>
        <w:t> </w:t>
      </w:r>
      <w:r w:rsidRPr="00A25361">
        <w:rPr>
          <w:szCs w:val="18"/>
          <w:lang w:val="ru-RU"/>
        </w:rPr>
        <w:t>декабря 2010</w:t>
      </w:r>
      <w:r w:rsidRPr="00A25361">
        <w:rPr>
          <w:szCs w:val="18"/>
        </w:rPr>
        <w:t> </w:t>
      </w:r>
      <w:r w:rsidRPr="00A25361">
        <w:rPr>
          <w:szCs w:val="18"/>
          <w:lang w:val="ru-RU"/>
        </w:rPr>
        <w:t>г., которое можно найти по адресу</w:t>
      </w:r>
      <w:r>
        <w:rPr>
          <w:szCs w:val="18"/>
          <w:lang w:val="ru-RU"/>
        </w:rPr>
        <w:t xml:space="preserve">: </w:t>
      </w:r>
      <w:r w:rsidRPr="00A25361">
        <w:rPr>
          <w:szCs w:val="18"/>
          <w:u w:val="single"/>
          <w:lang w:val="ru-RU"/>
        </w:rPr>
        <w:t xml:space="preserve"> </w:t>
      </w:r>
      <w:r w:rsidRPr="006475B9">
        <w:rPr>
          <w:szCs w:val="18"/>
          <w:u w:val="single"/>
        </w:rPr>
        <w:t>http</w:t>
      </w:r>
      <w:r w:rsidRPr="00A25361">
        <w:rPr>
          <w:szCs w:val="18"/>
          <w:u w:val="single"/>
          <w:lang w:val="ru-RU"/>
        </w:rPr>
        <w:t>://</w:t>
      </w:r>
      <w:r w:rsidRPr="006475B9">
        <w:rPr>
          <w:szCs w:val="18"/>
          <w:u w:val="single"/>
        </w:rPr>
        <w:t>www</w:t>
      </w:r>
      <w:r w:rsidRPr="00A25361">
        <w:rPr>
          <w:szCs w:val="18"/>
          <w:u w:val="single"/>
          <w:lang w:val="ru-RU"/>
        </w:rPr>
        <w:t>.</w:t>
      </w:r>
      <w:proofErr w:type="spellStart"/>
      <w:r w:rsidRPr="006475B9">
        <w:rPr>
          <w:szCs w:val="18"/>
          <w:u w:val="single"/>
        </w:rPr>
        <w:t>wipo</w:t>
      </w:r>
      <w:proofErr w:type="spellEnd"/>
      <w:r w:rsidRPr="00A25361">
        <w:rPr>
          <w:szCs w:val="18"/>
          <w:u w:val="single"/>
          <w:lang w:val="ru-RU"/>
        </w:rPr>
        <w:t>.</w:t>
      </w:r>
      <w:proofErr w:type="spellStart"/>
      <w:r w:rsidRPr="006475B9">
        <w:rPr>
          <w:szCs w:val="18"/>
          <w:u w:val="single"/>
        </w:rPr>
        <w:t>int</w:t>
      </w:r>
      <w:proofErr w:type="spellEnd"/>
      <w:r w:rsidRPr="00A25361">
        <w:rPr>
          <w:szCs w:val="18"/>
          <w:u w:val="single"/>
          <w:lang w:val="ru-RU"/>
        </w:rPr>
        <w:t>/</w:t>
      </w:r>
      <w:proofErr w:type="spellStart"/>
      <w:r w:rsidRPr="006475B9">
        <w:rPr>
          <w:szCs w:val="18"/>
          <w:u w:val="single"/>
        </w:rPr>
        <w:t>amc</w:t>
      </w:r>
      <w:proofErr w:type="spellEnd"/>
      <w:r w:rsidRPr="00A25361">
        <w:rPr>
          <w:szCs w:val="18"/>
          <w:u w:val="single"/>
          <w:lang w:val="ru-RU"/>
        </w:rPr>
        <w:t>/</w:t>
      </w:r>
      <w:r w:rsidRPr="006475B9">
        <w:rPr>
          <w:szCs w:val="18"/>
          <w:u w:val="single"/>
        </w:rPr>
        <w:t>en</w:t>
      </w:r>
      <w:r w:rsidRPr="00A25361">
        <w:rPr>
          <w:szCs w:val="18"/>
          <w:u w:val="single"/>
          <w:lang w:val="ru-RU"/>
        </w:rPr>
        <w:t>/</w:t>
      </w:r>
      <w:r w:rsidRPr="006475B9">
        <w:rPr>
          <w:szCs w:val="18"/>
          <w:u w:val="single"/>
        </w:rPr>
        <w:t>docs</w:t>
      </w:r>
      <w:r w:rsidRPr="00A25361">
        <w:rPr>
          <w:szCs w:val="18"/>
          <w:u w:val="single"/>
          <w:lang w:val="ru-RU"/>
        </w:rPr>
        <w:t>/</w:t>
      </w:r>
      <w:proofErr w:type="spellStart"/>
      <w:r w:rsidRPr="006475B9">
        <w:rPr>
          <w:szCs w:val="18"/>
          <w:u w:val="single"/>
        </w:rPr>
        <w:t>icann</w:t>
      </w:r>
      <w:proofErr w:type="spellEnd"/>
      <w:r w:rsidRPr="00A25361">
        <w:rPr>
          <w:szCs w:val="18"/>
          <w:u w:val="single"/>
          <w:lang w:val="ru-RU"/>
        </w:rPr>
        <w:t>021210.</w:t>
      </w:r>
      <w:r w:rsidRPr="006475B9">
        <w:rPr>
          <w:szCs w:val="18"/>
          <w:u w:val="single"/>
        </w:rPr>
        <w:t>pdf</w:t>
      </w:r>
      <w:r w:rsidRPr="00A25361">
        <w:rPr>
          <w:szCs w:val="18"/>
          <w:lang w:val="ru-RU"/>
        </w:rPr>
        <w:t xml:space="preserve">.  Некоторые из этих вопросов были включены в повестку дня совещания </w:t>
      </w:r>
      <w:r w:rsidRPr="00A25361">
        <w:rPr>
          <w:szCs w:val="18"/>
        </w:rPr>
        <w:t>ICANN</w:t>
      </w:r>
      <w:r w:rsidRPr="00A25361">
        <w:rPr>
          <w:szCs w:val="18"/>
          <w:lang w:val="ru-RU"/>
        </w:rPr>
        <w:t>, состоявшегося в Праге в июне 2012</w:t>
      </w:r>
      <w:r>
        <w:rPr>
          <w:szCs w:val="18"/>
          <w:lang w:val="ru-RU"/>
        </w:rPr>
        <w:t> </w:t>
      </w:r>
      <w:r w:rsidRPr="00A25361">
        <w:rPr>
          <w:szCs w:val="18"/>
          <w:lang w:val="ru-RU"/>
        </w:rPr>
        <w:t>г.</w:t>
      </w:r>
    </w:p>
  </w:footnote>
  <w:footnote w:id="37">
    <w:p w:rsidR="004C1D33" w:rsidRPr="009161C8" w:rsidRDefault="004C1D33" w:rsidP="00192C16">
      <w:pPr>
        <w:pStyle w:val="FootnoteText"/>
        <w:rPr>
          <w:szCs w:val="18"/>
          <w:lang w:val="ru-RU"/>
        </w:rPr>
      </w:pPr>
      <w:r w:rsidRPr="006475B9">
        <w:rPr>
          <w:rStyle w:val="FootnoteReference"/>
        </w:rPr>
        <w:footnoteRef/>
      </w:r>
      <w:r w:rsidRPr="009161C8">
        <w:rPr>
          <w:rStyle w:val="FootnoteReference"/>
          <w:lang w:val="ru-RU"/>
        </w:rPr>
        <w:t xml:space="preserve"> </w:t>
      </w:r>
      <w:r w:rsidRPr="009161C8">
        <w:rPr>
          <w:szCs w:val="18"/>
          <w:lang w:val="ru-RU"/>
        </w:rPr>
        <w:tab/>
      </w:r>
      <w:r>
        <w:rPr>
          <w:szCs w:val="18"/>
          <w:lang w:val="ru-RU"/>
        </w:rPr>
        <w:t>Аккредитация</w:t>
      </w:r>
      <w:r w:rsidRPr="009161C8">
        <w:rPr>
          <w:szCs w:val="18"/>
          <w:lang w:val="ru-RU"/>
        </w:rPr>
        <w:t xml:space="preserve"> </w:t>
      </w:r>
      <w:r>
        <w:rPr>
          <w:szCs w:val="18"/>
          <w:lang w:val="ru-RU"/>
        </w:rPr>
        <w:t>поставщиков</w:t>
      </w:r>
      <w:r w:rsidRPr="009161C8">
        <w:rPr>
          <w:szCs w:val="18"/>
          <w:lang w:val="ru-RU"/>
        </w:rPr>
        <w:t xml:space="preserve"> </w:t>
      </w:r>
      <w:r>
        <w:rPr>
          <w:szCs w:val="18"/>
          <w:lang w:val="ru-RU"/>
        </w:rPr>
        <w:t>услуг</w:t>
      </w:r>
      <w:r w:rsidRPr="009161C8">
        <w:rPr>
          <w:szCs w:val="18"/>
          <w:lang w:val="ru-RU"/>
        </w:rPr>
        <w:t xml:space="preserve"> </w:t>
      </w:r>
      <w:r>
        <w:rPr>
          <w:szCs w:val="18"/>
          <w:lang w:val="ru-RU"/>
        </w:rPr>
        <w:t>вызывает</w:t>
      </w:r>
      <w:r w:rsidRPr="009161C8">
        <w:rPr>
          <w:szCs w:val="18"/>
          <w:lang w:val="ru-RU"/>
        </w:rPr>
        <w:t xml:space="preserve"> </w:t>
      </w:r>
      <w:r>
        <w:rPr>
          <w:szCs w:val="18"/>
          <w:lang w:val="ru-RU"/>
        </w:rPr>
        <w:t>обеспокоенность</w:t>
      </w:r>
      <w:r w:rsidRPr="009161C8">
        <w:rPr>
          <w:szCs w:val="18"/>
          <w:lang w:val="ru-RU"/>
        </w:rPr>
        <w:t xml:space="preserve"> </w:t>
      </w:r>
      <w:r w:rsidR="00D37999">
        <w:rPr>
          <w:szCs w:val="18"/>
          <w:lang w:val="ru-RU"/>
        </w:rPr>
        <w:t xml:space="preserve">в контексте </w:t>
      </w:r>
      <w:r>
        <w:rPr>
          <w:szCs w:val="18"/>
          <w:lang w:val="ru-RU"/>
        </w:rPr>
        <w:t>стабильности</w:t>
      </w:r>
      <w:r w:rsidRPr="009161C8">
        <w:rPr>
          <w:szCs w:val="18"/>
          <w:lang w:val="ru-RU"/>
        </w:rPr>
        <w:t xml:space="preserve"> </w:t>
      </w:r>
      <w:r>
        <w:rPr>
          <w:szCs w:val="18"/>
          <w:lang w:val="ru-RU"/>
        </w:rPr>
        <w:t>МОП</w:t>
      </w:r>
      <w:r w:rsidRPr="009161C8">
        <w:rPr>
          <w:szCs w:val="18"/>
          <w:lang w:val="ru-RU"/>
        </w:rPr>
        <w:t xml:space="preserve">;  </w:t>
      </w:r>
      <w:r>
        <w:rPr>
          <w:szCs w:val="18"/>
          <w:lang w:val="ru-RU"/>
        </w:rPr>
        <w:t>ВОИС</w:t>
      </w:r>
      <w:r w:rsidRPr="009161C8">
        <w:rPr>
          <w:szCs w:val="18"/>
          <w:lang w:val="ru-RU"/>
        </w:rPr>
        <w:t xml:space="preserve"> </w:t>
      </w:r>
      <w:r>
        <w:rPr>
          <w:szCs w:val="18"/>
          <w:lang w:val="ru-RU"/>
        </w:rPr>
        <w:t>поднимала</w:t>
      </w:r>
      <w:r w:rsidRPr="009161C8">
        <w:rPr>
          <w:szCs w:val="18"/>
          <w:lang w:val="ru-RU"/>
        </w:rPr>
        <w:t xml:space="preserve"> </w:t>
      </w:r>
      <w:r>
        <w:rPr>
          <w:szCs w:val="18"/>
          <w:lang w:val="ru-RU"/>
        </w:rPr>
        <w:t>этот</w:t>
      </w:r>
      <w:r w:rsidRPr="009161C8">
        <w:rPr>
          <w:szCs w:val="18"/>
          <w:lang w:val="ru-RU"/>
        </w:rPr>
        <w:t xml:space="preserve"> </w:t>
      </w:r>
      <w:r>
        <w:rPr>
          <w:szCs w:val="18"/>
          <w:lang w:val="ru-RU"/>
        </w:rPr>
        <w:t>вопрос</w:t>
      </w:r>
      <w:r w:rsidRPr="009161C8">
        <w:rPr>
          <w:szCs w:val="18"/>
          <w:lang w:val="ru-RU"/>
        </w:rPr>
        <w:t xml:space="preserve"> </w:t>
      </w:r>
      <w:r>
        <w:rPr>
          <w:szCs w:val="18"/>
          <w:lang w:val="ru-RU"/>
        </w:rPr>
        <w:t>еще</w:t>
      </w:r>
      <w:r w:rsidRPr="009161C8">
        <w:rPr>
          <w:szCs w:val="18"/>
          <w:lang w:val="ru-RU"/>
        </w:rPr>
        <w:t xml:space="preserve"> </w:t>
      </w:r>
      <w:r>
        <w:rPr>
          <w:szCs w:val="18"/>
          <w:lang w:val="ru-RU"/>
        </w:rPr>
        <w:t>в</w:t>
      </w:r>
      <w:r w:rsidRPr="009161C8">
        <w:rPr>
          <w:szCs w:val="18"/>
          <w:lang w:val="ru-RU"/>
        </w:rPr>
        <w:t xml:space="preserve"> 2007</w:t>
      </w:r>
      <w:r w:rsidRPr="009161C8">
        <w:rPr>
          <w:szCs w:val="18"/>
        </w:rPr>
        <w:t> </w:t>
      </w:r>
      <w:r>
        <w:rPr>
          <w:szCs w:val="18"/>
          <w:lang w:val="ru-RU"/>
        </w:rPr>
        <w:t>г</w:t>
      </w:r>
      <w:r w:rsidRPr="009161C8">
        <w:rPr>
          <w:szCs w:val="18"/>
          <w:lang w:val="ru-RU"/>
        </w:rPr>
        <w:t xml:space="preserve">. </w:t>
      </w:r>
      <w:r>
        <w:rPr>
          <w:szCs w:val="18"/>
          <w:lang w:val="ru-RU"/>
        </w:rPr>
        <w:t>в контексте ЕПУС</w:t>
      </w:r>
      <w:r w:rsidRPr="009161C8">
        <w:rPr>
          <w:szCs w:val="18"/>
          <w:lang w:val="ru-RU"/>
        </w:rPr>
        <w:t xml:space="preserve"> (</w:t>
      </w:r>
      <w:r>
        <w:rPr>
          <w:szCs w:val="18"/>
          <w:lang w:val="ru-RU"/>
        </w:rPr>
        <w:t>см.</w:t>
      </w:r>
      <w:r w:rsidRPr="009161C8">
        <w:rPr>
          <w:szCs w:val="18"/>
          <w:lang w:val="ru-RU"/>
        </w:rPr>
        <w:t xml:space="preserve"> </w:t>
      </w:r>
      <w:r w:rsidRPr="00C84829">
        <w:rPr>
          <w:szCs w:val="18"/>
          <w:u w:val="single"/>
        </w:rPr>
        <w:t>http</w:t>
      </w:r>
      <w:r w:rsidRPr="009161C8">
        <w:rPr>
          <w:szCs w:val="18"/>
          <w:u w:val="single"/>
          <w:lang w:val="ru-RU"/>
        </w:rPr>
        <w:t>://</w:t>
      </w:r>
      <w:r>
        <w:rPr>
          <w:szCs w:val="18"/>
          <w:u w:val="single"/>
        </w:rPr>
        <w:t>www</w:t>
      </w:r>
      <w:r w:rsidRPr="009161C8">
        <w:rPr>
          <w:szCs w:val="18"/>
          <w:u w:val="single"/>
          <w:lang w:val="ru-RU"/>
        </w:rPr>
        <w:t>.</w:t>
      </w:r>
      <w:proofErr w:type="spellStart"/>
      <w:r>
        <w:rPr>
          <w:szCs w:val="18"/>
          <w:u w:val="single"/>
        </w:rPr>
        <w:t>wipo</w:t>
      </w:r>
      <w:proofErr w:type="spellEnd"/>
      <w:r w:rsidRPr="009161C8">
        <w:rPr>
          <w:szCs w:val="18"/>
          <w:u w:val="single"/>
          <w:lang w:val="ru-RU"/>
        </w:rPr>
        <w:t>.</w:t>
      </w:r>
      <w:proofErr w:type="spellStart"/>
      <w:r>
        <w:rPr>
          <w:szCs w:val="18"/>
          <w:u w:val="single"/>
        </w:rPr>
        <w:t>int</w:t>
      </w:r>
      <w:proofErr w:type="spellEnd"/>
      <w:r w:rsidRPr="009161C8">
        <w:rPr>
          <w:szCs w:val="18"/>
          <w:u w:val="single"/>
          <w:lang w:val="ru-RU"/>
        </w:rPr>
        <w:t>/</w:t>
      </w:r>
      <w:proofErr w:type="spellStart"/>
      <w:r w:rsidRPr="00C84829">
        <w:rPr>
          <w:szCs w:val="18"/>
          <w:u w:val="single"/>
        </w:rPr>
        <w:t>amc</w:t>
      </w:r>
      <w:proofErr w:type="spellEnd"/>
      <w:r w:rsidRPr="009161C8">
        <w:rPr>
          <w:szCs w:val="18"/>
          <w:u w:val="single"/>
          <w:lang w:val="ru-RU"/>
        </w:rPr>
        <w:t>/</w:t>
      </w:r>
      <w:r w:rsidRPr="00C84829">
        <w:rPr>
          <w:szCs w:val="18"/>
          <w:u w:val="single"/>
        </w:rPr>
        <w:t>en</w:t>
      </w:r>
      <w:r w:rsidRPr="009161C8">
        <w:rPr>
          <w:szCs w:val="18"/>
          <w:u w:val="single"/>
          <w:lang w:val="ru-RU"/>
        </w:rPr>
        <w:t>/</w:t>
      </w:r>
      <w:r w:rsidRPr="00C84829">
        <w:rPr>
          <w:szCs w:val="18"/>
          <w:u w:val="single"/>
        </w:rPr>
        <w:t>docs</w:t>
      </w:r>
      <w:r w:rsidRPr="009161C8">
        <w:rPr>
          <w:szCs w:val="18"/>
          <w:u w:val="single"/>
          <w:lang w:val="ru-RU"/>
        </w:rPr>
        <w:t>/</w:t>
      </w:r>
      <w:proofErr w:type="spellStart"/>
      <w:r w:rsidRPr="00C84829">
        <w:rPr>
          <w:szCs w:val="18"/>
          <w:u w:val="single"/>
        </w:rPr>
        <w:t>icann</w:t>
      </w:r>
      <w:proofErr w:type="spellEnd"/>
      <w:r w:rsidRPr="009161C8">
        <w:rPr>
          <w:szCs w:val="18"/>
          <w:u w:val="single"/>
          <w:lang w:val="ru-RU"/>
        </w:rPr>
        <w:t>040707.</w:t>
      </w:r>
      <w:r w:rsidRPr="00C84829">
        <w:rPr>
          <w:szCs w:val="18"/>
          <w:u w:val="single"/>
        </w:rPr>
        <w:t>pdf</w:t>
      </w:r>
      <w:r w:rsidRPr="009161C8">
        <w:rPr>
          <w:szCs w:val="18"/>
          <w:lang w:val="ru-RU"/>
        </w:rPr>
        <w:t xml:space="preserve">).  </w:t>
      </w:r>
    </w:p>
  </w:footnote>
  <w:footnote w:id="38">
    <w:p w:rsidR="004C1D33" w:rsidRPr="00361F05" w:rsidRDefault="004C1D33" w:rsidP="00192C16">
      <w:pPr>
        <w:pStyle w:val="FootnoteText"/>
        <w:rPr>
          <w:szCs w:val="18"/>
          <w:lang w:val="ru-RU"/>
        </w:rPr>
      </w:pPr>
      <w:r w:rsidRPr="006475B9">
        <w:rPr>
          <w:rStyle w:val="FootnoteReference"/>
        </w:rPr>
        <w:footnoteRef/>
      </w:r>
      <w:r w:rsidRPr="00361F05">
        <w:rPr>
          <w:rStyle w:val="FootnoteReference"/>
          <w:lang w:val="ru-RU"/>
        </w:rPr>
        <w:t xml:space="preserve"> </w:t>
      </w:r>
      <w:r w:rsidRPr="00361F05">
        <w:rPr>
          <w:szCs w:val="18"/>
          <w:lang w:val="ru-RU"/>
        </w:rPr>
        <w:tab/>
      </w:r>
      <w:r>
        <w:rPr>
          <w:szCs w:val="18"/>
          <w:lang w:val="ru-RU"/>
        </w:rPr>
        <w:t>См</w:t>
      </w:r>
      <w:r w:rsidRPr="00361F05">
        <w:rPr>
          <w:szCs w:val="18"/>
          <w:lang w:val="ru-RU"/>
        </w:rPr>
        <w:t xml:space="preserve">. </w:t>
      </w:r>
      <w:r w:rsidRPr="006475B9">
        <w:rPr>
          <w:szCs w:val="18"/>
          <w:u w:val="single"/>
        </w:rPr>
        <w:t>https</w:t>
      </w:r>
      <w:r w:rsidRPr="00361F05">
        <w:rPr>
          <w:szCs w:val="18"/>
          <w:u w:val="single"/>
          <w:lang w:val="ru-RU"/>
        </w:rPr>
        <w:t>://</w:t>
      </w:r>
      <w:r w:rsidRPr="006475B9">
        <w:rPr>
          <w:szCs w:val="18"/>
          <w:u w:val="single"/>
        </w:rPr>
        <w:t>community</w:t>
      </w:r>
      <w:r w:rsidRPr="00361F05">
        <w:rPr>
          <w:szCs w:val="18"/>
          <w:u w:val="single"/>
          <w:lang w:val="ru-RU"/>
        </w:rPr>
        <w:t>.</w:t>
      </w:r>
      <w:proofErr w:type="spellStart"/>
      <w:r w:rsidRPr="006475B9">
        <w:rPr>
          <w:szCs w:val="18"/>
          <w:u w:val="single"/>
        </w:rPr>
        <w:t>icann</w:t>
      </w:r>
      <w:proofErr w:type="spellEnd"/>
      <w:r w:rsidRPr="00361F05">
        <w:rPr>
          <w:szCs w:val="18"/>
          <w:u w:val="single"/>
          <w:lang w:val="ru-RU"/>
        </w:rPr>
        <w:t>.</w:t>
      </w:r>
      <w:r w:rsidRPr="006475B9">
        <w:rPr>
          <w:szCs w:val="18"/>
          <w:u w:val="single"/>
        </w:rPr>
        <w:t>org</w:t>
      </w:r>
      <w:r w:rsidRPr="00361F05">
        <w:rPr>
          <w:szCs w:val="18"/>
          <w:u w:val="single"/>
          <w:lang w:val="ru-RU"/>
        </w:rPr>
        <w:t>/</w:t>
      </w:r>
      <w:r w:rsidRPr="006475B9">
        <w:rPr>
          <w:szCs w:val="18"/>
          <w:u w:val="single"/>
        </w:rPr>
        <w:t>display</w:t>
      </w:r>
      <w:r w:rsidRPr="00361F05">
        <w:rPr>
          <w:szCs w:val="18"/>
          <w:u w:val="single"/>
          <w:lang w:val="ru-RU"/>
        </w:rPr>
        <w:t>/</w:t>
      </w:r>
      <w:proofErr w:type="spellStart"/>
      <w:r w:rsidRPr="006475B9">
        <w:rPr>
          <w:szCs w:val="18"/>
          <w:u w:val="single"/>
        </w:rPr>
        <w:t>gnsoudrpdt</w:t>
      </w:r>
      <w:proofErr w:type="spellEnd"/>
      <w:r w:rsidRPr="00361F05">
        <w:rPr>
          <w:szCs w:val="18"/>
          <w:u w:val="single"/>
          <w:lang w:val="ru-RU"/>
        </w:rPr>
        <w:t>/</w:t>
      </w:r>
      <w:r w:rsidRPr="006475B9">
        <w:rPr>
          <w:szCs w:val="18"/>
          <w:u w:val="single"/>
        </w:rPr>
        <w:t>Webinar</w:t>
      </w:r>
      <w:r w:rsidRPr="00361F05">
        <w:rPr>
          <w:szCs w:val="18"/>
          <w:u w:val="single"/>
          <w:lang w:val="ru-RU"/>
        </w:rPr>
        <w:t>+</w:t>
      </w:r>
      <w:r w:rsidRPr="006475B9">
        <w:rPr>
          <w:szCs w:val="18"/>
          <w:u w:val="single"/>
        </w:rPr>
        <w:t>on</w:t>
      </w:r>
      <w:r w:rsidRPr="00361F05">
        <w:rPr>
          <w:szCs w:val="18"/>
          <w:u w:val="single"/>
          <w:lang w:val="ru-RU"/>
        </w:rPr>
        <w:t>+</w:t>
      </w:r>
      <w:r w:rsidRPr="006475B9">
        <w:rPr>
          <w:szCs w:val="18"/>
          <w:u w:val="single"/>
        </w:rPr>
        <w:t>the</w:t>
      </w:r>
      <w:r w:rsidRPr="00361F05">
        <w:rPr>
          <w:szCs w:val="18"/>
          <w:u w:val="single"/>
          <w:lang w:val="ru-RU"/>
        </w:rPr>
        <w:t>+</w:t>
      </w:r>
      <w:r w:rsidRPr="006475B9">
        <w:rPr>
          <w:szCs w:val="18"/>
          <w:u w:val="single"/>
        </w:rPr>
        <w:t>Current</w:t>
      </w:r>
      <w:r w:rsidRPr="00361F05">
        <w:rPr>
          <w:szCs w:val="18"/>
          <w:u w:val="single"/>
          <w:lang w:val="ru-RU"/>
        </w:rPr>
        <w:t>+</w:t>
      </w:r>
      <w:r w:rsidRPr="006475B9">
        <w:rPr>
          <w:szCs w:val="18"/>
          <w:u w:val="single"/>
        </w:rPr>
        <w:t>State</w:t>
      </w:r>
      <w:r w:rsidRPr="00361F05">
        <w:rPr>
          <w:szCs w:val="18"/>
          <w:u w:val="single"/>
          <w:lang w:val="ru-RU"/>
        </w:rPr>
        <w:t>+</w:t>
      </w:r>
      <w:r w:rsidRPr="006475B9">
        <w:rPr>
          <w:szCs w:val="18"/>
          <w:u w:val="single"/>
        </w:rPr>
        <w:t>of</w:t>
      </w:r>
      <w:r w:rsidRPr="00361F05">
        <w:rPr>
          <w:szCs w:val="18"/>
          <w:u w:val="single"/>
          <w:lang w:val="ru-RU"/>
        </w:rPr>
        <w:t>+</w:t>
      </w:r>
      <w:r w:rsidRPr="006475B9">
        <w:rPr>
          <w:szCs w:val="18"/>
          <w:u w:val="single"/>
        </w:rPr>
        <w:t>the</w:t>
      </w:r>
      <w:r w:rsidRPr="00361F05">
        <w:rPr>
          <w:szCs w:val="18"/>
          <w:u w:val="single"/>
          <w:lang w:val="ru-RU"/>
        </w:rPr>
        <w:t>+</w:t>
      </w:r>
      <w:r w:rsidRPr="006475B9">
        <w:rPr>
          <w:szCs w:val="18"/>
          <w:u w:val="single"/>
        </w:rPr>
        <w:t>UDRP</w:t>
      </w:r>
      <w:r w:rsidRPr="00361F05">
        <w:rPr>
          <w:szCs w:val="18"/>
          <w:lang w:val="ru-RU"/>
        </w:rPr>
        <w:t xml:space="preserve">;  </w:t>
      </w:r>
      <w:r w:rsidR="00D37999">
        <w:rPr>
          <w:szCs w:val="18"/>
          <w:lang w:val="ru-RU"/>
        </w:rPr>
        <w:t xml:space="preserve">для полноты картины </w:t>
      </w:r>
      <w:r>
        <w:rPr>
          <w:szCs w:val="18"/>
          <w:lang w:val="ru-RU"/>
        </w:rPr>
        <w:t>см</w:t>
      </w:r>
      <w:r w:rsidRPr="00361F05">
        <w:rPr>
          <w:szCs w:val="18"/>
          <w:lang w:val="ru-RU"/>
        </w:rPr>
        <w:t xml:space="preserve">. </w:t>
      </w:r>
      <w:r>
        <w:rPr>
          <w:szCs w:val="18"/>
          <w:lang w:val="ru-RU"/>
        </w:rPr>
        <w:t>также</w:t>
      </w:r>
      <w:r w:rsidRPr="00361F05">
        <w:rPr>
          <w:szCs w:val="18"/>
          <w:lang w:val="ru-RU"/>
        </w:rPr>
        <w:t xml:space="preserve"> </w:t>
      </w:r>
      <w:r>
        <w:rPr>
          <w:szCs w:val="18"/>
          <w:lang w:val="ru-RU"/>
        </w:rPr>
        <w:t>документ</w:t>
      </w:r>
      <w:r w:rsidRPr="00361F05">
        <w:rPr>
          <w:szCs w:val="18"/>
          <w:lang w:val="ru-RU"/>
        </w:rPr>
        <w:t xml:space="preserve"> </w:t>
      </w:r>
      <w:r w:rsidRPr="006475B9">
        <w:rPr>
          <w:szCs w:val="18"/>
        </w:rPr>
        <w:t>WO</w:t>
      </w:r>
      <w:r w:rsidRPr="00361F05">
        <w:rPr>
          <w:szCs w:val="18"/>
          <w:lang w:val="ru-RU"/>
        </w:rPr>
        <w:t>/</w:t>
      </w:r>
      <w:r w:rsidRPr="006475B9">
        <w:rPr>
          <w:szCs w:val="18"/>
        </w:rPr>
        <w:t>GA</w:t>
      </w:r>
      <w:r w:rsidRPr="00361F05">
        <w:rPr>
          <w:szCs w:val="18"/>
          <w:lang w:val="ru-RU"/>
        </w:rPr>
        <w:t xml:space="preserve">/39/10, </w:t>
      </w:r>
      <w:r>
        <w:rPr>
          <w:szCs w:val="18"/>
          <w:lang w:val="ru-RU"/>
        </w:rPr>
        <w:t>пункт </w:t>
      </w:r>
      <w:r w:rsidRPr="00361F05">
        <w:rPr>
          <w:szCs w:val="18"/>
          <w:lang w:val="ru-RU"/>
        </w:rPr>
        <w:t>31.</w:t>
      </w:r>
    </w:p>
  </w:footnote>
  <w:footnote w:id="39">
    <w:p w:rsidR="004C1D33" w:rsidRPr="00361F05" w:rsidRDefault="004C1D33" w:rsidP="00192C16">
      <w:pPr>
        <w:pStyle w:val="FootnoteText"/>
        <w:rPr>
          <w:szCs w:val="18"/>
          <w:lang w:val="ru-RU"/>
        </w:rPr>
      </w:pPr>
      <w:r w:rsidRPr="006475B9">
        <w:rPr>
          <w:rStyle w:val="FootnoteReference"/>
        </w:rPr>
        <w:footnoteRef/>
      </w:r>
      <w:r w:rsidRPr="00361F05">
        <w:rPr>
          <w:szCs w:val="18"/>
          <w:lang w:val="ru-RU"/>
        </w:rPr>
        <w:t xml:space="preserve"> </w:t>
      </w:r>
      <w:r w:rsidRPr="00361F05">
        <w:rPr>
          <w:szCs w:val="18"/>
          <w:lang w:val="ru-RU"/>
        </w:rPr>
        <w:tab/>
      </w:r>
      <w:r>
        <w:rPr>
          <w:szCs w:val="18"/>
          <w:lang w:val="ru-RU"/>
        </w:rPr>
        <w:t>См.</w:t>
      </w:r>
      <w:r w:rsidRPr="00361F05">
        <w:rPr>
          <w:szCs w:val="18"/>
          <w:lang w:val="ru-RU"/>
        </w:rPr>
        <w:t xml:space="preserve"> </w:t>
      </w:r>
      <w:r w:rsidRPr="006475B9">
        <w:rPr>
          <w:szCs w:val="18"/>
          <w:u w:val="single"/>
        </w:rPr>
        <w:t>http</w:t>
      </w:r>
      <w:r w:rsidRPr="00361F05">
        <w:rPr>
          <w:szCs w:val="18"/>
          <w:u w:val="single"/>
          <w:lang w:val="ru-RU"/>
        </w:rPr>
        <w:t>://</w:t>
      </w:r>
      <w:proofErr w:type="spellStart"/>
      <w:r w:rsidRPr="006475B9">
        <w:rPr>
          <w:szCs w:val="18"/>
          <w:u w:val="single"/>
        </w:rPr>
        <w:t>gnso</w:t>
      </w:r>
      <w:proofErr w:type="spellEnd"/>
      <w:r w:rsidRPr="00361F05">
        <w:rPr>
          <w:szCs w:val="18"/>
          <w:u w:val="single"/>
          <w:lang w:val="ru-RU"/>
        </w:rPr>
        <w:t>.</w:t>
      </w:r>
      <w:proofErr w:type="spellStart"/>
      <w:r w:rsidRPr="006475B9">
        <w:rPr>
          <w:szCs w:val="18"/>
          <w:u w:val="single"/>
        </w:rPr>
        <w:t>icann</w:t>
      </w:r>
      <w:proofErr w:type="spellEnd"/>
      <w:r w:rsidRPr="00361F05">
        <w:rPr>
          <w:szCs w:val="18"/>
          <w:u w:val="single"/>
          <w:lang w:val="ru-RU"/>
        </w:rPr>
        <w:t>.</w:t>
      </w:r>
      <w:r w:rsidRPr="006475B9">
        <w:rPr>
          <w:szCs w:val="18"/>
          <w:u w:val="single"/>
        </w:rPr>
        <w:t>org</w:t>
      </w:r>
      <w:r w:rsidRPr="00361F05">
        <w:rPr>
          <w:szCs w:val="18"/>
          <w:u w:val="single"/>
          <w:lang w:val="ru-RU"/>
        </w:rPr>
        <w:t>/</w:t>
      </w:r>
      <w:r w:rsidRPr="006475B9">
        <w:rPr>
          <w:szCs w:val="18"/>
          <w:u w:val="single"/>
        </w:rPr>
        <w:t>meetings</w:t>
      </w:r>
      <w:r w:rsidRPr="00361F05">
        <w:rPr>
          <w:szCs w:val="18"/>
          <w:u w:val="single"/>
          <w:lang w:val="ru-RU"/>
        </w:rPr>
        <w:t>/</w:t>
      </w:r>
      <w:r w:rsidRPr="006475B9">
        <w:rPr>
          <w:szCs w:val="18"/>
          <w:u w:val="single"/>
        </w:rPr>
        <w:t>minutes</w:t>
      </w:r>
      <w:r w:rsidRPr="00361F05">
        <w:rPr>
          <w:szCs w:val="18"/>
          <w:u w:val="single"/>
          <w:lang w:val="ru-RU"/>
        </w:rPr>
        <w:t>-</w:t>
      </w:r>
      <w:r w:rsidRPr="006475B9">
        <w:rPr>
          <w:szCs w:val="18"/>
          <w:u w:val="single"/>
        </w:rPr>
        <w:t>council</w:t>
      </w:r>
      <w:r w:rsidRPr="00361F05">
        <w:rPr>
          <w:szCs w:val="18"/>
          <w:u w:val="single"/>
          <w:lang w:val="ru-RU"/>
        </w:rPr>
        <w:t>-15</w:t>
      </w:r>
      <w:proofErr w:type="spellStart"/>
      <w:r w:rsidRPr="006475B9">
        <w:rPr>
          <w:szCs w:val="18"/>
          <w:u w:val="single"/>
        </w:rPr>
        <w:t>dec</w:t>
      </w:r>
      <w:proofErr w:type="spellEnd"/>
      <w:r w:rsidRPr="00361F05">
        <w:rPr>
          <w:szCs w:val="18"/>
          <w:u w:val="single"/>
          <w:lang w:val="ru-RU"/>
        </w:rPr>
        <w:t>11-</w:t>
      </w:r>
      <w:r w:rsidRPr="006475B9">
        <w:rPr>
          <w:szCs w:val="18"/>
          <w:u w:val="single"/>
        </w:rPr>
        <w:t>en</w:t>
      </w:r>
      <w:r w:rsidRPr="00361F05">
        <w:rPr>
          <w:szCs w:val="18"/>
          <w:u w:val="single"/>
          <w:lang w:val="ru-RU"/>
        </w:rPr>
        <w:t>.</w:t>
      </w:r>
      <w:proofErr w:type="spellStart"/>
      <w:r w:rsidRPr="006475B9">
        <w:rPr>
          <w:szCs w:val="18"/>
          <w:u w:val="single"/>
        </w:rPr>
        <w:t>htm</w:t>
      </w:r>
      <w:proofErr w:type="spellEnd"/>
      <w:r w:rsidRPr="00361F05">
        <w:rPr>
          <w:szCs w:val="18"/>
          <w:lang w:val="ru-RU"/>
        </w:rPr>
        <w:t>.</w:t>
      </w:r>
    </w:p>
  </w:footnote>
  <w:footnote w:id="40">
    <w:p w:rsidR="004C1D33" w:rsidRPr="005F01DF" w:rsidRDefault="004C1D33" w:rsidP="001E4B86">
      <w:pPr>
        <w:rPr>
          <w:lang w:val="ru-RU"/>
        </w:rPr>
      </w:pPr>
      <w:r>
        <w:rPr>
          <w:rStyle w:val="FootnoteReference"/>
        </w:rPr>
        <w:footnoteRef/>
      </w:r>
      <w:r w:rsidRPr="005F01DF">
        <w:rPr>
          <w:lang w:val="ru-RU"/>
        </w:rPr>
        <w:t xml:space="preserve"> </w:t>
      </w:r>
      <w:r w:rsidRPr="005F01DF">
        <w:rPr>
          <w:lang w:val="ru-RU"/>
        </w:rPr>
        <w:tab/>
      </w:r>
      <w:r w:rsidRPr="005F01DF">
        <w:rPr>
          <w:sz w:val="18"/>
          <w:szCs w:val="22"/>
          <w:lang w:val="ru-RU"/>
        </w:rPr>
        <w:t xml:space="preserve">Тем временем </w:t>
      </w:r>
      <w:r w:rsidRPr="005F01DF">
        <w:rPr>
          <w:sz w:val="18"/>
          <w:szCs w:val="22"/>
        </w:rPr>
        <w:t>GNSO</w:t>
      </w:r>
      <w:r w:rsidRPr="005F01DF">
        <w:rPr>
          <w:sz w:val="18"/>
          <w:szCs w:val="22"/>
          <w:lang w:val="ru-RU"/>
        </w:rPr>
        <w:t xml:space="preserve"> </w:t>
      </w:r>
      <w:r w:rsidRPr="005F01DF">
        <w:rPr>
          <w:sz w:val="18"/>
          <w:szCs w:val="22"/>
        </w:rPr>
        <w:t>ICANN</w:t>
      </w:r>
      <w:r w:rsidRPr="005F01DF">
        <w:rPr>
          <w:sz w:val="18"/>
          <w:szCs w:val="22"/>
          <w:lang w:val="ru-RU"/>
        </w:rPr>
        <w:t xml:space="preserve"> приступила к «процессу разработки политики» (ПРП) с более ограниченным техническим мандатом на изучение механизма «фиксации» доменных имен, подлежащих рассмотрению в рамках ЕПУС, </w:t>
      </w:r>
      <w:r>
        <w:rPr>
          <w:sz w:val="18"/>
          <w:szCs w:val="22"/>
          <w:lang w:val="ru-RU"/>
        </w:rPr>
        <w:t>активное участие в котором принимает и Центр</w:t>
      </w:r>
      <w:r w:rsidRPr="005F01DF">
        <w:rPr>
          <w:sz w:val="18"/>
          <w:szCs w:val="22"/>
          <w:lang w:val="ru-RU"/>
        </w:rPr>
        <w:t>.</w:t>
      </w:r>
      <w:r w:rsidRPr="005F01DF">
        <w:rPr>
          <w:lang w:val="ru-RU"/>
        </w:rPr>
        <w:t xml:space="preserve"> </w:t>
      </w:r>
    </w:p>
  </w:footnote>
  <w:footnote w:id="41">
    <w:p w:rsidR="004C1D33" w:rsidRPr="00C729CD" w:rsidRDefault="004C1D33" w:rsidP="00192C16">
      <w:pPr>
        <w:pStyle w:val="FootnoteText"/>
        <w:rPr>
          <w:lang w:val="ru-RU"/>
        </w:rPr>
      </w:pPr>
      <w:r w:rsidRPr="006475B9">
        <w:rPr>
          <w:rStyle w:val="FootnoteReference"/>
        </w:rPr>
        <w:footnoteRef/>
      </w:r>
      <w:r w:rsidRPr="00CF0E08">
        <w:rPr>
          <w:lang w:val="ru-RU"/>
        </w:rPr>
        <w:t xml:space="preserve"> </w:t>
      </w:r>
      <w:r w:rsidRPr="00CF0E08">
        <w:rPr>
          <w:lang w:val="ru-RU"/>
        </w:rPr>
        <w:tab/>
      </w:r>
      <w:r>
        <w:rPr>
          <w:lang w:val="ru-RU"/>
        </w:rPr>
        <w:t>Помимо этого</w:t>
      </w:r>
      <w:r w:rsidRPr="00CF0E08">
        <w:rPr>
          <w:lang w:val="ru-RU"/>
        </w:rPr>
        <w:t xml:space="preserve">, еще </w:t>
      </w:r>
      <w:r w:rsidRPr="00CF0E08">
        <w:rPr>
          <w:lang w:val="ru-RU"/>
        </w:rPr>
        <w:t>до разработки новых рДВУ, 16</w:t>
      </w:r>
      <w:r w:rsidR="00DA6B7B">
        <w:rPr>
          <w:lang w:val="ru-RU"/>
        </w:rPr>
        <w:t> </w:t>
      </w:r>
      <w:r w:rsidRPr="00CF0E08">
        <w:rPr>
          <w:lang w:val="ru-RU"/>
        </w:rPr>
        <w:t>ноября 2009 г.</w:t>
      </w:r>
      <w:r w:rsidRPr="00CF0E08">
        <w:rPr>
          <w:vertAlign w:val="superscript"/>
          <w:lang w:val="ru-RU"/>
        </w:rPr>
        <w:t xml:space="preserve"> </w:t>
      </w:r>
      <w:r w:rsidRPr="00CF0E08">
        <w:t>ICANN</w:t>
      </w:r>
      <w:r w:rsidRPr="00CF0E08">
        <w:rPr>
          <w:lang w:val="ru-RU"/>
        </w:rPr>
        <w:t xml:space="preserve"> опубликовала окончательный план реализации ускоренного процесса введения </w:t>
      </w:r>
      <w:r w:rsidRPr="00CF0E08">
        <w:t>IDN</w:t>
      </w:r>
      <w:r w:rsidRPr="00CF0E08">
        <w:rPr>
          <w:lang w:val="ru-RU"/>
        </w:rPr>
        <w:t xml:space="preserve"> ксДВУ </w:t>
      </w:r>
      <w:r w:rsidRPr="00CF0E08">
        <w:rPr>
          <w:szCs w:val="22"/>
          <w:lang w:val="ru-RU"/>
        </w:rPr>
        <w:t>(</w:t>
      </w:r>
      <w:r>
        <w:rPr>
          <w:szCs w:val="22"/>
          <w:lang w:val="ru-RU"/>
        </w:rPr>
        <w:t>см.</w:t>
      </w:r>
      <w:r w:rsidRPr="00CF0E08">
        <w:rPr>
          <w:szCs w:val="18"/>
          <w:u w:val="single"/>
          <w:lang w:val="ru-RU"/>
        </w:rPr>
        <w:t xml:space="preserve"> </w:t>
      </w:r>
      <w:r w:rsidRPr="00C84829">
        <w:rPr>
          <w:szCs w:val="18"/>
          <w:u w:val="single"/>
        </w:rPr>
        <w:t>http</w:t>
      </w:r>
      <w:r w:rsidRPr="00CF0E08">
        <w:rPr>
          <w:szCs w:val="18"/>
          <w:u w:val="single"/>
          <w:lang w:val="ru-RU"/>
        </w:rPr>
        <w:t>://</w:t>
      </w:r>
      <w:r w:rsidRPr="00C84829">
        <w:rPr>
          <w:szCs w:val="18"/>
          <w:u w:val="single"/>
        </w:rPr>
        <w:t>www</w:t>
      </w:r>
      <w:r w:rsidRPr="00CF0E08">
        <w:rPr>
          <w:szCs w:val="18"/>
          <w:u w:val="single"/>
          <w:lang w:val="ru-RU"/>
        </w:rPr>
        <w:t>.</w:t>
      </w:r>
      <w:proofErr w:type="spellStart"/>
      <w:r w:rsidRPr="00C84829">
        <w:rPr>
          <w:szCs w:val="18"/>
          <w:u w:val="single"/>
        </w:rPr>
        <w:t>icann</w:t>
      </w:r>
      <w:proofErr w:type="spellEnd"/>
      <w:r w:rsidRPr="00CF0E08">
        <w:rPr>
          <w:szCs w:val="18"/>
          <w:u w:val="single"/>
          <w:lang w:val="ru-RU"/>
        </w:rPr>
        <w:t>.</w:t>
      </w:r>
      <w:r w:rsidRPr="00C84829">
        <w:rPr>
          <w:szCs w:val="18"/>
          <w:u w:val="single"/>
        </w:rPr>
        <w:t>org</w:t>
      </w:r>
      <w:r w:rsidRPr="00CF0E08">
        <w:rPr>
          <w:szCs w:val="18"/>
          <w:u w:val="single"/>
          <w:lang w:val="ru-RU"/>
        </w:rPr>
        <w:t>/</w:t>
      </w:r>
      <w:r w:rsidRPr="00C84829">
        <w:rPr>
          <w:szCs w:val="18"/>
          <w:u w:val="single"/>
        </w:rPr>
        <w:t>en</w:t>
      </w:r>
      <w:r w:rsidRPr="00CF0E08">
        <w:rPr>
          <w:szCs w:val="18"/>
          <w:u w:val="single"/>
          <w:lang w:val="ru-RU"/>
        </w:rPr>
        <w:t>/</w:t>
      </w:r>
      <w:r w:rsidRPr="00C84829">
        <w:rPr>
          <w:szCs w:val="18"/>
          <w:u w:val="single"/>
        </w:rPr>
        <w:t>topics</w:t>
      </w:r>
      <w:r w:rsidRPr="00CF0E08">
        <w:rPr>
          <w:szCs w:val="18"/>
          <w:u w:val="single"/>
          <w:lang w:val="ru-RU"/>
        </w:rPr>
        <w:t>/</w:t>
      </w:r>
      <w:proofErr w:type="spellStart"/>
      <w:r w:rsidRPr="00C84829">
        <w:rPr>
          <w:szCs w:val="18"/>
          <w:u w:val="single"/>
        </w:rPr>
        <w:t>idn</w:t>
      </w:r>
      <w:proofErr w:type="spellEnd"/>
      <w:r w:rsidRPr="00CF0E08">
        <w:rPr>
          <w:szCs w:val="18"/>
          <w:u w:val="single"/>
          <w:lang w:val="ru-RU"/>
        </w:rPr>
        <w:t>/</w:t>
      </w:r>
      <w:r w:rsidRPr="00C84829">
        <w:rPr>
          <w:szCs w:val="18"/>
          <w:u w:val="single"/>
        </w:rPr>
        <w:t>fast</w:t>
      </w:r>
      <w:r w:rsidRPr="00CF0E08">
        <w:rPr>
          <w:szCs w:val="18"/>
          <w:u w:val="single"/>
          <w:lang w:val="ru-RU"/>
        </w:rPr>
        <w:t>-</w:t>
      </w:r>
      <w:r w:rsidRPr="00C84829">
        <w:rPr>
          <w:szCs w:val="18"/>
          <w:u w:val="single"/>
        </w:rPr>
        <w:t>track</w:t>
      </w:r>
      <w:r w:rsidRPr="00CF0E08">
        <w:rPr>
          <w:szCs w:val="18"/>
          <w:u w:val="single"/>
          <w:lang w:val="ru-RU"/>
        </w:rPr>
        <w:t>/</w:t>
      </w:r>
      <w:proofErr w:type="spellStart"/>
      <w:r w:rsidRPr="00C84829">
        <w:rPr>
          <w:szCs w:val="18"/>
          <w:u w:val="single"/>
        </w:rPr>
        <w:t>idn</w:t>
      </w:r>
      <w:proofErr w:type="spellEnd"/>
      <w:r w:rsidRPr="00CF0E08">
        <w:rPr>
          <w:szCs w:val="18"/>
          <w:u w:val="single"/>
          <w:lang w:val="ru-RU"/>
        </w:rPr>
        <w:t>-</w:t>
      </w:r>
      <w:proofErr w:type="spellStart"/>
      <w:r w:rsidRPr="00C84829">
        <w:rPr>
          <w:szCs w:val="18"/>
          <w:u w:val="single"/>
        </w:rPr>
        <w:t>cctld</w:t>
      </w:r>
      <w:proofErr w:type="spellEnd"/>
      <w:r w:rsidRPr="00CF0E08">
        <w:rPr>
          <w:szCs w:val="18"/>
          <w:u w:val="single"/>
          <w:lang w:val="ru-RU"/>
        </w:rPr>
        <w:t>-</w:t>
      </w:r>
      <w:r w:rsidRPr="00C84829">
        <w:rPr>
          <w:szCs w:val="18"/>
          <w:u w:val="single"/>
        </w:rPr>
        <w:t>implementation</w:t>
      </w:r>
      <w:r w:rsidRPr="00CF0E08">
        <w:rPr>
          <w:szCs w:val="18"/>
          <w:u w:val="single"/>
          <w:lang w:val="ru-RU"/>
        </w:rPr>
        <w:t>-</w:t>
      </w:r>
      <w:r w:rsidRPr="00C84829">
        <w:rPr>
          <w:szCs w:val="18"/>
          <w:u w:val="single"/>
        </w:rPr>
        <w:t>plan</w:t>
      </w:r>
      <w:r w:rsidRPr="00CF0E08">
        <w:rPr>
          <w:szCs w:val="18"/>
          <w:u w:val="single"/>
          <w:lang w:val="ru-RU"/>
        </w:rPr>
        <w:t>-16</w:t>
      </w:r>
      <w:proofErr w:type="spellStart"/>
      <w:r w:rsidRPr="00C84829">
        <w:rPr>
          <w:szCs w:val="18"/>
          <w:u w:val="single"/>
        </w:rPr>
        <w:t>nov</w:t>
      </w:r>
      <w:proofErr w:type="spellEnd"/>
      <w:r w:rsidRPr="00CF0E08">
        <w:rPr>
          <w:szCs w:val="18"/>
          <w:u w:val="single"/>
          <w:lang w:val="ru-RU"/>
        </w:rPr>
        <w:t>09-</w:t>
      </w:r>
      <w:r w:rsidRPr="00C84829">
        <w:rPr>
          <w:szCs w:val="18"/>
          <w:u w:val="single"/>
        </w:rPr>
        <w:t>en</w:t>
      </w:r>
      <w:r w:rsidRPr="00CF0E08">
        <w:rPr>
          <w:szCs w:val="18"/>
          <w:u w:val="single"/>
          <w:lang w:val="ru-RU"/>
        </w:rPr>
        <w:t>.</w:t>
      </w:r>
      <w:r w:rsidRPr="00C84829">
        <w:rPr>
          <w:szCs w:val="18"/>
          <w:u w:val="single"/>
        </w:rPr>
        <w:t>pdf</w:t>
      </w:r>
      <w:r w:rsidRPr="00CF0E08">
        <w:rPr>
          <w:szCs w:val="18"/>
          <w:u w:val="single"/>
          <w:lang w:val="ru-RU"/>
        </w:rPr>
        <w:t>)</w:t>
      </w:r>
      <w:r w:rsidRPr="00CF0E08">
        <w:rPr>
          <w:szCs w:val="22"/>
          <w:lang w:val="ru-RU"/>
        </w:rPr>
        <w:t xml:space="preserve">.  </w:t>
      </w:r>
      <w:r>
        <w:rPr>
          <w:szCs w:val="22"/>
          <w:lang w:val="ru-RU"/>
        </w:rPr>
        <w:t>С этого времени в</w:t>
      </w:r>
      <w:r w:rsidRPr="004A199A">
        <w:rPr>
          <w:szCs w:val="22"/>
          <w:lang w:val="ru-RU"/>
        </w:rPr>
        <w:t xml:space="preserve"> рамках </w:t>
      </w:r>
      <w:r>
        <w:rPr>
          <w:szCs w:val="22"/>
          <w:lang w:val="ru-RU"/>
        </w:rPr>
        <w:t xml:space="preserve">обозначенного </w:t>
      </w:r>
      <w:r w:rsidRPr="004A199A">
        <w:rPr>
          <w:szCs w:val="22"/>
          <w:lang w:val="ru-RU"/>
        </w:rPr>
        <w:t xml:space="preserve">плана уже были введены несколько </w:t>
      </w:r>
      <w:r w:rsidRPr="004A199A">
        <w:rPr>
          <w:szCs w:val="22"/>
        </w:rPr>
        <w:t>IDN</w:t>
      </w:r>
      <w:r w:rsidRPr="004A199A">
        <w:rPr>
          <w:szCs w:val="22"/>
          <w:lang w:val="ru-RU"/>
        </w:rPr>
        <w:t xml:space="preserve"> ксДВУ, связанных с двухбуквенными кодами в стандарте </w:t>
      </w:r>
      <w:r w:rsidRPr="004A199A">
        <w:rPr>
          <w:szCs w:val="22"/>
        </w:rPr>
        <w:t>ISO </w:t>
      </w:r>
      <w:r w:rsidRPr="004A199A">
        <w:rPr>
          <w:szCs w:val="22"/>
          <w:lang w:val="ru-RU"/>
        </w:rPr>
        <w:t>3166-1 (</w:t>
      </w:r>
      <w:r>
        <w:rPr>
          <w:szCs w:val="22"/>
          <w:lang w:val="ru-RU"/>
        </w:rPr>
        <w:t>см</w:t>
      </w:r>
      <w:r w:rsidRPr="004A199A">
        <w:rPr>
          <w:szCs w:val="18"/>
          <w:lang w:val="ru-RU"/>
        </w:rPr>
        <w:t xml:space="preserve"> </w:t>
      </w:r>
      <w:r w:rsidRPr="00C84829">
        <w:rPr>
          <w:szCs w:val="18"/>
          <w:u w:val="single"/>
        </w:rPr>
        <w:t>http</w:t>
      </w:r>
      <w:r w:rsidRPr="004A199A">
        <w:rPr>
          <w:szCs w:val="18"/>
          <w:u w:val="single"/>
          <w:lang w:val="ru-RU"/>
        </w:rPr>
        <w:t>://</w:t>
      </w:r>
      <w:r w:rsidRPr="00C84829">
        <w:rPr>
          <w:szCs w:val="18"/>
          <w:u w:val="single"/>
        </w:rPr>
        <w:t>www</w:t>
      </w:r>
      <w:r w:rsidRPr="004A199A">
        <w:rPr>
          <w:szCs w:val="18"/>
          <w:u w:val="single"/>
          <w:lang w:val="ru-RU"/>
        </w:rPr>
        <w:t>.</w:t>
      </w:r>
      <w:proofErr w:type="spellStart"/>
      <w:r w:rsidRPr="00C84829">
        <w:rPr>
          <w:szCs w:val="18"/>
          <w:u w:val="single"/>
        </w:rPr>
        <w:t>iso</w:t>
      </w:r>
      <w:proofErr w:type="spellEnd"/>
      <w:r w:rsidRPr="004A199A">
        <w:rPr>
          <w:szCs w:val="18"/>
          <w:u w:val="single"/>
          <w:lang w:val="ru-RU"/>
        </w:rPr>
        <w:t>.</w:t>
      </w:r>
      <w:r w:rsidRPr="00C84829">
        <w:rPr>
          <w:szCs w:val="18"/>
          <w:u w:val="single"/>
        </w:rPr>
        <w:t>org</w:t>
      </w:r>
      <w:r w:rsidRPr="004A199A">
        <w:rPr>
          <w:szCs w:val="18"/>
          <w:u w:val="single"/>
          <w:lang w:val="ru-RU"/>
        </w:rPr>
        <w:t>/</w:t>
      </w:r>
      <w:proofErr w:type="spellStart"/>
      <w:r w:rsidRPr="00C84829">
        <w:rPr>
          <w:szCs w:val="18"/>
          <w:u w:val="single"/>
        </w:rPr>
        <w:t>iso</w:t>
      </w:r>
      <w:proofErr w:type="spellEnd"/>
      <w:r w:rsidRPr="004A199A">
        <w:rPr>
          <w:szCs w:val="18"/>
          <w:u w:val="single"/>
          <w:lang w:val="ru-RU"/>
        </w:rPr>
        <w:t>/</w:t>
      </w:r>
      <w:proofErr w:type="spellStart"/>
      <w:r w:rsidRPr="00C84829">
        <w:rPr>
          <w:szCs w:val="18"/>
          <w:u w:val="single"/>
        </w:rPr>
        <w:t>english</w:t>
      </w:r>
      <w:proofErr w:type="spellEnd"/>
      <w:r w:rsidRPr="004A199A">
        <w:rPr>
          <w:szCs w:val="18"/>
          <w:u w:val="single"/>
          <w:lang w:val="ru-RU"/>
        </w:rPr>
        <w:t>_</w:t>
      </w:r>
      <w:r w:rsidRPr="00C84829">
        <w:rPr>
          <w:szCs w:val="18"/>
          <w:u w:val="single"/>
        </w:rPr>
        <w:t>country</w:t>
      </w:r>
      <w:r w:rsidRPr="004A199A">
        <w:rPr>
          <w:szCs w:val="18"/>
          <w:u w:val="single"/>
          <w:lang w:val="ru-RU"/>
        </w:rPr>
        <w:t>_</w:t>
      </w:r>
      <w:r w:rsidRPr="00C84829">
        <w:rPr>
          <w:szCs w:val="18"/>
          <w:u w:val="single"/>
        </w:rPr>
        <w:t>names</w:t>
      </w:r>
      <w:r w:rsidRPr="004A199A">
        <w:rPr>
          <w:szCs w:val="18"/>
          <w:u w:val="single"/>
          <w:lang w:val="ru-RU"/>
        </w:rPr>
        <w:t>_</w:t>
      </w:r>
      <w:r w:rsidRPr="00C84829">
        <w:rPr>
          <w:szCs w:val="18"/>
          <w:u w:val="single"/>
        </w:rPr>
        <w:t>and</w:t>
      </w:r>
      <w:r w:rsidRPr="004A199A">
        <w:rPr>
          <w:szCs w:val="18"/>
          <w:u w:val="single"/>
          <w:lang w:val="ru-RU"/>
        </w:rPr>
        <w:t>_</w:t>
      </w:r>
      <w:r w:rsidRPr="00C84829">
        <w:rPr>
          <w:szCs w:val="18"/>
          <w:u w:val="single"/>
        </w:rPr>
        <w:t>code</w:t>
      </w:r>
      <w:r w:rsidRPr="004A199A">
        <w:rPr>
          <w:szCs w:val="18"/>
          <w:u w:val="single"/>
          <w:lang w:val="ru-RU"/>
        </w:rPr>
        <w:t>_</w:t>
      </w:r>
      <w:r w:rsidRPr="00C84829">
        <w:rPr>
          <w:szCs w:val="18"/>
          <w:u w:val="single"/>
        </w:rPr>
        <w:t>elements</w:t>
      </w:r>
      <w:r w:rsidRPr="004A199A">
        <w:rPr>
          <w:szCs w:val="18"/>
          <w:lang w:val="ru-RU"/>
        </w:rPr>
        <w:t xml:space="preserve">).  </w:t>
      </w:r>
      <w:r w:rsidRPr="00C729CD">
        <w:rPr>
          <w:szCs w:val="22"/>
          <w:lang w:val="ru-RU"/>
        </w:rPr>
        <w:t xml:space="preserve">Одобренные </w:t>
      </w:r>
      <w:r w:rsidR="00DA6B7B">
        <w:rPr>
          <w:szCs w:val="22"/>
          <w:lang w:val="ru-RU"/>
        </w:rPr>
        <w:t>за</w:t>
      </w:r>
      <w:r w:rsidRPr="00C729CD">
        <w:rPr>
          <w:szCs w:val="22"/>
          <w:lang w:val="ru-RU"/>
        </w:rPr>
        <w:t xml:space="preserve">просы по-прежнему передаются в корневую зону </w:t>
      </w:r>
      <w:r w:rsidRPr="00C729CD">
        <w:rPr>
          <w:szCs w:val="22"/>
        </w:rPr>
        <w:t>DNS</w:t>
      </w:r>
      <w:r w:rsidRPr="00C729CD">
        <w:rPr>
          <w:szCs w:val="22"/>
          <w:lang w:val="ru-RU"/>
        </w:rPr>
        <w:t xml:space="preserve"> (</w:t>
      </w:r>
      <w:r>
        <w:rPr>
          <w:szCs w:val="22"/>
          <w:lang w:val="ru-RU"/>
        </w:rPr>
        <w:t>см.</w:t>
      </w:r>
      <w:r w:rsidRPr="00C729CD">
        <w:rPr>
          <w:szCs w:val="18"/>
          <w:lang w:val="ru-RU"/>
        </w:rPr>
        <w:t xml:space="preserve"> </w:t>
      </w:r>
      <w:r w:rsidRPr="006475B9">
        <w:rPr>
          <w:szCs w:val="18"/>
          <w:u w:val="single"/>
        </w:rPr>
        <w:t>http</w:t>
      </w:r>
      <w:r w:rsidRPr="00C729CD">
        <w:rPr>
          <w:szCs w:val="18"/>
          <w:u w:val="single"/>
          <w:lang w:val="ru-RU"/>
        </w:rPr>
        <w:t>://</w:t>
      </w:r>
      <w:r w:rsidRPr="006475B9">
        <w:rPr>
          <w:szCs w:val="18"/>
          <w:u w:val="single"/>
        </w:rPr>
        <w:t>www</w:t>
      </w:r>
      <w:r w:rsidRPr="00C729CD">
        <w:rPr>
          <w:szCs w:val="18"/>
          <w:u w:val="single"/>
          <w:lang w:val="ru-RU"/>
        </w:rPr>
        <w:t>.</w:t>
      </w:r>
      <w:proofErr w:type="spellStart"/>
      <w:r w:rsidRPr="006475B9">
        <w:rPr>
          <w:szCs w:val="18"/>
          <w:u w:val="single"/>
        </w:rPr>
        <w:t>icann</w:t>
      </w:r>
      <w:proofErr w:type="spellEnd"/>
      <w:r w:rsidRPr="00C729CD">
        <w:rPr>
          <w:szCs w:val="18"/>
          <w:u w:val="single"/>
          <w:lang w:val="ru-RU"/>
        </w:rPr>
        <w:t>.</w:t>
      </w:r>
      <w:r w:rsidRPr="006475B9">
        <w:rPr>
          <w:szCs w:val="18"/>
          <w:u w:val="single"/>
        </w:rPr>
        <w:t>org</w:t>
      </w:r>
      <w:r w:rsidRPr="00C729CD">
        <w:rPr>
          <w:szCs w:val="18"/>
          <w:u w:val="single"/>
          <w:lang w:val="ru-RU"/>
        </w:rPr>
        <w:t>/</w:t>
      </w:r>
      <w:r w:rsidRPr="006475B9">
        <w:rPr>
          <w:szCs w:val="18"/>
          <w:u w:val="single"/>
        </w:rPr>
        <w:t>en</w:t>
      </w:r>
      <w:r w:rsidRPr="00C729CD">
        <w:rPr>
          <w:szCs w:val="18"/>
          <w:u w:val="single"/>
          <w:lang w:val="ru-RU"/>
        </w:rPr>
        <w:t>/</w:t>
      </w:r>
      <w:r w:rsidRPr="006475B9">
        <w:rPr>
          <w:szCs w:val="18"/>
          <w:u w:val="single"/>
        </w:rPr>
        <w:t>topics</w:t>
      </w:r>
      <w:r w:rsidRPr="00C729CD">
        <w:rPr>
          <w:szCs w:val="18"/>
          <w:u w:val="single"/>
          <w:lang w:val="ru-RU"/>
        </w:rPr>
        <w:t>/</w:t>
      </w:r>
      <w:proofErr w:type="spellStart"/>
      <w:r w:rsidRPr="006475B9">
        <w:rPr>
          <w:szCs w:val="18"/>
          <w:u w:val="single"/>
        </w:rPr>
        <w:t>idn</w:t>
      </w:r>
      <w:proofErr w:type="spellEnd"/>
      <w:r w:rsidRPr="00C729CD">
        <w:rPr>
          <w:szCs w:val="18"/>
          <w:u w:val="single"/>
          <w:lang w:val="ru-RU"/>
        </w:rPr>
        <w:t>/</w:t>
      </w:r>
      <w:r w:rsidRPr="006475B9">
        <w:rPr>
          <w:szCs w:val="18"/>
          <w:u w:val="single"/>
        </w:rPr>
        <w:t>fast</w:t>
      </w:r>
      <w:r w:rsidRPr="00C729CD">
        <w:rPr>
          <w:szCs w:val="18"/>
          <w:u w:val="single"/>
          <w:lang w:val="ru-RU"/>
        </w:rPr>
        <w:t>-</w:t>
      </w:r>
      <w:r w:rsidRPr="006475B9">
        <w:rPr>
          <w:szCs w:val="18"/>
          <w:u w:val="single"/>
        </w:rPr>
        <w:t>track</w:t>
      </w:r>
      <w:r w:rsidRPr="00C729CD">
        <w:rPr>
          <w:szCs w:val="18"/>
          <w:u w:val="single"/>
          <w:lang w:val="ru-RU"/>
        </w:rPr>
        <w:t>/</w:t>
      </w:r>
      <w:r w:rsidRPr="00C729CD">
        <w:rPr>
          <w:szCs w:val="18"/>
          <w:lang w:val="ru-RU"/>
        </w:rPr>
        <w:t>).</w:t>
      </w:r>
    </w:p>
  </w:footnote>
  <w:footnote w:id="42">
    <w:p w:rsidR="004C1D33" w:rsidRPr="00E175B4" w:rsidRDefault="004C1D33" w:rsidP="00192C16">
      <w:pPr>
        <w:pStyle w:val="FootnoteText"/>
        <w:rPr>
          <w:szCs w:val="18"/>
          <w:lang w:val="ru-RU"/>
        </w:rPr>
      </w:pPr>
      <w:r w:rsidRPr="006475B9">
        <w:rPr>
          <w:rStyle w:val="FootnoteReference"/>
        </w:rPr>
        <w:footnoteRef/>
      </w:r>
      <w:r w:rsidRPr="00E175B4">
        <w:rPr>
          <w:rStyle w:val="FootnoteReference"/>
          <w:lang w:val="ru-RU"/>
        </w:rPr>
        <w:t xml:space="preserve"> </w:t>
      </w:r>
      <w:r w:rsidRPr="00E175B4">
        <w:rPr>
          <w:szCs w:val="18"/>
          <w:lang w:val="ru-RU"/>
        </w:rPr>
        <w:tab/>
      </w:r>
      <w:r>
        <w:rPr>
          <w:szCs w:val="18"/>
          <w:lang w:val="ru-RU"/>
        </w:rPr>
        <w:t>См</w:t>
      </w:r>
      <w:r w:rsidRPr="00E175B4">
        <w:rPr>
          <w:szCs w:val="18"/>
          <w:lang w:val="ru-RU"/>
        </w:rPr>
        <w:t xml:space="preserve">. </w:t>
      </w:r>
      <w:r w:rsidRPr="006475B9">
        <w:rPr>
          <w:szCs w:val="18"/>
          <w:u w:val="single"/>
        </w:rPr>
        <w:t>http</w:t>
      </w:r>
      <w:r w:rsidRPr="00E175B4">
        <w:rPr>
          <w:szCs w:val="18"/>
          <w:u w:val="single"/>
          <w:lang w:val="ru-RU"/>
        </w:rPr>
        <w:t>://</w:t>
      </w:r>
      <w:r w:rsidRPr="006475B9">
        <w:rPr>
          <w:szCs w:val="18"/>
          <w:u w:val="single"/>
        </w:rPr>
        <w:t>www</w:t>
      </w:r>
      <w:r w:rsidRPr="00E175B4">
        <w:rPr>
          <w:szCs w:val="18"/>
          <w:u w:val="single"/>
          <w:lang w:val="ru-RU"/>
        </w:rPr>
        <w:t>.</w:t>
      </w:r>
      <w:proofErr w:type="spellStart"/>
      <w:r w:rsidRPr="006475B9">
        <w:rPr>
          <w:szCs w:val="18"/>
          <w:u w:val="single"/>
        </w:rPr>
        <w:t>wipo</w:t>
      </w:r>
      <w:proofErr w:type="spellEnd"/>
      <w:r w:rsidRPr="00E175B4">
        <w:rPr>
          <w:szCs w:val="18"/>
          <w:u w:val="single"/>
          <w:lang w:val="ru-RU"/>
        </w:rPr>
        <w:t>.</w:t>
      </w:r>
      <w:proofErr w:type="spellStart"/>
      <w:r w:rsidRPr="006475B9">
        <w:rPr>
          <w:szCs w:val="18"/>
          <w:u w:val="single"/>
        </w:rPr>
        <w:t>int</w:t>
      </w:r>
      <w:proofErr w:type="spellEnd"/>
      <w:r w:rsidRPr="00E175B4">
        <w:rPr>
          <w:szCs w:val="18"/>
          <w:u w:val="single"/>
          <w:lang w:val="ru-RU"/>
        </w:rPr>
        <w:t>/</w:t>
      </w:r>
      <w:proofErr w:type="spellStart"/>
      <w:r w:rsidRPr="006475B9">
        <w:rPr>
          <w:szCs w:val="18"/>
          <w:u w:val="single"/>
        </w:rPr>
        <w:t>edocs</w:t>
      </w:r>
      <w:proofErr w:type="spellEnd"/>
      <w:r w:rsidRPr="00E175B4">
        <w:rPr>
          <w:szCs w:val="18"/>
          <w:u w:val="single"/>
          <w:lang w:val="ru-RU"/>
        </w:rPr>
        <w:t>/</w:t>
      </w:r>
      <w:proofErr w:type="spellStart"/>
      <w:r w:rsidRPr="006475B9">
        <w:rPr>
          <w:szCs w:val="18"/>
          <w:u w:val="single"/>
        </w:rPr>
        <w:t>mdocs</w:t>
      </w:r>
      <w:proofErr w:type="spellEnd"/>
      <w:r w:rsidRPr="00E175B4">
        <w:rPr>
          <w:szCs w:val="18"/>
          <w:u w:val="single"/>
          <w:lang w:val="ru-RU"/>
        </w:rPr>
        <w:t>/</w:t>
      </w:r>
      <w:proofErr w:type="spellStart"/>
      <w:r w:rsidRPr="006475B9">
        <w:rPr>
          <w:szCs w:val="18"/>
          <w:u w:val="single"/>
        </w:rPr>
        <w:t>govbody</w:t>
      </w:r>
      <w:proofErr w:type="spellEnd"/>
      <w:r w:rsidRPr="00E175B4">
        <w:rPr>
          <w:szCs w:val="18"/>
          <w:u w:val="single"/>
          <w:lang w:val="ru-RU"/>
        </w:rPr>
        <w:t>/</w:t>
      </w:r>
      <w:r w:rsidRPr="006475B9">
        <w:rPr>
          <w:szCs w:val="18"/>
          <w:u w:val="single"/>
        </w:rPr>
        <w:t>en</w:t>
      </w:r>
      <w:r w:rsidRPr="00E175B4">
        <w:rPr>
          <w:szCs w:val="18"/>
          <w:u w:val="single"/>
          <w:lang w:val="ru-RU"/>
        </w:rPr>
        <w:t>/</w:t>
      </w:r>
      <w:proofErr w:type="spellStart"/>
      <w:r w:rsidRPr="006475B9">
        <w:rPr>
          <w:szCs w:val="18"/>
          <w:u w:val="single"/>
        </w:rPr>
        <w:t>wo</w:t>
      </w:r>
      <w:proofErr w:type="spellEnd"/>
      <w:r w:rsidRPr="00E175B4">
        <w:rPr>
          <w:szCs w:val="18"/>
          <w:u w:val="single"/>
          <w:lang w:val="ru-RU"/>
        </w:rPr>
        <w:t>_</w:t>
      </w:r>
      <w:proofErr w:type="spellStart"/>
      <w:r w:rsidRPr="006475B9">
        <w:rPr>
          <w:szCs w:val="18"/>
          <w:u w:val="single"/>
        </w:rPr>
        <w:t>ga</w:t>
      </w:r>
      <w:proofErr w:type="spellEnd"/>
      <w:r w:rsidRPr="00E175B4">
        <w:rPr>
          <w:szCs w:val="18"/>
          <w:u w:val="single"/>
          <w:lang w:val="ru-RU"/>
        </w:rPr>
        <w:t>_28/</w:t>
      </w:r>
      <w:proofErr w:type="spellStart"/>
      <w:r w:rsidRPr="006475B9">
        <w:rPr>
          <w:szCs w:val="18"/>
          <w:u w:val="single"/>
        </w:rPr>
        <w:t>wo</w:t>
      </w:r>
      <w:proofErr w:type="spellEnd"/>
      <w:r w:rsidRPr="00E175B4">
        <w:rPr>
          <w:szCs w:val="18"/>
          <w:u w:val="single"/>
          <w:lang w:val="ru-RU"/>
        </w:rPr>
        <w:t>_</w:t>
      </w:r>
      <w:proofErr w:type="spellStart"/>
      <w:r w:rsidRPr="006475B9">
        <w:rPr>
          <w:szCs w:val="18"/>
          <w:u w:val="single"/>
        </w:rPr>
        <w:t>ga</w:t>
      </w:r>
      <w:proofErr w:type="spellEnd"/>
      <w:r w:rsidRPr="00E175B4">
        <w:rPr>
          <w:szCs w:val="18"/>
          <w:u w:val="single"/>
          <w:lang w:val="ru-RU"/>
        </w:rPr>
        <w:t>_28_3.</w:t>
      </w:r>
      <w:r w:rsidRPr="006475B9">
        <w:rPr>
          <w:szCs w:val="18"/>
          <w:u w:val="single"/>
        </w:rPr>
        <w:t>pdf</w:t>
      </w:r>
      <w:r w:rsidRPr="00E175B4">
        <w:rPr>
          <w:szCs w:val="18"/>
          <w:lang w:val="ru-RU"/>
        </w:rPr>
        <w:t xml:space="preserve">;  </w:t>
      </w:r>
      <w:r>
        <w:rPr>
          <w:szCs w:val="18"/>
          <w:lang w:val="ru-RU"/>
        </w:rPr>
        <w:t>см</w:t>
      </w:r>
      <w:r w:rsidRPr="00E175B4">
        <w:rPr>
          <w:szCs w:val="18"/>
          <w:lang w:val="ru-RU"/>
        </w:rPr>
        <w:t xml:space="preserve">. </w:t>
      </w:r>
      <w:r>
        <w:rPr>
          <w:szCs w:val="18"/>
          <w:lang w:val="ru-RU"/>
        </w:rPr>
        <w:t>также</w:t>
      </w:r>
      <w:r w:rsidRPr="00E175B4">
        <w:rPr>
          <w:szCs w:val="18"/>
          <w:lang w:val="ru-RU"/>
        </w:rPr>
        <w:t xml:space="preserve"> </w:t>
      </w:r>
      <w:r>
        <w:rPr>
          <w:szCs w:val="18"/>
          <w:lang w:val="ru-RU"/>
        </w:rPr>
        <w:t>документы</w:t>
      </w:r>
      <w:r w:rsidRPr="00E175B4">
        <w:rPr>
          <w:szCs w:val="18"/>
          <w:lang w:val="ru-RU"/>
        </w:rPr>
        <w:t xml:space="preserve"> </w:t>
      </w:r>
      <w:r w:rsidRPr="006475B9">
        <w:rPr>
          <w:szCs w:val="18"/>
        </w:rPr>
        <w:t>SCT</w:t>
      </w:r>
      <w:r w:rsidRPr="00E175B4">
        <w:rPr>
          <w:szCs w:val="18"/>
          <w:lang w:val="ru-RU"/>
        </w:rPr>
        <w:t xml:space="preserve">/9/8, </w:t>
      </w:r>
      <w:r>
        <w:rPr>
          <w:szCs w:val="18"/>
          <w:lang w:val="ru-RU"/>
        </w:rPr>
        <w:t>пункты</w:t>
      </w:r>
      <w:r w:rsidRPr="006475B9">
        <w:rPr>
          <w:szCs w:val="18"/>
        </w:rPr>
        <w:t> </w:t>
      </w:r>
      <w:r w:rsidRPr="00E175B4">
        <w:rPr>
          <w:szCs w:val="18"/>
          <w:lang w:val="ru-RU"/>
        </w:rPr>
        <w:t xml:space="preserve">6 </w:t>
      </w:r>
      <w:r>
        <w:rPr>
          <w:szCs w:val="18"/>
          <w:lang w:val="ru-RU"/>
        </w:rPr>
        <w:t>-</w:t>
      </w:r>
      <w:r w:rsidRPr="00E175B4">
        <w:rPr>
          <w:szCs w:val="18"/>
          <w:lang w:val="ru-RU"/>
        </w:rPr>
        <w:t xml:space="preserve">11;  </w:t>
      </w:r>
      <w:r>
        <w:rPr>
          <w:szCs w:val="18"/>
          <w:lang w:val="ru-RU"/>
        </w:rPr>
        <w:t>и</w:t>
      </w:r>
      <w:r w:rsidRPr="00E175B4">
        <w:rPr>
          <w:szCs w:val="18"/>
          <w:lang w:val="ru-RU"/>
        </w:rPr>
        <w:t xml:space="preserve"> </w:t>
      </w:r>
      <w:r w:rsidRPr="006475B9">
        <w:rPr>
          <w:szCs w:val="18"/>
        </w:rPr>
        <w:t>SCT</w:t>
      </w:r>
      <w:r w:rsidRPr="00E175B4">
        <w:rPr>
          <w:szCs w:val="18"/>
          <w:lang w:val="ru-RU"/>
        </w:rPr>
        <w:t xml:space="preserve">/9/9, </w:t>
      </w:r>
      <w:r>
        <w:rPr>
          <w:szCs w:val="18"/>
          <w:lang w:val="ru-RU"/>
        </w:rPr>
        <w:t>пункт</w:t>
      </w:r>
      <w:r w:rsidRPr="006475B9">
        <w:rPr>
          <w:szCs w:val="18"/>
        </w:rPr>
        <w:t> </w:t>
      </w:r>
      <w:r w:rsidRPr="00E175B4">
        <w:rPr>
          <w:szCs w:val="18"/>
          <w:lang w:val="ru-RU"/>
        </w:rPr>
        <w:t>149.</w:t>
      </w:r>
    </w:p>
  </w:footnote>
  <w:footnote w:id="43">
    <w:p w:rsidR="004C1D33" w:rsidRPr="00E175B4" w:rsidRDefault="004C1D33" w:rsidP="00192C16">
      <w:pPr>
        <w:pStyle w:val="FootnoteText"/>
        <w:rPr>
          <w:szCs w:val="18"/>
          <w:lang w:val="ru-RU"/>
        </w:rPr>
      </w:pPr>
      <w:r w:rsidRPr="006475B9">
        <w:rPr>
          <w:rStyle w:val="FootnoteReference"/>
        </w:rPr>
        <w:footnoteRef/>
      </w:r>
      <w:r w:rsidRPr="00E175B4">
        <w:rPr>
          <w:szCs w:val="18"/>
          <w:lang w:val="ru-RU"/>
        </w:rPr>
        <w:t xml:space="preserve"> </w:t>
      </w:r>
      <w:r w:rsidRPr="00E175B4">
        <w:rPr>
          <w:szCs w:val="18"/>
          <w:lang w:val="ru-RU"/>
        </w:rPr>
        <w:tab/>
      </w:r>
      <w:r>
        <w:rPr>
          <w:szCs w:val="18"/>
          <w:lang w:val="ru-RU"/>
        </w:rPr>
        <w:t>См.</w:t>
      </w:r>
      <w:r w:rsidRPr="00E175B4">
        <w:rPr>
          <w:szCs w:val="18"/>
          <w:lang w:val="ru-RU"/>
        </w:rPr>
        <w:t xml:space="preserve"> </w:t>
      </w:r>
      <w:r w:rsidRPr="006475B9">
        <w:rPr>
          <w:szCs w:val="18"/>
          <w:u w:val="single"/>
        </w:rPr>
        <w:t>http</w:t>
      </w:r>
      <w:r w:rsidRPr="00E175B4">
        <w:rPr>
          <w:szCs w:val="18"/>
          <w:u w:val="single"/>
          <w:lang w:val="ru-RU"/>
        </w:rPr>
        <w:t>://</w:t>
      </w:r>
      <w:r w:rsidRPr="006475B9">
        <w:rPr>
          <w:szCs w:val="18"/>
          <w:u w:val="single"/>
        </w:rPr>
        <w:t>www</w:t>
      </w:r>
      <w:r w:rsidRPr="00E175B4">
        <w:rPr>
          <w:szCs w:val="18"/>
          <w:u w:val="single"/>
          <w:lang w:val="ru-RU"/>
        </w:rPr>
        <w:t>.</w:t>
      </w:r>
      <w:proofErr w:type="spellStart"/>
      <w:r w:rsidRPr="006475B9">
        <w:rPr>
          <w:szCs w:val="18"/>
          <w:u w:val="single"/>
        </w:rPr>
        <w:t>wipo</w:t>
      </w:r>
      <w:proofErr w:type="spellEnd"/>
      <w:r w:rsidRPr="00E175B4">
        <w:rPr>
          <w:szCs w:val="18"/>
          <w:u w:val="single"/>
          <w:lang w:val="ru-RU"/>
        </w:rPr>
        <w:t>.</w:t>
      </w:r>
      <w:proofErr w:type="spellStart"/>
      <w:r w:rsidRPr="006475B9">
        <w:rPr>
          <w:szCs w:val="18"/>
          <w:u w:val="single"/>
        </w:rPr>
        <w:t>int</w:t>
      </w:r>
      <w:proofErr w:type="spellEnd"/>
      <w:r w:rsidRPr="00E175B4">
        <w:rPr>
          <w:szCs w:val="18"/>
          <w:u w:val="single"/>
          <w:lang w:val="ru-RU"/>
        </w:rPr>
        <w:t>/</w:t>
      </w:r>
      <w:proofErr w:type="spellStart"/>
      <w:r w:rsidRPr="006475B9">
        <w:rPr>
          <w:szCs w:val="18"/>
          <w:u w:val="single"/>
        </w:rPr>
        <w:t>amc</w:t>
      </w:r>
      <w:proofErr w:type="spellEnd"/>
      <w:r w:rsidRPr="00E175B4">
        <w:rPr>
          <w:szCs w:val="18"/>
          <w:u w:val="single"/>
          <w:lang w:val="ru-RU"/>
        </w:rPr>
        <w:t>/</w:t>
      </w:r>
      <w:r w:rsidRPr="006475B9">
        <w:rPr>
          <w:szCs w:val="18"/>
          <w:u w:val="single"/>
        </w:rPr>
        <w:t>en</w:t>
      </w:r>
      <w:r w:rsidRPr="00E175B4">
        <w:rPr>
          <w:szCs w:val="18"/>
          <w:u w:val="single"/>
          <w:lang w:val="ru-RU"/>
        </w:rPr>
        <w:t>/</w:t>
      </w:r>
      <w:r w:rsidRPr="006475B9">
        <w:rPr>
          <w:szCs w:val="18"/>
          <w:u w:val="single"/>
        </w:rPr>
        <w:t>docs</w:t>
      </w:r>
      <w:r w:rsidRPr="00E175B4">
        <w:rPr>
          <w:szCs w:val="18"/>
          <w:u w:val="single"/>
          <w:lang w:val="ru-RU"/>
        </w:rPr>
        <w:t>/</w:t>
      </w:r>
      <w:proofErr w:type="spellStart"/>
      <w:r w:rsidRPr="006475B9">
        <w:rPr>
          <w:szCs w:val="18"/>
          <w:u w:val="single"/>
        </w:rPr>
        <w:t>wipo</w:t>
      </w:r>
      <w:proofErr w:type="spellEnd"/>
      <w:r w:rsidRPr="00E175B4">
        <w:rPr>
          <w:szCs w:val="18"/>
          <w:u w:val="single"/>
          <w:lang w:val="ru-RU"/>
        </w:rPr>
        <w:t>.</w:t>
      </w:r>
      <w:r w:rsidRPr="006475B9">
        <w:rPr>
          <w:szCs w:val="18"/>
          <w:u w:val="single"/>
        </w:rPr>
        <w:t>doc</w:t>
      </w:r>
      <w:r w:rsidRPr="00E175B4">
        <w:rPr>
          <w:szCs w:val="18"/>
          <w:lang w:val="ru-RU"/>
        </w:rPr>
        <w:t>.</w:t>
      </w:r>
    </w:p>
  </w:footnote>
  <w:footnote w:id="44">
    <w:p w:rsidR="004C1D33" w:rsidRPr="00966AEE" w:rsidRDefault="004C1D33" w:rsidP="00192C16">
      <w:pPr>
        <w:pStyle w:val="FootnoteText"/>
        <w:rPr>
          <w:lang w:val="ru-RU"/>
        </w:rPr>
      </w:pPr>
      <w:r w:rsidRPr="006475B9">
        <w:rPr>
          <w:rStyle w:val="FootnoteReference"/>
        </w:rPr>
        <w:footnoteRef/>
      </w:r>
      <w:r w:rsidRPr="00966AEE">
        <w:rPr>
          <w:lang w:val="ru-RU"/>
        </w:rPr>
        <w:t xml:space="preserve"> </w:t>
      </w:r>
      <w:r w:rsidRPr="00966AEE">
        <w:rPr>
          <w:lang w:val="ru-RU"/>
        </w:rPr>
        <w:tab/>
      </w:r>
      <w:r>
        <w:rPr>
          <w:lang w:val="ru-RU"/>
        </w:rPr>
        <w:t>Справочная</w:t>
      </w:r>
      <w:r w:rsidRPr="00966AEE">
        <w:rPr>
          <w:lang w:val="ru-RU"/>
        </w:rPr>
        <w:t xml:space="preserve"> </w:t>
      </w:r>
      <w:r>
        <w:rPr>
          <w:lang w:val="ru-RU"/>
        </w:rPr>
        <w:t>информация</w:t>
      </w:r>
      <w:r w:rsidRPr="00966AEE">
        <w:rPr>
          <w:lang w:val="ru-RU"/>
        </w:rPr>
        <w:t xml:space="preserve"> </w:t>
      </w:r>
      <w:r w:rsidR="0057521E">
        <w:rPr>
          <w:lang w:val="ru-RU"/>
        </w:rPr>
        <w:t xml:space="preserve">содержится </w:t>
      </w:r>
      <w:r>
        <w:rPr>
          <w:lang w:val="ru-RU"/>
        </w:rPr>
        <w:t>в</w:t>
      </w:r>
      <w:r w:rsidRPr="00966AEE">
        <w:rPr>
          <w:lang w:val="ru-RU"/>
        </w:rPr>
        <w:t xml:space="preserve"> </w:t>
      </w:r>
      <w:r>
        <w:rPr>
          <w:lang w:val="ru-RU"/>
        </w:rPr>
        <w:t>документе</w:t>
      </w:r>
      <w:r w:rsidRPr="00966AEE">
        <w:rPr>
          <w:lang w:val="ru-RU"/>
        </w:rPr>
        <w:t xml:space="preserve"> </w:t>
      </w:r>
      <w:r w:rsidRPr="006475B9">
        <w:t>WO</w:t>
      </w:r>
      <w:r w:rsidRPr="00966AEE">
        <w:rPr>
          <w:lang w:val="ru-RU"/>
        </w:rPr>
        <w:t>/</w:t>
      </w:r>
      <w:r w:rsidRPr="006475B9">
        <w:t>GA</w:t>
      </w:r>
      <w:r w:rsidRPr="00966AEE">
        <w:rPr>
          <w:lang w:val="ru-RU"/>
        </w:rPr>
        <w:t xml:space="preserve">/41/17 </w:t>
      </w:r>
      <w:r w:rsidRPr="006475B9">
        <w:t>Rev</w:t>
      </w:r>
      <w:r w:rsidRPr="00966AEE">
        <w:rPr>
          <w:lang w:val="ru-RU"/>
        </w:rPr>
        <w:t xml:space="preserve">.2, </w:t>
      </w:r>
      <w:r>
        <w:rPr>
          <w:lang w:val="ru-RU"/>
        </w:rPr>
        <w:t>в частности в пунктах </w:t>
      </w:r>
      <w:r w:rsidRPr="00966AEE">
        <w:rPr>
          <w:lang w:val="ru-RU"/>
        </w:rPr>
        <w:t xml:space="preserve">40 </w:t>
      </w:r>
      <w:r>
        <w:rPr>
          <w:lang w:val="ru-RU"/>
        </w:rPr>
        <w:t>и</w:t>
      </w:r>
      <w:r w:rsidR="0057521E">
        <w:rPr>
          <w:lang w:val="ru-RU"/>
        </w:rPr>
        <w:t> </w:t>
      </w:r>
      <w:r w:rsidRPr="00966AEE">
        <w:rPr>
          <w:lang w:val="ru-RU"/>
        </w:rPr>
        <w:t>41.</w:t>
      </w:r>
    </w:p>
  </w:footnote>
  <w:footnote w:id="45">
    <w:p w:rsidR="004C1D33" w:rsidRPr="00966AEE" w:rsidRDefault="004C1D33" w:rsidP="00192C16">
      <w:pPr>
        <w:pStyle w:val="FootnoteText"/>
        <w:rPr>
          <w:szCs w:val="18"/>
          <w:lang w:val="ru-RU"/>
        </w:rPr>
      </w:pPr>
      <w:r w:rsidRPr="006475B9">
        <w:rPr>
          <w:rStyle w:val="FootnoteReference"/>
        </w:rPr>
        <w:footnoteRef/>
      </w:r>
      <w:r w:rsidRPr="00966AEE">
        <w:rPr>
          <w:rStyle w:val="FootnoteReference"/>
          <w:lang w:val="ru-RU"/>
        </w:rPr>
        <w:t xml:space="preserve"> </w:t>
      </w:r>
      <w:r w:rsidRPr="00966AEE">
        <w:rPr>
          <w:szCs w:val="18"/>
          <w:lang w:val="ru-RU"/>
        </w:rPr>
        <w:tab/>
      </w:r>
      <w:r>
        <w:rPr>
          <w:szCs w:val="18"/>
          <w:lang w:val="ru-RU"/>
        </w:rPr>
        <w:t>См.</w:t>
      </w:r>
      <w:r w:rsidRPr="00966AEE">
        <w:rPr>
          <w:szCs w:val="18"/>
          <w:lang w:val="ru-RU"/>
        </w:rPr>
        <w:t xml:space="preserve"> </w:t>
      </w:r>
      <w:hyperlink r:id="rId5" w:history="1">
        <w:r w:rsidRPr="006475B9">
          <w:rPr>
            <w:szCs w:val="18"/>
            <w:u w:val="single"/>
          </w:rPr>
          <w:t>https</w:t>
        </w:r>
        <w:r w:rsidRPr="00966AEE">
          <w:rPr>
            <w:szCs w:val="18"/>
            <w:u w:val="single"/>
            <w:lang w:val="ru-RU"/>
          </w:rPr>
          <w:t>://</w:t>
        </w:r>
        <w:proofErr w:type="spellStart"/>
        <w:r w:rsidRPr="006475B9">
          <w:rPr>
            <w:szCs w:val="18"/>
            <w:u w:val="single"/>
          </w:rPr>
          <w:t>gacweb</w:t>
        </w:r>
        <w:proofErr w:type="spellEnd"/>
        <w:r w:rsidRPr="00966AEE">
          <w:rPr>
            <w:szCs w:val="18"/>
            <w:u w:val="single"/>
            <w:lang w:val="ru-RU"/>
          </w:rPr>
          <w:t>.</w:t>
        </w:r>
        <w:proofErr w:type="spellStart"/>
        <w:r w:rsidRPr="006475B9">
          <w:rPr>
            <w:szCs w:val="18"/>
            <w:u w:val="single"/>
          </w:rPr>
          <w:t>icann</w:t>
        </w:r>
        <w:proofErr w:type="spellEnd"/>
        <w:r w:rsidRPr="00966AEE">
          <w:rPr>
            <w:szCs w:val="18"/>
            <w:u w:val="single"/>
            <w:lang w:val="ru-RU"/>
          </w:rPr>
          <w:t>.</w:t>
        </w:r>
        <w:r w:rsidRPr="006475B9">
          <w:rPr>
            <w:szCs w:val="18"/>
            <w:u w:val="single"/>
          </w:rPr>
          <w:t>org</w:t>
        </w:r>
        <w:r w:rsidRPr="00966AEE">
          <w:rPr>
            <w:szCs w:val="18"/>
            <w:u w:val="single"/>
            <w:lang w:val="ru-RU"/>
          </w:rPr>
          <w:t>/</w:t>
        </w:r>
        <w:r w:rsidRPr="006475B9">
          <w:rPr>
            <w:szCs w:val="18"/>
            <w:u w:val="single"/>
          </w:rPr>
          <w:t>download</w:t>
        </w:r>
        <w:r w:rsidRPr="00966AEE">
          <w:rPr>
            <w:szCs w:val="18"/>
            <w:u w:val="single"/>
            <w:lang w:val="ru-RU"/>
          </w:rPr>
          <w:t>/</w:t>
        </w:r>
        <w:r w:rsidRPr="006475B9">
          <w:rPr>
            <w:szCs w:val="18"/>
            <w:u w:val="single"/>
          </w:rPr>
          <w:t>attachments</w:t>
        </w:r>
        <w:r w:rsidRPr="00966AEE">
          <w:rPr>
            <w:szCs w:val="18"/>
            <w:u w:val="single"/>
            <w:lang w:val="ru-RU"/>
          </w:rPr>
          <w:t>/27132070/</w:t>
        </w:r>
        <w:r w:rsidRPr="006475B9">
          <w:rPr>
            <w:szCs w:val="18"/>
            <w:u w:val="single"/>
          </w:rPr>
          <w:t>FINAL</w:t>
        </w:r>
        <w:r w:rsidRPr="00966AEE">
          <w:rPr>
            <w:szCs w:val="18"/>
            <w:u w:val="single"/>
            <w:lang w:val="ru-RU"/>
          </w:rPr>
          <w:t>_</w:t>
        </w:r>
        <w:r w:rsidRPr="006475B9">
          <w:rPr>
            <w:szCs w:val="18"/>
            <w:u w:val="single"/>
          </w:rPr>
          <w:t>Toronto</w:t>
        </w:r>
        <w:r w:rsidRPr="00966AEE">
          <w:rPr>
            <w:szCs w:val="18"/>
            <w:u w:val="single"/>
            <w:lang w:val="ru-RU"/>
          </w:rPr>
          <w:t>_</w:t>
        </w:r>
        <w:r w:rsidRPr="006475B9">
          <w:rPr>
            <w:szCs w:val="18"/>
            <w:u w:val="single"/>
          </w:rPr>
          <w:t>Communique</w:t>
        </w:r>
        <w:r w:rsidRPr="00966AEE">
          <w:rPr>
            <w:szCs w:val="18"/>
            <w:u w:val="single"/>
            <w:lang w:val="ru-RU"/>
          </w:rPr>
          <w:t>_20121017.</w:t>
        </w:r>
        <w:r w:rsidRPr="006475B9">
          <w:rPr>
            <w:szCs w:val="18"/>
            <w:u w:val="single"/>
          </w:rPr>
          <w:t>pdf</w:t>
        </w:r>
        <w:r w:rsidRPr="00966AEE">
          <w:rPr>
            <w:szCs w:val="18"/>
            <w:u w:val="single"/>
            <w:lang w:val="ru-RU"/>
          </w:rPr>
          <w:t>?</w:t>
        </w:r>
        <w:r w:rsidRPr="006475B9">
          <w:rPr>
            <w:szCs w:val="18"/>
            <w:u w:val="single"/>
          </w:rPr>
          <w:t>version</w:t>
        </w:r>
        <w:r w:rsidRPr="00966AEE">
          <w:rPr>
            <w:szCs w:val="18"/>
            <w:u w:val="single"/>
            <w:lang w:val="ru-RU"/>
          </w:rPr>
          <w:t>=1&amp;</w:t>
        </w:r>
        <w:proofErr w:type="spellStart"/>
        <w:r w:rsidRPr="006475B9">
          <w:rPr>
            <w:szCs w:val="18"/>
            <w:u w:val="single"/>
          </w:rPr>
          <w:t>modificationDate</w:t>
        </w:r>
        <w:proofErr w:type="spellEnd"/>
        <w:r w:rsidRPr="00966AEE">
          <w:rPr>
            <w:szCs w:val="18"/>
            <w:u w:val="single"/>
            <w:lang w:val="ru-RU"/>
          </w:rPr>
          <w:t>=1354149148000&amp;</w:t>
        </w:r>
        <w:proofErr w:type="spellStart"/>
        <w:r w:rsidRPr="006475B9">
          <w:rPr>
            <w:szCs w:val="18"/>
            <w:u w:val="single"/>
          </w:rPr>
          <w:t>api</w:t>
        </w:r>
        <w:proofErr w:type="spellEnd"/>
        <w:r w:rsidRPr="00966AEE">
          <w:rPr>
            <w:szCs w:val="18"/>
            <w:u w:val="single"/>
            <w:lang w:val="ru-RU"/>
          </w:rPr>
          <w:t>=</w:t>
        </w:r>
        <w:r w:rsidRPr="006475B9">
          <w:rPr>
            <w:szCs w:val="18"/>
            <w:u w:val="single"/>
          </w:rPr>
          <w:t>v</w:t>
        </w:r>
        <w:r w:rsidRPr="00966AEE">
          <w:rPr>
            <w:szCs w:val="18"/>
            <w:u w:val="single"/>
            <w:lang w:val="ru-RU"/>
          </w:rPr>
          <w:t>2</w:t>
        </w:r>
      </w:hyperlink>
      <w:r w:rsidRPr="00966AEE">
        <w:rPr>
          <w:szCs w:val="18"/>
          <w:lang w:val="ru-RU"/>
        </w:rPr>
        <w:t xml:space="preserve">. </w:t>
      </w:r>
    </w:p>
  </w:footnote>
  <w:footnote w:id="46">
    <w:p w:rsidR="004C1D33" w:rsidRPr="00FD494F" w:rsidRDefault="004C1D33" w:rsidP="00192C16">
      <w:pPr>
        <w:pStyle w:val="FootnoteText"/>
        <w:rPr>
          <w:szCs w:val="18"/>
          <w:lang w:val="ru-RU"/>
        </w:rPr>
      </w:pPr>
      <w:r w:rsidRPr="006475B9">
        <w:rPr>
          <w:rStyle w:val="FootnoteReference"/>
        </w:rPr>
        <w:footnoteRef/>
      </w:r>
      <w:r w:rsidRPr="00FD494F">
        <w:rPr>
          <w:szCs w:val="18"/>
          <w:lang w:val="ru-RU"/>
        </w:rPr>
        <w:t xml:space="preserve"> </w:t>
      </w:r>
      <w:r w:rsidRPr="00FD494F">
        <w:rPr>
          <w:szCs w:val="18"/>
          <w:lang w:val="ru-RU"/>
        </w:rPr>
        <w:tab/>
      </w:r>
      <w:r>
        <w:rPr>
          <w:szCs w:val="18"/>
          <w:lang w:val="ru-RU"/>
        </w:rPr>
        <w:t>См</w:t>
      </w:r>
      <w:r w:rsidRPr="00FD494F">
        <w:rPr>
          <w:szCs w:val="18"/>
          <w:lang w:val="ru-RU"/>
        </w:rPr>
        <w:t xml:space="preserve">. </w:t>
      </w:r>
      <w:hyperlink r:id="rId6" w:history="1">
        <w:r w:rsidRPr="006475B9">
          <w:rPr>
            <w:szCs w:val="18"/>
            <w:u w:val="single"/>
          </w:rPr>
          <w:t>https</w:t>
        </w:r>
        <w:r w:rsidRPr="00FD494F">
          <w:rPr>
            <w:szCs w:val="18"/>
            <w:u w:val="single"/>
            <w:lang w:val="ru-RU"/>
          </w:rPr>
          <w:t>://</w:t>
        </w:r>
        <w:proofErr w:type="spellStart"/>
        <w:r w:rsidRPr="006475B9">
          <w:rPr>
            <w:szCs w:val="18"/>
            <w:u w:val="single"/>
          </w:rPr>
          <w:t>gacweb</w:t>
        </w:r>
        <w:proofErr w:type="spellEnd"/>
        <w:r w:rsidRPr="00FD494F">
          <w:rPr>
            <w:szCs w:val="18"/>
            <w:u w:val="single"/>
            <w:lang w:val="ru-RU"/>
          </w:rPr>
          <w:t>.</w:t>
        </w:r>
        <w:proofErr w:type="spellStart"/>
        <w:r w:rsidRPr="006475B9">
          <w:rPr>
            <w:szCs w:val="18"/>
            <w:u w:val="single"/>
          </w:rPr>
          <w:t>icann</w:t>
        </w:r>
        <w:proofErr w:type="spellEnd"/>
        <w:r w:rsidRPr="00FD494F">
          <w:rPr>
            <w:szCs w:val="18"/>
            <w:u w:val="single"/>
            <w:lang w:val="ru-RU"/>
          </w:rPr>
          <w:t>.</w:t>
        </w:r>
        <w:r w:rsidRPr="006475B9">
          <w:rPr>
            <w:szCs w:val="18"/>
            <w:u w:val="single"/>
          </w:rPr>
          <w:t>org</w:t>
        </w:r>
        <w:r w:rsidRPr="00FD494F">
          <w:rPr>
            <w:szCs w:val="18"/>
            <w:u w:val="single"/>
            <w:lang w:val="ru-RU"/>
          </w:rPr>
          <w:t>/</w:t>
        </w:r>
        <w:r w:rsidRPr="006475B9">
          <w:rPr>
            <w:szCs w:val="18"/>
            <w:u w:val="single"/>
          </w:rPr>
          <w:t>download</w:t>
        </w:r>
        <w:r w:rsidRPr="00FD494F">
          <w:rPr>
            <w:szCs w:val="18"/>
            <w:u w:val="single"/>
            <w:lang w:val="ru-RU"/>
          </w:rPr>
          <w:t>/</w:t>
        </w:r>
        <w:r w:rsidRPr="006475B9">
          <w:rPr>
            <w:szCs w:val="18"/>
            <w:u w:val="single"/>
          </w:rPr>
          <w:t>attachments</w:t>
        </w:r>
        <w:r w:rsidRPr="00FD494F">
          <w:rPr>
            <w:szCs w:val="18"/>
            <w:u w:val="single"/>
            <w:lang w:val="ru-RU"/>
          </w:rPr>
          <w:t>/27132070/</w:t>
        </w:r>
        <w:r w:rsidRPr="006475B9">
          <w:rPr>
            <w:szCs w:val="18"/>
            <w:u w:val="single"/>
          </w:rPr>
          <w:t>Board</w:t>
        </w:r>
        <w:r w:rsidRPr="00FD494F">
          <w:rPr>
            <w:szCs w:val="18"/>
            <w:u w:val="single"/>
            <w:lang w:val="ru-RU"/>
          </w:rPr>
          <w:t>%20</w:t>
        </w:r>
        <w:r w:rsidRPr="006475B9">
          <w:rPr>
            <w:szCs w:val="18"/>
            <w:u w:val="single"/>
          </w:rPr>
          <w:t>Response</w:t>
        </w:r>
        <w:r w:rsidRPr="00FD494F">
          <w:rPr>
            <w:szCs w:val="18"/>
            <w:u w:val="single"/>
            <w:lang w:val="ru-RU"/>
          </w:rPr>
          <w:t>%20</w:t>
        </w:r>
        <w:r w:rsidRPr="006475B9">
          <w:rPr>
            <w:szCs w:val="18"/>
            <w:u w:val="single"/>
          </w:rPr>
          <w:t>to</w:t>
        </w:r>
        <w:r w:rsidRPr="00FD494F">
          <w:rPr>
            <w:szCs w:val="18"/>
            <w:u w:val="single"/>
            <w:lang w:val="ru-RU"/>
          </w:rPr>
          <w:t>%20</w:t>
        </w:r>
        <w:r w:rsidRPr="006475B9">
          <w:rPr>
            <w:szCs w:val="18"/>
            <w:u w:val="single"/>
          </w:rPr>
          <w:t>GAC</w:t>
        </w:r>
        <w:r w:rsidRPr="00FD494F">
          <w:rPr>
            <w:szCs w:val="18"/>
            <w:u w:val="single"/>
            <w:lang w:val="ru-RU"/>
          </w:rPr>
          <w:t>%20</w:t>
        </w:r>
        <w:r w:rsidRPr="006475B9">
          <w:rPr>
            <w:szCs w:val="18"/>
            <w:u w:val="single"/>
          </w:rPr>
          <w:t>Toronto</w:t>
        </w:r>
        <w:r w:rsidRPr="00FD494F">
          <w:rPr>
            <w:szCs w:val="18"/>
            <w:u w:val="single"/>
            <w:lang w:val="ru-RU"/>
          </w:rPr>
          <w:t>%20</w:t>
        </w:r>
        <w:r w:rsidRPr="006475B9">
          <w:rPr>
            <w:szCs w:val="18"/>
            <w:u w:val="single"/>
          </w:rPr>
          <w:t>Communique</w:t>
        </w:r>
        <w:r w:rsidRPr="00FD494F">
          <w:rPr>
            <w:szCs w:val="18"/>
            <w:u w:val="single"/>
            <w:lang w:val="ru-RU"/>
          </w:rPr>
          <w:t>.</w:t>
        </w:r>
        <w:r w:rsidRPr="006475B9">
          <w:rPr>
            <w:szCs w:val="18"/>
            <w:u w:val="single"/>
          </w:rPr>
          <w:t>pdf</w:t>
        </w:r>
        <w:r w:rsidRPr="00FD494F">
          <w:rPr>
            <w:szCs w:val="18"/>
            <w:u w:val="single"/>
            <w:lang w:val="ru-RU"/>
          </w:rPr>
          <w:t>?</w:t>
        </w:r>
        <w:r w:rsidRPr="006475B9">
          <w:rPr>
            <w:szCs w:val="18"/>
            <w:u w:val="single"/>
          </w:rPr>
          <w:t>version</w:t>
        </w:r>
        <w:r w:rsidRPr="00FD494F">
          <w:rPr>
            <w:szCs w:val="18"/>
            <w:u w:val="single"/>
            <w:lang w:val="ru-RU"/>
          </w:rPr>
          <w:t>=1&amp;</w:t>
        </w:r>
        <w:proofErr w:type="spellStart"/>
        <w:r w:rsidRPr="006475B9">
          <w:rPr>
            <w:szCs w:val="18"/>
            <w:u w:val="single"/>
          </w:rPr>
          <w:t>modificationDate</w:t>
        </w:r>
        <w:proofErr w:type="spellEnd"/>
        <w:r w:rsidRPr="00FD494F">
          <w:rPr>
            <w:szCs w:val="18"/>
            <w:u w:val="single"/>
            <w:lang w:val="ru-RU"/>
          </w:rPr>
          <w:t>=1361909146000&amp;</w:t>
        </w:r>
        <w:proofErr w:type="spellStart"/>
        <w:r w:rsidRPr="006475B9">
          <w:rPr>
            <w:szCs w:val="18"/>
            <w:u w:val="single"/>
          </w:rPr>
          <w:t>api</w:t>
        </w:r>
        <w:proofErr w:type="spellEnd"/>
        <w:r w:rsidRPr="00FD494F">
          <w:rPr>
            <w:szCs w:val="18"/>
            <w:u w:val="single"/>
            <w:lang w:val="ru-RU"/>
          </w:rPr>
          <w:t>=</w:t>
        </w:r>
        <w:r w:rsidRPr="006475B9">
          <w:rPr>
            <w:szCs w:val="18"/>
            <w:u w:val="single"/>
          </w:rPr>
          <w:t>v</w:t>
        </w:r>
        <w:r w:rsidRPr="00FD494F">
          <w:rPr>
            <w:szCs w:val="18"/>
            <w:u w:val="single"/>
            <w:lang w:val="ru-RU"/>
          </w:rPr>
          <w:t>2</w:t>
        </w:r>
      </w:hyperlink>
      <w:r w:rsidRPr="00FD494F">
        <w:rPr>
          <w:szCs w:val="18"/>
          <w:lang w:val="ru-RU"/>
        </w:rPr>
        <w:t xml:space="preserve">. </w:t>
      </w:r>
    </w:p>
  </w:footnote>
  <w:footnote w:id="47">
    <w:p w:rsidR="004C1D33" w:rsidRPr="001C6C8D" w:rsidRDefault="004C1D33" w:rsidP="00192C16">
      <w:pPr>
        <w:pStyle w:val="FootnoteText"/>
        <w:rPr>
          <w:szCs w:val="18"/>
          <w:lang w:val="ru-RU"/>
        </w:rPr>
      </w:pPr>
      <w:r w:rsidRPr="006475B9">
        <w:rPr>
          <w:rStyle w:val="FootnoteReference"/>
        </w:rPr>
        <w:footnoteRef/>
      </w:r>
      <w:r w:rsidRPr="001C6C8D">
        <w:rPr>
          <w:szCs w:val="18"/>
          <w:lang w:val="ru-RU"/>
        </w:rPr>
        <w:t xml:space="preserve"> </w:t>
      </w:r>
      <w:r w:rsidRPr="001C6C8D">
        <w:rPr>
          <w:szCs w:val="18"/>
          <w:lang w:val="ru-RU"/>
        </w:rPr>
        <w:tab/>
      </w:r>
      <w:r>
        <w:rPr>
          <w:szCs w:val="18"/>
          <w:lang w:val="ru-RU"/>
        </w:rPr>
        <w:t>См.</w:t>
      </w:r>
      <w:r w:rsidRPr="001C6C8D">
        <w:rPr>
          <w:szCs w:val="18"/>
          <w:lang w:val="ru-RU"/>
        </w:rPr>
        <w:t xml:space="preserve"> </w:t>
      </w:r>
      <w:hyperlink r:id="rId7" w:history="1">
        <w:r w:rsidRPr="006475B9">
          <w:rPr>
            <w:szCs w:val="18"/>
            <w:u w:val="single"/>
          </w:rPr>
          <w:t>http</w:t>
        </w:r>
        <w:r w:rsidRPr="001C6C8D">
          <w:rPr>
            <w:szCs w:val="18"/>
            <w:u w:val="single"/>
            <w:lang w:val="ru-RU"/>
          </w:rPr>
          <w:t>://</w:t>
        </w:r>
        <w:r w:rsidRPr="006475B9">
          <w:rPr>
            <w:szCs w:val="18"/>
            <w:u w:val="single"/>
          </w:rPr>
          <w:t>www</w:t>
        </w:r>
        <w:r w:rsidRPr="001C6C8D">
          <w:rPr>
            <w:szCs w:val="18"/>
            <w:u w:val="single"/>
            <w:lang w:val="ru-RU"/>
          </w:rPr>
          <w:t>.</w:t>
        </w:r>
        <w:proofErr w:type="spellStart"/>
        <w:r w:rsidRPr="006475B9">
          <w:rPr>
            <w:szCs w:val="18"/>
            <w:u w:val="single"/>
          </w:rPr>
          <w:t>icann</w:t>
        </w:r>
        <w:proofErr w:type="spellEnd"/>
        <w:r w:rsidRPr="001C6C8D">
          <w:rPr>
            <w:szCs w:val="18"/>
            <w:u w:val="single"/>
            <w:lang w:val="ru-RU"/>
          </w:rPr>
          <w:t>.</w:t>
        </w:r>
        <w:r w:rsidRPr="006475B9">
          <w:rPr>
            <w:szCs w:val="18"/>
            <w:u w:val="single"/>
          </w:rPr>
          <w:t>org</w:t>
        </w:r>
        <w:r w:rsidRPr="001C6C8D">
          <w:rPr>
            <w:szCs w:val="18"/>
            <w:u w:val="single"/>
            <w:lang w:val="ru-RU"/>
          </w:rPr>
          <w:t>/</w:t>
        </w:r>
        <w:r w:rsidRPr="006475B9">
          <w:rPr>
            <w:szCs w:val="18"/>
            <w:u w:val="single"/>
          </w:rPr>
          <w:t>en</w:t>
        </w:r>
        <w:r w:rsidRPr="001C6C8D">
          <w:rPr>
            <w:szCs w:val="18"/>
            <w:u w:val="single"/>
            <w:lang w:val="ru-RU"/>
          </w:rPr>
          <w:t>/</w:t>
        </w:r>
        <w:r w:rsidRPr="006475B9">
          <w:rPr>
            <w:szCs w:val="18"/>
            <w:u w:val="single"/>
          </w:rPr>
          <w:t>news</w:t>
        </w:r>
        <w:r w:rsidRPr="001C6C8D">
          <w:rPr>
            <w:szCs w:val="18"/>
            <w:u w:val="single"/>
            <w:lang w:val="ru-RU"/>
          </w:rPr>
          <w:t>/</w:t>
        </w:r>
        <w:r w:rsidRPr="006475B9">
          <w:rPr>
            <w:szCs w:val="18"/>
            <w:u w:val="single"/>
          </w:rPr>
          <w:t>correspondence</w:t>
        </w:r>
        <w:r w:rsidRPr="001C6C8D">
          <w:rPr>
            <w:szCs w:val="18"/>
            <w:u w:val="single"/>
            <w:lang w:val="ru-RU"/>
          </w:rPr>
          <w:t>/</w:t>
        </w:r>
        <w:proofErr w:type="spellStart"/>
        <w:r w:rsidRPr="006475B9">
          <w:rPr>
            <w:szCs w:val="18"/>
            <w:u w:val="single"/>
          </w:rPr>
          <w:t>dryden</w:t>
        </w:r>
        <w:proofErr w:type="spellEnd"/>
        <w:r w:rsidRPr="001C6C8D">
          <w:rPr>
            <w:szCs w:val="18"/>
            <w:u w:val="single"/>
            <w:lang w:val="ru-RU"/>
          </w:rPr>
          <w:t>-</w:t>
        </w:r>
        <w:r w:rsidRPr="006475B9">
          <w:rPr>
            <w:szCs w:val="18"/>
            <w:u w:val="single"/>
          </w:rPr>
          <w:t>to</w:t>
        </w:r>
        <w:r w:rsidRPr="001C6C8D">
          <w:rPr>
            <w:szCs w:val="18"/>
            <w:u w:val="single"/>
            <w:lang w:val="ru-RU"/>
          </w:rPr>
          <w:t>-</w:t>
        </w:r>
        <w:proofErr w:type="spellStart"/>
        <w:r w:rsidRPr="006475B9">
          <w:rPr>
            <w:szCs w:val="18"/>
            <w:u w:val="single"/>
          </w:rPr>
          <w:t>crocker</w:t>
        </w:r>
        <w:proofErr w:type="spellEnd"/>
        <w:r w:rsidRPr="001C6C8D">
          <w:rPr>
            <w:szCs w:val="18"/>
            <w:u w:val="single"/>
            <w:lang w:val="ru-RU"/>
          </w:rPr>
          <w:t>-</w:t>
        </w:r>
        <w:proofErr w:type="spellStart"/>
        <w:r w:rsidRPr="006475B9">
          <w:rPr>
            <w:szCs w:val="18"/>
            <w:u w:val="single"/>
          </w:rPr>
          <w:t>chalaby</w:t>
        </w:r>
        <w:proofErr w:type="spellEnd"/>
        <w:r w:rsidRPr="001C6C8D">
          <w:rPr>
            <w:szCs w:val="18"/>
            <w:u w:val="single"/>
            <w:lang w:val="ru-RU"/>
          </w:rPr>
          <w:t>-22</w:t>
        </w:r>
        <w:r w:rsidRPr="006475B9">
          <w:rPr>
            <w:szCs w:val="18"/>
            <w:u w:val="single"/>
          </w:rPr>
          <w:t>mar</w:t>
        </w:r>
        <w:r w:rsidRPr="001C6C8D">
          <w:rPr>
            <w:szCs w:val="18"/>
            <w:u w:val="single"/>
            <w:lang w:val="ru-RU"/>
          </w:rPr>
          <w:t>13-</w:t>
        </w:r>
        <w:r w:rsidRPr="006475B9">
          <w:rPr>
            <w:szCs w:val="18"/>
            <w:u w:val="single"/>
          </w:rPr>
          <w:t>en</w:t>
        </w:r>
      </w:hyperlink>
      <w:r w:rsidRPr="001C6C8D">
        <w:rPr>
          <w:szCs w:val="18"/>
          <w:lang w:val="ru-RU"/>
        </w:rPr>
        <w:t xml:space="preserve">. </w:t>
      </w:r>
    </w:p>
  </w:footnote>
  <w:footnote w:id="48">
    <w:p w:rsidR="004C1D33" w:rsidRPr="00160DF4" w:rsidRDefault="004C1D33" w:rsidP="00192C16">
      <w:pPr>
        <w:pStyle w:val="FootnoteText"/>
        <w:rPr>
          <w:szCs w:val="18"/>
          <w:lang w:val="ru-RU"/>
        </w:rPr>
      </w:pPr>
      <w:r w:rsidRPr="006475B9">
        <w:rPr>
          <w:rStyle w:val="FootnoteReference"/>
        </w:rPr>
        <w:footnoteRef/>
      </w:r>
      <w:r w:rsidRPr="00B84E4B">
        <w:rPr>
          <w:rStyle w:val="FootnoteReference"/>
          <w:lang w:val="ru-RU"/>
        </w:rPr>
        <w:t xml:space="preserve"> </w:t>
      </w:r>
      <w:r w:rsidRPr="00B84E4B">
        <w:rPr>
          <w:szCs w:val="18"/>
          <w:lang w:val="ru-RU"/>
        </w:rPr>
        <w:tab/>
        <w:t xml:space="preserve">Совет </w:t>
      </w:r>
      <w:r>
        <w:rPr>
          <w:szCs w:val="18"/>
          <w:lang w:val="ru-RU"/>
        </w:rPr>
        <w:t xml:space="preserve">также </w:t>
      </w:r>
      <w:r w:rsidRPr="00B84E4B">
        <w:rPr>
          <w:szCs w:val="18"/>
          <w:lang w:val="ru-RU"/>
        </w:rPr>
        <w:t>запросил дальнейшие детали относительно возможно</w:t>
      </w:r>
      <w:r>
        <w:rPr>
          <w:szCs w:val="18"/>
          <w:lang w:val="ru-RU"/>
        </w:rPr>
        <w:t xml:space="preserve">го </w:t>
      </w:r>
      <w:r w:rsidRPr="00B84E4B">
        <w:rPr>
          <w:szCs w:val="18"/>
          <w:lang w:val="ru-RU"/>
        </w:rPr>
        <w:t>средств</w:t>
      </w:r>
      <w:r>
        <w:rPr>
          <w:szCs w:val="18"/>
          <w:lang w:val="ru-RU"/>
        </w:rPr>
        <w:t>а</w:t>
      </w:r>
      <w:r w:rsidRPr="00B84E4B">
        <w:rPr>
          <w:szCs w:val="18"/>
          <w:lang w:val="ru-RU"/>
        </w:rPr>
        <w:t xml:space="preserve"> периодического обзора этого списка, </w:t>
      </w:r>
      <w:r>
        <w:rPr>
          <w:szCs w:val="18"/>
          <w:lang w:val="ru-RU"/>
        </w:rPr>
        <w:t xml:space="preserve">а также </w:t>
      </w:r>
      <w:r w:rsidRPr="00B84E4B">
        <w:rPr>
          <w:szCs w:val="18"/>
          <w:lang w:val="ru-RU"/>
        </w:rPr>
        <w:t>разъяснени</w:t>
      </w:r>
      <w:r w:rsidR="00C752BE">
        <w:rPr>
          <w:szCs w:val="18"/>
          <w:lang w:val="ru-RU"/>
        </w:rPr>
        <w:t>я</w:t>
      </w:r>
      <w:r w:rsidRPr="00B84E4B">
        <w:rPr>
          <w:szCs w:val="18"/>
          <w:lang w:val="ru-RU"/>
        </w:rPr>
        <w:t xml:space="preserve"> относительно любых дополнительных языков, на которых испрашивается охрана полных и сокращенных названий МПО.</w:t>
      </w:r>
      <w:r w:rsidRPr="00B84E4B">
        <w:rPr>
          <w:szCs w:val="22"/>
          <w:lang w:val="ru-RU"/>
        </w:rPr>
        <w:t xml:space="preserve">  </w:t>
      </w:r>
      <w:r>
        <w:rPr>
          <w:szCs w:val="22"/>
          <w:lang w:val="ru-RU"/>
        </w:rPr>
        <w:t>См.</w:t>
      </w:r>
      <w:r w:rsidRPr="00160DF4">
        <w:rPr>
          <w:szCs w:val="18"/>
          <w:lang w:val="ru-RU"/>
        </w:rPr>
        <w:t xml:space="preserve"> </w:t>
      </w:r>
      <w:hyperlink r:id="rId8" w:history="1">
        <w:r w:rsidRPr="006475B9">
          <w:rPr>
            <w:szCs w:val="18"/>
          </w:rPr>
          <w:t>h</w:t>
        </w:r>
        <w:r w:rsidRPr="006475B9">
          <w:rPr>
            <w:szCs w:val="18"/>
            <w:u w:val="single"/>
          </w:rPr>
          <w:t>ttp</w:t>
        </w:r>
        <w:r w:rsidRPr="00160DF4">
          <w:rPr>
            <w:szCs w:val="18"/>
            <w:u w:val="single"/>
            <w:lang w:val="ru-RU"/>
          </w:rPr>
          <w:t>://</w:t>
        </w:r>
        <w:r w:rsidRPr="006475B9">
          <w:rPr>
            <w:szCs w:val="18"/>
            <w:u w:val="single"/>
          </w:rPr>
          <w:t>www</w:t>
        </w:r>
        <w:r w:rsidRPr="00160DF4">
          <w:rPr>
            <w:szCs w:val="18"/>
            <w:u w:val="single"/>
            <w:lang w:val="ru-RU"/>
          </w:rPr>
          <w:t>.</w:t>
        </w:r>
        <w:proofErr w:type="spellStart"/>
        <w:r w:rsidRPr="006475B9">
          <w:rPr>
            <w:szCs w:val="18"/>
            <w:u w:val="single"/>
          </w:rPr>
          <w:t>icann</w:t>
        </w:r>
        <w:proofErr w:type="spellEnd"/>
        <w:r w:rsidRPr="00160DF4">
          <w:rPr>
            <w:szCs w:val="18"/>
            <w:u w:val="single"/>
            <w:lang w:val="ru-RU"/>
          </w:rPr>
          <w:t>.</w:t>
        </w:r>
        <w:r w:rsidRPr="006475B9">
          <w:rPr>
            <w:szCs w:val="18"/>
            <w:u w:val="single"/>
          </w:rPr>
          <w:t>org</w:t>
        </w:r>
        <w:r w:rsidRPr="00160DF4">
          <w:rPr>
            <w:szCs w:val="18"/>
            <w:u w:val="single"/>
            <w:lang w:val="ru-RU"/>
          </w:rPr>
          <w:t>/</w:t>
        </w:r>
        <w:r w:rsidRPr="006475B9">
          <w:rPr>
            <w:szCs w:val="18"/>
            <w:u w:val="single"/>
          </w:rPr>
          <w:t>en</w:t>
        </w:r>
        <w:r w:rsidRPr="00160DF4">
          <w:rPr>
            <w:szCs w:val="18"/>
            <w:u w:val="single"/>
            <w:lang w:val="ru-RU"/>
          </w:rPr>
          <w:t>/</w:t>
        </w:r>
        <w:r w:rsidRPr="006475B9">
          <w:rPr>
            <w:szCs w:val="18"/>
            <w:u w:val="single"/>
          </w:rPr>
          <w:t>news</w:t>
        </w:r>
        <w:r w:rsidRPr="00160DF4">
          <w:rPr>
            <w:szCs w:val="18"/>
            <w:u w:val="single"/>
            <w:lang w:val="ru-RU"/>
          </w:rPr>
          <w:t>/</w:t>
        </w:r>
        <w:r w:rsidRPr="006475B9">
          <w:rPr>
            <w:szCs w:val="18"/>
            <w:u w:val="single"/>
          </w:rPr>
          <w:t>correspondence</w:t>
        </w:r>
        <w:r w:rsidRPr="00160DF4">
          <w:rPr>
            <w:szCs w:val="18"/>
            <w:u w:val="single"/>
            <w:lang w:val="ru-RU"/>
          </w:rPr>
          <w:t>/</w:t>
        </w:r>
        <w:proofErr w:type="spellStart"/>
        <w:r w:rsidRPr="006475B9">
          <w:rPr>
            <w:szCs w:val="18"/>
            <w:u w:val="single"/>
          </w:rPr>
          <w:t>crocker</w:t>
        </w:r>
        <w:proofErr w:type="spellEnd"/>
        <w:r w:rsidRPr="00160DF4">
          <w:rPr>
            <w:szCs w:val="18"/>
            <w:u w:val="single"/>
            <w:lang w:val="ru-RU"/>
          </w:rPr>
          <w:t>-</w:t>
        </w:r>
        <w:r w:rsidRPr="006475B9">
          <w:rPr>
            <w:szCs w:val="18"/>
            <w:u w:val="single"/>
          </w:rPr>
          <w:t>to</w:t>
        </w:r>
        <w:r w:rsidRPr="00160DF4">
          <w:rPr>
            <w:szCs w:val="18"/>
            <w:u w:val="single"/>
            <w:lang w:val="ru-RU"/>
          </w:rPr>
          <w:t>-</w:t>
        </w:r>
        <w:proofErr w:type="spellStart"/>
        <w:r w:rsidRPr="006475B9">
          <w:rPr>
            <w:szCs w:val="18"/>
            <w:u w:val="single"/>
          </w:rPr>
          <w:t>dryden</w:t>
        </w:r>
        <w:proofErr w:type="spellEnd"/>
        <w:r w:rsidRPr="00160DF4">
          <w:rPr>
            <w:szCs w:val="18"/>
            <w:u w:val="single"/>
            <w:lang w:val="ru-RU"/>
          </w:rPr>
          <w:t>-01</w:t>
        </w:r>
        <w:proofErr w:type="spellStart"/>
        <w:r w:rsidRPr="006475B9">
          <w:rPr>
            <w:szCs w:val="18"/>
            <w:u w:val="single"/>
          </w:rPr>
          <w:t>apr</w:t>
        </w:r>
        <w:proofErr w:type="spellEnd"/>
        <w:r w:rsidRPr="00160DF4">
          <w:rPr>
            <w:szCs w:val="18"/>
            <w:u w:val="single"/>
            <w:lang w:val="ru-RU"/>
          </w:rPr>
          <w:t>13-</w:t>
        </w:r>
        <w:r w:rsidRPr="006475B9">
          <w:rPr>
            <w:szCs w:val="18"/>
            <w:u w:val="single"/>
          </w:rPr>
          <w:t>en</w:t>
        </w:r>
      </w:hyperlink>
      <w:r w:rsidRPr="00160DF4">
        <w:rPr>
          <w:szCs w:val="18"/>
          <w:lang w:val="ru-RU"/>
        </w:rPr>
        <w:t xml:space="preserve">. </w:t>
      </w:r>
    </w:p>
  </w:footnote>
  <w:footnote w:id="49">
    <w:p w:rsidR="004C1D33" w:rsidRPr="00160DF4" w:rsidRDefault="004C1D33" w:rsidP="00192C16">
      <w:pPr>
        <w:pStyle w:val="FootnoteText"/>
        <w:rPr>
          <w:lang w:val="ru-RU"/>
        </w:rPr>
      </w:pPr>
      <w:r w:rsidRPr="006475B9">
        <w:rPr>
          <w:rStyle w:val="FootnoteReference"/>
        </w:rPr>
        <w:footnoteRef/>
      </w:r>
      <w:r w:rsidRPr="00160DF4">
        <w:rPr>
          <w:lang w:val="ru-RU"/>
        </w:rPr>
        <w:t xml:space="preserve"> </w:t>
      </w:r>
      <w:r w:rsidRPr="00160DF4">
        <w:rPr>
          <w:lang w:val="ru-RU"/>
        </w:rPr>
        <w:tab/>
      </w:r>
      <w:r>
        <w:rPr>
          <w:lang w:val="ru-RU"/>
        </w:rPr>
        <w:t>См.</w:t>
      </w:r>
      <w:r w:rsidRPr="00160DF4">
        <w:rPr>
          <w:lang w:val="ru-RU"/>
        </w:rPr>
        <w:t xml:space="preserve"> </w:t>
      </w:r>
      <w:r w:rsidRPr="00C84829">
        <w:rPr>
          <w:u w:val="single"/>
        </w:rPr>
        <w:t>https</w:t>
      </w:r>
      <w:r w:rsidRPr="00160DF4">
        <w:rPr>
          <w:u w:val="single"/>
          <w:lang w:val="ru-RU"/>
        </w:rPr>
        <w:t>://</w:t>
      </w:r>
      <w:r w:rsidRPr="00C84829">
        <w:rPr>
          <w:u w:val="single"/>
        </w:rPr>
        <w:t>www</w:t>
      </w:r>
      <w:r w:rsidRPr="00160DF4">
        <w:rPr>
          <w:u w:val="single"/>
          <w:lang w:val="ru-RU"/>
        </w:rPr>
        <w:t>.</w:t>
      </w:r>
      <w:proofErr w:type="spellStart"/>
      <w:r w:rsidRPr="00C84829">
        <w:rPr>
          <w:u w:val="single"/>
        </w:rPr>
        <w:t>icann</w:t>
      </w:r>
      <w:proofErr w:type="spellEnd"/>
      <w:r w:rsidRPr="00160DF4">
        <w:rPr>
          <w:u w:val="single"/>
          <w:lang w:val="ru-RU"/>
        </w:rPr>
        <w:t>.</w:t>
      </w:r>
      <w:r w:rsidRPr="00C84829">
        <w:rPr>
          <w:u w:val="single"/>
        </w:rPr>
        <w:t>org</w:t>
      </w:r>
      <w:r w:rsidRPr="00160DF4">
        <w:rPr>
          <w:u w:val="single"/>
          <w:lang w:val="ru-RU"/>
        </w:rPr>
        <w:t>/</w:t>
      </w:r>
      <w:r w:rsidRPr="00C84829">
        <w:rPr>
          <w:u w:val="single"/>
        </w:rPr>
        <w:t>en</w:t>
      </w:r>
      <w:r w:rsidRPr="00160DF4">
        <w:rPr>
          <w:u w:val="single"/>
          <w:lang w:val="ru-RU"/>
        </w:rPr>
        <w:t>/</w:t>
      </w:r>
      <w:r w:rsidRPr="00C84829">
        <w:rPr>
          <w:u w:val="single"/>
        </w:rPr>
        <w:t>system</w:t>
      </w:r>
      <w:r w:rsidRPr="00160DF4">
        <w:rPr>
          <w:u w:val="single"/>
          <w:lang w:val="ru-RU"/>
        </w:rPr>
        <w:t>/</w:t>
      </w:r>
      <w:r w:rsidRPr="00C84829">
        <w:rPr>
          <w:u w:val="single"/>
        </w:rPr>
        <w:t>files</w:t>
      </w:r>
      <w:r w:rsidRPr="00160DF4">
        <w:rPr>
          <w:u w:val="single"/>
          <w:lang w:val="ru-RU"/>
        </w:rPr>
        <w:t>/</w:t>
      </w:r>
      <w:r w:rsidRPr="00C84829">
        <w:rPr>
          <w:u w:val="single"/>
        </w:rPr>
        <w:t>correspondence</w:t>
      </w:r>
      <w:r w:rsidRPr="00160DF4">
        <w:rPr>
          <w:u w:val="single"/>
          <w:lang w:val="ru-RU"/>
        </w:rPr>
        <w:t>/</w:t>
      </w:r>
      <w:proofErr w:type="spellStart"/>
      <w:r w:rsidRPr="00C84829">
        <w:rPr>
          <w:u w:val="single"/>
        </w:rPr>
        <w:t>gac</w:t>
      </w:r>
      <w:proofErr w:type="spellEnd"/>
      <w:r w:rsidRPr="00160DF4">
        <w:rPr>
          <w:u w:val="single"/>
          <w:lang w:val="ru-RU"/>
        </w:rPr>
        <w:t>-</w:t>
      </w:r>
      <w:r w:rsidRPr="00C84829">
        <w:rPr>
          <w:u w:val="single"/>
        </w:rPr>
        <w:t>to</w:t>
      </w:r>
      <w:r w:rsidRPr="00160DF4">
        <w:rPr>
          <w:u w:val="single"/>
          <w:lang w:val="ru-RU"/>
        </w:rPr>
        <w:t>-</w:t>
      </w:r>
      <w:r w:rsidRPr="00C84829">
        <w:rPr>
          <w:u w:val="single"/>
        </w:rPr>
        <w:t>board</w:t>
      </w:r>
      <w:r w:rsidRPr="00160DF4">
        <w:rPr>
          <w:u w:val="single"/>
          <w:lang w:val="ru-RU"/>
        </w:rPr>
        <w:t>-18</w:t>
      </w:r>
      <w:proofErr w:type="spellStart"/>
      <w:r w:rsidRPr="00C84829">
        <w:rPr>
          <w:u w:val="single"/>
        </w:rPr>
        <w:t>apr</w:t>
      </w:r>
      <w:proofErr w:type="spellEnd"/>
      <w:r w:rsidRPr="00160DF4">
        <w:rPr>
          <w:u w:val="single"/>
          <w:lang w:val="ru-RU"/>
        </w:rPr>
        <w:t>13-</w:t>
      </w:r>
      <w:r w:rsidRPr="00C84829">
        <w:rPr>
          <w:u w:val="single"/>
        </w:rPr>
        <w:t>en</w:t>
      </w:r>
      <w:r w:rsidRPr="00160DF4">
        <w:rPr>
          <w:u w:val="single"/>
          <w:lang w:val="ru-RU"/>
        </w:rPr>
        <w:t>.</w:t>
      </w:r>
      <w:r w:rsidRPr="00C84829">
        <w:rPr>
          <w:u w:val="single"/>
        </w:rPr>
        <w:t>pdf</w:t>
      </w:r>
      <w:r w:rsidRPr="00160DF4">
        <w:rPr>
          <w:lang w:val="ru-RU"/>
        </w:rPr>
        <w:t xml:space="preserve">. </w:t>
      </w:r>
    </w:p>
  </w:footnote>
  <w:footnote w:id="50">
    <w:p w:rsidR="004C1D33" w:rsidRPr="0016068E" w:rsidRDefault="004C1D33" w:rsidP="00192C16">
      <w:pPr>
        <w:pStyle w:val="FootnoteText"/>
        <w:rPr>
          <w:lang w:val="ru-RU"/>
        </w:rPr>
      </w:pPr>
      <w:r w:rsidRPr="006475B9">
        <w:rPr>
          <w:rStyle w:val="FootnoteReference"/>
        </w:rPr>
        <w:footnoteRef/>
      </w:r>
      <w:r w:rsidRPr="0033042E">
        <w:rPr>
          <w:lang w:val="ru-RU"/>
        </w:rPr>
        <w:t xml:space="preserve"> </w:t>
      </w:r>
      <w:r w:rsidRPr="0033042E">
        <w:rPr>
          <w:lang w:val="ru-RU"/>
        </w:rPr>
        <w:tab/>
      </w:r>
      <w:r>
        <w:rPr>
          <w:lang w:val="ru-RU"/>
        </w:rPr>
        <w:t xml:space="preserve">Далее </w:t>
      </w:r>
      <w:r w:rsidRPr="0033042E">
        <w:rPr>
          <w:szCs w:val="22"/>
        </w:rPr>
        <w:t>GAC</w:t>
      </w:r>
      <w:r w:rsidRPr="0033042E">
        <w:rPr>
          <w:szCs w:val="22"/>
          <w:lang w:val="ru-RU"/>
        </w:rPr>
        <w:t xml:space="preserve"> </w:t>
      </w:r>
      <w:r>
        <w:rPr>
          <w:szCs w:val="22"/>
          <w:lang w:val="ru-RU"/>
        </w:rPr>
        <w:t>сообщил</w:t>
      </w:r>
      <w:r w:rsidRPr="0033042E">
        <w:rPr>
          <w:szCs w:val="22"/>
          <w:lang w:val="ru-RU"/>
        </w:rPr>
        <w:t xml:space="preserve">, что он определенным образом предполагает, что Совет </w:t>
      </w:r>
      <w:r w:rsidRPr="0033042E">
        <w:rPr>
          <w:szCs w:val="22"/>
        </w:rPr>
        <w:t>ICANN</w:t>
      </w:r>
      <w:r w:rsidRPr="0033042E">
        <w:rPr>
          <w:szCs w:val="22"/>
          <w:lang w:val="ru-RU"/>
        </w:rPr>
        <w:t xml:space="preserve"> готов выполнить рекомендации </w:t>
      </w:r>
      <w:r w:rsidRPr="0033042E">
        <w:rPr>
          <w:szCs w:val="22"/>
        </w:rPr>
        <w:t>GAC</w:t>
      </w:r>
      <w:r w:rsidRPr="0033042E">
        <w:rPr>
          <w:szCs w:val="22"/>
          <w:lang w:val="ru-RU"/>
        </w:rPr>
        <w:t xml:space="preserve"> в полном объеме и сосредоточить усилия на практической и эффективной реализации мер превентивной охраны на </w:t>
      </w:r>
      <w:r w:rsidRPr="0033042E">
        <w:rPr>
          <w:szCs w:val="22"/>
          <w:lang w:val="ru-RU"/>
        </w:rPr>
        <w:t xml:space="preserve">втором уровне </w:t>
      </w:r>
      <w:r>
        <w:rPr>
          <w:szCs w:val="22"/>
          <w:lang w:val="ru-RU"/>
        </w:rPr>
        <w:t>новых рДВУ</w:t>
      </w:r>
      <w:r w:rsidRPr="0033042E">
        <w:rPr>
          <w:szCs w:val="22"/>
          <w:lang w:val="ru-RU"/>
        </w:rPr>
        <w:t xml:space="preserve"> и что временная охрана полных и сокращенных названий МПО должна обеспечиваться до завершения диалога между </w:t>
      </w:r>
      <w:r w:rsidRPr="0033042E">
        <w:rPr>
          <w:szCs w:val="22"/>
        </w:rPr>
        <w:t>GAC</w:t>
      </w:r>
      <w:r w:rsidRPr="0033042E">
        <w:rPr>
          <w:szCs w:val="22"/>
          <w:lang w:val="ru-RU"/>
        </w:rPr>
        <w:t xml:space="preserve">, </w:t>
      </w:r>
      <w:r w:rsidRPr="0033042E">
        <w:rPr>
          <w:szCs w:val="22"/>
        </w:rPr>
        <w:t>ICANN</w:t>
      </w:r>
      <w:r w:rsidRPr="0033042E">
        <w:rPr>
          <w:szCs w:val="22"/>
          <w:lang w:val="ru-RU"/>
        </w:rPr>
        <w:t xml:space="preserve"> и МПО.  </w:t>
      </w:r>
      <w:r>
        <w:rPr>
          <w:szCs w:val="22"/>
          <w:lang w:val="ru-RU"/>
        </w:rPr>
        <w:t>См.</w:t>
      </w:r>
      <w:r w:rsidRPr="0016068E">
        <w:rPr>
          <w:lang w:val="ru-RU"/>
        </w:rPr>
        <w:t xml:space="preserve"> </w:t>
      </w:r>
      <w:r w:rsidRPr="006475B9">
        <w:rPr>
          <w:u w:val="single"/>
        </w:rPr>
        <w:t>http</w:t>
      </w:r>
      <w:r w:rsidRPr="0016068E">
        <w:rPr>
          <w:u w:val="single"/>
          <w:lang w:val="ru-RU"/>
        </w:rPr>
        <w:t>://</w:t>
      </w:r>
      <w:proofErr w:type="spellStart"/>
      <w:r w:rsidRPr="006475B9">
        <w:rPr>
          <w:u w:val="single"/>
        </w:rPr>
        <w:t>durban</w:t>
      </w:r>
      <w:proofErr w:type="spellEnd"/>
      <w:r w:rsidRPr="0016068E">
        <w:rPr>
          <w:u w:val="single"/>
          <w:lang w:val="ru-RU"/>
        </w:rPr>
        <w:t>47.</w:t>
      </w:r>
      <w:proofErr w:type="spellStart"/>
      <w:r w:rsidRPr="006475B9">
        <w:rPr>
          <w:u w:val="single"/>
        </w:rPr>
        <w:t>icann</w:t>
      </w:r>
      <w:proofErr w:type="spellEnd"/>
      <w:r w:rsidRPr="0016068E">
        <w:rPr>
          <w:u w:val="single"/>
          <w:lang w:val="ru-RU"/>
        </w:rPr>
        <w:t>.</w:t>
      </w:r>
      <w:r w:rsidRPr="006475B9">
        <w:rPr>
          <w:u w:val="single"/>
        </w:rPr>
        <w:t>org</w:t>
      </w:r>
      <w:r w:rsidRPr="0016068E">
        <w:rPr>
          <w:u w:val="single"/>
          <w:lang w:val="ru-RU"/>
        </w:rPr>
        <w:t>/</w:t>
      </w:r>
      <w:r w:rsidRPr="006475B9">
        <w:rPr>
          <w:u w:val="single"/>
        </w:rPr>
        <w:t>meetings</w:t>
      </w:r>
      <w:r w:rsidRPr="0016068E">
        <w:rPr>
          <w:u w:val="single"/>
          <w:lang w:val="ru-RU"/>
        </w:rPr>
        <w:t>/</w:t>
      </w:r>
      <w:proofErr w:type="spellStart"/>
      <w:r w:rsidRPr="006475B9">
        <w:rPr>
          <w:u w:val="single"/>
        </w:rPr>
        <w:t>durban</w:t>
      </w:r>
      <w:proofErr w:type="spellEnd"/>
      <w:r w:rsidRPr="0016068E">
        <w:rPr>
          <w:u w:val="single"/>
          <w:lang w:val="ru-RU"/>
        </w:rPr>
        <w:t>2013/</w:t>
      </w:r>
      <w:r w:rsidRPr="006475B9">
        <w:rPr>
          <w:u w:val="single"/>
        </w:rPr>
        <w:t>presentation</w:t>
      </w:r>
      <w:r w:rsidRPr="0016068E">
        <w:rPr>
          <w:u w:val="single"/>
          <w:lang w:val="ru-RU"/>
        </w:rPr>
        <w:t>-</w:t>
      </w:r>
      <w:proofErr w:type="spellStart"/>
      <w:r w:rsidRPr="006475B9">
        <w:rPr>
          <w:u w:val="single"/>
        </w:rPr>
        <w:t>gac</w:t>
      </w:r>
      <w:proofErr w:type="spellEnd"/>
      <w:r w:rsidRPr="0016068E">
        <w:rPr>
          <w:u w:val="single"/>
          <w:lang w:val="ru-RU"/>
        </w:rPr>
        <w:t>-</w:t>
      </w:r>
      <w:r w:rsidRPr="006475B9">
        <w:rPr>
          <w:u w:val="single"/>
        </w:rPr>
        <w:t>communique</w:t>
      </w:r>
      <w:r w:rsidRPr="0016068E">
        <w:rPr>
          <w:u w:val="single"/>
          <w:lang w:val="ru-RU"/>
        </w:rPr>
        <w:t>-18</w:t>
      </w:r>
      <w:proofErr w:type="spellStart"/>
      <w:r w:rsidRPr="006475B9">
        <w:rPr>
          <w:u w:val="single"/>
        </w:rPr>
        <w:t>jul</w:t>
      </w:r>
      <w:proofErr w:type="spellEnd"/>
      <w:r w:rsidRPr="0016068E">
        <w:rPr>
          <w:u w:val="single"/>
          <w:lang w:val="ru-RU"/>
        </w:rPr>
        <w:t>13-</w:t>
      </w:r>
      <w:r w:rsidRPr="006475B9">
        <w:rPr>
          <w:u w:val="single"/>
        </w:rPr>
        <w:t>en</w:t>
      </w:r>
      <w:r w:rsidRPr="0016068E">
        <w:rPr>
          <w:u w:val="single"/>
          <w:lang w:val="ru-RU"/>
        </w:rPr>
        <w:t>.</w:t>
      </w:r>
      <w:r w:rsidRPr="006475B9">
        <w:rPr>
          <w:u w:val="single"/>
        </w:rPr>
        <w:t>pdf</w:t>
      </w:r>
      <w:r w:rsidRPr="0016068E">
        <w:rPr>
          <w:lang w:val="ru-RU"/>
        </w:rPr>
        <w:t xml:space="preserve">. </w:t>
      </w:r>
    </w:p>
  </w:footnote>
  <w:footnote w:id="51">
    <w:p w:rsidR="004C1D33" w:rsidRPr="005F2B88" w:rsidRDefault="004C1D33" w:rsidP="00C96755">
      <w:pPr>
        <w:pStyle w:val="FootnoteText"/>
        <w:rPr>
          <w:lang w:val="ru-RU"/>
        </w:rPr>
      </w:pPr>
      <w:r w:rsidRPr="006475B9">
        <w:rPr>
          <w:rStyle w:val="FootnoteReference"/>
        </w:rPr>
        <w:footnoteRef/>
      </w:r>
      <w:r w:rsidRPr="005F2B88">
        <w:rPr>
          <w:lang w:val="ru-RU"/>
        </w:rPr>
        <w:t xml:space="preserve"> </w:t>
      </w:r>
      <w:r w:rsidRPr="005F2B88">
        <w:rPr>
          <w:lang w:val="ru-RU"/>
        </w:rPr>
        <w:tab/>
      </w:r>
      <w:r>
        <w:rPr>
          <w:lang w:val="ru-RU"/>
        </w:rPr>
        <w:t>См.</w:t>
      </w:r>
      <w:r w:rsidRPr="005F2B88">
        <w:rPr>
          <w:lang w:val="ru-RU"/>
        </w:rPr>
        <w:t xml:space="preserve"> </w:t>
      </w:r>
      <w:r w:rsidRPr="006475B9">
        <w:rPr>
          <w:szCs w:val="18"/>
          <w:u w:val="single"/>
        </w:rPr>
        <w:t>http</w:t>
      </w:r>
      <w:r w:rsidRPr="005F2B88">
        <w:rPr>
          <w:szCs w:val="18"/>
          <w:u w:val="single"/>
          <w:lang w:val="ru-RU"/>
        </w:rPr>
        <w:t>://</w:t>
      </w:r>
      <w:r w:rsidRPr="006475B9">
        <w:rPr>
          <w:szCs w:val="18"/>
          <w:u w:val="single"/>
        </w:rPr>
        <w:t>www</w:t>
      </w:r>
      <w:r w:rsidRPr="005F2B88">
        <w:rPr>
          <w:szCs w:val="18"/>
          <w:u w:val="single"/>
          <w:lang w:val="ru-RU"/>
        </w:rPr>
        <w:t>.</w:t>
      </w:r>
      <w:proofErr w:type="spellStart"/>
      <w:r w:rsidRPr="006475B9">
        <w:rPr>
          <w:szCs w:val="18"/>
          <w:u w:val="single"/>
        </w:rPr>
        <w:t>icann</w:t>
      </w:r>
      <w:proofErr w:type="spellEnd"/>
      <w:r w:rsidRPr="005F2B88">
        <w:rPr>
          <w:szCs w:val="18"/>
          <w:u w:val="single"/>
          <w:lang w:val="ru-RU"/>
        </w:rPr>
        <w:t>.</w:t>
      </w:r>
      <w:r w:rsidRPr="006475B9">
        <w:rPr>
          <w:szCs w:val="18"/>
          <w:u w:val="single"/>
        </w:rPr>
        <w:t>org</w:t>
      </w:r>
      <w:r w:rsidRPr="005F2B88">
        <w:rPr>
          <w:szCs w:val="18"/>
          <w:u w:val="single"/>
          <w:lang w:val="ru-RU"/>
        </w:rPr>
        <w:t>/</w:t>
      </w:r>
      <w:r w:rsidRPr="006475B9">
        <w:rPr>
          <w:szCs w:val="18"/>
          <w:u w:val="single"/>
        </w:rPr>
        <w:t>en</w:t>
      </w:r>
      <w:r w:rsidRPr="005F2B88">
        <w:rPr>
          <w:szCs w:val="18"/>
          <w:u w:val="single"/>
          <w:lang w:val="ru-RU"/>
        </w:rPr>
        <w:t>/</w:t>
      </w:r>
      <w:r w:rsidRPr="006475B9">
        <w:rPr>
          <w:szCs w:val="18"/>
          <w:u w:val="single"/>
        </w:rPr>
        <w:t>groups</w:t>
      </w:r>
      <w:r w:rsidRPr="005F2B88">
        <w:rPr>
          <w:szCs w:val="18"/>
          <w:u w:val="single"/>
          <w:lang w:val="ru-RU"/>
        </w:rPr>
        <w:t>/</w:t>
      </w:r>
      <w:r w:rsidRPr="006475B9">
        <w:rPr>
          <w:szCs w:val="18"/>
          <w:u w:val="single"/>
        </w:rPr>
        <w:t>board</w:t>
      </w:r>
      <w:r w:rsidRPr="005F2B88">
        <w:rPr>
          <w:szCs w:val="18"/>
          <w:u w:val="single"/>
          <w:lang w:val="ru-RU"/>
        </w:rPr>
        <w:t>/</w:t>
      </w:r>
      <w:r w:rsidRPr="006475B9">
        <w:rPr>
          <w:szCs w:val="18"/>
          <w:u w:val="single"/>
        </w:rPr>
        <w:t>documents</w:t>
      </w:r>
      <w:r w:rsidRPr="005F2B88">
        <w:rPr>
          <w:szCs w:val="18"/>
          <w:u w:val="single"/>
          <w:lang w:val="ru-RU"/>
        </w:rPr>
        <w:t>/</w:t>
      </w:r>
      <w:r w:rsidRPr="006475B9">
        <w:rPr>
          <w:szCs w:val="18"/>
          <w:u w:val="single"/>
        </w:rPr>
        <w:t>resolutions</w:t>
      </w:r>
      <w:r w:rsidRPr="005F2B88">
        <w:rPr>
          <w:szCs w:val="18"/>
          <w:u w:val="single"/>
          <w:lang w:val="ru-RU"/>
        </w:rPr>
        <w:t>-</w:t>
      </w:r>
      <w:r w:rsidRPr="006475B9">
        <w:rPr>
          <w:szCs w:val="18"/>
          <w:u w:val="single"/>
        </w:rPr>
        <w:t>new</w:t>
      </w:r>
      <w:r w:rsidRPr="005F2B88">
        <w:rPr>
          <w:szCs w:val="18"/>
          <w:u w:val="single"/>
          <w:lang w:val="ru-RU"/>
        </w:rPr>
        <w:t>-</w:t>
      </w:r>
      <w:proofErr w:type="spellStart"/>
      <w:r w:rsidRPr="006475B9">
        <w:rPr>
          <w:szCs w:val="18"/>
          <w:u w:val="single"/>
        </w:rPr>
        <w:t>gtld</w:t>
      </w:r>
      <w:proofErr w:type="spellEnd"/>
      <w:r w:rsidRPr="005F2B88">
        <w:rPr>
          <w:szCs w:val="18"/>
          <w:u w:val="single"/>
          <w:lang w:val="ru-RU"/>
        </w:rPr>
        <w:t>-17</w:t>
      </w:r>
      <w:proofErr w:type="spellStart"/>
      <w:r w:rsidRPr="006475B9">
        <w:rPr>
          <w:szCs w:val="18"/>
          <w:u w:val="single"/>
        </w:rPr>
        <w:t>jul</w:t>
      </w:r>
      <w:proofErr w:type="spellEnd"/>
      <w:r w:rsidRPr="005F2B88">
        <w:rPr>
          <w:szCs w:val="18"/>
          <w:u w:val="single"/>
          <w:lang w:val="ru-RU"/>
        </w:rPr>
        <w:t>13-</w:t>
      </w:r>
      <w:r w:rsidRPr="006475B9">
        <w:rPr>
          <w:szCs w:val="18"/>
          <w:u w:val="single"/>
        </w:rPr>
        <w:t>en</w:t>
      </w:r>
      <w:r w:rsidRPr="005F2B88">
        <w:rPr>
          <w:szCs w:val="18"/>
          <w:u w:val="single"/>
          <w:lang w:val="ru-RU"/>
        </w:rPr>
        <w:t>.</w:t>
      </w:r>
      <w:proofErr w:type="spellStart"/>
      <w:r w:rsidRPr="006475B9">
        <w:rPr>
          <w:szCs w:val="18"/>
          <w:u w:val="single"/>
        </w:rPr>
        <w:t>htm</w:t>
      </w:r>
      <w:proofErr w:type="spellEnd"/>
      <w:r w:rsidRPr="005F2B88">
        <w:rPr>
          <w:szCs w:val="18"/>
          <w:lang w:val="ru-RU"/>
        </w:rPr>
        <w:t>.</w:t>
      </w:r>
    </w:p>
  </w:footnote>
  <w:footnote w:id="52">
    <w:p w:rsidR="004C1D33" w:rsidRPr="00831AF6" w:rsidRDefault="004C1D33">
      <w:pPr>
        <w:pStyle w:val="FootnoteText"/>
        <w:rPr>
          <w:lang w:val="ru-RU"/>
        </w:rPr>
      </w:pPr>
      <w:r>
        <w:rPr>
          <w:rStyle w:val="FootnoteReference"/>
        </w:rPr>
        <w:footnoteRef/>
      </w:r>
      <w:r w:rsidRPr="00831AF6">
        <w:rPr>
          <w:lang w:val="ru-RU"/>
        </w:rPr>
        <w:t xml:space="preserve"> </w:t>
      </w:r>
      <w:r w:rsidRPr="00831AF6">
        <w:rPr>
          <w:lang w:val="ru-RU"/>
        </w:rPr>
        <w:tab/>
      </w:r>
      <w:proofErr w:type="gramStart"/>
      <w:r>
        <w:t>GAC</w:t>
      </w:r>
      <w:r w:rsidRPr="00831AF6">
        <w:rPr>
          <w:lang w:val="ru-RU"/>
        </w:rPr>
        <w:t xml:space="preserve"> </w:t>
      </w:r>
      <w:r>
        <w:rPr>
          <w:lang w:val="ru-RU"/>
        </w:rPr>
        <w:t>и</w:t>
      </w:r>
      <w:r w:rsidRPr="00831AF6">
        <w:rPr>
          <w:szCs w:val="22"/>
          <w:lang w:val="ru-RU"/>
        </w:rPr>
        <w:t xml:space="preserve"> </w:t>
      </w:r>
      <w:r w:rsidRPr="006475B9">
        <w:rPr>
          <w:szCs w:val="22"/>
        </w:rPr>
        <w:t>NGPC</w:t>
      </w:r>
      <w:r w:rsidRPr="00831AF6">
        <w:rPr>
          <w:szCs w:val="22"/>
          <w:lang w:val="ru-RU"/>
        </w:rPr>
        <w:t xml:space="preserve"> </w:t>
      </w:r>
      <w:r>
        <w:rPr>
          <w:szCs w:val="22"/>
          <w:lang w:val="ru-RU"/>
        </w:rPr>
        <w:t>отказались</w:t>
      </w:r>
      <w:r w:rsidRPr="00831AF6">
        <w:rPr>
          <w:szCs w:val="22"/>
          <w:lang w:val="ru-RU"/>
        </w:rPr>
        <w:t xml:space="preserve"> </w:t>
      </w:r>
      <w:r>
        <w:rPr>
          <w:szCs w:val="22"/>
          <w:lang w:val="ru-RU"/>
        </w:rPr>
        <w:t>от</w:t>
      </w:r>
      <w:r w:rsidRPr="00831AF6">
        <w:rPr>
          <w:szCs w:val="22"/>
          <w:lang w:val="ru-RU"/>
        </w:rPr>
        <w:t xml:space="preserve"> </w:t>
      </w:r>
      <w:r>
        <w:rPr>
          <w:szCs w:val="22"/>
          <w:lang w:val="ru-RU"/>
        </w:rPr>
        <w:t>участия</w:t>
      </w:r>
      <w:r w:rsidRPr="00831AF6">
        <w:rPr>
          <w:szCs w:val="22"/>
          <w:lang w:val="ru-RU"/>
        </w:rPr>
        <w:t xml:space="preserve"> </w:t>
      </w:r>
      <w:r>
        <w:rPr>
          <w:szCs w:val="22"/>
          <w:lang w:val="ru-RU"/>
        </w:rPr>
        <w:t>в</w:t>
      </w:r>
      <w:r w:rsidRPr="00831AF6">
        <w:rPr>
          <w:szCs w:val="22"/>
          <w:lang w:val="ru-RU"/>
        </w:rPr>
        <w:t xml:space="preserve"> </w:t>
      </w:r>
      <w:r>
        <w:rPr>
          <w:szCs w:val="22"/>
          <w:lang w:val="ru-RU"/>
        </w:rPr>
        <w:t xml:space="preserve">заседании </w:t>
      </w:r>
      <w:r w:rsidRPr="00831AF6">
        <w:rPr>
          <w:lang w:val="ru-RU"/>
        </w:rPr>
        <w:t>30</w:t>
      </w:r>
      <w:r>
        <w:rPr>
          <w:lang w:val="ru-RU"/>
        </w:rPr>
        <w:t> сентября,</w:t>
      </w:r>
      <w:r w:rsidRPr="00831AF6">
        <w:rPr>
          <w:lang w:val="ru-RU"/>
        </w:rPr>
        <w:t xml:space="preserve"> </w:t>
      </w:r>
      <w:r>
        <w:rPr>
          <w:lang w:val="ru-RU"/>
        </w:rPr>
        <w:t>предл</w:t>
      </w:r>
      <w:r w:rsidR="00C752BE">
        <w:rPr>
          <w:lang w:val="ru-RU"/>
        </w:rPr>
        <w:t>агаемом</w:t>
      </w:r>
      <w:r>
        <w:rPr>
          <w:lang w:val="ru-RU"/>
        </w:rPr>
        <w:t xml:space="preserve"> МПО</w:t>
      </w:r>
      <w:r w:rsidRPr="00831AF6">
        <w:rPr>
          <w:szCs w:val="22"/>
          <w:lang w:val="ru-RU"/>
        </w:rPr>
        <w:t>.</w:t>
      </w:r>
      <w:proofErr w:type="gramEnd"/>
      <w:r w:rsidRPr="00831AF6">
        <w:rPr>
          <w:szCs w:val="22"/>
          <w:lang w:val="ru-RU"/>
        </w:rPr>
        <w:t xml:space="preserve">  </w:t>
      </w:r>
    </w:p>
  </w:footnote>
  <w:footnote w:id="53">
    <w:p w:rsidR="004C1D33" w:rsidRPr="00FE35CE" w:rsidRDefault="004C1D33" w:rsidP="00C96755">
      <w:pPr>
        <w:pStyle w:val="FootnoteText"/>
        <w:rPr>
          <w:lang w:val="ru-RU"/>
        </w:rPr>
      </w:pPr>
      <w:r w:rsidRPr="006475B9">
        <w:rPr>
          <w:rStyle w:val="FootnoteReference"/>
        </w:rPr>
        <w:footnoteRef/>
      </w:r>
      <w:r w:rsidRPr="00FE35CE">
        <w:rPr>
          <w:lang w:val="ru-RU"/>
        </w:rPr>
        <w:t xml:space="preserve"> </w:t>
      </w:r>
      <w:r w:rsidRPr="00FE35CE">
        <w:rPr>
          <w:lang w:val="ru-RU"/>
        </w:rPr>
        <w:tab/>
      </w:r>
      <w:r>
        <w:rPr>
          <w:lang w:val="ru-RU"/>
        </w:rPr>
        <w:t>См.</w:t>
      </w:r>
      <w:r w:rsidRPr="00FE35CE">
        <w:rPr>
          <w:lang w:val="ru-RU"/>
        </w:rPr>
        <w:t xml:space="preserve"> </w:t>
      </w:r>
      <w:r w:rsidRPr="00C84829">
        <w:rPr>
          <w:u w:val="single"/>
        </w:rPr>
        <w:t>http</w:t>
      </w:r>
      <w:r w:rsidRPr="00FE35CE">
        <w:rPr>
          <w:u w:val="single"/>
          <w:lang w:val="ru-RU"/>
        </w:rPr>
        <w:t>://</w:t>
      </w:r>
      <w:r w:rsidRPr="00C84829">
        <w:rPr>
          <w:u w:val="single"/>
        </w:rPr>
        <w:t>www</w:t>
      </w:r>
      <w:r w:rsidRPr="00FE35CE">
        <w:rPr>
          <w:u w:val="single"/>
          <w:lang w:val="ru-RU"/>
        </w:rPr>
        <w:t>.</w:t>
      </w:r>
      <w:proofErr w:type="spellStart"/>
      <w:r w:rsidRPr="00C84829">
        <w:rPr>
          <w:u w:val="single"/>
        </w:rPr>
        <w:t>icann</w:t>
      </w:r>
      <w:proofErr w:type="spellEnd"/>
      <w:r w:rsidRPr="00FE35CE">
        <w:rPr>
          <w:u w:val="single"/>
          <w:lang w:val="ru-RU"/>
        </w:rPr>
        <w:t>.</w:t>
      </w:r>
      <w:r w:rsidRPr="00C84829">
        <w:rPr>
          <w:u w:val="single"/>
        </w:rPr>
        <w:t>org</w:t>
      </w:r>
      <w:r w:rsidRPr="00FE35CE">
        <w:rPr>
          <w:u w:val="single"/>
          <w:lang w:val="ru-RU"/>
        </w:rPr>
        <w:t>/</w:t>
      </w:r>
      <w:r w:rsidRPr="00C84829">
        <w:rPr>
          <w:u w:val="single"/>
        </w:rPr>
        <w:t>en</w:t>
      </w:r>
      <w:r w:rsidRPr="00FE35CE">
        <w:rPr>
          <w:u w:val="single"/>
          <w:lang w:val="ru-RU"/>
        </w:rPr>
        <w:t>/</w:t>
      </w:r>
      <w:r w:rsidRPr="00C84829">
        <w:rPr>
          <w:u w:val="single"/>
        </w:rPr>
        <w:t>news</w:t>
      </w:r>
      <w:r w:rsidRPr="00FE35CE">
        <w:rPr>
          <w:u w:val="single"/>
          <w:lang w:val="ru-RU"/>
        </w:rPr>
        <w:t>/</w:t>
      </w:r>
      <w:r w:rsidRPr="00C84829">
        <w:rPr>
          <w:u w:val="single"/>
        </w:rPr>
        <w:t>correspondence</w:t>
      </w:r>
      <w:r w:rsidRPr="00FE35CE">
        <w:rPr>
          <w:u w:val="single"/>
          <w:lang w:val="ru-RU"/>
        </w:rPr>
        <w:t>/</w:t>
      </w:r>
      <w:proofErr w:type="spellStart"/>
      <w:r w:rsidRPr="00C84829">
        <w:rPr>
          <w:u w:val="single"/>
        </w:rPr>
        <w:t>gac</w:t>
      </w:r>
      <w:proofErr w:type="spellEnd"/>
      <w:r w:rsidRPr="00FE35CE">
        <w:rPr>
          <w:u w:val="single"/>
          <w:lang w:val="ru-RU"/>
        </w:rPr>
        <w:t>-</w:t>
      </w:r>
      <w:r w:rsidRPr="00C84829">
        <w:rPr>
          <w:u w:val="single"/>
        </w:rPr>
        <w:t>to</w:t>
      </w:r>
      <w:r w:rsidRPr="00FE35CE">
        <w:rPr>
          <w:u w:val="single"/>
          <w:lang w:val="ru-RU"/>
        </w:rPr>
        <w:t>-</w:t>
      </w:r>
      <w:r w:rsidRPr="00C84829">
        <w:rPr>
          <w:u w:val="single"/>
        </w:rPr>
        <w:t>board</w:t>
      </w:r>
      <w:r w:rsidRPr="00FE35CE">
        <w:rPr>
          <w:u w:val="single"/>
          <w:lang w:val="ru-RU"/>
        </w:rPr>
        <w:t>-20</w:t>
      </w:r>
      <w:proofErr w:type="spellStart"/>
      <w:r w:rsidRPr="00C84829">
        <w:rPr>
          <w:u w:val="single"/>
        </w:rPr>
        <w:t>nov</w:t>
      </w:r>
      <w:proofErr w:type="spellEnd"/>
      <w:r w:rsidRPr="00FE35CE">
        <w:rPr>
          <w:u w:val="single"/>
          <w:lang w:val="ru-RU"/>
        </w:rPr>
        <w:t>13-</w:t>
      </w:r>
      <w:r w:rsidRPr="00C84829">
        <w:rPr>
          <w:u w:val="single"/>
        </w:rPr>
        <w:t>en</w:t>
      </w:r>
      <w:r w:rsidRPr="00FE35CE">
        <w:rPr>
          <w:u w:val="single"/>
          <w:lang w:val="ru-RU"/>
        </w:rPr>
        <w:t>.</w:t>
      </w:r>
      <w:r w:rsidRPr="00C84829">
        <w:rPr>
          <w:u w:val="single"/>
        </w:rPr>
        <w:t>pdf</w:t>
      </w:r>
      <w:r w:rsidRPr="00FE35CE">
        <w:rPr>
          <w:lang w:val="ru-RU"/>
        </w:rPr>
        <w:t xml:space="preserve">. </w:t>
      </w:r>
    </w:p>
  </w:footnote>
  <w:footnote w:id="54">
    <w:p w:rsidR="004C1D33" w:rsidRPr="005F0179" w:rsidRDefault="004C1D33" w:rsidP="00C96755">
      <w:pPr>
        <w:pStyle w:val="FootnoteText"/>
        <w:rPr>
          <w:b/>
          <w:lang w:val="ru-RU"/>
        </w:rPr>
      </w:pPr>
      <w:r w:rsidRPr="006475B9">
        <w:rPr>
          <w:rStyle w:val="FootnoteReference"/>
        </w:rPr>
        <w:footnoteRef/>
      </w:r>
      <w:r w:rsidRPr="005F0179">
        <w:rPr>
          <w:lang w:val="ru-RU"/>
        </w:rPr>
        <w:t xml:space="preserve"> </w:t>
      </w:r>
      <w:r w:rsidRPr="005F0179">
        <w:rPr>
          <w:lang w:val="ru-RU"/>
        </w:rPr>
        <w:tab/>
      </w:r>
      <w:r>
        <w:rPr>
          <w:lang w:val="ru-RU"/>
        </w:rPr>
        <w:t>См.</w:t>
      </w:r>
      <w:r w:rsidRPr="005F0179">
        <w:rPr>
          <w:lang w:val="ru-RU"/>
        </w:rPr>
        <w:t xml:space="preserve"> </w:t>
      </w:r>
      <w:r w:rsidRPr="00C84829">
        <w:rPr>
          <w:u w:val="single"/>
        </w:rPr>
        <w:t>http</w:t>
      </w:r>
      <w:r w:rsidRPr="005F0179">
        <w:rPr>
          <w:u w:val="single"/>
          <w:lang w:val="ru-RU"/>
        </w:rPr>
        <w:t>://</w:t>
      </w:r>
      <w:r w:rsidRPr="00C84829">
        <w:rPr>
          <w:u w:val="single"/>
        </w:rPr>
        <w:t>www</w:t>
      </w:r>
      <w:r w:rsidRPr="005F0179">
        <w:rPr>
          <w:u w:val="single"/>
          <w:lang w:val="ru-RU"/>
        </w:rPr>
        <w:t>.</w:t>
      </w:r>
      <w:proofErr w:type="spellStart"/>
      <w:r w:rsidRPr="00C84829">
        <w:rPr>
          <w:u w:val="single"/>
        </w:rPr>
        <w:t>icann</w:t>
      </w:r>
      <w:proofErr w:type="spellEnd"/>
      <w:r w:rsidRPr="005F0179">
        <w:rPr>
          <w:u w:val="single"/>
          <w:lang w:val="ru-RU"/>
        </w:rPr>
        <w:t>.</w:t>
      </w:r>
      <w:r w:rsidRPr="00C84829">
        <w:rPr>
          <w:u w:val="single"/>
        </w:rPr>
        <w:t>org</w:t>
      </w:r>
      <w:r w:rsidRPr="005F0179">
        <w:rPr>
          <w:u w:val="single"/>
          <w:lang w:val="ru-RU"/>
        </w:rPr>
        <w:t>/</w:t>
      </w:r>
      <w:r w:rsidRPr="00C84829">
        <w:rPr>
          <w:u w:val="single"/>
        </w:rPr>
        <w:t>en</w:t>
      </w:r>
      <w:r w:rsidRPr="005F0179">
        <w:rPr>
          <w:u w:val="single"/>
          <w:lang w:val="ru-RU"/>
        </w:rPr>
        <w:t>/</w:t>
      </w:r>
      <w:r w:rsidRPr="00C84829">
        <w:rPr>
          <w:u w:val="single"/>
        </w:rPr>
        <w:t>groups</w:t>
      </w:r>
      <w:r w:rsidRPr="005F0179">
        <w:rPr>
          <w:u w:val="single"/>
          <w:lang w:val="ru-RU"/>
        </w:rPr>
        <w:t>/</w:t>
      </w:r>
      <w:r w:rsidRPr="00C84829">
        <w:rPr>
          <w:u w:val="single"/>
        </w:rPr>
        <w:t>board</w:t>
      </w:r>
      <w:r w:rsidRPr="005F0179">
        <w:rPr>
          <w:u w:val="single"/>
          <w:lang w:val="ru-RU"/>
        </w:rPr>
        <w:t>/</w:t>
      </w:r>
      <w:r w:rsidRPr="00C84829">
        <w:rPr>
          <w:u w:val="single"/>
        </w:rPr>
        <w:t>documents</w:t>
      </w:r>
      <w:r w:rsidRPr="005F0179">
        <w:rPr>
          <w:u w:val="single"/>
          <w:lang w:val="ru-RU"/>
        </w:rPr>
        <w:t>/</w:t>
      </w:r>
      <w:r w:rsidRPr="00C84829">
        <w:rPr>
          <w:u w:val="single"/>
        </w:rPr>
        <w:t>resolutions</w:t>
      </w:r>
      <w:r w:rsidRPr="005F0179">
        <w:rPr>
          <w:u w:val="single"/>
          <w:lang w:val="ru-RU"/>
        </w:rPr>
        <w:t>-</w:t>
      </w:r>
      <w:r w:rsidRPr="00C84829">
        <w:rPr>
          <w:u w:val="single"/>
        </w:rPr>
        <w:t>new</w:t>
      </w:r>
      <w:r w:rsidRPr="005F0179">
        <w:rPr>
          <w:u w:val="single"/>
          <w:lang w:val="ru-RU"/>
        </w:rPr>
        <w:t>-</w:t>
      </w:r>
      <w:proofErr w:type="spellStart"/>
      <w:r w:rsidRPr="00C84829">
        <w:rPr>
          <w:u w:val="single"/>
        </w:rPr>
        <w:t>gtld</w:t>
      </w:r>
      <w:proofErr w:type="spellEnd"/>
      <w:r w:rsidRPr="005F0179">
        <w:rPr>
          <w:u w:val="single"/>
          <w:lang w:val="ru-RU"/>
        </w:rPr>
        <w:t>-09</w:t>
      </w:r>
      <w:proofErr w:type="spellStart"/>
      <w:r w:rsidRPr="00C84829">
        <w:rPr>
          <w:u w:val="single"/>
        </w:rPr>
        <w:t>jan</w:t>
      </w:r>
      <w:proofErr w:type="spellEnd"/>
      <w:r w:rsidRPr="005F0179">
        <w:rPr>
          <w:u w:val="single"/>
          <w:lang w:val="ru-RU"/>
        </w:rPr>
        <w:t>14-</w:t>
      </w:r>
      <w:r w:rsidRPr="00C84829">
        <w:rPr>
          <w:u w:val="single"/>
        </w:rPr>
        <w:t>en</w:t>
      </w:r>
      <w:r w:rsidRPr="005F0179">
        <w:rPr>
          <w:u w:val="single"/>
          <w:lang w:val="ru-RU"/>
        </w:rPr>
        <w:t>.</w:t>
      </w:r>
      <w:proofErr w:type="spellStart"/>
      <w:r w:rsidRPr="00C84829">
        <w:rPr>
          <w:u w:val="single"/>
        </w:rPr>
        <w:t>htm</w:t>
      </w:r>
      <w:proofErr w:type="spellEnd"/>
      <w:r w:rsidRPr="005F0179">
        <w:rPr>
          <w:u w:val="single"/>
          <w:lang w:val="ru-RU"/>
        </w:rPr>
        <w:t>#2.</w:t>
      </w:r>
      <w:r w:rsidRPr="00C84829">
        <w:rPr>
          <w:u w:val="single"/>
        </w:rPr>
        <w:t>d</w:t>
      </w:r>
      <w:r w:rsidRPr="005F0179">
        <w:rPr>
          <w:u w:val="single"/>
          <w:lang w:val="ru-RU"/>
        </w:rPr>
        <w:t>.</w:t>
      </w:r>
      <w:proofErr w:type="spellStart"/>
      <w:r w:rsidRPr="00C84829">
        <w:rPr>
          <w:u w:val="single"/>
        </w:rPr>
        <w:t>i</w:t>
      </w:r>
      <w:proofErr w:type="spellEnd"/>
      <w:r w:rsidRPr="005F0179">
        <w:rPr>
          <w:u w:val="single"/>
          <w:lang w:val="ru-RU"/>
        </w:rPr>
        <w:t>.</w:t>
      </w:r>
      <w:r w:rsidRPr="005F0179">
        <w:rPr>
          <w:lang w:val="ru-RU"/>
        </w:rPr>
        <w:t xml:space="preserve"> </w:t>
      </w:r>
    </w:p>
  </w:footnote>
  <w:footnote w:id="55">
    <w:p w:rsidR="004C1D33" w:rsidRPr="002737A2" w:rsidRDefault="004C1D33" w:rsidP="00192C16">
      <w:pPr>
        <w:pStyle w:val="FootnoteText"/>
        <w:rPr>
          <w:lang w:val="ru-RU"/>
        </w:rPr>
      </w:pPr>
      <w:r w:rsidRPr="006475B9">
        <w:rPr>
          <w:rStyle w:val="FootnoteReference"/>
        </w:rPr>
        <w:footnoteRef/>
      </w:r>
      <w:r w:rsidRPr="008D6072">
        <w:rPr>
          <w:lang w:val="ru-RU"/>
        </w:rPr>
        <w:t xml:space="preserve"> </w:t>
      </w:r>
      <w:r w:rsidRPr="008D6072">
        <w:rPr>
          <w:lang w:val="ru-RU"/>
        </w:rPr>
        <w:tab/>
      </w:r>
      <w:r>
        <w:rPr>
          <w:lang w:val="ru-RU"/>
        </w:rPr>
        <w:t>В</w:t>
      </w:r>
      <w:r w:rsidRPr="008D6072">
        <w:rPr>
          <w:lang w:val="ru-RU"/>
        </w:rPr>
        <w:t xml:space="preserve"> качестве примера </w:t>
      </w:r>
      <w:r>
        <w:rPr>
          <w:lang w:val="ru-RU"/>
        </w:rPr>
        <w:t>в письме МПО</w:t>
      </w:r>
      <w:r w:rsidRPr="008D6072">
        <w:rPr>
          <w:lang w:val="ru-RU"/>
        </w:rPr>
        <w:t xml:space="preserve"> </w:t>
      </w:r>
      <w:r>
        <w:rPr>
          <w:lang w:val="ru-RU"/>
        </w:rPr>
        <w:t xml:space="preserve">упомянуты </w:t>
      </w:r>
      <w:r w:rsidRPr="008D6072">
        <w:rPr>
          <w:lang w:val="ru-RU"/>
        </w:rPr>
        <w:t>незаконные спекулятивные операции кампани</w:t>
      </w:r>
      <w:r>
        <w:rPr>
          <w:lang w:val="ru-RU"/>
        </w:rPr>
        <w:t>й</w:t>
      </w:r>
      <w:r w:rsidRPr="008D6072">
        <w:rPr>
          <w:lang w:val="ru-RU"/>
        </w:rPr>
        <w:t xml:space="preserve"> по финансированию ЮНИСЕФ</w:t>
      </w:r>
      <w:r w:rsidRPr="002737A2">
        <w:t xml:space="preserve"> </w:t>
      </w:r>
      <w:r>
        <w:rPr>
          <w:lang w:val="ru-RU"/>
        </w:rPr>
        <w:t>в</w:t>
      </w:r>
      <w:r w:rsidRPr="002737A2">
        <w:t xml:space="preserve"> </w:t>
      </w:r>
      <w:r>
        <w:rPr>
          <w:lang w:val="ru-RU"/>
        </w:rPr>
        <w:t>контексте</w:t>
      </w:r>
      <w:r w:rsidRPr="002737A2">
        <w:t xml:space="preserve"> </w:t>
      </w:r>
      <w:r w:rsidRPr="008D6072">
        <w:rPr>
          <w:lang w:val="ru-RU"/>
        </w:rPr>
        <w:t>гуманитарных</w:t>
      </w:r>
      <w:r w:rsidRPr="002737A2">
        <w:t xml:space="preserve"> </w:t>
      </w:r>
      <w:r>
        <w:rPr>
          <w:lang w:val="ru-RU"/>
        </w:rPr>
        <w:t>кризисов</w:t>
      </w:r>
      <w:r>
        <w:rPr>
          <w:szCs w:val="22"/>
        </w:rPr>
        <w:t>.</w:t>
      </w:r>
    </w:p>
  </w:footnote>
  <w:footnote w:id="56">
    <w:p w:rsidR="004C1D33" w:rsidRPr="002737A2" w:rsidRDefault="004C1D33" w:rsidP="009278BC">
      <w:pPr>
        <w:pStyle w:val="FootnoteText"/>
        <w:rPr>
          <w:szCs w:val="18"/>
          <w:lang w:val="ru-RU"/>
        </w:rPr>
      </w:pPr>
      <w:r w:rsidRPr="006475B9">
        <w:rPr>
          <w:rStyle w:val="FootnoteReference"/>
        </w:rPr>
        <w:footnoteRef/>
      </w:r>
      <w:r w:rsidRPr="002737A2">
        <w:rPr>
          <w:rStyle w:val="FootnoteReference"/>
          <w:lang w:val="ru-RU"/>
        </w:rPr>
        <w:t xml:space="preserve"> </w:t>
      </w:r>
      <w:r w:rsidRPr="002737A2">
        <w:rPr>
          <w:szCs w:val="18"/>
          <w:lang w:val="ru-RU"/>
        </w:rPr>
        <w:tab/>
      </w:r>
      <w:r w:rsidRPr="002737A2">
        <w:rPr>
          <w:szCs w:val="22"/>
          <w:lang w:val="ru-RU"/>
        </w:rPr>
        <w:t>В 2007</w:t>
      </w:r>
      <w:r w:rsidRPr="002737A2">
        <w:rPr>
          <w:szCs w:val="22"/>
        </w:rPr>
        <w:t> </w:t>
      </w:r>
      <w:r w:rsidRPr="002737A2">
        <w:rPr>
          <w:szCs w:val="22"/>
          <w:lang w:val="ru-RU"/>
        </w:rPr>
        <w:t xml:space="preserve">г. он выпустил «Принципы </w:t>
      </w:r>
      <w:r w:rsidRPr="002737A2">
        <w:rPr>
          <w:szCs w:val="22"/>
        </w:rPr>
        <w:t>GAC</w:t>
      </w:r>
      <w:r w:rsidRPr="002737A2">
        <w:rPr>
          <w:szCs w:val="22"/>
          <w:lang w:val="ru-RU"/>
        </w:rPr>
        <w:t xml:space="preserve">, касающиеся новых рДВУ» которые, среди прочего, предусматривают, что </w:t>
      </w:r>
      <w:r w:rsidRPr="002737A2">
        <w:rPr>
          <w:szCs w:val="22"/>
        </w:rPr>
        <w:t>ICANN</w:t>
      </w:r>
      <w:r w:rsidRPr="002737A2">
        <w:rPr>
          <w:szCs w:val="22"/>
          <w:lang w:val="ru-RU"/>
        </w:rPr>
        <w:t xml:space="preserve"> следует избегать присуждения новых рДВУ, касающихся названий стран, территорий или мест, а также описаний региональных языков или народов, если это не предусмотрено соглашением с соответствующими правительствами или государственными властями.  Далее в этих «Принципах </w:t>
      </w:r>
      <w:r w:rsidRPr="002737A2">
        <w:rPr>
          <w:szCs w:val="22"/>
        </w:rPr>
        <w:t>GAC</w:t>
      </w:r>
      <w:r w:rsidRPr="002737A2">
        <w:rPr>
          <w:szCs w:val="22"/>
          <w:lang w:val="ru-RU"/>
        </w:rPr>
        <w:t>» говорится, что в рамках осуществления новых регистраций следует ввести процедуры для блокирования/оспаривания на втором уровне названий, имеющих национальное или географическое значение, по требованию правительств</w:t>
      </w:r>
      <w:r w:rsidRPr="002737A2">
        <w:rPr>
          <w:iCs/>
          <w:szCs w:val="22"/>
          <w:lang w:val="ru-RU"/>
        </w:rPr>
        <w:t xml:space="preserve">.  </w:t>
      </w:r>
      <w:r>
        <w:rPr>
          <w:iCs/>
          <w:szCs w:val="22"/>
          <w:lang w:val="ru-RU"/>
        </w:rPr>
        <w:t>См.</w:t>
      </w:r>
      <w:r w:rsidRPr="002737A2">
        <w:rPr>
          <w:szCs w:val="18"/>
          <w:lang w:val="ru-RU"/>
        </w:rPr>
        <w:t xml:space="preserve"> </w:t>
      </w:r>
      <w:r w:rsidRPr="006475B9">
        <w:rPr>
          <w:szCs w:val="18"/>
          <w:u w:val="single"/>
        </w:rPr>
        <w:t>http</w:t>
      </w:r>
      <w:r w:rsidRPr="002737A2">
        <w:rPr>
          <w:szCs w:val="18"/>
          <w:u w:val="single"/>
          <w:lang w:val="ru-RU"/>
        </w:rPr>
        <w:t>://</w:t>
      </w:r>
      <w:proofErr w:type="spellStart"/>
      <w:r w:rsidRPr="006475B9">
        <w:rPr>
          <w:szCs w:val="18"/>
          <w:u w:val="single"/>
        </w:rPr>
        <w:t>gac</w:t>
      </w:r>
      <w:proofErr w:type="spellEnd"/>
      <w:r w:rsidRPr="002737A2">
        <w:rPr>
          <w:szCs w:val="18"/>
          <w:u w:val="single"/>
          <w:lang w:val="ru-RU"/>
        </w:rPr>
        <w:t>.</w:t>
      </w:r>
      <w:proofErr w:type="spellStart"/>
      <w:r w:rsidRPr="006475B9">
        <w:rPr>
          <w:szCs w:val="18"/>
          <w:u w:val="single"/>
        </w:rPr>
        <w:t>icann</w:t>
      </w:r>
      <w:proofErr w:type="spellEnd"/>
      <w:r w:rsidRPr="002737A2">
        <w:rPr>
          <w:szCs w:val="18"/>
          <w:u w:val="single"/>
          <w:lang w:val="ru-RU"/>
        </w:rPr>
        <w:t>.</w:t>
      </w:r>
      <w:r w:rsidRPr="006475B9">
        <w:rPr>
          <w:szCs w:val="18"/>
          <w:u w:val="single"/>
        </w:rPr>
        <w:t>org</w:t>
      </w:r>
      <w:r w:rsidRPr="002737A2">
        <w:rPr>
          <w:szCs w:val="18"/>
          <w:u w:val="single"/>
          <w:lang w:val="ru-RU"/>
        </w:rPr>
        <w:t>/</w:t>
      </w:r>
      <w:r w:rsidRPr="006475B9">
        <w:rPr>
          <w:szCs w:val="18"/>
          <w:u w:val="single"/>
        </w:rPr>
        <w:t>web</w:t>
      </w:r>
      <w:r w:rsidRPr="002737A2">
        <w:rPr>
          <w:szCs w:val="18"/>
          <w:u w:val="single"/>
          <w:lang w:val="ru-RU"/>
        </w:rPr>
        <w:t>/</w:t>
      </w:r>
      <w:r w:rsidRPr="006475B9">
        <w:rPr>
          <w:szCs w:val="18"/>
          <w:u w:val="single"/>
        </w:rPr>
        <w:t>home</w:t>
      </w:r>
      <w:r w:rsidRPr="002737A2">
        <w:rPr>
          <w:szCs w:val="18"/>
          <w:u w:val="single"/>
          <w:lang w:val="ru-RU"/>
        </w:rPr>
        <w:t>/</w:t>
      </w:r>
      <w:proofErr w:type="spellStart"/>
      <w:r w:rsidRPr="006475B9">
        <w:rPr>
          <w:szCs w:val="18"/>
          <w:u w:val="single"/>
        </w:rPr>
        <w:t>gTLD</w:t>
      </w:r>
      <w:proofErr w:type="spellEnd"/>
      <w:r w:rsidRPr="002737A2">
        <w:rPr>
          <w:szCs w:val="18"/>
          <w:u w:val="single"/>
          <w:lang w:val="ru-RU"/>
        </w:rPr>
        <w:t>_</w:t>
      </w:r>
      <w:r w:rsidRPr="006475B9">
        <w:rPr>
          <w:szCs w:val="18"/>
          <w:u w:val="single"/>
        </w:rPr>
        <w:t>principles</w:t>
      </w:r>
      <w:r w:rsidRPr="002737A2">
        <w:rPr>
          <w:szCs w:val="18"/>
          <w:u w:val="single"/>
          <w:lang w:val="ru-RU"/>
        </w:rPr>
        <w:t>.</w:t>
      </w:r>
      <w:r w:rsidRPr="006475B9">
        <w:rPr>
          <w:szCs w:val="18"/>
          <w:u w:val="single"/>
        </w:rPr>
        <w:t>pdf</w:t>
      </w:r>
      <w:r w:rsidRPr="002737A2">
        <w:rPr>
          <w:szCs w:val="18"/>
          <w:lang w:val="ru-RU"/>
        </w:rPr>
        <w:t>.</w:t>
      </w:r>
    </w:p>
  </w:footnote>
  <w:footnote w:id="57">
    <w:p w:rsidR="004C1D33" w:rsidRPr="00E92E34" w:rsidRDefault="004C1D33">
      <w:pPr>
        <w:pStyle w:val="FootnoteText"/>
        <w:rPr>
          <w:szCs w:val="18"/>
          <w:lang w:val="ru-RU"/>
        </w:rPr>
      </w:pPr>
      <w:r>
        <w:rPr>
          <w:rStyle w:val="FootnoteReference"/>
        </w:rPr>
        <w:footnoteRef/>
      </w:r>
      <w:r w:rsidRPr="00E75A69">
        <w:rPr>
          <w:lang w:val="ru-RU"/>
        </w:rPr>
        <w:t xml:space="preserve"> </w:t>
      </w:r>
      <w:r w:rsidRPr="00E75A69">
        <w:rPr>
          <w:lang w:val="ru-RU"/>
        </w:rPr>
        <w:tab/>
      </w:r>
      <w:r w:rsidRPr="00E75A69">
        <w:rPr>
          <w:szCs w:val="22"/>
          <w:lang w:val="ru-RU"/>
        </w:rPr>
        <w:t xml:space="preserve">Что касается регистраций доменов второго уровня, то базовое регистрационное соглашение </w:t>
      </w:r>
      <w:r w:rsidRPr="00E75A69">
        <w:rPr>
          <w:szCs w:val="22"/>
        </w:rPr>
        <w:t>ICANN</w:t>
      </w:r>
      <w:r>
        <w:rPr>
          <w:szCs w:val="22"/>
          <w:lang w:val="ru-RU"/>
        </w:rPr>
        <w:t xml:space="preserve"> включает «</w:t>
      </w:r>
      <w:r w:rsidRPr="00E75A69">
        <w:rPr>
          <w:szCs w:val="22"/>
          <w:lang w:val="ru-RU"/>
        </w:rPr>
        <w:t xml:space="preserve">Список зарезервированных названий для второго </w:t>
      </w:r>
      <w:r w:rsidRPr="00E75A69">
        <w:rPr>
          <w:szCs w:val="22"/>
          <w:lang w:val="ru-RU"/>
        </w:rPr>
        <w:t>уровня в реестрах рДВУ</w:t>
      </w:r>
      <w:r>
        <w:rPr>
          <w:szCs w:val="22"/>
          <w:lang w:val="ru-RU"/>
        </w:rPr>
        <w:t>»</w:t>
      </w:r>
      <w:r w:rsidRPr="00E75A69">
        <w:rPr>
          <w:szCs w:val="22"/>
          <w:lang w:val="ru-RU"/>
        </w:rPr>
        <w:t>, где учтены определенные названия стран и территорий</w:t>
      </w:r>
      <w:r w:rsidRPr="00E75A69">
        <w:rPr>
          <w:szCs w:val="18"/>
          <w:lang w:val="ru-RU"/>
        </w:rPr>
        <w:t xml:space="preserve">.  </w:t>
      </w:r>
      <w:r>
        <w:rPr>
          <w:szCs w:val="18"/>
          <w:lang w:val="ru-RU"/>
        </w:rPr>
        <w:t>См</w:t>
      </w:r>
      <w:r w:rsidRPr="00E92E34">
        <w:rPr>
          <w:szCs w:val="18"/>
          <w:lang w:val="ru-RU"/>
        </w:rPr>
        <w:t xml:space="preserve">. </w:t>
      </w:r>
      <w:r w:rsidRPr="006E61AD">
        <w:rPr>
          <w:szCs w:val="18"/>
          <w:u w:val="single"/>
        </w:rPr>
        <w:t>http</w:t>
      </w:r>
      <w:r w:rsidRPr="00E92E34">
        <w:rPr>
          <w:szCs w:val="18"/>
          <w:u w:val="single"/>
          <w:lang w:val="ru-RU"/>
        </w:rPr>
        <w:t>://</w:t>
      </w:r>
      <w:proofErr w:type="spellStart"/>
      <w:r w:rsidRPr="006E61AD">
        <w:rPr>
          <w:szCs w:val="18"/>
          <w:u w:val="single"/>
        </w:rPr>
        <w:t>newgtlds</w:t>
      </w:r>
      <w:proofErr w:type="spellEnd"/>
      <w:r w:rsidRPr="00E92E34">
        <w:rPr>
          <w:szCs w:val="18"/>
          <w:u w:val="single"/>
          <w:lang w:val="ru-RU"/>
        </w:rPr>
        <w:t>.</w:t>
      </w:r>
      <w:proofErr w:type="spellStart"/>
      <w:r w:rsidRPr="006E61AD">
        <w:rPr>
          <w:szCs w:val="18"/>
          <w:u w:val="single"/>
        </w:rPr>
        <w:t>icann</w:t>
      </w:r>
      <w:proofErr w:type="spellEnd"/>
      <w:r w:rsidRPr="00E92E34">
        <w:rPr>
          <w:szCs w:val="18"/>
          <w:u w:val="single"/>
          <w:lang w:val="ru-RU"/>
        </w:rPr>
        <w:t>.</w:t>
      </w:r>
      <w:r w:rsidRPr="006E61AD">
        <w:rPr>
          <w:szCs w:val="18"/>
          <w:u w:val="single"/>
        </w:rPr>
        <w:t>org</w:t>
      </w:r>
      <w:r w:rsidRPr="00E92E34">
        <w:rPr>
          <w:szCs w:val="18"/>
          <w:u w:val="single"/>
          <w:lang w:val="ru-RU"/>
        </w:rPr>
        <w:t>/</w:t>
      </w:r>
      <w:r w:rsidRPr="006E61AD">
        <w:rPr>
          <w:szCs w:val="18"/>
          <w:u w:val="single"/>
        </w:rPr>
        <w:t>en</w:t>
      </w:r>
      <w:r w:rsidRPr="00E92E34">
        <w:rPr>
          <w:szCs w:val="18"/>
          <w:u w:val="single"/>
          <w:lang w:val="ru-RU"/>
        </w:rPr>
        <w:t>/</w:t>
      </w:r>
      <w:r w:rsidRPr="006E61AD">
        <w:rPr>
          <w:szCs w:val="18"/>
          <w:u w:val="single"/>
        </w:rPr>
        <w:t>applicants</w:t>
      </w:r>
      <w:r w:rsidRPr="00E92E34">
        <w:rPr>
          <w:szCs w:val="18"/>
          <w:u w:val="single"/>
          <w:lang w:val="ru-RU"/>
        </w:rPr>
        <w:t>/</w:t>
      </w:r>
      <w:proofErr w:type="spellStart"/>
      <w:r w:rsidRPr="006E61AD">
        <w:rPr>
          <w:szCs w:val="18"/>
          <w:u w:val="single"/>
        </w:rPr>
        <w:t>agb</w:t>
      </w:r>
      <w:proofErr w:type="spellEnd"/>
      <w:r w:rsidRPr="00E92E34">
        <w:rPr>
          <w:szCs w:val="18"/>
          <w:u w:val="single"/>
          <w:lang w:val="ru-RU"/>
        </w:rPr>
        <w:t>/</w:t>
      </w:r>
      <w:r w:rsidRPr="006E61AD">
        <w:rPr>
          <w:szCs w:val="18"/>
          <w:u w:val="single"/>
        </w:rPr>
        <w:t>base</w:t>
      </w:r>
      <w:r w:rsidRPr="00E92E34">
        <w:rPr>
          <w:szCs w:val="18"/>
          <w:u w:val="single"/>
          <w:lang w:val="ru-RU"/>
        </w:rPr>
        <w:t>-</w:t>
      </w:r>
      <w:r w:rsidRPr="006E61AD">
        <w:rPr>
          <w:szCs w:val="18"/>
          <w:u w:val="single"/>
        </w:rPr>
        <w:t>agreement</w:t>
      </w:r>
      <w:r w:rsidRPr="00E92E34">
        <w:rPr>
          <w:szCs w:val="18"/>
          <w:u w:val="single"/>
          <w:lang w:val="ru-RU"/>
        </w:rPr>
        <w:t>-</w:t>
      </w:r>
      <w:r w:rsidRPr="006E61AD">
        <w:rPr>
          <w:szCs w:val="18"/>
          <w:u w:val="single"/>
        </w:rPr>
        <w:t>specs</w:t>
      </w:r>
      <w:r w:rsidRPr="00E92E34">
        <w:rPr>
          <w:szCs w:val="18"/>
          <w:u w:val="single"/>
          <w:lang w:val="ru-RU"/>
        </w:rPr>
        <w:t>-04</w:t>
      </w:r>
      <w:proofErr w:type="spellStart"/>
      <w:r w:rsidRPr="006E61AD">
        <w:rPr>
          <w:szCs w:val="18"/>
          <w:u w:val="single"/>
        </w:rPr>
        <w:t>jun</w:t>
      </w:r>
      <w:proofErr w:type="spellEnd"/>
      <w:r w:rsidRPr="00E92E34">
        <w:rPr>
          <w:szCs w:val="18"/>
          <w:u w:val="single"/>
          <w:lang w:val="ru-RU"/>
        </w:rPr>
        <w:t>12-</w:t>
      </w:r>
      <w:r w:rsidRPr="006E61AD">
        <w:rPr>
          <w:szCs w:val="18"/>
          <w:u w:val="single"/>
        </w:rPr>
        <w:t>en</w:t>
      </w:r>
      <w:r w:rsidRPr="00E92E34">
        <w:rPr>
          <w:szCs w:val="18"/>
          <w:u w:val="single"/>
          <w:lang w:val="ru-RU"/>
        </w:rPr>
        <w:t>.</w:t>
      </w:r>
      <w:r w:rsidRPr="006E61AD">
        <w:rPr>
          <w:szCs w:val="18"/>
          <w:u w:val="single"/>
        </w:rPr>
        <w:t>pdf</w:t>
      </w:r>
      <w:r w:rsidRPr="00E92E34">
        <w:rPr>
          <w:szCs w:val="18"/>
          <w:lang w:val="ru-RU"/>
        </w:rPr>
        <w:t xml:space="preserve"> </w:t>
      </w:r>
      <w:r w:rsidR="00E92E34">
        <w:rPr>
          <w:szCs w:val="18"/>
          <w:lang w:val="ru-RU"/>
        </w:rPr>
        <w:t>в</w:t>
      </w:r>
      <w:r w:rsidR="00E92E34" w:rsidRPr="00E92E34">
        <w:rPr>
          <w:szCs w:val="18"/>
          <w:lang w:val="ru-RU"/>
        </w:rPr>
        <w:t xml:space="preserve"> </w:t>
      </w:r>
      <w:r w:rsidR="00E92E34">
        <w:rPr>
          <w:szCs w:val="18"/>
          <w:lang w:val="ru-RU"/>
        </w:rPr>
        <w:t>разделе 5</w:t>
      </w:r>
      <w:r w:rsidRPr="00E92E34">
        <w:rPr>
          <w:szCs w:val="18"/>
          <w:lang w:val="ru-RU"/>
        </w:rPr>
        <w:t>.</w:t>
      </w:r>
    </w:p>
  </w:footnote>
  <w:footnote w:id="58">
    <w:p w:rsidR="004C1D33" w:rsidRPr="00270FF6" w:rsidRDefault="004C1D33" w:rsidP="00192C16">
      <w:pPr>
        <w:pStyle w:val="FootnoteText"/>
        <w:rPr>
          <w:szCs w:val="18"/>
          <w:lang w:val="ru-RU"/>
        </w:rPr>
      </w:pPr>
      <w:r w:rsidRPr="006475B9">
        <w:rPr>
          <w:rStyle w:val="FootnoteReference"/>
        </w:rPr>
        <w:footnoteRef/>
      </w:r>
      <w:r w:rsidRPr="00270FF6">
        <w:rPr>
          <w:rStyle w:val="FootnoteReference"/>
          <w:lang w:val="ru-RU"/>
        </w:rPr>
        <w:t xml:space="preserve"> </w:t>
      </w:r>
      <w:r w:rsidRPr="00270FF6">
        <w:rPr>
          <w:szCs w:val="18"/>
          <w:lang w:val="ru-RU"/>
        </w:rPr>
        <w:tab/>
      </w:r>
      <w:r>
        <w:rPr>
          <w:szCs w:val="18"/>
          <w:lang w:val="ru-RU"/>
        </w:rPr>
        <w:t>См</w:t>
      </w:r>
      <w:r w:rsidRPr="00270FF6">
        <w:rPr>
          <w:szCs w:val="18"/>
          <w:lang w:val="ru-RU"/>
        </w:rPr>
        <w:t xml:space="preserve">. </w:t>
      </w:r>
      <w:r w:rsidRPr="006E61AD">
        <w:rPr>
          <w:szCs w:val="18"/>
          <w:u w:val="single"/>
        </w:rPr>
        <w:t>http</w:t>
      </w:r>
      <w:r w:rsidRPr="00270FF6">
        <w:rPr>
          <w:szCs w:val="18"/>
          <w:u w:val="single"/>
          <w:lang w:val="ru-RU"/>
        </w:rPr>
        <w:t>://</w:t>
      </w:r>
      <w:proofErr w:type="spellStart"/>
      <w:r w:rsidRPr="006E61AD">
        <w:rPr>
          <w:szCs w:val="18"/>
          <w:u w:val="single"/>
        </w:rPr>
        <w:t>newgtlds</w:t>
      </w:r>
      <w:proofErr w:type="spellEnd"/>
      <w:r w:rsidRPr="00270FF6">
        <w:rPr>
          <w:szCs w:val="18"/>
          <w:u w:val="single"/>
          <w:lang w:val="ru-RU"/>
        </w:rPr>
        <w:t>.</w:t>
      </w:r>
      <w:proofErr w:type="spellStart"/>
      <w:r w:rsidRPr="006E61AD">
        <w:rPr>
          <w:szCs w:val="18"/>
          <w:u w:val="single"/>
        </w:rPr>
        <w:t>icann</w:t>
      </w:r>
      <w:proofErr w:type="spellEnd"/>
      <w:r w:rsidRPr="00270FF6">
        <w:rPr>
          <w:szCs w:val="18"/>
          <w:u w:val="single"/>
          <w:lang w:val="ru-RU"/>
        </w:rPr>
        <w:t>.</w:t>
      </w:r>
      <w:r w:rsidRPr="006E61AD">
        <w:rPr>
          <w:szCs w:val="18"/>
          <w:u w:val="single"/>
        </w:rPr>
        <w:t>org</w:t>
      </w:r>
      <w:r w:rsidRPr="00270FF6">
        <w:rPr>
          <w:szCs w:val="18"/>
          <w:u w:val="single"/>
          <w:lang w:val="ru-RU"/>
        </w:rPr>
        <w:t>/</w:t>
      </w:r>
      <w:r w:rsidRPr="006E61AD">
        <w:rPr>
          <w:szCs w:val="18"/>
          <w:u w:val="single"/>
        </w:rPr>
        <w:t>en</w:t>
      </w:r>
      <w:r w:rsidRPr="00270FF6">
        <w:rPr>
          <w:szCs w:val="18"/>
          <w:u w:val="single"/>
          <w:lang w:val="ru-RU"/>
        </w:rPr>
        <w:t>/</w:t>
      </w:r>
      <w:r w:rsidRPr="006E61AD">
        <w:rPr>
          <w:szCs w:val="18"/>
          <w:u w:val="single"/>
        </w:rPr>
        <w:t>applicants</w:t>
      </w:r>
      <w:r w:rsidRPr="00270FF6">
        <w:rPr>
          <w:szCs w:val="18"/>
          <w:u w:val="single"/>
          <w:lang w:val="ru-RU"/>
        </w:rPr>
        <w:t>/</w:t>
      </w:r>
      <w:proofErr w:type="spellStart"/>
      <w:r w:rsidRPr="006E61AD">
        <w:rPr>
          <w:szCs w:val="18"/>
          <w:u w:val="single"/>
        </w:rPr>
        <w:t>agb</w:t>
      </w:r>
      <w:proofErr w:type="spellEnd"/>
      <w:r w:rsidRPr="00270FF6">
        <w:rPr>
          <w:szCs w:val="18"/>
          <w:u w:val="single"/>
          <w:lang w:val="ru-RU"/>
        </w:rPr>
        <w:t>/</w:t>
      </w:r>
      <w:r w:rsidRPr="006E61AD">
        <w:rPr>
          <w:szCs w:val="18"/>
          <w:u w:val="single"/>
        </w:rPr>
        <w:t>evaluation</w:t>
      </w:r>
      <w:r w:rsidRPr="00270FF6">
        <w:rPr>
          <w:szCs w:val="18"/>
          <w:u w:val="single"/>
          <w:lang w:val="ru-RU"/>
        </w:rPr>
        <w:t>-</w:t>
      </w:r>
      <w:r w:rsidRPr="006E61AD">
        <w:rPr>
          <w:szCs w:val="18"/>
          <w:u w:val="single"/>
        </w:rPr>
        <w:t>procedures</w:t>
      </w:r>
      <w:r w:rsidRPr="00270FF6">
        <w:rPr>
          <w:szCs w:val="18"/>
          <w:u w:val="single"/>
          <w:lang w:val="ru-RU"/>
        </w:rPr>
        <w:t>-04</w:t>
      </w:r>
      <w:proofErr w:type="spellStart"/>
      <w:r w:rsidRPr="006E61AD">
        <w:rPr>
          <w:szCs w:val="18"/>
          <w:u w:val="single"/>
        </w:rPr>
        <w:t>jun</w:t>
      </w:r>
      <w:proofErr w:type="spellEnd"/>
      <w:r w:rsidRPr="00270FF6">
        <w:rPr>
          <w:szCs w:val="18"/>
          <w:u w:val="single"/>
          <w:lang w:val="ru-RU"/>
        </w:rPr>
        <w:t>12-</w:t>
      </w:r>
      <w:r w:rsidRPr="006E61AD">
        <w:rPr>
          <w:szCs w:val="18"/>
          <w:u w:val="single"/>
        </w:rPr>
        <w:t>en</w:t>
      </w:r>
      <w:r w:rsidRPr="00270FF6">
        <w:rPr>
          <w:szCs w:val="18"/>
          <w:u w:val="single"/>
          <w:lang w:val="ru-RU"/>
        </w:rPr>
        <w:t>.</w:t>
      </w:r>
      <w:r w:rsidRPr="006E61AD">
        <w:rPr>
          <w:szCs w:val="18"/>
          <w:u w:val="single"/>
        </w:rPr>
        <w:t>pdf</w:t>
      </w:r>
      <w:r w:rsidRPr="00270FF6">
        <w:rPr>
          <w:szCs w:val="18"/>
          <w:lang w:val="ru-RU"/>
        </w:rPr>
        <w:t xml:space="preserve"> </w:t>
      </w:r>
      <w:r>
        <w:rPr>
          <w:szCs w:val="18"/>
          <w:lang w:val="ru-RU"/>
        </w:rPr>
        <w:t>начиная</w:t>
      </w:r>
      <w:r w:rsidRPr="00270FF6">
        <w:rPr>
          <w:szCs w:val="18"/>
          <w:lang w:val="ru-RU"/>
        </w:rPr>
        <w:t xml:space="preserve"> </w:t>
      </w:r>
      <w:r>
        <w:rPr>
          <w:szCs w:val="18"/>
          <w:lang w:val="ru-RU"/>
        </w:rPr>
        <w:t>с</w:t>
      </w:r>
      <w:r w:rsidRPr="00270FF6">
        <w:rPr>
          <w:szCs w:val="18"/>
          <w:lang w:val="ru-RU"/>
        </w:rPr>
        <w:t xml:space="preserve"> </w:t>
      </w:r>
      <w:r>
        <w:rPr>
          <w:szCs w:val="18"/>
          <w:lang w:val="ru-RU"/>
        </w:rPr>
        <w:t>раздела</w:t>
      </w:r>
      <w:r w:rsidRPr="00FC118E">
        <w:rPr>
          <w:szCs w:val="18"/>
        </w:rPr>
        <w:t> </w:t>
      </w:r>
      <w:r w:rsidRPr="00270FF6">
        <w:rPr>
          <w:szCs w:val="18"/>
          <w:lang w:val="ru-RU"/>
        </w:rPr>
        <w:t xml:space="preserve">2.2.1.4.1 </w:t>
      </w:r>
      <w:r w:rsidRPr="00FC118E">
        <w:rPr>
          <w:szCs w:val="18"/>
          <w:lang w:val="ru-RU"/>
        </w:rPr>
        <w:t>«Порядок работы с названиями стран и территорий»</w:t>
      </w:r>
      <w:r w:rsidRPr="00270FF6">
        <w:rPr>
          <w:szCs w:val="18"/>
          <w:lang w:val="ru-RU"/>
        </w:rPr>
        <w:t>.</w:t>
      </w:r>
    </w:p>
  </w:footnote>
  <w:footnote w:id="59">
    <w:p w:rsidR="004C1D33" w:rsidRPr="00270FF6" w:rsidRDefault="004C1D33" w:rsidP="00192C16">
      <w:pPr>
        <w:pStyle w:val="FootnoteText"/>
        <w:rPr>
          <w:szCs w:val="18"/>
          <w:lang w:val="ru-RU"/>
        </w:rPr>
      </w:pPr>
      <w:r w:rsidRPr="006475B9">
        <w:rPr>
          <w:rStyle w:val="FootnoteReference"/>
        </w:rPr>
        <w:footnoteRef/>
      </w:r>
      <w:r w:rsidRPr="00270FF6">
        <w:rPr>
          <w:szCs w:val="18"/>
          <w:lang w:val="ru-RU"/>
        </w:rPr>
        <w:t xml:space="preserve"> </w:t>
      </w:r>
      <w:r w:rsidRPr="00270FF6">
        <w:rPr>
          <w:szCs w:val="18"/>
          <w:lang w:val="ru-RU"/>
        </w:rPr>
        <w:tab/>
      </w:r>
      <w:r>
        <w:rPr>
          <w:szCs w:val="18"/>
          <w:lang w:val="ru-RU"/>
        </w:rPr>
        <w:t>См</w:t>
      </w:r>
      <w:r w:rsidRPr="00270FF6">
        <w:rPr>
          <w:szCs w:val="18"/>
          <w:lang w:val="ru-RU"/>
        </w:rPr>
        <w:t xml:space="preserve">. </w:t>
      </w:r>
      <w:r w:rsidRPr="006E61AD">
        <w:rPr>
          <w:szCs w:val="18"/>
          <w:u w:val="single"/>
        </w:rPr>
        <w:t>http</w:t>
      </w:r>
      <w:r w:rsidRPr="00270FF6">
        <w:rPr>
          <w:szCs w:val="18"/>
          <w:u w:val="single"/>
          <w:lang w:val="ru-RU"/>
        </w:rPr>
        <w:t>://</w:t>
      </w:r>
      <w:proofErr w:type="spellStart"/>
      <w:r w:rsidRPr="006E61AD">
        <w:rPr>
          <w:szCs w:val="18"/>
          <w:u w:val="single"/>
        </w:rPr>
        <w:t>newgtlds</w:t>
      </w:r>
      <w:proofErr w:type="spellEnd"/>
      <w:r w:rsidRPr="00270FF6">
        <w:rPr>
          <w:szCs w:val="18"/>
          <w:u w:val="single"/>
          <w:lang w:val="ru-RU"/>
        </w:rPr>
        <w:t>.</w:t>
      </w:r>
      <w:proofErr w:type="spellStart"/>
      <w:r w:rsidRPr="006E61AD">
        <w:rPr>
          <w:szCs w:val="18"/>
          <w:u w:val="single"/>
        </w:rPr>
        <w:t>icann</w:t>
      </w:r>
      <w:proofErr w:type="spellEnd"/>
      <w:r w:rsidRPr="00270FF6">
        <w:rPr>
          <w:szCs w:val="18"/>
          <w:u w:val="single"/>
          <w:lang w:val="ru-RU"/>
        </w:rPr>
        <w:t>.</w:t>
      </w:r>
      <w:r w:rsidRPr="006E61AD">
        <w:rPr>
          <w:szCs w:val="18"/>
          <w:u w:val="single"/>
        </w:rPr>
        <w:t>org</w:t>
      </w:r>
      <w:r w:rsidRPr="00270FF6">
        <w:rPr>
          <w:szCs w:val="18"/>
          <w:u w:val="single"/>
          <w:lang w:val="ru-RU"/>
        </w:rPr>
        <w:t>/</w:t>
      </w:r>
      <w:r w:rsidRPr="006E61AD">
        <w:rPr>
          <w:szCs w:val="18"/>
          <w:u w:val="single"/>
        </w:rPr>
        <w:t>en</w:t>
      </w:r>
      <w:r w:rsidRPr="00270FF6">
        <w:rPr>
          <w:szCs w:val="18"/>
          <w:u w:val="single"/>
          <w:lang w:val="ru-RU"/>
        </w:rPr>
        <w:t>/</w:t>
      </w:r>
      <w:r w:rsidRPr="006E61AD">
        <w:rPr>
          <w:szCs w:val="18"/>
          <w:u w:val="single"/>
        </w:rPr>
        <w:t>applicants</w:t>
      </w:r>
      <w:r w:rsidRPr="00270FF6">
        <w:rPr>
          <w:szCs w:val="18"/>
          <w:u w:val="single"/>
          <w:lang w:val="ru-RU"/>
        </w:rPr>
        <w:t>/</w:t>
      </w:r>
      <w:proofErr w:type="spellStart"/>
      <w:r w:rsidRPr="006E61AD">
        <w:rPr>
          <w:szCs w:val="18"/>
          <w:u w:val="single"/>
        </w:rPr>
        <w:t>agb</w:t>
      </w:r>
      <w:proofErr w:type="spellEnd"/>
      <w:r w:rsidRPr="00270FF6">
        <w:rPr>
          <w:szCs w:val="18"/>
          <w:u w:val="single"/>
          <w:lang w:val="ru-RU"/>
        </w:rPr>
        <w:t>/</w:t>
      </w:r>
      <w:r w:rsidRPr="006E61AD">
        <w:rPr>
          <w:szCs w:val="18"/>
          <w:u w:val="single"/>
        </w:rPr>
        <w:t>evaluation</w:t>
      </w:r>
      <w:r w:rsidRPr="00270FF6">
        <w:rPr>
          <w:szCs w:val="18"/>
          <w:u w:val="single"/>
          <w:lang w:val="ru-RU"/>
        </w:rPr>
        <w:t>-</w:t>
      </w:r>
      <w:r w:rsidRPr="006E61AD">
        <w:rPr>
          <w:szCs w:val="18"/>
          <w:u w:val="single"/>
        </w:rPr>
        <w:t>procedures</w:t>
      </w:r>
      <w:r w:rsidRPr="00270FF6">
        <w:rPr>
          <w:szCs w:val="18"/>
          <w:u w:val="single"/>
          <w:lang w:val="ru-RU"/>
        </w:rPr>
        <w:t>-04</w:t>
      </w:r>
      <w:proofErr w:type="spellStart"/>
      <w:r w:rsidRPr="006E61AD">
        <w:rPr>
          <w:szCs w:val="18"/>
          <w:u w:val="single"/>
        </w:rPr>
        <w:t>jun</w:t>
      </w:r>
      <w:proofErr w:type="spellEnd"/>
      <w:r w:rsidRPr="00270FF6">
        <w:rPr>
          <w:szCs w:val="18"/>
          <w:u w:val="single"/>
          <w:lang w:val="ru-RU"/>
        </w:rPr>
        <w:t>12-</w:t>
      </w:r>
      <w:r w:rsidRPr="006E61AD">
        <w:rPr>
          <w:szCs w:val="18"/>
          <w:u w:val="single"/>
        </w:rPr>
        <w:t>en</w:t>
      </w:r>
      <w:r w:rsidRPr="00270FF6">
        <w:rPr>
          <w:szCs w:val="18"/>
          <w:u w:val="single"/>
          <w:lang w:val="ru-RU"/>
        </w:rPr>
        <w:t>.</w:t>
      </w:r>
      <w:r w:rsidRPr="006E61AD">
        <w:rPr>
          <w:szCs w:val="18"/>
          <w:u w:val="single"/>
        </w:rPr>
        <w:t>pdf</w:t>
      </w:r>
      <w:r w:rsidRPr="00270FF6">
        <w:rPr>
          <w:szCs w:val="18"/>
          <w:lang w:val="ru-RU"/>
        </w:rPr>
        <w:t xml:space="preserve"> </w:t>
      </w:r>
      <w:r>
        <w:rPr>
          <w:szCs w:val="18"/>
          <w:lang w:val="ru-RU"/>
        </w:rPr>
        <w:t>начиная</w:t>
      </w:r>
      <w:r w:rsidRPr="00270FF6">
        <w:rPr>
          <w:szCs w:val="18"/>
          <w:lang w:val="ru-RU"/>
        </w:rPr>
        <w:t xml:space="preserve"> </w:t>
      </w:r>
      <w:r>
        <w:rPr>
          <w:szCs w:val="18"/>
          <w:lang w:val="ru-RU"/>
        </w:rPr>
        <w:t>с</w:t>
      </w:r>
      <w:r w:rsidRPr="00270FF6">
        <w:rPr>
          <w:szCs w:val="18"/>
          <w:lang w:val="ru-RU"/>
        </w:rPr>
        <w:t xml:space="preserve"> </w:t>
      </w:r>
      <w:r>
        <w:rPr>
          <w:szCs w:val="18"/>
          <w:lang w:val="ru-RU"/>
        </w:rPr>
        <w:t>раздела</w:t>
      </w:r>
      <w:r w:rsidRPr="00270FF6">
        <w:rPr>
          <w:szCs w:val="18"/>
        </w:rPr>
        <w:t> </w:t>
      </w:r>
      <w:r w:rsidRPr="00270FF6">
        <w:rPr>
          <w:szCs w:val="18"/>
          <w:lang w:val="ru-RU"/>
        </w:rPr>
        <w:t>2.2.1.4.2 «Географические названия, по которым требуется поддержка со стороны правительств</w:t>
      </w:r>
      <w:r>
        <w:rPr>
          <w:szCs w:val="18"/>
          <w:lang w:val="ru-RU"/>
        </w:rPr>
        <w:t>»</w:t>
      </w:r>
      <w:r w:rsidRPr="00270FF6">
        <w:rPr>
          <w:szCs w:val="18"/>
          <w:lang w:val="ru-RU"/>
        </w:rPr>
        <w:t>.</w:t>
      </w:r>
    </w:p>
  </w:footnote>
  <w:footnote w:id="60">
    <w:p w:rsidR="004C1D33" w:rsidRPr="00F70368" w:rsidRDefault="004C1D33" w:rsidP="00192C16">
      <w:pPr>
        <w:pStyle w:val="FootnoteText"/>
        <w:rPr>
          <w:lang w:val="ru-RU"/>
        </w:rPr>
      </w:pPr>
      <w:r w:rsidRPr="006475B9">
        <w:rPr>
          <w:rStyle w:val="FootnoteReference"/>
        </w:rPr>
        <w:footnoteRef/>
      </w:r>
      <w:r w:rsidRPr="005268AD">
        <w:rPr>
          <w:lang w:val="ru-RU"/>
        </w:rPr>
        <w:t xml:space="preserve"> </w:t>
      </w:r>
      <w:r w:rsidRPr="005268AD">
        <w:rPr>
          <w:lang w:val="ru-RU"/>
        </w:rPr>
        <w:tab/>
      </w:r>
      <w:r>
        <w:rPr>
          <w:lang w:val="ru-RU"/>
        </w:rPr>
        <w:t>См</w:t>
      </w:r>
      <w:r w:rsidRPr="005268AD">
        <w:rPr>
          <w:lang w:val="ru-RU"/>
        </w:rPr>
        <w:t xml:space="preserve">. </w:t>
      </w:r>
      <w:r w:rsidRPr="00C84829">
        <w:rPr>
          <w:u w:val="single"/>
        </w:rPr>
        <w:t>https</w:t>
      </w:r>
      <w:r w:rsidRPr="005268AD">
        <w:rPr>
          <w:u w:val="single"/>
          <w:lang w:val="ru-RU"/>
        </w:rPr>
        <w:t>://</w:t>
      </w:r>
      <w:r w:rsidRPr="00C84829">
        <w:rPr>
          <w:u w:val="single"/>
        </w:rPr>
        <w:t>www</w:t>
      </w:r>
      <w:r w:rsidRPr="005268AD">
        <w:rPr>
          <w:u w:val="single"/>
          <w:lang w:val="ru-RU"/>
        </w:rPr>
        <w:t>.</w:t>
      </w:r>
      <w:proofErr w:type="spellStart"/>
      <w:r w:rsidRPr="00C84829">
        <w:rPr>
          <w:u w:val="single"/>
        </w:rPr>
        <w:t>icann</w:t>
      </w:r>
      <w:proofErr w:type="spellEnd"/>
      <w:r w:rsidRPr="005268AD">
        <w:rPr>
          <w:u w:val="single"/>
          <w:lang w:val="ru-RU"/>
        </w:rPr>
        <w:t>.</w:t>
      </w:r>
      <w:r w:rsidRPr="00C84829">
        <w:rPr>
          <w:u w:val="single"/>
        </w:rPr>
        <w:t>org</w:t>
      </w:r>
      <w:r w:rsidRPr="005268AD">
        <w:rPr>
          <w:u w:val="single"/>
          <w:lang w:val="ru-RU"/>
        </w:rPr>
        <w:t>/</w:t>
      </w:r>
      <w:r w:rsidRPr="00C84829">
        <w:rPr>
          <w:u w:val="single"/>
        </w:rPr>
        <w:t>en</w:t>
      </w:r>
      <w:r w:rsidRPr="005268AD">
        <w:rPr>
          <w:u w:val="single"/>
          <w:lang w:val="ru-RU"/>
        </w:rPr>
        <w:t>/</w:t>
      </w:r>
      <w:r w:rsidRPr="00C84829">
        <w:rPr>
          <w:u w:val="single"/>
        </w:rPr>
        <w:t>system</w:t>
      </w:r>
      <w:r w:rsidRPr="005268AD">
        <w:rPr>
          <w:u w:val="single"/>
          <w:lang w:val="ru-RU"/>
        </w:rPr>
        <w:t>/</w:t>
      </w:r>
      <w:r w:rsidRPr="00C84829">
        <w:rPr>
          <w:u w:val="single"/>
        </w:rPr>
        <w:t>files</w:t>
      </w:r>
      <w:r w:rsidRPr="005268AD">
        <w:rPr>
          <w:u w:val="single"/>
          <w:lang w:val="ru-RU"/>
        </w:rPr>
        <w:t>/</w:t>
      </w:r>
      <w:r w:rsidRPr="00C84829">
        <w:rPr>
          <w:u w:val="single"/>
        </w:rPr>
        <w:t>correspondence</w:t>
      </w:r>
      <w:r w:rsidRPr="005268AD">
        <w:rPr>
          <w:u w:val="single"/>
          <w:lang w:val="ru-RU"/>
        </w:rPr>
        <w:t>/</w:t>
      </w:r>
      <w:proofErr w:type="spellStart"/>
      <w:r w:rsidRPr="00C84829">
        <w:rPr>
          <w:u w:val="single"/>
        </w:rPr>
        <w:t>gac</w:t>
      </w:r>
      <w:proofErr w:type="spellEnd"/>
      <w:r w:rsidRPr="005268AD">
        <w:rPr>
          <w:u w:val="single"/>
          <w:lang w:val="ru-RU"/>
        </w:rPr>
        <w:t>-</w:t>
      </w:r>
      <w:r w:rsidRPr="00C84829">
        <w:rPr>
          <w:u w:val="single"/>
        </w:rPr>
        <w:t>to</w:t>
      </w:r>
      <w:r w:rsidRPr="005268AD">
        <w:rPr>
          <w:u w:val="single"/>
          <w:lang w:val="ru-RU"/>
        </w:rPr>
        <w:t>-</w:t>
      </w:r>
      <w:r w:rsidRPr="00C84829">
        <w:rPr>
          <w:u w:val="single"/>
        </w:rPr>
        <w:t>board</w:t>
      </w:r>
      <w:r w:rsidRPr="005268AD">
        <w:rPr>
          <w:u w:val="single"/>
          <w:lang w:val="ru-RU"/>
        </w:rPr>
        <w:t>-27</w:t>
      </w:r>
      <w:r w:rsidRPr="00C84829">
        <w:rPr>
          <w:u w:val="single"/>
        </w:rPr>
        <w:t>mar</w:t>
      </w:r>
      <w:r w:rsidRPr="005268AD">
        <w:rPr>
          <w:u w:val="single"/>
          <w:lang w:val="ru-RU"/>
        </w:rPr>
        <w:t>14-</w:t>
      </w:r>
      <w:r w:rsidRPr="00C84829">
        <w:rPr>
          <w:u w:val="single"/>
        </w:rPr>
        <w:t>en</w:t>
      </w:r>
      <w:r w:rsidRPr="005268AD">
        <w:rPr>
          <w:u w:val="single"/>
          <w:lang w:val="ru-RU"/>
        </w:rPr>
        <w:t>.</w:t>
      </w:r>
      <w:r w:rsidRPr="00C84829">
        <w:rPr>
          <w:u w:val="single"/>
        </w:rPr>
        <w:t>pdf</w:t>
      </w:r>
      <w:r w:rsidRPr="005268AD">
        <w:rPr>
          <w:lang w:val="ru-RU"/>
        </w:rPr>
        <w:t xml:space="preserve">, </w:t>
      </w:r>
      <w:r w:rsidR="005268AD">
        <w:rPr>
          <w:lang w:val="ru-RU"/>
        </w:rPr>
        <w:t>раз</w:t>
      </w:r>
      <w:r w:rsidR="005268AD" w:rsidRPr="005268AD">
        <w:rPr>
          <w:lang w:val="ru-RU"/>
        </w:rPr>
        <w:t>дел</w:t>
      </w:r>
      <w:r w:rsidR="005268AD" w:rsidRPr="005268AD">
        <w:t> </w:t>
      </w:r>
      <w:r w:rsidRPr="005268AD">
        <w:rPr>
          <w:lang w:val="ru-RU"/>
        </w:rPr>
        <w:t>4</w:t>
      </w:r>
      <w:r w:rsidR="005268AD" w:rsidRPr="005268AD">
        <w:rPr>
          <w:lang w:val="ru-RU"/>
        </w:rPr>
        <w:t xml:space="preserve"> «Конкретные доменные строки»</w:t>
      </w:r>
      <w:r w:rsidRPr="005268AD">
        <w:rPr>
          <w:lang w:val="ru-RU"/>
        </w:rPr>
        <w:t xml:space="preserve">.  </w:t>
      </w:r>
      <w:proofErr w:type="gramStart"/>
      <w:r w:rsidRPr="00CE5590">
        <w:rPr>
          <w:iCs/>
          <w:szCs w:val="22"/>
        </w:rPr>
        <w:t>GAC</w:t>
      </w:r>
      <w:r w:rsidRPr="00CE5590">
        <w:rPr>
          <w:iCs/>
          <w:szCs w:val="22"/>
          <w:lang w:val="ru-RU"/>
        </w:rPr>
        <w:t xml:space="preserve"> выделил несколько общих категорий заявок на создание новых рДВУ в качестве заслуживающих дальнейшего рассмотрения на предмет дополнительных гарантий,</w:t>
      </w:r>
      <w:r>
        <w:rPr>
          <w:iCs/>
          <w:szCs w:val="22"/>
          <w:lang w:val="ru-RU"/>
        </w:rPr>
        <w:t xml:space="preserve"> например термины, соответствующие </w:t>
      </w:r>
      <w:r w:rsidR="00CD3470">
        <w:rPr>
          <w:iCs/>
          <w:szCs w:val="22"/>
          <w:lang w:val="ru-RU"/>
        </w:rPr>
        <w:t xml:space="preserve">регулируемым </w:t>
      </w:r>
      <w:r>
        <w:rPr>
          <w:iCs/>
          <w:szCs w:val="22"/>
          <w:lang w:val="ru-RU"/>
        </w:rPr>
        <w:t>отраслям или словарным терминам</w:t>
      </w:r>
      <w:r w:rsidRPr="00CE5590">
        <w:rPr>
          <w:iCs/>
          <w:szCs w:val="22"/>
          <w:lang w:val="ru-RU"/>
        </w:rPr>
        <w:t>.</w:t>
      </w:r>
      <w:proofErr w:type="gramEnd"/>
      <w:r w:rsidRPr="00CE5590">
        <w:rPr>
          <w:iCs/>
          <w:szCs w:val="22"/>
          <w:lang w:val="ru-RU"/>
        </w:rPr>
        <w:t xml:space="preserve">  </w:t>
      </w:r>
      <w:r w:rsidRPr="00CE5590">
        <w:rPr>
          <w:iCs/>
          <w:szCs w:val="18"/>
          <w:lang w:val="ru-RU"/>
        </w:rPr>
        <w:t xml:space="preserve">Хотя Совет </w:t>
      </w:r>
      <w:r w:rsidR="00CD3470">
        <w:rPr>
          <w:iCs/>
          <w:szCs w:val="18"/>
          <w:lang w:val="ru-RU"/>
        </w:rPr>
        <w:t xml:space="preserve">и </w:t>
      </w:r>
      <w:r w:rsidRPr="00CE5590">
        <w:rPr>
          <w:iCs/>
          <w:szCs w:val="18"/>
          <w:lang w:val="ru-RU"/>
        </w:rPr>
        <w:t xml:space="preserve">принял рекомендации </w:t>
      </w:r>
      <w:r w:rsidRPr="00CE5590">
        <w:rPr>
          <w:szCs w:val="18"/>
        </w:rPr>
        <w:t>GAC</w:t>
      </w:r>
      <w:r w:rsidRPr="00CE5590">
        <w:rPr>
          <w:szCs w:val="18"/>
          <w:lang w:val="ru-RU"/>
        </w:rPr>
        <w:t xml:space="preserve"> о том, чтобы не рассматривать некоторые виды заявок, он запросил у </w:t>
      </w:r>
      <w:r w:rsidRPr="00CE5590">
        <w:rPr>
          <w:szCs w:val="18"/>
        </w:rPr>
        <w:t>GAC</w:t>
      </w:r>
      <w:r w:rsidRPr="00CE5590">
        <w:rPr>
          <w:szCs w:val="18"/>
          <w:lang w:val="ru-RU"/>
        </w:rPr>
        <w:t xml:space="preserve"> дополнительную информацию, а также предложил широкой публике представить свои комментарии, в частности, по вопросу о </w:t>
      </w:r>
      <w:r w:rsidRPr="00CE5590">
        <w:rPr>
          <w:iCs/>
          <w:szCs w:val="18"/>
          <w:lang w:val="ru-RU"/>
        </w:rPr>
        <w:t xml:space="preserve">дополнительных гарантиях, предлагаемых </w:t>
      </w:r>
      <w:r w:rsidRPr="00CE5590">
        <w:rPr>
          <w:szCs w:val="18"/>
        </w:rPr>
        <w:t>GAC</w:t>
      </w:r>
      <w:r w:rsidRPr="00F70368">
        <w:rPr>
          <w:szCs w:val="22"/>
          <w:lang w:val="ru-RU"/>
        </w:rPr>
        <w:t xml:space="preserve">.  </w:t>
      </w:r>
    </w:p>
  </w:footnote>
  <w:footnote w:id="61">
    <w:p w:rsidR="004C1D33" w:rsidRPr="006B5EF6" w:rsidRDefault="004C1D33" w:rsidP="00192C16">
      <w:pPr>
        <w:pStyle w:val="FootnoteText"/>
        <w:rPr>
          <w:szCs w:val="18"/>
          <w:lang w:val="ru-RU"/>
        </w:rPr>
      </w:pPr>
      <w:r w:rsidRPr="006475B9">
        <w:rPr>
          <w:rStyle w:val="FootnoteReference"/>
        </w:rPr>
        <w:footnoteRef/>
      </w:r>
      <w:r w:rsidRPr="006B5EF6">
        <w:rPr>
          <w:rStyle w:val="FootnoteReference"/>
          <w:lang w:val="ru-RU"/>
        </w:rPr>
        <w:t xml:space="preserve"> </w:t>
      </w:r>
      <w:r w:rsidRPr="006B5EF6">
        <w:rPr>
          <w:szCs w:val="18"/>
          <w:lang w:val="ru-RU"/>
        </w:rPr>
        <w:tab/>
      </w:r>
      <w:r>
        <w:rPr>
          <w:szCs w:val="18"/>
          <w:lang w:val="ru-RU"/>
        </w:rPr>
        <w:t>См</w:t>
      </w:r>
      <w:r w:rsidRPr="006B5EF6">
        <w:rPr>
          <w:szCs w:val="18"/>
          <w:lang w:val="ru-RU"/>
        </w:rPr>
        <w:t>.</w:t>
      </w:r>
      <w:r>
        <w:rPr>
          <w:szCs w:val="18"/>
          <w:lang w:val="ru-RU"/>
        </w:rPr>
        <w:t xml:space="preserve">, </w:t>
      </w:r>
      <w:r w:rsidR="00CD3470">
        <w:rPr>
          <w:szCs w:val="18"/>
          <w:lang w:val="ru-RU"/>
        </w:rPr>
        <w:t>в частности</w:t>
      </w:r>
      <w:r>
        <w:rPr>
          <w:szCs w:val="18"/>
          <w:lang w:val="ru-RU"/>
        </w:rPr>
        <w:t xml:space="preserve">, документы </w:t>
      </w:r>
      <w:r w:rsidRPr="006475B9">
        <w:rPr>
          <w:szCs w:val="18"/>
        </w:rPr>
        <w:t>SCT</w:t>
      </w:r>
      <w:r w:rsidRPr="006B5EF6">
        <w:rPr>
          <w:szCs w:val="18"/>
          <w:lang w:val="ru-RU"/>
        </w:rPr>
        <w:t xml:space="preserve">/24/4, </w:t>
      </w:r>
      <w:r w:rsidRPr="006475B9">
        <w:rPr>
          <w:szCs w:val="18"/>
        </w:rPr>
        <w:t>SCT</w:t>
      </w:r>
      <w:r w:rsidRPr="006B5EF6">
        <w:rPr>
          <w:szCs w:val="18"/>
          <w:lang w:val="ru-RU"/>
        </w:rPr>
        <w:t xml:space="preserve"> 25/3, </w:t>
      </w:r>
      <w:r w:rsidRPr="006475B9">
        <w:rPr>
          <w:szCs w:val="18"/>
        </w:rPr>
        <w:t>SCT</w:t>
      </w:r>
      <w:r w:rsidRPr="006B5EF6">
        <w:rPr>
          <w:szCs w:val="18"/>
          <w:lang w:val="ru-RU"/>
        </w:rPr>
        <w:t xml:space="preserve"> 26/6 </w:t>
      </w:r>
      <w:r>
        <w:rPr>
          <w:szCs w:val="18"/>
          <w:lang w:val="ru-RU"/>
        </w:rPr>
        <w:t>и</w:t>
      </w:r>
      <w:r w:rsidRPr="006B5EF6">
        <w:rPr>
          <w:szCs w:val="18"/>
          <w:lang w:val="ru-RU"/>
        </w:rPr>
        <w:t xml:space="preserve"> 27/8.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D33" w:rsidRDefault="004C1D33" w:rsidP="00477D6B">
    <w:pPr>
      <w:jc w:val="right"/>
    </w:pPr>
    <w:bookmarkStart w:id="6" w:name="Code2"/>
    <w:bookmarkEnd w:id="6"/>
    <w:r>
      <w:t>WO/GA/46/8</w:t>
    </w:r>
  </w:p>
  <w:p w:rsidR="004C1D33" w:rsidRDefault="004C1D33" w:rsidP="00477D6B">
    <w:pPr>
      <w:jc w:val="right"/>
    </w:pPr>
    <w:r>
      <w:rPr>
        <w:lang w:val="ru-RU"/>
      </w:rPr>
      <w:t>стр.</w:t>
    </w:r>
    <w:r>
      <w:t xml:space="preserve"> </w:t>
    </w:r>
    <w:r>
      <w:fldChar w:fldCharType="begin"/>
    </w:r>
    <w:r>
      <w:instrText xml:space="preserve"> PAGE  \* MERGEFORMAT </w:instrText>
    </w:r>
    <w:r>
      <w:fldChar w:fldCharType="separate"/>
    </w:r>
    <w:r w:rsidR="00D65C11">
      <w:rPr>
        <w:noProof/>
      </w:rPr>
      <w:t>12</w:t>
    </w:r>
    <w:r>
      <w:fldChar w:fldCharType="end"/>
    </w:r>
  </w:p>
  <w:p w:rsidR="004C1D33" w:rsidRDefault="004C1D3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CD75CC"/>
    <w:multiLevelType w:val="hybridMultilevel"/>
    <w:tmpl w:val="D5E41950"/>
    <w:lvl w:ilvl="0" w:tplc="B83C6F34">
      <w:start w:val="1"/>
      <w:numFmt w:val="decimal"/>
      <w:lvlText w:val="%1."/>
      <w:lvlJc w:val="left"/>
      <w:pPr>
        <w:ind w:left="930" w:hanging="570"/>
      </w:pPr>
      <w:rPr>
        <w:rFonts w:hint="default"/>
      </w:rPr>
    </w:lvl>
    <w:lvl w:ilvl="1" w:tplc="D6D67358">
      <w:start w:val="1"/>
      <w:numFmt w:val="lowerRoman"/>
      <w:lvlText w:val="(%2)"/>
      <w:lvlJc w:val="left"/>
      <w:pPr>
        <w:ind w:left="1800" w:hanging="720"/>
      </w:pPr>
      <w:rPr>
        <w:rFonts w:hint="default"/>
        <w:u w:val="none"/>
      </w:rPr>
    </w:lvl>
    <w:lvl w:ilvl="2" w:tplc="52E237A0">
      <w:start w:val="1"/>
      <w:numFmt w:val="bullet"/>
      <w:lvlText w:val="-"/>
      <w:lvlJc w:val="left"/>
      <w:pPr>
        <w:ind w:left="2580" w:hanging="600"/>
      </w:pPr>
      <w:rPr>
        <w:rFonts w:ascii="Arial" w:eastAsia="SimSun" w:hAnsi="Arial" w:cs="Arial" w:hint="default"/>
        <w:u w:val="none"/>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ABA2549"/>
    <w:multiLevelType w:val="hybridMultilevel"/>
    <w:tmpl w:val="1ED8A178"/>
    <w:lvl w:ilvl="0" w:tplc="B83C6F34">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D354EA7"/>
    <w:multiLevelType w:val="hybridMultilevel"/>
    <w:tmpl w:val="92D80DCE"/>
    <w:lvl w:ilvl="0" w:tplc="0FD6DA12">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
    <w:nsid w:val="1625322A"/>
    <w:multiLevelType w:val="hybridMultilevel"/>
    <w:tmpl w:val="6EB46870"/>
    <w:lvl w:ilvl="0" w:tplc="B83C6F34">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5A55FF"/>
    <w:multiLevelType w:val="hybridMultilevel"/>
    <w:tmpl w:val="DB1EBF3A"/>
    <w:lvl w:ilvl="0" w:tplc="B83C6F34">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2B757221"/>
    <w:multiLevelType w:val="hybridMultilevel"/>
    <w:tmpl w:val="397CB198"/>
    <w:lvl w:ilvl="0" w:tplc="B83C6F34">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32506CD8"/>
    <w:multiLevelType w:val="hybridMultilevel"/>
    <w:tmpl w:val="D520D116"/>
    <w:lvl w:ilvl="0" w:tplc="B83C6F34">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3BD404DD"/>
    <w:multiLevelType w:val="hybridMultilevel"/>
    <w:tmpl w:val="C1264D20"/>
    <w:lvl w:ilvl="0" w:tplc="85860080">
      <w:start w:val="2"/>
      <w:numFmt w:val="lowerRoman"/>
      <w:lvlText w:val="(%1)"/>
      <w:lvlJc w:val="left"/>
      <w:pPr>
        <w:ind w:left="127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E71A50"/>
    <w:multiLevelType w:val="hybridMultilevel"/>
    <w:tmpl w:val="4992C67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01497B"/>
    <w:multiLevelType w:val="hybridMultilevel"/>
    <w:tmpl w:val="70DC360A"/>
    <w:lvl w:ilvl="0" w:tplc="100C0001">
      <w:start w:val="1"/>
      <w:numFmt w:val="bullet"/>
      <w:lvlText w:val=""/>
      <w:lvlJc w:val="left"/>
      <w:pPr>
        <w:ind w:left="1820" w:hanging="360"/>
      </w:pPr>
      <w:rPr>
        <w:rFonts w:ascii="Symbol" w:hAnsi="Symbol" w:hint="default"/>
      </w:rPr>
    </w:lvl>
    <w:lvl w:ilvl="1" w:tplc="100C0003" w:tentative="1">
      <w:start w:val="1"/>
      <w:numFmt w:val="bullet"/>
      <w:lvlText w:val="o"/>
      <w:lvlJc w:val="left"/>
      <w:pPr>
        <w:ind w:left="2540" w:hanging="360"/>
      </w:pPr>
      <w:rPr>
        <w:rFonts w:ascii="Courier New" w:hAnsi="Courier New" w:cs="Courier New" w:hint="default"/>
      </w:rPr>
    </w:lvl>
    <w:lvl w:ilvl="2" w:tplc="100C0005" w:tentative="1">
      <w:start w:val="1"/>
      <w:numFmt w:val="bullet"/>
      <w:lvlText w:val=""/>
      <w:lvlJc w:val="left"/>
      <w:pPr>
        <w:ind w:left="3260" w:hanging="360"/>
      </w:pPr>
      <w:rPr>
        <w:rFonts w:ascii="Wingdings" w:hAnsi="Wingdings" w:hint="default"/>
      </w:rPr>
    </w:lvl>
    <w:lvl w:ilvl="3" w:tplc="100C0001" w:tentative="1">
      <w:start w:val="1"/>
      <w:numFmt w:val="bullet"/>
      <w:lvlText w:val=""/>
      <w:lvlJc w:val="left"/>
      <w:pPr>
        <w:ind w:left="3980" w:hanging="360"/>
      </w:pPr>
      <w:rPr>
        <w:rFonts w:ascii="Symbol" w:hAnsi="Symbol" w:hint="default"/>
      </w:rPr>
    </w:lvl>
    <w:lvl w:ilvl="4" w:tplc="100C0003" w:tentative="1">
      <w:start w:val="1"/>
      <w:numFmt w:val="bullet"/>
      <w:lvlText w:val="o"/>
      <w:lvlJc w:val="left"/>
      <w:pPr>
        <w:ind w:left="4700" w:hanging="360"/>
      </w:pPr>
      <w:rPr>
        <w:rFonts w:ascii="Courier New" w:hAnsi="Courier New" w:cs="Courier New" w:hint="default"/>
      </w:rPr>
    </w:lvl>
    <w:lvl w:ilvl="5" w:tplc="100C0005" w:tentative="1">
      <w:start w:val="1"/>
      <w:numFmt w:val="bullet"/>
      <w:lvlText w:val=""/>
      <w:lvlJc w:val="left"/>
      <w:pPr>
        <w:ind w:left="5420" w:hanging="360"/>
      </w:pPr>
      <w:rPr>
        <w:rFonts w:ascii="Wingdings" w:hAnsi="Wingdings" w:hint="default"/>
      </w:rPr>
    </w:lvl>
    <w:lvl w:ilvl="6" w:tplc="100C0001" w:tentative="1">
      <w:start w:val="1"/>
      <w:numFmt w:val="bullet"/>
      <w:lvlText w:val=""/>
      <w:lvlJc w:val="left"/>
      <w:pPr>
        <w:ind w:left="6140" w:hanging="360"/>
      </w:pPr>
      <w:rPr>
        <w:rFonts w:ascii="Symbol" w:hAnsi="Symbol" w:hint="default"/>
      </w:rPr>
    </w:lvl>
    <w:lvl w:ilvl="7" w:tplc="100C0003" w:tentative="1">
      <w:start w:val="1"/>
      <w:numFmt w:val="bullet"/>
      <w:lvlText w:val="o"/>
      <w:lvlJc w:val="left"/>
      <w:pPr>
        <w:ind w:left="6860" w:hanging="360"/>
      </w:pPr>
      <w:rPr>
        <w:rFonts w:ascii="Courier New" w:hAnsi="Courier New" w:cs="Courier New" w:hint="default"/>
      </w:rPr>
    </w:lvl>
    <w:lvl w:ilvl="8" w:tplc="100C0005" w:tentative="1">
      <w:start w:val="1"/>
      <w:numFmt w:val="bullet"/>
      <w:lvlText w:val=""/>
      <w:lvlJc w:val="left"/>
      <w:pPr>
        <w:ind w:left="7580" w:hanging="360"/>
      </w:pPr>
      <w:rPr>
        <w:rFonts w:ascii="Wingdings" w:hAnsi="Wingdings" w:hint="default"/>
      </w:rPr>
    </w:lvl>
  </w:abstractNum>
  <w:abstractNum w:abstractNumId="16">
    <w:nsid w:val="590D0B60"/>
    <w:multiLevelType w:val="hybridMultilevel"/>
    <w:tmpl w:val="9DC4016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5AFA0103"/>
    <w:multiLevelType w:val="hybridMultilevel"/>
    <w:tmpl w:val="DAE0617C"/>
    <w:lvl w:ilvl="0" w:tplc="100C0001">
      <w:start w:val="1"/>
      <w:numFmt w:val="bullet"/>
      <w:lvlText w:val=""/>
      <w:lvlJc w:val="left"/>
      <w:pPr>
        <w:ind w:left="1820" w:hanging="360"/>
      </w:pPr>
      <w:rPr>
        <w:rFonts w:ascii="Symbol" w:hAnsi="Symbol" w:hint="default"/>
      </w:rPr>
    </w:lvl>
    <w:lvl w:ilvl="1" w:tplc="100C0003" w:tentative="1">
      <w:start w:val="1"/>
      <w:numFmt w:val="bullet"/>
      <w:lvlText w:val="o"/>
      <w:lvlJc w:val="left"/>
      <w:pPr>
        <w:ind w:left="2540" w:hanging="360"/>
      </w:pPr>
      <w:rPr>
        <w:rFonts w:ascii="Courier New" w:hAnsi="Courier New" w:cs="Courier New" w:hint="default"/>
      </w:rPr>
    </w:lvl>
    <w:lvl w:ilvl="2" w:tplc="100C0005" w:tentative="1">
      <w:start w:val="1"/>
      <w:numFmt w:val="bullet"/>
      <w:lvlText w:val=""/>
      <w:lvlJc w:val="left"/>
      <w:pPr>
        <w:ind w:left="3260" w:hanging="360"/>
      </w:pPr>
      <w:rPr>
        <w:rFonts w:ascii="Wingdings" w:hAnsi="Wingdings" w:hint="default"/>
      </w:rPr>
    </w:lvl>
    <w:lvl w:ilvl="3" w:tplc="100C0001" w:tentative="1">
      <w:start w:val="1"/>
      <w:numFmt w:val="bullet"/>
      <w:lvlText w:val=""/>
      <w:lvlJc w:val="left"/>
      <w:pPr>
        <w:ind w:left="3980" w:hanging="360"/>
      </w:pPr>
      <w:rPr>
        <w:rFonts w:ascii="Symbol" w:hAnsi="Symbol" w:hint="default"/>
      </w:rPr>
    </w:lvl>
    <w:lvl w:ilvl="4" w:tplc="100C0003" w:tentative="1">
      <w:start w:val="1"/>
      <w:numFmt w:val="bullet"/>
      <w:lvlText w:val="o"/>
      <w:lvlJc w:val="left"/>
      <w:pPr>
        <w:ind w:left="4700" w:hanging="360"/>
      </w:pPr>
      <w:rPr>
        <w:rFonts w:ascii="Courier New" w:hAnsi="Courier New" w:cs="Courier New" w:hint="default"/>
      </w:rPr>
    </w:lvl>
    <w:lvl w:ilvl="5" w:tplc="100C0005" w:tentative="1">
      <w:start w:val="1"/>
      <w:numFmt w:val="bullet"/>
      <w:lvlText w:val=""/>
      <w:lvlJc w:val="left"/>
      <w:pPr>
        <w:ind w:left="5420" w:hanging="360"/>
      </w:pPr>
      <w:rPr>
        <w:rFonts w:ascii="Wingdings" w:hAnsi="Wingdings" w:hint="default"/>
      </w:rPr>
    </w:lvl>
    <w:lvl w:ilvl="6" w:tplc="100C0001" w:tentative="1">
      <w:start w:val="1"/>
      <w:numFmt w:val="bullet"/>
      <w:lvlText w:val=""/>
      <w:lvlJc w:val="left"/>
      <w:pPr>
        <w:ind w:left="6140" w:hanging="360"/>
      </w:pPr>
      <w:rPr>
        <w:rFonts w:ascii="Symbol" w:hAnsi="Symbol" w:hint="default"/>
      </w:rPr>
    </w:lvl>
    <w:lvl w:ilvl="7" w:tplc="100C0003" w:tentative="1">
      <w:start w:val="1"/>
      <w:numFmt w:val="bullet"/>
      <w:lvlText w:val="o"/>
      <w:lvlJc w:val="left"/>
      <w:pPr>
        <w:ind w:left="6860" w:hanging="360"/>
      </w:pPr>
      <w:rPr>
        <w:rFonts w:ascii="Courier New" w:hAnsi="Courier New" w:cs="Courier New" w:hint="default"/>
      </w:rPr>
    </w:lvl>
    <w:lvl w:ilvl="8" w:tplc="100C0005" w:tentative="1">
      <w:start w:val="1"/>
      <w:numFmt w:val="bullet"/>
      <w:lvlText w:val=""/>
      <w:lvlJc w:val="left"/>
      <w:pPr>
        <w:ind w:left="7580" w:hanging="360"/>
      </w:pPr>
      <w:rPr>
        <w:rFonts w:ascii="Wingdings" w:hAnsi="Wingdings" w:hint="default"/>
      </w:rPr>
    </w:lvl>
  </w:abstractNum>
  <w:abstractNum w:abstractNumId="18">
    <w:nsid w:val="606D060D"/>
    <w:multiLevelType w:val="hybridMultilevel"/>
    <w:tmpl w:val="7B90E7EA"/>
    <w:lvl w:ilvl="0" w:tplc="B83C6F34">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6DE539D9"/>
    <w:multiLevelType w:val="hybridMultilevel"/>
    <w:tmpl w:val="1046A646"/>
    <w:lvl w:ilvl="0" w:tplc="100C0001">
      <w:start w:val="1"/>
      <w:numFmt w:val="bullet"/>
      <w:lvlText w:val=""/>
      <w:lvlJc w:val="left"/>
      <w:pPr>
        <w:ind w:left="1820" w:hanging="360"/>
      </w:pPr>
      <w:rPr>
        <w:rFonts w:ascii="Symbol" w:hAnsi="Symbol" w:hint="default"/>
      </w:rPr>
    </w:lvl>
    <w:lvl w:ilvl="1" w:tplc="100C0003" w:tentative="1">
      <w:start w:val="1"/>
      <w:numFmt w:val="bullet"/>
      <w:lvlText w:val="o"/>
      <w:lvlJc w:val="left"/>
      <w:pPr>
        <w:ind w:left="2540" w:hanging="360"/>
      </w:pPr>
      <w:rPr>
        <w:rFonts w:ascii="Courier New" w:hAnsi="Courier New" w:cs="Courier New" w:hint="default"/>
      </w:rPr>
    </w:lvl>
    <w:lvl w:ilvl="2" w:tplc="100C0005" w:tentative="1">
      <w:start w:val="1"/>
      <w:numFmt w:val="bullet"/>
      <w:lvlText w:val=""/>
      <w:lvlJc w:val="left"/>
      <w:pPr>
        <w:ind w:left="3260" w:hanging="360"/>
      </w:pPr>
      <w:rPr>
        <w:rFonts w:ascii="Wingdings" w:hAnsi="Wingdings" w:hint="default"/>
      </w:rPr>
    </w:lvl>
    <w:lvl w:ilvl="3" w:tplc="100C0001" w:tentative="1">
      <w:start w:val="1"/>
      <w:numFmt w:val="bullet"/>
      <w:lvlText w:val=""/>
      <w:lvlJc w:val="left"/>
      <w:pPr>
        <w:ind w:left="3980" w:hanging="360"/>
      </w:pPr>
      <w:rPr>
        <w:rFonts w:ascii="Symbol" w:hAnsi="Symbol" w:hint="default"/>
      </w:rPr>
    </w:lvl>
    <w:lvl w:ilvl="4" w:tplc="100C0003" w:tentative="1">
      <w:start w:val="1"/>
      <w:numFmt w:val="bullet"/>
      <w:lvlText w:val="o"/>
      <w:lvlJc w:val="left"/>
      <w:pPr>
        <w:ind w:left="4700" w:hanging="360"/>
      </w:pPr>
      <w:rPr>
        <w:rFonts w:ascii="Courier New" w:hAnsi="Courier New" w:cs="Courier New" w:hint="default"/>
      </w:rPr>
    </w:lvl>
    <w:lvl w:ilvl="5" w:tplc="100C0005" w:tentative="1">
      <w:start w:val="1"/>
      <w:numFmt w:val="bullet"/>
      <w:lvlText w:val=""/>
      <w:lvlJc w:val="left"/>
      <w:pPr>
        <w:ind w:left="5420" w:hanging="360"/>
      </w:pPr>
      <w:rPr>
        <w:rFonts w:ascii="Wingdings" w:hAnsi="Wingdings" w:hint="default"/>
      </w:rPr>
    </w:lvl>
    <w:lvl w:ilvl="6" w:tplc="100C0001" w:tentative="1">
      <w:start w:val="1"/>
      <w:numFmt w:val="bullet"/>
      <w:lvlText w:val=""/>
      <w:lvlJc w:val="left"/>
      <w:pPr>
        <w:ind w:left="6140" w:hanging="360"/>
      </w:pPr>
      <w:rPr>
        <w:rFonts w:ascii="Symbol" w:hAnsi="Symbol" w:hint="default"/>
      </w:rPr>
    </w:lvl>
    <w:lvl w:ilvl="7" w:tplc="100C0003" w:tentative="1">
      <w:start w:val="1"/>
      <w:numFmt w:val="bullet"/>
      <w:lvlText w:val="o"/>
      <w:lvlJc w:val="left"/>
      <w:pPr>
        <w:ind w:left="6860" w:hanging="360"/>
      </w:pPr>
      <w:rPr>
        <w:rFonts w:ascii="Courier New" w:hAnsi="Courier New" w:cs="Courier New" w:hint="default"/>
      </w:rPr>
    </w:lvl>
    <w:lvl w:ilvl="8" w:tplc="100C0005" w:tentative="1">
      <w:start w:val="1"/>
      <w:numFmt w:val="bullet"/>
      <w:lvlText w:val=""/>
      <w:lvlJc w:val="left"/>
      <w:pPr>
        <w:ind w:left="7580" w:hanging="360"/>
      </w:pPr>
      <w:rPr>
        <w:rFonts w:ascii="Wingdings" w:hAnsi="Wingdings" w:hint="default"/>
      </w:rPr>
    </w:lvl>
  </w:abstractNum>
  <w:abstractNum w:abstractNumId="20">
    <w:nsid w:val="73321396"/>
    <w:multiLevelType w:val="hybridMultilevel"/>
    <w:tmpl w:val="33CC6A44"/>
    <w:lvl w:ilvl="0" w:tplc="100C0001">
      <w:start w:val="1"/>
      <w:numFmt w:val="bullet"/>
      <w:lvlText w:val=""/>
      <w:lvlJc w:val="left"/>
      <w:pPr>
        <w:ind w:left="1820" w:hanging="360"/>
      </w:pPr>
      <w:rPr>
        <w:rFonts w:ascii="Symbol" w:hAnsi="Symbol" w:hint="default"/>
      </w:rPr>
    </w:lvl>
    <w:lvl w:ilvl="1" w:tplc="100C0003" w:tentative="1">
      <w:start w:val="1"/>
      <w:numFmt w:val="bullet"/>
      <w:lvlText w:val="o"/>
      <w:lvlJc w:val="left"/>
      <w:pPr>
        <w:ind w:left="2540" w:hanging="360"/>
      </w:pPr>
      <w:rPr>
        <w:rFonts w:ascii="Courier New" w:hAnsi="Courier New" w:cs="Courier New" w:hint="default"/>
      </w:rPr>
    </w:lvl>
    <w:lvl w:ilvl="2" w:tplc="100C0005" w:tentative="1">
      <w:start w:val="1"/>
      <w:numFmt w:val="bullet"/>
      <w:lvlText w:val=""/>
      <w:lvlJc w:val="left"/>
      <w:pPr>
        <w:ind w:left="3260" w:hanging="360"/>
      </w:pPr>
      <w:rPr>
        <w:rFonts w:ascii="Wingdings" w:hAnsi="Wingdings" w:hint="default"/>
      </w:rPr>
    </w:lvl>
    <w:lvl w:ilvl="3" w:tplc="100C0001" w:tentative="1">
      <w:start w:val="1"/>
      <w:numFmt w:val="bullet"/>
      <w:lvlText w:val=""/>
      <w:lvlJc w:val="left"/>
      <w:pPr>
        <w:ind w:left="3980" w:hanging="360"/>
      </w:pPr>
      <w:rPr>
        <w:rFonts w:ascii="Symbol" w:hAnsi="Symbol" w:hint="default"/>
      </w:rPr>
    </w:lvl>
    <w:lvl w:ilvl="4" w:tplc="100C0003" w:tentative="1">
      <w:start w:val="1"/>
      <w:numFmt w:val="bullet"/>
      <w:lvlText w:val="o"/>
      <w:lvlJc w:val="left"/>
      <w:pPr>
        <w:ind w:left="4700" w:hanging="360"/>
      </w:pPr>
      <w:rPr>
        <w:rFonts w:ascii="Courier New" w:hAnsi="Courier New" w:cs="Courier New" w:hint="default"/>
      </w:rPr>
    </w:lvl>
    <w:lvl w:ilvl="5" w:tplc="100C0005" w:tentative="1">
      <w:start w:val="1"/>
      <w:numFmt w:val="bullet"/>
      <w:lvlText w:val=""/>
      <w:lvlJc w:val="left"/>
      <w:pPr>
        <w:ind w:left="5420" w:hanging="360"/>
      </w:pPr>
      <w:rPr>
        <w:rFonts w:ascii="Wingdings" w:hAnsi="Wingdings" w:hint="default"/>
      </w:rPr>
    </w:lvl>
    <w:lvl w:ilvl="6" w:tplc="100C0001" w:tentative="1">
      <w:start w:val="1"/>
      <w:numFmt w:val="bullet"/>
      <w:lvlText w:val=""/>
      <w:lvlJc w:val="left"/>
      <w:pPr>
        <w:ind w:left="6140" w:hanging="360"/>
      </w:pPr>
      <w:rPr>
        <w:rFonts w:ascii="Symbol" w:hAnsi="Symbol" w:hint="default"/>
      </w:rPr>
    </w:lvl>
    <w:lvl w:ilvl="7" w:tplc="100C0003" w:tentative="1">
      <w:start w:val="1"/>
      <w:numFmt w:val="bullet"/>
      <w:lvlText w:val="o"/>
      <w:lvlJc w:val="left"/>
      <w:pPr>
        <w:ind w:left="6860" w:hanging="360"/>
      </w:pPr>
      <w:rPr>
        <w:rFonts w:ascii="Courier New" w:hAnsi="Courier New" w:cs="Courier New" w:hint="default"/>
      </w:rPr>
    </w:lvl>
    <w:lvl w:ilvl="8" w:tplc="100C0005" w:tentative="1">
      <w:start w:val="1"/>
      <w:numFmt w:val="bullet"/>
      <w:lvlText w:val=""/>
      <w:lvlJc w:val="left"/>
      <w:pPr>
        <w:ind w:left="7580" w:hanging="360"/>
      </w:pPr>
      <w:rPr>
        <w:rFonts w:ascii="Wingdings" w:hAnsi="Wingdings" w:hint="default"/>
      </w:rPr>
    </w:lvl>
  </w:abstractNum>
  <w:abstractNum w:abstractNumId="21">
    <w:nsid w:val="73BA6621"/>
    <w:multiLevelType w:val="hybridMultilevel"/>
    <w:tmpl w:val="7F08C148"/>
    <w:lvl w:ilvl="0" w:tplc="6FBA996A">
      <w:start w:val="1"/>
      <w:numFmt w:val="upperRoman"/>
      <w:pStyle w:val="Heading1"/>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nsid w:val="7C8A1F68"/>
    <w:multiLevelType w:val="hybridMultilevel"/>
    <w:tmpl w:val="7CF66DCA"/>
    <w:lvl w:ilvl="0" w:tplc="91969C1A">
      <w:start w:val="2"/>
      <w:numFmt w:val="lowerRoman"/>
      <w:lvlText w:val="(%1)"/>
      <w:lvlJc w:val="left"/>
      <w:pPr>
        <w:ind w:left="127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nsid w:val="7E57195C"/>
    <w:multiLevelType w:val="hybridMultilevel"/>
    <w:tmpl w:val="FF143B0C"/>
    <w:lvl w:ilvl="0" w:tplc="A6DE1CA2">
      <w:start w:val="1"/>
      <w:numFmt w:val="upperLetter"/>
      <w:pStyle w:val="Heading2"/>
      <w:lvlText w:val="%1."/>
      <w:lvlJc w:val="righ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4"/>
  </w:num>
  <w:num w:numId="5">
    <w:abstractNumId w:val="1"/>
  </w:num>
  <w:num w:numId="6">
    <w:abstractNumId w:val="7"/>
  </w:num>
  <w:num w:numId="7">
    <w:abstractNumId w:val="4"/>
  </w:num>
  <w:num w:numId="8">
    <w:abstractNumId w:val="16"/>
  </w:num>
  <w:num w:numId="9">
    <w:abstractNumId w:val="13"/>
  </w:num>
  <w:num w:numId="10">
    <w:abstractNumId w:val="2"/>
  </w:num>
  <w:num w:numId="11">
    <w:abstractNumId w:val="21"/>
  </w:num>
  <w:num w:numId="12">
    <w:abstractNumId w:val="23"/>
  </w:num>
  <w:num w:numId="13">
    <w:abstractNumId w:val="18"/>
  </w:num>
  <w:num w:numId="14">
    <w:abstractNumId w:val="9"/>
  </w:num>
  <w:num w:numId="15">
    <w:abstractNumId w:val="5"/>
  </w:num>
  <w:num w:numId="16">
    <w:abstractNumId w:val="23"/>
  </w:num>
  <w:num w:numId="17">
    <w:abstractNumId w:val="23"/>
  </w:num>
  <w:num w:numId="18">
    <w:abstractNumId w:val="23"/>
    <w:lvlOverride w:ilvl="0">
      <w:startOverride w:val="1"/>
    </w:lvlOverride>
  </w:num>
  <w:num w:numId="19">
    <w:abstractNumId w:val="23"/>
  </w:num>
  <w:num w:numId="20">
    <w:abstractNumId w:val="23"/>
  </w:num>
  <w:num w:numId="21">
    <w:abstractNumId w:val="19"/>
  </w:num>
  <w:num w:numId="22">
    <w:abstractNumId w:val="23"/>
  </w:num>
  <w:num w:numId="23">
    <w:abstractNumId w:val="15"/>
  </w:num>
  <w:num w:numId="24">
    <w:abstractNumId w:val="8"/>
  </w:num>
  <w:num w:numId="25">
    <w:abstractNumId w:val="10"/>
  </w:num>
  <w:num w:numId="26">
    <w:abstractNumId w:val="11"/>
  </w:num>
  <w:num w:numId="27">
    <w:abstractNumId w:val="17"/>
  </w:num>
  <w:num w:numId="28">
    <w:abstractNumId w:val="20"/>
  </w:num>
  <w:num w:numId="29">
    <w:abstractNumId w:val="23"/>
    <w:lvlOverride w:ilvl="0">
      <w:startOverride w:val="1"/>
    </w:lvlOverride>
  </w:num>
  <w:num w:numId="30">
    <w:abstractNumId w:val="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C16"/>
    <w:rsid w:val="000356F8"/>
    <w:rsid w:val="0003752A"/>
    <w:rsid w:val="00041571"/>
    <w:rsid w:val="000432E8"/>
    <w:rsid w:val="00043CAA"/>
    <w:rsid w:val="00053288"/>
    <w:rsid w:val="000537DA"/>
    <w:rsid w:val="00057CE5"/>
    <w:rsid w:val="00061935"/>
    <w:rsid w:val="00075207"/>
    <w:rsid w:val="00075432"/>
    <w:rsid w:val="000873AA"/>
    <w:rsid w:val="000968ED"/>
    <w:rsid w:val="000A1283"/>
    <w:rsid w:val="000A3CA0"/>
    <w:rsid w:val="000A537D"/>
    <w:rsid w:val="000B18C1"/>
    <w:rsid w:val="000C6020"/>
    <w:rsid w:val="000D1C81"/>
    <w:rsid w:val="000E03FD"/>
    <w:rsid w:val="000E0A11"/>
    <w:rsid w:val="000F1163"/>
    <w:rsid w:val="000F37CE"/>
    <w:rsid w:val="000F5E56"/>
    <w:rsid w:val="00102544"/>
    <w:rsid w:val="00107EE7"/>
    <w:rsid w:val="001362EE"/>
    <w:rsid w:val="00137964"/>
    <w:rsid w:val="0016068E"/>
    <w:rsid w:val="00160DF4"/>
    <w:rsid w:val="0017166B"/>
    <w:rsid w:val="00176B65"/>
    <w:rsid w:val="00182647"/>
    <w:rsid w:val="001832A6"/>
    <w:rsid w:val="00183C1B"/>
    <w:rsid w:val="00192C16"/>
    <w:rsid w:val="001944AA"/>
    <w:rsid w:val="001A3CCA"/>
    <w:rsid w:val="001A4FB5"/>
    <w:rsid w:val="001A7C32"/>
    <w:rsid w:val="001C5972"/>
    <w:rsid w:val="001C6C8D"/>
    <w:rsid w:val="001D0421"/>
    <w:rsid w:val="001D5E5E"/>
    <w:rsid w:val="001E4B86"/>
    <w:rsid w:val="001F2EC3"/>
    <w:rsid w:val="00232512"/>
    <w:rsid w:val="0024616E"/>
    <w:rsid w:val="002527E3"/>
    <w:rsid w:val="00261AC0"/>
    <w:rsid w:val="002634C4"/>
    <w:rsid w:val="00270FF6"/>
    <w:rsid w:val="0027158B"/>
    <w:rsid w:val="00273089"/>
    <w:rsid w:val="002737A2"/>
    <w:rsid w:val="00275AE9"/>
    <w:rsid w:val="00282A57"/>
    <w:rsid w:val="00286256"/>
    <w:rsid w:val="002928D3"/>
    <w:rsid w:val="00292DDF"/>
    <w:rsid w:val="002B65A7"/>
    <w:rsid w:val="002D40D0"/>
    <w:rsid w:val="002D6B3B"/>
    <w:rsid w:val="002F1FE6"/>
    <w:rsid w:val="002F4E68"/>
    <w:rsid w:val="00303A90"/>
    <w:rsid w:val="00312F7F"/>
    <w:rsid w:val="003228B7"/>
    <w:rsid w:val="00325133"/>
    <w:rsid w:val="00325A3E"/>
    <w:rsid w:val="00327995"/>
    <w:rsid w:val="0033042E"/>
    <w:rsid w:val="00350798"/>
    <w:rsid w:val="00355E6F"/>
    <w:rsid w:val="00361F05"/>
    <w:rsid w:val="0036348D"/>
    <w:rsid w:val="003673CF"/>
    <w:rsid w:val="003821A1"/>
    <w:rsid w:val="0038372A"/>
    <w:rsid w:val="003845C1"/>
    <w:rsid w:val="0038581E"/>
    <w:rsid w:val="003860E5"/>
    <w:rsid w:val="003956BB"/>
    <w:rsid w:val="00395A0A"/>
    <w:rsid w:val="00395CDB"/>
    <w:rsid w:val="003A0127"/>
    <w:rsid w:val="003A3DD6"/>
    <w:rsid w:val="003A6F89"/>
    <w:rsid w:val="003A76E5"/>
    <w:rsid w:val="003A792C"/>
    <w:rsid w:val="003B38C1"/>
    <w:rsid w:val="003B4D4A"/>
    <w:rsid w:val="003B75C2"/>
    <w:rsid w:val="003D0D0C"/>
    <w:rsid w:val="003D20D5"/>
    <w:rsid w:val="003E0704"/>
    <w:rsid w:val="003E4E12"/>
    <w:rsid w:val="0040410C"/>
    <w:rsid w:val="00404FD5"/>
    <w:rsid w:val="0041616F"/>
    <w:rsid w:val="004204E1"/>
    <w:rsid w:val="004237BD"/>
    <w:rsid w:val="00423E3E"/>
    <w:rsid w:val="00427AF4"/>
    <w:rsid w:val="004400E2"/>
    <w:rsid w:val="00445A9B"/>
    <w:rsid w:val="00454D43"/>
    <w:rsid w:val="00455CF4"/>
    <w:rsid w:val="00461D75"/>
    <w:rsid w:val="00462B50"/>
    <w:rsid w:val="00463EC1"/>
    <w:rsid w:val="004647DA"/>
    <w:rsid w:val="00464AA1"/>
    <w:rsid w:val="00466CE9"/>
    <w:rsid w:val="00467773"/>
    <w:rsid w:val="00473154"/>
    <w:rsid w:val="00473E88"/>
    <w:rsid w:val="00474062"/>
    <w:rsid w:val="00475758"/>
    <w:rsid w:val="00477D6B"/>
    <w:rsid w:val="00485CFB"/>
    <w:rsid w:val="004A199A"/>
    <w:rsid w:val="004A4E9F"/>
    <w:rsid w:val="004B1A7D"/>
    <w:rsid w:val="004B3F11"/>
    <w:rsid w:val="004B5B7D"/>
    <w:rsid w:val="004C07AC"/>
    <w:rsid w:val="004C1D33"/>
    <w:rsid w:val="004D506C"/>
    <w:rsid w:val="004E1F57"/>
    <w:rsid w:val="004F56EF"/>
    <w:rsid w:val="00511D38"/>
    <w:rsid w:val="00516A1F"/>
    <w:rsid w:val="00522DA8"/>
    <w:rsid w:val="005268AD"/>
    <w:rsid w:val="0053057A"/>
    <w:rsid w:val="00532FC4"/>
    <w:rsid w:val="00540549"/>
    <w:rsid w:val="00540828"/>
    <w:rsid w:val="00544E68"/>
    <w:rsid w:val="00544FF6"/>
    <w:rsid w:val="00547A71"/>
    <w:rsid w:val="005517ED"/>
    <w:rsid w:val="00560A29"/>
    <w:rsid w:val="00561000"/>
    <w:rsid w:val="0057466C"/>
    <w:rsid w:val="00574686"/>
    <w:rsid w:val="0057521E"/>
    <w:rsid w:val="0058340D"/>
    <w:rsid w:val="00586316"/>
    <w:rsid w:val="005A00C2"/>
    <w:rsid w:val="005A0A51"/>
    <w:rsid w:val="005C1815"/>
    <w:rsid w:val="005C2C01"/>
    <w:rsid w:val="005D696E"/>
    <w:rsid w:val="005E5FF4"/>
    <w:rsid w:val="005F0179"/>
    <w:rsid w:val="005F01DF"/>
    <w:rsid w:val="005F2B88"/>
    <w:rsid w:val="005F3EB9"/>
    <w:rsid w:val="006046CB"/>
    <w:rsid w:val="00605625"/>
    <w:rsid w:val="00605827"/>
    <w:rsid w:val="006067CC"/>
    <w:rsid w:val="00645F5E"/>
    <w:rsid w:val="00646050"/>
    <w:rsid w:val="006578E9"/>
    <w:rsid w:val="006713CA"/>
    <w:rsid w:val="00672548"/>
    <w:rsid w:val="00676C5C"/>
    <w:rsid w:val="00684A5D"/>
    <w:rsid w:val="006B5EF6"/>
    <w:rsid w:val="006B798E"/>
    <w:rsid w:val="006C0D7A"/>
    <w:rsid w:val="006E0626"/>
    <w:rsid w:val="006E61AD"/>
    <w:rsid w:val="006F327E"/>
    <w:rsid w:val="006F50F7"/>
    <w:rsid w:val="006F675F"/>
    <w:rsid w:val="007058FB"/>
    <w:rsid w:val="00714917"/>
    <w:rsid w:val="00715857"/>
    <w:rsid w:val="00716D33"/>
    <w:rsid w:val="0072342D"/>
    <w:rsid w:val="00724563"/>
    <w:rsid w:val="00732E0C"/>
    <w:rsid w:val="007429B8"/>
    <w:rsid w:val="00744DF3"/>
    <w:rsid w:val="00751662"/>
    <w:rsid w:val="00753E10"/>
    <w:rsid w:val="00760679"/>
    <w:rsid w:val="0077576A"/>
    <w:rsid w:val="007771B6"/>
    <w:rsid w:val="007835EE"/>
    <w:rsid w:val="00784F98"/>
    <w:rsid w:val="00791F63"/>
    <w:rsid w:val="007962E9"/>
    <w:rsid w:val="0079675D"/>
    <w:rsid w:val="007A455A"/>
    <w:rsid w:val="007B6A58"/>
    <w:rsid w:val="007C4CBC"/>
    <w:rsid w:val="007C6239"/>
    <w:rsid w:val="007D1613"/>
    <w:rsid w:val="007F54DF"/>
    <w:rsid w:val="007F64F8"/>
    <w:rsid w:val="00801156"/>
    <w:rsid w:val="0081197F"/>
    <w:rsid w:val="00814070"/>
    <w:rsid w:val="00831AF6"/>
    <w:rsid w:val="00842C63"/>
    <w:rsid w:val="00843F3D"/>
    <w:rsid w:val="00851EC3"/>
    <w:rsid w:val="0085336A"/>
    <w:rsid w:val="0085556B"/>
    <w:rsid w:val="00856005"/>
    <w:rsid w:val="008564BB"/>
    <w:rsid w:val="008658CC"/>
    <w:rsid w:val="008707A8"/>
    <w:rsid w:val="00875CBA"/>
    <w:rsid w:val="00877667"/>
    <w:rsid w:val="0089280F"/>
    <w:rsid w:val="00894079"/>
    <w:rsid w:val="008969F3"/>
    <w:rsid w:val="008A207F"/>
    <w:rsid w:val="008B2CC1"/>
    <w:rsid w:val="008B60B2"/>
    <w:rsid w:val="008C1FE3"/>
    <w:rsid w:val="008C2301"/>
    <w:rsid w:val="008D584B"/>
    <w:rsid w:val="008D6072"/>
    <w:rsid w:val="0090731E"/>
    <w:rsid w:val="009151AC"/>
    <w:rsid w:val="009161C8"/>
    <w:rsid w:val="00916EE2"/>
    <w:rsid w:val="00924E1D"/>
    <w:rsid w:val="009278BC"/>
    <w:rsid w:val="009323BC"/>
    <w:rsid w:val="00934BB7"/>
    <w:rsid w:val="009364A8"/>
    <w:rsid w:val="00937E65"/>
    <w:rsid w:val="00943638"/>
    <w:rsid w:val="00953878"/>
    <w:rsid w:val="00966A22"/>
    <w:rsid w:val="00966AEE"/>
    <w:rsid w:val="009671EA"/>
    <w:rsid w:val="0096722F"/>
    <w:rsid w:val="00976152"/>
    <w:rsid w:val="00980646"/>
    <w:rsid w:val="00980843"/>
    <w:rsid w:val="00982986"/>
    <w:rsid w:val="00994CC6"/>
    <w:rsid w:val="009A057A"/>
    <w:rsid w:val="009A0BE6"/>
    <w:rsid w:val="009A5296"/>
    <w:rsid w:val="009A759A"/>
    <w:rsid w:val="009B0480"/>
    <w:rsid w:val="009B231D"/>
    <w:rsid w:val="009B2482"/>
    <w:rsid w:val="009B2C95"/>
    <w:rsid w:val="009B6BBA"/>
    <w:rsid w:val="009C0B26"/>
    <w:rsid w:val="009D3244"/>
    <w:rsid w:val="009E1CC3"/>
    <w:rsid w:val="009E2791"/>
    <w:rsid w:val="009E3F6F"/>
    <w:rsid w:val="009E5B3B"/>
    <w:rsid w:val="009F499F"/>
    <w:rsid w:val="00A25361"/>
    <w:rsid w:val="00A25A0F"/>
    <w:rsid w:val="00A25B5B"/>
    <w:rsid w:val="00A42DAF"/>
    <w:rsid w:val="00A45BD8"/>
    <w:rsid w:val="00A47223"/>
    <w:rsid w:val="00A517DE"/>
    <w:rsid w:val="00A51CE5"/>
    <w:rsid w:val="00A5697A"/>
    <w:rsid w:val="00A66287"/>
    <w:rsid w:val="00A762D7"/>
    <w:rsid w:val="00A82955"/>
    <w:rsid w:val="00A83545"/>
    <w:rsid w:val="00A85B8E"/>
    <w:rsid w:val="00AA53DE"/>
    <w:rsid w:val="00AA6B14"/>
    <w:rsid w:val="00AB24AF"/>
    <w:rsid w:val="00AB4E53"/>
    <w:rsid w:val="00AB6646"/>
    <w:rsid w:val="00AC205C"/>
    <w:rsid w:val="00AC7FA2"/>
    <w:rsid w:val="00AF55DD"/>
    <w:rsid w:val="00B05A69"/>
    <w:rsid w:val="00B16159"/>
    <w:rsid w:val="00B63790"/>
    <w:rsid w:val="00B72216"/>
    <w:rsid w:val="00B73287"/>
    <w:rsid w:val="00B806D5"/>
    <w:rsid w:val="00B8109A"/>
    <w:rsid w:val="00B830DF"/>
    <w:rsid w:val="00B84E4B"/>
    <w:rsid w:val="00B87EEF"/>
    <w:rsid w:val="00B9734B"/>
    <w:rsid w:val="00BA0C04"/>
    <w:rsid w:val="00BA559E"/>
    <w:rsid w:val="00BB4ABC"/>
    <w:rsid w:val="00BB4BB2"/>
    <w:rsid w:val="00BC680C"/>
    <w:rsid w:val="00BD5D6C"/>
    <w:rsid w:val="00BE5E66"/>
    <w:rsid w:val="00BF0C99"/>
    <w:rsid w:val="00C02209"/>
    <w:rsid w:val="00C05F9F"/>
    <w:rsid w:val="00C11BFE"/>
    <w:rsid w:val="00C12EE0"/>
    <w:rsid w:val="00C24A99"/>
    <w:rsid w:val="00C3128B"/>
    <w:rsid w:val="00C34750"/>
    <w:rsid w:val="00C51FF3"/>
    <w:rsid w:val="00C523A7"/>
    <w:rsid w:val="00C629EC"/>
    <w:rsid w:val="00C62B5E"/>
    <w:rsid w:val="00C65A95"/>
    <w:rsid w:val="00C67DE8"/>
    <w:rsid w:val="00C729CD"/>
    <w:rsid w:val="00C74D6B"/>
    <w:rsid w:val="00C752BE"/>
    <w:rsid w:val="00C84829"/>
    <w:rsid w:val="00C94629"/>
    <w:rsid w:val="00C96755"/>
    <w:rsid w:val="00C96A7E"/>
    <w:rsid w:val="00CB2718"/>
    <w:rsid w:val="00CB6011"/>
    <w:rsid w:val="00CC00BF"/>
    <w:rsid w:val="00CD3132"/>
    <w:rsid w:val="00CD3470"/>
    <w:rsid w:val="00CD4C64"/>
    <w:rsid w:val="00CE0AF5"/>
    <w:rsid w:val="00CE2080"/>
    <w:rsid w:val="00CE4DAB"/>
    <w:rsid w:val="00CE5590"/>
    <w:rsid w:val="00CF0E08"/>
    <w:rsid w:val="00CF2F5D"/>
    <w:rsid w:val="00CF7D3A"/>
    <w:rsid w:val="00D03572"/>
    <w:rsid w:val="00D16FDF"/>
    <w:rsid w:val="00D270DD"/>
    <w:rsid w:val="00D31AB3"/>
    <w:rsid w:val="00D35A16"/>
    <w:rsid w:val="00D37999"/>
    <w:rsid w:val="00D4121B"/>
    <w:rsid w:val="00D45252"/>
    <w:rsid w:val="00D556BB"/>
    <w:rsid w:val="00D56F83"/>
    <w:rsid w:val="00D65C11"/>
    <w:rsid w:val="00D71B4D"/>
    <w:rsid w:val="00D73105"/>
    <w:rsid w:val="00D758C0"/>
    <w:rsid w:val="00D842D7"/>
    <w:rsid w:val="00D93D55"/>
    <w:rsid w:val="00D95840"/>
    <w:rsid w:val="00DA2B76"/>
    <w:rsid w:val="00DA6596"/>
    <w:rsid w:val="00DA6B7B"/>
    <w:rsid w:val="00DB1274"/>
    <w:rsid w:val="00DB1DD9"/>
    <w:rsid w:val="00DD492C"/>
    <w:rsid w:val="00DD5392"/>
    <w:rsid w:val="00DE1426"/>
    <w:rsid w:val="00DE6817"/>
    <w:rsid w:val="00DF21CF"/>
    <w:rsid w:val="00E12E5A"/>
    <w:rsid w:val="00E153AF"/>
    <w:rsid w:val="00E175B4"/>
    <w:rsid w:val="00E2104E"/>
    <w:rsid w:val="00E335FE"/>
    <w:rsid w:val="00E41F21"/>
    <w:rsid w:val="00E5021F"/>
    <w:rsid w:val="00E53D4E"/>
    <w:rsid w:val="00E749A5"/>
    <w:rsid w:val="00E75A69"/>
    <w:rsid w:val="00E82CA6"/>
    <w:rsid w:val="00E90CBE"/>
    <w:rsid w:val="00E92E34"/>
    <w:rsid w:val="00E93582"/>
    <w:rsid w:val="00E96B00"/>
    <w:rsid w:val="00EA7B9D"/>
    <w:rsid w:val="00EC1C32"/>
    <w:rsid w:val="00EC4E49"/>
    <w:rsid w:val="00ED6B29"/>
    <w:rsid w:val="00ED77FB"/>
    <w:rsid w:val="00F00ECF"/>
    <w:rsid w:val="00F021A6"/>
    <w:rsid w:val="00F17649"/>
    <w:rsid w:val="00F234A5"/>
    <w:rsid w:val="00F23C61"/>
    <w:rsid w:val="00F25A3A"/>
    <w:rsid w:val="00F569C5"/>
    <w:rsid w:val="00F57DE0"/>
    <w:rsid w:val="00F62414"/>
    <w:rsid w:val="00F65391"/>
    <w:rsid w:val="00F653E8"/>
    <w:rsid w:val="00F66152"/>
    <w:rsid w:val="00F70368"/>
    <w:rsid w:val="00F754F8"/>
    <w:rsid w:val="00F96760"/>
    <w:rsid w:val="00FA5899"/>
    <w:rsid w:val="00FC118E"/>
    <w:rsid w:val="00FD494F"/>
    <w:rsid w:val="00FE35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EA7B9D"/>
    <w:pPr>
      <w:keepNext/>
      <w:numPr>
        <w:numId w:val="11"/>
      </w:numPr>
      <w:spacing w:before="240" w:after="60"/>
      <w:ind w:left="360"/>
      <w:outlineLvl w:val="0"/>
    </w:pPr>
    <w:rPr>
      <w:b/>
      <w:bCs/>
      <w:caps/>
      <w:kern w:val="32"/>
      <w:szCs w:val="32"/>
    </w:rPr>
  </w:style>
  <w:style w:type="paragraph" w:styleId="Heading2">
    <w:name w:val="heading 2"/>
    <w:basedOn w:val="Normal"/>
    <w:next w:val="Normal"/>
    <w:link w:val="Heading2Char"/>
    <w:qFormat/>
    <w:rsid w:val="00EA7B9D"/>
    <w:pPr>
      <w:keepNext/>
      <w:numPr>
        <w:numId w:val="22"/>
      </w:numPr>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customStyle="1" w:styleId="Heading1Char">
    <w:name w:val="Heading 1 Char"/>
    <w:link w:val="Heading1"/>
    <w:rsid w:val="00EA7B9D"/>
    <w:rPr>
      <w:rFonts w:ascii="Arial" w:eastAsia="SimSun" w:hAnsi="Arial" w:cs="Arial"/>
      <w:b/>
      <w:bCs/>
      <w:caps/>
      <w:kern w:val="32"/>
      <w:sz w:val="22"/>
      <w:szCs w:val="32"/>
      <w:lang w:eastAsia="zh-CN"/>
    </w:rPr>
  </w:style>
  <w:style w:type="character" w:customStyle="1" w:styleId="Heading2Char">
    <w:name w:val="Heading 2 Char"/>
    <w:link w:val="Heading2"/>
    <w:rsid w:val="00EA7B9D"/>
    <w:rPr>
      <w:rFonts w:ascii="Arial" w:eastAsia="SimSun" w:hAnsi="Arial" w:cs="Arial"/>
      <w:bCs/>
      <w:iCs/>
      <w:caps/>
      <w:sz w:val="22"/>
      <w:szCs w:val="28"/>
      <w:lang w:eastAsia="zh-CN"/>
    </w:rPr>
  </w:style>
  <w:style w:type="character" w:customStyle="1" w:styleId="Heading3Char">
    <w:name w:val="Heading 3 Char"/>
    <w:link w:val="Heading3"/>
    <w:rsid w:val="00192C16"/>
    <w:rPr>
      <w:rFonts w:ascii="Arial" w:eastAsia="SimSun" w:hAnsi="Arial" w:cs="Arial"/>
      <w:bCs/>
      <w:sz w:val="22"/>
      <w:szCs w:val="26"/>
      <w:u w:val="single"/>
      <w:lang w:eastAsia="zh-CN"/>
    </w:rPr>
  </w:style>
  <w:style w:type="character" w:customStyle="1" w:styleId="FooterChar">
    <w:name w:val="Footer Char"/>
    <w:link w:val="Footer"/>
    <w:semiHidden/>
    <w:rsid w:val="00192C16"/>
    <w:rPr>
      <w:rFonts w:ascii="Arial" w:eastAsia="SimSun" w:hAnsi="Arial" w:cs="Arial"/>
      <w:sz w:val="22"/>
      <w:lang w:eastAsia="zh-CN"/>
    </w:rPr>
  </w:style>
  <w:style w:type="character" w:customStyle="1" w:styleId="FootnoteTextChar">
    <w:name w:val="Footnote Text Char"/>
    <w:link w:val="FootnoteText"/>
    <w:uiPriority w:val="99"/>
    <w:semiHidden/>
    <w:rsid w:val="00192C16"/>
    <w:rPr>
      <w:rFonts w:ascii="Arial" w:eastAsia="SimSun" w:hAnsi="Arial" w:cs="Arial"/>
      <w:sz w:val="18"/>
      <w:lang w:eastAsia="zh-CN"/>
    </w:rPr>
  </w:style>
  <w:style w:type="paragraph" w:customStyle="1" w:styleId="DecisionInvitingPara">
    <w:name w:val="Decision Inviting Para."/>
    <w:basedOn w:val="Normal"/>
    <w:rsid w:val="00192C1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192C16"/>
    <w:rPr>
      <w:vertAlign w:val="superscript"/>
    </w:rPr>
  </w:style>
  <w:style w:type="character" w:customStyle="1" w:styleId="ONUMEChar">
    <w:name w:val="ONUM E Char"/>
    <w:link w:val="ONUME"/>
    <w:rsid w:val="00192C16"/>
    <w:rPr>
      <w:rFonts w:ascii="Arial" w:eastAsia="SimSun" w:hAnsi="Arial" w:cs="Arial"/>
      <w:sz w:val="22"/>
      <w:lang w:eastAsia="zh-CN"/>
    </w:rPr>
  </w:style>
  <w:style w:type="paragraph" w:styleId="NormalWeb">
    <w:name w:val="Normal (Web)"/>
    <w:basedOn w:val="Normal"/>
    <w:uiPriority w:val="99"/>
    <w:rsid w:val="00192C16"/>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rsid w:val="00192C16"/>
    <w:rPr>
      <w:color w:val="0000FF"/>
      <w:u w:val="single"/>
    </w:rPr>
  </w:style>
  <w:style w:type="paragraph" w:styleId="ListParagraph">
    <w:name w:val="List Paragraph"/>
    <w:basedOn w:val="Normal"/>
    <w:uiPriority w:val="34"/>
    <w:qFormat/>
    <w:rsid w:val="00EA7B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EA7B9D"/>
    <w:pPr>
      <w:keepNext/>
      <w:numPr>
        <w:numId w:val="11"/>
      </w:numPr>
      <w:spacing w:before="240" w:after="60"/>
      <w:ind w:left="360"/>
      <w:outlineLvl w:val="0"/>
    </w:pPr>
    <w:rPr>
      <w:b/>
      <w:bCs/>
      <w:caps/>
      <w:kern w:val="32"/>
      <w:szCs w:val="32"/>
    </w:rPr>
  </w:style>
  <w:style w:type="paragraph" w:styleId="Heading2">
    <w:name w:val="heading 2"/>
    <w:basedOn w:val="Normal"/>
    <w:next w:val="Normal"/>
    <w:link w:val="Heading2Char"/>
    <w:qFormat/>
    <w:rsid w:val="00EA7B9D"/>
    <w:pPr>
      <w:keepNext/>
      <w:numPr>
        <w:numId w:val="22"/>
      </w:numPr>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customStyle="1" w:styleId="Heading1Char">
    <w:name w:val="Heading 1 Char"/>
    <w:link w:val="Heading1"/>
    <w:rsid w:val="00EA7B9D"/>
    <w:rPr>
      <w:rFonts w:ascii="Arial" w:eastAsia="SimSun" w:hAnsi="Arial" w:cs="Arial"/>
      <w:b/>
      <w:bCs/>
      <w:caps/>
      <w:kern w:val="32"/>
      <w:sz w:val="22"/>
      <w:szCs w:val="32"/>
      <w:lang w:eastAsia="zh-CN"/>
    </w:rPr>
  </w:style>
  <w:style w:type="character" w:customStyle="1" w:styleId="Heading2Char">
    <w:name w:val="Heading 2 Char"/>
    <w:link w:val="Heading2"/>
    <w:rsid w:val="00EA7B9D"/>
    <w:rPr>
      <w:rFonts w:ascii="Arial" w:eastAsia="SimSun" w:hAnsi="Arial" w:cs="Arial"/>
      <w:bCs/>
      <w:iCs/>
      <w:caps/>
      <w:sz w:val="22"/>
      <w:szCs w:val="28"/>
      <w:lang w:eastAsia="zh-CN"/>
    </w:rPr>
  </w:style>
  <w:style w:type="character" w:customStyle="1" w:styleId="Heading3Char">
    <w:name w:val="Heading 3 Char"/>
    <w:link w:val="Heading3"/>
    <w:rsid w:val="00192C16"/>
    <w:rPr>
      <w:rFonts w:ascii="Arial" w:eastAsia="SimSun" w:hAnsi="Arial" w:cs="Arial"/>
      <w:bCs/>
      <w:sz w:val="22"/>
      <w:szCs w:val="26"/>
      <w:u w:val="single"/>
      <w:lang w:eastAsia="zh-CN"/>
    </w:rPr>
  </w:style>
  <w:style w:type="character" w:customStyle="1" w:styleId="FooterChar">
    <w:name w:val="Footer Char"/>
    <w:link w:val="Footer"/>
    <w:semiHidden/>
    <w:rsid w:val="00192C16"/>
    <w:rPr>
      <w:rFonts w:ascii="Arial" w:eastAsia="SimSun" w:hAnsi="Arial" w:cs="Arial"/>
      <w:sz w:val="22"/>
      <w:lang w:eastAsia="zh-CN"/>
    </w:rPr>
  </w:style>
  <w:style w:type="character" w:customStyle="1" w:styleId="FootnoteTextChar">
    <w:name w:val="Footnote Text Char"/>
    <w:link w:val="FootnoteText"/>
    <w:uiPriority w:val="99"/>
    <w:semiHidden/>
    <w:rsid w:val="00192C16"/>
    <w:rPr>
      <w:rFonts w:ascii="Arial" w:eastAsia="SimSun" w:hAnsi="Arial" w:cs="Arial"/>
      <w:sz w:val="18"/>
      <w:lang w:eastAsia="zh-CN"/>
    </w:rPr>
  </w:style>
  <w:style w:type="paragraph" w:customStyle="1" w:styleId="DecisionInvitingPara">
    <w:name w:val="Decision Inviting Para."/>
    <w:basedOn w:val="Normal"/>
    <w:rsid w:val="00192C1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192C16"/>
    <w:rPr>
      <w:vertAlign w:val="superscript"/>
    </w:rPr>
  </w:style>
  <w:style w:type="character" w:customStyle="1" w:styleId="ONUMEChar">
    <w:name w:val="ONUM E Char"/>
    <w:link w:val="ONUME"/>
    <w:rsid w:val="00192C16"/>
    <w:rPr>
      <w:rFonts w:ascii="Arial" w:eastAsia="SimSun" w:hAnsi="Arial" w:cs="Arial"/>
      <w:sz w:val="22"/>
      <w:lang w:eastAsia="zh-CN"/>
    </w:rPr>
  </w:style>
  <w:style w:type="paragraph" w:styleId="NormalWeb">
    <w:name w:val="Normal (Web)"/>
    <w:basedOn w:val="Normal"/>
    <w:uiPriority w:val="99"/>
    <w:rsid w:val="00192C16"/>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rsid w:val="00192C16"/>
    <w:rPr>
      <w:color w:val="0000FF"/>
      <w:u w:val="single"/>
    </w:rPr>
  </w:style>
  <w:style w:type="paragraph" w:styleId="ListParagraph">
    <w:name w:val="List Paragraph"/>
    <w:basedOn w:val="Normal"/>
    <w:uiPriority w:val="34"/>
    <w:qFormat/>
    <w:rsid w:val="00EA7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icann.org/en/news/correspondence/crocker-to-dryden-01apr13-en" TargetMode="External"/><Relationship Id="rId3" Type="http://schemas.openxmlformats.org/officeDocument/2006/relationships/hyperlink" Target="http://prague44.icann.org/node/31773" TargetMode="External"/><Relationship Id="rId7" Type="http://schemas.openxmlformats.org/officeDocument/2006/relationships/hyperlink" Target="http://www.icann.org/en/news/correspondence/dryden-to-crocker-chalaby-22mar13-en" TargetMode="External"/><Relationship Id="rId2" Type="http://schemas.openxmlformats.org/officeDocument/2006/relationships/hyperlink" Target="http://www.wipo.int/amc/en/domains/lro/fees/" TargetMode="External"/><Relationship Id="rId1" Type="http://schemas.openxmlformats.org/officeDocument/2006/relationships/hyperlink" Target="http://newgtlds.icann.org/en/applicants/agb/objection-procedures-04jun12-en.pdf" TargetMode="External"/><Relationship Id="rId6" Type="http://schemas.openxmlformats.org/officeDocument/2006/relationships/hyperlink" Target="https://gacweb.icann.org/download/attachments/27132070/Board%20Response%20to%20GAC%20Toronto%20Communique.pdf?version=1&amp;modificationDate=1361909146000&amp;api=v2" TargetMode="External"/><Relationship Id="rId5" Type="http://schemas.openxmlformats.org/officeDocument/2006/relationships/hyperlink" Target="https://gacweb.icann.org/download/attachments/27132070/FINAL_Toronto_Communique_20121017.pdf?version=1&amp;modificationDate=1354149148000&amp;api=v2" TargetMode="External"/><Relationship Id="rId4" Type="http://schemas.openxmlformats.org/officeDocument/2006/relationships/hyperlink" Target="http://toronto45.icann.org/node/343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B2AEA-38D4-4B14-8577-036B2780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(E)</Template>
  <TotalTime>3</TotalTime>
  <Pages>14</Pages>
  <Words>4460</Words>
  <Characters>29373</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33766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RATTRAY Adam</dc:creator>
  <cp:lastModifiedBy>Sanchez Maria</cp:lastModifiedBy>
  <cp:revision>4</cp:revision>
  <cp:lastPrinted>2014-07-21T09:51:00Z</cp:lastPrinted>
  <dcterms:created xsi:type="dcterms:W3CDTF">2014-07-21T09:49:00Z</dcterms:created>
  <dcterms:modified xsi:type="dcterms:W3CDTF">2014-07-21T09:52:00Z</dcterms:modified>
</cp:coreProperties>
</file>