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58A8A" w14:textId="40703CF5" w:rsidR="000A1C77" w:rsidRPr="00EA4096" w:rsidRDefault="000A1C77" w:rsidP="000A1C77">
      <w:pPr>
        <w:spacing w:before="360" w:after="240"/>
        <w:jc w:val="right"/>
        <w:rPr>
          <w:rFonts w:eastAsia="SimSun"/>
          <w:b/>
          <w:sz w:val="32"/>
          <w:szCs w:val="40"/>
          <w:lang w:eastAsia="zh-CN"/>
        </w:rPr>
      </w:pPr>
      <w:bookmarkStart w:id="0" w:name="Date"/>
      <w:r w:rsidRPr="009133CB">
        <w:rPr>
          <w:noProof/>
          <w:sz w:val="28"/>
          <w:szCs w:val="28"/>
          <w:lang w:val="en-US"/>
        </w:rPr>
        <w:drawing>
          <wp:inline distT="0" distB="0" distL="0" distR="0" wp14:anchorId="2CDF5B1F" wp14:editId="53A02BE4">
            <wp:extent cx="3246120" cy="1630680"/>
            <wp:effectExtent l="0" t="0" r="0" b="7620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0A8ED" w14:textId="77777777" w:rsidR="000A1C77" w:rsidRPr="00116F32" w:rsidRDefault="000A1C77" w:rsidP="000A1C77">
      <w:pPr>
        <w:pBdr>
          <w:top w:val="single" w:sz="4" w:space="16" w:color="auto"/>
        </w:pBdr>
        <w:jc w:val="right"/>
        <w:rPr>
          <w:rFonts w:ascii="Arial Black" w:eastAsia="SimSun" w:hAnsi="Arial Black"/>
          <w:caps/>
          <w:sz w:val="15"/>
          <w:szCs w:val="15"/>
          <w:lang w:eastAsia="zh-CN"/>
        </w:rPr>
      </w:pPr>
      <w:r w:rsidRPr="000A1C77">
        <w:rPr>
          <w:rFonts w:ascii="Arial Black" w:eastAsia="SimSun" w:hAnsi="Arial Black"/>
          <w:caps/>
          <w:sz w:val="15"/>
          <w:szCs w:val="15"/>
          <w:lang w:val="en-US" w:eastAsia="zh-CN"/>
        </w:rPr>
        <w:t>WO</w:t>
      </w:r>
      <w:r w:rsidRPr="00116F32">
        <w:rPr>
          <w:rFonts w:ascii="Arial Black" w:eastAsia="SimSun" w:hAnsi="Arial Black"/>
          <w:caps/>
          <w:sz w:val="15"/>
          <w:szCs w:val="15"/>
          <w:lang w:eastAsia="zh-CN"/>
        </w:rPr>
        <w:t>/</w:t>
      </w:r>
      <w:r w:rsidRPr="000A1C77">
        <w:rPr>
          <w:rFonts w:ascii="Arial Black" w:eastAsia="SimSun" w:hAnsi="Arial Black"/>
          <w:caps/>
          <w:sz w:val="15"/>
          <w:szCs w:val="15"/>
          <w:lang w:val="en-US" w:eastAsia="zh-CN"/>
        </w:rPr>
        <w:t>CC</w:t>
      </w:r>
      <w:r w:rsidRPr="00116F32">
        <w:rPr>
          <w:rFonts w:ascii="Arial Black" w:eastAsia="SimSun" w:hAnsi="Arial Black"/>
          <w:caps/>
          <w:sz w:val="15"/>
          <w:szCs w:val="15"/>
          <w:lang w:eastAsia="zh-CN"/>
        </w:rPr>
        <w:t>/78/</w:t>
      </w:r>
      <w:bookmarkStart w:id="1" w:name="Code"/>
      <w:r w:rsidRPr="000A1C77">
        <w:rPr>
          <w:rFonts w:ascii="Arial Black" w:eastAsia="SimSun" w:hAnsi="Arial Black"/>
          <w:caps/>
          <w:sz w:val="15"/>
          <w:szCs w:val="15"/>
          <w:lang w:val="en-US" w:eastAsia="zh-CN"/>
        </w:rPr>
        <w:t>inf</w:t>
      </w:r>
      <w:r w:rsidRPr="00116F32">
        <w:rPr>
          <w:rFonts w:ascii="Arial Black" w:eastAsia="SimSun" w:hAnsi="Arial Black"/>
          <w:caps/>
          <w:sz w:val="15"/>
          <w:szCs w:val="15"/>
          <w:lang w:eastAsia="zh-CN"/>
        </w:rPr>
        <w:t xml:space="preserve">/1 </w:t>
      </w:r>
      <w:r w:rsidRPr="000A1C77">
        <w:rPr>
          <w:rFonts w:ascii="Arial Black" w:eastAsia="SimSun" w:hAnsi="Arial Black"/>
          <w:caps/>
          <w:sz w:val="15"/>
          <w:szCs w:val="15"/>
          <w:lang w:val="en-US" w:eastAsia="zh-CN"/>
        </w:rPr>
        <w:t>rev</w:t>
      </w:r>
      <w:r w:rsidRPr="00116F32">
        <w:rPr>
          <w:rFonts w:ascii="Arial Black" w:eastAsia="SimSun" w:hAnsi="Arial Black"/>
          <w:caps/>
          <w:sz w:val="15"/>
          <w:szCs w:val="15"/>
          <w:lang w:eastAsia="zh-CN"/>
        </w:rPr>
        <w:t>.</w:t>
      </w:r>
    </w:p>
    <w:bookmarkEnd w:id="1"/>
    <w:p w14:paraId="775D48F0" w14:textId="3C4802AD" w:rsidR="000A1C77" w:rsidRPr="000A1C77" w:rsidRDefault="000A1C77" w:rsidP="000A1C77">
      <w:pPr>
        <w:jc w:val="right"/>
        <w:rPr>
          <w:rFonts w:ascii="Arial Black" w:eastAsia="SimSun" w:hAnsi="Arial Black"/>
          <w:caps/>
          <w:sz w:val="15"/>
          <w:szCs w:val="15"/>
          <w:lang w:eastAsia="zh-CN"/>
        </w:rPr>
      </w:pPr>
      <w:r>
        <w:rPr>
          <w:rFonts w:ascii="Arial Black" w:eastAsia="SimSun" w:hAnsi="Arial Black"/>
          <w:caps/>
          <w:sz w:val="15"/>
          <w:szCs w:val="15"/>
          <w:lang w:eastAsia="zh-CN"/>
        </w:rPr>
        <w:t>оригинал</w:t>
      </w:r>
      <w:r w:rsidRPr="000A1C77">
        <w:rPr>
          <w:rFonts w:ascii="Arial Black" w:eastAsia="SimSun" w:hAnsi="Arial Black"/>
          <w:caps/>
          <w:sz w:val="15"/>
          <w:szCs w:val="15"/>
          <w:lang w:eastAsia="zh-CN"/>
        </w:rPr>
        <w:t xml:space="preserve">: </w:t>
      </w:r>
      <w:bookmarkStart w:id="2" w:name="Original"/>
      <w:r w:rsidRPr="000A1C77">
        <w:rPr>
          <w:rFonts w:ascii="Arial Black" w:eastAsia="SimSun" w:hAnsi="Arial Black"/>
          <w:caps/>
          <w:sz w:val="15"/>
          <w:szCs w:val="15"/>
          <w:lang w:eastAsia="zh-CN"/>
        </w:rPr>
        <w:t xml:space="preserve"> </w:t>
      </w:r>
      <w:r>
        <w:rPr>
          <w:rFonts w:ascii="Arial Black" w:eastAsia="SimSun" w:hAnsi="Arial Black"/>
          <w:caps/>
          <w:sz w:val="15"/>
          <w:szCs w:val="15"/>
          <w:lang w:eastAsia="zh-CN"/>
        </w:rPr>
        <w:t>английский</w:t>
      </w:r>
    </w:p>
    <w:bookmarkEnd w:id="2"/>
    <w:p w14:paraId="64711F27" w14:textId="33409593" w:rsidR="00EA4096" w:rsidRPr="00EA4096" w:rsidRDefault="000A1C77" w:rsidP="000A1C77">
      <w:pPr>
        <w:spacing w:after="1200"/>
        <w:jc w:val="right"/>
        <w:rPr>
          <w:rFonts w:ascii="Arial Black" w:eastAsia="SimSun" w:hAnsi="Arial Black"/>
          <w:caps/>
          <w:sz w:val="15"/>
          <w:szCs w:val="15"/>
        </w:rPr>
      </w:pPr>
      <w:r>
        <w:rPr>
          <w:rFonts w:ascii="Arial Black" w:eastAsia="SimSun" w:hAnsi="Arial Black"/>
          <w:caps/>
          <w:sz w:val="15"/>
          <w:szCs w:val="15"/>
          <w:lang w:eastAsia="zh-CN"/>
        </w:rPr>
        <w:t>дата</w:t>
      </w:r>
      <w:r w:rsidRPr="00EA4096">
        <w:rPr>
          <w:rFonts w:ascii="Arial Black" w:eastAsia="SimSun" w:hAnsi="Arial Black"/>
          <w:caps/>
          <w:sz w:val="15"/>
          <w:szCs w:val="15"/>
          <w:lang w:eastAsia="zh-CN"/>
        </w:rPr>
        <w:t xml:space="preserve">: </w:t>
      </w:r>
      <w:r w:rsidR="00FC01EC">
        <w:rPr>
          <w:rFonts w:ascii="Arial Black" w:eastAsia="SimSun" w:hAnsi="Arial Black"/>
          <w:caps/>
          <w:sz w:val="15"/>
          <w:szCs w:val="15"/>
          <w:lang w:eastAsia="zh-CN"/>
        </w:rPr>
        <w:t xml:space="preserve"> 3</w:t>
      </w:r>
      <w:r>
        <w:rPr>
          <w:rFonts w:ascii="Arial Black" w:eastAsia="SimSun" w:hAnsi="Arial Black"/>
          <w:caps/>
          <w:sz w:val="15"/>
          <w:szCs w:val="15"/>
          <w:lang w:eastAsia="zh-CN"/>
        </w:rPr>
        <w:t>1 июля 2020 г.</w:t>
      </w:r>
    </w:p>
    <w:bookmarkEnd w:id="0"/>
    <w:p w14:paraId="62C50903" w14:textId="77777777" w:rsidR="00EA4096" w:rsidRPr="00EA4096" w:rsidRDefault="00EA4096" w:rsidP="00EA4096">
      <w:pPr>
        <w:keepNext/>
        <w:spacing w:after="600"/>
        <w:outlineLvl w:val="0"/>
        <w:rPr>
          <w:rFonts w:eastAsia="SimSun"/>
          <w:b/>
          <w:bCs/>
          <w:caps/>
          <w:kern w:val="32"/>
          <w:sz w:val="28"/>
          <w:szCs w:val="28"/>
        </w:rPr>
      </w:pPr>
      <w:r>
        <w:rPr>
          <w:b/>
          <w:bCs/>
          <w:sz w:val="28"/>
          <w:szCs w:val="28"/>
        </w:rPr>
        <w:t>Координационный комитет ВОИС</w:t>
      </w:r>
    </w:p>
    <w:p w14:paraId="3BF79CDE" w14:textId="77777777" w:rsidR="00EA4096" w:rsidRPr="00EA4096" w:rsidRDefault="00EA4096" w:rsidP="00EA4096">
      <w:pPr>
        <w:spacing w:after="720"/>
        <w:outlineLvl w:val="1"/>
        <w:rPr>
          <w:rFonts w:eastAsia="SimSun"/>
          <w:b/>
          <w:sz w:val="24"/>
          <w:szCs w:val="24"/>
        </w:rPr>
      </w:pPr>
      <w:r>
        <w:rPr>
          <w:b/>
          <w:sz w:val="24"/>
          <w:szCs w:val="24"/>
        </w:rPr>
        <w:t>Семьдесят восьмая (51-я очередная) сессия</w:t>
      </w:r>
      <w:r>
        <w:rPr>
          <w:b/>
          <w:sz w:val="24"/>
          <w:szCs w:val="24"/>
        </w:rPr>
        <w:br/>
        <w:t>Женева, 21–29 сентября 2020 г.</w:t>
      </w:r>
    </w:p>
    <w:p w14:paraId="629ED986" w14:textId="77777777" w:rsidR="008A7269" w:rsidRPr="000D05A0" w:rsidRDefault="008A7269" w:rsidP="00703C35">
      <w:pPr>
        <w:spacing w:after="360"/>
        <w:rPr>
          <w:caps/>
          <w:sz w:val="24"/>
          <w:szCs w:val="24"/>
        </w:rPr>
      </w:pPr>
      <w:r>
        <w:rPr>
          <w:caps/>
          <w:sz w:val="24"/>
          <w:szCs w:val="24"/>
        </w:rPr>
        <w:t>Годовой отчет о людских ресурсах</w:t>
      </w:r>
    </w:p>
    <w:p w14:paraId="030BC911" w14:textId="77777777" w:rsidR="008A7269" w:rsidRPr="009C127D" w:rsidRDefault="008A7269" w:rsidP="00703C35">
      <w:pPr>
        <w:spacing w:after="960"/>
        <w:rPr>
          <w:i/>
        </w:rPr>
      </w:pPr>
      <w:bookmarkStart w:id="3" w:name="Prepared"/>
      <w:bookmarkEnd w:id="3"/>
      <w:r>
        <w:rPr>
          <w:i/>
        </w:rPr>
        <w:t>подготовлен Секретариатом</w:t>
      </w:r>
    </w:p>
    <w:p w14:paraId="762D4D6A" w14:textId="05EB64F0" w:rsidR="00B36863" w:rsidRDefault="008A7269" w:rsidP="00C3517A">
      <w:pPr>
        <w:pStyle w:val="Heading1"/>
        <w:numPr>
          <w:ilvl w:val="0"/>
          <w:numId w:val="12"/>
        </w:numPr>
        <w:ind w:left="567" w:hanging="567"/>
      </w:pPr>
      <w:r>
        <w:t>ВВЕДЕНИЕ</w:t>
      </w:r>
    </w:p>
    <w:p w14:paraId="328C0136" w14:textId="77777777" w:rsidR="004069C4" w:rsidRPr="004069C4" w:rsidRDefault="004069C4" w:rsidP="00703C35"/>
    <w:p w14:paraId="6A55A22A" w14:textId="3C2B9C60" w:rsidR="00821A30" w:rsidRPr="0006645A" w:rsidRDefault="00821A30" w:rsidP="00C3517A">
      <w:pPr>
        <w:pStyle w:val="ListParagraph"/>
        <w:numPr>
          <w:ilvl w:val="0"/>
          <w:numId w:val="4"/>
        </w:numPr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Настоящий Годовой отчет о людских ресурсах (ЛР) охватывает все вопросы, касающиеся ЛР, о которых должен уведомляться Координационный комитет ВОИС, а также другие кадровые вопросы, представляющие интерес для государств-членов.</w:t>
      </w:r>
      <w:r w:rsidR="008A4DD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Он содержит информацию о ходе достижения кадровых целей и обзор связанных с ЛР стратегий, инициатив и мероприятий, которые соотносятся со Стратегией ВОИС в области ЛР на 2017–2021 гг</w:t>
      </w:r>
      <w:r w:rsidR="00DC727E">
        <w:rPr>
          <w:rFonts w:ascii="Arial" w:hAnsi="Arial"/>
          <w:sz w:val="22"/>
          <w:szCs w:val="22"/>
        </w:rPr>
        <w:t>.</w:t>
      </w:r>
      <w:r w:rsidRPr="0006645A">
        <w:rPr>
          <w:rStyle w:val="FootnoteReference"/>
          <w:rFonts w:ascii="Arial" w:hAnsi="Arial" w:cs="Arial"/>
          <w:sz w:val="22"/>
          <w:szCs w:val="22"/>
        </w:rPr>
        <w:footnoteReference w:id="1"/>
      </w:r>
    </w:p>
    <w:p w14:paraId="723B1533" w14:textId="77777777" w:rsidR="00821A30" w:rsidRPr="0006645A" w:rsidRDefault="00821A30" w:rsidP="00821A30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5FA92D9A" w14:textId="1582C7F2" w:rsidR="00821A30" w:rsidRPr="0006645A" w:rsidRDefault="00821A30" w:rsidP="00C3517A">
      <w:pPr>
        <w:pStyle w:val="ListParagraph"/>
        <w:numPr>
          <w:ilvl w:val="0"/>
          <w:numId w:val="4"/>
        </w:numPr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Настоящий отчет охватывает период с 1 июля 2019 г. по 30 июня 2020 г.</w:t>
      </w:r>
      <w:r w:rsidR="008A4DD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Данные отчета дополняет отдельная брошюра по вопросам ЛР, содержащая ключевые данные о людских ресурсах за тот же отчетный период или в разбивке по календарным годам.</w:t>
      </w:r>
      <w:r w:rsidR="008A4DD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Брошюра </w:t>
      </w:r>
      <w:r w:rsidR="0072402F">
        <w:rPr>
          <w:rFonts w:ascii="Arial" w:hAnsi="Arial"/>
          <w:sz w:val="22"/>
          <w:szCs w:val="22"/>
        </w:rPr>
        <w:t xml:space="preserve">по вопросам ЛР </w:t>
      </w:r>
      <w:r>
        <w:rPr>
          <w:rFonts w:ascii="Arial" w:hAnsi="Arial"/>
          <w:sz w:val="22"/>
          <w:szCs w:val="22"/>
        </w:rPr>
        <w:t>за 2020 г., озаглавленная «Персонал@ВОИС: увлеченный, инициативный, жизнестойкий», размещена на сайте ВОИС</w:t>
      </w:r>
      <w:r w:rsidRPr="0006645A">
        <w:rPr>
          <w:rStyle w:val="FootnoteReference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/>
          <w:sz w:val="22"/>
          <w:szCs w:val="22"/>
        </w:rPr>
        <w:t>.</w:t>
      </w:r>
      <w:r w:rsidR="008A4DD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 настоящем отчете содержатся ссылки на графики и таблицы из этой брошюры.</w:t>
      </w:r>
      <w:r w:rsidR="0072402F">
        <w:rPr>
          <w:rFonts w:ascii="Arial" w:hAnsi="Arial"/>
          <w:sz w:val="22"/>
          <w:szCs w:val="22"/>
        </w:rPr>
        <w:t xml:space="preserve"> </w:t>
      </w:r>
    </w:p>
    <w:p w14:paraId="6F4A98AB" w14:textId="52EC956B" w:rsidR="00ED656C" w:rsidRPr="00D67B4B" w:rsidRDefault="00ED656C" w:rsidP="00703C35">
      <w:pPr>
        <w:rPr>
          <w:szCs w:val="22"/>
        </w:rPr>
      </w:pPr>
    </w:p>
    <w:p w14:paraId="702A64C6" w14:textId="0216AA1B" w:rsidR="00022502" w:rsidRPr="0006645A" w:rsidRDefault="00022502" w:rsidP="00C3517A">
      <w:pPr>
        <w:pStyle w:val="Heading1"/>
        <w:numPr>
          <w:ilvl w:val="0"/>
          <w:numId w:val="12"/>
        </w:numPr>
        <w:ind w:left="567" w:hanging="567"/>
      </w:pPr>
      <w:r>
        <w:lastRenderedPageBreak/>
        <w:t>ПЕРСОНАЛ ВОИС: ОСНОВНЫЕ ДАННЫЕ</w:t>
      </w:r>
    </w:p>
    <w:p w14:paraId="3A888E19" w14:textId="77777777" w:rsidR="00C74477" w:rsidRPr="0006645A" w:rsidRDefault="00C74477" w:rsidP="00D67B4B">
      <w:pPr>
        <w:keepNext/>
        <w:rPr>
          <w:szCs w:val="22"/>
        </w:rPr>
      </w:pPr>
    </w:p>
    <w:p w14:paraId="7AEE26CD" w14:textId="46271C33" w:rsidR="00FA773F" w:rsidRPr="0006645A" w:rsidRDefault="00821A30" w:rsidP="00391903">
      <w:pPr>
        <w:pStyle w:val="ListParagraph"/>
        <w:keepNext/>
        <w:numPr>
          <w:ilvl w:val="0"/>
          <w:numId w:val="4"/>
        </w:numPr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По состоянию на 30 июня 2020 г. общая численность сотрудников ВОИС составляла 1508 человек. Соотношение между основным персоналом (72,3</w:t>
      </w:r>
      <w:r w:rsidR="00343E5E">
        <w:rPr>
          <w:rFonts w:ascii="Arial" w:hAnsi="Arial"/>
          <w:sz w:val="22"/>
          <w:szCs w:val="22"/>
          <w:lang w:val="en-GB"/>
        </w:rPr>
        <w:t> </w:t>
      </w:r>
      <w:r>
        <w:rPr>
          <w:rFonts w:ascii="Arial" w:hAnsi="Arial"/>
          <w:sz w:val="22"/>
          <w:szCs w:val="22"/>
        </w:rPr>
        <w:t>процента) и персоналом, привлекаемым на гибких условиях (27,7</w:t>
      </w:r>
      <w:r w:rsidR="00343E5E">
        <w:rPr>
          <w:rFonts w:ascii="Arial" w:hAnsi="Arial"/>
          <w:sz w:val="22"/>
          <w:szCs w:val="22"/>
          <w:lang w:val="en-GB"/>
        </w:rPr>
        <w:t> </w:t>
      </w:r>
      <w:r>
        <w:rPr>
          <w:rFonts w:ascii="Arial" w:hAnsi="Arial"/>
          <w:sz w:val="22"/>
          <w:szCs w:val="22"/>
        </w:rPr>
        <w:t>процента), оставалось стабильным (таблица 1)</w:t>
      </w:r>
      <w:r w:rsidR="00DF773D" w:rsidRPr="0006645A">
        <w:rPr>
          <w:rStyle w:val="FootnoteReference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/>
          <w:sz w:val="22"/>
          <w:szCs w:val="22"/>
        </w:rPr>
        <w:t>.</w:t>
      </w:r>
    </w:p>
    <w:p w14:paraId="3F15E6C5" w14:textId="77777777" w:rsidR="00FA773F" w:rsidRPr="0006645A" w:rsidRDefault="00FA773F" w:rsidP="00D67B4B">
      <w:pPr>
        <w:pStyle w:val="ListParagraph"/>
        <w:keepNext/>
        <w:ind w:left="0"/>
        <w:rPr>
          <w:rFonts w:ascii="Arial" w:hAnsi="Arial" w:cs="Arial"/>
          <w:sz w:val="22"/>
          <w:szCs w:val="22"/>
        </w:rPr>
      </w:pPr>
    </w:p>
    <w:p w14:paraId="4131A3AB" w14:textId="525F239A" w:rsidR="00B414BB" w:rsidRPr="0006645A" w:rsidRDefault="00B414BB" w:rsidP="009A3054">
      <w:pPr>
        <w:pStyle w:val="ListParagraph"/>
        <w:keepNext/>
        <w:numPr>
          <w:ilvl w:val="0"/>
          <w:numId w:val="4"/>
        </w:numPr>
        <w:spacing w:before="22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Производительность труда сотрудников остается на стабильном уровне, особенно в системе Договора о патентной кооперации (PCT) и Мадридской системе, несмотря на </w:t>
      </w:r>
      <w:r w:rsidR="0072402F">
        <w:rPr>
          <w:rFonts w:ascii="Arial" w:hAnsi="Arial"/>
          <w:sz w:val="22"/>
          <w:szCs w:val="22"/>
        </w:rPr>
        <w:t xml:space="preserve">вызванный COVID-19 </w:t>
      </w:r>
      <w:r>
        <w:rPr>
          <w:rFonts w:ascii="Arial" w:hAnsi="Arial"/>
          <w:sz w:val="22"/>
          <w:szCs w:val="22"/>
        </w:rPr>
        <w:t xml:space="preserve">кризис в системе здравоохранения и </w:t>
      </w:r>
      <w:r w:rsidR="0072402F">
        <w:rPr>
          <w:rFonts w:ascii="Arial" w:hAnsi="Arial"/>
          <w:sz w:val="22"/>
          <w:szCs w:val="22"/>
        </w:rPr>
        <w:t>введение режима изоляции</w:t>
      </w:r>
      <w:r>
        <w:rPr>
          <w:rFonts w:ascii="Arial" w:hAnsi="Arial"/>
          <w:sz w:val="22"/>
          <w:szCs w:val="22"/>
        </w:rPr>
        <w:t>.</w:t>
      </w:r>
      <w:r w:rsidR="008A4DD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Эти две системы являются ведущими глобальными регистрационными системами, администрируемыми ВОИС, а также основными источниками дохода Организации. Более подробные данные о производительности приводятся в Панели индикаторов деятельности ВОИС в период кризиса</w:t>
      </w:r>
      <w:r w:rsidR="007E3552">
        <w:rPr>
          <w:rStyle w:val="FootnoteReference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/>
          <w:sz w:val="22"/>
          <w:szCs w:val="22"/>
        </w:rPr>
        <w:t>.</w:t>
      </w:r>
    </w:p>
    <w:p w14:paraId="2860AF2A" w14:textId="77777777" w:rsidR="00B414BB" w:rsidRPr="0006645A" w:rsidRDefault="00B414BB" w:rsidP="00D67B4B">
      <w:pPr>
        <w:keepNext/>
        <w:rPr>
          <w:szCs w:val="22"/>
        </w:rPr>
      </w:pPr>
    </w:p>
    <w:p w14:paraId="0C28522F" w14:textId="1AC8AC39" w:rsidR="00EB4641" w:rsidRPr="0006645A" w:rsidRDefault="00EB4641" w:rsidP="00C3517A">
      <w:pPr>
        <w:pStyle w:val="Heading1"/>
        <w:numPr>
          <w:ilvl w:val="0"/>
          <w:numId w:val="12"/>
        </w:numPr>
        <w:ind w:left="567" w:hanging="567"/>
      </w:pPr>
      <w:r>
        <w:t>ВОПРОСЫ, ПРЕДУСМАТРИВАЮЩИЕ ОБЯЗАТЕЛЬНОЕ УВЕДОМЛЕНИЕ КООРДИНАЦИОННОГО КОМИТЕТА ВОИС</w:t>
      </w:r>
    </w:p>
    <w:p w14:paraId="7AFA9546" w14:textId="77777777" w:rsidR="00202584" w:rsidRDefault="00202584" w:rsidP="000A0FF3"/>
    <w:p w14:paraId="5BB1D20B" w14:textId="1C7621C7" w:rsidR="00C65141" w:rsidRPr="0006645A" w:rsidRDefault="00C65141" w:rsidP="002A567B">
      <w:pPr>
        <w:pStyle w:val="Heading2"/>
      </w:pPr>
      <w:r>
        <w:t>ПРЕКРАЩЕНИЕ СЛУЖБЫ</w:t>
      </w:r>
    </w:p>
    <w:p w14:paraId="4FD3D227" w14:textId="77777777" w:rsidR="00C65141" w:rsidRPr="000A0FF3" w:rsidRDefault="00C65141" w:rsidP="000A0FF3"/>
    <w:p w14:paraId="07F984F0" w14:textId="28D8643C" w:rsidR="00A52D09" w:rsidRPr="0006645A" w:rsidRDefault="00A52D09" w:rsidP="00C3517A">
      <w:pPr>
        <w:pStyle w:val="ListParagraph"/>
        <w:numPr>
          <w:ilvl w:val="0"/>
          <w:numId w:val="4"/>
        </w:numPr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Положение о персонале ВОИС 9.2(g) гласит, что Генеральный директор информирует Координационный комитет ВОИС обо всех случаях прекращения службы сотрудников.</w:t>
      </w:r>
      <w:r w:rsidR="008A4DD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 период с 1 июля 2019 г. по 30 июня 2020 г. зафиксированы следующие случаи увольнения сотрудников:</w:t>
      </w:r>
    </w:p>
    <w:p w14:paraId="0A6D95E6" w14:textId="77777777" w:rsidR="00A52D09" w:rsidRPr="0006645A" w:rsidRDefault="00A52D09" w:rsidP="00703C35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291C6090" w14:textId="22FCB33C" w:rsidR="00A52D09" w:rsidRPr="0006645A" w:rsidRDefault="00A52D09" w:rsidP="00C3517A">
      <w:pPr>
        <w:pStyle w:val="ListParagraph"/>
        <w:numPr>
          <w:ilvl w:val="0"/>
          <w:numId w:val="7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четыре увольнения по состоянию здоровья согласно положению о персонале</w:t>
      </w:r>
      <w:r w:rsidR="00343E5E">
        <w:rPr>
          <w:rFonts w:ascii="Arial" w:hAnsi="Arial"/>
          <w:sz w:val="22"/>
          <w:szCs w:val="22"/>
          <w:lang w:val="en-GB"/>
        </w:rPr>
        <w:t> </w:t>
      </w:r>
      <w:r>
        <w:rPr>
          <w:rFonts w:ascii="Arial" w:hAnsi="Arial"/>
          <w:sz w:val="22"/>
          <w:szCs w:val="22"/>
        </w:rPr>
        <w:t>9.2(a)(2);</w:t>
      </w:r>
    </w:p>
    <w:p w14:paraId="40B13D25" w14:textId="522F0603" w:rsidR="00A52D09" w:rsidRPr="0006645A" w:rsidRDefault="00A52D09" w:rsidP="00C3517A">
      <w:pPr>
        <w:pStyle w:val="ListParagraph"/>
        <w:numPr>
          <w:ilvl w:val="0"/>
          <w:numId w:val="7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два увольнения за проступки согласно положению о персонале</w:t>
      </w:r>
      <w:r w:rsidR="00343E5E">
        <w:rPr>
          <w:rFonts w:ascii="Arial" w:hAnsi="Arial"/>
          <w:sz w:val="22"/>
          <w:szCs w:val="22"/>
          <w:lang w:val="en-GB"/>
        </w:rPr>
        <w:t> </w:t>
      </w:r>
      <w:r>
        <w:rPr>
          <w:rFonts w:ascii="Arial" w:hAnsi="Arial"/>
          <w:sz w:val="22"/>
          <w:szCs w:val="22"/>
        </w:rPr>
        <w:t>9.2(a)(3); и</w:t>
      </w:r>
    </w:p>
    <w:p w14:paraId="6A837D32" w14:textId="26E5B4BF" w:rsidR="00A52D09" w:rsidRDefault="00821A30" w:rsidP="00C3517A">
      <w:pPr>
        <w:pStyle w:val="ListParagraph"/>
        <w:numPr>
          <w:ilvl w:val="0"/>
          <w:numId w:val="7"/>
        </w:numPr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18 увольнений в интересах надлежащего управления Организацией и по собственному желанию увольняемых сотрудников согласно положению о персонале 9.2(а)(5).</w:t>
      </w:r>
    </w:p>
    <w:p w14:paraId="47FF5083" w14:textId="77777777" w:rsidR="004F7F05" w:rsidRPr="00A50669" w:rsidRDefault="004F7F05" w:rsidP="00A50669">
      <w:pPr>
        <w:ind w:left="567"/>
        <w:rPr>
          <w:szCs w:val="22"/>
        </w:rPr>
      </w:pPr>
    </w:p>
    <w:p w14:paraId="54D28DD0" w14:textId="0E812F35" w:rsidR="004F7F05" w:rsidRPr="004F7F05" w:rsidRDefault="004F7F05" w:rsidP="00A50669">
      <w:pPr>
        <w:pStyle w:val="Heading2"/>
      </w:pPr>
      <w:r>
        <w:t>ОСУЩЕСТВЛЕНИЕ ПОЛИТИКИ ВОИС В ОБЛАСТИ ГЕНДЕРНОГО РАВЕНСТВА</w:t>
      </w:r>
    </w:p>
    <w:p w14:paraId="35373C19" w14:textId="77777777" w:rsidR="004F7F05" w:rsidRPr="004F7F05" w:rsidRDefault="004F7F05" w:rsidP="004F7F05">
      <w:pPr>
        <w:autoSpaceDE w:val="0"/>
        <w:autoSpaceDN w:val="0"/>
        <w:adjustRightInd w:val="0"/>
        <w:rPr>
          <w:color w:val="000000"/>
          <w:szCs w:val="22"/>
        </w:rPr>
      </w:pPr>
    </w:p>
    <w:p w14:paraId="27EA2A9D" w14:textId="0A586E68" w:rsidR="009967C8" w:rsidRPr="0006645A" w:rsidRDefault="009967C8" w:rsidP="00C3517A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Признавая, что без участия женщин невозможно обеспечить и поддерживать социально-экономическое и культурное развитие, ВОИС в рамках своего мандата привержена делу поощрения гендерного равенства и расширения прав и возможностей женщин.</w:t>
      </w:r>
      <w:r w:rsidR="008A4DD7">
        <w:rPr>
          <w:rFonts w:ascii="Arial" w:hAnsi="Arial"/>
          <w:color w:val="000000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В основе усили</w:t>
      </w:r>
      <w:r w:rsidR="0072402F">
        <w:rPr>
          <w:rFonts w:ascii="Arial" w:hAnsi="Arial"/>
          <w:color w:val="000000"/>
          <w:sz w:val="22"/>
          <w:szCs w:val="22"/>
        </w:rPr>
        <w:t>й</w:t>
      </w:r>
      <w:r>
        <w:rPr>
          <w:rFonts w:ascii="Arial" w:hAnsi="Arial"/>
          <w:color w:val="000000"/>
          <w:sz w:val="22"/>
          <w:szCs w:val="22"/>
        </w:rPr>
        <w:t xml:space="preserve"> ВОИС лежит Политика в области гендерного равенства, осуществление которой началось в 2014 г. Она обеспечивает общую основу для интеграции гендерной проблематики как в политическую и программную деятельность, так и в управление людскими ресурсами.</w:t>
      </w:r>
      <w:r w:rsidR="008A4DD7">
        <w:rPr>
          <w:rFonts w:ascii="Arial" w:hAnsi="Arial"/>
          <w:color w:val="000000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В 2019 г. ОВН провел аудит и оценку реализации Политики ВОИС в области гендерного равенства.</w:t>
      </w:r>
      <w:r w:rsidR="008A4DD7">
        <w:rPr>
          <w:rFonts w:ascii="Arial" w:hAnsi="Arial"/>
          <w:color w:val="000000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Выводы и рекомендации ОВН будут использоваться на следующем этапе осуществления этой политики и в ходе ее пересмотра.</w:t>
      </w:r>
    </w:p>
    <w:p w14:paraId="5D71A186" w14:textId="77777777" w:rsidR="009967C8" w:rsidRPr="0006645A" w:rsidRDefault="009967C8" w:rsidP="009967C8">
      <w:pPr>
        <w:autoSpaceDE w:val="0"/>
        <w:autoSpaceDN w:val="0"/>
        <w:adjustRightInd w:val="0"/>
        <w:rPr>
          <w:color w:val="000000"/>
          <w:szCs w:val="22"/>
        </w:rPr>
      </w:pPr>
    </w:p>
    <w:p w14:paraId="73E4BECE" w14:textId="2F324764" w:rsidR="007C411A" w:rsidRPr="0006645A" w:rsidRDefault="009967C8" w:rsidP="00C3517A">
      <w:pPr>
        <w:numPr>
          <w:ilvl w:val="0"/>
          <w:numId w:val="4"/>
        </w:num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>
        <w:rPr>
          <w:color w:val="000000"/>
          <w:szCs w:val="22"/>
        </w:rPr>
        <w:t>В своей работе по обеспечению гендерного равенства и расширению прав и возможностей женщин ВОИС придерживается двустороннего подхода: Организация реализует гендерные инициативы и одновременно интегрирует гендерные аспекты в остальные инициативы.</w:t>
      </w:r>
      <w:r w:rsidR="008A4DD7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 xml:space="preserve">Более того, участвуя в общесистемных инициативах ООН и внося свой вклад в их реализацию, она также принимает меры самостоятельно. </w:t>
      </w:r>
    </w:p>
    <w:p w14:paraId="3D7FD3FE" w14:textId="2E4265AB" w:rsidR="00B275C5" w:rsidRPr="0006645A" w:rsidRDefault="00B275C5">
      <w:pPr>
        <w:rPr>
          <w:i/>
          <w:color w:val="000000"/>
          <w:szCs w:val="22"/>
        </w:rPr>
      </w:pPr>
    </w:p>
    <w:p w14:paraId="1D22CBF4" w14:textId="2B64A827" w:rsidR="007C411A" w:rsidRPr="0006645A" w:rsidRDefault="007C411A" w:rsidP="00A50669">
      <w:pPr>
        <w:pStyle w:val="Heading3"/>
        <w:rPr>
          <w:i w:val="0"/>
        </w:rPr>
      </w:pPr>
      <w:r>
        <w:t>Интеграция гендерной проблематики в организационные функции</w:t>
      </w:r>
    </w:p>
    <w:p w14:paraId="5AF707B0" w14:textId="77777777" w:rsidR="007C411A" w:rsidRPr="0006645A" w:rsidRDefault="007C411A" w:rsidP="00D67B4B">
      <w:pPr>
        <w:keepNext/>
        <w:keepLines/>
        <w:contextualSpacing/>
        <w:rPr>
          <w:szCs w:val="22"/>
        </w:rPr>
      </w:pPr>
    </w:p>
    <w:p w14:paraId="51EEBFAE" w14:textId="7D9036B6" w:rsidR="007C411A" w:rsidRPr="0006645A" w:rsidRDefault="009967C8" w:rsidP="00C3517A">
      <w:pPr>
        <w:keepNext/>
        <w:keepLines/>
        <w:numPr>
          <w:ilvl w:val="0"/>
          <w:numId w:val="4"/>
        </w:numPr>
        <w:ind w:left="0" w:firstLine="0"/>
        <w:contextualSpacing/>
        <w:rPr>
          <w:szCs w:val="22"/>
        </w:rPr>
      </w:pPr>
      <w:r>
        <w:t>Что касается общесистемной работы в рамках ООН, то в 2019 г. ВОИС продолжала осуществление Общесистемного плана действий ООН по вопросам гендерного равенства и расширения прав и возможностей женщин (ОПДООН), которое началось в 2012 г.</w:t>
      </w:r>
      <w:r w:rsidR="008A4DD7">
        <w:t xml:space="preserve"> </w:t>
      </w:r>
      <w:r>
        <w:t>ОПДООН — это механизм подотчетности, утвержденный Координационным советом руководителей учреждений системы ООН (КСР)</w:t>
      </w:r>
      <w:r w:rsidRPr="0006645A">
        <w:rPr>
          <w:szCs w:val="22"/>
          <w:vertAlign w:val="superscript"/>
        </w:rPr>
        <w:footnoteReference w:id="5"/>
      </w:r>
      <w:r>
        <w:t>.</w:t>
      </w:r>
      <w:r w:rsidR="008A4DD7">
        <w:t xml:space="preserve"> </w:t>
      </w:r>
      <w:r>
        <w:t>В 2018 г. начался второй этап его реализации, предусматривающий увеличение числа показателей и повышение пороговых значений их соблюдения.</w:t>
      </w:r>
      <w:r w:rsidR="008A4DD7">
        <w:t xml:space="preserve"> </w:t>
      </w:r>
      <w:r>
        <w:t>В период 2018–2019 гг. коэффициент соблюдения ВОИС увеличился на 17 процентных пунктов.</w:t>
      </w:r>
      <w:r w:rsidR="008A4DD7">
        <w:t xml:space="preserve"> </w:t>
      </w:r>
      <w:r>
        <w:t>В результате</w:t>
      </w:r>
      <w:r w:rsidR="0072402F">
        <w:t>,</w:t>
      </w:r>
      <w:r>
        <w:t xml:space="preserve"> в 2019 г. ВОИС выполнила или перевыполнила требования по 41 проценту рейтингов, или по семи показателям</w:t>
      </w:r>
      <w:r w:rsidRPr="0006645A">
        <w:rPr>
          <w:szCs w:val="22"/>
          <w:vertAlign w:val="superscript"/>
        </w:rPr>
        <w:footnoteReference w:id="6"/>
      </w:r>
      <w:r>
        <w:t>.</w:t>
      </w:r>
      <w:r w:rsidR="008A4DD7">
        <w:t xml:space="preserve"> </w:t>
      </w:r>
      <w:r>
        <w:t>Более того, в 2019</w:t>
      </w:r>
      <w:r w:rsidR="00343E5E">
        <w:rPr>
          <w:lang w:val="en-GB"/>
        </w:rPr>
        <w:t> </w:t>
      </w:r>
      <w:r>
        <w:t xml:space="preserve">г. впервые с начала реализации ОПДООН ВОИС перевыполнила требования по двум показателям (связанным с оценкой и аудитом) и при этом выполнила требования по пяти показателям. </w:t>
      </w:r>
    </w:p>
    <w:p w14:paraId="4F3C60C2" w14:textId="77777777" w:rsidR="007C411A" w:rsidRPr="0006645A" w:rsidRDefault="007C411A" w:rsidP="00703C35">
      <w:pPr>
        <w:contextualSpacing/>
        <w:rPr>
          <w:szCs w:val="22"/>
        </w:rPr>
      </w:pPr>
    </w:p>
    <w:p w14:paraId="5A58D78E" w14:textId="01FB2431" w:rsidR="007C411A" w:rsidRPr="0006645A" w:rsidRDefault="007C411A" w:rsidP="00C3517A">
      <w:pPr>
        <w:numPr>
          <w:ilvl w:val="0"/>
          <w:numId w:val="4"/>
        </w:numPr>
        <w:ind w:left="0" w:firstLine="0"/>
        <w:contextualSpacing/>
        <w:rPr>
          <w:szCs w:val="22"/>
        </w:rPr>
      </w:pPr>
      <w:r>
        <w:t>На диаграмме ниже показаны результаты ВОИС по реализации ОПДООН в 2019 г. по сравнению с 2018 г.:</w:t>
      </w:r>
    </w:p>
    <w:p w14:paraId="65FE3626" w14:textId="5D811F6C" w:rsidR="00B275C5" w:rsidRPr="0006645A" w:rsidRDefault="00B275C5" w:rsidP="00B275C5">
      <w:pPr>
        <w:contextualSpacing/>
        <w:rPr>
          <w:szCs w:val="22"/>
        </w:rPr>
      </w:pPr>
    </w:p>
    <w:p w14:paraId="7715D111" w14:textId="7FF8037F" w:rsidR="007C411A" w:rsidRPr="0006645A" w:rsidRDefault="008A4DD7" w:rsidP="00703C35">
      <w:pPr>
        <w:contextualSpacing/>
        <w:rPr>
          <w:szCs w:val="22"/>
        </w:rPr>
      </w:pPr>
      <w:r>
        <w:rPr>
          <w:noProof/>
          <w:szCs w:val="22"/>
          <w:lang w:val="en-US"/>
        </w:rPr>
        <w:drawing>
          <wp:inline distT="0" distB="0" distL="0" distR="0" wp14:anchorId="2DC07B8E" wp14:editId="0A214120">
            <wp:extent cx="5590858" cy="1444333"/>
            <wp:effectExtent l="0" t="0" r="0" b="3810"/>
            <wp:docPr id="2" name="Рисунок 2" descr="Результаты ВОИС по реализации ОПДООН в 2019 г. по сравнению с 2018 г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4" cy="14501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FB56C4" w14:textId="77777777" w:rsidR="007E3552" w:rsidRDefault="007E3552" w:rsidP="007E3552">
      <w:pPr>
        <w:contextualSpacing/>
        <w:rPr>
          <w:szCs w:val="22"/>
        </w:rPr>
      </w:pPr>
    </w:p>
    <w:p w14:paraId="1B027F9A" w14:textId="0775B6B1" w:rsidR="007C411A" w:rsidRPr="0006645A" w:rsidRDefault="009967C8" w:rsidP="00C3517A">
      <w:pPr>
        <w:numPr>
          <w:ilvl w:val="0"/>
          <w:numId w:val="4"/>
        </w:numPr>
        <w:ind w:left="0" w:firstLine="0"/>
        <w:contextualSpacing/>
        <w:rPr>
          <w:szCs w:val="22"/>
        </w:rPr>
      </w:pPr>
      <w:r>
        <w:t>В отчетный период ВОИС продолжала укреплять потенциал координаторов по гендерным вопросам, с тем чтобы они могли более эффективно интегрировать вопросы гендерного равенства в программную работу и выполняемые функции.</w:t>
      </w:r>
      <w:r w:rsidR="008A4DD7">
        <w:t xml:space="preserve"> </w:t>
      </w:r>
      <w:r>
        <w:t>Было организовано однодневное учебное мероприятие с целью подведения итогов и обобщения опыта, накопленного к настоящему времени в ходе реализации Политики ВОИС в области гендерного равенства.</w:t>
      </w:r>
      <w:r w:rsidR="008A4DD7">
        <w:t xml:space="preserve"> </w:t>
      </w:r>
      <w:r>
        <w:t>Это мероприятие также способствовало началу концептуальной проработки новой политики ВОИС и возможного пересмотра роли координаторов.</w:t>
      </w:r>
      <w:r w:rsidR="008A4DD7">
        <w:t xml:space="preserve"> </w:t>
      </w:r>
      <w:r>
        <w:t>На ежемесячной основе продолжались мероприятия по созданию потенциала, в ходе которых основное внимание уделялось обмену передовым опытом между координаторами.</w:t>
      </w:r>
      <w:r w:rsidR="008A4DD7">
        <w:t xml:space="preserve"> </w:t>
      </w:r>
      <w:r>
        <w:t>Ожидается, что эта работа позволит углубить и расширить охват инициатив по учету гендерной проблематики в среднесрочной перспективе.</w:t>
      </w:r>
    </w:p>
    <w:p w14:paraId="49E5E553" w14:textId="77777777" w:rsidR="007C411A" w:rsidRPr="0006645A" w:rsidRDefault="007C411A" w:rsidP="00703C35">
      <w:pPr>
        <w:contextualSpacing/>
        <w:rPr>
          <w:szCs w:val="22"/>
        </w:rPr>
      </w:pPr>
    </w:p>
    <w:p w14:paraId="71E746B8" w14:textId="73CF26D5" w:rsidR="00703C35" w:rsidRPr="0006645A" w:rsidRDefault="00703C35">
      <w:pPr>
        <w:rPr>
          <w:i/>
          <w:szCs w:val="22"/>
        </w:rPr>
      </w:pPr>
    </w:p>
    <w:p w14:paraId="514B371B" w14:textId="1D97E471" w:rsidR="007C411A" w:rsidRPr="0006645A" w:rsidRDefault="007C411A" w:rsidP="00A50669">
      <w:pPr>
        <w:pStyle w:val="Heading3"/>
      </w:pPr>
      <w:r>
        <w:t>Гендерный баланс</w:t>
      </w:r>
    </w:p>
    <w:p w14:paraId="4D8DE1EC" w14:textId="77777777" w:rsidR="007C411A" w:rsidRPr="0006645A" w:rsidRDefault="007C411A" w:rsidP="00703C35">
      <w:pPr>
        <w:contextualSpacing/>
        <w:rPr>
          <w:szCs w:val="22"/>
        </w:rPr>
      </w:pPr>
    </w:p>
    <w:p w14:paraId="738E846B" w14:textId="68B5279E" w:rsidR="000D0455" w:rsidRDefault="00EF4127" w:rsidP="00C3517A">
      <w:pPr>
        <w:numPr>
          <w:ilvl w:val="0"/>
          <w:numId w:val="4"/>
        </w:numPr>
        <w:ind w:left="0" w:firstLine="0"/>
        <w:contextualSpacing/>
        <w:rPr>
          <w:szCs w:val="22"/>
        </w:rPr>
      </w:pPr>
      <w:r>
        <w:t>На двухлетний период 2020–2021 г</w:t>
      </w:r>
      <w:r w:rsidR="00343E5E">
        <w:t>г</w:t>
      </w:r>
      <w:r>
        <w:t>. государства — члены ВОИС утвердили следующие целевые показатели в области гендерного равенства для должностей категорий Д-2, Д-1, С-5 и С-4:</w:t>
      </w:r>
    </w:p>
    <w:p w14:paraId="773522FD" w14:textId="54BFEAB3" w:rsidR="00E25405" w:rsidRDefault="00E25405" w:rsidP="00E25405">
      <w:pPr>
        <w:contextualSpacing/>
        <w:rPr>
          <w:szCs w:val="22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  <w:tblDescription w:val="На двухлетний период 2020–2021 гг. государства — члены ВОИС утвердили следующие целевые показатели в области гендерного равенства для должностей категорий Д-2, Д-1, С-5 и С-4:  24%, 37%, 43% и 50% соответственно.&#10;&#10;"/>
      </w:tblPr>
      <w:tblGrid>
        <w:gridCol w:w="1347"/>
        <w:gridCol w:w="1453"/>
      </w:tblGrid>
      <w:tr w:rsidR="00E25405" w14:paraId="0A174E78" w14:textId="77777777" w:rsidTr="00E25405">
        <w:trPr>
          <w:tblHeader/>
        </w:trPr>
        <w:tc>
          <w:tcPr>
            <w:tcW w:w="1347" w:type="dxa"/>
          </w:tcPr>
          <w:p w14:paraId="3EBD4B7A" w14:textId="5E725A33" w:rsidR="00E25405" w:rsidRPr="00E25405" w:rsidRDefault="00E25405" w:rsidP="00E25405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347" w:type="dxa"/>
          </w:tcPr>
          <w:p w14:paraId="7F055192" w14:textId="7B823C58" w:rsidR="00E25405" w:rsidRPr="00E25405" w:rsidRDefault="00E25405" w:rsidP="00E25405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Целевой показатель</w:t>
            </w:r>
          </w:p>
        </w:tc>
      </w:tr>
      <w:tr w:rsidR="00E25405" w14:paraId="094DF734" w14:textId="77777777" w:rsidTr="00E25405">
        <w:tc>
          <w:tcPr>
            <w:tcW w:w="1347" w:type="dxa"/>
          </w:tcPr>
          <w:p w14:paraId="3B2A11F5" w14:textId="514D185C" w:rsidR="00E25405" w:rsidRDefault="00E25405" w:rsidP="00E25405">
            <w:pPr>
              <w:contextualSpacing/>
              <w:jc w:val="center"/>
            </w:pPr>
            <w:r>
              <w:t>Д-2</w:t>
            </w:r>
          </w:p>
        </w:tc>
        <w:tc>
          <w:tcPr>
            <w:tcW w:w="1347" w:type="dxa"/>
          </w:tcPr>
          <w:p w14:paraId="57FFBEF7" w14:textId="2ADCB1BA" w:rsidR="00E25405" w:rsidRDefault="00E25405" w:rsidP="00E25405">
            <w:pPr>
              <w:contextualSpacing/>
              <w:jc w:val="center"/>
            </w:pPr>
            <w:r>
              <w:t>24%</w:t>
            </w:r>
          </w:p>
        </w:tc>
      </w:tr>
      <w:tr w:rsidR="00E25405" w14:paraId="27ECD294" w14:textId="77777777" w:rsidTr="00E25405">
        <w:tc>
          <w:tcPr>
            <w:tcW w:w="1347" w:type="dxa"/>
          </w:tcPr>
          <w:p w14:paraId="0F1147D5" w14:textId="125C3A39" w:rsidR="00E25405" w:rsidRDefault="00E25405" w:rsidP="00E25405">
            <w:pPr>
              <w:contextualSpacing/>
              <w:jc w:val="center"/>
            </w:pPr>
            <w:r>
              <w:t>Д-1</w:t>
            </w:r>
          </w:p>
        </w:tc>
        <w:tc>
          <w:tcPr>
            <w:tcW w:w="1347" w:type="dxa"/>
          </w:tcPr>
          <w:p w14:paraId="24FD63DD" w14:textId="5B74EA46" w:rsidR="00E25405" w:rsidRDefault="00E25405" w:rsidP="00E25405">
            <w:pPr>
              <w:contextualSpacing/>
              <w:jc w:val="center"/>
            </w:pPr>
            <w:r>
              <w:t>37%</w:t>
            </w:r>
          </w:p>
        </w:tc>
      </w:tr>
      <w:tr w:rsidR="00E25405" w14:paraId="676B89F8" w14:textId="77777777" w:rsidTr="00E25405">
        <w:tc>
          <w:tcPr>
            <w:tcW w:w="1347" w:type="dxa"/>
          </w:tcPr>
          <w:p w14:paraId="43574192" w14:textId="5C961BD0" w:rsidR="00E25405" w:rsidRDefault="00E25405" w:rsidP="00E25405">
            <w:pPr>
              <w:contextualSpacing/>
              <w:jc w:val="center"/>
            </w:pPr>
            <w:r>
              <w:t>С-5</w:t>
            </w:r>
          </w:p>
        </w:tc>
        <w:tc>
          <w:tcPr>
            <w:tcW w:w="1347" w:type="dxa"/>
          </w:tcPr>
          <w:p w14:paraId="057B54A9" w14:textId="750C6FE8" w:rsidR="00E25405" w:rsidRDefault="00E25405" w:rsidP="00E25405">
            <w:pPr>
              <w:contextualSpacing/>
              <w:jc w:val="center"/>
            </w:pPr>
            <w:r>
              <w:t>43%</w:t>
            </w:r>
          </w:p>
        </w:tc>
      </w:tr>
      <w:tr w:rsidR="00E25405" w14:paraId="21FE6786" w14:textId="77777777" w:rsidTr="00E25405">
        <w:tc>
          <w:tcPr>
            <w:tcW w:w="1347" w:type="dxa"/>
          </w:tcPr>
          <w:p w14:paraId="2398E03D" w14:textId="4D6DA6E1" w:rsidR="00E25405" w:rsidRDefault="00E25405" w:rsidP="00E25405">
            <w:pPr>
              <w:contextualSpacing/>
              <w:jc w:val="center"/>
            </w:pPr>
            <w:r>
              <w:t>С-4</w:t>
            </w:r>
          </w:p>
        </w:tc>
        <w:tc>
          <w:tcPr>
            <w:tcW w:w="1347" w:type="dxa"/>
          </w:tcPr>
          <w:p w14:paraId="3ADF4247" w14:textId="0B100A82" w:rsidR="00E25405" w:rsidRDefault="00E25405" w:rsidP="00E25405">
            <w:pPr>
              <w:contextualSpacing/>
              <w:jc w:val="center"/>
            </w:pPr>
            <w:r>
              <w:t>50%</w:t>
            </w:r>
          </w:p>
        </w:tc>
      </w:tr>
    </w:tbl>
    <w:p w14:paraId="619BAE6A" w14:textId="77777777" w:rsidR="00E25405" w:rsidRDefault="00E25405" w:rsidP="00E25405">
      <w:pPr>
        <w:contextualSpacing/>
        <w:rPr>
          <w:szCs w:val="22"/>
        </w:rPr>
      </w:pPr>
    </w:p>
    <w:p w14:paraId="44ECDBB3" w14:textId="5733B081" w:rsidR="000D0455" w:rsidRDefault="009967C8" w:rsidP="00C3517A">
      <w:pPr>
        <w:pStyle w:val="ListParagraph"/>
        <w:numPr>
          <w:ilvl w:val="0"/>
          <w:numId w:val="4"/>
        </w:numPr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По состоянию на 30 июня 2020 г. женщины составляли 54,4 процента штатных сотрудников ВОИС</w:t>
      </w:r>
      <w:r w:rsidRPr="0006645A">
        <w:rPr>
          <w:rStyle w:val="FootnoteReference"/>
          <w:rFonts w:ascii="Arial" w:hAnsi="Arial" w:cs="Arial"/>
          <w:sz w:val="22"/>
          <w:szCs w:val="22"/>
        </w:rPr>
        <w:footnoteReference w:id="7"/>
      </w:r>
      <w:r>
        <w:rPr>
          <w:rFonts w:ascii="Arial" w:hAnsi="Arial"/>
          <w:sz w:val="22"/>
          <w:szCs w:val="22"/>
        </w:rPr>
        <w:t>.</w:t>
      </w:r>
      <w:r w:rsidR="008A4DD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Однако представленность женщин в разных категориях существенно различается, причем они наименее представлены на управленческих должностях:</w:t>
      </w:r>
      <w:r w:rsidR="008A4DD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женщины составляют 100 процентов в категории национальных сотрудников-специалистов, 63,2 процента в категории общего обслуживания, 49,3 процента в категории специалистов и 31,6 процента в категории директоров.</w:t>
      </w:r>
      <w:r w:rsidR="008A4DD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Есть и </w:t>
      </w:r>
      <w:r w:rsidR="00EA2B2F">
        <w:rPr>
          <w:rFonts w:ascii="Arial" w:hAnsi="Arial"/>
          <w:sz w:val="22"/>
          <w:szCs w:val="22"/>
        </w:rPr>
        <w:t>положительная</w:t>
      </w:r>
      <w:r>
        <w:rPr>
          <w:rFonts w:ascii="Arial" w:hAnsi="Arial"/>
          <w:sz w:val="22"/>
          <w:szCs w:val="22"/>
        </w:rPr>
        <w:t xml:space="preserve"> тенденция: как показывает приведенная ниже таблица, в некоторых классах доля женщин за последние два двухлетних периода</w:t>
      </w:r>
      <w:r w:rsidR="00EA2B2F" w:rsidRPr="00EA2B2F">
        <w:rPr>
          <w:rFonts w:ascii="Arial" w:hAnsi="Arial"/>
          <w:sz w:val="22"/>
          <w:szCs w:val="22"/>
        </w:rPr>
        <w:t xml:space="preserve"> </w:t>
      </w:r>
      <w:r w:rsidR="00EA2B2F">
        <w:rPr>
          <w:rFonts w:ascii="Arial" w:hAnsi="Arial"/>
          <w:sz w:val="22"/>
          <w:szCs w:val="22"/>
        </w:rPr>
        <w:t>увеличилась</w:t>
      </w:r>
      <w:r>
        <w:rPr>
          <w:rFonts w:ascii="Arial" w:hAnsi="Arial"/>
          <w:sz w:val="22"/>
          <w:szCs w:val="22"/>
        </w:rPr>
        <w:t>.</w:t>
      </w:r>
      <w:r w:rsidR="008A4DD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Например, в</w:t>
      </w:r>
      <w:r w:rsidR="00EA2B2F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категории С-4 целевой показатель, установленный на 2021 г., достигнут более, чем на год раньше срока.</w:t>
      </w:r>
      <w:r w:rsidR="008A4DD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 категории Д-1 также наблюдается стабильное улучшение, и на данный момент до достижения целевого показателя осталось два процентных пункта.</w:t>
      </w:r>
      <w:r w:rsidR="00EA2B2F">
        <w:rPr>
          <w:rFonts w:ascii="Arial" w:hAnsi="Arial"/>
          <w:sz w:val="22"/>
          <w:szCs w:val="22"/>
        </w:rPr>
        <w:t xml:space="preserve"> </w:t>
      </w:r>
    </w:p>
    <w:p w14:paraId="46AF24B4" w14:textId="7762B277" w:rsidR="00E04C15" w:rsidRDefault="00E04C15" w:rsidP="00E04C15">
      <w:pPr>
        <w:rPr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Таблица показывает, что в некоторых классах доля женщин за последние два двухлетних периода увеличилась. Например, в категории С-4 целевой показатель, установленный на 2021 г., достигнут более, чем на год раньше срока. В категории Д-1 также наблюдается стабильное улучшение, и на данный момент до достижения целевого показателя осталось два процентных пункта."/>
      </w:tblPr>
      <w:tblGrid>
        <w:gridCol w:w="1510"/>
        <w:gridCol w:w="1510"/>
        <w:gridCol w:w="1510"/>
        <w:gridCol w:w="1511"/>
        <w:gridCol w:w="1511"/>
        <w:gridCol w:w="1511"/>
      </w:tblGrid>
      <w:tr w:rsidR="00E04C15" w14:paraId="22580263" w14:textId="77777777" w:rsidTr="00E04C15">
        <w:trPr>
          <w:tblHeader/>
        </w:trPr>
        <w:tc>
          <w:tcPr>
            <w:tcW w:w="1510" w:type="dxa"/>
            <w:vAlign w:val="center"/>
          </w:tcPr>
          <w:p w14:paraId="7A271488" w14:textId="56F1DCC3" w:rsidR="00E04C15" w:rsidRDefault="00E04C15" w:rsidP="00E04C15">
            <w:pPr>
              <w:jc w:val="center"/>
            </w:pPr>
            <w:r>
              <w:rPr>
                <w:b/>
                <w:sz w:val="20"/>
              </w:rPr>
              <w:t>Класс</w:t>
            </w:r>
          </w:p>
        </w:tc>
        <w:tc>
          <w:tcPr>
            <w:tcW w:w="1510" w:type="dxa"/>
            <w:vAlign w:val="center"/>
          </w:tcPr>
          <w:p w14:paraId="484B9799" w14:textId="17AEFFA8" w:rsidR="00E04C15" w:rsidRDefault="00E04C15" w:rsidP="00E04C15">
            <w:pPr>
              <w:jc w:val="center"/>
            </w:pPr>
            <w:r>
              <w:rPr>
                <w:b/>
                <w:sz w:val="20"/>
              </w:rPr>
              <w:t>Ситуация по состоянию на 30 июня 2017 г.</w:t>
            </w:r>
          </w:p>
        </w:tc>
        <w:tc>
          <w:tcPr>
            <w:tcW w:w="1510" w:type="dxa"/>
            <w:vAlign w:val="center"/>
          </w:tcPr>
          <w:p w14:paraId="17039B88" w14:textId="2F928934" w:rsidR="00E04C15" w:rsidRDefault="00E04C15" w:rsidP="00E04C15">
            <w:pPr>
              <w:jc w:val="center"/>
            </w:pPr>
            <w:r>
              <w:rPr>
                <w:b/>
                <w:sz w:val="20"/>
              </w:rPr>
              <w:t>Ситуация по состоянию на 30 июня 2018 г.</w:t>
            </w:r>
          </w:p>
        </w:tc>
        <w:tc>
          <w:tcPr>
            <w:tcW w:w="1511" w:type="dxa"/>
            <w:vAlign w:val="center"/>
          </w:tcPr>
          <w:p w14:paraId="007266CF" w14:textId="72150CB0" w:rsidR="00E04C15" w:rsidRDefault="00E04C15" w:rsidP="00E04C15">
            <w:pPr>
              <w:jc w:val="center"/>
            </w:pPr>
            <w:r>
              <w:rPr>
                <w:b/>
                <w:sz w:val="20"/>
              </w:rPr>
              <w:t>Ситуация по состоянию на 30</w:t>
            </w:r>
            <w:r w:rsidR="00343E5E">
              <w:rPr>
                <w:b/>
                <w:sz w:val="20"/>
              </w:rPr>
              <w:t> </w:t>
            </w:r>
            <w:r>
              <w:rPr>
                <w:b/>
                <w:sz w:val="20"/>
              </w:rPr>
              <w:t>июня 2019 г.</w:t>
            </w:r>
          </w:p>
        </w:tc>
        <w:tc>
          <w:tcPr>
            <w:tcW w:w="1511" w:type="dxa"/>
            <w:vAlign w:val="center"/>
          </w:tcPr>
          <w:p w14:paraId="3FDEC1BB" w14:textId="00DB35ED" w:rsidR="00E04C15" w:rsidRDefault="00E04C15" w:rsidP="00E04C15">
            <w:pPr>
              <w:jc w:val="center"/>
            </w:pPr>
            <w:r>
              <w:rPr>
                <w:b/>
                <w:sz w:val="20"/>
              </w:rPr>
              <w:t>Ситуация по состоянию на 30</w:t>
            </w:r>
            <w:r w:rsidR="00343E5E">
              <w:rPr>
                <w:b/>
                <w:sz w:val="20"/>
              </w:rPr>
              <w:t> </w:t>
            </w:r>
            <w:r>
              <w:rPr>
                <w:b/>
                <w:sz w:val="20"/>
              </w:rPr>
              <w:t>июня 2020 г.</w:t>
            </w:r>
          </w:p>
        </w:tc>
        <w:tc>
          <w:tcPr>
            <w:tcW w:w="1511" w:type="dxa"/>
            <w:shd w:val="clear" w:color="auto" w:fill="BFBFBF" w:themeFill="background1" w:themeFillShade="BF"/>
            <w:vAlign w:val="center"/>
          </w:tcPr>
          <w:p w14:paraId="5FBAF50E" w14:textId="31952C8D" w:rsidR="00E04C15" w:rsidRDefault="00E04C15" w:rsidP="00E04C15">
            <w:pPr>
              <w:jc w:val="center"/>
            </w:pPr>
            <w:r>
              <w:rPr>
                <w:b/>
                <w:sz w:val="20"/>
              </w:rPr>
              <w:t>Целевые показатели на декабрь 2021 г.</w:t>
            </w:r>
          </w:p>
        </w:tc>
      </w:tr>
      <w:tr w:rsidR="00E04C15" w14:paraId="550B0135" w14:textId="77777777" w:rsidTr="00E04C15">
        <w:tc>
          <w:tcPr>
            <w:tcW w:w="1510" w:type="dxa"/>
          </w:tcPr>
          <w:p w14:paraId="256063D0" w14:textId="1EE6FDA7" w:rsidR="00E04C15" w:rsidRDefault="00E04C15" w:rsidP="00E04C15">
            <w:pPr>
              <w:jc w:val="center"/>
            </w:pPr>
            <w:r>
              <w:t>Д-2</w:t>
            </w:r>
          </w:p>
        </w:tc>
        <w:tc>
          <w:tcPr>
            <w:tcW w:w="1510" w:type="dxa"/>
          </w:tcPr>
          <w:p w14:paraId="7DE1DFDA" w14:textId="1E9DA41F" w:rsidR="00E04C15" w:rsidRDefault="00E04C15" w:rsidP="00E04C15">
            <w:pPr>
              <w:jc w:val="center"/>
            </w:pPr>
            <w:r>
              <w:t>18%</w:t>
            </w:r>
          </w:p>
        </w:tc>
        <w:tc>
          <w:tcPr>
            <w:tcW w:w="1510" w:type="dxa"/>
          </w:tcPr>
          <w:p w14:paraId="5D559E5D" w14:textId="20ADF26F" w:rsidR="00E04C15" w:rsidRDefault="00E04C15" w:rsidP="00E04C15">
            <w:pPr>
              <w:jc w:val="center"/>
            </w:pPr>
            <w:r>
              <w:t>16,7%</w:t>
            </w:r>
          </w:p>
        </w:tc>
        <w:tc>
          <w:tcPr>
            <w:tcW w:w="1511" w:type="dxa"/>
          </w:tcPr>
          <w:p w14:paraId="38A92C7A" w14:textId="4C3A5681" w:rsidR="00E04C15" w:rsidRDefault="00E04C15" w:rsidP="00E04C15">
            <w:pPr>
              <w:jc w:val="center"/>
            </w:pPr>
            <w:r>
              <w:t>15,4%</w:t>
            </w:r>
          </w:p>
        </w:tc>
        <w:tc>
          <w:tcPr>
            <w:tcW w:w="1511" w:type="dxa"/>
          </w:tcPr>
          <w:p w14:paraId="4D1C243A" w14:textId="751565F5" w:rsidR="00E04C15" w:rsidRDefault="00E04C15" w:rsidP="00E04C15">
            <w:pPr>
              <w:jc w:val="center"/>
            </w:pPr>
            <w:r>
              <w:t>15,4%</w:t>
            </w:r>
          </w:p>
        </w:tc>
        <w:tc>
          <w:tcPr>
            <w:tcW w:w="1511" w:type="dxa"/>
            <w:shd w:val="clear" w:color="auto" w:fill="BFBFBF" w:themeFill="background1" w:themeFillShade="BF"/>
          </w:tcPr>
          <w:p w14:paraId="4BA6B217" w14:textId="50F552B3" w:rsidR="00E04C15" w:rsidRDefault="00E04C15" w:rsidP="00E04C15">
            <w:pPr>
              <w:jc w:val="center"/>
            </w:pPr>
            <w:r>
              <w:t>24%</w:t>
            </w:r>
          </w:p>
        </w:tc>
      </w:tr>
      <w:tr w:rsidR="00E04C15" w14:paraId="6AD01934" w14:textId="77777777" w:rsidTr="00E04C15">
        <w:tc>
          <w:tcPr>
            <w:tcW w:w="1510" w:type="dxa"/>
          </w:tcPr>
          <w:p w14:paraId="223A3AD4" w14:textId="6E72900A" w:rsidR="00E04C15" w:rsidRDefault="00E04C15" w:rsidP="00E04C15">
            <w:pPr>
              <w:jc w:val="center"/>
            </w:pPr>
            <w:r>
              <w:t>Д-1</w:t>
            </w:r>
          </w:p>
        </w:tc>
        <w:tc>
          <w:tcPr>
            <w:tcW w:w="1510" w:type="dxa"/>
          </w:tcPr>
          <w:p w14:paraId="2EEF920F" w14:textId="3C0CC8DE" w:rsidR="00E04C15" w:rsidRDefault="00E04C15" w:rsidP="00E04C15">
            <w:pPr>
              <w:jc w:val="center"/>
            </w:pPr>
            <w:r>
              <w:t>31%</w:t>
            </w:r>
          </w:p>
        </w:tc>
        <w:tc>
          <w:tcPr>
            <w:tcW w:w="1510" w:type="dxa"/>
          </w:tcPr>
          <w:p w14:paraId="37C32862" w14:textId="5182C297" w:rsidR="00E04C15" w:rsidRDefault="00E04C15" w:rsidP="00E04C15">
            <w:pPr>
              <w:jc w:val="center"/>
            </w:pPr>
            <w:r>
              <w:t>34,6%</w:t>
            </w:r>
          </w:p>
        </w:tc>
        <w:tc>
          <w:tcPr>
            <w:tcW w:w="1511" w:type="dxa"/>
          </w:tcPr>
          <w:p w14:paraId="54F116C2" w14:textId="207001CF" w:rsidR="00E04C15" w:rsidRDefault="00E04C15" w:rsidP="00E04C15">
            <w:pPr>
              <w:jc w:val="center"/>
            </w:pPr>
            <w:r>
              <w:t>36,8%</w:t>
            </w:r>
          </w:p>
        </w:tc>
        <w:tc>
          <w:tcPr>
            <w:tcW w:w="1511" w:type="dxa"/>
          </w:tcPr>
          <w:p w14:paraId="4003048A" w14:textId="04022BB5" w:rsidR="00E04C15" w:rsidRDefault="00E04C15" w:rsidP="00E04C15">
            <w:pPr>
              <w:jc w:val="center"/>
            </w:pPr>
            <w:r>
              <w:t>34,9%</w:t>
            </w:r>
          </w:p>
        </w:tc>
        <w:tc>
          <w:tcPr>
            <w:tcW w:w="1511" w:type="dxa"/>
            <w:shd w:val="clear" w:color="auto" w:fill="BFBFBF" w:themeFill="background1" w:themeFillShade="BF"/>
          </w:tcPr>
          <w:p w14:paraId="4ED209D5" w14:textId="6253797F" w:rsidR="00E04C15" w:rsidRDefault="00E04C15" w:rsidP="00E04C15">
            <w:pPr>
              <w:jc w:val="center"/>
            </w:pPr>
            <w:r>
              <w:t>37%</w:t>
            </w:r>
          </w:p>
        </w:tc>
      </w:tr>
      <w:tr w:rsidR="00E04C15" w14:paraId="1933EA70" w14:textId="77777777" w:rsidTr="00E04C15">
        <w:tc>
          <w:tcPr>
            <w:tcW w:w="1510" w:type="dxa"/>
          </w:tcPr>
          <w:p w14:paraId="4C63BE26" w14:textId="3768E690" w:rsidR="00E04C15" w:rsidRDefault="00E04C15" w:rsidP="00E04C15">
            <w:pPr>
              <w:jc w:val="center"/>
            </w:pPr>
            <w:r>
              <w:t>С-5</w:t>
            </w:r>
          </w:p>
        </w:tc>
        <w:tc>
          <w:tcPr>
            <w:tcW w:w="1510" w:type="dxa"/>
          </w:tcPr>
          <w:p w14:paraId="2982A520" w14:textId="4E61EB98" w:rsidR="00E04C15" w:rsidRDefault="00E04C15" w:rsidP="00E04C15">
            <w:pPr>
              <w:jc w:val="center"/>
            </w:pPr>
            <w:r>
              <w:t>35%</w:t>
            </w:r>
          </w:p>
        </w:tc>
        <w:tc>
          <w:tcPr>
            <w:tcW w:w="1510" w:type="dxa"/>
          </w:tcPr>
          <w:p w14:paraId="140596FE" w14:textId="1D97F26C" w:rsidR="00E04C15" w:rsidRDefault="00E04C15" w:rsidP="00E04C15">
            <w:pPr>
              <w:jc w:val="center"/>
            </w:pPr>
            <w:r>
              <w:t>33,3%</w:t>
            </w:r>
          </w:p>
        </w:tc>
        <w:tc>
          <w:tcPr>
            <w:tcW w:w="1511" w:type="dxa"/>
          </w:tcPr>
          <w:p w14:paraId="357E43FF" w14:textId="693BE8A8" w:rsidR="00E04C15" w:rsidRDefault="00E04C15" w:rsidP="00E04C15">
            <w:pPr>
              <w:jc w:val="center"/>
            </w:pPr>
            <w:r>
              <w:t>32,4%</w:t>
            </w:r>
          </w:p>
        </w:tc>
        <w:tc>
          <w:tcPr>
            <w:tcW w:w="1511" w:type="dxa"/>
          </w:tcPr>
          <w:p w14:paraId="4803708B" w14:textId="3A59638D" w:rsidR="00E04C15" w:rsidRDefault="00E04C15" w:rsidP="00E04C15">
            <w:pPr>
              <w:jc w:val="center"/>
            </w:pPr>
            <w:r>
              <w:t>32,7%</w:t>
            </w:r>
          </w:p>
        </w:tc>
        <w:tc>
          <w:tcPr>
            <w:tcW w:w="1511" w:type="dxa"/>
            <w:shd w:val="clear" w:color="auto" w:fill="BFBFBF" w:themeFill="background1" w:themeFillShade="BF"/>
          </w:tcPr>
          <w:p w14:paraId="47015558" w14:textId="124CEEFE" w:rsidR="00E04C15" w:rsidRDefault="00E04C15" w:rsidP="00E04C15">
            <w:pPr>
              <w:jc w:val="center"/>
            </w:pPr>
            <w:r>
              <w:t>43%</w:t>
            </w:r>
          </w:p>
        </w:tc>
      </w:tr>
      <w:tr w:rsidR="00E04C15" w14:paraId="07D9F0C6" w14:textId="77777777" w:rsidTr="00E04C15">
        <w:tc>
          <w:tcPr>
            <w:tcW w:w="1510" w:type="dxa"/>
          </w:tcPr>
          <w:p w14:paraId="77B57984" w14:textId="2C7946CA" w:rsidR="00E04C15" w:rsidRDefault="00E04C15" w:rsidP="00E04C15">
            <w:pPr>
              <w:jc w:val="center"/>
            </w:pPr>
            <w:r>
              <w:t>С-4</w:t>
            </w:r>
          </w:p>
        </w:tc>
        <w:tc>
          <w:tcPr>
            <w:tcW w:w="1510" w:type="dxa"/>
          </w:tcPr>
          <w:p w14:paraId="0803AAF4" w14:textId="439D75EB" w:rsidR="00E04C15" w:rsidRDefault="00E04C15" w:rsidP="00E04C15">
            <w:pPr>
              <w:jc w:val="center"/>
            </w:pPr>
            <w:r>
              <w:t>45%</w:t>
            </w:r>
          </w:p>
        </w:tc>
        <w:tc>
          <w:tcPr>
            <w:tcW w:w="1510" w:type="dxa"/>
          </w:tcPr>
          <w:p w14:paraId="0FC1F8A2" w14:textId="0AC19D9A" w:rsidR="00E04C15" w:rsidRDefault="00E04C15" w:rsidP="00E04C15">
            <w:pPr>
              <w:jc w:val="center"/>
            </w:pPr>
            <w:r>
              <w:t>47,2%</w:t>
            </w:r>
          </w:p>
        </w:tc>
        <w:tc>
          <w:tcPr>
            <w:tcW w:w="1511" w:type="dxa"/>
          </w:tcPr>
          <w:p w14:paraId="1F6C15DA" w14:textId="40C7DFA2" w:rsidR="00E04C15" w:rsidRDefault="00E04C15" w:rsidP="00E04C15">
            <w:pPr>
              <w:jc w:val="center"/>
            </w:pPr>
            <w:r>
              <w:t>48,7%</w:t>
            </w:r>
          </w:p>
        </w:tc>
        <w:tc>
          <w:tcPr>
            <w:tcW w:w="1511" w:type="dxa"/>
          </w:tcPr>
          <w:p w14:paraId="108F0C1D" w14:textId="4EDB16A7" w:rsidR="00E04C15" w:rsidRDefault="00E04C15" w:rsidP="00E04C15">
            <w:pPr>
              <w:jc w:val="center"/>
            </w:pPr>
            <w:r>
              <w:t>50,0%</w:t>
            </w:r>
          </w:p>
        </w:tc>
        <w:tc>
          <w:tcPr>
            <w:tcW w:w="1511" w:type="dxa"/>
            <w:shd w:val="clear" w:color="auto" w:fill="BFBFBF" w:themeFill="background1" w:themeFillShade="BF"/>
          </w:tcPr>
          <w:p w14:paraId="5AD065B0" w14:textId="4600E57A" w:rsidR="00E04C15" w:rsidRDefault="00E04C15" w:rsidP="00E04C15">
            <w:pPr>
              <w:jc w:val="center"/>
            </w:pPr>
            <w:r>
              <w:t>50%</w:t>
            </w:r>
          </w:p>
        </w:tc>
      </w:tr>
    </w:tbl>
    <w:p w14:paraId="206582BB" w14:textId="061B9DF4" w:rsidR="00E04C15" w:rsidRDefault="00E04C15" w:rsidP="00E04C15">
      <w:pPr>
        <w:rPr>
          <w:szCs w:val="22"/>
        </w:rPr>
      </w:pPr>
    </w:p>
    <w:p w14:paraId="641DAACA" w14:textId="6767151F" w:rsidR="009967C8" w:rsidRPr="0006645A" w:rsidRDefault="009967C8" w:rsidP="00C3517A">
      <w:pPr>
        <w:pStyle w:val="ListParagraph"/>
        <w:numPr>
          <w:ilvl w:val="0"/>
          <w:numId w:val="4"/>
        </w:numPr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Деятельность ВОИС по обеспечению гендерного баланса среди сотрудников подкрепляется проведением адресной информационно-разъяснительной работы.</w:t>
      </w:r>
      <w:r w:rsidR="008A4DD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Наглядным показателем того, что такая работа действительно приносит свои плоды, является стабильный рост представленности женщин в конкретных группах должностей, например в сфере информационных технологий (ИТ), где за последние 12 месяцев число сотрудников женского пола возросло с 20,5 процента до 24 процентов и тенденция к росту</w:t>
      </w:r>
      <w:r w:rsidR="00EA2B2F" w:rsidRPr="00EA2B2F">
        <w:rPr>
          <w:rFonts w:ascii="Arial" w:hAnsi="Arial"/>
          <w:sz w:val="22"/>
          <w:szCs w:val="22"/>
        </w:rPr>
        <w:t xml:space="preserve"> </w:t>
      </w:r>
      <w:r w:rsidR="00EA2B2F">
        <w:rPr>
          <w:rFonts w:ascii="Arial" w:hAnsi="Arial"/>
          <w:sz w:val="22"/>
          <w:szCs w:val="22"/>
        </w:rPr>
        <w:t>сохраняется</w:t>
      </w:r>
      <w:r>
        <w:rPr>
          <w:rFonts w:ascii="Arial" w:hAnsi="Arial"/>
          <w:sz w:val="22"/>
          <w:szCs w:val="22"/>
        </w:rPr>
        <w:t>.</w:t>
      </w:r>
    </w:p>
    <w:p w14:paraId="612DF022" w14:textId="77777777" w:rsidR="009967C8" w:rsidRPr="0006645A" w:rsidRDefault="009967C8" w:rsidP="009967C8">
      <w:pPr>
        <w:contextualSpacing/>
        <w:rPr>
          <w:szCs w:val="22"/>
        </w:rPr>
      </w:pPr>
    </w:p>
    <w:p w14:paraId="74AD37A9" w14:textId="2921E960" w:rsidR="000D0455" w:rsidRPr="0006645A" w:rsidRDefault="009967C8" w:rsidP="00C3517A">
      <w:pPr>
        <w:numPr>
          <w:ilvl w:val="0"/>
          <w:numId w:val="4"/>
        </w:numPr>
        <w:ind w:left="0" w:firstLine="0"/>
        <w:contextualSpacing/>
        <w:rPr>
          <w:szCs w:val="22"/>
        </w:rPr>
      </w:pPr>
      <w:r>
        <w:t>В целях увеличения числа женщин, претендующих на руководящие должности (С-5 и выше), в 2019 г. был создан женский кадровый резерв, позволяющий потенциальным соискателям сообщать о своей заинтересованности в замещении должностей в ВОИС по конкретным направлениям специализации в случае отсутствия подходящих вакансий, соответствующих их профессиональной квалификации.</w:t>
      </w:r>
      <w:r w:rsidR="008A4DD7">
        <w:t xml:space="preserve"> </w:t>
      </w:r>
      <w:r>
        <w:t>Соискатели уведомляются об открытии подходящих вакансий, включая временные, а у</w:t>
      </w:r>
      <w:r w:rsidR="00343E5E">
        <w:t> </w:t>
      </w:r>
      <w:r>
        <w:t>ВОИС сохраняется возможность установления контакта с представляющими интерес кандидатами для взаимодействия в будущем.</w:t>
      </w:r>
    </w:p>
    <w:p w14:paraId="343D5711" w14:textId="77777777" w:rsidR="000D0455" w:rsidRPr="0006645A" w:rsidRDefault="000D0455" w:rsidP="00A50669">
      <w:pPr>
        <w:contextualSpacing/>
        <w:rPr>
          <w:szCs w:val="22"/>
        </w:rPr>
      </w:pPr>
    </w:p>
    <w:p w14:paraId="3041E6A4" w14:textId="23042B25" w:rsidR="000D0455" w:rsidRPr="0006645A" w:rsidRDefault="000D0455" w:rsidP="00A50669">
      <w:pPr>
        <w:pStyle w:val="Heading3"/>
      </w:pPr>
      <w:r>
        <w:t>Поддержка талантливых женщин</w:t>
      </w:r>
    </w:p>
    <w:p w14:paraId="6B39F5A5" w14:textId="77777777" w:rsidR="000D0455" w:rsidRPr="0006645A" w:rsidRDefault="000D0455" w:rsidP="000D0455">
      <w:pPr>
        <w:rPr>
          <w:i/>
          <w:szCs w:val="22"/>
        </w:rPr>
      </w:pPr>
    </w:p>
    <w:p w14:paraId="7DE4C2A6" w14:textId="378BBFA9" w:rsidR="009967C8" w:rsidRPr="00DD0EAF" w:rsidRDefault="009967C8" w:rsidP="00C3517A">
      <w:pPr>
        <w:numPr>
          <w:ilvl w:val="0"/>
          <w:numId w:val="4"/>
        </w:numPr>
        <w:ind w:left="0" w:firstLine="0"/>
        <w:contextualSpacing/>
        <w:rPr>
          <w:szCs w:val="22"/>
        </w:rPr>
      </w:pPr>
      <w:r>
        <w:t xml:space="preserve">ВОИС </w:t>
      </w:r>
      <w:r w:rsidR="009F644A">
        <w:t>продолжает активно участвовать в</w:t>
      </w:r>
      <w:r>
        <w:t xml:space="preserve"> программ</w:t>
      </w:r>
      <w:r w:rsidR="009F644A">
        <w:t>е</w:t>
      </w:r>
      <w:r>
        <w:t xml:space="preserve"> EMERGE, совместно разработанной учреждениями ООН и реализуемой уже четвертый год.</w:t>
      </w:r>
      <w:r w:rsidR="008A4DD7">
        <w:t xml:space="preserve"> </w:t>
      </w:r>
      <w:r>
        <w:t xml:space="preserve">Данная программа продолжительностью девять месяцев готовит </w:t>
      </w:r>
      <w:r w:rsidR="009F644A">
        <w:t>сотрудниц</w:t>
      </w:r>
      <w:r>
        <w:t xml:space="preserve"> класса С-3 к возможному выполнению лидерских функций в будущем.</w:t>
      </w:r>
      <w:r w:rsidR="008A4DD7">
        <w:t xml:space="preserve"> </w:t>
      </w:r>
      <w:r>
        <w:t>Новый цикл начался в</w:t>
      </w:r>
      <w:r w:rsidR="00343E5E">
        <w:t> </w:t>
      </w:r>
      <w:r>
        <w:t>октябре 2019 г.</w:t>
      </w:r>
      <w:r w:rsidR="008A4DD7">
        <w:t xml:space="preserve"> </w:t>
      </w:r>
      <w:r>
        <w:t>В общей сложности за период после запуска программы подготовку прошли 10 сотрудниц ВОИС.</w:t>
      </w:r>
    </w:p>
    <w:p w14:paraId="444B2374" w14:textId="77777777" w:rsidR="00DD0EAF" w:rsidRPr="0006645A" w:rsidRDefault="00DD0EAF" w:rsidP="00DD0EAF">
      <w:pPr>
        <w:contextualSpacing/>
        <w:rPr>
          <w:szCs w:val="22"/>
        </w:rPr>
      </w:pPr>
    </w:p>
    <w:p w14:paraId="79FA7CF2" w14:textId="7F71FE7B" w:rsidR="000D0455" w:rsidRPr="0006645A" w:rsidRDefault="009967C8" w:rsidP="00C3517A">
      <w:pPr>
        <w:numPr>
          <w:ilvl w:val="0"/>
          <w:numId w:val="4"/>
        </w:numPr>
        <w:ind w:left="0" w:firstLine="0"/>
        <w:contextualSpacing/>
        <w:rPr>
          <w:szCs w:val="22"/>
        </w:rPr>
      </w:pPr>
      <w:r>
        <w:t>Уже четвертый год реализуется программа I-seize, направленная на содействие профессиональному и карьерному росту женщин, занимающих должности классов С-3, С-4 и С-5, и мужчин из категории общего обслуживания.</w:t>
      </w:r>
      <w:r w:rsidR="008A4DD7">
        <w:t xml:space="preserve"> </w:t>
      </w:r>
      <w:r>
        <w:t>В 2019</w:t>
      </w:r>
      <w:r w:rsidR="00343E5E">
        <w:t> </w:t>
      </w:r>
      <w:r>
        <w:t>г. пять штатных сотрудников (четыре женщины и один мужчина) были отобраны для участия в</w:t>
      </w:r>
      <w:r w:rsidR="00343E5E">
        <w:t> </w:t>
      </w:r>
      <w:r>
        <w:t>годичной программе, которая включает индивидуальные занятия с инструктором и</w:t>
      </w:r>
      <w:r w:rsidR="00343E5E">
        <w:t> </w:t>
      </w:r>
      <w:r>
        <w:t>наставником, групповые встречи, оценки и упражнения, а также возможност</w:t>
      </w:r>
      <w:r w:rsidR="009F644A">
        <w:t>и</w:t>
      </w:r>
      <w:r>
        <w:t xml:space="preserve"> для </w:t>
      </w:r>
      <w:r w:rsidR="009F644A">
        <w:t xml:space="preserve">индивидуального </w:t>
      </w:r>
      <w:r>
        <w:t>обучения.</w:t>
      </w:r>
      <w:r w:rsidR="008A4DD7">
        <w:t xml:space="preserve"> </w:t>
      </w:r>
      <w:r>
        <w:t>Поскольку были получены положительные результаты, в</w:t>
      </w:r>
      <w:r w:rsidR="009F644A">
        <w:t> </w:t>
      </w:r>
      <w:r>
        <w:t>настоящее время программа дорабатывается с целью увеличения числа участников.</w:t>
      </w:r>
    </w:p>
    <w:p w14:paraId="19984089" w14:textId="77777777" w:rsidR="000D0455" w:rsidRPr="0006645A" w:rsidRDefault="000D0455" w:rsidP="000D0455">
      <w:pPr>
        <w:contextualSpacing/>
        <w:rPr>
          <w:szCs w:val="22"/>
        </w:rPr>
      </w:pPr>
    </w:p>
    <w:p w14:paraId="00F07B8D" w14:textId="77777777" w:rsidR="000D0455" w:rsidRPr="0006645A" w:rsidRDefault="000D0455" w:rsidP="00A50669">
      <w:pPr>
        <w:pStyle w:val="Heading3"/>
      </w:pPr>
      <w:r>
        <w:t xml:space="preserve">Интеграция гендерной проблематики в программную деятельность </w:t>
      </w:r>
    </w:p>
    <w:p w14:paraId="24C0710B" w14:textId="77777777" w:rsidR="000D0455" w:rsidRPr="0006645A" w:rsidRDefault="000D0455" w:rsidP="000D0455">
      <w:pPr>
        <w:rPr>
          <w:i/>
          <w:szCs w:val="22"/>
        </w:rPr>
      </w:pPr>
    </w:p>
    <w:p w14:paraId="3019D99E" w14:textId="439FA29F" w:rsidR="009967C8" w:rsidRPr="0006645A" w:rsidRDefault="009967C8" w:rsidP="00C3517A">
      <w:pPr>
        <w:numPr>
          <w:ilvl w:val="0"/>
          <w:numId w:val="4"/>
        </w:numPr>
        <w:ind w:left="0" w:firstLine="0"/>
        <w:contextualSpacing/>
        <w:rPr>
          <w:szCs w:val="22"/>
        </w:rPr>
      </w:pPr>
      <w:r>
        <w:t>В ходе Ассамблей 2019 г. ВОИС организовала тематическую дискуссию по вопросам гендерного равенства и авторских прав на тему «Расширение прав и</w:t>
      </w:r>
      <w:r w:rsidR="00343E5E">
        <w:t> </w:t>
      </w:r>
      <w:r>
        <w:t>возможностей женщины в издательском секторе».</w:t>
      </w:r>
      <w:r w:rsidR="008A4DD7">
        <w:t xml:space="preserve"> </w:t>
      </w:r>
      <w:r>
        <w:t>В ходе мероприятия рассматривалось влияние гендерного равенства на редакционную и коммерческую политику, а также на образовательные стратегии.</w:t>
      </w:r>
      <w:r w:rsidR="008A4DD7">
        <w:t xml:space="preserve"> </w:t>
      </w:r>
      <w:r>
        <w:t>Представители авторских и</w:t>
      </w:r>
      <w:r w:rsidR="00343E5E">
        <w:t> </w:t>
      </w:r>
      <w:r>
        <w:t>издательских ассоциаций обменялись данными о представительстве женщин в</w:t>
      </w:r>
      <w:r w:rsidR="00343E5E">
        <w:t> </w:t>
      </w:r>
      <w:r>
        <w:t>отрасли и обсудили тенденции, сохраняющиеся пробелы и области, требующие дальнейшего внимания.</w:t>
      </w:r>
    </w:p>
    <w:p w14:paraId="6ABE5198" w14:textId="77777777" w:rsidR="009967C8" w:rsidRPr="0006645A" w:rsidRDefault="009967C8" w:rsidP="009967C8">
      <w:pPr>
        <w:contextualSpacing/>
        <w:rPr>
          <w:szCs w:val="22"/>
        </w:rPr>
      </w:pPr>
    </w:p>
    <w:p w14:paraId="224D3433" w14:textId="64FBFE0A" w:rsidR="009967C8" w:rsidRPr="0006645A" w:rsidRDefault="009967C8" w:rsidP="00C3517A">
      <w:pPr>
        <w:numPr>
          <w:ilvl w:val="0"/>
          <w:numId w:val="4"/>
        </w:numPr>
        <w:ind w:left="0" w:firstLine="0"/>
        <w:contextualSpacing/>
        <w:rPr>
          <w:szCs w:val="22"/>
        </w:rPr>
      </w:pPr>
      <w:r>
        <w:t>ВОИС также организовала высокоинтерактивный однодневный семинар для делегатов по вопросам разнообразия, инклюзивности и преодоления бессознательных предрассудков.</w:t>
      </w:r>
      <w:r w:rsidR="008A4DD7">
        <w:t xml:space="preserve"> </w:t>
      </w:r>
      <w:r>
        <w:t>Цель семинара заключалась в том, чтобы сформировать понимание того, как разнообразие влияет на творчество, инновации, производительность и</w:t>
      </w:r>
      <w:r w:rsidR="00343E5E">
        <w:t> </w:t>
      </w:r>
      <w:r>
        <w:t>глобальные ценности, а также оказать поддержку лидерам в обеспечении инклюзивного руководства путем изучения адаптационных стратегий, связанных с</w:t>
      </w:r>
      <w:r w:rsidR="00343E5E">
        <w:t> </w:t>
      </w:r>
      <w:r>
        <w:t>культурой и смягчением последствий предвзятости.</w:t>
      </w:r>
      <w:r w:rsidR="008A4DD7">
        <w:t xml:space="preserve"> </w:t>
      </w:r>
      <w:r>
        <w:t>На семинаре было проведено практическое моделирование и индивидуальная оценка с акцентом на личностные стратегии лидерства, инклюзивное поведение и обусловленные культурой стили общения.</w:t>
      </w:r>
    </w:p>
    <w:p w14:paraId="06D8454C" w14:textId="77777777" w:rsidR="009967C8" w:rsidRPr="0006645A" w:rsidRDefault="009967C8" w:rsidP="009967C8">
      <w:pPr>
        <w:contextualSpacing/>
        <w:rPr>
          <w:szCs w:val="22"/>
        </w:rPr>
      </w:pPr>
    </w:p>
    <w:p w14:paraId="31E73400" w14:textId="1E30019D" w:rsidR="009967C8" w:rsidRPr="0006645A" w:rsidRDefault="009967C8" w:rsidP="00C3517A">
      <w:pPr>
        <w:numPr>
          <w:ilvl w:val="0"/>
          <w:numId w:val="4"/>
        </w:numPr>
        <w:ind w:left="0" w:firstLine="0"/>
        <w:contextualSpacing/>
        <w:rPr>
          <w:szCs w:val="22"/>
        </w:rPr>
      </w:pPr>
      <w:r>
        <w:t>После того, как в 2018 г. Комитет по развитию и интеллектуальной собственности принял решение «Женщины и ИС», ВОИС начала реализацию четырехлетнего проекта, направленного на расширение осведомленности о системе ИС, углубление знаний о ней и ее более активное использование.</w:t>
      </w:r>
      <w:r w:rsidR="008A4DD7">
        <w:t xml:space="preserve"> </w:t>
      </w:r>
      <w:r>
        <w:t>В ходе первого этапа проекта были проведены исследования на глобальном и страновом уровнях, посвященные детерминантам низкой представленности женщин в системе ИС и передовым методам смягчения последствий их воздействия; при этом были выявлены сохраняющиеся пробелы в доступности данных, препятствующие разработке политики на глобальном и местном уровнях.</w:t>
      </w:r>
    </w:p>
    <w:p w14:paraId="0DC2B11B" w14:textId="77777777" w:rsidR="009967C8" w:rsidRPr="0006645A" w:rsidRDefault="009967C8" w:rsidP="009967C8">
      <w:pPr>
        <w:contextualSpacing/>
        <w:rPr>
          <w:szCs w:val="22"/>
        </w:rPr>
      </w:pPr>
    </w:p>
    <w:p w14:paraId="011108C4" w14:textId="399299E4" w:rsidR="009967C8" w:rsidRPr="0006645A" w:rsidRDefault="009967C8" w:rsidP="00C3517A">
      <w:pPr>
        <w:numPr>
          <w:ilvl w:val="0"/>
          <w:numId w:val="4"/>
        </w:numPr>
        <w:ind w:left="0" w:firstLine="0"/>
        <w:contextualSpacing/>
        <w:rPr>
          <w:szCs w:val="22"/>
        </w:rPr>
      </w:pPr>
      <w:r>
        <w:t>Кроме того, ВОИС продолжала работать с ведомствами ИС во всех регионах в</w:t>
      </w:r>
      <w:r w:rsidR="00343E5E">
        <w:t> </w:t>
      </w:r>
      <w:r>
        <w:t>целях более эффективного предоставления женщинам-изобретателям гендерно-ориентированных услуг в области ИС (в плане доступа, регистрации и последующих действий) и повышения осведомленности об инклюзивных практиках ИС, таких как управление, разработка политики и предоставление услуг.</w:t>
      </w:r>
      <w:r w:rsidR="008A4DD7">
        <w:t xml:space="preserve"> </w:t>
      </w:r>
      <w:r>
        <w:t>Например, в Латинской Америке заинтересованные стороны работают совместно над методами сбора данных в области ИС с учетом гендерных аспектов.</w:t>
      </w:r>
    </w:p>
    <w:p w14:paraId="058A0446" w14:textId="77777777" w:rsidR="009967C8" w:rsidRPr="0006645A" w:rsidRDefault="009967C8" w:rsidP="009967C8">
      <w:pPr>
        <w:pStyle w:val="ListParagraph"/>
        <w:rPr>
          <w:rFonts w:ascii="Arial" w:hAnsi="Arial" w:cs="Arial"/>
          <w:sz w:val="22"/>
          <w:szCs w:val="22"/>
        </w:rPr>
      </w:pPr>
    </w:p>
    <w:p w14:paraId="0C30CFC6" w14:textId="428EBE23" w:rsidR="000D0455" w:rsidRPr="0006645A" w:rsidRDefault="009967C8" w:rsidP="00C3517A">
      <w:pPr>
        <w:numPr>
          <w:ilvl w:val="0"/>
          <w:numId w:val="4"/>
        </w:numPr>
        <w:ind w:left="0" w:firstLine="0"/>
        <w:contextualSpacing/>
        <w:rPr>
          <w:szCs w:val="22"/>
        </w:rPr>
      </w:pPr>
      <w:r>
        <w:t>Кроме того, ВОИС занималась организацией обучения и наставничества для женщин-предпринимателей, принадлежащих к коренным народам и местным общинам, по вопросам ИС и традиционных знаний, а также форм культурного самовыражения, включая биоразнообразие.</w:t>
      </w:r>
      <w:r w:rsidR="008A4DD7">
        <w:t xml:space="preserve"> </w:t>
      </w:r>
      <w:r>
        <w:t>В 2019 г. подготовку прошли двадцать четыре женщины-изобретателя.</w:t>
      </w:r>
    </w:p>
    <w:p w14:paraId="5A727F54" w14:textId="77777777" w:rsidR="00202584" w:rsidRDefault="00202584" w:rsidP="00202584"/>
    <w:p w14:paraId="70C2996A" w14:textId="7AB3AFF7" w:rsidR="00260CB2" w:rsidRPr="0006645A" w:rsidRDefault="00260CB2" w:rsidP="002A567B">
      <w:pPr>
        <w:pStyle w:val="Heading2"/>
      </w:pPr>
      <w:r>
        <w:t>ДОКЛАД КОМИССИИ ПО МЕЖДУНАРОДНОЙ ГРАЖДАНСКОЙ СЛУЖБЕ (КМГС)</w:t>
      </w:r>
    </w:p>
    <w:p w14:paraId="7484760F" w14:textId="77777777" w:rsidR="00260CB2" w:rsidRPr="0006645A" w:rsidRDefault="00260CB2" w:rsidP="00703C35">
      <w:pPr>
        <w:pStyle w:val="ListParagraph"/>
        <w:ind w:left="567"/>
        <w:rPr>
          <w:rFonts w:ascii="Arial" w:hAnsi="Arial" w:cs="Arial"/>
          <w:sz w:val="22"/>
          <w:szCs w:val="22"/>
        </w:rPr>
      </w:pPr>
    </w:p>
    <w:p w14:paraId="18B215B6" w14:textId="0A3E59AE" w:rsidR="00260F8F" w:rsidRPr="00DD0EAF" w:rsidRDefault="009967C8" w:rsidP="00C3517A">
      <w:pPr>
        <w:pStyle w:val="ListParagraph"/>
        <w:numPr>
          <w:ilvl w:val="0"/>
          <w:numId w:val="4"/>
        </w:numPr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Статья 17 Устава Комиссии по международной гражданской службе (КМГС) гласит, что «Комиссия направляет годовой отчет Генеральной Ассамблее [ООН], включая информацию о ходе реализации ее решений и рекомендаций.</w:t>
      </w:r>
      <w:r w:rsidR="008A4DD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Отчет пересылается руководящим органам других организаций через их исполнительных руководителей [...]».</w:t>
      </w:r>
      <w:r w:rsidR="008A4DD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 этой связи Генеральный директор обращает внимание Координационного комитета ВОИС на отчет КМГС за 2019</w:t>
      </w:r>
      <w:r w:rsidR="00343E5E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г. (документ ООН A/74/30)</w:t>
      </w:r>
      <w:r w:rsidR="00F655A6" w:rsidRPr="0006645A">
        <w:rPr>
          <w:rStyle w:val="FootnoteReference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/>
          <w:sz w:val="22"/>
          <w:szCs w:val="22"/>
        </w:rPr>
        <w:t>.</w:t>
      </w:r>
    </w:p>
    <w:p w14:paraId="265DDD83" w14:textId="77777777" w:rsidR="00DD0EAF" w:rsidRPr="0006645A" w:rsidRDefault="00DD0EAF" w:rsidP="00DD0EAF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73062774" w14:textId="0FCA757C" w:rsidR="00260F8F" w:rsidRPr="0006645A" w:rsidRDefault="00260F8F" w:rsidP="002A567B">
      <w:pPr>
        <w:pStyle w:val="Heading2"/>
      </w:pPr>
      <w:r>
        <w:t>ОТЧЕТ ПРАВЛЕНИЯ ОБЪЕДИНЕННОГО ПЕНСИОННОГО ФОНДА ПЕРСОНАЛА ОРГАНИЗАЦИИ ОБЪЕДИНЕННЫХ НАЦИЙ (ПОПФПООН)</w:t>
      </w:r>
    </w:p>
    <w:p w14:paraId="4E247C43" w14:textId="77777777" w:rsidR="00260F8F" w:rsidRPr="0006645A" w:rsidRDefault="00260F8F" w:rsidP="00202584">
      <w:pPr>
        <w:pStyle w:val="ListParagraph"/>
        <w:keepNext/>
        <w:keepLines/>
        <w:ind w:left="567"/>
        <w:rPr>
          <w:rFonts w:ascii="Arial" w:hAnsi="Arial" w:cs="Arial"/>
          <w:sz w:val="22"/>
          <w:szCs w:val="22"/>
        </w:rPr>
      </w:pPr>
    </w:p>
    <w:p w14:paraId="0BEBA4A5" w14:textId="6E33AB4E" w:rsidR="00E76BAB" w:rsidRPr="0006645A" w:rsidRDefault="009967C8" w:rsidP="00C3517A">
      <w:pPr>
        <w:pStyle w:val="ListParagraph"/>
        <w:keepNext/>
        <w:keepLines/>
        <w:numPr>
          <w:ilvl w:val="0"/>
          <w:numId w:val="4"/>
        </w:numPr>
        <w:tabs>
          <w:tab w:val="left" w:pos="0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Статья</w:t>
      </w:r>
      <w:r w:rsidR="00343E5E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14(a) Положения об Объединенном пенсионном фонде персонала Организации Объединенных Наций (далее Фонд) предусматривает, что ПОПФПООН не реже раза в год представляет Генеральной Ассамблее ООН и организациям-членам «отчет о деятельности Фонда, включая его финансовые ведомости, и информирует каждую организацию-члена обо всех решениях, принимаемых Генеральной Ассамблеей по итогам рассмотрения отчета».</w:t>
      </w:r>
      <w:r w:rsidR="008A4DD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Отчет ПОПФПООН за 2019 г. был представлен Генеральной Ассамблее ООН на ее семьдесят четвертой сессии (документ ООН A/74/331)</w:t>
      </w:r>
      <w:r w:rsidR="00F655A6" w:rsidRPr="0006645A">
        <w:rPr>
          <w:rStyle w:val="FootnoteReference"/>
          <w:rFonts w:ascii="Arial" w:hAnsi="Arial" w:cs="Arial"/>
          <w:sz w:val="22"/>
          <w:szCs w:val="22"/>
        </w:rPr>
        <w:footnoteReference w:id="9"/>
      </w:r>
      <w:r>
        <w:rPr>
          <w:rFonts w:ascii="Arial" w:hAnsi="Arial"/>
          <w:sz w:val="22"/>
          <w:szCs w:val="22"/>
        </w:rPr>
        <w:t>. Международное бюро обращает внимание государств-членов на этот отчет .</w:t>
      </w:r>
    </w:p>
    <w:p w14:paraId="4CA16EF7" w14:textId="77777777" w:rsidR="00202584" w:rsidRDefault="00202584" w:rsidP="00202584"/>
    <w:p w14:paraId="649A28F2" w14:textId="41D19050" w:rsidR="00833315" w:rsidRPr="0006645A" w:rsidRDefault="00833315" w:rsidP="002A567B">
      <w:pPr>
        <w:pStyle w:val="Heading2"/>
        <w:rPr>
          <w:b/>
        </w:rPr>
      </w:pPr>
      <w:r>
        <w:t>НАГРАЖДЕНИЕ И ПООЩРЕНИЕ ЗАСЛУГ</w:t>
      </w:r>
    </w:p>
    <w:p w14:paraId="67138B65" w14:textId="6B401644" w:rsidR="00FF0B98" w:rsidRPr="0006645A" w:rsidRDefault="00FF0B98" w:rsidP="00703C35">
      <w:pPr>
        <w:rPr>
          <w:szCs w:val="22"/>
        </w:rPr>
      </w:pPr>
    </w:p>
    <w:p w14:paraId="5829A7D7" w14:textId="11DA6A58" w:rsidR="009967C8" w:rsidRPr="0006645A" w:rsidRDefault="009967C8" w:rsidP="00C3517A">
      <w:pPr>
        <w:pStyle w:val="Default"/>
        <w:numPr>
          <w:ilvl w:val="0"/>
          <w:numId w:val="4"/>
        </w:numPr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В соответствии с просьбой Координационного комитета ВОИС, сделанной на его ежегодной сессии в сентябре 2018 г., Секретариат представляет отчет об осуществлении Программы награждений и поощрения (ПНП) и об изменениях, введенных за период после того, как был представлен прошлый Годовой отчет о людских ресурсах.</w:t>
      </w:r>
      <w:r w:rsidR="008A4DD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В основе ПНП ВОИС лежит культура превосходной работы и признание вклада отдельных сотрудников и групп сотрудников в достижение </w:t>
      </w:r>
      <w:r w:rsidR="00E14C36">
        <w:rPr>
          <w:rFonts w:ascii="Arial" w:hAnsi="Arial"/>
          <w:sz w:val="22"/>
          <w:szCs w:val="22"/>
        </w:rPr>
        <w:t xml:space="preserve">Организацией </w:t>
      </w:r>
      <w:r>
        <w:rPr>
          <w:rFonts w:ascii="Arial" w:hAnsi="Arial"/>
          <w:sz w:val="22"/>
          <w:szCs w:val="22"/>
        </w:rPr>
        <w:t>результатов.</w:t>
      </w:r>
    </w:p>
    <w:p w14:paraId="5118D00D" w14:textId="77777777" w:rsidR="009967C8" w:rsidRPr="0006645A" w:rsidRDefault="009967C8" w:rsidP="009967C8">
      <w:pPr>
        <w:pStyle w:val="Default"/>
        <w:rPr>
          <w:rFonts w:ascii="Arial" w:hAnsi="Arial" w:cs="Arial"/>
          <w:sz w:val="22"/>
          <w:szCs w:val="22"/>
        </w:rPr>
      </w:pPr>
    </w:p>
    <w:p w14:paraId="0AD3757E" w14:textId="14D9A3FA" w:rsidR="00691ACA" w:rsidRPr="0006645A" w:rsidRDefault="009967C8" w:rsidP="00C3517A">
      <w:pPr>
        <w:pStyle w:val="Default"/>
        <w:numPr>
          <w:ilvl w:val="0"/>
          <w:numId w:val="4"/>
        </w:numPr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Государства-члены согласовали выделение 1 152 000 шв. франков на ПНП в</w:t>
      </w:r>
      <w:r w:rsidR="00343E5E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течение двухлетнего периода 2020–2021 гг.</w:t>
      </w:r>
      <w:r w:rsidR="008A4DD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В ПНП 2020 гг. были внесены следующие изменения: </w:t>
      </w:r>
    </w:p>
    <w:p w14:paraId="7DE0750F" w14:textId="1493575A" w:rsidR="00691ACA" w:rsidRPr="0006645A" w:rsidRDefault="00691ACA" w:rsidP="00691ACA">
      <w:pPr>
        <w:pStyle w:val="Default"/>
        <w:rPr>
          <w:rFonts w:ascii="Arial" w:hAnsi="Arial" w:cs="Arial"/>
          <w:sz w:val="22"/>
          <w:szCs w:val="22"/>
        </w:rPr>
      </w:pPr>
    </w:p>
    <w:p w14:paraId="6D4F2801" w14:textId="4697142F" w:rsidR="00691ACA" w:rsidRPr="0006645A" w:rsidRDefault="00691ACA" w:rsidP="00C3517A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включение координаторов по гендерным вопросам в категорию «Особый вклад во внутреннее функционирование ВОИС»;</w:t>
      </w:r>
    </w:p>
    <w:p w14:paraId="10BEA846" w14:textId="74947F83" w:rsidR="00691ACA" w:rsidRDefault="00691ACA" w:rsidP="00C3517A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премия «За стремление к совершенству»: увеличение числа премий на каждый сектор (с одной на 50 сотрудников до одной на 15 сотрудников), а также уменьшение величины премии (с 7500 до 2000 шв. франков) и повышение гибкости в применении критериев присуждения премии; </w:t>
      </w:r>
    </w:p>
    <w:p w14:paraId="7D4A4D48" w14:textId="12060C61" w:rsidR="00691ACA" w:rsidRPr="00DD0EAF" w:rsidRDefault="00691ACA" w:rsidP="00FA783A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DD0EAF">
        <w:rPr>
          <w:rFonts w:ascii="Arial" w:hAnsi="Arial"/>
          <w:sz w:val="22"/>
          <w:szCs w:val="22"/>
        </w:rPr>
        <w:t>премия «За</w:t>
      </w:r>
      <w:r w:rsidR="00343E5E">
        <w:rPr>
          <w:rFonts w:ascii="Arial" w:hAnsi="Arial"/>
          <w:sz w:val="22"/>
          <w:szCs w:val="22"/>
        </w:rPr>
        <w:t> </w:t>
      </w:r>
      <w:r w:rsidRPr="00DD0EAF">
        <w:rPr>
          <w:rFonts w:ascii="Arial" w:hAnsi="Arial"/>
          <w:sz w:val="22"/>
          <w:szCs w:val="22"/>
        </w:rPr>
        <w:t>ответственную работу»: уменьшение размера премии (с 4000 до 2000 шв. франков) в связи с тем, что снижена величина премии «За</w:t>
      </w:r>
      <w:r w:rsidR="00343E5E">
        <w:rPr>
          <w:rFonts w:ascii="Arial" w:hAnsi="Arial"/>
          <w:sz w:val="22"/>
          <w:szCs w:val="22"/>
        </w:rPr>
        <w:t> </w:t>
      </w:r>
      <w:r w:rsidRPr="00DD0EAF">
        <w:rPr>
          <w:rFonts w:ascii="Arial" w:hAnsi="Arial"/>
          <w:sz w:val="22"/>
          <w:szCs w:val="22"/>
        </w:rPr>
        <w:t>стремление к совершенству»;</w:t>
      </w:r>
      <w:r w:rsidR="008A4DD7">
        <w:rPr>
          <w:rFonts w:ascii="Arial" w:hAnsi="Arial"/>
          <w:sz w:val="22"/>
          <w:szCs w:val="22"/>
        </w:rPr>
        <w:t xml:space="preserve"> </w:t>
      </w:r>
    </w:p>
    <w:p w14:paraId="5B16B515" w14:textId="4E790781" w:rsidR="00BE4E4A" w:rsidRPr="00BE4E4A" w:rsidRDefault="00BE4E4A" w:rsidP="00BE4E4A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повышение гибкости в применении критериев присуждения премии «За</w:t>
      </w:r>
      <w:r w:rsidR="00343E5E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создание будущего»;</w:t>
      </w:r>
    </w:p>
    <w:p w14:paraId="56AEDEC2" w14:textId="106B2ED7" w:rsidR="00C261D5" w:rsidRPr="0006645A" w:rsidRDefault="00C261D5" w:rsidP="00C3517A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премия «За</w:t>
      </w:r>
      <w:r w:rsidR="00343E5E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работу в команде»: увеличение числа премий (с пяти до</w:t>
      </w:r>
      <w:r w:rsidR="00343E5E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10); и</w:t>
      </w:r>
    </w:p>
    <w:p w14:paraId="2683CAC7" w14:textId="7D4E18F8" w:rsidR="00691ACA" w:rsidRPr="0006645A" w:rsidRDefault="00691ACA" w:rsidP="00C3517A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отмена премии «За</w:t>
      </w:r>
      <w:r w:rsidR="00343E5E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результативность работы» в соответствии с просьбой государств-членов.</w:t>
      </w:r>
    </w:p>
    <w:p w14:paraId="6EC320B1" w14:textId="0E4F4B42" w:rsidR="002A0933" w:rsidRPr="0006645A" w:rsidRDefault="002A0933" w:rsidP="00691ACA">
      <w:pPr>
        <w:pStyle w:val="Default"/>
        <w:rPr>
          <w:rFonts w:ascii="Arial" w:hAnsi="Arial" w:cs="Arial"/>
          <w:sz w:val="22"/>
          <w:szCs w:val="22"/>
          <w:highlight w:val="yellow"/>
        </w:rPr>
      </w:pPr>
    </w:p>
    <w:p w14:paraId="137D24D1" w14:textId="030CE181" w:rsidR="002A0933" w:rsidRPr="00662F3D" w:rsidRDefault="00691ACA" w:rsidP="00C3517A">
      <w:pPr>
        <w:pStyle w:val="Default"/>
        <w:numPr>
          <w:ilvl w:val="0"/>
          <w:numId w:val="4"/>
        </w:numPr>
        <w:ind w:left="0" w:firstLine="0"/>
        <w:rPr>
          <w:rFonts w:ascii="Arial" w:eastAsia="SimSun" w:hAnsi="Arial" w:cs="Arial"/>
          <w:bCs/>
          <w:sz w:val="22"/>
          <w:szCs w:val="22"/>
        </w:rPr>
      </w:pPr>
      <w:r>
        <w:rPr>
          <w:rFonts w:ascii="Arial" w:hAnsi="Arial"/>
          <w:sz w:val="22"/>
          <w:szCs w:val="22"/>
        </w:rPr>
        <w:t>По оценкам, в 2020 г. по линии ПНП в общей сложности будет выплачена сумма в размере 321 тыс. шв. франков, что составляет примерно 0,2 процента всех затрат ВОИС на оплату труда сотрудников (т. е. чистой суммы оплаты труда сотрудников категории специалистов, а также категории общего обслуживания и других связанных с ней категорий).</w:t>
      </w:r>
    </w:p>
    <w:p w14:paraId="45863664" w14:textId="77777777" w:rsidR="00202584" w:rsidRDefault="00202584" w:rsidP="00202584"/>
    <w:p w14:paraId="2424BFD2" w14:textId="3A6B681F" w:rsidR="004D49B3" w:rsidRPr="0006645A" w:rsidRDefault="004D49B3" w:rsidP="002A567B">
      <w:pPr>
        <w:pStyle w:val="Heading2"/>
      </w:pPr>
      <w:r>
        <w:t>ПРОДЛЕНИЕ ВРЕМЕННЫХ КОНТРАКТОВ</w:t>
      </w:r>
    </w:p>
    <w:p w14:paraId="30DFB20F" w14:textId="77777777" w:rsidR="004D49B3" w:rsidRPr="0006645A" w:rsidRDefault="004D49B3" w:rsidP="00703C35">
      <w:pPr>
        <w:pStyle w:val="ListParagraph"/>
        <w:ind w:left="567"/>
        <w:rPr>
          <w:rFonts w:ascii="Arial" w:hAnsi="Arial" w:cs="Arial"/>
          <w:sz w:val="22"/>
          <w:szCs w:val="22"/>
        </w:rPr>
      </w:pPr>
    </w:p>
    <w:p w14:paraId="10BEA9F7" w14:textId="5F995ABC" w:rsidR="004D49B3" w:rsidRPr="00DD0EAF" w:rsidRDefault="009967C8" w:rsidP="00FA783A">
      <w:pPr>
        <w:pStyle w:val="ListParagraph"/>
        <w:numPr>
          <w:ilvl w:val="0"/>
          <w:numId w:val="4"/>
        </w:numPr>
        <w:ind w:left="0" w:firstLine="0"/>
        <w:rPr>
          <w:rFonts w:ascii="Arial" w:hAnsi="Arial" w:cs="Arial"/>
          <w:sz w:val="22"/>
          <w:szCs w:val="22"/>
        </w:rPr>
      </w:pPr>
      <w:r w:rsidRPr="00DD0EAF">
        <w:rPr>
          <w:rFonts w:ascii="Arial" w:hAnsi="Arial"/>
          <w:sz w:val="22"/>
          <w:szCs w:val="22"/>
        </w:rPr>
        <w:t>На своей ежегодной сессии в сентябре 2018</w:t>
      </w:r>
      <w:r w:rsidR="00343E5E">
        <w:rPr>
          <w:rFonts w:ascii="Arial" w:hAnsi="Arial"/>
          <w:sz w:val="22"/>
          <w:szCs w:val="22"/>
        </w:rPr>
        <w:t> </w:t>
      </w:r>
      <w:r w:rsidRPr="00DD0EAF">
        <w:rPr>
          <w:rFonts w:ascii="Arial" w:hAnsi="Arial"/>
          <w:sz w:val="22"/>
          <w:szCs w:val="22"/>
        </w:rPr>
        <w:t>г. Координационный комитет ВОИС просил Секретариат систематически включать в его Годовой отчет о людских ресурсах подробные сведения о количестве временных контрактов, продлеваемых Генеральным директором по истечении их двухлетнего срока на основании положения о персонале ВОИС 4.16(a)</w:t>
      </w:r>
      <w:r w:rsidR="00836858" w:rsidRPr="0006645A">
        <w:rPr>
          <w:rStyle w:val="FootnoteReference"/>
          <w:rFonts w:ascii="Arial" w:hAnsi="Arial" w:cs="Arial"/>
          <w:sz w:val="22"/>
          <w:szCs w:val="22"/>
        </w:rPr>
        <w:footnoteReference w:id="10"/>
      </w:r>
      <w:r w:rsidRPr="00DD0EAF">
        <w:rPr>
          <w:rFonts w:ascii="Arial" w:hAnsi="Arial"/>
          <w:sz w:val="22"/>
          <w:szCs w:val="22"/>
        </w:rPr>
        <w:t>, с указанием оснований для применения этой исключительной меры. В</w:t>
      </w:r>
      <w:r w:rsidR="00DD0EAF">
        <w:rPr>
          <w:rFonts w:ascii="Arial" w:hAnsi="Arial"/>
          <w:sz w:val="22"/>
          <w:szCs w:val="22"/>
        </w:rPr>
        <w:t> </w:t>
      </w:r>
      <w:r w:rsidRPr="00DD0EAF">
        <w:rPr>
          <w:rFonts w:ascii="Arial" w:hAnsi="Arial"/>
          <w:sz w:val="22"/>
          <w:szCs w:val="22"/>
        </w:rPr>
        <w:t>течение отчетного периода, окончившегося 30 июня 2020 г., по истечении двухлетнего срока были продлены десять временных контрактов.</w:t>
      </w:r>
      <w:r w:rsidR="008A4DD7">
        <w:rPr>
          <w:rFonts w:ascii="Arial" w:hAnsi="Arial"/>
          <w:sz w:val="22"/>
          <w:szCs w:val="22"/>
        </w:rPr>
        <w:t xml:space="preserve"> </w:t>
      </w:r>
      <w:r w:rsidRPr="00DD0EAF">
        <w:rPr>
          <w:rFonts w:ascii="Arial" w:hAnsi="Arial"/>
          <w:sz w:val="22"/>
          <w:szCs w:val="22"/>
        </w:rPr>
        <w:t>У этих продлений, сделанных в качестве исключения, были следующие причины:</w:t>
      </w:r>
    </w:p>
    <w:p w14:paraId="4CCB1B53" w14:textId="77777777" w:rsidR="00BE4E4A" w:rsidRPr="0006645A" w:rsidRDefault="00BE4E4A" w:rsidP="00BE4E4A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19A70ED0" w14:textId="5C005FED" w:rsidR="009967C8" w:rsidRPr="0006645A" w:rsidRDefault="009967C8" w:rsidP="00C3517A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Пять временных контрактов должны были быть заменены срочными контрактами.</w:t>
      </w:r>
      <w:r w:rsidR="008A4DD7">
        <w:rPr>
          <w:rFonts w:ascii="Arial" w:hAnsi="Arial"/>
          <w:color w:val="000000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В связи с непредвиденными задержками набор сотрудников на должности, замещаемые на основе срочных контрактов, не удалось завершить до истечения срока временных контрактов сотрудников, которые занимали эти временные должности.</w:t>
      </w:r>
      <w:r w:rsidR="008A4DD7">
        <w:rPr>
          <w:rFonts w:ascii="Arial" w:hAnsi="Arial"/>
          <w:color w:val="000000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Временные контракты были продлены (на срок от одного до пяти месяцев), с тем чтобы завершить процесс отбора кандидатов на должности, замещаемые на основе срочных контрактов.</w:t>
      </w:r>
    </w:p>
    <w:p w14:paraId="38F00F6A" w14:textId="77777777" w:rsidR="009967C8" w:rsidRPr="0006645A" w:rsidRDefault="009967C8" w:rsidP="009967C8">
      <w:pPr>
        <w:autoSpaceDE w:val="0"/>
        <w:autoSpaceDN w:val="0"/>
        <w:adjustRightInd w:val="0"/>
        <w:rPr>
          <w:color w:val="000000"/>
          <w:szCs w:val="22"/>
        </w:rPr>
      </w:pPr>
    </w:p>
    <w:p w14:paraId="6C8C24C8" w14:textId="06F6454E" w:rsidR="009967C8" w:rsidRPr="0006645A" w:rsidRDefault="009967C8" w:rsidP="00C3517A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Два временных контракта были в порядке исключения продлены на один год в</w:t>
      </w:r>
      <w:r w:rsidR="00D420DB">
        <w:rPr>
          <w:rFonts w:ascii="Arial" w:hAnsi="Arial"/>
          <w:color w:val="000000"/>
          <w:sz w:val="22"/>
          <w:szCs w:val="22"/>
        </w:rPr>
        <w:t> </w:t>
      </w:r>
      <w:r>
        <w:rPr>
          <w:rFonts w:ascii="Arial" w:hAnsi="Arial"/>
          <w:color w:val="000000"/>
          <w:sz w:val="22"/>
          <w:szCs w:val="22"/>
        </w:rPr>
        <w:t>связи с задержкой в проведении международного тендера на замену типографской техники и программного обеспечения.</w:t>
      </w:r>
    </w:p>
    <w:p w14:paraId="576BED3D" w14:textId="77777777" w:rsidR="009967C8" w:rsidRPr="0006645A" w:rsidRDefault="009967C8" w:rsidP="009967C8">
      <w:pPr>
        <w:autoSpaceDE w:val="0"/>
        <w:autoSpaceDN w:val="0"/>
        <w:adjustRightInd w:val="0"/>
        <w:rPr>
          <w:color w:val="000000"/>
          <w:szCs w:val="22"/>
        </w:rPr>
      </w:pPr>
    </w:p>
    <w:p w14:paraId="62791C3E" w14:textId="77777777" w:rsidR="009967C8" w:rsidRPr="0006645A" w:rsidRDefault="009967C8" w:rsidP="00C3517A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Два временных контракта были продлены в порядке исключения (на три месяца и на две недели соответственно) в связи с ситуацией, сложившейся из-за COVID-19, и в связи с тем, что эти два сотрудника не могли вернуться домой из-за отсутствия авиарейсов.</w:t>
      </w:r>
    </w:p>
    <w:p w14:paraId="5B3D639E" w14:textId="77777777" w:rsidR="009967C8" w:rsidRPr="0006645A" w:rsidRDefault="009967C8" w:rsidP="009967C8">
      <w:pPr>
        <w:autoSpaceDE w:val="0"/>
        <w:autoSpaceDN w:val="0"/>
        <w:adjustRightInd w:val="0"/>
        <w:rPr>
          <w:color w:val="000000"/>
          <w:szCs w:val="22"/>
        </w:rPr>
      </w:pPr>
    </w:p>
    <w:p w14:paraId="007E898E" w14:textId="4F43D2A5" w:rsidR="00836858" w:rsidRDefault="009967C8" w:rsidP="0039190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2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Один временный контракт был продлен (на один месяц) в связи с рабочими потребностями до возвращения руководителя секции из специального отпуска без сохранения содержания.</w:t>
      </w:r>
    </w:p>
    <w:p w14:paraId="617109FA" w14:textId="77777777" w:rsidR="00EC14D8" w:rsidRPr="00EC14D8" w:rsidRDefault="00EC14D8" w:rsidP="00EC14D8">
      <w:pPr>
        <w:pStyle w:val="ListParagraph"/>
        <w:rPr>
          <w:rFonts w:ascii="Arial" w:hAnsi="Arial" w:cs="Arial"/>
          <w:color w:val="000000"/>
          <w:sz w:val="22"/>
          <w:szCs w:val="22"/>
        </w:rPr>
      </w:pPr>
    </w:p>
    <w:p w14:paraId="34BBED41" w14:textId="0E6583F0" w:rsidR="00D15B26" w:rsidRPr="0006645A" w:rsidRDefault="00691ACA" w:rsidP="00391903">
      <w:pPr>
        <w:pStyle w:val="Heading1"/>
        <w:numPr>
          <w:ilvl w:val="0"/>
          <w:numId w:val="12"/>
        </w:numPr>
        <w:spacing w:before="220"/>
        <w:ind w:left="562" w:hanging="562"/>
      </w:pPr>
      <w:r>
        <w:t xml:space="preserve">УПРАВЛЕНИЕ ПЕРСОНАЛОМ ВОИС В УСЛОВИЯХ КРИЗИСА, ВЫЗВАННОГО COVID-19 </w:t>
      </w:r>
    </w:p>
    <w:p w14:paraId="369D5FB6" w14:textId="77777777" w:rsidR="00DE72DF" w:rsidRPr="0006645A" w:rsidRDefault="00DE72DF" w:rsidP="00703C35">
      <w:pPr>
        <w:pStyle w:val="Default"/>
        <w:ind w:left="360"/>
        <w:rPr>
          <w:rFonts w:ascii="Arial" w:hAnsi="Arial" w:cs="Arial"/>
          <w:sz w:val="22"/>
          <w:szCs w:val="22"/>
        </w:rPr>
      </w:pPr>
    </w:p>
    <w:p w14:paraId="658DBBAA" w14:textId="5A6D5510" w:rsidR="009967C8" w:rsidRPr="0006645A" w:rsidRDefault="009967C8" w:rsidP="00C3517A">
      <w:pPr>
        <w:pStyle w:val="Default"/>
        <w:numPr>
          <w:ilvl w:val="0"/>
          <w:numId w:val="4"/>
        </w:numPr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16</w:t>
      </w:r>
      <w:r w:rsidR="00D420DB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марта 2020</w:t>
      </w:r>
      <w:r w:rsidR="00DD0EAF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 xml:space="preserve">г. ВОИС закрыла свою штаб-квартиру в Женеве </w:t>
      </w:r>
      <w:r w:rsidR="00A20D05">
        <w:rPr>
          <w:rFonts w:ascii="Arial" w:hAnsi="Arial"/>
          <w:sz w:val="22"/>
          <w:szCs w:val="22"/>
        </w:rPr>
        <w:t>по причине</w:t>
      </w:r>
      <w:r>
        <w:rPr>
          <w:rFonts w:ascii="Arial" w:hAnsi="Arial"/>
          <w:sz w:val="22"/>
          <w:szCs w:val="22"/>
        </w:rPr>
        <w:t xml:space="preserve"> кризиса в области здравоохранения, связанного с COVID-19, и решени</w:t>
      </w:r>
      <w:r w:rsidR="00A20D05">
        <w:rPr>
          <w:rFonts w:ascii="Arial" w:hAnsi="Arial"/>
          <w:sz w:val="22"/>
          <w:szCs w:val="22"/>
        </w:rPr>
        <w:t>й</w:t>
      </w:r>
      <w:r>
        <w:rPr>
          <w:rFonts w:ascii="Arial" w:hAnsi="Arial"/>
          <w:sz w:val="22"/>
          <w:szCs w:val="22"/>
        </w:rPr>
        <w:t xml:space="preserve"> правительства принимающей страны о введении режима изоляции.</w:t>
      </w:r>
      <w:r w:rsidR="008A4DD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Персонал ВОИС был в обязательном порядке переведен на работу из дома, за исключением небольшого числа критически важных сотрудников из подразделений, отвечающих за медицинское обслуживание, эксплуатацию зданий, ИТ, безопасность, связь и кадровые вопросы</w:t>
      </w:r>
      <w:r w:rsidR="00FA783A">
        <w:rPr>
          <w:rFonts w:ascii="Arial" w:hAnsi="Arial"/>
          <w:sz w:val="22"/>
          <w:szCs w:val="22"/>
        </w:rPr>
        <w:t>, а также из Канцелярии Генерального директора</w:t>
      </w:r>
      <w:r>
        <w:rPr>
          <w:rFonts w:ascii="Arial" w:hAnsi="Arial"/>
          <w:sz w:val="22"/>
          <w:szCs w:val="22"/>
        </w:rPr>
        <w:t>; эти сотрудники обеспечивали оказание ключевых услуг, которые было невозможно оказывать дистанционно.</w:t>
      </w:r>
    </w:p>
    <w:p w14:paraId="09654D2A" w14:textId="77777777" w:rsidR="009967C8" w:rsidRPr="0006645A" w:rsidRDefault="009967C8" w:rsidP="009967C8">
      <w:pPr>
        <w:pStyle w:val="Default"/>
        <w:rPr>
          <w:rFonts w:ascii="Arial" w:hAnsi="Arial" w:cs="Arial"/>
          <w:sz w:val="22"/>
          <w:szCs w:val="22"/>
        </w:rPr>
      </w:pPr>
    </w:p>
    <w:p w14:paraId="0E4E0706" w14:textId="1E81D8DF" w:rsidR="009967C8" w:rsidRPr="0006645A" w:rsidRDefault="009967C8" w:rsidP="00C3517A">
      <w:pPr>
        <w:pStyle w:val="Default"/>
        <w:numPr>
          <w:ilvl w:val="0"/>
          <w:numId w:val="4"/>
        </w:numPr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На начальном этапе кризиса сотрудникам были предоставлены ноутбуки и другое оборудование, обеспечивающее безопасное дистанционное подключение к системам ВОИС.</w:t>
      </w:r>
      <w:r w:rsidR="008A4DD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Были выданы разрешения с целью обеспечения ограниченного передвижения персонала, в том числе через границу.</w:t>
      </w:r>
      <w:r w:rsidR="008A4DD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В кратчайшие сроки было обеспечено функционирование служб ВОИС, в том числе обеспечивающих поступление доходов и </w:t>
      </w:r>
      <w:r w:rsidR="00A20D05">
        <w:rPr>
          <w:rFonts w:ascii="Arial" w:hAnsi="Arial"/>
          <w:sz w:val="22"/>
          <w:szCs w:val="22"/>
        </w:rPr>
        <w:t xml:space="preserve">оказание </w:t>
      </w:r>
      <w:r>
        <w:rPr>
          <w:rFonts w:ascii="Arial" w:hAnsi="Arial"/>
          <w:sz w:val="22"/>
          <w:szCs w:val="22"/>
        </w:rPr>
        <w:t xml:space="preserve">вспомогательных </w:t>
      </w:r>
      <w:r w:rsidR="00A20D05">
        <w:rPr>
          <w:rFonts w:ascii="Arial" w:hAnsi="Arial"/>
          <w:sz w:val="22"/>
          <w:szCs w:val="22"/>
        </w:rPr>
        <w:t>услуг</w:t>
      </w:r>
      <w:r>
        <w:rPr>
          <w:rFonts w:ascii="Arial" w:hAnsi="Arial"/>
          <w:sz w:val="22"/>
          <w:szCs w:val="22"/>
        </w:rPr>
        <w:t xml:space="preserve">; их производительность быстро достигла </w:t>
      </w:r>
      <w:r w:rsidR="00A20D05">
        <w:rPr>
          <w:rFonts w:ascii="Arial" w:hAnsi="Arial"/>
          <w:sz w:val="22"/>
          <w:szCs w:val="22"/>
        </w:rPr>
        <w:t xml:space="preserve">уровня, </w:t>
      </w:r>
      <w:r>
        <w:rPr>
          <w:rFonts w:ascii="Arial" w:hAnsi="Arial"/>
          <w:sz w:val="22"/>
          <w:szCs w:val="22"/>
        </w:rPr>
        <w:t>близкого к оптимальному.</w:t>
      </w:r>
    </w:p>
    <w:p w14:paraId="62701E96" w14:textId="77777777" w:rsidR="009967C8" w:rsidRPr="0006645A" w:rsidRDefault="009967C8" w:rsidP="009967C8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02523D2F" w14:textId="1A37A95E" w:rsidR="009967C8" w:rsidRPr="0006645A" w:rsidRDefault="009967C8" w:rsidP="00C3517A">
      <w:pPr>
        <w:pStyle w:val="Default"/>
        <w:numPr>
          <w:ilvl w:val="0"/>
          <w:numId w:val="4"/>
        </w:numPr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Сотрудникам предоставлялась широкая поддержка в дистанционном режиме.</w:t>
      </w:r>
      <w:r w:rsidR="008A4DD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Медицинская служба оказывала медицинскую помощь в тот период, когда местные системы здравоохранения </w:t>
      </w:r>
      <w:r w:rsidR="00990AD1">
        <w:rPr>
          <w:rFonts w:ascii="Arial" w:hAnsi="Arial"/>
          <w:sz w:val="22"/>
          <w:szCs w:val="22"/>
        </w:rPr>
        <w:t>испытывали большую нагрузку</w:t>
      </w:r>
      <w:r>
        <w:rPr>
          <w:rFonts w:ascii="Arial" w:hAnsi="Arial"/>
          <w:sz w:val="22"/>
          <w:szCs w:val="22"/>
        </w:rPr>
        <w:t>.</w:t>
      </w:r>
      <w:r w:rsidR="008A4DD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ВОИС предоставила доступ к телемедицинским услугам через своего поставщика услуг медицинского страхования.</w:t>
      </w:r>
      <w:r w:rsidR="008A4DD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Специалист по консультированию персонала оказывал психосоциальную поддержку отдельным лицам и организовывал обучение для сотрудников в целом; при этом продолжалась бесперебойная работа кадровых служб, в том числе отвечающих за набор персонала, начисление заработной платы, управление контрактной деятельностью, онлайновое обучение и управление служебной деятельностью.</w:t>
      </w:r>
    </w:p>
    <w:p w14:paraId="2801DBA3" w14:textId="77777777" w:rsidR="009967C8" w:rsidRPr="0006645A" w:rsidRDefault="009967C8" w:rsidP="009967C8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6A53D275" w14:textId="416A062A" w:rsidR="009967C8" w:rsidRPr="0006645A" w:rsidRDefault="009967C8" w:rsidP="00C3517A">
      <w:pPr>
        <w:pStyle w:val="Default"/>
        <w:numPr>
          <w:ilvl w:val="0"/>
          <w:numId w:val="4"/>
        </w:numPr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Многопрофильная Группа </w:t>
      </w:r>
      <w:r w:rsidR="00990AD1">
        <w:rPr>
          <w:rFonts w:ascii="Arial" w:hAnsi="Arial"/>
          <w:sz w:val="22"/>
          <w:szCs w:val="22"/>
        </w:rPr>
        <w:t xml:space="preserve">по коммуникации в </w:t>
      </w:r>
      <w:r w:rsidR="00A20D05">
        <w:rPr>
          <w:rFonts w:ascii="Arial" w:hAnsi="Arial"/>
          <w:sz w:val="22"/>
          <w:szCs w:val="22"/>
        </w:rPr>
        <w:t>период</w:t>
      </w:r>
      <w:r w:rsidR="00990AD1">
        <w:rPr>
          <w:rFonts w:ascii="Arial" w:hAnsi="Arial"/>
          <w:sz w:val="22"/>
          <w:szCs w:val="22"/>
        </w:rPr>
        <w:t xml:space="preserve"> кризиса</w:t>
      </w:r>
      <w:r>
        <w:rPr>
          <w:rFonts w:ascii="Arial" w:hAnsi="Arial"/>
          <w:sz w:val="22"/>
          <w:szCs w:val="22"/>
        </w:rPr>
        <w:t xml:space="preserve"> обеспечивала регулярную связь Генерального директора с персоналом ВОИС.</w:t>
      </w:r>
    </w:p>
    <w:p w14:paraId="2CBDC5F8" w14:textId="77777777" w:rsidR="009967C8" w:rsidRPr="0006645A" w:rsidRDefault="009967C8" w:rsidP="009967C8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79017EA9" w14:textId="3DBD5275" w:rsidR="009967C8" w:rsidRPr="008A4DD7" w:rsidRDefault="009967C8" w:rsidP="00391903">
      <w:pPr>
        <w:pStyle w:val="Default"/>
        <w:numPr>
          <w:ilvl w:val="0"/>
          <w:numId w:val="4"/>
        </w:numPr>
        <w:ind w:left="0" w:firstLine="0"/>
        <w:rPr>
          <w:szCs w:val="22"/>
        </w:rPr>
      </w:pPr>
      <w:r>
        <w:rPr>
          <w:rFonts w:ascii="Arial" w:hAnsi="Arial"/>
          <w:sz w:val="22"/>
          <w:szCs w:val="22"/>
        </w:rPr>
        <w:t xml:space="preserve">В целях содействия управлению в кризисном режиме и с учетом сложных внешних условий на временной основе принимались специальные меры и делались отступления от некоторых кадровых стратегий и процедур. </w:t>
      </w:r>
      <w:r w:rsidR="00DD0EAF" w:rsidRPr="00DD0EAF">
        <w:rPr>
          <w:rFonts w:ascii="Arial" w:hAnsi="Arial"/>
          <w:sz w:val="22"/>
          <w:szCs w:val="22"/>
        </w:rPr>
        <w:t>Это касалось, среди прочего, отпусков по болезни, поездок и учета рабочего времени.</w:t>
      </w:r>
      <w:r>
        <w:rPr>
          <w:rFonts w:ascii="Arial" w:hAnsi="Arial"/>
          <w:sz w:val="22"/>
          <w:szCs w:val="22"/>
        </w:rPr>
        <w:t xml:space="preserve"> </w:t>
      </w:r>
      <w:r>
        <w:t></w:t>
      </w:r>
    </w:p>
    <w:p w14:paraId="23112839" w14:textId="77777777" w:rsidR="008A4DD7" w:rsidRPr="0006645A" w:rsidRDefault="008A4DD7" w:rsidP="008A4DD7">
      <w:pPr>
        <w:pStyle w:val="Default"/>
        <w:rPr>
          <w:szCs w:val="22"/>
        </w:rPr>
      </w:pPr>
    </w:p>
    <w:p w14:paraId="496522BD" w14:textId="0923466A" w:rsidR="009967C8" w:rsidRPr="0006645A" w:rsidRDefault="00990AD1" w:rsidP="00C3517A">
      <w:pPr>
        <w:pStyle w:val="Default"/>
        <w:numPr>
          <w:ilvl w:val="0"/>
          <w:numId w:val="4"/>
        </w:numPr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Число случаев инфицирования </w:t>
      </w:r>
      <w:r w:rsidR="009967C8">
        <w:rPr>
          <w:rFonts w:ascii="Arial" w:hAnsi="Arial"/>
          <w:sz w:val="22"/>
          <w:szCs w:val="22"/>
        </w:rPr>
        <w:t>COVID-19 среди персонала ВОИС</w:t>
      </w:r>
      <w:r>
        <w:rPr>
          <w:rFonts w:ascii="Arial" w:hAnsi="Arial"/>
          <w:sz w:val="22"/>
          <w:szCs w:val="22"/>
        </w:rPr>
        <w:t xml:space="preserve">, которые были подтверждены путем тестирования медицинской службой, составило 18. Кроме того, было выявлено примерно 70 сотрудников, у которых наблюдались симптомы, позволяющие предположить инфицирование </w:t>
      </w:r>
      <w:r>
        <w:rPr>
          <w:rFonts w:ascii="Arial" w:hAnsi="Arial"/>
          <w:sz w:val="22"/>
          <w:szCs w:val="22"/>
          <w:lang w:val="en-GB"/>
        </w:rPr>
        <w:t>COVID</w:t>
      </w:r>
      <w:r w:rsidRPr="00990AD1">
        <w:rPr>
          <w:rFonts w:ascii="Arial" w:hAnsi="Arial"/>
          <w:sz w:val="22"/>
          <w:szCs w:val="22"/>
        </w:rPr>
        <w:t>-19</w:t>
      </w:r>
      <w:r>
        <w:rPr>
          <w:rFonts w:ascii="Arial" w:hAnsi="Arial"/>
          <w:sz w:val="22"/>
          <w:szCs w:val="22"/>
        </w:rPr>
        <w:t xml:space="preserve">, и чуть менее 300 сотрудников </w:t>
      </w:r>
      <w:r w:rsidR="009967C8">
        <w:rPr>
          <w:rFonts w:ascii="Arial" w:hAnsi="Arial"/>
          <w:sz w:val="22"/>
          <w:szCs w:val="22"/>
        </w:rPr>
        <w:t xml:space="preserve">были вынуждены пройти самокарантин </w:t>
      </w:r>
      <w:r>
        <w:rPr>
          <w:rFonts w:ascii="Arial" w:hAnsi="Arial"/>
          <w:sz w:val="22"/>
          <w:szCs w:val="22"/>
        </w:rPr>
        <w:t xml:space="preserve">в результате отслеживания контактов, которым занимался медицинский пункт. </w:t>
      </w:r>
      <w:r w:rsidR="009967C8">
        <w:rPr>
          <w:rFonts w:ascii="Arial" w:hAnsi="Arial"/>
          <w:sz w:val="22"/>
          <w:szCs w:val="22"/>
        </w:rPr>
        <w:t>К большому сожалению, 7</w:t>
      </w:r>
      <w:r w:rsidR="00D420DB">
        <w:rPr>
          <w:rFonts w:ascii="Arial" w:hAnsi="Arial"/>
          <w:sz w:val="22"/>
          <w:szCs w:val="22"/>
        </w:rPr>
        <w:t> </w:t>
      </w:r>
      <w:r w:rsidR="009967C8">
        <w:rPr>
          <w:rFonts w:ascii="Arial" w:hAnsi="Arial"/>
          <w:sz w:val="22"/>
          <w:szCs w:val="22"/>
        </w:rPr>
        <w:t>апреля 2020</w:t>
      </w:r>
      <w:r w:rsidR="00D420DB">
        <w:rPr>
          <w:rFonts w:ascii="Arial" w:hAnsi="Arial"/>
          <w:sz w:val="22"/>
          <w:szCs w:val="22"/>
        </w:rPr>
        <w:t> </w:t>
      </w:r>
      <w:r w:rsidR="009967C8">
        <w:rPr>
          <w:rFonts w:ascii="Arial" w:hAnsi="Arial"/>
          <w:sz w:val="22"/>
          <w:szCs w:val="22"/>
        </w:rPr>
        <w:t>г. ВОИС потеряла одного из своих сотрудников из-за коронавируса.</w:t>
      </w:r>
      <w:r w:rsidR="008A4DD7">
        <w:rPr>
          <w:rFonts w:ascii="Arial" w:hAnsi="Arial"/>
          <w:sz w:val="22"/>
          <w:szCs w:val="22"/>
        </w:rPr>
        <w:t xml:space="preserve"> </w:t>
      </w:r>
      <w:r w:rsidR="009967C8">
        <w:rPr>
          <w:rFonts w:ascii="Arial" w:hAnsi="Arial"/>
          <w:sz w:val="22"/>
          <w:szCs w:val="22"/>
        </w:rPr>
        <w:t>Семья получила широкую поддержку.</w:t>
      </w:r>
    </w:p>
    <w:p w14:paraId="47F2848D" w14:textId="77777777" w:rsidR="009967C8" w:rsidRPr="0006645A" w:rsidRDefault="009967C8" w:rsidP="009967C8">
      <w:pPr>
        <w:pStyle w:val="Default"/>
        <w:rPr>
          <w:rFonts w:ascii="Arial" w:hAnsi="Arial" w:cs="Arial"/>
          <w:sz w:val="22"/>
          <w:szCs w:val="22"/>
        </w:rPr>
      </w:pPr>
    </w:p>
    <w:p w14:paraId="3DD3F189" w14:textId="6685C85D" w:rsidR="009967C8" w:rsidRPr="0006645A" w:rsidRDefault="009967C8" w:rsidP="00C3517A">
      <w:pPr>
        <w:pStyle w:val="Default"/>
        <w:numPr>
          <w:ilvl w:val="0"/>
          <w:numId w:val="4"/>
        </w:numPr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Международные организации, базирующиеся в Женеве, объединили свои усилия и регулярно проводили онлайновые совещания в целях координации мер по урегулированию кризиса, а также обмена информационными ресурсами и накопленным опытом.</w:t>
      </w:r>
      <w:r w:rsidR="008A4DD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Благодаря этим регулярным консультациям антикризисные меры реализовывались с высокой степенью согласованности, и никто не остался в стороне.</w:t>
      </w:r>
    </w:p>
    <w:p w14:paraId="06E5E638" w14:textId="77777777" w:rsidR="009967C8" w:rsidRPr="0006645A" w:rsidRDefault="009967C8" w:rsidP="009967C8">
      <w:pPr>
        <w:pStyle w:val="ListParagraph"/>
        <w:rPr>
          <w:rFonts w:ascii="Arial" w:hAnsi="Arial" w:cs="Arial"/>
          <w:sz w:val="22"/>
          <w:szCs w:val="22"/>
        </w:rPr>
      </w:pPr>
    </w:p>
    <w:p w14:paraId="3CBDB6D4" w14:textId="4E239A50" w:rsidR="009967C8" w:rsidRPr="0006645A" w:rsidRDefault="009967C8" w:rsidP="00C3517A">
      <w:pPr>
        <w:pStyle w:val="Default"/>
        <w:numPr>
          <w:ilvl w:val="0"/>
          <w:numId w:val="4"/>
        </w:numPr>
        <w:tabs>
          <w:tab w:val="left" w:pos="0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По мере постепенного снижения уровня инфицирования в Женевском регионе и ослабления режима изоляции со стороны правительства принимающей страны ВОИС в июне 2020</w:t>
      </w:r>
      <w:r w:rsidR="00D420DB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г. приступила к осуществлению тщательно спланированной и поэтапной программы возвращения сотрудников на рабочие места.</w:t>
      </w:r>
      <w:r w:rsidR="008A4DD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Помещения были подготовлены в целях обеспечения безопасного возвращения персонала: были приняты меры по физическому дистанцированию, гигиенические меры, а также меры в области коммуникации и обучения.</w:t>
      </w:r>
      <w:r w:rsidR="008A4DD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 переходном этапе, который завершится 30</w:t>
      </w:r>
      <w:r w:rsidR="00D420DB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сентября 2020</w:t>
      </w:r>
      <w:r w:rsidR="00D420DB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г., при условии стабильной эпидемиологической обстановки численность персонала на рабочих местах будет увеличена до 60–70</w:t>
      </w:r>
      <w:r w:rsidR="00D420DB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процентов, а остальные сотрудники будут продолжать работать из дома, при этом некоторые из них будут работать на основе ротации.</w:t>
      </w:r>
    </w:p>
    <w:p w14:paraId="551BBD9A" w14:textId="77777777" w:rsidR="009967C8" w:rsidRPr="0006645A" w:rsidRDefault="009967C8" w:rsidP="009967C8">
      <w:pPr>
        <w:pStyle w:val="ListParagraph"/>
        <w:tabs>
          <w:tab w:val="left" w:pos="0"/>
        </w:tabs>
        <w:ind w:left="0"/>
        <w:rPr>
          <w:rFonts w:ascii="Arial" w:hAnsi="Arial" w:cs="Arial"/>
          <w:sz w:val="22"/>
          <w:szCs w:val="22"/>
        </w:rPr>
      </w:pPr>
    </w:p>
    <w:p w14:paraId="2445ADF0" w14:textId="24204CEE" w:rsidR="009967C8" w:rsidRPr="0006645A" w:rsidRDefault="009967C8" w:rsidP="00C3517A">
      <w:pPr>
        <w:pStyle w:val="Default"/>
        <w:numPr>
          <w:ilvl w:val="0"/>
          <w:numId w:val="4"/>
        </w:numPr>
        <w:tabs>
          <w:tab w:val="left" w:pos="0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В период действия режима изоляции был извлечен ряд важных уроков, которые станут основой для разработки </w:t>
      </w:r>
      <w:r w:rsidR="00AE2408">
        <w:rPr>
          <w:rFonts w:ascii="Arial" w:hAnsi="Arial"/>
          <w:sz w:val="22"/>
          <w:szCs w:val="22"/>
        </w:rPr>
        <w:t>будущих</w:t>
      </w:r>
      <w:r>
        <w:rPr>
          <w:rFonts w:ascii="Arial" w:hAnsi="Arial"/>
          <w:sz w:val="22"/>
          <w:szCs w:val="22"/>
        </w:rPr>
        <w:t xml:space="preserve"> планов по обеспечению бесперебойного функционирования Организации и политики организации рабочего времени.</w:t>
      </w:r>
      <w:r w:rsidR="008A4DD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 июне был проведен опрос персонала, который показал, что подавляющее большинство сотрудников положительно относятся к работе в дистанционном режиме, в то время как небольшая доля сотрудников сообщила о трудностях.</w:t>
      </w:r>
      <w:r w:rsidR="008A4DD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Подавляющее большинство сотрудников также высказало мнение о том, что после окончания текущего кризиса следует сохранить возможность выполнения некоторой доли работы в дистанционном режиме.</w:t>
      </w:r>
      <w:r w:rsidR="008A4DD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 настоящее время принимаются меры по интеграции дистанционной работы в политику Организации в том, что касается организации рабочего времени и гибкого режима работы; разрабатываемые принципы будут применяться после окончания кризиса в будущем.</w:t>
      </w:r>
      <w:r w:rsidR="008A4DD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При разработке такой политики будут учитываться рабочие потребности Организации, а также предпочтения и ожидания сотрудников.</w:t>
      </w:r>
    </w:p>
    <w:p w14:paraId="202EA6BB" w14:textId="77777777" w:rsidR="009967C8" w:rsidRPr="0006645A" w:rsidRDefault="009967C8" w:rsidP="009967C8">
      <w:pPr>
        <w:pStyle w:val="ListParagraph"/>
        <w:tabs>
          <w:tab w:val="left" w:pos="0"/>
        </w:tabs>
        <w:ind w:left="0"/>
        <w:rPr>
          <w:rFonts w:ascii="Arial" w:hAnsi="Arial" w:cs="Arial"/>
          <w:sz w:val="22"/>
          <w:szCs w:val="22"/>
        </w:rPr>
      </w:pPr>
    </w:p>
    <w:p w14:paraId="4C5D4041" w14:textId="170A6FB1" w:rsidR="00DE72DF" w:rsidRPr="0006645A" w:rsidRDefault="009967C8" w:rsidP="00C3517A">
      <w:pPr>
        <w:pStyle w:val="Default"/>
        <w:numPr>
          <w:ilvl w:val="0"/>
          <w:numId w:val="4"/>
        </w:numPr>
        <w:tabs>
          <w:tab w:val="left" w:pos="0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Экономические последствия глобального кризиса, вызванного COVID-19, по-прежнему вызывают обеспокоенность, поскольку кризис с большой долей вероятности повлияет на глобальную деятельность в области ИС и спрос на услуги ВОИС, которые являются основным источником доход</w:t>
      </w:r>
      <w:r w:rsidR="00AE2408">
        <w:rPr>
          <w:rFonts w:ascii="Arial" w:hAnsi="Arial"/>
          <w:sz w:val="22"/>
          <w:szCs w:val="22"/>
        </w:rPr>
        <w:t>а</w:t>
      </w:r>
      <w:r>
        <w:rPr>
          <w:rFonts w:ascii="Arial" w:hAnsi="Arial"/>
          <w:sz w:val="22"/>
          <w:szCs w:val="22"/>
        </w:rPr>
        <w:t xml:space="preserve"> Организации. </w:t>
      </w:r>
    </w:p>
    <w:p w14:paraId="70E961E0" w14:textId="625CBF4B" w:rsidR="004D49B3" w:rsidRPr="0006645A" w:rsidRDefault="004D49B3" w:rsidP="00E04C15"/>
    <w:p w14:paraId="5B96C4B2" w14:textId="6D919EC0" w:rsidR="00EC14D8" w:rsidRPr="0006645A" w:rsidRDefault="00EC14D8" w:rsidP="00391903">
      <w:pPr>
        <w:pStyle w:val="Heading1"/>
        <w:numPr>
          <w:ilvl w:val="0"/>
          <w:numId w:val="12"/>
        </w:numPr>
        <w:spacing w:before="220"/>
        <w:ind w:left="562" w:hanging="562"/>
      </w:pPr>
      <w:r>
        <w:t>Другие кадровые вопросы</w:t>
      </w:r>
    </w:p>
    <w:p w14:paraId="5132B3AA" w14:textId="77777777" w:rsidR="00BE7BC1" w:rsidRDefault="00BE7BC1" w:rsidP="00BE7BC1">
      <w:pPr>
        <w:pStyle w:val="Heading2"/>
      </w:pPr>
    </w:p>
    <w:p w14:paraId="6C40E88B" w14:textId="782F7F47" w:rsidR="001A2401" w:rsidRPr="0006645A" w:rsidRDefault="001A2401" w:rsidP="00BE7BC1">
      <w:pPr>
        <w:pStyle w:val="Heading2"/>
        <w:ind w:left="0"/>
      </w:pPr>
      <w:r>
        <w:t>Географическое распределение</w:t>
      </w:r>
    </w:p>
    <w:p w14:paraId="11260FF7" w14:textId="77777777" w:rsidR="001A2401" w:rsidRPr="00E25405" w:rsidRDefault="001A2401" w:rsidP="00E04C15"/>
    <w:p w14:paraId="245E34A8" w14:textId="509DD3E1" w:rsidR="00DF773D" w:rsidRPr="0006645A" w:rsidRDefault="00AE2408" w:rsidP="00C3517A">
      <w:pPr>
        <w:pStyle w:val="ListParagraph"/>
        <w:numPr>
          <w:ilvl w:val="0"/>
          <w:numId w:val="4"/>
        </w:numPr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Благодаря комплексу информационных мероприятий б</w:t>
      </w:r>
      <w:r w:rsidR="001A2401">
        <w:rPr>
          <w:rFonts w:ascii="Arial" w:hAnsi="Arial"/>
          <w:sz w:val="22"/>
          <w:szCs w:val="22"/>
        </w:rPr>
        <w:t xml:space="preserve">ыл достигнут дальнейший прогресс в области обеспечения географической представленности, в результате </w:t>
      </w:r>
      <w:r>
        <w:rPr>
          <w:rFonts w:ascii="Arial" w:hAnsi="Arial"/>
          <w:sz w:val="22"/>
          <w:szCs w:val="22"/>
        </w:rPr>
        <w:t>чего</w:t>
      </w:r>
      <w:r w:rsidR="001A2401">
        <w:rPr>
          <w:rFonts w:ascii="Arial" w:hAnsi="Arial"/>
          <w:sz w:val="22"/>
          <w:szCs w:val="22"/>
        </w:rPr>
        <w:t xml:space="preserve"> ранее непредставленные государства-члены теперь представлены в штате ВОИС.</w:t>
      </w:r>
    </w:p>
    <w:p w14:paraId="7D1EDCB4" w14:textId="77777777" w:rsidR="00DF773D" w:rsidRPr="0006645A" w:rsidRDefault="00DF773D" w:rsidP="00DF773D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7C3F26C2" w14:textId="2E22FA9F" w:rsidR="001A2401" w:rsidRPr="0006645A" w:rsidRDefault="00DF773D" w:rsidP="00C3517A">
      <w:pPr>
        <w:pStyle w:val="ListParagraph"/>
        <w:numPr>
          <w:ilvl w:val="0"/>
          <w:numId w:val="4"/>
        </w:numPr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По состоянию на 30 июня 2020 г. на должностях, в отношении которых действует требование об обеспечении географического разнообразия</w:t>
      </w:r>
      <w:r w:rsidRPr="0006645A">
        <w:rPr>
          <w:rStyle w:val="FootnoteReference"/>
          <w:rFonts w:ascii="Arial" w:hAnsi="Arial" w:cs="Arial"/>
          <w:sz w:val="22"/>
          <w:szCs w:val="22"/>
        </w:rPr>
        <w:footnoteReference w:id="11"/>
      </w:r>
      <w:r>
        <w:rPr>
          <w:rFonts w:ascii="Arial" w:hAnsi="Arial"/>
          <w:sz w:val="22"/>
          <w:szCs w:val="22"/>
        </w:rPr>
        <w:t>, представлены 112 государств-членов, тогда как в 2018 г. этот показатель составлял</w:t>
      </w:r>
      <w:r w:rsidR="00D420DB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 xml:space="preserve">108. С точки зрения разнообразия в целом, на всех уровнях и во всех категориях сотрудников в настоящее время представлены 122 государства-члена. </w:t>
      </w:r>
    </w:p>
    <w:p w14:paraId="12DA51E2" w14:textId="2193B4D2" w:rsidR="00DF773D" w:rsidRPr="00E25405" w:rsidRDefault="00DF773D">
      <w:pPr>
        <w:rPr>
          <w:szCs w:val="22"/>
        </w:rPr>
      </w:pPr>
    </w:p>
    <w:p w14:paraId="3B79CA84" w14:textId="50E8ED09" w:rsidR="001A2401" w:rsidRPr="0006645A" w:rsidRDefault="001A2401" w:rsidP="00BE7BC1">
      <w:pPr>
        <w:pStyle w:val="Heading2"/>
        <w:ind w:left="0"/>
      </w:pPr>
      <w:r>
        <w:t>Набор персонала и информационная работа</w:t>
      </w:r>
    </w:p>
    <w:p w14:paraId="4A5B0D4F" w14:textId="0D4D8E53" w:rsidR="001A2401" w:rsidRPr="0006645A" w:rsidRDefault="001A2401" w:rsidP="00E25405">
      <w:pPr>
        <w:keepNext/>
        <w:keepLines/>
        <w:rPr>
          <w:b/>
          <w:szCs w:val="22"/>
        </w:rPr>
      </w:pPr>
    </w:p>
    <w:p w14:paraId="50C0755D" w14:textId="534321FA" w:rsidR="007A39DA" w:rsidRPr="0006645A" w:rsidRDefault="007A39DA" w:rsidP="00C3517A">
      <w:pPr>
        <w:pStyle w:val="ListParagraph"/>
        <w:keepNext/>
        <w:keepLines/>
        <w:numPr>
          <w:ilvl w:val="0"/>
          <w:numId w:val="4"/>
        </w:numPr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В рамках своей деятельности по набору персонала ВОИС продолжает рассматривать обеспечение разнообразия в качестве одного из ключевых компонентов, признавая, что разнообразие стимулирует инновации.</w:t>
      </w:r>
      <w:r w:rsidR="008A4DD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Растут масштабы информационной работы с использованием социальных сетей, посредством которых на систематической основе проводятся целевые кампании, ориентированные на сотрудников старшего звена и специалистов. Это обеспечивает широкое распространение информации о возможностях трудоустройства в ВОИС среди специалистов по всему миру.</w:t>
      </w:r>
      <w:r w:rsidR="008A4DD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 результате число претендентов на одну вакансию в ВОИС в среднем увеличилось на 26</w:t>
      </w:r>
      <w:r w:rsidR="00D420DB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процентов в 2019</w:t>
      </w:r>
      <w:r w:rsidR="00D420DB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г. по сравнению с предыдущим годом.</w:t>
      </w:r>
    </w:p>
    <w:p w14:paraId="02635A4A" w14:textId="77777777" w:rsidR="007A39DA" w:rsidRPr="0006645A" w:rsidRDefault="007A39DA" w:rsidP="007A39DA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388B72C5" w14:textId="2FC15755" w:rsidR="007A39DA" w:rsidRPr="0006645A" w:rsidRDefault="007A39DA" w:rsidP="00C3517A">
      <w:pPr>
        <w:pStyle w:val="ListParagraph"/>
        <w:numPr>
          <w:ilvl w:val="0"/>
          <w:numId w:val="4"/>
        </w:numPr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Конкретные трудности, не являющиеся уникальными для ВОИС, заключаются в формировании отличающегося разнообразием пула квалифицированных кандидатов для всех должностей и, в частности, для должностей, требующих узкоспециализированных и востребованных навыков, в отношении которых высока рыночная конкуренция, в частности, в области ИТ.</w:t>
      </w:r>
      <w:r w:rsidR="008A4DD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После того, как в 2019</w:t>
      </w:r>
      <w:r w:rsidR="00D420DB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г. началось систематическое распространение информации о трудно заполняемых вакансиях, через LinkedIn и Facebook было объявлено об открытии 30</w:t>
      </w:r>
      <w:r w:rsidR="00D420DB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таких вакансий; также использовался прямой поиск для установления контакта с пассивными кандидатами, причем в случае старших должностей особое внимание уделялось кандидатам-женщинам.</w:t>
      </w:r>
    </w:p>
    <w:p w14:paraId="58BEB7A6" w14:textId="77777777" w:rsidR="007A39DA" w:rsidRPr="0006645A" w:rsidRDefault="007A39DA" w:rsidP="007A39DA">
      <w:pPr>
        <w:pStyle w:val="ListParagraph"/>
        <w:rPr>
          <w:rFonts w:ascii="Arial" w:hAnsi="Arial" w:cs="Arial"/>
          <w:sz w:val="22"/>
          <w:szCs w:val="22"/>
        </w:rPr>
      </w:pPr>
    </w:p>
    <w:p w14:paraId="38FABBF9" w14:textId="264EB27C" w:rsidR="000D0455" w:rsidRDefault="007A39DA" w:rsidP="00C3517A">
      <w:pPr>
        <w:pStyle w:val="ListParagraph"/>
        <w:numPr>
          <w:ilvl w:val="0"/>
          <w:numId w:val="4"/>
        </w:numPr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Что касается отобранных кандидатов, то число женщин, назначенных на должности уровня от С-4 до Д-2 удвоилось за двухлетний период 2018–2019 гг.: было назначено 34 женщины (42,5 процента), тогда как в двухлетний период 2016–2017 гг. было назначено 17 женщин (34 процента), что отражено в таблице ниже.</w:t>
      </w:r>
      <w:r w:rsidR="008A4DD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Хотя на индивидуальном уровне сохраняются различия, можно с удовлетворением отметить рост по классам С4 и С5.</w:t>
      </w:r>
    </w:p>
    <w:p w14:paraId="0C18B127" w14:textId="77777777" w:rsidR="00E04C15" w:rsidRDefault="00E04C15" w:rsidP="00E04C15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В таблице отражено, что число женщин, назначенных на должности уровня от С-4 до Д-2 удвоилось за двухлетний период 2018–2019 гг.: было назначено 34 женщины (42,5 процента), тогда как в двухлетний период 2016–2017 гг. было назначено 17 женщин (34 процента)."/>
      </w:tblPr>
      <w:tblGrid>
        <w:gridCol w:w="1081"/>
        <w:gridCol w:w="1543"/>
        <w:gridCol w:w="1545"/>
        <w:gridCol w:w="1091"/>
        <w:gridCol w:w="1543"/>
        <w:gridCol w:w="1174"/>
        <w:gridCol w:w="1091"/>
      </w:tblGrid>
      <w:tr w:rsidR="00E04C15" w14:paraId="3556F139" w14:textId="77777777" w:rsidTr="001D7502">
        <w:trPr>
          <w:trHeight w:val="256"/>
          <w:tblHeader/>
        </w:trPr>
        <w:tc>
          <w:tcPr>
            <w:tcW w:w="109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C873936" w14:textId="77777777" w:rsidR="00E04C15" w:rsidRDefault="00E04C15" w:rsidP="001D7502">
            <w:pPr>
              <w:jc w:val="center"/>
            </w:pPr>
          </w:p>
        </w:tc>
        <w:tc>
          <w:tcPr>
            <w:tcW w:w="4217" w:type="dxa"/>
            <w:gridSpan w:val="3"/>
            <w:tcBorders>
              <w:bottom w:val="single" w:sz="4" w:space="0" w:color="auto"/>
            </w:tcBorders>
            <w:vAlign w:val="center"/>
          </w:tcPr>
          <w:p w14:paraId="1BBE2BB2" w14:textId="552B6990" w:rsidR="00E04C15" w:rsidRDefault="00E04C15" w:rsidP="001D750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Назначения 2018–2019 гг.</w:t>
            </w:r>
          </w:p>
        </w:tc>
        <w:tc>
          <w:tcPr>
            <w:tcW w:w="3751" w:type="dxa"/>
            <w:gridSpan w:val="3"/>
            <w:tcBorders>
              <w:bottom w:val="single" w:sz="4" w:space="0" w:color="auto"/>
            </w:tcBorders>
            <w:vAlign w:val="center"/>
          </w:tcPr>
          <w:p w14:paraId="49A40B6B" w14:textId="188CDEA9" w:rsidR="00E04C15" w:rsidRDefault="00E04C15" w:rsidP="001D750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Назначения 2016–2017 гг.</w:t>
            </w:r>
          </w:p>
        </w:tc>
      </w:tr>
      <w:tr w:rsidR="00E04C15" w14:paraId="07713F9C" w14:textId="77777777" w:rsidTr="001D7502">
        <w:tc>
          <w:tcPr>
            <w:tcW w:w="1095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370DA04" w14:textId="76DA8C03" w:rsidR="00E04C15" w:rsidRDefault="00E04C15" w:rsidP="001D750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Класс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B68C223" w14:textId="393A5510" w:rsidR="00E04C15" w:rsidRDefault="00E04C15" w:rsidP="001D750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мужчины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CECAE20" w14:textId="0A9E5651" w:rsidR="00E04C15" w:rsidRDefault="0008647E" w:rsidP="001D750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Ж</w:t>
            </w:r>
            <w:r w:rsidR="00E04C15">
              <w:rPr>
                <w:b/>
                <w:bCs/>
                <w:color w:val="000000"/>
                <w:sz w:val="20"/>
              </w:rPr>
              <w:t>енщины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EE0F3BE" w14:textId="7D7DA6B4" w:rsidR="00E04C15" w:rsidRDefault="00E04C15" w:rsidP="001D750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% женщин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6F38C14" w14:textId="5F087FAD" w:rsidR="00E04C15" w:rsidRDefault="00E04C15" w:rsidP="001D750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мужчины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8519CC1" w14:textId="6416FF57" w:rsidR="00E04C15" w:rsidRDefault="00E04C15" w:rsidP="001D750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женщины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DF76883" w14:textId="58714F16" w:rsidR="00E04C15" w:rsidRDefault="00E04C15" w:rsidP="001D750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% женщин</w:t>
            </w:r>
          </w:p>
        </w:tc>
      </w:tr>
      <w:tr w:rsidR="00E04C15" w14:paraId="15E734EB" w14:textId="77777777" w:rsidTr="001D7502">
        <w:trPr>
          <w:trHeight w:val="292"/>
        </w:trPr>
        <w:tc>
          <w:tcPr>
            <w:tcW w:w="1095" w:type="dxa"/>
            <w:tcBorders>
              <w:left w:val="dashSmallGap" w:sz="4" w:space="0" w:color="808080" w:themeColor="background1" w:themeShade="80"/>
              <w:bottom w:val="dashSmallGap" w:sz="4" w:space="0" w:color="808080" w:themeColor="background1" w:themeShade="80"/>
            </w:tcBorders>
            <w:vAlign w:val="center"/>
          </w:tcPr>
          <w:p w14:paraId="1EA20B3B" w14:textId="31798DE9" w:rsidR="00E04C15" w:rsidRDefault="00E04C15" w:rsidP="001D7502">
            <w:pPr>
              <w:jc w:val="center"/>
            </w:pPr>
            <w:r>
              <w:rPr>
                <w:color w:val="000000"/>
                <w:sz w:val="20"/>
              </w:rPr>
              <w:t>С-4</w:t>
            </w:r>
          </w:p>
        </w:tc>
        <w:tc>
          <w:tcPr>
            <w:tcW w:w="1561" w:type="dxa"/>
            <w:tcBorders>
              <w:bottom w:val="dashSmallGap" w:sz="4" w:space="0" w:color="808080" w:themeColor="background1" w:themeShade="80"/>
            </w:tcBorders>
            <w:vAlign w:val="center"/>
          </w:tcPr>
          <w:p w14:paraId="49959BD1" w14:textId="1F45EAD4" w:rsidR="00E04C15" w:rsidRDefault="00E04C15" w:rsidP="001D7502">
            <w:pPr>
              <w:jc w:val="center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561" w:type="dxa"/>
            <w:tcBorders>
              <w:bottom w:val="dashSmallGap" w:sz="4" w:space="0" w:color="808080" w:themeColor="background1" w:themeShade="80"/>
            </w:tcBorders>
            <w:vAlign w:val="center"/>
          </w:tcPr>
          <w:p w14:paraId="0B878269" w14:textId="584E8FEB" w:rsidR="00E04C15" w:rsidRDefault="00E04C15" w:rsidP="001D7502">
            <w:pPr>
              <w:jc w:val="center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095" w:type="dxa"/>
            <w:tcBorders>
              <w:bottom w:val="dashSmallGap" w:sz="4" w:space="0" w:color="808080" w:themeColor="background1" w:themeShade="80"/>
            </w:tcBorders>
            <w:vAlign w:val="center"/>
          </w:tcPr>
          <w:p w14:paraId="68A2B5AE" w14:textId="58F42075" w:rsidR="00E04C15" w:rsidRDefault="00E04C15" w:rsidP="001D7502">
            <w:pPr>
              <w:jc w:val="center"/>
            </w:pPr>
            <w:r>
              <w:rPr>
                <w:color w:val="000000"/>
                <w:sz w:val="20"/>
              </w:rPr>
              <w:t>50,0%</w:t>
            </w:r>
          </w:p>
        </w:tc>
        <w:tc>
          <w:tcPr>
            <w:tcW w:w="1561" w:type="dxa"/>
            <w:tcBorders>
              <w:bottom w:val="dashSmallGap" w:sz="4" w:space="0" w:color="808080" w:themeColor="background1" w:themeShade="80"/>
            </w:tcBorders>
            <w:vAlign w:val="center"/>
          </w:tcPr>
          <w:p w14:paraId="4520D59D" w14:textId="288E0C89" w:rsidR="00E04C15" w:rsidRDefault="00E04C15" w:rsidP="001D7502">
            <w:pPr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095" w:type="dxa"/>
            <w:tcBorders>
              <w:bottom w:val="dashSmallGap" w:sz="4" w:space="0" w:color="808080" w:themeColor="background1" w:themeShade="80"/>
            </w:tcBorders>
            <w:vAlign w:val="center"/>
          </w:tcPr>
          <w:p w14:paraId="17AFB61D" w14:textId="6C83AA0D" w:rsidR="00E04C15" w:rsidRDefault="00E04C15" w:rsidP="001D7502">
            <w:pPr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095" w:type="dxa"/>
            <w:tcBorders>
              <w:bottom w:val="dashSmallGap" w:sz="4" w:space="0" w:color="808080" w:themeColor="background1" w:themeShade="80"/>
            </w:tcBorders>
            <w:vAlign w:val="center"/>
          </w:tcPr>
          <w:p w14:paraId="4AEA345A" w14:textId="121F9D1A" w:rsidR="00E04C15" w:rsidRDefault="00E04C15" w:rsidP="001D7502">
            <w:pPr>
              <w:jc w:val="center"/>
            </w:pPr>
            <w:r>
              <w:rPr>
                <w:color w:val="000000"/>
                <w:sz w:val="20"/>
              </w:rPr>
              <w:t>46,2%</w:t>
            </w:r>
          </w:p>
        </w:tc>
      </w:tr>
      <w:tr w:rsidR="00E04C15" w14:paraId="1B43D9C0" w14:textId="77777777" w:rsidTr="001D7502">
        <w:trPr>
          <w:trHeight w:val="292"/>
        </w:trPr>
        <w:tc>
          <w:tcPr>
            <w:tcW w:w="1095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</w:tcBorders>
            <w:vAlign w:val="center"/>
          </w:tcPr>
          <w:p w14:paraId="61E5D524" w14:textId="61DAA2F8" w:rsidR="00E04C15" w:rsidRDefault="00E04C15" w:rsidP="001D7502">
            <w:pPr>
              <w:jc w:val="center"/>
            </w:pPr>
            <w:r>
              <w:rPr>
                <w:color w:val="000000"/>
                <w:sz w:val="20"/>
              </w:rPr>
              <w:t>С-5</w:t>
            </w:r>
          </w:p>
        </w:tc>
        <w:tc>
          <w:tcPr>
            <w:tcW w:w="1561" w:type="dxa"/>
            <w:tcBorders>
              <w:top w:val="dashSmallGap" w:sz="4" w:space="0" w:color="808080" w:themeColor="background1" w:themeShade="80"/>
              <w:bottom w:val="dashSmallGap" w:sz="4" w:space="0" w:color="808080" w:themeColor="background1" w:themeShade="80"/>
            </w:tcBorders>
            <w:vAlign w:val="center"/>
          </w:tcPr>
          <w:p w14:paraId="492EA1A4" w14:textId="1BAAEA99" w:rsidR="00E04C15" w:rsidRDefault="00E04C15" w:rsidP="001D7502">
            <w:pPr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61" w:type="dxa"/>
            <w:tcBorders>
              <w:top w:val="dashSmallGap" w:sz="4" w:space="0" w:color="808080" w:themeColor="background1" w:themeShade="80"/>
              <w:bottom w:val="dashSmallGap" w:sz="4" w:space="0" w:color="808080" w:themeColor="background1" w:themeShade="80"/>
            </w:tcBorders>
            <w:vAlign w:val="center"/>
          </w:tcPr>
          <w:p w14:paraId="1CFBE912" w14:textId="06F6B5A5" w:rsidR="00E04C15" w:rsidRDefault="00E04C15" w:rsidP="001D7502">
            <w:pPr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095" w:type="dxa"/>
            <w:tcBorders>
              <w:top w:val="dashSmallGap" w:sz="4" w:space="0" w:color="808080" w:themeColor="background1" w:themeShade="80"/>
              <w:bottom w:val="dashSmallGap" w:sz="4" w:space="0" w:color="808080" w:themeColor="background1" w:themeShade="80"/>
            </w:tcBorders>
            <w:vAlign w:val="center"/>
          </w:tcPr>
          <w:p w14:paraId="07291EE0" w14:textId="41A3280C" w:rsidR="00E04C15" w:rsidRDefault="00E04C15" w:rsidP="001D7502">
            <w:pPr>
              <w:jc w:val="center"/>
            </w:pPr>
            <w:r>
              <w:rPr>
                <w:color w:val="000000"/>
                <w:sz w:val="20"/>
              </w:rPr>
              <w:t>53,8%</w:t>
            </w:r>
          </w:p>
        </w:tc>
        <w:tc>
          <w:tcPr>
            <w:tcW w:w="1561" w:type="dxa"/>
            <w:tcBorders>
              <w:top w:val="dashSmallGap" w:sz="4" w:space="0" w:color="808080" w:themeColor="background1" w:themeShade="80"/>
              <w:bottom w:val="dashSmallGap" w:sz="4" w:space="0" w:color="808080" w:themeColor="background1" w:themeShade="80"/>
            </w:tcBorders>
            <w:vAlign w:val="center"/>
          </w:tcPr>
          <w:p w14:paraId="4F9227DA" w14:textId="2B443B8A" w:rsidR="00E04C15" w:rsidRDefault="00E04C15" w:rsidP="001D7502">
            <w:pPr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095" w:type="dxa"/>
            <w:tcBorders>
              <w:top w:val="dashSmallGap" w:sz="4" w:space="0" w:color="808080" w:themeColor="background1" w:themeShade="80"/>
              <w:bottom w:val="dashSmallGap" w:sz="4" w:space="0" w:color="808080" w:themeColor="background1" w:themeShade="80"/>
            </w:tcBorders>
            <w:vAlign w:val="center"/>
          </w:tcPr>
          <w:p w14:paraId="350FC40B" w14:textId="73ACD52D" w:rsidR="00E04C15" w:rsidRDefault="00E04C15" w:rsidP="001D7502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95" w:type="dxa"/>
            <w:tcBorders>
              <w:top w:val="dashSmallGap" w:sz="4" w:space="0" w:color="808080" w:themeColor="background1" w:themeShade="80"/>
              <w:bottom w:val="dashSmallGap" w:sz="4" w:space="0" w:color="808080" w:themeColor="background1" w:themeShade="80"/>
            </w:tcBorders>
            <w:vAlign w:val="center"/>
          </w:tcPr>
          <w:p w14:paraId="38E0986A" w14:textId="487B1A74" w:rsidR="00E04C15" w:rsidRDefault="00E04C15" w:rsidP="001D7502">
            <w:pPr>
              <w:jc w:val="center"/>
            </w:pPr>
            <w:r>
              <w:rPr>
                <w:color w:val="000000"/>
                <w:sz w:val="20"/>
              </w:rPr>
              <w:t>16,7%</w:t>
            </w:r>
          </w:p>
        </w:tc>
      </w:tr>
      <w:tr w:rsidR="00E04C15" w14:paraId="5B10DE2B" w14:textId="77777777" w:rsidTr="001D7502">
        <w:trPr>
          <w:trHeight w:val="292"/>
        </w:trPr>
        <w:tc>
          <w:tcPr>
            <w:tcW w:w="1095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</w:tcBorders>
            <w:vAlign w:val="center"/>
          </w:tcPr>
          <w:p w14:paraId="150559EB" w14:textId="35B2BEC4" w:rsidR="00E04C15" w:rsidRDefault="00E04C15" w:rsidP="001D7502">
            <w:pPr>
              <w:jc w:val="center"/>
            </w:pPr>
            <w:r>
              <w:rPr>
                <w:color w:val="000000"/>
                <w:sz w:val="20"/>
              </w:rPr>
              <w:t>Д-1</w:t>
            </w:r>
          </w:p>
        </w:tc>
        <w:tc>
          <w:tcPr>
            <w:tcW w:w="1561" w:type="dxa"/>
            <w:tcBorders>
              <w:top w:val="dashSmallGap" w:sz="4" w:space="0" w:color="808080" w:themeColor="background1" w:themeShade="80"/>
              <w:bottom w:val="dashSmallGap" w:sz="4" w:space="0" w:color="808080" w:themeColor="background1" w:themeShade="80"/>
            </w:tcBorders>
            <w:vAlign w:val="center"/>
          </w:tcPr>
          <w:p w14:paraId="09574492" w14:textId="254D2AE3" w:rsidR="00E04C15" w:rsidRDefault="00E04C15" w:rsidP="001D7502">
            <w:pPr>
              <w:jc w:val="center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561" w:type="dxa"/>
            <w:tcBorders>
              <w:top w:val="dashSmallGap" w:sz="4" w:space="0" w:color="808080" w:themeColor="background1" w:themeShade="80"/>
              <w:bottom w:val="dashSmallGap" w:sz="4" w:space="0" w:color="808080" w:themeColor="background1" w:themeShade="80"/>
            </w:tcBorders>
            <w:vAlign w:val="center"/>
          </w:tcPr>
          <w:p w14:paraId="73EE515A" w14:textId="1C731D76" w:rsidR="00E04C15" w:rsidRDefault="00E04C15" w:rsidP="001D7502">
            <w:pPr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095" w:type="dxa"/>
            <w:tcBorders>
              <w:top w:val="dashSmallGap" w:sz="4" w:space="0" w:color="808080" w:themeColor="background1" w:themeShade="80"/>
              <w:bottom w:val="dashSmallGap" w:sz="4" w:space="0" w:color="808080" w:themeColor="background1" w:themeShade="80"/>
            </w:tcBorders>
            <w:vAlign w:val="center"/>
          </w:tcPr>
          <w:p w14:paraId="18B3F25E" w14:textId="073DE6ED" w:rsidR="00E04C15" w:rsidRDefault="00E04C15" w:rsidP="001D7502">
            <w:pPr>
              <w:jc w:val="center"/>
            </w:pPr>
            <w:r>
              <w:rPr>
                <w:color w:val="000000"/>
                <w:sz w:val="20"/>
              </w:rPr>
              <w:t>26,1%</w:t>
            </w:r>
          </w:p>
        </w:tc>
        <w:tc>
          <w:tcPr>
            <w:tcW w:w="1561" w:type="dxa"/>
            <w:tcBorders>
              <w:top w:val="dashSmallGap" w:sz="4" w:space="0" w:color="808080" w:themeColor="background1" w:themeShade="80"/>
              <w:bottom w:val="dashSmallGap" w:sz="4" w:space="0" w:color="808080" w:themeColor="background1" w:themeShade="80"/>
            </w:tcBorders>
            <w:vAlign w:val="center"/>
          </w:tcPr>
          <w:p w14:paraId="4A65BF9D" w14:textId="6CD0C845" w:rsidR="00E04C15" w:rsidRDefault="00E04C15" w:rsidP="001D7502">
            <w:pPr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095" w:type="dxa"/>
            <w:tcBorders>
              <w:top w:val="dashSmallGap" w:sz="4" w:space="0" w:color="808080" w:themeColor="background1" w:themeShade="80"/>
              <w:bottom w:val="dashSmallGap" w:sz="4" w:space="0" w:color="808080" w:themeColor="background1" w:themeShade="80"/>
            </w:tcBorders>
            <w:vAlign w:val="center"/>
          </w:tcPr>
          <w:p w14:paraId="3C74BE1B" w14:textId="209FE56C" w:rsidR="00E04C15" w:rsidRDefault="00E04C15" w:rsidP="001D7502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95" w:type="dxa"/>
            <w:tcBorders>
              <w:top w:val="dashSmallGap" w:sz="4" w:space="0" w:color="808080" w:themeColor="background1" w:themeShade="80"/>
              <w:bottom w:val="dashSmallGap" w:sz="4" w:space="0" w:color="808080" w:themeColor="background1" w:themeShade="80"/>
            </w:tcBorders>
            <w:vAlign w:val="center"/>
          </w:tcPr>
          <w:p w14:paraId="65ADE401" w14:textId="31311882" w:rsidR="00E04C15" w:rsidRDefault="00E04C15" w:rsidP="001D7502">
            <w:pPr>
              <w:jc w:val="center"/>
            </w:pPr>
            <w:r>
              <w:rPr>
                <w:color w:val="000000"/>
                <w:sz w:val="20"/>
              </w:rPr>
              <w:t>27,3%</w:t>
            </w:r>
          </w:p>
        </w:tc>
      </w:tr>
      <w:tr w:rsidR="00E04C15" w14:paraId="21037C3E" w14:textId="77777777" w:rsidTr="001D7502">
        <w:trPr>
          <w:trHeight w:val="292"/>
        </w:trPr>
        <w:tc>
          <w:tcPr>
            <w:tcW w:w="1095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4" w:space="0" w:color="auto"/>
            </w:tcBorders>
            <w:vAlign w:val="center"/>
          </w:tcPr>
          <w:p w14:paraId="3127EF5D" w14:textId="4385F683" w:rsidR="00E04C15" w:rsidRDefault="00E04C15" w:rsidP="001D7502">
            <w:pPr>
              <w:jc w:val="center"/>
            </w:pPr>
            <w:r>
              <w:rPr>
                <w:color w:val="000000"/>
                <w:sz w:val="20"/>
              </w:rPr>
              <w:t>Д-2</w:t>
            </w:r>
          </w:p>
        </w:tc>
        <w:tc>
          <w:tcPr>
            <w:tcW w:w="1561" w:type="dxa"/>
            <w:tcBorders>
              <w:top w:val="dashSmallGap" w:sz="4" w:space="0" w:color="808080" w:themeColor="background1" w:themeShade="80"/>
              <w:bottom w:val="single" w:sz="4" w:space="0" w:color="auto"/>
            </w:tcBorders>
            <w:vAlign w:val="center"/>
          </w:tcPr>
          <w:p w14:paraId="64169129" w14:textId="054EDDC7" w:rsidR="00E04C15" w:rsidRDefault="00E04C15" w:rsidP="001D7502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61" w:type="dxa"/>
            <w:tcBorders>
              <w:top w:val="dashSmallGap" w:sz="4" w:space="0" w:color="808080" w:themeColor="background1" w:themeShade="80"/>
              <w:bottom w:val="single" w:sz="4" w:space="0" w:color="auto"/>
            </w:tcBorders>
            <w:vAlign w:val="center"/>
          </w:tcPr>
          <w:p w14:paraId="50CBAB95" w14:textId="3D9EDB22" w:rsidR="00E04C15" w:rsidRDefault="00E04C15" w:rsidP="001D7502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095" w:type="dxa"/>
            <w:tcBorders>
              <w:top w:val="dashSmallGap" w:sz="4" w:space="0" w:color="808080" w:themeColor="background1" w:themeShade="80"/>
              <w:bottom w:val="single" w:sz="4" w:space="0" w:color="auto"/>
            </w:tcBorders>
            <w:vAlign w:val="center"/>
          </w:tcPr>
          <w:p w14:paraId="30825D3B" w14:textId="124977E7" w:rsidR="00E04C15" w:rsidRDefault="00E04C15" w:rsidP="001D7502">
            <w:pPr>
              <w:jc w:val="center"/>
            </w:pPr>
            <w:r>
              <w:rPr>
                <w:color w:val="000000"/>
                <w:sz w:val="20"/>
              </w:rPr>
              <w:t>0,0%</w:t>
            </w:r>
          </w:p>
        </w:tc>
        <w:tc>
          <w:tcPr>
            <w:tcW w:w="1561" w:type="dxa"/>
            <w:tcBorders>
              <w:top w:val="dashSmallGap" w:sz="4" w:space="0" w:color="808080" w:themeColor="background1" w:themeShade="80"/>
              <w:bottom w:val="single" w:sz="4" w:space="0" w:color="auto"/>
            </w:tcBorders>
            <w:vAlign w:val="center"/>
          </w:tcPr>
          <w:p w14:paraId="143F5BB4" w14:textId="18E587E0" w:rsidR="00E04C15" w:rsidRDefault="00990AD1" w:rsidP="001D7502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95" w:type="dxa"/>
            <w:tcBorders>
              <w:top w:val="dashSmallGap" w:sz="4" w:space="0" w:color="808080" w:themeColor="background1" w:themeShade="80"/>
              <w:bottom w:val="single" w:sz="4" w:space="0" w:color="auto"/>
            </w:tcBorders>
            <w:vAlign w:val="center"/>
          </w:tcPr>
          <w:p w14:paraId="5DADD5DD" w14:textId="645FDEE7" w:rsidR="00E04C15" w:rsidRDefault="00E04C15" w:rsidP="001D7502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095" w:type="dxa"/>
            <w:tcBorders>
              <w:top w:val="dashSmallGap" w:sz="4" w:space="0" w:color="808080" w:themeColor="background1" w:themeShade="80"/>
              <w:bottom w:val="single" w:sz="4" w:space="0" w:color="auto"/>
            </w:tcBorders>
            <w:vAlign w:val="center"/>
          </w:tcPr>
          <w:p w14:paraId="70F27871" w14:textId="4CF7306A" w:rsidR="00E04C15" w:rsidRDefault="00E04C15" w:rsidP="001D7502">
            <w:pPr>
              <w:jc w:val="center"/>
            </w:pPr>
            <w:r>
              <w:rPr>
                <w:color w:val="000000"/>
                <w:sz w:val="20"/>
              </w:rPr>
              <w:t>0,0%</w:t>
            </w:r>
          </w:p>
        </w:tc>
      </w:tr>
      <w:tr w:rsidR="00E04C15" w14:paraId="12A2B807" w14:textId="77777777" w:rsidTr="001D7502">
        <w:trPr>
          <w:trHeight w:val="292"/>
        </w:trPr>
        <w:tc>
          <w:tcPr>
            <w:tcW w:w="1095" w:type="dxa"/>
            <w:shd w:val="clear" w:color="auto" w:fill="DDEBF7"/>
            <w:vAlign w:val="center"/>
          </w:tcPr>
          <w:p w14:paraId="1DC20D4C" w14:textId="6454B0BD" w:rsidR="00E04C15" w:rsidRDefault="00E04C15" w:rsidP="001D750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Итого</w:t>
            </w:r>
          </w:p>
        </w:tc>
        <w:tc>
          <w:tcPr>
            <w:tcW w:w="1561" w:type="dxa"/>
            <w:shd w:val="clear" w:color="auto" w:fill="DDEBF7"/>
            <w:vAlign w:val="center"/>
          </w:tcPr>
          <w:p w14:paraId="3884EDFB" w14:textId="200D31A2" w:rsidR="00E04C15" w:rsidRDefault="00E04C15" w:rsidP="001D750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46</w:t>
            </w:r>
          </w:p>
        </w:tc>
        <w:tc>
          <w:tcPr>
            <w:tcW w:w="1561" w:type="dxa"/>
            <w:shd w:val="clear" w:color="auto" w:fill="DDEBF7"/>
            <w:vAlign w:val="center"/>
          </w:tcPr>
          <w:p w14:paraId="5EAA9A10" w14:textId="3535C7B4" w:rsidR="00E04C15" w:rsidRDefault="00E04C15" w:rsidP="001D750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34</w:t>
            </w:r>
          </w:p>
        </w:tc>
        <w:tc>
          <w:tcPr>
            <w:tcW w:w="1095" w:type="dxa"/>
            <w:shd w:val="clear" w:color="auto" w:fill="DDEBF7"/>
            <w:vAlign w:val="center"/>
          </w:tcPr>
          <w:p w14:paraId="51E53685" w14:textId="6B3B128A" w:rsidR="00E04C15" w:rsidRDefault="00E04C15" w:rsidP="001D750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42,5%</w:t>
            </w:r>
          </w:p>
        </w:tc>
        <w:tc>
          <w:tcPr>
            <w:tcW w:w="1561" w:type="dxa"/>
            <w:shd w:val="clear" w:color="auto" w:fill="DDEBF7"/>
            <w:vAlign w:val="center"/>
          </w:tcPr>
          <w:p w14:paraId="61697CEF" w14:textId="150FB7B0" w:rsidR="00E04C15" w:rsidRDefault="00E04C15" w:rsidP="001D750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3</w:t>
            </w:r>
            <w:r w:rsidR="00990AD1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1095" w:type="dxa"/>
            <w:shd w:val="clear" w:color="auto" w:fill="DDEBF7"/>
            <w:vAlign w:val="center"/>
          </w:tcPr>
          <w:p w14:paraId="26EAB6E4" w14:textId="2EAD5168" w:rsidR="00E04C15" w:rsidRDefault="00E04C15" w:rsidP="001D750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17</w:t>
            </w:r>
          </w:p>
        </w:tc>
        <w:tc>
          <w:tcPr>
            <w:tcW w:w="1095" w:type="dxa"/>
            <w:shd w:val="clear" w:color="auto" w:fill="DDEBF7"/>
            <w:vAlign w:val="center"/>
          </w:tcPr>
          <w:p w14:paraId="1577090B" w14:textId="70FFB0C6" w:rsidR="00E04C15" w:rsidRDefault="00E04C15" w:rsidP="001D7502">
            <w:pPr>
              <w:jc w:val="center"/>
            </w:pPr>
            <w:r>
              <w:rPr>
                <w:b/>
                <w:bCs/>
                <w:color w:val="000000"/>
                <w:sz w:val="20"/>
              </w:rPr>
              <w:t>34%</w:t>
            </w:r>
          </w:p>
        </w:tc>
      </w:tr>
    </w:tbl>
    <w:p w14:paraId="3C0782A4" w14:textId="77777777" w:rsidR="00E04C15" w:rsidRPr="00E04C15" w:rsidRDefault="00E04C15" w:rsidP="00E04C15">
      <w:pPr>
        <w:rPr>
          <w:szCs w:val="22"/>
        </w:rPr>
      </w:pPr>
    </w:p>
    <w:p w14:paraId="1CED35B1" w14:textId="4B78DB80" w:rsidR="007A39DA" w:rsidRPr="0006645A" w:rsidRDefault="007A39DA" w:rsidP="00C3517A">
      <w:pPr>
        <w:pStyle w:val="ListParagraph"/>
        <w:numPr>
          <w:ilvl w:val="0"/>
          <w:numId w:val="4"/>
        </w:numPr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Еще одно важное направление информационной работы Секретариата связано с инициативой</w:t>
      </w:r>
      <w:r w:rsidRPr="0006645A">
        <w:rPr>
          <w:rStyle w:val="FootnoteReference"/>
          <w:rFonts w:ascii="Arial" w:hAnsi="Arial" w:cs="Arial"/>
          <w:sz w:val="22"/>
          <w:szCs w:val="22"/>
        </w:rPr>
        <w:footnoteReference w:id="12"/>
      </w:r>
      <w:r>
        <w:rPr>
          <w:rFonts w:ascii="Arial" w:hAnsi="Arial"/>
          <w:sz w:val="22"/>
          <w:szCs w:val="22"/>
        </w:rPr>
        <w:t>, утвержденной Координационным комитетом ВОИС и ориентированной на непредставленные государства-члены.</w:t>
      </w:r>
      <w:r w:rsidR="008A4DD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Увеличилось число непредставленных государств-членов, которые назначили координатора для оказания содействия ВОИС: к настоящему моменту государствами-членами назначены 46 координаторов, причем некоторые из этих государств-членов уже получили представительство.</w:t>
      </w:r>
      <w:r w:rsidR="008A4DD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Мероприятия по взаимодействию с координаторами и их консультированию включают проведение вводных вебинаров, предоставление данных о заявлениях граждан соответствующих стран, автоматизированное распространение информации о вакансиях ВОИС уровня специалистов и директоров, а также сотрудничество в целях выявления местной сети и каналов поддержки этой инициативы.</w:t>
      </w:r>
    </w:p>
    <w:p w14:paraId="5331790D" w14:textId="77777777" w:rsidR="007A39DA" w:rsidRPr="0006645A" w:rsidRDefault="007A39DA" w:rsidP="007A39DA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2BFDD8F1" w14:textId="6E026659" w:rsidR="007A39DA" w:rsidRPr="0006645A" w:rsidRDefault="007A39DA" w:rsidP="00C3517A">
      <w:pPr>
        <w:pStyle w:val="ListParagraph"/>
        <w:numPr>
          <w:ilvl w:val="0"/>
          <w:numId w:val="4"/>
        </w:numPr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Кроме того, Департамент управления людскими ресурсами (ДУЛР) взаимодействует с другими подразделениями Организации в целях включения компонента, связанного с информационной работой, в различные миссии и мероприятия, организуемые в государствах-членах.</w:t>
      </w:r>
      <w:r w:rsidR="008A4DD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 2019</w:t>
      </w:r>
      <w:r w:rsidR="00D420DB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г. в ходе национальных и региональных мероприятий в пяти регионах (Африка, Азиатско-Тихоокеанский регион, Центральная и Восточная Европа и Центральная Азия, Латинская Америка и Карибский бассейн, Ближний Восток) проводились информационные презентации, которые посетили граждане 27 государств — членов ВОИС.</w:t>
      </w:r>
      <w:r w:rsidR="008A4DD7">
        <w:rPr>
          <w:rFonts w:ascii="Arial" w:hAnsi="Arial"/>
          <w:sz w:val="22"/>
          <w:szCs w:val="22"/>
        </w:rPr>
        <w:t xml:space="preserve"> </w:t>
      </w:r>
    </w:p>
    <w:p w14:paraId="44785AA2" w14:textId="7486D768" w:rsidR="007A39DA" w:rsidRPr="0006645A" w:rsidRDefault="007A39DA" w:rsidP="007A39DA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1E692772" w14:textId="19876609" w:rsidR="005E4B6D" w:rsidRDefault="007A39DA" w:rsidP="00C3517A">
      <w:pPr>
        <w:pStyle w:val="ListParagraph"/>
        <w:numPr>
          <w:ilvl w:val="0"/>
          <w:numId w:val="4"/>
        </w:numPr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Благодаря этому многовекторному подходу к информационной работе, в ходе двухлетнего периода 2018–2019 гг. наблюдалось значительное увеличение доли кандидатов из непредставленных государств-членов (13,8 процента) по сравнению с предыдущим двухлетним периодом (7,4 процента), при этом в 2019</w:t>
      </w:r>
      <w:r w:rsidR="00D420DB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г. было назначено пять кандидатов из ранее непредставленных государств-членов.</w:t>
      </w:r>
    </w:p>
    <w:p w14:paraId="6CEB5866" w14:textId="3B63FE05" w:rsidR="001C2496" w:rsidRPr="0006645A" w:rsidRDefault="001C2496" w:rsidP="001C2496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5E6F1941" w14:textId="6267CC8C" w:rsidR="005E4B6D" w:rsidRPr="0006645A" w:rsidRDefault="007A39DA" w:rsidP="00C3517A">
      <w:pPr>
        <w:pStyle w:val="ListParagraph"/>
        <w:numPr>
          <w:ilvl w:val="0"/>
          <w:numId w:val="4"/>
        </w:numPr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Программа стажировок является важным источником молодых кадров.</w:t>
      </w:r>
      <w:r w:rsidR="008A4DD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</w:t>
      </w:r>
      <w:r w:rsidR="00AE2408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результате улучшения условий реализации программы она стала более доступной, а число национальностей, представленных стажерами, в 2019</w:t>
      </w:r>
      <w:r w:rsidR="00D420DB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г. увеличилось на</w:t>
      </w:r>
      <w:r w:rsidR="00AE2408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25 процентов и составило</w:t>
      </w:r>
      <w:r w:rsidR="00D420DB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25, тогда как в 2018</w:t>
      </w:r>
      <w:r w:rsidR="00D420DB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г. их было</w:t>
      </w:r>
      <w:r w:rsidR="00D420DB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20.</w:t>
      </w:r>
      <w:r w:rsidR="008A4DD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ВОИС гордится тем, что 100 процентов опрошенных </w:t>
      </w:r>
      <w:r w:rsidR="00AE2408">
        <w:rPr>
          <w:rFonts w:ascii="Arial" w:hAnsi="Arial"/>
          <w:sz w:val="22"/>
          <w:szCs w:val="22"/>
        </w:rPr>
        <w:t>стажеров</w:t>
      </w:r>
      <w:r>
        <w:rPr>
          <w:rFonts w:ascii="Arial" w:hAnsi="Arial"/>
          <w:sz w:val="22"/>
          <w:szCs w:val="22"/>
        </w:rPr>
        <w:t xml:space="preserve"> удовлетворены результатами программы и готовы порекомендовать ВОИС в качестве предпочтительного работодателя. При этом 96 процентов </w:t>
      </w:r>
      <w:r w:rsidR="00AE2408">
        <w:rPr>
          <w:rFonts w:ascii="Arial" w:hAnsi="Arial"/>
          <w:sz w:val="22"/>
          <w:szCs w:val="22"/>
        </w:rPr>
        <w:t xml:space="preserve">опрошенных </w:t>
      </w:r>
      <w:r>
        <w:rPr>
          <w:rFonts w:ascii="Arial" w:hAnsi="Arial"/>
          <w:sz w:val="22"/>
          <w:szCs w:val="22"/>
        </w:rPr>
        <w:t>заявили, что благодаря стажировке их позиции на рынке труда улучшились. Еще одним показателем являются результаты опроса, проведенного в</w:t>
      </w:r>
      <w:r w:rsidR="00D420DB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рамках Инициативы «Справедливая стажировка» в 2019 г. Этот опрос показал, что Программа стажировок ВОИС относится к числу лучших подобных программ в</w:t>
      </w:r>
      <w:r w:rsidR="00D420DB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 xml:space="preserve">международных организациях. </w:t>
      </w:r>
    </w:p>
    <w:p w14:paraId="3739F2B9" w14:textId="77777777" w:rsidR="005E4B6D" w:rsidRPr="0006645A" w:rsidRDefault="005E4B6D" w:rsidP="005E4B6D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171B1208" w14:textId="587BD872" w:rsidR="001A2401" w:rsidRPr="0006645A" w:rsidRDefault="0023494A" w:rsidP="00C3517A">
      <w:pPr>
        <w:pStyle w:val="ListParagraph"/>
        <w:numPr>
          <w:ilvl w:val="0"/>
          <w:numId w:val="4"/>
        </w:numPr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Программы стажировок и стипендий стали </w:t>
      </w:r>
      <w:r w:rsidR="00AE2408">
        <w:rPr>
          <w:rFonts w:ascii="Arial" w:hAnsi="Arial"/>
          <w:sz w:val="22"/>
          <w:szCs w:val="22"/>
        </w:rPr>
        <w:t xml:space="preserve">для Организации </w:t>
      </w:r>
      <w:r>
        <w:rPr>
          <w:rFonts w:ascii="Arial" w:hAnsi="Arial"/>
          <w:sz w:val="22"/>
          <w:szCs w:val="22"/>
        </w:rPr>
        <w:t>механизмом привлечения и удержания молодых кадров</w:t>
      </w:r>
      <w:r w:rsidR="00AE2408">
        <w:rPr>
          <w:rFonts w:ascii="Arial" w:hAnsi="Arial"/>
          <w:sz w:val="22"/>
          <w:szCs w:val="22"/>
        </w:rPr>
        <w:t>, отличающихся разнообразием</w:t>
      </w:r>
      <w:r>
        <w:rPr>
          <w:rFonts w:ascii="Arial" w:hAnsi="Arial"/>
          <w:sz w:val="22"/>
          <w:szCs w:val="22"/>
        </w:rPr>
        <w:t>.</w:t>
      </w:r>
      <w:r w:rsidR="008A4DD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За семь лет с апреля 2013</w:t>
      </w:r>
      <w:r w:rsidR="00D420DB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г. по апрель 2020</w:t>
      </w:r>
      <w:r w:rsidR="00D420DB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г. 53 бывших стипендиата и стажера ВОИС, представляющие 26 различных национальностей, были назначены на временные должности (60 процентов) или на должности по срочным контрактам (40 процентов).</w:t>
      </w:r>
      <w:r w:rsidR="008A4DD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Женщины составили почти две трети (62 процента) от общего числа принятых на работу стажеров и стипендиатов, при этом средний возраст составлял 33</w:t>
      </w:r>
      <w:r w:rsidR="00D420DB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года.</w:t>
      </w:r>
      <w:r w:rsidR="008A4DD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Это говорит о том, что в течение этого периода 10 процентов участников программ стажировок и стипендий ВОИС остались в Организации.</w:t>
      </w:r>
      <w:r w:rsidR="008A4DD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Более подробная информация представлена на диаграммах ниже.</w:t>
      </w:r>
    </w:p>
    <w:p w14:paraId="048F8777" w14:textId="716EA16D" w:rsidR="001A2401" w:rsidRPr="0006645A" w:rsidRDefault="001A2401" w:rsidP="005E4B6D">
      <w:pPr>
        <w:rPr>
          <w:szCs w:val="22"/>
        </w:rPr>
      </w:pPr>
    </w:p>
    <w:p w14:paraId="40418A25" w14:textId="30658D03" w:rsidR="001A2401" w:rsidRPr="0006645A" w:rsidRDefault="001A2401" w:rsidP="00703C35">
      <w:pPr>
        <w:rPr>
          <w:b/>
          <w:szCs w:val="22"/>
        </w:rPr>
      </w:pPr>
    </w:p>
    <w:p w14:paraId="2D5D7BF8" w14:textId="2579DD25" w:rsidR="001A2401" w:rsidRPr="0006645A" w:rsidRDefault="00F82564" w:rsidP="00703C35">
      <w:pPr>
        <w:rPr>
          <w:b/>
          <w:szCs w:val="22"/>
        </w:rPr>
      </w:pPr>
      <w:r>
        <w:rPr>
          <w:b/>
          <w:noProof/>
          <w:szCs w:val="22"/>
          <w:lang w:val="en-US"/>
        </w:rPr>
        <w:drawing>
          <wp:inline distT="0" distB="0" distL="0" distR="0" wp14:anchorId="64D42F8F" wp14:editId="5E5940B6">
            <wp:extent cx="5773738" cy="1876021"/>
            <wp:effectExtent l="0" t="0" r="0" b="0"/>
            <wp:docPr id="3" name="Рисунок 3" descr="Назначение стажеров/стипендиатов в разбивке по классам и сектора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649" cy="1884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DB2E74" w14:textId="77777777" w:rsidR="00EC14D8" w:rsidRDefault="00EC14D8" w:rsidP="00BE7BC1">
      <w:pPr>
        <w:pStyle w:val="Heading2"/>
        <w:ind w:left="0"/>
      </w:pPr>
    </w:p>
    <w:p w14:paraId="50AE4D72" w14:textId="647133C0" w:rsidR="001A2401" w:rsidRPr="0006645A" w:rsidRDefault="001A2401" w:rsidP="00BE7BC1">
      <w:pPr>
        <w:pStyle w:val="Heading2"/>
        <w:ind w:left="0"/>
      </w:pPr>
      <w:r>
        <w:t xml:space="preserve">Раскрытие потенциала сотрудников </w:t>
      </w:r>
    </w:p>
    <w:p w14:paraId="08E0F145" w14:textId="77777777" w:rsidR="00A54E08" w:rsidRPr="0006645A" w:rsidRDefault="00A54E08" w:rsidP="00A54E08">
      <w:pPr>
        <w:rPr>
          <w:szCs w:val="22"/>
        </w:rPr>
      </w:pPr>
    </w:p>
    <w:p w14:paraId="641D3BB7" w14:textId="1A7C4F22" w:rsidR="0023494A" w:rsidRPr="0006645A" w:rsidRDefault="0023494A" w:rsidP="00442554">
      <w:pPr>
        <w:pStyle w:val="ListParagraph"/>
        <w:numPr>
          <w:ilvl w:val="0"/>
          <w:numId w:val="4"/>
        </w:numPr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ВОИС постепенно переходит к более гибкому подходу, направленному на активизацию имеющегося в Организации потенциала и использование других гибких кадровых решений более эффективным и контролируемым образом.</w:t>
      </w:r>
      <w:r w:rsidR="008A4DD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 этой связи в настоящее время ведется реализация пилотного проекта по повышению внутренней мобильности, с тем чтобы предоставить сотрудникам, имеющим срочные, непрерывные и постоянные контракты, возможность получать временные назначения на определенных условиях, сохраняя при этом свой контрактный статус и льготы.</w:t>
      </w:r>
      <w:r w:rsidR="008A4DD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Такие временные назначения позволяют сотрудникам расширить свой опыт и приобрести новые навыки в других областях деятельности Организации.</w:t>
      </w:r>
    </w:p>
    <w:p w14:paraId="5088D1A4" w14:textId="77777777" w:rsidR="0023494A" w:rsidRPr="0006645A" w:rsidRDefault="0023494A" w:rsidP="0023494A">
      <w:pPr>
        <w:pStyle w:val="ListParagraph"/>
        <w:tabs>
          <w:tab w:val="left" w:pos="540"/>
        </w:tabs>
        <w:ind w:left="0"/>
        <w:rPr>
          <w:rFonts w:ascii="Arial" w:hAnsi="Arial" w:cs="Arial"/>
          <w:sz w:val="22"/>
          <w:szCs w:val="22"/>
        </w:rPr>
      </w:pPr>
    </w:p>
    <w:p w14:paraId="0E22D358" w14:textId="1814FF36" w:rsidR="001A2401" w:rsidRDefault="0023494A" w:rsidP="00442554">
      <w:pPr>
        <w:pStyle w:val="ListParagraph"/>
        <w:numPr>
          <w:ilvl w:val="0"/>
          <w:numId w:val="4"/>
        </w:numPr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В целях укрепления возможностей Секретариата по точному прогнозированию будущих потребностей большее внимание также уделяется повышению качества аналитических данных о рабочих процессах, что позволяет проводить более тщательный анализ пробелов и использовать результаты этого анализа в процессе стратегического планирования.</w:t>
      </w:r>
      <w:r w:rsidR="008A4DD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Кроме того, продолжают изучаться преимущества использования искусственного интеллекта (ИИ) для совершенствования </w:t>
      </w:r>
      <w:r w:rsidR="00AE2408">
        <w:rPr>
          <w:rFonts w:ascii="Arial" w:hAnsi="Arial"/>
          <w:sz w:val="22"/>
          <w:szCs w:val="22"/>
        </w:rPr>
        <w:t xml:space="preserve">и сокращения объема </w:t>
      </w:r>
      <w:r>
        <w:rPr>
          <w:rFonts w:ascii="Arial" w:hAnsi="Arial"/>
          <w:sz w:val="22"/>
          <w:szCs w:val="22"/>
        </w:rPr>
        <w:t>процедур набора персонала, требующих значительных административных ресурсов; при этом особое внимание уделяется рискам, связанным с использованием этой технологии.</w:t>
      </w:r>
      <w:r w:rsidR="008A4DD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После пробного использования ИИ для скрининга резюме эта технология в настоящее время проходит апробацию в процессе скрининга заявок на прохождение стажировки и дает многообещающие результаты.</w:t>
      </w:r>
      <w:r w:rsidR="008A4DD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Есть потенциал для распространения этих преимуществ на другие сферы набора персонала.</w:t>
      </w:r>
    </w:p>
    <w:p w14:paraId="246532CA" w14:textId="77777777" w:rsidR="00BE7BC1" w:rsidRPr="00BE7BC1" w:rsidRDefault="00BE7BC1" w:rsidP="00BE7BC1">
      <w:pPr>
        <w:pStyle w:val="ListParagraph"/>
        <w:rPr>
          <w:rFonts w:ascii="Arial" w:hAnsi="Arial" w:cs="Arial"/>
          <w:sz w:val="22"/>
          <w:szCs w:val="22"/>
        </w:rPr>
      </w:pPr>
    </w:p>
    <w:p w14:paraId="6DE17E95" w14:textId="42496867" w:rsidR="00833315" w:rsidRPr="0006645A" w:rsidRDefault="00833315" w:rsidP="002A567B">
      <w:pPr>
        <w:pStyle w:val="Heading2"/>
        <w:rPr>
          <w:b/>
        </w:rPr>
      </w:pPr>
      <w:r>
        <w:t>ПРОФЕССИОНАЛЬНОЕ РАЗВИТИЕ И ОБУЧЕНИЕ СОТРУДНИКОВ</w:t>
      </w:r>
    </w:p>
    <w:p w14:paraId="530E9239" w14:textId="4B7ED9B7" w:rsidR="001A2401" w:rsidRPr="0006645A" w:rsidRDefault="001A2401" w:rsidP="00703C35">
      <w:pPr>
        <w:rPr>
          <w:szCs w:val="22"/>
        </w:rPr>
      </w:pPr>
    </w:p>
    <w:p w14:paraId="1D8A005E" w14:textId="677CF2E1" w:rsidR="00691ACA" w:rsidRPr="0006645A" w:rsidRDefault="000441D2" w:rsidP="00442554">
      <w:pPr>
        <w:pStyle w:val="Default"/>
        <w:numPr>
          <w:ilvl w:val="0"/>
          <w:numId w:val="4"/>
        </w:numPr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Общеорганизационная система управления обучением стала основной образовательной платформой для сотрудников и руководителей ВОИС, включая внешние бюро.</w:t>
      </w:r>
      <w:r w:rsidR="008A4DD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Она позволила Организации изучить новые цифровые методы обучения, такие как онлайновые курсы и видеоматериалы, в результате чего число слушателей учебных курсов почти удвоилось, увеличившись с</w:t>
      </w:r>
      <w:r w:rsidR="00D420DB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6266 до 12 385</w:t>
      </w:r>
      <w:r w:rsidR="00D420DB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человек.</w:t>
      </w:r>
    </w:p>
    <w:p w14:paraId="3F4B35B1" w14:textId="77777777" w:rsidR="0023494A" w:rsidRPr="0006645A" w:rsidRDefault="0023494A" w:rsidP="0023494A">
      <w:pPr>
        <w:pStyle w:val="Default"/>
        <w:rPr>
          <w:rFonts w:ascii="Arial" w:hAnsi="Arial" w:cs="Arial"/>
          <w:sz w:val="22"/>
          <w:szCs w:val="22"/>
        </w:rPr>
      </w:pPr>
    </w:p>
    <w:p w14:paraId="58EF5080" w14:textId="788F797B" w:rsidR="005451D3" w:rsidRPr="0006645A" w:rsidRDefault="000441D2" w:rsidP="00442554">
      <w:pPr>
        <w:pStyle w:val="Default"/>
        <w:numPr>
          <w:ilvl w:val="0"/>
          <w:numId w:val="4"/>
        </w:numPr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Значительное увеличение числа учебных дней (с</w:t>
      </w:r>
      <w:r w:rsidR="00D420DB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5435 до</w:t>
      </w:r>
      <w:r w:rsidR="00D420DB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6757) объясняется главным образом самостоятельным обучением в онлайновом режиме и очными занятиями по тематике обеспечения уважения и гармоничного взаимодействия на рабочем месте.</w:t>
      </w:r>
      <w:r w:rsidR="008A4DD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Аналогичным образом, прохождение обязательного курса BSAFE, а также недавно разработанные сессии, посвященные развитию навыков осознанности, значительно увеличили число обучающихся по категории «Здоровье, охрана труда и безопасность».</w:t>
      </w:r>
      <w:r w:rsidR="008A4DD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Также, благодаря более широкому участию в курсах Академии ВОИС</w:t>
      </w:r>
      <w:r w:rsidR="00AE2408">
        <w:rPr>
          <w:rFonts w:ascii="Arial" w:hAnsi="Arial"/>
          <w:sz w:val="22"/>
          <w:szCs w:val="22"/>
        </w:rPr>
        <w:t>,</w:t>
      </w:r>
      <w:r>
        <w:rPr>
          <w:rFonts w:ascii="Arial" w:hAnsi="Arial"/>
          <w:sz w:val="22"/>
          <w:szCs w:val="22"/>
        </w:rPr>
        <w:t xml:space="preserve"> наблюдается рост по категории «Интеллектуальная собственность».</w:t>
      </w:r>
      <w:r w:rsidR="008A4DD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Кроме того, тема «ИС и блокчейн-технологии» привлекла множество участников на конференцию, которая была организована ВОИС по этому вопросу.</w:t>
      </w:r>
      <w:r w:rsidR="008A4DD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Наконец, многие сотрудники прошли подготовку по использованию нового приложения «Поездки и встречи» (TAM); также был запущен новый обязательный онлайновый курс по повышению осведомленности о мошенничестве.</w:t>
      </w:r>
    </w:p>
    <w:p w14:paraId="38BA4FDD" w14:textId="77777777" w:rsidR="005451D3" w:rsidRPr="0006645A" w:rsidRDefault="005451D3" w:rsidP="00703C35">
      <w:pPr>
        <w:pStyle w:val="ListParagraph"/>
        <w:rPr>
          <w:rFonts w:ascii="Arial" w:hAnsi="Arial" w:cs="Arial"/>
          <w:sz w:val="22"/>
          <w:szCs w:val="22"/>
        </w:rPr>
      </w:pPr>
    </w:p>
    <w:p w14:paraId="42BDBDF6" w14:textId="33344CBC" w:rsidR="005451D3" w:rsidRPr="0006645A" w:rsidRDefault="004F7D93" w:rsidP="00442554">
      <w:pPr>
        <w:pStyle w:val="Default"/>
        <w:numPr>
          <w:ilvl w:val="0"/>
          <w:numId w:val="4"/>
        </w:numPr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Впервые сотрудникам, которые часто представляют ВОИС в прессе, было предложено пройти курс «Стратегическая подготовка к общению со СМИ».</w:t>
      </w:r>
      <w:r w:rsidR="008A4DD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Цель заключалась в том, чтобы повысить качество интервью в СМИ, научиться правильно реагировать на негативные новости и минимизировать ущерб, а также пользоваться инфоповодами. </w:t>
      </w:r>
    </w:p>
    <w:p w14:paraId="41A4D35E" w14:textId="77777777" w:rsidR="005451D3" w:rsidRPr="0006645A" w:rsidRDefault="005451D3" w:rsidP="00703C35">
      <w:pPr>
        <w:pStyle w:val="ListParagraph"/>
        <w:rPr>
          <w:rFonts w:ascii="Arial" w:hAnsi="Arial" w:cs="Arial"/>
          <w:sz w:val="22"/>
          <w:szCs w:val="22"/>
        </w:rPr>
      </w:pPr>
    </w:p>
    <w:p w14:paraId="3EBD97B0" w14:textId="26E3C1B2" w:rsidR="00833315" w:rsidRPr="0006645A" w:rsidRDefault="00BE4E4A" w:rsidP="00442554">
      <w:pPr>
        <w:pStyle w:val="Default"/>
        <w:numPr>
          <w:ilvl w:val="0"/>
          <w:numId w:val="4"/>
        </w:numPr>
        <w:spacing w:after="22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В результате введения режима изоляции все очные обучающие мероприятия были отменены с марта.</w:t>
      </w:r>
      <w:r w:rsidR="008A4DD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Это ускорило расширение спектра наших онлайн-курсов, а именно:</w:t>
      </w:r>
    </w:p>
    <w:p w14:paraId="1876B9BB" w14:textId="45421F55" w:rsidR="008664A8" w:rsidRDefault="000441D2" w:rsidP="00442554">
      <w:pPr>
        <w:pStyle w:val="ListParagraph"/>
        <w:numPr>
          <w:ilvl w:val="1"/>
          <w:numId w:val="8"/>
        </w:numPr>
        <w:ind w:left="540" w:firstLine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Поскольку проведение вебинаров становилось все более актуальным, с</w:t>
      </w:r>
      <w:r w:rsidR="00CB6821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этой целью был адаптирован традиционный тренинг по навыкам выступления, что помогло выступающим адаптировать свои презентации и почувствовать себя уверенно в виртуальном контексте.</w:t>
      </w:r>
      <w:r w:rsidR="008A4DD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Кроме того, с учетом виртуального контекста были адаптированы некоторые учебные курсы по ИТ, касающиеся инструментов MS Applications, а также курсы, связанные с развитием карьеры. </w:t>
      </w:r>
    </w:p>
    <w:p w14:paraId="14B21785" w14:textId="77777777" w:rsidR="008664A8" w:rsidRDefault="008664A8" w:rsidP="008664A8">
      <w:pPr>
        <w:pStyle w:val="ListParagraph"/>
        <w:tabs>
          <w:tab w:val="left" w:pos="1440"/>
        </w:tabs>
        <w:ind w:left="1267"/>
        <w:rPr>
          <w:rFonts w:ascii="Arial" w:hAnsi="Arial" w:cs="Arial"/>
          <w:sz w:val="22"/>
          <w:szCs w:val="22"/>
        </w:rPr>
      </w:pPr>
    </w:p>
    <w:p w14:paraId="03762084" w14:textId="2425054A" w:rsidR="008664A8" w:rsidRDefault="000441D2" w:rsidP="00442554">
      <w:pPr>
        <w:pStyle w:val="ListParagraph"/>
        <w:numPr>
          <w:ilvl w:val="1"/>
          <w:numId w:val="8"/>
        </w:numPr>
        <w:ind w:left="540" w:firstLine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Благодаря распространению лицензий для платформы онлайн-обучения LinkedIn Learning число коллег, использующих эту платформу, достигло примерно 250 человек.</w:t>
      </w:r>
      <w:r w:rsidR="008A4DD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Высокую оценку участвующих сотрудников получили видеоматериалы по широкому кругу тем, особенно те из них, которые касаются удаленной работы.</w:t>
      </w:r>
    </w:p>
    <w:p w14:paraId="032D3BAC" w14:textId="567D786F" w:rsidR="008664A8" w:rsidRPr="008664A8" w:rsidRDefault="008664A8" w:rsidP="00442554">
      <w:pPr>
        <w:ind w:left="540"/>
        <w:rPr>
          <w:szCs w:val="22"/>
        </w:rPr>
      </w:pPr>
    </w:p>
    <w:p w14:paraId="2EE8C0C7" w14:textId="6BDB7498" w:rsidR="008664A8" w:rsidRDefault="00836284" w:rsidP="00442554">
      <w:pPr>
        <w:pStyle w:val="ListParagraph"/>
        <w:numPr>
          <w:ilvl w:val="1"/>
          <w:numId w:val="8"/>
        </w:numPr>
        <w:ind w:left="540" w:firstLine="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Предоставление доступа к обучающим играм, охватывающим несколько тем, таких как переговоры и урегулирование конфликтов, обслуживание клиентов и организация рабочего времени/личная производительность, а также организация курсов по вопросам удаленной работы, которые функционируют через программу дистанционного обучения и охватывают следующие темы, направленные на оказание помощи сотрудникам и руководителям ВОИС в адаптации к новым реалиям удаленной работы: инструменты + правила, пространство + рутина, доверие + связи и неопределенность + устойчивость.</w:t>
      </w:r>
    </w:p>
    <w:p w14:paraId="6C944FB0" w14:textId="77777777" w:rsidR="008664A8" w:rsidRPr="008664A8" w:rsidRDefault="008664A8" w:rsidP="008664A8">
      <w:pPr>
        <w:pStyle w:val="ListParagraph"/>
        <w:rPr>
          <w:rFonts w:ascii="Arial" w:hAnsi="Arial" w:cs="Arial"/>
          <w:sz w:val="22"/>
          <w:szCs w:val="22"/>
        </w:rPr>
      </w:pPr>
    </w:p>
    <w:p w14:paraId="077B96A0" w14:textId="56772F8A" w:rsidR="00833315" w:rsidRDefault="00836284" w:rsidP="00442554">
      <w:pPr>
        <w:pStyle w:val="ListParagraph"/>
        <w:numPr>
          <w:ilvl w:val="1"/>
          <w:numId w:val="8"/>
        </w:numPr>
        <w:ind w:left="540" w:firstLine="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В период действия режима изоляции все занятия по изучению иностранных языков проводились удаленно через систему виртуальной аудитории.</w:t>
      </w:r>
    </w:p>
    <w:p w14:paraId="3567AAA2" w14:textId="0D8B0AD3" w:rsidR="00344BC1" w:rsidRPr="00344BC1" w:rsidRDefault="00344BC1" w:rsidP="00344BC1">
      <w:pPr>
        <w:tabs>
          <w:tab w:val="left" w:pos="1440"/>
        </w:tabs>
        <w:rPr>
          <w:szCs w:val="22"/>
        </w:rPr>
      </w:pPr>
    </w:p>
    <w:p w14:paraId="07AD51FE" w14:textId="765B57D3" w:rsidR="004B24AC" w:rsidRPr="00EC14D8" w:rsidRDefault="000441D2" w:rsidP="00442554">
      <w:pPr>
        <w:pStyle w:val="ListParagraph"/>
        <w:numPr>
          <w:ilvl w:val="0"/>
          <w:numId w:val="4"/>
        </w:numPr>
        <w:ind w:left="0" w:firstLine="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В начале 2020</w:t>
      </w:r>
      <w:r w:rsidR="00D420DB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г. в международных организациях, включая ВОИС, была создана сеть внутриорганизационных наставников.</w:t>
      </w:r>
      <w:r w:rsidR="008A4DD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Целью этой сети является обмен передовым опытом, создание общих рамочных основ и обеспечение внутреннего наставничества для участвующих организаций.</w:t>
      </w:r>
      <w:r w:rsidR="008A4DD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Шесть членов внутренней группы наставников ВОИС также предлагали свои услуги лицам, которые нуждались в наставничестве или просто хотели поговорить в период действия режима изоляции.</w:t>
      </w:r>
      <w:r w:rsidR="008A4DD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</w:t>
      </w:r>
      <w:r w:rsidR="007F08DE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течение отчетного периода наставничество проводилось для 22 сотрудников и длилось в общей сложности 73,5</w:t>
      </w:r>
      <w:r w:rsidR="00D420DB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 xml:space="preserve">часа. </w:t>
      </w:r>
    </w:p>
    <w:p w14:paraId="0392C113" w14:textId="77777777" w:rsidR="00EC14D8" w:rsidRPr="00EC14D8" w:rsidRDefault="00EC14D8" w:rsidP="00442554">
      <w:pPr>
        <w:pStyle w:val="ListParagraph"/>
        <w:ind w:left="0"/>
        <w:contextualSpacing w:val="0"/>
        <w:rPr>
          <w:rFonts w:ascii="Arial" w:hAnsi="Arial" w:cs="Arial"/>
          <w:sz w:val="22"/>
          <w:szCs w:val="22"/>
        </w:rPr>
      </w:pPr>
    </w:p>
    <w:p w14:paraId="2C1C8438" w14:textId="5D6E7291" w:rsidR="000441D2" w:rsidRPr="00EC14D8" w:rsidRDefault="000441D2" w:rsidP="00442554">
      <w:pPr>
        <w:pStyle w:val="ListParagraph"/>
        <w:numPr>
          <w:ilvl w:val="0"/>
          <w:numId w:val="4"/>
        </w:numPr>
        <w:ind w:left="0" w:firstLine="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В конце 2019</w:t>
      </w:r>
      <w:r w:rsidR="00D420DB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г. был успешно завершен второй цикл Пилотной программы ВОИС по наставничеству, в ходе которого была сформирована 21</w:t>
      </w:r>
      <w:r w:rsidR="00D420DB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пара слушатель-наставник.</w:t>
      </w:r>
      <w:r w:rsidR="008A4DD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 результате были выработаны следующие рекомендации: гибкая продолжительность программы, возможность выбора наставников слушателями, организация обучения наставничеству и предоставление рекомендаций как для наставников, так и для слушателей, а также использование подходящих инструментов для «Сети наставничества» (MentorNet), чтобы потенциальные слушатели могли ознакомиться с информацией о доступных наставниках.</w:t>
      </w:r>
    </w:p>
    <w:p w14:paraId="5D093361" w14:textId="77777777" w:rsidR="000441D2" w:rsidRPr="0006645A" w:rsidRDefault="000441D2" w:rsidP="000441D2">
      <w:pPr>
        <w:pStyle w:val="ListParagraph"/>
        <w:ind w:left="0"/>
        <w:contextualSpacing w:val="0"/>
        <w:rPr>
          <w:rFonts w:ascii="Arial" w:hAnsi="Arial" w:cs="Arial"/>
          <w:sz w:val="22"/>
          <w:szCs w:val="22"/>
        </w:rPr>
      </w:pPr>
    </w:p>
    <w:p w14:paraId="53A814A6" w14:textId="5DA02212" w:rsidR="00833315" w:rsidRPr="0006645A" w:rsidRDefault="000441D2" w:rsidP="00442554">
      <w:pPr>
        <w:pStyle w:val="ListParagraph"/>
        <w:numPr>
          <w:ilvl w:val="0"/>
          <w:numId w:val="4"/>
        </w:numPr>
        <w:ind w:left="0" w:firstLine="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ВОИС принимала участие в общесистемном обзоре ООН, который проводился Объединенной инспекционной группой (ОИГ), под названием «Политика, программы и платформы в поддержку обучения: на пути к большей согласованности, координации и сближению».</w:t>
      </w:r>
      <w:r w:rsidR="008A4DD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 проекте доклада и рекомендаций основное внимание уделяется стратегическому значению обучения для всех подразделений системы ООН и предлагаются конкретные действия, такие как оценка воздействия учебных программ, пересмотр Организационного рамочного механизма обучения и повышение статуса существующего Форума руководителей по вопросам обучения до уровня сети Координационного совета руководителей.</w:t>
      </w:r>
    </w:p>
    <w:p w14:paraId="722D124C" w14:textId="77777777" w:rsidR="00833315" w:rsidRPr="0006645A" w:rsidRDefault="00833315" w:rsidP="00703C35">
      <w:pPr>
        <w:pStyle w:val="Default"/>
        <w:rPr>
          <w:rFonts w:ascii="Arial" w:hAnsi="Arial" w:cs="Arial"/>
          <w:sz w:val="22"/>
          <w:szCs w:val="22"/>
        </w:rPr>
      </w:pPr>
    </w:p>
    <w:p w14:paraId="6A5E646C" w14:textId="0BC1BC92" w:rsidR="005A4B1C" w:rsidRPr="0006645A" w:rsidRDefault="00202584" w:rsidP="002A567B">
      <w:pPr>
        <w:pStyle w:val="Heading2"/>
      </w:pPr>
      <w:r>
        <w:t>ПРЕДОСТАВЛЕНИЕ УСЛУГ СОТРУДНИКАМ</w:t>
      </w:r>
    </w:p>
    <w:p w14:paraId="0990BDDF" w14:textId="77777777" w:rsidR="005A4B1C" w:rsidRPr="0006645A" w:rsidRDefault="005A4B1C" w:rsidP="005A4B1C">
      <w:pPr>
        <w:pStyle w:val="Default"/>
        <w:ind w:firstLine="567"/>
        <w:rPr>
          <w:rFonts w:ascii="Arial" w:hAnsi="Arial" w:cs="Arial"/>
          <w:i/>
          <w:sz w:val="22"/>
          <w:szCs w:val="22"/>
        </w:rPr>
      </w:pPr>
    </w:p>
    <w:p w14:paraId="77FE4B1C" w14:textId="77C6BE53" w:rsidR="004A13CA" w:rsidRPr="0006645A" w:rsidRDefault="000441D2" w:rsidP="00442554">
      <w:pPr>
        <w:pStyle w:val="ListParagraph"/>
        <w:numPr>
          <w:ilvl w:val="0"/>
          <w:numId w:val="4"/>
        </w:numPr>
        <w:ind w:left="0" w:firstLine="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В рамках общеорганизационной работы, направленной на сокращение объема бумажных материалов, а также обеспечение доступа к информации и обмена ею в целях эффективного выполнения ДУЛР своих обязанностей, в 2019 г. началось внедрение платформы для Управления корпоративным контентом (ECM): платформы KIC ECM.</w:t>
      </w:r>
      <w:r w:rsidR="008A4DD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Она позволяет ДУЛР осуществлять электронный документооборот в целях ускорения и отслеживания процессов, а также дает инструменты для защиты и сохранения корпоративных информационных активов ВОИС.</w:t>
      </w:r>
      <w:r w:rsidR="008A4DD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Внедрение в процессы ДУЛР электронной системы ведения документации является важным шагом вперед, позволяющим создать единое цифровое хранилище документов и материалов, касающихся сотрудников, вместо того, чтобы использовать существующую бумажную документацию.</w:t>
      </w:r>
      <w:r w:rsidR="008A4DD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 числу других преимуществ и возможностей относятся следующие: мощный поиск и автоматизированное управление версиями документов, безопасное и гибкое управление доступом к документам, безопасное хранилище, соответствующее действующим стандартам и требованиям в отношении доступности услуг для критически важных корпоративных систем, а также возможность сканирования документов непосредственно в систему.</w:t>
      </w:r>
    </w:p>
    <w:p w14:paraId="5E612E5F" w14:textId="77777777" w:rsidR="009B0F5E" w:rsidRPr="0006645A" w:rsidRDefault="009B0F5E" w:rsidP="00442554">
      <w:pPr>
        <w:pStyle w:val="ListParagraph"/>
        <w:ind w:left="0"/>
        <w:contextualSpacing w:val="0"/>
        <w:rPr>
          <w:rFonts w:ascii="Arial" w:hAnsi="Arial" w:cs="Arial"/>
          <w:sz w:val="22"/>
          <w:szCs w:val="22"/>
        </w:rPr>
      </w:pPr>
    </w:p>
    <w:p w14:paraId="3D9B8D54" w14:textId="3F49A9D3" w:rsidR="009B0F5E" w:rsidRPr="0006645A" w:rsidRDefault="009B0F5E" w:rsidP="00442554">
      <w:pPr>
        <w:pStyle w:val="null"/>
        <w:numPr>
          <w:ilvl w:val="0"/>
          <w:numId w:val="4"/>
        </w:numPr>
        <w:tabs>
          <w:tab w:val="left" w:pos="90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Style w:val="null1"/>
          <w:rFonts w:ascii="Arial" w:hAnsi="Arial"/>
          <w:sz w:val="22"/>
          <w:szCs w:val="22"/>
        </w:rPr>
        <w:t>Новая функция ПОР/СУАИ для учета сверхурочного времени, запущенная в 2019 г., начала работать в полную силу во второй половине 2019 г.</w:t>
      </w:r>
      <w:r w:rsidR="008A4DD7">
        <w:rPr>
          <w:rStyle w:val="null1"/>
          <w:rFonts w:ascii="Arial" w:hAnsi="Arial"/>
          <w:sz w:val="22"/>
          <w:szCs w:val="22"/>
        </w:rPr>
        <w:t xml:space="preserve"> </w:t>
      </w:r>
      <w:r>
        <w:rPr>
          <w:rStyle w:val="null1"/>
          <w:rFonts w:ascii="Arial" w:hAnsi="Arial"/>
          <w:sz w:val="22"/>
          <w:szCs w:val="22"/>
        </w:rPr>
        <w:t>В результате все заявки, разрешения, подтверждения и платежи, связанные со сверхурочной работой, стали обрабатываться в полностью безбумажном режиме.</w:t>
      </w:r>
    </w:p>
    <w:p w14:paraId="68CF28FE" w14:textId="77777777" w:rsidR="004A13CA" w:rsidRPr="0006645A" w:rsidRDefault="004A13CA" w:rsidP="00442554">
      <w:pPr>
        <w:pStyle w:val="ListParagraph"/>
        <w:ind w:left="0"/>
        <w:contextualSpacing w:val="0"/>
        <w:rPr>
          <w:rFonts w:ascii="Arial" w:hAnsi="Arial" w:cs="Arial"/>
          <w:sz w:val="22"/>
          <w:szCs w:val="22"/>
        </w:rPr>
      </w:pPr>
    </w:p>
    <w:p w14:paraId="30334B73" w14:textId="0334AC18" w:rsidR="004A13CA" w:rsidRPr="0006645A" w:rsidRDefault="004A13CA" w:rsidP="00442554">
      <w:pPr>
        <w:pStyle w:val="ListParagraph"/>
        <w:numPr>
          <w:ilvl w:val="0"/>
          <w:numId w:val="4"/>
        </w:numPr>
        <w:ind w:left="0" w:firstLine="0"/>
        <w:contextualSpacing w:val="0"/>
        <w:rPr>
          <w:rFonts w:ascii="Arial" w:hAnsi="Arial" w:cs="Arial"/>
          <w:sz w:val="22"/>
          <w:szCs w:val="22"/>
        </w:rPr>
      </w:pPr>
      <w:r>
        <w:rPr>
          <w:rStyle w:val="null1"/>
          <w:rFonts w:ascii="Arial" w:hAnsi="Arial"/>
          <w:sz w:val="22"/>
          <w:szCs w:val="22"/>
        </w:rPr>
        <w:t>Процесс проведения конкурса и выбора страховой компании по коллективному медицинскому страхованию и страхованию от несчастных случаев, который начался в сентябре 2019</w:t>
      </w:r>
      <w:r w:rsidR="00D420DB">
        <w:rPr>
          <w:rStyle w:val="null1"/>
          <w:rFonts w:ascii="Arial" w:hAnsi="Arial"/>
          <w:sz w:val="22"/>
          <w:szCs w:val="22"/>
        </w:rPr>
        <w:t> </w:t>
      </w:r>
      <w:r>
        <w:rPr>
          <w:rStyle w:val="null1"/>
          <w:rFonts w:ascii="Arial" w:hAnsi="Arial"/>
          <w:sz w:val="22"/>
          <w:szCs w:val="22"/>
        </w:rPr>
        <w:t>г., завершился в июне 2020</w:t>
      </w:r>
      <w:r w:rsidR="00D420DB">
        <w:rPr>
          <w:rStyle w:val="null1"/>
          <w:rFonts w:ascii="Arial" w:hAnsi="Arial"/>
          <w:sz w:val="22"/>
          <w:szCs w:val="22"/>
        </w:rPr>
        <w:t> </w:t>
      </w:r>
      <w:r>
        <w:rPr>
          <w:rStyle w:val="null1"/>
          <w:rFonts w:ascii="Arial" w:hAnsi="Arial"/>
          <w:sz w:val="22"/>
          <w:szCs w:val="22"/>
        </w:rPr>
        <w:t>г. после процедуры отбора, состоявшей из двух этапов: технического и финансового. В результате по обоим видам страхования была утверждена одна и та же страховая компания. Страховой взнос по медицинскому страхованию возрастет незначительно — примерно на 3,5</w:t>
      </w:r>
      <w:r w:rsidR="00D420DB">
        <w:rPr>
          <w:rStyle w:val="null1"/>
          <w:rFonts w:ascii="Arial" w:hAnsi="Arial"/>
          <w:sz w:val="22"/>
          <w:szCs w:val="22"/>
        </w:rPr>
        <w:t> </w:t>
      </w:r>
      <w:r>
        <w:rPr>
          <w:rStyle w:val="null1"/>
          <w:rFonts w:ascii="Arial" w:hAnsi="Arial"/>
          <w:sz w:val="22"/>
          <w:szCs w:val="22"/>
        </w:rPr>
        <w:t>процента, а увеличение взноса по страхованию от несчастных случаев, связанных с выполнением служебных обязанностей, будет более существенным и составит 7 процентов.</w:t>
      </w:r>
      <w:r>
        <w:rPr>
          <w:rFonts w:ascii="Arial" w:hAnsi="Arial"/>
          <w:sz w:val="22"/>
          <w:szCs w:val="22"/>
        </w:rPr>
        <w:t xml:space="preserve"> </w:t>
      </w:r>
      <w:r>
        <w:rPr>
          <w:rStyle w:val="null1"/>
          <w:rFonts w:ascii="Arial" w:hAnsi="Arial"/>
          <w:sz w:val="22"/>
          <w:szCs w:val="22"/>
        </w:rPr>
        <w:t>Переговоры по конкретным условиям контракта будут продолжаться, с тем чтобы они вступили в силу 1</w:t>
      </w:r>
      <w:r w:rsidR="00D420DB">
        <w:rPr>
          <w:rStyle w:val="null1"/>
          <w:rFonts w:ascii="Arial" w:hAnsi="Arial"/>
          <w:sz w:val="22"/>
          <w:szCs w:val="22"/>
        </w:rPr>
        <w:t> </w:t>
      </w:r>
      <w:r>
        <w:rPr>
          <w:rStyle w:val="null1"/>
          <w:rFonts w:ascii="Arial" w:hAnsi="Arial"/>
          <w:sz w:val="22"/>
          <w:szCs w:val="22"/>
        </w:rPr>
        <w:t>января 2021</w:t>
      </w:r>
      <w:r w:rsidR="00D420DB">
        <w:rPr>
          <w:rStyle w:val="null1"/>
          <w:rFonts w:ascii="Arial" w:hAnsi="Arial"/>
          <w:sz w:val="22"/>
          <w:szCs w:val="22"/>
        </w:rPr>
        <w:t> </w:t>
      </w:r>
      <w:r>
        <w:rPr>
          <w:rStyle w:val="null1"/>
          <w:rFonts w:ascii="Arial" w:hAnsi="Arial"/>
          <w:sz w:val="22"/>
          <w:szCs w:val="22"/>
        </w:rPr>
        <w:t>г.</w:t>
      </w:r>
    </w:p>
    <w:p w14:paraId="2B74ECCB" w14:textId="77777777" w:rsidR="007F7CAE" w:rsidRPr="00060B3C" w:rsidRDefault="007F7CAE" w:rsidP="00B232E5">
      <w:pPr>
        <w:pStyle w:val="Default"/>
        <w:ind w:firstLine="567"/>
        <w:rPr>
          <w:rFonts w:ascii="Arial" w:hAnsi="Arial" w:cs="Arial"/>
          <w:sz w:val="22"/>
          <w:szCs w:val="22"/>
        </w:rPr>
      </w:pPr>
    </w:p>
    <w:p w14:paraId="3823B27F" w14:textId="5D14D71D" w:rsidR="00EC14D8" w:rsidRDefault="00EC14D8">
      <w:pPr>
        <w:rPr>
          <w:rFonts w:eastAsia="SimSun"/>
          <w:bCs/>
          <w:iCs/>
          <w:caps/>
          <w:szCs w:val="28"/>
        </w:rPr>
      </w:pPr>
    </w:p>
    <w:p w14:paraId="1D550977" w14:textId="6CB007AF" w:rsidR="00833315" w:rsidRPr="0006645A" w:rsidRDefault="00833315" w:rsidP="002A567B">
      <w:pPr>
        <w:pStyle w:val="Heading2"/>
        <w:rPr>
          <w:i/>
        </w:rPr>
      </w:pPr>
      <w:r>
        <w:t>СОЗДАНИЕ ПОТЕНЦИАЛА ДЛЯ БУДУЩЕГО</w:t>
      </w:r>
    </w:p>
    <w:p w14:paraId="6258ED8D" w14:textId="77777777" w:rsidR="00833315" w:rsidRPr="0006645A" w:rsidRDefault="00833315" w:rsidP="00703C35">
      <w:pPr>
        <w:pStyle w:val="Default"/>
        <w:rPr>
          <w:rFonts w:ascii="Arial" w:hAnsi="Arial" w:cs="Arial"/>
          <w:sz w:val="22"/>
          <w:szCs w:val="22"/>
        </w:rPr>
      </w:pPr>
    </w:p>
    <w:p w14:paraId="07472A9F" w14:textId="717C011D" w:rsidR="007C0710" w:rsidRPr="0006645A" w:rsidRDefault="000441D2" w:rsidP="00442554">
      <w:pPr>
        <w:pStyle w:val="Default"/>
        <w:numPr>
          <w:ilvl w:val="0"/>
          <w:numId w:val="4"/>
        </w:numPr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В ВОИС была создана межсекторальная дискуссионная группа для обсуждения вопросов, связанных с будущим трудовой деятельности</w:t>
      </w:r>
      <w:r w:rsidR="00205D14">
        <w:rPr>
          <w:rFonts w:ascii="Arial" w:hAnsi="Arial"/>
          <w:sz w:val="22"/>
          <w:szCs w:val="22"/>
        </w:rPr>
        <w:t>,</w:t>
      </w:r>
      <w:r>
        <w:rPr>
          <w:rFonts w:ascii="Arial" w:hAnsi="Arial"/>
          <w:sz w:val="22"/>
          <w:szCs w:val="22"/>
        </w:rPr>
        <w:t xml:space="preserve"> и </w:t>
      </w:r>
      <w:r w:rsidR="00205D14">
        <w:rPr>
          <w:rFonts w:ascii="Arial" w:hAnsi="Arial"/>
          <w:sz w:val="22"/>
          <w:szCs w:val="22"/>
        </w:rPr>
        <w:t>прогнозирования</w:t>
      </w:r>
      <w:r>
        <w:rPr>
          <w:rFonts w:ascii="Arial" w:hAnsi="Arial"/>
          <w:sz w:val="22"/>
          <w:szCs w:val="22"/>
        </w:rPr>
        <w:t xml:space="preserve"> влияни</w:t>
      </w:r>
      <w:r w:rsidR="00205D14">
        <w:rPr>
          <w:rFonts w:ascii="Arial" w:hAnsi="Arial"/>
          <w:sz w:val="22"/>
          <w:szCs w:val="22"/>
        </w:rPr>
        <w:t>я</w:t>
      </w:r>
      <w:r>
        <w:rPr>
          <w:rFonts w:ascii="Arial" w:hAnsi="Arial"/>
          <w:sz w:val="22"/>
          <w:szCs w:val="22"/>
        </w:rPr>
        <w:t xml:space="preserve"> цифровой трансформации на Организацию.</w:t>
      </w:r>
      <w:r w:rsidR="008A4DD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 итогам размышлений и дискуссий, проходивших в течение 2019 г., были выделены следующие ключевые темы:</w:t>
      </w:r>
    </w:p>
    <w:p w14:paraId="14D4A145" w14:textId="77777777" w:rsidR="00C377A4" w:rsidRPr="0006645A" w:rsidRDefault="00C377A4" w:rsidP="00C377A4">
      <w:pPr>
        <w:pStyle w:val="Default"/>
        <w:rPr>
          <w:rFonts w:ascii="Arial" w:hAnsi="Arial" w:cs="Arial"/>
          <w:sz w:val="22"/>
          <w:szCs w:val="22"/>
        </w:rPr>
      </w:pPr>
    </w:p>
    <w:p w14:paraId="503AD766" w14:textId="3A3CA97B" w:rsidR="007C0710" w:rsidRPr="0006645A" w:rsidRDefault="00205D14" w:rsidP="00C3517A">
      <w:pPr>
        <w:pStyle w:val="ListParagraph"/>
        <w:numPr>
          <w:ilvl w:val="0"/>
          <w:numId w:val="11"/>
        </w:numPr>
        <w:ind w:left="90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р</w:t>
      </w:r>
      <w:r w:rsidR="007C0710">
        <w:rPr>
          <w:rFonts w:ascii="Arial" w:hAnsi="Arial"/>
          <w:sz w:val="22"/>
          <w:szCs w:val="22"/>
        </w:rPr>
        <w:t>азвитие цифрового мышления</w:t>
      </w:r>
      <w:r>
        <w:rPr>
          <w:rFonts w:ascii="Arial" w:hAnsi="Arial"/>
          <w:sz w:val="22"/>
          <w:szCs w:val="22"/>
        </w:rPr>
        <w:t>;</w:t>
      </w:r>
      <w:r w:rsidR="007C0710">
        <w:rPr>
          <w:rFonts w:ascii="Arial" w:hAnsi="Arial"/>
          <w:sz w:val="22"/>
          <w:szCs w:val="22"/>
        </w:rPr>
        <w:t xml:space="preserve"> </w:t>
      </w:r>
    </w:p>
    <w:p w14:paraId="7C664263" w14:textId="716DAFC5" w:rsidR="007C0710" w:rsidRPr="0006645A" w:rsidRDefault="00205D14" w:rsidP="00C3517A">
      <w:pPr>
        <w:pStyle w:val="ListParagraph"/>
        <w:numPr>
          <w:ilvl w:val="0"/>
          <w:numId w:val="11"/>
        </w:numPr>
        <w:ind w:left="90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с</w:t>
      </w:r>
      <w:r w:rsidR="007C0710">
        <w:rPr>
          <w:rFonts w:ascii="Arial" w:hAnsi="Arial"/>
          <w:sz w:val="22"/>
          <w:szCs w:val="22"/>
        </w:rPr>
        <w:t>одействие формированию способа работы, ориентированного на человека</w:t>
      </w:r>
      <w:r>
        <w:rPr>
          <w:rFonts w:ascii="Arial" w:hAnsi="Arial"/>
          <w:sz w:val="22"/>
          <w:szCs w:val="22"/>
        </w:rPr>
        <w:t>;</w:t>
      </w:r>
      <w:r w:rsidR="007C0710">
        <w:rPr>
          <w:rFonts w:ascii="Arial" w:hAnsi="Arial"/>
          <w:sz w:val="22"/>
          <w:szCs w:val="22"/>
        </w:rPr>
        <w:t xml:space="preserve"> </w:t>
      </w:r>
    </w:p>
    <w:p w14:paraId="7A0DC41A" w14:textId="43997E92" w:rsidR="007C0710" w:rsidRPr="0006645A" w:rsidRDefault="00205D14" w:rsidP="00C3517A">
      <w:pPr>
        <w:pStyle w:val="ListParagraph"/>
        <w:numPr>
          <w:ilvl w:val="0"/>
          <w:numId w:val="11"/>
        </w:numPr>
        <w:ind w:left="90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р</w:t>
      </w:r>
      <w:r w:rsidR="007C0710">
        <w:rPr>
          <w:rFonts w:ascii="Arial" w:hAnsi="Arial"/>
          <w:sz w:val="22"/>
          <w:szCs w:val="22"/>
        </w:rPr>
        <w:t>азвитие гибкого и творческого рабочего коллектива</w:t>
      </w:r>
      <w:r>
        <w:rPr>
          <w:rFonts w:ascii="Arial" w:hAnsi="Arial"/>
          <w:sz w:val="22"/>
          <w:szCs w:val="22"/>
        </w:rPr>
        <w:t>;</w:t>
      </w:r>
      <w:r w:rsidR="007C0710">
        <w:rPr>
          <w:rFonts w:ascii="Arial" w:hAnsi="Arial"/>
          <w:sz w:val="22"/>
          <w:szCs w:val="22"/>
        </w:rPr>
        <w:t xml:space="preserve"> </w:t>
      </w:r>
    </w:p>
    <w:p w14:paraId="7D290843" w14:textId="51CC0A8A" w:rsidR="007C0710" w:rsidRPr="0006645A" w:rsidRDefault="00205D14" w:rsidP="00C3517A">
      <w:pPr>
        <w:pStyle w:val="ListParagraph"/>
        <w:numPr>
          <w:ilvl w:val="0"/>
          <w:numId w:val="11"/>
        </w:numPr>
        <w:ind w:left="90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о</w:t>
      </w:r>
      <w:r w:rsidR="007C0710">
        <w:rPr>
          <w:rFonts w:ascii="Arial" w:hAnsi="Arial"/>
          <w:sz w:val="22"/>
          <w:szCs w:val="22"/>
        </w:rPr>
        <w:t>беспечение всестороннего использования навыков и развитие лидерских качеств</w:t>
      </w:r>
      <w:r>
        <w:rPr>
          <w:rFonts w:ascii="Arial" w:hAnsi="Arial"/>
          <w:sz w:val="22"/>
          <w:szCs w:val="22"/>
        </w:rPr>
        <w:t>.</w:t>
      </w:r>
      <w:r w:rsidR="007C0710">
        <w:rPr>
          <w:rFonts w:ascii="Arial" w:hAnsi="Arial"/>
          <w:sz w:val="22"/>
          <w:szCs w:val="22"/>
        </w:rPr>
        <w:t xml:space="preserve"> </w:t>
      </w:r>
    </w:p>
    <w:p w14:paraId="182E7462" w14:textId="77777777" w:rsidR="00C377A4" w:rsidRPr="0006645A" w:rsidRDefault="00C377A4" w:rsidP="00C377A4">
      <w:pPr>
        <w:pStyle w:val="ListParagraph"/>
        <w:ind w:left="900"/>
        <w:contextualSpacing w:val="0"/>
        <w:rPr>
          <w:rFonts w:ascii="Arial" w:hAnsi="Arial" w:cs="Arial"/>
          <w:sz w:val="22"/>
          <w:szCs w:val="22"/>
        </w:rPr>
      </w:pPr>
    </w:p>
    <w:p w14:paraId="2A2EE50F" w14:textId="011982A0" w:rsidR="007C0710" w:rsidRPr="0006645A" w:rsidRDefault="000441D2" w:rsidP="007C0710">
      <w:pPr>
        <w:rPr>
          <w:szCs w:val="22"/>
        </w:rPr>
      </w:pPr>
      <w:r>
        <w:t>Эта направленная на трансформацию программа будет обсуждаться со старшим руководством и осуществляться в тесной координации со всеми заинтересованными сторонами.</w:t>
      </w:r>
    </w:p>
    <w:p w14:paraId="39B98FE7" w14:textId="77777777" w:rsidR="00C377A4" w:rsidRPr="0006645A" w:rsidRDefault="00C377A4" w:rsidP="007C0710">
      <w:pPr>
        <w:rPr>
          <w:szCs w:val="22"/>
        </w:rPr>
      </w:pPr>
    </w:p>
    <w:p w14:paraId="089E1377" w14:textId="21D711DC" w:rsidR="00833315" w:rsidRPr="0006645A" w:rsidRDefault="000441D2" w:rsidP="00442554">
      <w:pPr>
        <w:pStyle w:val="Default"/>
        <w:numPr>
          <w:ilvl w:val="0"/>
          <w:numId w:val="4"/>
        </w:numPr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Очевидно, в условиях постоянно</w:t>
      </w:r>
      <w:r w:rsidR="00205D14">
        <w:rPr>
          <w:rFonts w:ascii="Arial" w:hAnsi="Arial"/>
          <w:sz w:val="22"/>
          <w:szCs w:val="22"/>
        </w:rPr>
        <w:t xml:space="preserve">го ускорения </w:t>
      </w:r>
      <w:r>
        <w:rPr>
          <w:rFonts w:ascii="Arial" w:hAnsi="Arial"/>
          <w:sz w:val="22"/>
          <w:szCs w:val="22"/>
        </w:rPr>
        <w:t>технического прогресса персоналу ВОИС требуются новые знания и навыки.</w:t>
      </w:r>
      <w:r w:rsidR="008A4DD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 целях удовлетворения потребности в развитии культуры гибкости и обучения на протяжении всей жизни сотрудникам и руководителям ВОИС предлагается широкий и разнообразный набор возможностей для обучения.</w:t>
      </w:r>
      <w:r w:rsidR="008A4DD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Перевод большинства сотрудников ВОИС на удаленную работу в связи с режимом изоляции из-за COVID-19 позволит ВОИС воспользоваться преимуществами гибкого графика работы и, в частности, работы в дистанционном режиме.</w:t>
      </w:r>
      <w:r w:rsidR="008A4DD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 сочетании с привлекательными возможностями для обучения и повышения квалификации это поможет ВОИС укрепить свои позиции в качестве предпочтительного работодателя.</w:t>
      </w:r>
    </w:p>
    <w:p w14:paraId="045F2493" w14:textId="77777777" w:rsidR="009D6DA5" w:rsidRPr="0006645A" w:rsidRDefault="009D6DA5" w:rsidP="00442554">
      <w:pPr>
        <w:pStyle w:val="Default"/>
        <w:rPr>
          <w:rFonts w:ascii="Arial" w:hAnsi="Arial" w:cs="Arial"/>
          <w:sz w:val="22"/>
          <w:szCs w:val="22"/>
        </w:rPr>
      </w:pPr>
    </w:p>
    <w:p w14:paraId="247ECE50" w14:textId="025E39A0" w:rsidR="00833315" w:rsidRPr="0006645A" w:rsidRDefault="0066348A" w:rsidP="00442554">
      <w:pPr>
        <w:pStyle w:val="Default"/>
        <w:numPr>
          <w:ilvl w:val="0"/>
          <w:numId w:val="4"/>
        </w:numPr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В связи с развитием облачных технологий ВОИС приступила к реализации Проекта по переходу на облачные технологии.</w:t>
      </w:r>
      <w:r w:rsidR="008A4DD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Такой переход влияет на несколько рабочих подразделений и требует прочных партнерских отношений между этими подразделениями и ДУЛР, а также работы в рамках гибкого подхода, предполагающего постоянную обратную связь и возможность быстрой корректировки.</w:t>
      </w:r>
      <w:r w:rsidR="008A4DD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Был проведен первичный обобщенный анализ пробелов, в ходе которого рассматривалось влияние перехода на функции и штатное расписание.</w:t>
      </w:r>
      <w:r w:rsidR="008A4DD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Рассматривается вопрос о создании Системы работы с кадровым резервом ВОИС, которая, как предполагается, должна предусматривать внедрение более разностороннего</w:t>
      </w:r>
      <w:r w:rsidR="00205D14">
        <w:rPr>
          <w:rFonts w:ascii="Arial" w:hAnsi="Arial"/>
          <w:sz w:val="22"/>
          <w:szCs w:val="22"/>
        </w:rPr>
        <w:t xml:space="preserve"> и</w:t>
      </w:r>
      <w:r>
        <w:rPr>
          <w:rFonts w:ascii="Arial" w:hAnsi="Arial"/>
          <w:sz w:val="22"/>
          <w:szCs w:val="22"/>
        </w:rPr>
        <w:t xml:space="preserve"> ориентированного на навыки подхода к описанию должностных функций.</w:t>
      </w:r>
      <w:r w:rsidR="008A4DD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Был разработан механизм профессиональной подготовки и оценки, основой которого стала система PMSDS. </w:t>
      </w:r>
    </w:p>
    <w:p w14:paraId="186E64D0" w14:textId="439BC6EE" w:rsidR="00833315" w:rsidRPr="0006645A" w:rsidRDefault="00833315" w:rsidP="00703C35">
      <w:pPr>
        <w:pStyle w:val="Default"/>
        <w:rPr>
          <w:rFonts w:ascii="Arial" w:hAnsi="Arial" w:cs="Arial"/>
          <w:b/>
          <w:color w:val="auto"/>
          <w:sz w:val="22"/>
          <w:szCs w:val="22"/>
          <w:lang w:eastAsia="zh-CN"/>
        </w:rPr>
      </w:pPr>
    </w:p>
    <w:p w14:paraId="0B906340" w14:textId="43DF9A4A" w:rsidR="005B1DCD" w:rsidRPr="006B0075" w:rsidRDefault="0066348A" w:rsidP="006B0075">
      <w:pPr>
        <w:pStyle w:val="ListParagraph"/>
        <w:numPr>
          <w:ilvl w:val="0"/>
          <w:numId w:val="4"/>
        </w:numPr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В связи с ослаблением ограничений на международные поездки в Женеву к ВОИС в июле присоединится несколько новых сотрудников и стипендиатов. Для этих сотрудников ДУЛР переработал </w:t>
      </w:r>
      <w:r w:rsidR="005B1DCD">
        <w:rPr>
          <w:rFonts w:ascii="Arial" w:hAnsi="Arial"/>
          <w:sz w:val="22"/>
          <w:szCs w:val="22"/>
        </w:rPr>
        <w:t xml:space="preserve">Программу вводного инструктажа ВОИС </w:t>
      </w:r>
      <w:r>
        <w:rPr>
          <w:rFonts w:ascii="Arial" w:hAnsi="Arial"/>
          <w:sz w:val="22"/>
          <w:szCs w:val="22"/>
        </w:rPr>
        <w:t xml:space="preserve">и создал </w:t>
      </w:r>
      <w:r w:rsidR="005B1DCD">
        <w:rPr>
          <w:rFonts w:ascii="Arial" w:hAnsi="Arial"/>
          <w:sz w:val="22"/>
          <w:szCs w:val="22"/>
        </w:rPr>
        <w:t xml:space="preserve">ее </w:t>
      </w:r>
      <w:r>
        <w:rPr>
          <w:rFonts w:ascii="Arial" w:hAnsi="Arial"/>
          <w:sz w:val="22"/>
          <w:szCs w:val="22"/>
        </w:rPr>
        <w:t>цифровую версию.</w:t>
      </w:r>
      <w:r w:rsidR="008A4DD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Также ведется подготовка к введению в должность руководителей старшего звена во второй половине 2020</w:t>
      </w:r>
      <w:r w:rsidR="00D420DB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г.</w:t>
      </w:r>
    </w:p>
    <w:p w14:paraId="17D2C305" w14:textId="77777777" w:rsidR="005B1DCD" w:rsidRPr="0006645A" w:rsidRDefault="005B1DCD" w:rsidP="005B1DCD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6040F8A8" w14:textId="77777777" w:rsidR="00CA7496" w:rsidRPr="0006645A" w:rsidRDefault="00CA7496" w:rsidP="00703C35">
      <w:pPr>
        <w:rPr>
          <w:szCs w:val="22"/>
        </w:rPr>
      </w:pPr>
    </w:p>
    <w:p w14:paraId="01FEDE8D" w14:textId="627584C6" w:rsidR="00371CAB" w:rsidRPr="0006645A" w:rsidRDefault="00371CAB" w:rsidP="002A567B">
      <w:pPr>
        <w:pStyle w:val="Heading2"/>
      </w:pPr>
      <w:r>
        <w:t>УЧАСТИЕ ПЕРСОНАЛА</w:t>
      </w:r>
    </w:p>
    <w:p w14:paraId="37182B80" w14:textId="77777777" w:rsidR="00371CAB" w:rsidRPr="0006645A" w:rsidRDefault="00371CAB" w:rsidP="00703C35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3835A950" w14:textId="3979C95F" w:rsidR="00917ADF" w:rsidRPr="0006645A" w:rsidRDefault="00371CAB" w:rsidP="00442554">
      <w:pPr>
        <w:pStyle w:val="ListParagraph"/>
        <w:numPr>
          <w:ilvl w:val="0"/>
          <w:numId w:val="4"/>
        </w:numPr>
        <w:ind w:left="0" w:firstLine="0"/>
        <w:rPr>
          <w:rFonts w:ascii="Arial" w:eastAsia="SimSun" w:hAnsi="Arial" w:cs="Arial"/>
          <w:bCs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В ходе отчетного периода было проведено несколько опросов сотрудников, включая опрос по вопросам здоровья и благополучия, опрос об учете рабочего времени и </w:t>
      </w:r>
      <w:r w:rsidR="005B1DCD">
        <w:rPr>
          <w:rFonts w:ascii="Arial" w:hAnsi="Arial"/>
          <w:sz w:val="22"/>
          <w:szCs w:val="22"/>
        </w:rPr>
        <w:t xml:space="preserve">о </w:t>
      </w:r>
      <w:r>
        <w:rPr>
          <w:rFonts w:ascii="Arial" w:hAnsi="Arial"/>
          <w:sz w:val="22"/>
          <w:szCs w:val="22"/>
        </w:rPr>
        <w:t>применении гибких режимов работы, а также организованный КМГС в</w:t>
      </w:r>
      <w:r w:rsidR="00D420DB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2019</w:t>
      </w:r>
      <w:r w:rsidR="00D420DB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 xml:space="preserve">г. Общесистемный опрос персонала о Компенсационном пакете ООН. </w:t>
      </w:r>
    </w:p>
    <w:p w14:paraId="6B667582" w14:textId="77777777" w:rsidR="00917ADF" w:rsidRPr="0006645A" w:rsidRDefault="00917ADF" w:rsidP="00442554">
      <w:pPr>
        <w:pStyle w:val="ListParagraph"/>
        <w:ind w:left="0"/>
        <w:rPr>
          <w:rFonts w:ascii="Arial" w:eastAsia="SimSun" w:hAnsi="Arial" w:cs="Arial"/>
          <w:bCs/>
          <w:sz w:val="22"/>
          <w:szCs w:val="22"/>
        </w:rPr>
      </w:pPr>
    </w:p>
    <w:p w14:paraId="7C3EF9BE" w14:textId="49B50BCE" w:rsidR="006F10CD" w:rsidRPr="0006645A" w:rsidRDefault="0066348A" w:rsidP="00442554">
      <w:pPr>
        <w:pStyle w:val="ListParagraph"/>
        <w:numPr>
          <w:ilvl w:val="0"/>
          <w:numId w:val="4"/>
        </w:numPr>
        <w:ind w:left="0" w:firstLine="0"/>
        <w:rPr>
          <w:rFonts w:ascii="Arial" w:eastAsia="SimSun" w:hAnsi="Arial" w:cs="Arial"/>
          <w:bCs/>
          <w:sz w:val="22"/>
          <w:szCs w:val="22"/>
        </w:rPr>
      </w:pPr>
      <w:r>
        <w:rPr>
          <w:rFonts w:ascii="Arial" w:hAnsi="Arial"/>
          <w:sz w:val="22"/>
          <w:szCs w:val="22"/>
        </w:rPr>
        <w:t>Планируется проведение еще одного опроса по теме «Уважительное и гармоничное взаимодействие на рабочем месте».</w:t>
      </w:r>
      <w:r w:rsidR="008A4DD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На конец 2020</w:t>
      </w:r>
      <w:r w:rsidR="00D420DB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г./начало 2021</w:t>
      </w:r>
      <w:r w:rsidR="00D420DB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г. запланировано всеобъемлющее обследование, посвященное вовлеченности персонала, которое станет инструментом оценки культуры ВОИС и позволит установить базовый уровень для измерения воздействия инициатив в области управления кадровым потенциалом.</w:t>
      </w:r>
    </w:p>
    <w:p w14:paraId="1BBD4DC3" w14:textId="77777777" w:rsidR="00DD0EAF" w:rsidRDefault="00DD0EAF" w:rsidP="00202584"/>
    <w:p w14:paraId="7DCB549E" w14:textId="007E5973" w:rsidR="00F744EF" w:rsidRPr="00202584" w:rsidRDefault="005B1DCD" w:rsidP="002A567B">
      <w:pPr>
        <w:pStyle w:val="Heading2"/>
      </w:pPr>
      <w:r>
        <w:t>ОКАЗАНИЕ</w:t>
      </w:r>
      <w:r w:rsidR="00F744EF">
        <w:t xml:space="preserve"> МЕДИЦИНСКОЙ ПОМОЩИ</w:t>
      </w:r>
      <w:r>
        <w:t> / УСЛУГИ В ОБЛАСТИ</w:t>
      </w:r>
      <w:r w:rsidR="00F744EF">
        <w:t xml:space="preserve"> ЗДРАВООХРАНЕНИЯ</w:t>
      </w:r>
    </w:p>
    <w:p w14:paraId="148B008C" w14:textId="555B697B" w:rsidR="006B0419" w:rsidRPr="0006645A" w:rsidRDefault="006B0419" w:rsidP="006B0419">
      <w:pPr>
        <w:rPr>
          <w:szCs w:val="22"/>
        </w:rPr>
      </w:pPr>
    </w:p>
    <w:p w14:paraId="383CC7EC" w14:textId="7D4CFD16" w:rsidR="0066348A" w:rsidRPr="0006645A" w:rsidRDefault="0066348A" w:rsidP="00442554">
      <w:pPr>
        <w:pStyle w:val="ListParagraph"/>
        <w:numPr>
          <w:ilvl w:val="0"/>
          <w:numId w:val="4"/>
        </w:numPr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Старший советник по медицинским вопросам оказывает консультативную помощь и услуги руководству ВОИС в том, что касается вопросов гигиены труда и</w:t>
      </w:r>
      <w:r w:rsidR="00D420DB">
        <w:rPr>
          <w:rFonts w:ascii="Arial" w:hAnsi="Arial"/>
          <w:color w:val="000000"/>
          <w:sz w:val="22"/>
          <w:szCs w:val="22"/>
        </w:rPr>
        <w:t> </w:t>
      </w:r>
      <w:r>
        <w:rPr>
          <w:rFonts w:ascii="Arial" w:hAnsi="Arial"/>
          <w:color w:val="000000"/>
          <w:sz w:val="22"/>
          <w:szCs w:val="22"/>
        </w:rPr>
        <w:t>состояния здоровья сотрудников.</w:t>
      </w:r>
      <w:r w:rsidR="008A4DD7">
        <w:rPr>
          <w:rFonts w:ascii="Arial" w:hAnsi="Arial"/>
          <w:color w:val="000000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Из-за пандемии COVID-19 объем работы Медицинского пункта значительно увеличился.</w:t>
      </w:r>
      <w:r w:rsidR="008A4DD7">
        <w:rPr>
          <w:rFonts w:ascii="Arial" w:hAnsi="Arial"/>
          <w:color w:val="000000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Для удовлетворения потребностей Организации потребовалось расширить возможности Медицинского пункта, с тем чтобы обеспечить надлежащий последующий контроль за заболевшими и их контактами, а также проводить работу по связанным с этим вопросам.</w:t>
      </w:r>
      <w:r w:rsidR="008A4DD7">
        <w:rPr>
          <w:rFonts w:ascii="Arial" w:hAnsi="Arial"/>
          <w:color w:val="000000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На период пандемии к команде присоединились еще одна медицинская сестра по вопросам профессиональной гигиены и врач по гигиене труда. Руководство их работой осуществляет Старший советник по медицинским вопросам.</w:t>
      </w:r>
    </w:p>
    <w:p w14:paraId="0ECE6AC0" w14:textId="77777777" w:rsidR="0066348A" w:rsidRPr="0006645A" w:rsidRDefault="0066348A" w:rsidP="00442554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0BEA13AC" w14:textId="7B216FF3" w:rsidR="009B0F5E" w:rsidRPr="0006645A" w:rsidRDefault="0066348A" w:rsidP="00442554">
      <w:pPr>
        <w:pStyle w:val="ListParagraph"/>
        <w:numPr>
          <w:ilvl w:val="0"/>
          <w:numId w:val="4"/>
        </w:numPr>
        <w:ind w:left="0" w:firstLine="0"/>
        <w:rPr>
          <w:rFonts w:ascii="Arial" w:eastAsia="SimSun" w:hAnsi="Arial" w:cs="Arial"/>
          <w:bCs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Старший советник по медицинским вопросам принимает участие в работе нескольких внутренних комитетов ВОИС и межучрежденческих групп ООН, включая те из них, которые были созданы до начала пандемии, например Совет по реализации Стратегии по решению вопросов психического здоровья. Также он задействован в</w:t>
      </w:r>
      <w:r w:rsidR="00D420DB">
        <w:rPr>
          <w:rFonts w:ascii="Arial" w:hAnsi="Arial"/>
          <w:color w:val="000000"/>
          <w:sz w:val="22"/>
          <w:szCs w:val="22"/>
        </w:rPr>
        <w:t> </w:t>
      </w:r>
      <w:r>
        <w:rPr>
          <w:rFonts w:ascii="Arial" w:hAnsi="Arial"/>
          <w:color w:val="000000"/>
          <w:sz w:val="22"/>
          <w:szCs w:val="22"/>
        </w:rPr>
        <w:t>комитетах, отвечающих за выработку политики и стратегий по урегулированию кризиса, связанного с COVID-19.</w:t>
      </w:r>
      <w:r w:rsidR="008A4DD7">
        <w:rPr>
          <w:rFonts w:ascii="Arial" w:hAnsi="Arial"/>
          <w:color w:val="000000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К их числу относятся внутренние комитеты, такие как Группа по операциям в период кризиса, Группа по коммуникации в период кризиса и</w:t>
      </w:r>
      <w:r w:rsidR="00D420DB">
        <w:rPr>
          <w:rFonts w:ascii="Arial" w:hAnsi="Arial"/>
          <w:color w:val="000000"/>
          <w:sz w:val="22"/>
          <w:szCs w:val="22"/>
        </w:rPr>
        <w:t> </w:t>
      </w:r>
      <w:r>
        <w:rPr>
          <w:rFonts w:ascii="Arial" w:hAnsi="Arial"/>
          <w:color w:val="000000"/>
          <w:sz w:val="22"/>
          <w:szCs w:val="22"/>
        </w:rPr>
        <w:t xml:space="preserve">Группа по кризисному управлению, и межучрежденческие комитеты, такие как Рабочая группа директоров медицинских подразделений Организации Объединенных Наций, Группа старшего руководства организаций, базирующихся в Женеве, и Сеть кадровых служб. </w:t>
      </w:r>
    </w:p>
    <w:p w14:paraId="5B209403" w14:textId="77777777" w:rsidR="00202584" w:rsidRDefault="00202584" w:rsidP="00202584"/>
    <w:p w14:paraId="1200551D" w14:textId="72CA6F66" w:rsidR="00A32901" w:rsidRPr="00DD1B87" w:rsidRDefault="004D7123" w:rsidP="002A567B">
      <w:pPr>
        <w:pStyle w:val="Heading2"/>
      </w:pPr>
      <w:r>
        <w:t>ОБЕСПЕЧЕНИЕ БЛАГОПОЛУЧИЯ СОТРУДНИКОВ</w:t>
      </w:r>
    </w:p>
    <w:p w14:paraId="31CDF614" w14:textId="77777777" w:rsidR="00E9350C" w:rsidRPr="0006645A" w:rsidRDefault="00E9350C" w:rsidP="00703C35">
      <w:pPr>
        <w:pStyle w:val="CommentText"/>
        <w:rPr>
          <w:sz w:val="22"/>
          <w:szCs w:val="22"/>
        </w:rPr>
      </w:pPr>
    </w:p>
    <w:p w14:paraId="2EE9AECD" w14:textId="6A1CA52C" w:rsidR="0066348A" w:rsidRPr="0006645A" w:rsidRDefault="0066348A" w:rsidP="00442554">
      <w:pPr>
        <w:pStyle w:val="ListParagraph"/>
        <w:numPr>
          <w:ilvl w:val="0"/>
          <w:numId w:val="4"/>
        </w:numPr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Психосоциальная поддержка, как и прежде, является важной областью услуг, оказываемых сотрудникам ВОИС.</w:t>
      </w:r>
      <w:r w:rsidR="008A4DD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 отношении работающего персонала применяется комплексный подход в плане обеспечения благополучия и психического здоровья.</w:t>
      </w:r>
      <w:r w:rsidR="008A4DD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</w:t>
      </w:r>
      <w:r w:rsidR="00D420DB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тесном сотрудничестве с другими внутренними службами ВОИС был принят многодисциплинарный подход к укреплению психического здоровья и благополучия в</w:t>
      </w:r>
      <w:r w:rsidR="00D420DB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целях содействия формированию гармоничной среды в ВОИС.</w:t>
      </w:r>
      <w:r w:rsidR="008A4DD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Аналогичным образом, сотрудникам и их иждивенцам предоставлялась психосоциальная помощь в</w:t>
      </w:r>
      <w:r w:rsidR="00D420DB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целях содействия обеспечению гендерного равенства и разнообразия в ВОИС.</w:t>
      </w:r>
    </w:p>
    <w:p w14:paraId="55E3BBB9" w14:textId="77777777" w:rsidR="0066348A" w:rsidRPr="0006645A" w:rsidRDefault="0066348A" w:rsidP="00442554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1CA58C77" w14:textId="2F85BC0F" w:rsidR="0066348A" w:rsidRPr="0006645A" w:rsidRDefault="0066348A" w:rsidP="00442554">
      <w:pPr>
        <w:pStyle w:val="ListParagraph"/>
        <w:numPr>
          <w:ilvl w:val="0"/>
          <w:numId w:val="4"/>
        </w:numPr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Значительные усилия были приложены для оказания поддержки новым сотрудникам ВОИС в процессе введения в должность путем предоставления информации и помощи по практическим аспектам, связанным с переездом в новое место службы.</w:t>
      </w:r>
      <w:r w:rsidR="008A4DD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В этих целях велась информационно-разъяснительная работа, была создана специальная страница </w:t>
      </w:r>
      <w:r w:rsidR="005B1DCD">
        <w:rPr>
          <w:rFonts w:ascii="Arial" w:hAnsi="Arial"/>
          <w:sz w:val="22"/>
          <w:szCs w:val="22"/>
        </w:rPr>
        <w:t>во внутренней сети</w:t>
      </w:r>
      <w:r>
        <w:rPr>
          <w:rFonts w:ascii="Arial" w:hAnsi="Arial"/>
          <w:sz w:val="22"/>
          <w:szCs w:val="22"/>
        </w:rPr>
        <w:t>, проводились презентации на семинарах для новичков и индивидуальные встречи, осуществлялось сотрудничество со</w:t>
      </w:r>
      <w:r w:rsidR="00D420DB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стажерами-координаторами и т. д., а внештатным сотрудникам предоставлялась поддержка в плане выполнения ими своих обязательств, как физических лиц, в</w:t>
      </w:r>
      <w:r w:rsidR="00D420DB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области налогообложения и социального страхования.</w:t>
      </w:r>
    </w:p>
    <w:p w14:paraId="160A660F" w14:textId="77777777" w:rsidR="0066348A" w:rsidRPr="0006645A" w:rsidRDefault="0066348A" w:rsidP="00442554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27FA031A" w14:textId="688B35BF" w:rsidR="0066348A" w:rsidRPr="0006645A" w:rsidRDefault="0066348A" w:rsidP="00442554">
      <w:pPr>
        <w:pStyle w:val="ListParagraph"/>
        <w:numPr>
          <w:ilvl w:val="0"/>
          <w:numId w:val="4"/>
        </w:numPr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В 2019–2020 гг. продолжалось сотрудничество в области психосоциальной помощи и охраны психического здоровья с такими межучрежденческими структурами, как Группа консультантов ООН по работе с персоналом и антистрессовым мероприятиям, Совет ООН по реализации Стратегии по решению вопросов психического здоровья, Рабочая группа «Забота о здоровье и благополучии», а также Рабочая группа ООН «Информация о здоровье» и Группа специалистов по вопросам психического здоровья Женевы.</w:t>
      </w:r>
      <w:r w:rsidR="008A4DD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Специалист ВОИС по консультированию персонала поддерживал реализацию Стратегии ВОИС в области психического здоровья и Руководства по возвращению на работу после длительного больничного под руководством Старшего советника ВОИС по медицинским вопросам.</w:t>
      </w:r>
    </w:p>
    <w:p w14:paraId="3D55B205" w14:textId="77777777" w:rsidR="0066348A" w:rsidRPr="0006645A" w:rsidRDefault="0066348A" w:rsidP="00442554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1B9B3ECA" w14:textId="1CDE2F89" w:rsidR="0066348A" w:rsidRPr="0006645A" w:rsidRDefault="0066348A" w:rsidP="00442554">
      <w:pPr>
        <w:pStyle w:val="ListParagraph"/>
        <w:numPr>
          <w:ilvl w:val="0"/>
          <w:numId w:val="4"/>
        </w:numPr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Начиная с февраля 2020</w:t>
      </w:r>
      <w:r w:rsidR="00D420DB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г. деятельность в этой области в основном была направлена на оказание психосоциальной поддержки персоналу и пенсионерам ВОИС в связи с последствиями пандемии COVID-19.</w:t>
      </w:r>
      <w:r w:rsidR="008A4DD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Была создана страница </w:t>
      </w:r>
      <w:r w:rsidR="00F870BA">
        <w:rPr>
          <w:rFonts w:ascii="Arial" w:hAnsi="Arial"/>
          <w:sz w:val="22"/>
          <w:szCs w:val="22"/>
        </w:rPr>
        <w:t>во внутренней сети</w:t>
      </w:r>
      <w:r>
        <w:rPr>
          <w:rFonts w:ascii="Arial" w:hAnsi="Arial"/>
          <w:sz w:val="22"/>
          <w:szCs w:val="22"/>
        </w:rPr>
        <w:t>, посвященная вопросам здоровья в условиях COVID-19, на которой размещена практическая информация и ресурсы.</w:t>
      </w:r>
      <w:r w:rsidR="008A4DD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Также во внутренней сети была создана специальная страница с информацией o различных аспектах здоровья в связи с</w:t>
      </w:r>
      <w:r w:rsidR="00D420DB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удаленной работой во время пандемии.</w:t>
      </w:r>
      <w:r w:rsidR="008A4DD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Сотрудникам и членам их семей предоставлялась индивидуальная поддержка, при этом особое внимание уделялось коллегам, которые несоразмерно сильно пострадали от сложившейся ситуации.</w:t>
      </w:r>
      <w:r w:rsidR="008A4DD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Руководителям предоставлялась поддержка в вопросах, связанных с</w:t>
      </w:r>
      <w:r w:rsidR="00D420DB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психосоциальными аспектами руководства группами во время пандемии.</w:t>
      </w:r>
    </w:p>
    <w:p w14:paraId="2DC47E1C" w14:textId="77777777" w:rsidR="0066348A" w:rsidRPr="0006645A" w:rsidRDefault="0066348A" w:rsidP="0066348A">
      <w:pPr>
        <w:pStyle w:val="ListParagraph"/>
        <w:rPr>
          <w:rFonts w:ascii="Arial" w:hAnsi="Arial" w:cs="Arial"/>
          <w:sz w:val="22"/>
          <w:szCs w:val="22"/>
        </w:rPr>
      </w:pPr>
    </w:p>
    <w:p w14:paraId="6626D0E3" w14:textId="78A1B993" w:rsidR="0066348A" w:rsidRPr="0006645A" w:rsidRDefault="0066348A" w:rsidP="00442554">
      <w:pPr>
        <w:pStyle w:val="ListParagraph"/>
        <w:numPr>
          <w:ilvl w:val="0"/>
          <w:numId w:val="4"/>
        </w:numPr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Сотрудники и их семьи получали поддержку в период до и после выхода на пенсию посредством участия в организованном МОТ семинаре по подготовке к выходу на пенсию и получения индивидуальных консультаций.</w:t>
      </w:r>
      <w:r w:rsidR="008A4DD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Пенсионеры ВОИС и члены их семей продолжают пользоваться поддержкой в координации с внутренними службами, поставщиком услуг медицинского страхования и местными органами власти.</w:t>
      </w:r>
    </w:p>
    <w:p w14:paraId="7A2870B3" w14:textId="77777777" w:rsidR="0066348A" w:rsidRPr="0006645A" w:rsidRDefault="0066348A" w:rsidP="00442554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7C7873DE" w14:textId="79107013" w:rsidR="0066348A" w:rsidRPr="0006645A" w:rsidRDefault="0066348A" w:rsidP="00442554">
      <w:pPr>
        <w:pStyle w:val="ListParagraph"/>
        <w:numPr>
          <w:ilvl w:val="0"/>
          <w:numId w:val="4"/>
        </w:numPr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ВОИС продолжает участвовать в работе межучрежденческого Детского клуба МСЭ-ВОИС-ВТО, который организует мероприятия для детей во время летних каникул.</w:t>
      </w:r>
      <w:r w:rsidR="008A4DD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 2019</w:t>
      </w:r>
      <w:r w:rsidR="00D420DB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г. в мероприятиях Детского клуба приняли участие 50</w:t>
      </w:r>
      <w:r w:rsidR="00D420DB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детей сотрудников ВОИС.</w:t>
      </w:r>
    </w:p>
    <w:p w14:paraId="3401FAC5" w14:textId="77777777" w:rsidR="0066348A" w:rsidRPr="0006645A" w:rsidRDefault="0066348A" w:rsidP="00442554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4E2D9B02" w14:textId="6C0FFA00" w:rsidR="000200C0" w:rsidRPr="00EC14D8" w:rsidRDefault="0066348A" w:rsidP="00442554">
      <w:pPr>
        <w:pStyle w:val="ListParagraph"/>
        <w:numPr>
          <w:ilvl w:val="0"/>
          <w:numId w:val="4"/>
        </w:numPr>
        <w:ind w:left="0" w:firstLine="0"/>
        <w:rPr>
          <w:rFonts w:ascii="Arial" w:eastAsia="SimSun" w:hAnsi="Arial" w:cs="Arial"/>
          <w:bCs/>
          <w:sz w:val="22"/>
          <w:szCs w:val="22"/>
        </w:rPr>
      </w:pPr>
      <w:r>
        <w:rPr>
          <w:rFonts w:ascii="Arial" w:hAnsi="Arial"/>
          <w:sz w:val="22"/>
          <w:szCs w:val="22"/>
        </w:rPr>
        <w:t>Как было объявлено в Годовом отчете о людских ресурсах 2019 г., в сентябре 2019 г. началась реализация двухлетней пилотной программы по созданию детского сада недалеко от комплекса зданий ВОИС в Женеве в целях обеспечения дневного ухода для детей дошкольного возраста сотрудников ВОИС.</w:t>
      </w:r>
      <w:r w:rsidR="008A4DD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В течение учебного 2019–2020 года в детский сад были приняты 10 детей сотрудников ВОИС. </w:t>
      </w:r>
    </w:p>
    <w:p w14:paraId="272D6FE2" w14:textId="505C0270" w:rsidR="00EC14D8" w:rsidRPr="00EC14D8" w:rsidRDefault="00EC14D8" w:rsidP="00EC14D8">
      <w:pPr>
        <w:pStyle w:val="ListParagraph"/>
        <w:ind w:left="0"/>
        <w:rPr>
          <w:rFonts w:ascii="Arial" w:eastAsia="SimSun" w:hAnsi="Arial" w:cs="Arial"/>
          <w:bCs/>
          <w:sz w:val="22"/>
          <w:szCs w:val="22"/>
        </w:rPr>
      </w:pPr>
    </w:p>
    <w:p w14:paraId="3EC38465" w14:textId="7947AFBB" w:rsidR="00E22A3F" w:rsidRPr="00202584" w:rsidRDefault="00695BAD" w:rsidP="002A567B">
      <w:pPr>
        <w:pStyle w:val="Heading2"/>
      </w:pPr>
      <w:r>
        <w:t>СОДЕЙСТВИЕ ФОРМИРОВАНИЮ ГАРМОНИЧНОЙ РАБОЧЕЙ СРЕДЫ, ХАРАКТЕРИЗУЮЩЕЙСЯ ВЗАИМНЫМ УВАЖЕНИЕМ СОТРУДНИКОВ И ОТСУТСТВИЕМ ДОМОГАТЕЛЬСТВ</w:t>
      </w:r>
    </w:p>
    <w:p w14:paraId="4C0AEDF8" w14:textId="750F360E" w:rsidR="00707079" w:rsidRPr="0006645A" w:rsidRDefault="00707079" w:rsidP="00703C35">
      <w:pPr>
        <w:rPr>
          <w:szCs w:val="22"/>
        </w:rPr>
      </w:pPr>
    </w:p>
    <w:p w14:paraId="5464CA8E" w14:textId="70DBC68F" w:rsidR="0066348A" w:rsidRPr="0006645A" w:rsidRDefault="0066348A" w:rsidP="00AE1FDF">
      <w:pPr>
        <w:pStyle w:val="ListParagraph"/>
        <w:numPr>
          <w:ilvl w:val="0"/>
          <w:numId w:val="4"/>
        </w:numPr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По итогам проведенного в январе 2019</w:t>
      </w:r>
      <w:r w:rsidR="00D420DB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г. в рамках всей системы ООН опроса под названием «Безопасное пространство», который был посвящен сексуальным домогательствам, ВОИС приступила к реализации ряда общеорганизационных инициатив, направленных на обеспечение уважительного и гармоничного взаимодействия на рабочем месте, повышение информированности о том, что является надлежащим поведением, а что нет, и обеспечение того, чтобы сотрудники всегда могли с легкость находить информацию о том, что следует делать в случае возникновения проблем в этой области.</w:t>
      </w:r>
      <w:r w:rsidR="008A4DD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Реализация этих инициатив в значительной степени проходила в отчетный период.</w:t>
      </w:r>
    </w:p>
    <w:p w14:paraId="39BB9AE1" w14:textId="77777777" w:rsidR="0066348A" w:rsidRPr="0006645A" w:rsidRDefault="0066348A" w:rsidP="00AE1FDF">
      <w:pPr>
        <w:rPr>
          <w:szCs w:val="22"/>
        </w:rPr>
      </w:pPr>
    </w:p>
    <w:p w14:paraId="6D3175CA" w14:textId="29B3A0C8" w:rsidR="0066348A" w:rsidRPr="0006645A" w:rsidRDefault="0066348A" w:rsidP="00AE1FDF">
      <w:pPr>
        <w:pStyle w:val="ListParagraph"/>
        <w:numPr>
          <w:ilvl w:val="0"/>
          <w:numId w:val="4"/>
        </w:numPr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Помимо обязательного онлайнового учебного курса «Гармоничная работа в коллективе», который был запущен в мае 2019 г., был разработан очный курс семинаров «Уважение на рабочем месте», проведение которого началось в октябре 2019 г.</w:t>
      </w:r>
      <w:r w:rsidR="008A4DD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Кроме того, были разработаны семинары специально для руководителей.</w:t>
      </w:r>
      <w:r w:rsidR="008A4DD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По</w:t>
      </w:r>
      <w:r w:rsidR="00143A15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состоянию на июнь 2020</w:t>
      </w:r>
      <w:r w:rsidR="00D420DB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г. более 1300</w:t>
      </w:r>
      <w:r w:rsidR="00D420DB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сотрудников прошли онлайновый курс и примерно 1000</w:t>
      </w:r>
      <w:r w:rsidR="00D420DB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человек приняли участие в одном из семинаров.</w:t>
      </w:r>
    </w:p>
    <w:p w14:paraId="1D80AE3C" w14:textId="77777777" w:rsidR="0066348A" w:rsidRPr="0006645A" w:rsidRDefault="0066348A" w:rsidP="00AE1FDF">
      <w:pPr>
        <w:rPr>
          <w:szCs w:val="22"/>
        </w:rPr>
      </w:pPr>
    </w:p>
    <w:p w14:paraId="6CA90458" w14:textId="0B5F9939" w:rsidR="0066348A" w:rsidRPr="0006645A" w:rsidRDefault="0066348A" w:rsidP="00AE1FDF">
      <w:pPr>
        <w:pStyle w:val="ListParagraph"/>
        <w:numPr>
          <w:ilvl w:val="0"/>
          <w:numId w:val="4"/>
        </w:numPr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В августе 2019</w:t>
      </w:r>
      <w:r w:rsidR="00D420DB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г. была пересмотрена политика, касающаяся конфликтов на рабочем месте и соответствующих жалоб, в частности для того, чтобы дать возможность не только сотрудникам, но и внештатному персоналу (т.е. стипендиатам, стажерам, индивидуальным подрядчикам и сотрудникам агентств) подавать официальные жалобы в отношении сотрудников ВОИС в случае домогательств.</w:t>
      </w:r>
      <w:r w:rsidR="008A4DD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</w:t>
      </w:r>
      <w:r w:rsidR="00143A15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дополнение к этому изменению был соответственно расширен мандат Бюро Омбудсмена, с тем чтобы предоставить внештатному персоналу доступ к его услугам.</w:t>
      </w:r>
    </w:p>
    <w:p w14:paraId="2B1887ED" w14:textId="77777777" w:rsidR="0066348A" w:rsidRPr="0006645A" w:rsidRDefault="0066348A" w:rsidP="0066348A">
      <w:pPr>
        <w:rPr>
          <w:szCs w:val="22"/>
        </w:rPr>
      </w:pPr>
    </w:p>
    <w:p w14:paraId="67234E8F" w14:textId="37BEBE1C" w:rsidR="0066348A" w:rsidRPr="0006645A" w:rsidRDefault="0066348A" w:rsidP="00AE1FDF">
      <w:pPr>
        <w:pStyle w:val="ListParagraph"/>
        <w:numPr>
          <w:ilvl w:val="0"/>
          <w:numId w:val="4"/>
        </w:numPr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В том же ключе было существенно пересмотрено и переработано «Руководство по формированию гармоничной рабочей среды, характеризующейся взаимным уважением сотрудников», с тем чтобы предоставить рекомендации всем сотрудникам в целях укрепления принципа, согласно которому каждый имеет право на работу в безопасной и уважительной рабочей среде.</w:t>
      </w:r>
      <w:r w:rsidR="008A4DD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Пересмотренное руководство было приведено в соответствие с Типовой политикой системы ООН в отношении сексуальных домогательств и выпущено в ноябре 2019 г. Оно включает в себя новые рекомендации по доступным неформальным и формальным процедурам, учебным возможностям и борьбе с сексуальными домогательствами, а также расширенный раздел о том, где можно получить консультацию и помощь.</w:t>
      </w:r>
    </w:p>
    <w:p w14:paraId="5089BE62" w14:textId="77777777" w:rsidR="0066348A" w:rsidRPr="0006645A" w:rsidRDefault="0066348A" w:rsidP="00AE1FDF">
      <w:pPr>
        <w:rPr>
          <w:szCs w:val="22"/>
        </w:rPr>
      </w:pPr>
    </w:p>
    <w:p w14:paraId="039309BD" w14:textId="499B6E17" w:rsidR="00707079" w:rsidRPr="0006645A" w:rsidRDefault="0066348A" w:rsidP="00AE1FDF">
      <w:pPr>
        <w:pStyle w:val="ListParagraph"/>
        <w:numPr>
          <w:ilvl w:val="0"/>
          <w:numId w:val="4"/>
        </w:numPr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Наконец, новая политика в области предотвращения сексуальной эксплуатации и сексуальных домогательств и борьбы с ними демонстрирует приверженность ВОИС работе по этому важному вопросу и дает всем сотрудникам четкие стандарты, которых они должны придерживаться.</w:t>
      </w:r>
    </w:p>
    <w:p w14:paraId="33AD2E22" w14:textId="77777777" w:rsidR="00202584" w:rsidRDefault="00202584" w:rsidP="00202584"/>
    <w:p w14:paraId="1AF90F76" w14:textId="21AAE202" w:rsidR="00A32901" w:rsidRPr="0006645A" w:rsidRDefault="00A32901" w:rsidP="002A567B">
      <w:pPr>
        <w:pStyle w:val="Heading2"/>
      </w:pPr>
      <w:r>
        <w:t>ВНУТРЕННЕЕ ПРАВОСУДИЕ: ФОРМАЛЬНОЕ УРЕГУЛИРОВАНИЕ КОНФЛИКТОВ И ДИСЦИПЛИНАРНЫЕ РАЗБИРАТЕЛЬСТВА</w:t>
      </w:r>
    </w:p>
    <w:p w14:paraId="3FAE1E2F" w14:textId="77777777" w:rsidR="00D15B26" w:rsidRPr="0006645A" w:rsidRDefault="00D15B26" w:rsidP="00703C35">
      <w:pPr>
        <w:autoSpaceDE w:val="0"/>
        <w:autoSpaceDN w:val="0"/>
        <w:adjustRightInd w:val="0"/>
        <w:rPr>
          <w:rFonts w:eastAsiaTheme="minorHAnsi"/>
          <w:color w:val="000000"/>
          <w:szCs w:val="22"/>
        </w:rPr>
      </w:pPr>
    </w:p>
    <w:p w14:paraId="206684B1" w14:textId="7AFCA37D" w:rsidR="0066348A" w:rsidRPr="0006645A" w:rsidRDefault="0066348A" w:rsidP="00AE1FDF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0" w:firstLine="0"/>
        <w:rPr>
          <w:rFonts w:ascii="Arial" w:eastAsiaTheme="minorHAnsi" w:hAnsi="Arial" w:cs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Таблицы 25</w:t>
      </w:r>
      <w:r w:rsidR="00D420DB">
        <w:rPr>
          <w:rFonts w:ascii="Arial" w:hAnsi="Arial"/>
          <w:color w:val="000000"/>
          <w:sz w:val="22"/>
          <w:szCs w:val="22"/>
        </w:rPr>
        <w:t> </w:t>
      </w:r>
      <w:r>
        <w:rPr>
          <w:rFonts w:ascii="Arial" w:hAnsi="Arial"/>
          <w:color w:val="000000"/>
          <w:sz w:val="22"/>
          <w:szCs w:val="22"/>
        </w:rPr>
        <w:t>и 26</w:t>
      </w:r>
      <w:r w:rsidR="00D420DB">
        <w:rPr>
          <w:rFonts w:ascii="Arial" w:hAnsi="Arial"/>
          <w:color w:val="000000"/>
          <w:sz w:val="22"/>
          <w:szCs w:val="22"/>
        </w:rPr>
        <w:t> </w:t>
      </w:r>
      <w:r>
        <w:rPr>
          <w:rFonts w:ascii="Arial" w:hAnsi="Arial"/>
          <w:color w:val="000000"/>
          <w:sz w:val="22"/>
          <w:szCs w:val="22"/>
        </w:rPr>
        <w:t xml:space="preserve">в брошюре по вопросам </w:t>
      </w:r>
      <w:r w:rsidR="00143A15">
        <w:rPr>
          <w:rFonts w:ascii="Arial" w:hAnsi="Arial"/>
          <w:color w:val="000000"/>
          <w:sz w:val="22"/>
          <w:szCs w:val="22"/>
        </w:rPr>
        <w:t xml:space="preserve">ЛР </w:t>
      </w:r>
      <w:r>
        <w:rPr>
          <w:rFonts w:ascii="Arial" w:hAnsi="Arial"/>
          <w:color w:val="000000"/>
          <w:sz w:val="22"/>
          <w:szCs w:val="22"/>
        </w:rPr>
        <w:t>показывают число разбирательств, инициированных сотрудниками в рамках системы внутреннего правосудия с 1</w:t>
      </w:r>
      <w:r w:rsidR="00D420DB">
        <w:rPr>
          <w:rFonts w:ascii="Arial" w:hAnsi="Arial"/>
          <w:color w:val="000000"/>
          <w:sz w:val="22"/>
          <w:szCs w:val="22"/>
        </w:rPr>
        <w:t> </w:t>
      </w:r>
      <w:r>
        <w:rPr>
          <w:rFonts w:ascii="Arial" w:hAnsi="Arial"/>
          <w:color w:val="000000"/>
          <w:sz w:val="22"/>
          <w:szCs w:val="22"/>
        </w:rPr>
        <w:t>июля 2019 г. по 30 июня 2020 г., а также предмет рассматривавшихся споров.</w:t>
      </w:r>
    </w:p>
    <w:p w14:paraId="17FD418F" w14:textId="77777777" w:rsidR="0066348A" w:rsidRPr="0006645A" w:rsidRDefault="0066348A" w:rsidP="00AE1FDF">
      <w:pPr>
        <w:autoSpaceDE w:val="0"/>
        <w:autoSpaceDN w:val="0"/>
        <w:adjustRightInd w:val="0"/>
        <w:rPr>
          <w:rFonts w:eastAsiaTheme="minorHAnsi"/>
          <w:color w:val="000000"/>
          <w:szCs w:val="22"/>
        </w:rPr>
      </w:pPr>
    </w:p>
    <w:p w14:paraId="7831BB6C" w14:textId="5359D798" w:rsidR="00707079" w:rsidRPr="0006645A" w:rsidRDefault="0066348A" w:rsidP="00AE1FDF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0" w:firstLine="0"/>
        <w:rPr>
          <w:rFonts w:ascii="Arial" w:eastAsiaTheme="minorHAnsi" w:hAnsi="Arial" w:cs="Arial"/>
          <w:color w:val="000000"/>
          <w:sz w:val="22"/>
          <w:szCs w:val="22"/>
        </w:rPr>
      </w:pPr>
      <w:r>
        <w:rPr>
          <w:rFonts w:ascii="Arial" w:hAnsi="Arial"/>
          <w:sz w:val="22"/>
          <w:szCs w:val="22"/>
        </w:rPr>
        <w:t>В ходе отчетного периода администрация также возбудила дисциплинарное производство против четырех сотрудников (т. е. этот показатель не изменился по сравнению с предыдущим периодом) и закрыла дисциплинарное производство против пяти сотрудников</w:t>
      </w:r>
      <w:r w:rsidR="00707079" w:rsidRPr="0006645A">
        <w:rPr>
          <w:rFonts w:ascii="Arial" w:eastAsiaTheme="minorHAnsi" w:hAnsi="Arial" w:cs="Arial"/>
          <w:sz w:val="22"/>
          <w:szCs w:val="22"/>
          <w:vertAlign w:val="superscript"/>
        </w:rPr>
        <w:footnoteReference w:id="13"/>
      </w:r>
      <w:r>
        <w:rPr>
          <w:rFonts w:ascii="Arial" w:hAnsi="Arial"/>
          <w:sz w:val="22"/>
          <w:szCs w:val="22"/>
        </w:rPr>
        <w:t>. К четырем сотрудникам были применены следующие дисциплинарные меры: понижение оклада на одну ступень в пределах класса в одном случае, понижение на один класс на два года в одном случае и увольнение в двух случаях.</w:t>
      </w:r>
      <w:r w:rsidR="008A4DD7">
        <w:rPr>
          <w:rFonts w:ascii="Arial" w:hAnsi="Arial"/>
          <w:color w:val="000000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В еще одном случае дисциплинарное производство было закрыто без</w:t>
      </w:r>
      <w:r w:rsidR="00D420DB">
        <w:rPr>
          <w:rFonts w:ascii="Arial" w:hAnsi="Arial"/>
          <w:color w:val="000000"/>
          <w:sz w:val="22"/>
          <w:szCs w:val="22"/>
        </w:rPr>
        <w:t> </w:t>
      </w:r>
      <w:r>
        <w:rPr>
          <w:rFonts w:ascii="Arial" w:hAnsi="Arial"/>
          <w:color w:val="000000"/>
          <w:sz w:val="22"/>
          <w:szCs w:val="22"/>
        </w:rPr>
        <w:t>принятия дисциплинарных мер.</w:t>
      </w:r>
    </w:p>
    <w:p w14:paraId="33FFC4A5" w14:textId="77777777" w:rsidR="00EC14D8" w:rsidRDefault="00EC14D8" w:rsidP="002A567B">
      <w:pPr>
        <w:pStyle w:val="Heading2"/>
      </w:pPr>
    </w:p>
    <w:p w14:paraId="093E5789" w14:textId="565FCB1C" w:rsidR="00873712" w:rsidRPr="0006645A" w:rsidRDefault="00873712" w:rsidP="002A567B">
      <w:pPr>
        <w:pStyle w:val="Heading2"/>
      </w:pPr>
      <w:r>
        <w:t>РАСХОДЫ ПО ОБЕСПЕЧЕНИЮ РАБОТЫ СИСТЕМЫ ВНУТРЕННЕГО ПРАВОСУДИЯ</w:t>
      </w:r>
    </w:p>
    <w:p w14:paraId="5307CE25" w14:textId="31B3675A" w:rsidR="00707079" w:rsidRPr="0006645A" w:rsidRDefault="00707079" w:rsidP="00202584">
      <w:pPr>
        <w:keepNext/>
        <w:rPr>
          <w:szCs w:val="22"/>
        </w:rPr>
      </w:pPr>
    </w:p>
    <w:p w14:paraId="728AC627" w14:textId="7803FCEB" w:rsidR="00707079" w:rsidRPr="0006645A" w:rsidRDefault="0066348A" w:rsidP="00BF4D3A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/>
          <w:sz w:val="22"/>
          <w:szCs w:val="22"/>
        </w:rPr>
        <w:t>Выплаты на основании решений, принятых за отчетный период Административным трибуналом Международной организации труда (АТМОТ) по</w:t>
      </w:r>
      <w:r w:rsidR="00D420DB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делам, проигранным ВОИС, составили 69 669</w:t>
      </w:r>
      <w:r w:rsidR="00D420DB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шв.</w:t>
      </w:r>
      <w:r w:rsidR="00D420DB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франков</w:t>
      </w:r>
      <w:r w:rsidR="00707079" w:rsidRPr="0006645A">
        <w:rPr>
          <w:rFonts w:ascii="Arial" w:hAnsi="Arial" w:cs="Arial"/>
          <w:sz w:val="22"/>
          <w:szCs w:val="22"/>
          <w:vertAlign w:val="superscript"/>
        </w:rPr>
        <w:footnoteReference w:id="14"/>
      </w:r>
      <w:r>
        <w:rPr>
          <w:rFonts w:ascii="Arial" w:hAnsi="Arial"/>
          <w:sz w:val="22"/>
          <w:szCs w:val="22"/>
        </w:rPr>
        <w:t>. Что касается апелляций, поданных в Апелляционный совет ВОИС (АСВОИС), то Генеральный директор санкционировал выплату в общей сложности 4400 шв.</w:t>
      </w:r>
      <w:r w:rsidR="00D420DB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франков по четырем делам в</w:t>
      </w:r>
      <w:r w:rsidR="00D420DB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качестве компенсации за задержку с вынесением решения АСВОИС.</w:t>
      </w:r>
    </w:p>
    <w:p w14:paraId="50E0AB78" w14:textId="77777777" w:rsidR="00707079" w:rsidRPr="0006645A" w:rsidRDefault="00707079" w:rsidP="00BF4D3A">
      <w:pPr>
        <w:autoSpaceDE w:val="0"/>
        <w:autoSpaceDN w:val="0"/>
        <w:adjustRightInd w:val="0"/>
        <w:rPr>
          <w:color w:val="000000"/>
          <w:szCs w:val="22"/>
        </w:rPr>
      </w:pPr>
    </w:p>
    <w:p w14:paraId="3D993417" w14:textId="62AC3635" w:rsidR="005B0CF8" w:rsidRPr="0006645A" w:rsidRDefault="0066348A" w:rsidP="00BF4D3A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/>
          <w:sz w:val="22"/>
          <w:szCs w:val="22"/>
        </w:rPr>
        <w:t>Общая сумма постоянных административных расходов по рассмотрению споров в АТМОТ и АСВОИС в отчетный период составила 316 872</w:t>
      </w:r>
      <w:r w:rsidR="00D420DB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шв.</w:t>
      </w:r>
      <w:r w:rsidR="00D420DB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франков, из которых на</w:t>
      </w:r>
      <w:r w:rsidR="00D420DB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АТМОТ приходилось 240 972</w:t>
      </w:r>
      <w:r w:rsidR="00D420DB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шв.</w:t>
      </w:r>
      <w:r w:rsidR="00D420DB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франков, на АСВОИС — 75 900</w:t>
      </w:r>
      <w:r w:rsidR="00D420DB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шв.</w:t>
      </w:r>
      <w:r w:rsidR="00D420DB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франков (исключая вознаграждение сотрудника класса С-3, выполнявшего функции секретаря АСВОИС).</w:t>
      </w:r>
      <w:r w:rsidR="008A4DD7">
        <w:rPr>
          <w:rFonts w:ascii="Arial" w:hAnsi="Arial"/>
          <w:color w:val="000000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Таким образом, средние постоянные расходы в расчете на каждое решение, вынесенное АТМОТ, составили 18 387</w:t>
      </w:r>
      <w:r w:rsidR="00D420DB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шв.</w:t>
      </w:r>
      <w:r w:rsidR="00D420DB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франков, а на каждое решение, вынесенное АСВОИС — 9487</w:t>
      </w:r>
      <w:r w:rsidR="00D420DB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шв.</w:t>
      </w:r>
      <w:r w:rsidR="00D420DB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франков</w:t>
      </w:r>
      <w:r w:rsidR="00707079" w:rsidRPr="0006645A">
        <w:rPr>
          <w:rFonts w:ascii="Arial" w:hAnsi="Arial" w:cs="Arial"/>
          <w:sz w:val="22"/>
          <w:szCs w:val="22"/>
          <w:vertAlign w:val="superscript"/>
        </w:rPr>
        <w:footnoteReference w:id="15"/>
      </w:r>
      <w:r>
        <w:rPr>
          <w:rFonts w:ascii="Arial" w:hAnsi="Arial"/>
          <w:sz w:val="22"/>
          <w:szCs w:val="22"/>
        </w:rPr>
        <w:t>.</w:t>
      </w:r>
    </w:p>
    <w:p w14:paraId="0A7068D5" w14:textId="77777777" w:rsidR="00370C51" w:rsidRPr="0006645A" w:rsidRDefault="00370C51" w:rsidP="00703C35">
      <w:pPr>
        <w:autoSpaceDE w:val="0"/>
        <w:autoSpaceDN w:val="0"/>
        <w:adjustRightInd w:val="0"/>
        <w:rPr>
          <w:color w:val="000000"/>
          <w:szCs w:val="22"/>
        </w:rPr>
      </w:pPr>
    </w:p>
    <w:p w14:paraId="2C0BB064" w14:textId="1CA53F0C" w:rsidR="00D7521A" w:rsidRPr="0006645A" w:rsidRDefault="00D7521A" w:rsidP="002A567B">
      <w:pPr>
        <w:pStyle w:val="Heading2"/>
      </w:pPr>
      <w:r>
        <w:t>НОРМАТИВНАЯ РАБОТА</w:t>
      </w:r>
    </w:p>
    <w:p w14:paraId="1B69DC14" w14:textId="729CAC8E" w:rsidR="00D7521A" w:rsidRPr="0006645A" w:rsidRDefault="00D7521A" w:rsidP="00703C35">
      <w:pPr>
        <w:autoSpaceDE w:val="0"/>
        <w:autoSpaceDN w:val="0"/>
        <w:adjustRightInd w:val="0"/>
        <w:rPr>
          <w:color w:val="000000"/>
          <w:szCs w:val="22"/>
        </w:rPr>
      </w:pPr>
    </w:p>
    <w:p w14:paraId="48B0502F" w14:textId="3B558B8A" w:rsidR="00D7521A" w:rsidRPr="0006645A" w:rsidRDefault="0066348A" w:rsidP="00D25503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/>
          <w:sz w:val="22"/>
          <w:szCs w:val="22"/>
        </w:rPr>
        <w:t>На своей ежегодной сессии в октябре 2019 г. Координационный комитет ВОИС утвердил поправки к Положениям о персонале и принял к сведению поправки к</w:t>
      </w:r>
      <w:r w:rsidR="00D420DB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Правилам о персонале, вступившим в силу 1</w:t>
      </w:r>
      <w:r w:rsidR="00D420DB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января 2020 г.</w:t>
      </w:r>
      <w:r>
        <w:rPr>
          <w:rFonts w:ascii="Arial" w:hAnsi="Arial"/>
          <w:color w:val="000000"/>
          <w:sz w:val="22"/>
          <w:szCs w:val="22"/>
        </w:rPr>
        <w:t xml:space="preserve"> </w:t>
      </w:r>
    </w:p>
    <w:p w14:paraId="2F00FA02" w14:textId="77777777" w:rsidR="00D7521A" w:rsidRPr="0006645A" w:rsidRDefault="00D7521A" w:rsidP="00D25503">
      <w:pPr>
        <w:autoSpaceDE w:val="0"/>
        <w:autoSpaceDN w:val="0"/>
        <w:adjustRightInd w:val="0"/>
        <w:rPr>
          <w:color w:val="000000"/>
          <w:szCs w:val="22"/>
        </w:rPr>
      </w:pPr>
    </w:p>
    <w:p w14:paraId="5383FDE2" w14:textId="10C3353A" w:rsidR="00D7521A" w:rsidRPr="0006645A" w:rsidRDefault="0066348A" w:rsidP="00D25503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В рамках постоянной работы по укреплению основ кадровой политики в отчетный период было выпущено около 20</w:t>
      </w:r>
      <w:r w:rsidR="00D420DB">
        <w:rPr>
          <w:rFonts w:ascii="Arial" w:hAnsi="Arial"/>
          <w:color w:val="000000"/>
          <w:sz w:val="22"/>
          <w:szCs w:val="22"/>
        </w:rPr>
        <w:t> </w:t>
      </w:r>
      <w:r>
        <w:rPr>
          <w:rFonts w:ascii="Arial" w:hAnsi="Arial"/>
          <w:color w:val="000000"/>
          <w:sz w:val="22"/>
          <w:szCs w:val="22"/>
        </w:rPr>
        <w:t xml:space="preserve">новых или пересмотренных служебных инструкций и других административных документов, которые сопровождались при необходимости рассылкой общеорганизационных циркулярных писем, направленных на обеспечение адекватного понимания сотрудниками изменений, вносимых в нормативные документы. </w:t>
      </w:r>
    </w:p>
    <w:p w14:paraId="09AFBB2B" w14:textId="77777777" w:rsidR="00D7521A" w:rsidRPr="0006645A" w:rsidRDefault="00D7521A" w:rsidP="00703C35">
      <w:pPr>
        <w:contextualSpacing/>
        <w:rPr>
          <w:rFonts w:eastAsiaTheme="minorHAnsi"/>
          <w:szCs w:val="22"/>
        </w:rPr>
      </w:pPr>
    </w:p>
    <w:p w14:paraId="22BE5BB0" w14:textId="3D47535E" w:rsidR="0006645A" w:rsidRPr="0006645A" w:rsidRDefault="0006645A" w:rsidP="00D25503">
      <w:pPr>
        <w:pStyle w:val="ListParagraph"/>
        <w:numPr>
          <w:ilvl w:val="0"/>
          <w:numId w:val="4"/>
        </w:numPr>
        <w:spacing w:after="24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В частности, в целях поощрения кандидатов, представляющих различные географические регионы, к подаче заявок на прохождение стажировки в Программу стажировок ВОИС были внесены изменения, предусматривающие, среди прочего, оплату путевых расходов</w:t>
      </w:r>
      <w:r w:rsidR="002B5E77">
        <w:rPr>
          <w:rFonts w:ascii="Arial" w:hAnsi="Arial"/>
          <w:sz w:val="22"/>
          <w:szCs w:val="22"/>
        </w:rPr>
        <w:t xml:space="preserve"> для</w:t>
      </w:r>
      <w:r>
        <w:rPr>
          <w:rFonts w:ascii="Arial" w:hAnsi="Arial"/>
          <w:sz w:val="22"/>
          <w:szCs w:val="22"/>
        </w:rPr>
        <w:t xml:space="preserve"> граждан развивающихся</w:t>
      </w:r>
      <w:r w:rsidR="002B5E77">
        <w:rPr>
          <w:rFonts w:ascii="Arial" w:hAnsi="Arial"/>
          <w:sz w:val="22"/>
          <w:szCs w:val="22"/>
        </w:rPr>
        <w:t xml:space="preserve"> стран</w:t>
      </w:r>
      <w:r>
        <w:rPr>
          <w:rFonts w:ascii="Arial" w:hAnsi="Arial"/>
          <w:sz w:val="22"/>
          <w:szCs w:val="22"/>
        </w:rPr>
        <w:t>, наименее развитых стран и стран с</w:t>
      </w:r>
      <w:r w:rsidR="00D420DB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переходной экономикой.</w:t>
      </w:r>
    </w:p>
    <w:p w14:paraId="7BD029C1" w14:textId="77777777" w:rsidR="0006645A" w:rsidRPr="0006645A" w:rsidRDefault="0006645A" w:rsidP="00D25503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279F9CD5" w14:textId="74561D6E" w:rsidR="00D7521A" w:rsidRPr="0006645A" w:rsidRDefault="0006645A" w:rsidP="00D25503">
      <w:pPr>
        <w:pStyle w:val="ListParagraph"/>
        <w:numPr>
          <w:ilvl w:val="0"/>
          <w:numId w:val="4"/>
        </w:numPr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В целях содействия внутренней мобильности и развитию карьеры в феврале 2020</w:t>
      </w:r>
      <w:r w:rsidR="00D420DB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г. началось осуществление пилотной политики в области временных назначений для сотрудников, работающих по срочным, непрерывным и постоянным контрактам («штатные сотрудники»).</w:t>
      </w:r>
      <w:r w:rsidR="008A4DD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Этот пилотный проект является результатом консультаций с</w:t>
      </w:r>
      <w:r w:rsidR="00D420DB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межсекторальной дискуссионной группой для обсуждения вопросов, связанных с</w:t>
      </w:r>
      <w:r w:rsidR="00D420DB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будущим трудовой деятельности. Он дает возможность штатным сотрудникам, отвечающим установленным критериям, получать временные назначения на</w:t>
      </w:r>
      <w:r w:rsidR="00D420DB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определенные временные должности и проектные должности по срочным контрактам, сохраняя при этом свой обычный контрактный статус и связанные с ним пособия и льготы, а также право возвращения на должности по срочным контрактам, которые они занимали до временного назначения.</w:t>
      </w:r>
    </w:p>
    <w:p w14:paraId="56B5B590" w14:textId="2EEC5121" w:rsidR="00DF773D" w:rsidRPr="0006645A" w:rsidRDefault="00DF773D" w:rsidP="00D25503">
      <w:pPr>
        <w:rPr>
          <w:rFonts w:eastAsiaTheme="minorHAnsi"/>
          <w:szCs w:val="22"/>
        </w:rPr>
      </w:pPr>
    </w:p>
    <w:p w14:paraId="7C5745F3" w14:textId="26B3EE76" w:rsidR="0006645A" w:rsidRPr="0006645A" w:rsidRDefault="0006645A" w:rsidP="00D25503">
      <w:pPr>
        <w:pStyle w:val="ListParagraph"/>
        <w:numPr>
          <w:ilvl w:val="0"/>
          <w:numId w:val="4"/>
        </w:numPr>
        <w:ind w:left="0" w:firstLine="0"/>
        <w:rPr>
          <w:rFonts w:ascii="Arial" w:eastAsiaTheme="minorHAnsi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Кроме того, в целях упрощения административных процедур, связанных с переездом и перевозкой домашнего имущества и личных вещей с августа 2019</w:t>
      </w:r>
      <w:r w:rsidR="00D420DB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г. сотрудникам, принятым на работу на международной основе, предлагается паушальная сумма на переезд, с тем чтобы они могли организовать свой переезд в место службы и обратно так, как сочтут наиболее целесообразным.</w:t>
      </w:r>
      <w:r w:rsidR="008A4DD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Что касается штатных сотрудников, то паушальная сумма на переезд может быть выбрана в качестве альтернативы переезду, организуемому Организацией, тогда как для временных сотрудников паушальная сумма полностью заменяет собой вариант переезда, организуемого Организацией.</w:t>
      </w:r>
    </w:p>
    <w:p w14:paraId="3B2375C9" w14:textId="77777777" w:rsidR="0006645A" w:rsidRPr="0006645A" w:rsidRDefault="0006645A" w:rsidP="0006645A">
      <w:pPr>
        <w:rPr>
          <w:szCs w:val="22"/>
        </w:rPr>
      </w:pPr>
    </w:p>
    <w:p w14:paraId="405145D7" w14:textId="5A6A7942" w:rsidR="00D7521A" w:rsidRPr="0006645A" w:rsidRDefault="0006645A" w:rsidP="00D25503">
      <w:pPr>
        <w:pStyle w:val="ListParagraph"/>
        <w:numPr>
          <w:ilvl w:val="0"/>
          <w:numId w:val="4"/>
        </w:numPr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Онлайновый Справочник по людским ресурсам регулярно обновляется в целях предоставления сотрудникам исчерпывающего обзора всех аспектов кадровой политики ВОИС и ссылок на все соответствующие административные документы.</w:t>
      </w:r>
    </w:p>
    <w:p w14:paraId="4C21B703" w14:textId="2DEF0704" w:rsidR="00DD68AB" w:rsidRPr="0006645A" w:rsidRDefault="00DD68AB" w:rsidP="00DD68AB">
      <w:pPr>
        <w:rPr>
          <w:szCs w:val="22"/>
        </w:rPr>
      </w:pPr>
    </w:p>
    <w:p w14:paraId="08F12B44" w14:textId="4B8FB231" w:rsidR="00D7521A" w:rsidRPr="0006645A" w:rsidRDefault="00DD68AB" w:rsidP="00D25503">
      <w:pPr>
        <w:pStyle w:val="Heading1"/>
        <w:numPr>
          <w:ilvl w:val="0"/>
          <w:numId w:val="12"/>
        </w:numPr>
        <w:spacing w:before="220"/>
        <w:ind w:left="562" w:hanging="562"/>
      </w:pPr>
      <w:r>
        <w:t>ЗАДАЧИ НА 2020–2021 гг.</w:t>
      </w:r>
    </w:p>
    <w:p w14:paraId="50AE6021" w14:textId="4E95C810" w:rsidR="000200C0" w:rsidRPr="0006645A" w:rsidRDefault="000200C0" w:rsidP="00DD68AB">
      <w:pPr>
        <w:rPr>
          <w:szCs w:val="22"/>
        </w:rPr>
      </w:pPr>
    </w:p>
    <w:p w14:paraId="102E7B88" w14:textId="4FEAA6CC" w:rsidR="000200C0" w:rsidRPr="0006645A" w:rsidRDefault="0006645A" w:rsidP="00D420DB">
      <w:pPr>
        <w:pStyle w:val="ListParagraph"/>
        <w:numPr>
          <w:ilvl w:val="0"/>
          <w:numId w:val="4"/>
        </w:numPr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Касательно предстоящего отчетного периода можно отметить ряд возможностей и проблем.</w:t>
      </w:r>
    </w:p>
    <w:p w14:paraId="24CCF221" w14:textId="77777777" w:rsidR="000200C0" w:rsidRPr="0006645A" w:rsidRDefault="000200C0" w:rsidP="000200C0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4E08757F" w14:textId="18A0512E" w:rsidR="000200C0" w:rsidRPr="0006645A" w:rsidRDefault="0006645A" w:rsidP="00D25503">
      <w:pPr>
        <w:pStyle w:val="ListParagraph"/>
        <w:numPr>
          <w:ilvl w:val="0"/>
          <w:numId w:val="4"/>
        </w:numPr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С приходом нового старшего руководства требуется разработка новой Стратегии в области людских ресурсов, соответствующей программному направлению деятельности Организации в предстоящие годы. </w:t>
      </w:r>
    </w:p>
    <w:p w14:paraId="0623CFBE" w14:textId="77777777" w:rsidR="000200C0" w:rsidRPr="0006645A" w:rsidRDefault="000200C0" w:rsidP="00D25503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72283BF1" w14:textId="31F140FF" w:rsidR="000200C0" w:rsidRPr="0006645A" w:rsidRDefault="0006645A" w:rsidP="00D25503">
      <w:pPr>
        <w:pStyle w:val="ListParagraph"/>
        <w:numPr>
          <w:ilvl w:val="0"/>
          <w:numId w:val="4"/>
        </w:numPr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Развитие пандемии COVID-19 будет требовать постоянного высокого уровня бдительности и оперативного реагирования, с тем чтобы обеспечить безопасные условия труда для персонала ВОИС, с одной стороны, и надлежащее функционирование систем по оказанию услуг в области ИС глобальным клиентам и заинтересованным сторонам, с другой стороны.</w:t>
      </w:r>
      <w:r w:rsidR="008A4DD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Бдительность и оперативное реагирование также необходимы в контексте глобальных экономических изменений и их воздействия на доходы и издержки ВОИС.</w:t>
      </w:r>
    </w:p>
    <w:p w14:paraId="6B25A712" w14:textId="77777777" w:rsidR="000200C0" w:rsidRPr="0006645A" w:rsidRDefault="000200C0" w:rsidP="00D25503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32A9C23A" w14:textId="1F395DBA" w:rsidR="000200C0" w:rsidRPr="0006645A" w:rsidRDefault="0006645A" w:rsidP="00D25503">
      <w:pPr>
        <w:pStyle w:val="ListParagraph"/>
        <w:numPr>
          <w:ilvl w:val="0"/>
          <w:numId w:val="4"/>
        </w:numPr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Трансформация способа оказания услуг уже была спрогнозирована межсекторальной дискуссионной группой для обсуждения вопросов, связанных с будущим трудовой деятельности.</w:t>
      </w:r>
      <w:r w:rsidR="008A4DD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Однако глобальная пандемия вполне может ускорить некоторые аспекты этой трансформации, что потребует адекватного ответа со стороны ВОИС.</w:t>
      </w:r>
    </w:p>
    <w:p w14:paraId="1FC2795E" w14:textId="77777777" w:rsidR="000200C0" w:rsidRPr="0006645A" w:rsidRDefault="000200C0" w:rsidP="000200C0">
      <w:pPr>
        <w:pStyle w:val="ListParagraph"/>
        <w:rPr>
          <w:rFonts w:ascii="Arial" w:hAnsi="Arial" w:cs="Arial"/>
          <w:sz w:val="22"/>
          <w:szCs w:val="22"/>
        </w:rPr>
      </w:pPr>
    </w:p>
    <w:p w14:paraId="3B9FD272" w14:textId="3F11CCE0" w:rsidR="00DD68AB" w:rsidRDefault="0006645A" w:rsidP="00D25503">
      <w:pPr>
        <w:pStyle w:val="ListParagraph"/>
        <w:numPr>
          <w:ilvl w:val="0"/>
          <w:numId w:val="4"/>
        </w:numPr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Уже давно идет переход на облачные ИТ-системы.</w:t>
      </w:r>
      <w:r w:rsidR="008A4DD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В ближайшие годы в рамках перехода на облачные технологии основное внимание будет уделяться административным функциям и связанному с ними комплексу услуг, включая управление людскими ресурсами.</w:t>
      </w:r>
    </w:p>
    <w:p w14:paraId="628AE9C0" w14:textId="490588AC" w:rsidR="00D25503" w:rsidRPr="0006645A" w:rsidRDefault="00D25503" w:rsidP="00D25503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665AB715" w14:textId="379D7AAB" w:rsidR="009768E5" w:rsidRPr="0006645A" w:rsidRDefault="009768E5" w:rsidP="006B0075">
      <w:pPr>
        <w:pStyle w:val="ListParagraph"/>
        <w:spacing w:before="360"/>
        <w:ind w:left="5528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[Конец документа]</w:t>
      </w:r>
    </w:p>
    <w:sectPr w:rsidR="009768E5" w:rsidRPr="0006645A" w:rsidSect="000A1C77">
      <w:headerReference w:type="even" r:id="rId11"/>
      <w:headerReference w:type="default" r:id="rId12"/>
      <w:pgSz w:w="11907" w:h="16840" w:code="9"/>
      <w:pgMar w:top="851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EA5445" w14:textId="77777777" w:rsidR="005130DB" w:rsidRDefault="005130DB" w:rsidP="005E689F">
      <w:r>
        <w:separator/>
      </w:r>
    </w:p>
  </w:endnote>
  <w:endnote w:type="continuationSeparator" w:id="0">
    <w:p w14:paraId="4C7C914A" w14:textId="77777777" w:rsidR="005130DB" w:rsidRDefault="005130DB" w:rsidP="005E6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1C406" w14:textId="77777777" w:rsidR="005130DB" w:rsidRDefault="005130DB" w:rsidP="005E689F">
      <w:r>
        <w:separator/>
      </w:r>
    </w:p>
  </w:footnote>
  <w:footnote w:type="continuationSeparator" w:id="0">
    <w:p w14:paraId="7B891655" w14:textId="77777777" w:rsidR="005130DB" w:rsidRDefault="005130DB" w:rsidP="005E689F">
      <w:r>
        <w:continuationSeparator/>
      </w:r>
    </w:p>
  </w:footnote>
  <w:footnote w:id="1">
    <w:p w14:paraId="78475252" w14:textId="057D2D7A" w:rsidR="00FA783A" w:rsidRPr="00821A30" w:rsidRDefault="00FA783A" w:rsidP="00821A30">
      <w:pPr>
        <w:pStyle w:val="FootnoteText"/>
        <w:rPr>
          <w:sz w:val="16"/>
          <w:szCs w:val="16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См. документ </w:t>
      </w:r>
      <w:hyperlink r:id="rId1" w:history="1">
        <w:r>
          <w:rPr>
            <w:rStyle w:val="Hyperlink"/>
            <w:sz w:val="16"/>
            <w:szCs w:val="16"/>
          </w:rPr>
          <w:t>WO/CC/74/5</w:t>
        </w:r>
      </w:hyperlink>
      <w:r>
        <w:rPr>
          <w:sz w:val="16"/>
          <w:szCs w:val="16"/>
        </w:rPr>
        <w:t>.</w:t>
      </w:r>
    </w:p>
  </w:footnote>
  <w:footnote w:id="2">
    <w:p w14:paraId="632E0AC6" w14:textId="55BEC5FE" w:rsidR="00FA783A" w:rsidRPr="002C6C38" w:rsidRDefault="00FA783A" w:rsidP="00821A30">
      <w:pPr>
        <w:pStyle w:val="FootnoteText"/>
        <w:rPr>
          <w:szCs w:val="18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Брошюра </w:t>
      </w:r>
      <w:r w:rsidR="0072402F" w:rsidRPr="0072402F">
        <w:rPr>
          <w:sz w:val="16"/>
          <w:szCs w:val="16"/>
        </w:rPr>
        <w:t xml:space="preserve">по вопросам ЛР </w:t>
      </w:r>
      <w:r>
        <w:rPr>
          <w:sz w:val="16"/>
          <w:szCs w:val="16"/>
        </w:rPr>
        <w:t xml:space="preserve">размещена </w:t>
      </w:r>
      <w:hyperlink r:id="rId2" w:history="1">
        <w:r>
          <w:rPr>
            <w:rStyle w:val="Hyperlink"/>
            <w:sz w:val="16"/>
            <w:szCs w:val="16"/>
          </w:rPr>
          <w:t>здесь</w:t>
        </w:r>
      </w:hyperlink>
      <w:bookmarkStart w:id="4" w:name="_GoBack"/>
      <w:bookmarkEnd w:id="4"/>
      <w:r>
        <w:rPr>
          <w:sz w:val="16"/>
          <w:szCs w:val="16"/>
        </w:rPr>
        <w:t>.</w:t>
      </w:r>
      <w:r>
        <w:t xml:space="preserve"> </w:t>
      </w:r>
    </w:p>
  </w:footnote>
  <w:footnote w:id="3">
    <w:p w14:paraId="1277CA55" w14:textId="1815884A" w:rsidR="00FA783A" w:rsidRPr="007E3552" w:rsidRDefault="00FA783A">
      <w:pPr>
        <w:pStyle w:val="FootnoteText"/>
        <w:rPr>
          <w:sz w:val="16"/>
          <w:szCs w:val="16"/>
        </w:rPr>
      </w:pPr>
      <w:r>
        <w:rPr>
          <w:rStyle w:val="FootnoteReference"/>
          <w:sz w:val="16"/>
          <w:szCs w:val="16"/>
        </w:rPr>
        <w:footnoteRef/>
      </w:r>
      <w:r>
        <w:tab/>
      </w:r>
      <w:r w:rsidRPr="0037777E">
        <w:rPr>
          <w:sz w:val="16"/>
          <w:szCs w:val="18"/>
        </w:rPr>
        <w:t>В предыдущий отчетный период общая численность сотрудников составляла 1558</w:t>
      </w:r>
      <w:r>
        <w:rPr>
          <w:sz w:val="16"/>
          <w:szCs w:val="18"/>
          <w:lang w:val="en-GB"/>
        </w:rPr>
        <w:t> </w:t>
      </w:r>
      <w:r w:rsidRPr="0037777E">
        <w:rPr>
          <w:sz w:val="16"/>
          <w:szCs w:val="18"/>
        </w:rPr>
        <w:t>человек, а соотношение между основным персоналом и персоналом, привлекаемым на гибких условиях, составляло</w:t>
      </w:r>
      <w:r>
        <w:rPr>
          <w:sz w:val="16"/>
          <w:szCs w:val="18"/>
          <w:lang w:val="en-GB"/>
        </w:rPr>
        <w:t> </w:t>
      </w:r>
      <w:r w:rsidRPr="0037777E">
        <w:rPr>
          <w:sz w:val="16"/>
          <w:szCs w:val="18"/>
        </w:rPr>
        <w:t>70/30.</w:t>
      </w:r>
    </w:p>
  </w:footnote>
  <w:footnote w:id="4">
    <w:p w14:paraId="0FA28C07" w14:textId="5D4C4F77" w:rsidR="00FA783A" w:rsidRDefault="00FA783A">
      <w:pPr>
        <w:pStyle w:val="FootnoteText"/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Панель индикаторов деятельности ВОИС в период кризиса размещена </w:t>
      </w:r>
      <w:hyperlink r:id="rId3" w:history="1">
        <w:r>
          <w:rPr>
            <w:rStyle w:val="Hyperlink"/>
            <w:sz w:val="16"/>
            <w:szCs w:val="16"/>
          </w:rPr>
          <w:t>здесь</w:t>
        </w:r>
      </w:hyperlink>
      <w:r>
        <w:rPr>
          <w:sz w:val="16"/>
          <w:szCs w:val="16"/>
        </w:rPr>
        <w:t>.</w:t>
      </w:r>
    </w:p>
  </w:footnote>
  <w:footnote w:id="5">
    <w:p w14:paraId="47F89503" w14:textId="77777777" w:rsidR="00FA783A" w:rsidRPr="009967C8" w:rsidRDefault="00FA783A" w:rsidP="009967C8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>
        <w:tab/>
      </w:r>
      <w:r>
        <w:rPr>
          <w:sz w:val="16"/>
          <w:szCs w:val="16"/>
        </w:rPr>
        <w:t>ОПДООН переводит в плоскость практической работы Общесистемную политику ООН в области гендерного равенства и расширения прав и возможностей женщин, принятую КСР в 2006 г.</w:t>
      </w:r>
    </w:p>
  </w:footnote>
  <w:footnote w:id="6">
    <w:p w14:paraId="267973B3" w14:textId="77777777" w:rsidR="00FA783A" w:rsidRPr="009967C8" w:rsidRDefault="00FA783A" w:rsidP="009967C8">
      <w:pPr>
        <w:pStyle w:val="FootnoteText"/>
        <w:rPr>
          <w:sz w:val="16"/>
          <w:szCs w:val="16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В 2019 г. ВОИС:</w:t>
      </w:r>
    </w:p>
    <w:p w14:paraId="30E72B77" w14:textId="20D71529" w:rsidR="00FA783A" w:rsidRDefault="00FA783A" w:rsidP="00C3517A">
      <w:pPr>
        <w:pStyle w:val="FootnoteText"/>
        <w:numPr>
          <w:ilvl w:val="0"/>
          <w:numId w:val="5"/>
        </w:numPr>
        <w:ind w:left="900"/>
        <w:rPr>
          <w:sz w:val="16"/>
          <w:szCs w:val="16"/>
        </w:rPr>
      </w:pPr>
      <w:r>
        <w:rPr>
          <w:sz w:val="16"/>
          <w:szCs w:val="16"/>
        </w:rPr>
        <w:t xml:space="preserve">перевыполнила требования по показателям (ПР4) Оценка и (ПР5) Аудит; </w:t>
      </w:r>
    </w:p>
    <w:p w14:paraId="258C1B73" w14:textId="77777777" w:rsidR="00FA783A" w:rsidRDefault="00FA783A" w:rsidP="00C3517A">
      <w:pPr>
        <w:pStyle w:val="FootnoteText"/>
        <w:numPr>
          <w:ilvl w:val="0"/>
          <w:numId w:val="5"/>
        </w:numPr>
        <w:ind w:left="900"/>
        <w:rPr>
          <w:sz w:val="16"/>
          <w:szCs w:val="16"/>
        </w:rPr>
      </w:pPr>
      <w:r>
        <w:rPr>
          <w:sz w:val="16"/>
          <w:szCs w:val="16"/>
        </w:rPr>
        <w:t xml:space="preserve">выполнила требования по показателям (ПР6) Политика, (ПР7) Лидерство, (ПР8) Управление результативностью работы с учетом гендерных факторов, (ПР11) Гендерная архитектура, (ПР13) Общеорганизационная культура; </w:t>
      </w:r>
    </w:p>
    <w:p w14:paraId="55D7200C" w14:textId="7B360540" w:rsidR="00FA783A" w:rsidRDefault="00FA783A" w:rsidP="00C3517A">
      <w:pPr>
        <w:pStyle w:val="FootnoteText"/>
        <w:numPr>
          <w:ilvl w:val="0"/>
          <w:numId w:val="5"/>
        </w:numPr>
        <w:ind w:left="900"/>
        <w:rPr>
          <w:sz w:val="16"/>
          <w:szCs w:val="16"/>
        </w:rPr>
      </w:pPr>
      <w:r>
        <w:rPr>
          <w:sz w:val="16"/>
          <w:szCs w:val="16"/>
        </w:rPr>
        <w:t xml:space="preserve">была близка к выполнению требований по показателям (ПР9) Контроль состояния финансовых ресурсов, (ПР12) Равное представительство женщин, (ПР14) Оценка потенциала, (ПР15) Развитие потенциала (ПР16) Знания и коммуникация и (ПР17) Согласованность; </w:t>
      </w:r>
    </w:p>
    <w:p w14:paraId="67D2976A" w14:textId="4F1724AC" w:rsidR="00FA783A" w:rsidRPr="0037777E" w:rsidRDefault="00FA783A" w:rsidP="00FA783A">
      <w:pPr>
        <w:pStyle w:val="FootnoteText"/>
        <w:numPr>
          <w:ilvl w:val="0"/>
          <w:numId w:val="5"/>
        </w:numPr>
        <w:ind w:left="900"/>
        <w:rPr>
          <w:sz w:val="16"/>
          <w:szCs w:val="16"/>
        </w:rPr>
      </w:pPr>
      <w:r w:rsidRPr="0037777E">
        <w:rPr>
          <w:sz w:val="16"/>
          <w:szCs w:val="16"/>
        </w:rPr>
        <w:t xml:space="preserve">не выполнила требования по показателям (ПР1) Стратегическое планирование работы по достижению ЦУР, связанных с гендерными вопросами, (ПР2) Отчетность о работе по достижению ЦУР, связанных с гендерными вопросами, и (ПР10) Распределение финансовых ресурсов. </w:t>
      </w:r>
    </w:p>
    <w:p w14:paraId="1507A224" w14:textId="77777777" w:rsidR="00FA783A" w:rsidRPr="00787F56" w:rsidRDefault="00FA783A" w:rsidP="00BE4E4A">
      <w:pPr>
        <w:pStyle w:val="FootnoteText"/>
        <w:ind w:left="900"/>
        <w:rPr>
          <w:rFonts w:asciiTheme="minorHAnsi" w:hAnsiTheme="minorHAnsi" w:cstheme="minorHAnsi"/>
          <w:sz w:val="20"/>
        </w:rPr>
      </w:pPr>
      <w:r>
        <w:rPr>
          <w:sz w:val="16"/>
          <w:szCs w:val="16"/>
        </w:rPr>
        <w:t>Не применим показатель (ПР3) Программные результаты работы по достижению ЦУР, связанных с гендерными вопросами.</w:t>
      </w:r>
    </w:p>
  </w:footnote>
  <w:footnote w:id="7">
    <w:p w14:paraId="6405F972" w14:textId="252E8F08" w:rsidR="00FA783A" w:rsidRPr="00EF4127" w:rsidRDefault="00FA783A" w:rsidP="009967C8">
      <w:pPr>
        <w:pStyle w:val="FootnoteText"/>
        <w:jc w:val="both"/>
        <w:rPr>
          <w:sz w:val="16"/>
          <w:szCs w:val="16"/>
        </w:rPr>
      </w:pPr>
      <w:r>
        <w:rPr>
          <w:rStyle w:val="FootnoteReference"/>
          <w:sz w:val="16"/>
          <w:szCs w:val="16"/>
        </w:rPr>
        <w:footnoteRef/>
      </w:r>
      <w:r>
        <w:tab/>
      </w:r>
      <w:r w:rsidRPr="00DD0EAF">
        <w:rPr>
          <w:sz w:val="16"/>
          <w:szCs w:val="16"/>
        </w:rPr>
        <w:t>Сотрудники, имеющие срочные, непрерывные или постоянные контракты и занимающие должности, финансируемые из регулярного бюджета, с учетом класса должности.</w:t>
      </w:r>
      <w:r>
        <w:rPr>
          <w:sz w:val="16"/>
          <w:szCs w:val="16"/>
        </w:rPr>
        <w:t xml:space="preserve"> </w:t>
      </w:r>
      <w:r w:rsidRPr="00DD0EAF">
        <w:rPr>
          <w:sz w:val="16"/>
          <w:szCs w:val="16"/>
        </w:rPr>
        <w:t>Временные сотрудники и сотрудники из категории высшего руководства не учитываются.</w:t>
      </w:r>
    </w:p>
  </w:footnote>
  <w:footnote w:id="8">
    <w:p w14:paraId="264970F5" w14:textId="5391807D" w:rsidR="00FA783A" w:rsidRPr="00F655A6" w:rsidRDefault="00FA783A">
      <w:pPr>
        <w:pStyle w:val="FootnoteText"/>
        <w:rPr>
          <w:sz w:val="16"/>
          <w:szCs w:val="16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См. документ </w:t>
      </w:r>
      <w:hyperlink r:id="rId4" w:history="1">
        <w:r>
          <w:rPr>
            <w:rStyle w:val="Hyperlink"/>
            <w:sz w:val="16"/>
            <w:szCs w:val="16"/>
          </w:rPr>
          <w:t>A/74/30</w:t>
        </w:r>
      </w:hyperlink>
      <w:r w:rsidR="009F644A">
        <w:rPr>
          <w:sz w:val="16"/>
          <w:szCs w:val="16"/>
        </w:rPr>
        <w:t>.</w:t>
      </w:r>
    </w:p>
  </w:footnote>
  <w:footnote w:id="9">
    <w:p w14:paraId="0AA0541D" w14:textId="0FFB29B5" w:rsidR="00FA783A" w:rsidRPr="00F655A6" w:rsidRDefault="00FA783A">
      <w:pPr>
        <w:pStyle w:val="FootnoteText"/>
        <w:rPr>
          <w:sz w:val="16"/>
          <w:szCs w:val="16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См. документ </w:t>
      </w:r>
      <w:hyperlink r:id="rId5" w:history="1">
        <w:r>
          <w:rPr>
            <w:rStyle w:val="Hyperlink"/>
            <w:sz w:val="16"/>
            <w:szCs w:val="16"/>
          </w:rPr>
          <w:t>A/74/331</w:t>
        </w:r>
      </w:hyperlink>
      <w:r>
        <w:rPr>
          <w:sz w:val="16"/>
          <w:szCs w:val="16"/>
        </w:rPr>
        <w:t>.</w:t>
      </w:r>
    </w:p>
  </w:footnote>
  <w:footnote w:id="10">
    <w:p w14:paraId="205347B0" w14:textId="317BC69E" w:rsidR="00FA783A" w:rsidRPr="00BE4E4A" w:rsidRDefault="00FA783A">
      <w:pPr>
        <w:pStyle w:val="FootnoteText"/>
        <w:rPr>
          <w:sz w:val="16"/>
          <w:szCs w:val="16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См. документ </w:t>
      </w:r>
      <w:hyperlink r:id="rId6" w:history="1">
        <w:r>
          <w:rPr>
            <w:rStyle w:val="Hyperlink"/>
            <w:sz w:val="16"/>
            <w:szCs w:val="16"/>
          </w:rPr>
          <w:t>WO/CC/75/3</w:t>
        </w:r>
      </w:hyperlink>
      <w:r>
        <w:rPr>
          <w:rStyle w:val="Hyperlink"/>
          <w:sz w:val="16"/>
          <w:szCs w:val="16"/>
          <w:u w:val="none"/>
        </w:rPr>
        <w:t>.</w:t>
      </w:r>
    </w:p>
  </w:footnote>
  <w:footnote w:id="11">
    <w:p w14:paraId="7CE2E33C" w14:textId="59E4DB60" w:rsidR="00FA783A" w:rsidRPr="00DF773D" w:rsidRDefault="00FA783A" w:rsidP="00DF773D">
      <w:pPr>
        <w:autoSpaceDE w:val="0"/>
        <w:autoSpaceDN w:val="0"/>
        <w:adjustRightInd w:val="0"/>
        <w:rPr>
          <w:sz w:val="16"/>
          <w:szCs w:val="16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Требование об обеспечении географического разнообразия действует в отношении всех штатных должностей категории специалистов и выше, которые финансируются за счет регулярного бюджета, за исключением должностей, связанных с лингвистическим обеспечением, и должности Генерального директора.</w:t>
      </w:r>
    </w:p>
  </w:footnote>
  <w:footnote w:id="12">
    <w:p w14:paraId="400C42AD" w14:textId="747F6846" w:rsidR="00FA783A" w:rsidRPr="0023494A" w:rsidRDefault="00FA783A" w:rsidP="007A39DA">
      <w:pPr>
        <w:pStyle w:val="FootnoteText"/>
        <w:rPr>
          <w:sz w:val="16"/>
          <w:szCs w:val="16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См. документ </w:t>
      </w:r>
      <w:hyperlink r:id="rId7" w:history="1">
        <w:r>
          <w:rPr>
            <w:rStyle w:val="Hyperlink"/>
            <w:sz w:val="16"/>
            <w:szCs w:val="16"/>
          </w:rPr>
          <w:t>WO/CC/73/5</w:t>
        </w:r>
      </w:hyperlink>
    </w:p>
  </w:footnote>
  <w:footnote w:id="13">
    <w:p w14:paraId="26F003EA" w14:textId="5213F393" w:rsidR="00FA783A" w:rsidRPr="00DD0EAF" w:rsidRDefault="00FA783A" w:rsidP="00707079">
      <w:pPr>
        <w:pStyle w:val="FootnoteText"/>
        <w:rPr>
          <w:sz w:val="16"/>
          <w:szCs w:val="16"/>
        </w:rPr>
      </w:pPr>
      <w:r w:rsidRPr="00DD0EAF"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ab/>
      </w:r>
      <w:r w:rsidRPr="00DD0EAF">
        <w:rPr>
          <w:sz w:val="16"/>
          <w:szCs w:val="16"/>
        </w:rPr>
        <w:t>Дисциплинарные разбирательства, закрытые в течение отчетного периода, включают разбирательства, возбужденные в отношении четырех сотрудников за тот же период, а также разбирательство в отношении одного сотрудника, начатое в течение предыдущего отчетного периода.</w:t>
      </w:r>
    </w:p>
  </w:footnote>
  <w:footnote w:id="14">
    <w:p w14:paraId="7FE6F1B6" w14:textId="4301E277" w:rsidR="00FA783A" w:rsidRPr="00DD0EAF" w:rsidRDefault="00FA783A" w:rsidP="00DF773D">
      <w:pPr>
        <w:pStyle w:val="FootnoteText"/>
        <w:tabs>
          <w:tab w:val="left" w:pos="540"/>
        </w:tabs>
        <w:rPr>
          <w:sz w:val="16"/>
          <w:szCs w:val="16"/>
        </w:rPr>
      </w:pPr>
      <w:r w:rsidRPr="00DD0EAF"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ab/>
      </w:r>
      <w:r w:rsidRPr="00DD0EAF">
        <w:rPr>
          <w:sz w:val="16"/>
          <w:szCs w:val="16"/>
        </w:rPr>
        <w:t>Без учета выплаты заработной платы задним числом, которую ВОИС осуществила в соответствии с решением АТМОТ</w:t>
      </w:r>
      <w:r>
        <w:rPr>
          <w:sz w:val="16"/>
          <w:szCs w:val="16"/>
        </w:rPr>
        <w:t> </w:t>
      </w:r>
      <w:r w:rsidRPr="00DD0EAF">
        <w:rPr>
          <w:sz w:val="16"/>
          <w:szCs w:val="16"/>
        </w:rPr>
        <w:t>4138. Это решение было вынесено в июле 2019</w:t>
      </w:r>
      <w:r>
        <w:rPr>
          <w:sz w:val="16"/>
          <w:szCs w:val="16"/>
        </w:rPr>
        <w:t> </w:t>
      </w:r>
      <w:r w:rsidRPr="00DD0EAF">
        <w:rPr>
          <w:sz w:val="16"/>
          <w:szCs w:val="16"/>
        </w:rPr>
        <w:t>г. по 253</w:t>
      </w:r>
      <w:r>
        <w:rPr>
          <w:sz w:val="16"/>
          <w:szCs w:val="16"/>
        </w:rPr>
        <w:t> </w:t>
      </w:r>
      <w:r w:rsidRPr="00DD0EAF">
        <w:rPr>
          <w:sz w:val="16"/>
          <w:szCs w:val="16"/>
        </w:rPr>
        <w:t>жалобам, которые были поданы работающими в</w:t>
      </w:r>
      <w:r>
        <w:rPr>
          <w:sz w:val="16"/>
          <w:szCs w:val="16"/>
        </w:rPr>
        <w:t> </w:t>
      </w:r>
      <w:r w:rsidRPr="00DD0EAF">
        <w:rPr>
          <w:sz w:val="16"/>
          <w:szCs w:val="16"/>
        </w:rPr>
        <w:t>Женеве сотрудниками категории специалистов и выше в связи со снижением коэффициента расчета корректива по</w:t>
      </w:r>
      <w:r>
        <w:rPr>
          <w:sz w:val="16"/>
          <w:szCs w:val="16"/>
        </w:rPr>
        <w:t> </w:t>
      </w:r>
      <w:r w:rsidRPr="00DD0EAF">
        <w:rPr>
          <w:sz w:val="16"/>
          <w:szCs w:val="16"/>
        </w:rPr>
        <w:t xml:space="preserve">месту службы для Женевы. В </w:t>
      </w:r>
      <w:r w:rsidR="002B5E77">
        <w:rPr>
          <w:sz w:val="16"/>
          <w:szCs w:val="16"/>
        </w:rPr>
        <w:t>своем решении</w:t>
      </w:r>
      <w:r w:rsidRPr="00DD0EAF">
        <w:rPr>
          <w:sz w:val="16"/>
          <w:szCs w:val="16"/>
        </w:rPr>
        <w:t xml:space="preserve"> АТМОТ постановил выплатить разницу между вознаграждением, выплаченным истцам за период с марта 2018 г., и вознаграждением, которое было бы выплачено им в течение того же периода без учета решений КМГС, с уплатой 5</w:t>
      </w:r>
      <w:r w:rsidR="002B5E77">
        <w:rPr>
          <w:sz w:val="16"/>
          <w:szCs w:val="16"/>
        </w:rPr>
        <w:t> процентов</w:t>
      </w:r>
      <w:r w:rsidRPr="00DD0EAF">
        <w:rPr>
          <w:sz w:val="16"/>
          <w:szCs w:val="16"/>
        </w:rPr>
        <w:t xml:space="preserve"> годовых за период с соответствующей даты до даты последнего платежа.</w:t>
      </w:r>
    </w:p>
  </w:footnote>
  <w:footnote w:id="15">
    <w:p w14:paraId="59D3DAA9" w14:textId="1AF4DD50" w:rsidR="00FA783A" w:rsidRPr="003A1A1C" w:rsidRDefault="00FA783A" w:rsidP="00DF773D">
      <w:pPr>
        <w:pStyle w:val="FootnoteText"/>
        <w:tabs>
          <w:tab w:val="left" w:pos="540"/>
        </w:tabs>
        <w:rPr>
          <w:sz w:val="16"/>
          <w:szCs w:val="16"/>
        </w:rPr>
      </w:pPr>
      <w:r w:rsidRPr="00DD0EAF"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ab/>
      </w:r>
      <w:r w:rsidRPr="00DD0EAF">
        <w:rPr>
          <w:sz w:val="16"/>
          <w:szCs w:val="16"/>
        </w:rPr>
        <w:t>Постоянные расходы на рассмотрение споров по процедуре АСВОИС включают вознаграждение председателя и заместителя председателя АСВОИС, путевые расходы заместителя председателя и стоимость услуг секретаря АСВОИС, нанимаемого через кадровое агентство.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ACFEC" w14:textId="3778B0F3" w:rsidR="00FA783A" w:rsidRDefault="00FA783A" w:rsidP="008F4A3A">
    <w:pPr>
      <w:jc w:val="right"/>
    </w:pPr>
  </w:p>
  <w:p w14:paraId="0AF77511" w14:textId="640C4084" w:rsidR="00FA783A" w:rsidRPr="000A1C77" w:rsidRDefault="00FA783A" w:rsidP="008F4A3A">
    <w:pPr>
      <w:jc w:val="right"/>
      <w:rPr>
        <w:lang w:val="en-US"/>
      </w:rPr>
    </w:pPr>
    <w:r w:rsidRPr="000C0C91">
      <w:rPr>
        <w:lang w:val="de-DE"/>
      </w:rPr>
      <w:t>WO/CC/78/INF/1 Rev.</w:t>
    </w:r>
  </w:p>
  <w:p w14:paraId="5252C8F8" w14:textId="056A0FE2" w:rsidR="00FA783A" w:rsidRDefault="00FA783A" w:rsidP="008F4A3A">
    <w:pPr>
      <w:jc w:val="right"/>
    </w:pPr>
    <w:r>
      <w:t>стр</w:t>
    </w:r>
    <w:r w:rsidRPr="000A1C77">
      <w:rPr>
        <w:lang w:val="en-US"/>
      </w:rPr>
      <w:t>. </w:t>
    </w:r>
    <w:r>
      <w:fldChar w:fldCharType="begin"/>
    </w:r>
    <w:r w:rsidRPr="000A1C77">
      <w:rPr>
        <w:lang w:val="en-US"/>
      </w:rPr>
      <w:instrText xml:space="preserve"> PAGE  \* MERGEFORMAT </w:instrText>
    </w:r>
    <w:r>
      <w:fldChar w:fldCharType="separate"/>
    </w:r>
    <w:r w:rsidR="00360ADE" w:rsidRPr="00360ADE">
      <w:rPr>
        <w:noProof/>
      </w:rPr>
      <w:t>2</w:t>
    </w:r>
    <w:r>
      <w:fldChar w:fldCharType="end"/>
    </w:r>
  </w:p>
  <w:p w14:paraId="4CF4A9FC" w14:textId="77777777" w:rsidR="00FA783A" w:rsidRDefault="00FA783A" w:rsidP="008F4A3A">
    <w:pPr>
      <w:pStyle w:val="Header"/>
    </w:pPr>
  </w:p>
  <w:p w14:paraId="612A04DB" w14:textId="77777777" w:rsidR="00FA783A" w:rsidRDefault="00FA783A" w:rsidP="008F4A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D6BA5" w14:textId="5E477B85" w:rsidR="00FA783A" w:rsidRDefault="00FA783A" w:rsidP="00C7658A">
    <w:pPr>
      <w:jc w:val="right"/>
    </w:pPr>
  </w:p>
  <w:p w14:paraId="3732B93A" w14:textId="4B2BE028" w:rsidR="00FA783A" w:rsidRPr="0008647E" w:rsidRDefault="00FA783A" w:rsidP="00C7658A">
    <w:pPr>
      <w:jc w:val="right"/>
      <w:rPr>
        <w:lang w:val="en-US"/>
      </w:rPr>
    </w:pPr>
    <w:r>
      <w:t>WO/CC/78/INF/1</w:t>
    </w:r>
    <w:r w:rsidR="0008647E">
      <w:rPr>
        <w:lang w:val="en-US"/>
      </w:rPr>
      <w:t xml:space="preserve"> Rev.</w:t>
    </w:r>
  </w:p>
  <w:p w14:paraId="2FF8B592" w14:textId="0E50FF84" w:rsidR="00FA783A" w:rsidRDefault="00FA783A" w:rsidP="00C7658A">
    <w:pPr>
      <w:jc w:val="right"/>
    </w:pPr>
    <w:r>
      <w:t>стр. </w:t>
    </w:r>
    <w:r>
      <w:fldChar w:fldCharType="begin"/>
    </w:r>
    <w:r>
      <w:instrText xml:space="preserve"> PAGE  \* MERGEFORMAT </w:instrText>
    </w:r>
    <w:r>
      <w:fldChar w:fldCharType="separate"/>
    </w:r>
    <w:r w:rsidR="00360ADE">
      <w:rPr>
        <w:noProof/>
      </w:rPr>
      <w:t>19</w:t>
    </w:r>
    <w:r>
      <w:fldChar w:fldCharType="end"/>
    </w:r>
  </w:p>
  <w:p w14:paraId="120C9707" w14:textId="5CED612A" w:rsidR="00FA783A" w:rsidRDefault="00FA783A">
    <w:pPr>
      <w:pStyle w:val="Header"/>
    </w:pPr>
  </w:p>
  <w:p w14:paraId="19B57AFA" w14:textId="77777777" w:rsidR="00FA783A" w:rsidRDefault="00FA78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43334"/>
    <w:multiLevelType w:val="hybridMultilevel"/>
    <w:tmpl w:val="05249234"/>
    <w:lvl w:ilvl="0" w:tplc="2E76AE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B79F8"/>
    <w:multiLevelType w:val="hybridMultilevel"/>
    <w:tmpl w:val="4CB2D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82483"/>
    <w:multiLevelType w:val="hybridMultilevel"/>
    <w:tmpl w:val="E696988E"/>
    <w:lvl w:ilvl="0" w:tplc="135E537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360CE"/>
    <w:multiLevelType w:val="hybridMultilevel"/>
    <w:tmpl w:val="37006DB8"/>
    <w:lvl w:ilvl="0" w:tplc="B6DA4AF8"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01F39A3"/>
    <w:multiLevelType w:val="hybridMultilevel"/>
    <w:tmpl w:val="AA24D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83EA8"/>
    <w:multiLevelType w:val="hybridMultilevel"/>
    <w:tmpl w:val="C4BC1C48"/>
    <w:lvl w:ilvl="0" w:tplc="0409000F">
      <w:start w:val="46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65365AC4">
      <w:start w:val="1"/>
      <w:numFmt w:val="lowerLetter"/>
      <w:lvlText w:val="(%2)"/>
      <w:lvlJc w:val="left"/>
      <w:pPr>
        <w:ind w:left="2880" w:hanging="360"/>
      </w:pPr>
      <w:rPr>
        <w:rFonts w:ascii="Arial" w:eastAsia="Times New Roman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E7196C"/>
    <w:multiLevelType w:val="hybridMultilevel"/>
    <w:tmpl w:val="EE5E3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9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0" w15:restartNumberingAfterBreak="0">
    <w:nsid w:val="7E0D043F"/>
    <w:multiLevelType w:val="hybridMultilevel"/>
    <w:tmpl w:val="F56A9A46"/>
    <w:lvl w:ilvl="0" w:tplc="617C369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2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  <w:num w:numId="9">
    <w:abstractNumId w:val="7"/>
  </w:num>
  <w:num w:numId="10">
    <w:abstractNumId w:val="1"/>
  </w:num>
  <w:num w:numId="11">
    <w:abstractNumId w:val="4"/>
  </w:num>
  <w:num w:numId="12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89F"/>
    <w:rsid w:val="000037A1"/>
    <w:rsid w:val="000077BC"/>
    <w:rsid w:val="00011C7B"/>
    <w:rsid w:val="0001267C"/>
    <w:rsid w:val="00012F02"/>
    <w:rsid w:val="00015C68"/>
    <w:rsid w:val="0001640A"/>
    <w:rsid w:val="0001763F"/>
    <w:rsid w:val="00017E40"/>
    <w:rsid w:val="000200C0"/>
    <w:rsid w:val="0002065D"/>
    <w:rsid w:val="00022502"/>
    <w:rsid w:val="00022510"/>
    <w:rsid w:val="0002622C"/>
    <w:rsid w:val="00030410"/>
    <w:rsid w:val="0003230F"/>
    <w:rsid w:val="00033EB8"/>
    <w:rsid w:val="00036324"/>
    <w:rsid w:val="000441D2"/>
    <w:rsid w:val="00050B16"/>
    <w:rsid w:val="000520E2"/>
    <w:rsid w:val="00052161"/>
    <w:rsid w:val="000526F7"/>
    <w:rsid w:val="00052B62"/>
    <w:rsid w:val="0005472F"/>
    <w:rsid w:val="00055D7A"/>
    <w:rsid w:val="00056DC7"/>
    <w:rsid w:val="00060B3C"/>
    <w:rsid w:val="000619AA"/>
    <w:rsid w:val="00063F95"/>
    <w:rsid w:val="0006645A"/>
    <w:rsid w:val="00066E7A"/>
    <w:rsid w:val="00067BBA"/>
    <w:rsid w:val="00073000"/>
    <w:rsid w:val="000737AF"/>
    <w:rsid w:val="000833CD"/>
    <w:rsid w:val="00083A2B"/>
    <w:rsid w:val="00084CF0"/>
    <w:rsid w:val="0008647E"/>
    <w:rsid w:val="00087066"/>
    <w:rsid w:val="00093D10"/>
    <w:rsid w:val="0009657A"/>
    <w:rsid w:val="00096818"/>
    <w:rsid w:val="000A04F0"/>
    <w:rsid w:val="000A0FF3"/>
    <w:rsid w:val="000A149E"/>
    <w:rsid w:val="000A1B3B"/>
    <w:rsid w:val="000A1C77"/>
    <w:rsid w:val="000A2BF1"/>
    <w:rsid w:val="000A5D4C"/>
    <w:rsid w:val="000B0E89"/>
    <w:rsid w:val="000B1F74"/>
    <w:rsid w:val="000B29F9"/>
    <w:rsid w:val="000B335E"/>
    <w:rsid w:val="000B34E7"/>
    <w:rsid w:val="000B3BF7"/>
    <w:rsid w:val="000C1AFB"/>
    <w:rsid w:val="000C6674"/>
    <w:rsid w:val="000D0455"/>
    <w:rsid w:val="000D05A0"/>
    <w:rsid w:val="000D0A96"/>
    <w:rsid w:val="000D11E9"/>
    <w:rsid w:val="000D1E5C"/>
    <w:rsid w:val="000D4453"/>
    <w:rsid w:val="000F1599"/>
    <w:rsid w:val="000F3E7F"/>
    <w:rsid w:val="000F5E56"/>
    <w:rsid w:val="00114A64"/>
    <w:rsid w:val="00116F32"/>
    <w:rsid w:val="00117E6F"/>
    <w:rsid w:val="00127C4B"/>
    <w:rsid w:val="0013216C"/>
    <w:rsid w:val="0013271C"/>
    <w:rsid w:val="0013524D"/>
    <w:rsid w:val="00136803"/>
    <w:rsid w:val="00141D5F"/>
    <w:rsid w:val="00142B83"/>
    <w:rsid w:val="00143A15"/>
    <w:rsid w:val="001507FB"/>
    <w:rsid w:val="001514F9"/>
    <w:rsid w:val="00151FAF"/>
    <w:rsid w:val="001558E4"/>
    <w:rsid w:val="0015769F"/>
    <w:rsid w:val="00157FA1"/>
    <w:rsid w:val="001632EA"/>
    <w:rsid w:val="00166628"/>
    <w:rsid w:val="00175430"/>
    <w:rsid w:val="00176714"/>
    <w:rsid w:val="001813C1"/>
    <w:rsid w:val="00192631"/>
    <w:rsid w:val="00195F7A"/>
    <w:rsid w:val="00197343"/>
    <w:rsid w:val="001978C1"/>
    <w:rsid w:val="001A2401"/>
    <w:rsid w:val="001A3E8D"/>
    <w:rsid w:val="001A42CF"/>
    <w:rsid w:val="001A6F56"/>
    <w:rsid w:val="001B026B"/>
    <w:rsid w:val="001B20AB"/>
    <w:rsid w:val="001B4881"/>
    <w:rsid w:val="001B4CA2"/>
    <w:rsid w:val="001C03B4"/>
    <w:rsid w:val="001C191C"/>
    <w:rsid w:val="001C2496"/>
    <w:rsid w:val="001C3530"/>
    <w:rsid w:val="001C5B21"/>
    <w:rsid w:val="001D011C"/>
    <w:rsid w:val="001D0775"/>
    <w:rsid w:val="001D0ECA"/>
    <w:rsid w:val="001D309D"/>
    <w:rsid w:val="001D467D"/>
    <w:rsid w:val="001D7502"/>
    <w:rsid w:val="001E1418"/>
    <w:rsid w:val="001E2C87"/>
    <w:rsid w:val="001E562F"/>
    <w:rsid w:val="001F00CF"/>
    <w:rsid w:val="001F3A94"/>
    <w:rsid w:val="001F4258"/>
    <w:rsid w:val="001F4966"/>
    <w:rsid w:val="001F7A1B"/>
    <w:rsid w:val="0020166A"/>
    <w:rsid w:val="00202584"/>
    <w:rsid w:val="00205C73"/>
    <w:rsid w:val="00205D14"/>
    <w:rsid w:val="002071BB"/>
    <w:rsid w:val="0021112C"/>
    <w:rsid w:val="00213C74"/>
    <w:rsid w:val="002154D0"/>
    <w:rsid w:val="00220A00"/>
    <w:rsid w:val="00220EB6"/>
    <w:rsid w:val="0022250A"/>
    <w:rsid w:val="00225C5A"/>
    <w:rsid w:val="0022731F"/>
    <w:rsid w:val="00227374"/>
    <w:rsid w:val="00227B39"/>
    <w:rsid w:val="00233A04"/>
    <w:rsid w:val="0023494A"/>
    <w:rsid w:val="002366FA"/>
    <w:rsid w:val="00241085"/>
    <w:rsid w:val="00244CDD"/>
    <w:rsid w:val="0024532C"/>
    <w:rsid w:val="00250A68"/>
    <w:rsid w:val="00253375"/>
    <w:rsid w:val="002533F8"/>
    <w:rsid w:val="00260CB2"/>
    <w:rsid w:val="00260F8F"/>
    <w:rsid w:val="002618D1"/>
    <w:rsid w:val="00261FE9"/>
    <w:rsid w:val="00264B34"/>
    <w:rsid w:val="00266979"/>
    <w:rsid w:val="00271A7D"/>
    <w:rsid w:val="00275753"/>
    <w:rsid w:val="002767C9"/>
    <w:rsid w:val="002809D6"/>
    <w:rsid w:val="002812D3"/>
    <w:rsid w:val="00283F80"/>
    <w:rsid w:val="00284F16"/>
    <w:rsid w:val="002906E7"/>
    <w:rsid w:val="002922A1"/>
    <w:rsid w:val="00292A53"/>
    <w:rsid w:val="00292BD8"/>
    <w:rsid w:val="002A02C6"/>
    <w:rsid w:val="002A0933"/>
    <w:rsid w:val="002A3D33"/>
    <w:rsid w:val="002A567B"/>
    <w:rsid w:val="002A5C5A"/>
    <w:rsid w:val="002A7A7F"/>
    <w:rsid w:val="002B078E"/>
    <w:rsid w:val="002B5E77"/>
    <w:rsid w:val="002C06BA"/>
    <w:rsid w:val="002C411F"/>
    <w:rsid w:val="002C6C38"/>
    <w:rsid w:val="002D2C8C"/>
    <w:rsid w:val="002D56FB"/>
    <w:rsid w:val="002E048B"/>
    <w:rsid w:val="002E566E"/>
    <w:rsid w:val="002E5AAF"/>
    <w:rsid w:val="002E619D"/>
    <w:rsid w:val="002F5E93"/>
    <w:rsid w:val="002F62B5"/>
    <w:rsid w:val="0030106B"/>
    <w:rsid w:val="00301651"/>
    <w:rsid w:val="00301848"/>
    <w:rsid w:val="00302A5D"/>
    <w:rsid w:val="00306D30"/>
    <w:rsid w:val="003116DB"/>
    <w:rsid w:val="003163F9"/>
    <w:rsid w:val="003169D5"/>
    <w:rsid w:val="0031752F"/>
    <w:rsid w:val="003223AC"/>
    <w:rsid w:val="00325CF5"/>
    <w:rsid w:val="00330C56"/>
    <w:rsid w:val="0033129D"/>
    <w:rsid w:val="00331835"/>
    <w:rsid w:val="0033688E"/>
    <w:rsid w:val="00337ECE"/>
    <w:rsid w:val="0034134D"/>
    <w:rsid w:val="00341418"/>
    <w:rsid w:val="00342A50"/>
    <w:rsid w:val="00343A6C"/>
    <w:rsid w:val="00343E5E"/>
    <w:rsid w:val="00344BC1"/>
    <w:rsid w:val="00351F34"/>
    <w:rsid w:val="0035358C"/>
    <w:rsid w:val="003535B2"/>
    <w:rsid w:val="00360ADE"/>
    <w:rsid w:val="003624A0"/>
    <w:rsid w:val="00370C51"/>
    <w:rsid w:val="00371CAB"/>
    <w:rsid w:val="00373F14"/>
    <w:rsid w:val="003753F2"/>
    <w:rsid w:val="0037777E"/>
    <w:rsid w:val="00382479"/>
    <w:rsid w:val="00384F8C"/>
    <w:rsid w:val="0038505F"/>
    <w:rsid w:val="0038653F"/>
    <w:rsid w:val="00391804"/>
    <w:rsid w:val="00391903"/>
    <w:rsid w:val="00394B23"/>
    <w:rsid w:val="00395147"/>
    <w:rsid w:val="003952D6"/>
    <w:rsid w:val="003A1A1C"/>
    <w:rsid w:val="003A68FD"/>
    <w:rsid w:val="003A6E03"/>
    <w:rsid w:val="003A75CF"/>
    <w:rsid w:val="003B34AC"/>
    <w:rsid w:val="003B3C6C"/>
    <w:rsid w:val="003B7744"/>
    <w:rsid w:val="003C10AC"/>
    <w:rsid w:val="003C162E"/>
    <w:rsid w:val="003C3785"/>
    <w:rsid w:val="003C6A5A"/>
    <w:rsid w:val="003D31E7"/>
    <w:rsid w:val="003D67A4"/>
    <w:rsid w:val="003E0C58"/>
    <w:rsid w:val="003E1AD1"/>
    <w:rsid w:val="003E5457"/>
    <w:rsid w:val="003F347C"/>
    <w:rsid w:val="004007F6"/>
    <w:rsid w:val="004051C1"/>
    <w:rsid w:val="004052AD"/>
    <w:rsid w:val="00405734"/>
    <w:rsid w:val="004069C4"/>
    <w:rsid w:val="00410B3B"/>
    <w:rsid w:val="00411BD0"/>
    <w:rsid w:val="00414D21"/>
    <w:rsid w:val="00416631"/>
    <w:rsid w:val="00422A53"/>
    <w:rsid w:val="004264BF"/>
    <w:rsid w:val="00426A50"/>
    <w:rsid w:val="004275C1"/>
    <w:rsid w:val="00431118"/>
    <w:rsid w:val="00440F6A"/>
    <w:rsid w:val="00442554"/>
    <w:rsid w:val="00442E18"/>
    <w:rsid w:val="00444721"/>
    <w:rsid w:val="00450832"/>
    <w:rsid w:val="00450B52"/>
    <w:rsid w:val="00460946"/>
    <w:rsid w:val="00460A86"/>
    <w:rsid w:val="0046290D"/>
    <w:rsid w:val="0046608C"/>
    <w:rsid w:val="00467BB8"/>
    <w:rsid w:val="00474673"/>
    <w:rsid w:val="0047591B"/>
    <w:rsid w:val="00476F23"/>
    <w:rsid w:val="00476FD4"/>
    <w:rsid w:val="00482E17"/>
    <w:rsid w:val="00484327"/>
    <w:rsid w:val="0049527F"/>
    <w:rsid w:val="004A0315"/>
    <w:rsid w:val="004A13CA"/>
    <w:rsid w:val="004A48DD"/>
    <w:rsid w:val="004A686C"/>
    <w:rsid w:val="004A7E7F"/>
    <w:rsid w:val="004A7E9F"/>
    <w:rsid w:val="004B24AC"/>
    <w:rsid w:val="004B28BE"/>
    <w:rsid w:val="004C0988"/>
    <w:rsid w:val="004C0F16"/>
    <w:rsid w:val="004C2FEC"/>
    <w:rsid w:val="004C5E32"/>
    <w:rsid w:val="004C7F7A"/>
    <w:rsid w:val="004D1791"/>
    <w:rsid w:val="004D432C"/>
    <w:rsid w:val="004D45F8"/>
    <w:rsid w:val="004D49B3"/>
    <w:rsid w:val="004D7123"/>
    <w:rsid w:val="004E0760"/>
    <w:rsid w:val="004E6BFB"/>
    <w:rsid w:val="004F2172"/>
    <w:rsid w:val="004F489D"/>
    <w:rsid w:val="004F4BD7"/>
    <w:rsid w:val="004F51E7"/>
    <w:rsid w:val="004F7D93"/>
    <w:rsid w:val="004F7F05"/>
    <w:rsid w:val="00504BF7"/>
    <w:rsid w:val="00507888"/>
    <w:rsid w:val="00507896"/>
    <w:rsid w:val="0051021E"/>
    <w:rsid w:val="005129CA"/>
    <w:rsid w:val="005130DB"/>
    <w:rsid w:val="00513BEE"/>
    <w:rsid w:val="0051739F"/>
    <w:rsid w:val="00517D7F"/>
    <w:rsid w:val="00530BA3"/>
    <w:rsid w:val="00531D50"/>
    <w:rsid w:val="005321B7"/>
    <w:rsid w:val="00532C60"/>
    <w:rsid w:val="00540B78"/>
    <w:rsid w:val="00540EBB"/>
    <w:rsid w:val="00542A9C"/>
    <w:rsid w:val="005451D3"/>
    <w:rsid w:val="00545257"/>
    <w:rsid w:val="00553E23"/>
    <w:rsid w:val="0056041B"/>
    <w:rsid w:val="00560C0C"/>
    <w:rsid w:val="00562EA3"/>
    <w:rsid w:val="00564BA2"/>
    <w:rsid w:val="00581CCF"/>
    <w:rsid w:val="005827B8"/>
    <w:rsid w:val="005872CA"/>
    <w:rsid w:val="00594A3E"/>
    <w:rsid w:val="00597BAC"/>
    <w:rsid w:val="005A175E"/>
    <w:rsid w:val="005A4B1C"/>
    <w:rsid w:val="005B0533"/>
    <w:rsid w:val="005B0CF8"/>
    <w:rsid w:val="005B1DCD"/>
    <w:rsid w:val="005B2A8D"/>
    <w:rsid w:val="005B4365"/>
    <w:rsid w:val="005B4BF6"/>
    <w:rsid w:val="005B7923"/>
    <w:rsid w:val="005C14BA"/>
    <w:rsid w:val="005C270F"/>
    <w:rsid w:val="005C34D0"/>
    <w:rsid w:val="005C36E4"/>
    <w:rsid w:val="005C4B27"/>
    <w:rsid w:val="005C5AB1"/>
    <w:rsid w:val="005C6116"/>
    <w:rsid w:val="005D1D65"/>
    <w:rsid w:val="005D2C96"/>
    <w:rsid w:val="005E195D"/>
    <w:rsid w:val="005E4B6D"/>
    <w:rsid w:val="005E4F27"/>
    <w:rsid w:val="005E689F"/>
    <w:rsid w:val="005E7B2E"/>
    <w:rsid w:val="005F3627"/>
    <w:rsid w:val="00600249"/>
    <w:rsid w:val="00603F62"/>
    <w:rsid w:val="00606272"/>
    <w:rsid w:val="00607DDB"/>
    <w:rsid w:val="00613AFF"/>
    <w:rsid w:val="006169F3"/>
    <w:rsid w:val="0062055F"/>
    <w:rsid w:val="00620621"/>
    <w:rsid w:val="0062360F"/>
    <w:rsid w:val="006340DA"/>
    <w:rsid w:val="00636587"/>
    <w:rsid w:val="00637471"/>
    <w:rsid w:val="0064664F"/>
    <w:rsid w:val="00653EF3"/>
    <w:rsid w:val="00662F3D"/>
    <w:rsid w:val="0066348A"/>
    <w:rsid w:val="0066525D"/>
    <w:rsid w:val="0067019B"/>
    <w:rsid w:val="006743ED"/>
    <w:rsid w:val="00675218"/>
    <w:rsid w:val="00680863"/>
    <w:rsid w:val="00687560"/>
    <w:rsid w:val="00690B94"/>
    <w:rsid w:val="006910B0"/>
    <w:rsid w:val="00691ACA"/>
    <w:rsid w:val="00694142"/>
    <w:rsid w:val="006952D8"/>
    <w:rsid w:val="00695BAD"/>
    <w:rsid w:val="006A058E"/>
    <w:rsid w:val="006A0F6F"/>
    <w:rsid w:val="006A1AB7"/>
    <w:rsid w:val="006A3E79"/>
    <w:rsid w:val="006A4DE1"/>
    <w:rsid w:val="006A6456"/>
    <w:rsid w:val="006B0075"/>
    <w:rsid w:val="006B0419"/>
    <w:rsid w:val="006B1B15"/>
    <w:rsid w:val="006B3C74"/>
    <w:rsid w:val="006B4388"/>
    <w:rsid w:val="006B676B"/>
    <w:rsid w:val="006C0DCE"/>
    <w:rsid w:val="006D6311"/>
    <w:rsid w:val="006E0B60"/>
    <w:rsid w:val="006E5B8F"/>
    <w:rsid w:val="006E60AA"/>
    <w:rsid w:val="006E72E7"/>
    <w:rsid w:val="006F10CD"/>
    <w:rsid w:val="006F16DE"/>
    <w:rsid w:val="006F58BB"/>
    <w:rsid w:val="006F69FE"/>
    <w:rsid w:val="00703C35"/>
    <w:rsid w:val="00703CAE"/>
    <w:rsid w:val="00707079"/>
    <w:rsid w:val="007178DE"/>
    <w:rsid w:val="00721EEA"/>
    <w:rsid w:val="0072402F"/>
    <w:rsid w:val="00725DB5"/>
    <w:rsid w:val="0073462C"/>
    <w:rsid w:val="00746634"/>
    <w:rsid w:val="00752062"/>
    <w:rsid w:val="00752C83"/>
    <w:rsid w:val="007539B1"/>
    <w:rsid w:val="0075465C"/>
    <w:rsid w:val="00757033"/>
    <w:rsid w:val="00761543"/>
    <w:rsid w:val="0076625C"/>
    <w:rsid w:val="00772639"/>
    <w:rsid w:val="0077488F"/>
    <w:rsid w:val="007756EB"/>
    <w:rsid w:val="007757DE"/>
    <w:rsid w:val="00781909"/>
    <w:rsid w:val="00783133"/>
    <w:rsid w:val="00785385"/>
    <w:rsid w:val="0078724D"/>
    <w:rsid w:val="007900EA"/>
    <w:rsid w:val="0079529F"/>
    <w:rsid w:val="007A0433"/>
    <w:rsid w:val="007A39DA"/>
    <w:rsid w:val="007A3A70"/>
    <w:rsid w:val="007B240C"/>
    <w:rsid w:val="007B2F09"/>
    <w:rsid w:val="007B366A"/>
    <w:rsid w:val="007B5DCD"/>
    <w:rsid w:val="007B6355"/>
    <w:rsid w:val="007B65E9"/>
    <w:rsid w:val="007C0710"/>
    <w:rsid w:val="007C411A"/>
    <w:rsid w:val="007C5547"/>
    <w:rsid w:val="007C63F5"/>
    <w:rsid w:val="007C6A06"/>
    <w:rsid w:val="007C7C5B"/>
    <w:rsid w:val="007D2471"/>
    <w:rsid w:val="007D53C7"/>
    <w:rsid w:val="007D709B"/>
    <w:rsid w:val="007D79A4"/>
    <w:rsid w:val="007E02F1"/>
    <w:rsid w:val="007E04EA"/>
    <w:rsid w:val="007E1B66"/>
    <w:rsid w:val="007E3552"/>
    <w:rsid w:val="007E67B6"/>
    <w:rsid w:val="007E6FC8"/>
    <w:rsid w:val="007F08DE"/>
    <w:rsid w:val="007F2033"/>
    <w:rsid w:val="007F4790"/>
    <w:rsid w:val="007F4ABF"/>
    <w:rsid w:val="007F7CAE"/>
    <w:rsid w:val="008007FC"/>
    <w:rsid w:val="008042B8"/>
    <w:rsid w:val="00804CE9"/>
    <w:rsid w:val="00804DB7"/>
    <w:rsid w:val="008054C0"/>
    <w:rsid w:val="00813390"/>
    <w:rsid w:val="00813A38"/>
    <w:rsid w:val="00813A6B"/>
    <w:rsid w:val="00821A30"/>
    <w:rsid w:val="00823AE4"/>
    <w:rsid w:val="00824740"/>
    <w:rsid w:val="00824864"/>
    <w:rsid w:val="00824CD9"/>
    <w:rsid w:val="00831255"/>
    <w:rsid w:val="00833315"/>
    <w:rsid w:val="00836284"/>
    <w:rsid w:val="00836858"/>
    <w:rsid w:val="00837589"/>
    <w:rsid w:val="00837C99"/>
    <w:rsid w:val="00843A24"/>
    <w:rsid w:val="0085029D"/>
    <w:rsid w:val="00850850"/>
    <w:rsid w:val="00851CF1"/>
    <w:rsid w:val="00853A3E"/>
    <w:rsid w:val="008607C2"/>
    <w:rsid w:val="00865310"/>
    <w:rsid w:val="008664A8"/>
    <w:rsid w:val="00873712"/>
    <w:rsid w:val="008774AE"/>
    <w:rsid w:val="0088114B"/>
    <w:rsid w:val="0088202C"/>
    <w:rsid w:val="00883387"/>
    <w:rsid w:val="008877D9"/>
    <w:rsid w:val="00887830"/>
    <w:rsid w:val="00892786"/>
    <w:rsid w:val="00893D1F"/>
    <w:rsid w:val="0089588E"/>
    <w:rsid w:val="008A02C9"/>
    <w:rsid w:val="008A12C3"/>
    <w:rsid w:val="008A35B1"/>
    <w:rsid w:val="008A4DD7"/>
    <w:rsid w:val="008A5100"/>
    <w:rsid w:val="008A7269"/>
    <w:rsid w:val="008B005D"/>
    <w:rsid w:val="008B2F68"/>
    <w:rsid w:val="008B3CD8"/>
    <w:rsid w:val="008B5F76"/>
    <w:rsid w:val="008B73D3"/>
    <w:rsid w:val="008C4129"/>
    <w:rsid w:val="008D3F81"/>
    <w:rsid w:val="008D60CA"/>
    <w:rsid w:val="008E1EF5"/>
    <w:rsid w:val="008E4016"/>
    <w:rsid w:val="008E4199"/>
    <w:rsid w:val="008E6951"/>
    <w:rsid w:val="008F0C6A"/>
    <w:rsid w:val="008F10CD"/>
    <w:rsid w:val="008F427B"/>
    <w:rsid w:val="008F4847"/>
    <w:rsid w:val="008F4A3A"/>
    <w:rsid w:val="008F7019"/>
    <w:rsid w:val="00902371"/>
    <w:rsid w:val="00911C98"/>
    <w:rsid w:val="0091604D"/>
    <w:rsid w:val="00917ADF"/>
    <w:rsid w:val="00921C3B"/>
    <w:rsid w:val="00923819"/>
    <w:rsid w:val="00930D9F"/>
    <w:rsid w:val="009339FC"/>
    <w:rsid w:val="00942C9D"/>
    <w:rsid w:val="00943E9A"/>
    <w:rsid w:val="00947317"/>
    <w:rsid w:val="00950DFA"/>
    <w:rsid w:val="0095457D"/>
    <w:rsid w:val="009563A8"/>
    <w:rsid w:val="00956934"/>
    <w:rsid w:val="009620BC"/>
    <w:rsid w:val="00963733"/>
    <w:rsid w:val="00967B88"/>
    <w:rsid w:val="00970043"/>
    <w:rsid w:val="00971AB9"/>
    <w:rsid w:val="0097558A"/>
    <w:rsid w:val="009758D0"/>
    <w:rsid w:val="00975B76"/>
    <w:rsid w:val="009768E5"/>
    <w:rsid w:val="00977AD9"/>
    <w:rsid w:val="009873CB"/>
    <w:rsid w:val="00990AD1"/>
    <w:rsid w:val="009967C8"/>
    <w:rsid w:val="009A3054"/>
    <w:rsid w:val="009A5E49"/>
    <w:rsid w:val="009B0F5E"/>
    <w:rsid w:val="009B109F"/>
    <w:rsid w:val="009B10AC"/>
    <w:rsid w:val="009B1C87"/>
    <w:rsid w:val="009B1FCE"/>
    <w:rsid w:val="009B208B"/>
    <w:rsid w:val="009B22FF"/>
    <w:rsid w:val="009B291D"/>
    <w:rsid w:val="009B439E"/>
    <w:rsid w:val="009B44B5"/>
    <w:rsid w:val="009B7475"/>
    <w:rsid w:val="009C4B56"/>
    <w:rsid w:val="009C58B2"/>
    <w:rsid w:val="009D2DBB"/>
    <w:rsid w:val="009D6DA5"/>
    <w:rsid w:val="009E280E"/>
    <w:rsid w:val="009E52CA"/>
    <w:rsid w:val="009E7F29"/>
    <w:rsid w:val="009F5920"/>
    <w:rsid w:val="009F644A"/>
    <w:rsid w:val="00A010D4"/>
    <w:rsid w:val="00A01F28"/>
    <w:rsid w:val="00A04A4A"/>
    <w:rsid w:val="00A054A7"/>
    <w:rsid w:val="00A06DD2"/>
    <w:rsid w:val="00A11296"/>
    <w:rsid w:val="00A12584"/>
    <w:rsid w:val="00A1409C"/>
    <w:rsid w:val="00A143BA"/>
    <w:rsid w:val="00A16612"/>
    <w:rsid w:val="00A16CB4"/>
    <w:rsid w:val="00A16E22"/>
    <w:rsid w:val="00A20D05"/>
    <w:rsid w:val="00A232BA"/>
    <w:rsid w:val="00A24499"/>
    <w:rsid w:val="00A2489D"/>
    <w:rsid w:val="00A26757"/>
    <w:rsid w:val="00A3226B"/>
    <w:rsid w:val="00A32820"/>
    <w:rsid w:val="00A32901"/>
    <w:rsid w:val="00A35BBB"/>
    <w:rsid w:val="00A3704A"/>
    <w:rsid w:val="00A41CFA"/>
    <w:rsid w:val="00A42199"/>
    <w:rsid w:val="00A44FAA"/>
    <w:rsid w:val="00A46045"/>
    <w:rsid w:val="00A4629C"/>
    <w:rsid w:val="00A46F26"/>
    <w:rsid w:val="00A50669"/>
    <w:rsid w:val="00A5252B"/>
    <w:rsid w:val="00A52D09"/>
    <w:rsid w:val="00A54E08"/>
    <w:rsid w:val="00A61918"/>
    <w:rsid w:val="00A61A99"/>
    <w:rsid w:val="00A61E07"/>
    <w:rsid w:val="00A637CB"/>
    <w:rsid w:val="00A65D7B"/>
    <w:rsid w:val="00A709AC"/>
    <w:rsid w:val="00A71F18"/>
    <w:rsid w:val="00A72DD9"/>
    <w:rsid w:val="00A77F96"/>
    <w:rsid w:val="00A80B25"/>
    <w:rsid w:val="00A816B8"/>
    <w:rsid w:val="00A83FE9"/>
    <w:rsid w:val="00A85D3F"/>
    <w:rsid w:val="00A903C9"/>
    <w:rsid w:val="00A91690"/>
    <w:rsid w:val="00A92301"/>
    <w:rsid w:val="00A948E5"/>
    <w:rsid w:val="00A95DD5"/>
    <w:rsid w:val="00A9630D"/>
    <w:rsid w:val="00AA286D"/>
    <w:rsid w:val="00AA39F0"/>
    <w:rsid w:val="00AA66A2"/>
    <w:rsid w:val="00AA66EF"/>
    <w:rsid w:val="00AA6C29"/>
    <w:rsid w:val="00AA7EAC"/>
    <w:rsid w:val="00AB19BC"/>
    <w:rsid w:val="00AB5C29"/>
    <w:rsid w:val="00AB5EE9"/>
    <w:rsid w:val="00AC4B77"/>
    <w:rsid w:val="00AD1A99"/>
    <w:rsid w:val="00AD1C8E"/>
    <w:rsid w:val="00AD689C"/>
    <w:rsid w:val="00AE0B1B"/>
    <w:rsid w:val="00AE162D"/>
    <w:rsid w:val="00AE1FDF"/>
    <w:rsid w:val="00AE236A"/>
    <w:rsid w:val="00AE2408"/>
    <w:rsid w:val="00AE37D5"/>
    <w:rsid w:val="00AF1965"/>
    <w:rsid w:val="00B04578"/>
    <w:rsid w:val="00B10975"/>
    <w:rsid w:val="00B140E7"/>
    <w:rsid w:val="00B20412"/>
    <w:rsid w:val="00B232E5"/>
    <w:rsid w:val="00B24A5F"/>
    <w:rsid w:val="00B26C37"/>
    <w:rsid w:val="00B26E67"/>
    <w:rsid w:val="00B275C5"/>
    <w:rsid w:val="00B30765"/>
    <w:rsid w:val="00B312DF"/>
    <w:rsid w:val="00B3178F"/>
    <w:rsid w:val="00B3267B"/>
    <w:rsid w:val="00B36863"/>
    <w:rsid w:val="00B414BB"/>
    <w:rsid w:val="00B41586"/>
    <w:rsid w:val="00B4328F"/>
    <w:rsid w:val="00B457E5"/>
    <w:rsid w:val="00B526C9"/>
    <w:rsid w:val="00B53151"/>
    <w:rsid w:val="00B536E0"/>
    <w:rsid w:val="00B546BA"/>
    <w:rsid w:val="00B61C12"/>
    <w:rsid w:val="00B632F5"/>
    <w:rsid w:val="00B65FB7"/>
    <w:rsid w:val="00B66A0E"/>
    <w:rsid w:val="00B67AB0"/>
    <w:rsid w:val="00B718A2"/>
    <w:rsid w:val="00B7443C"/>
    <w:rsid w:val="00B756CA"/>
    <w:rsid w:val="00B7726A"/>
    <w:rsid w:val="00B82825"/>
    <w:rsid w:val="00B83F99"/>
    <w:rsid w:val="00B8520B"/>
    <w:rsid w:val="00B857AA"/>
    <w:rsid w:val="00B8604A"/>
    <w:rsid w:val="00B92EEA"/>
    <w:rsid w:val="00B94E64"/>
    <w:rsid w:val="00B9532B"/>
    <w:rsid w:val="00BA0409"/>
    <w:rsid w:val="00BA05FB"/>
    <w:rsid w:val="00BA07EA"/>
    <w:rsid w:val="00BA5889"/>
    <w:rsid w:val="00BA7907"/>
    <w:rsid w:val="00BB009A"/>
    <w:rsid w:val="00BC7DBB"/>
    <w:rsid w:val="00BD408D"/>
    <w:rsid w:val="00BE4A3C"/>
    <w:rsid w:val="00BE4E4A"/>
    <w:rsid w:val="00BE7921"/>
    <w:rsid w:val="00BE7BC1"/>
    <w:rsid w:val="00BF0FB4"/>
    <w:rsid w:val="00BF2D0A"/>
    <w:rsid w:val="00BF4D3A"/>
    <w:rsid w:val="00BF67B3"/>
    <w:rsid w:val="00C027DC"/>
    <w:rsid w:val="00C04D3E"/>
    <w:rsid w:val="00C12BAB"/>
    <w:rsid w:val="00C12C85"/>
    <w:rsid w:val="00C261D5"/>
    <w:rsid w:val="00C31022"/>
    <w:rsid w:val="00C3517A"/>
    <w:rsid w:val="00C354E7"/>
    <w:rsid w:val="00C36F2B"/>
    <w:rsid w:val="00C377A4"/>
    <w:rsid w:val="00C3796F"/>
    <w:rsid w:val="00C403CC"/>
    <w:rsid w:val="00C41CEE"/>
    <w:rsid w:val="00C47C80"/>
    <w:rsid w:val="00C53230"/>
    <w:rsid w:val="00C538EB"/>
    <w:rsid w:val="00C554EC"/>
    <w:rsid w:val="00C576CF"/>
    <w:rsid w:val="00C63138"/>
    <w:rsid w:val="00C63E61"/>
    <w:rsid w:val="00C65141"/>
    <w:rsid w:val="00C74115"/>
    <w:rsid w:val="00C74477"/>
    <w:rsid w:val="00C7489F"/>
    <w:rsid w:val="00C7658A"/>
    <w:rsid w:val="00C816B2"/>
    <w:rsid w:val="00C86CF7"/>
    <w:rsid w:val="00C90BB2"/>
    <w:rsid w:val="00C91120"/>
    <w:rsid w:val="00C95D5D"/>
    <w:rsid w:val="00C97851"/>
    <w:rsid w:val="00CA42B1"/>
    <w:rsid w:val="00CA4933"/>
    <w:rsid w:val="00CA7496"/>
    <w:rsid w:val="00CA75AC"/>
    <w:rsid w:val="00CA78D2"/>
    <w:rsid w:val="00CA7A5A"/>
    <w:rsid w:val="00CB149A"/>
    <w:rsid w:val="00CB1760"/>
    <w:rsid w:val="00CB67B8"/>
    <w:rsid w:val="00CB6821"/>
    <w:rsid w:val="00CB6D4D"/>
    <w:rsid w:val="00CC23E0"/>
    <w:rsid w:val="00CC465F"/>
    <w:rsid w:val="00CD0758"/>
    <w:rsid w:val="00CD2185"/>
    <w:rsid w:val="00CD3821"/>
    <w:rsid w:val="00CE2347"/>
    <w:rsid w:val="00CE2BF8"/>
    <w:rsid w:val="00CE3E9A"/>
    <w:rsid w:val="00CE4C07"/>
    <w:rsid w:val="00CF0BAB"/>
    <w:rsid w:val="00CF2B2B"/>
    <w:rsid w:val="00CF67B9"/>
    <w:rsid w:val="00CF71BE"/>
    <w:rsid w:val="00D003C7"/>
    <w:rsid w:val="00D0393D"/>
    <w:rsid w:val="00D05A21"/>
    <w:rsid w:val="00D05CB1"/>
    <w:rsid w:val="00D07468"/>
    <w:rsid w:val="00D10851"/>
    <w:rsid w:val="00D10BAD"/>
    <w:rsid w:val="00D13E25"/>
    <w:rsid w:val="00D13FC2"/>
    <w:rsid w:val="00D15B26"/>
    <w:rsid w:val="00D2119C"/>
    <w:rsid w:val="00D24502"/>
    <w:rsid w:val="00D25503"/>
    <w:rsid w:val="00D2661F"/>
    <w:rsid w:val="00D26E2F"/>
    <w:rsid w:val="00D337ED"/>
    <w:rsid w:val="00D33D4B"/>
    <w:rsid w:val="00D372F1"/>
    <w:rsid w:val="00D420DB"/>
    <w:rsid w:val="00D449E4"/>
    <w:rsid w:val="00D46F2A"/>
    <w:rsid w:val="00D476DA"/>
    <w:rsid w:val="00D54166"/>
    <w:rsid w:val="00D57BA6"/>
    <w:rsid w:val="00D60B75"/>
    <w:rsid w:val="00D66E5E"/>
    <w:rsid w:val="00D67B4B"/>
    <w:rsid w:val="00D72CFC"/>
    <w:rsid w:val="00D74D66"/>
    <w:rsid w:val="00D7521A"/>
    <w:rsid w:val="00D81CB2"/>
    <w:rsid w:val="00D81F6B"/>
    <w:rsid w:val="00D8285F"/>
    <w:rsid w:val="00D82AC3"/>
    <w:rsid w:val="00D8540F"/>
    <w:rsid w:val="00D85775"/>
    <w:rsid w:val="00D86111"/>
    <w:rsid w:val="00D86DEA"/>
    <w:rsid w:val="00D90310"/>
    <w:rsid w:val="00D95153"/>
    <w:rsid w:val="00D95835"/>
    <w:rsid w:val="00DA79C9"/>
    <w:rsid w:val="00DB1F46"/>
    <w:rsid w:val="00DB6EBF"/>
    <w:rsid w:val="00DC0D1A"/>
    <w:rsid w:val="00DC51D8"/>
    <w:rsid w:val="00DC683A"/>
    <w:rsid w:val="00DC727E"/>
    <w:rsid w:val="00DD04B4"/>
    <w:rsid w:val="00DD0EAF"/>
    <w:rsid w:val="00DD1B87"/>
    <w:rsid w:val="00DD1BC8"/>
    <w:rsid w:val="00DD1EEE"/>
    <w:rsid w:val="00DD68AB"/>
    <w:rsid w:val="00DD795F"/>
    <w:rsid w:val="00DE2F38"/>
    <w:rsid w:val="00DE709A"/>
    <w:rsid w:val="00DE72DF"/>
    <w:rsid w:val="00DF0AF7"/>
    <w:rsid w:val="00DF1B9C"/>
    <w:rsid w:val="00DF501C"/>
    <w:rsid w:val="00DF5D6C"/>
    <w:rsid w:val="00DF6EDE"/>
    <w:rsid w:val="00DF773D"/>
    <w:rsid w:val="00DF7C6B"/>
    <w:rsid w:val="00DF7DB9"/>
    <w:rsid w:val="00E000CF"/>
    <w:rsid w:val="00E007A8"/>
    <w:rsid w:val="00E02976"/>
    <w:rsid w:val="00E04C15"/>
    <w:rsid w:val="00E05F76"/>
    <w:rsid w:val="00E072D9"/>
    <w:rsid w:val="00E1348C"/>
    <w:rsid w:val="00E14C36"/>
    <w:rsid w:val="00E17A10"/>
    <w:rsid w:val="00E22A3F"/>
    <w:rsid w:val="00E247C8"/>
    <w:rsid w:val="00E25405"/>
    <w:rsid w:val="00E33681"/>
    <w:rsid w:val="00E3762B"/>
    <w:rsid w:val="00E46413"/>
    <w:rsid w:val="00E50515"/>
    <w:rsid w:val="00E509D4"/>
    <w:rsid w:val="00E51C27"/>
    <w:rsid w:val="00E573FE"/>
    <w:rsid w:val="00E630AA"/>
    <w:rsid w:val="00E636D9"/>
    <w:rsid w:val="00E67481"/>
    <w:rsid w:val="00E71FB0"/>
    <w:rsid w:val="00E76BAB"/>
    <w:rsid w:val="00E80176"/>
    <w:rsid w:val="00E818A7"/>
    <w:rsid w:val="00E848A7"/>
    <w:rsid w:val="00E86EF7"/>
    <w:rsid w:val="00E87239"/>
    <w:rsid w:val="00E91652"/>
    <w:rsid w:val="00E9350C"/>
    <w:rsid w:val="00E9392C"/>
    <w:rsid w:val="00E94218"/>
    <w:rsid w:val="00E9456B"/>
    <w:rsid w:val="00E94C06"/>
    <w:rsid w:val="00EA2B2F"/>
    <w:rsid w:val="00EA3D4A"/>
    <w:rsid w:val="00EA4096"/>
    <w:rsid w:val="00EA4188"/>
    <w:rsid w:val="00EB4641"/>
    <w:rsid w:val="00EB570D"/>
    <w:rsid w:val="00EC0FDB"/>
    <w:rsid w:val="00EC14D8"/>
    <w:rsid w:val="00EC2D9E"/>
    <w:rsid w:val="00EC45A7"/>
    <w:rsid w:val="00EC5C7A"/>
    <w:rsid w:val="00ED195A"/>
    <w:rsid w:val="00ED42C1"/>
    <w:rsid w:val="00ED656C"/>
    <w:rsid w:val="00ED6CF7"/>
    <w:rsid w:val="00ED7397"/>
    <w:rsid w:val="00ED7700"/>
    <w:rsid w:val="00EE0559"/>
    <w:rsid w:val="00EE148C"/>
    <w:rsid w:val="00EE19F5"/>
    <w:rsid w:val="00EE3FF8"/>
    <w:rsid w:val="00EE4741"/>
    <w:rsid w:val="00EE58AD"/>
    <w:rsid w:val="00EF0E47"/>
    <w:rsid w:val="00EF25A3"/>
    <w:rsid w:val="00EF4127"/>
    <w:rsid w:val="00EF655B"/>
    <w:rsid w:val="00EF706F"/>
    <w:rsid w:val="00F0344F"/>
    <w:rsid w:val="00F054AA"/>
    <w:rsid w:val="00F11CE9"/>
    <w:rsid w:val="00F13159"/>
    <w:rsid w:val="00F15DC4"/>
    <w:rsid w:val="00F1600F"/>
    <w:rsid w:val="00F2014A"/>
    <w:rsid w:val="00F22A27"/>
    <w:rsid w:val="00F23C6E"/>
    <w:rsid w:val="00F256F9"/>
    <w:rsid w:val="00F35A32"/>
    <w:rsid w:val="00F43B38"/>
    <w:rsid w:val="00F47BD2"/>
    <w:rsid w:val="00F51ADB"/>
    <w:rsid w:val="00F563D3"/>
    <w:rsid w:val="00F56E62"/>
    <w:rsid w:val="00F60C72"/>
    <w:rsid w:val="00F64E2B"/>
    <w:rsid w:val="00F655A6"/>
    <w:rsid w:val="00F744EF"/>
    <w:rsid w:val="00F82564"/>
    <w:rsid w:val="00F84691"/>
    <w:rsid w:val="00F868E7"/>
    <w:rsid w:val="00F870BA"/>
    <w:rsid w:val="00F93299"/>
    <w:rsid w:val="00F9486D"/>
    <w:rsid w:val="00F961F6"/>
    <w:rsid w:val="00FA4CE9"/>
    <w:rsid w:val="00FA773F"/>
    <w:rsid w:val="00FA783A"/>
    <w:rsid w:val="00FB0900"/>
    <w:rsid w:val="00FB1F63"/>
    <w:rsid w:val="00FB2FF7"/>
    <w:rsid w:val="00FB753A"/>
    <w:rsid w:val="00FC01EC"/>
    <w:rsid w:val="00FC07C1"/>
    <w:rsid w:val="00FC14B6"/>
    <w:rsid w:val="00FC2523"/>
    <w:rsid w:val="00FC3E3D"/>
    <w:rsid w:val="00FC4871"/>
    <w:rsid w:val="00FC7714"/>
    <w:rsid w:val="00FD04B1"/>
    <w:rsid w:val="00FD14C0"/>
    <w:rsid w:val="00FD7568"/>
    <w:rsid w:val="00FE7F0A"/>
    <w:rsid w:val="00FF0B98"/>
    <w:rsid w:val="00FF79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,"/>
  <w14:docId w14:val="050B48AE"/>
  <w15:docId w15:val="{5FDBB4A5-1F18-44E7-B773-FF66B536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D372F1"/>
    <w:pPr>
      <w:keepNext/>
      <w:spacing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2A567B"/>
    <w:pPr>
      <w:keepNext/>
      <w:spacing w:after="60"/>
      <w:ind w:left="567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50669"/>
    <w:pPr>
      <w:keepNext/>
      <w:outlineLvl w:val="2"/>
    </w:pPr>
    <w:rPr>
      <w:rFonts w:eastAsia="SimSun"/>
      <w:bCs/>
      <w:i/>
      <w:szCs w:val="26"/>
    </w:rPr>
  </w:style>
  <w:style w:type="paragraph" w:styleId="Heading4">
    <w:name w:val="heading 4"/>
    <w:basedOn w:val="Normal"/>
    <w:next w:val="Normal"/>
    <w:qFormat/>
    <w:rsid w:val="00A50669"/>
    <w:pPr>
      <w:keepNext/>
      <w:outlineLvl w:val="3"/>
    </w:pPr>
    <w:rPr>
      <w:rFonts w:eastAsia="SimSun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link w:val="FootnoteTextChar"/>
    <w:uiPriority w:val="99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uiPriority w:val="1"/>
    <w:qFormat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2"/>
      </w:numPr>
    </w:pPr>
  </w:style>
  <w:style w:type="paragraph" w:customStyle="1" w:styleId="ONUME">
    <w:name w:val="ONUM E"/>
    <w:basedOn w:val="BodyText"/>
    <w:rsid w:val="00804DB7"/>
    <w:pPr>
      <w:numPr>
        <w:numId w:val="1"/>
      </w:numPr>
    </w:pPr>
  </w:style>
  <w:style w:type="paragraph" w:styleId="ListNumber">
    <w:name w:val="List Number"/>
    <w:basedOn w:val="Normal"/>
    <w:semiHidden/>
    <w:rsid w:val="00804DB7"/>
    <w:pPr>
      <w:numPr>
        <w:numId w:val="3"/>
      </w:numPr>
    </w:pPr>
  </w:style>
  <w:style w:type="paragraph" w:styleId="BalloonText">
    <w:name w:val="Balloon Text"/>
    <w:basedOn w:val="Normal"/>
    <w:link w:val="BalloonTextChar"/>
    <w:rsid w:val="005E68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689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3733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96373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B5EE9"/>
    <w:rPr>
      <w:rFonts w:ascii="Arial" w:hAnsi="Arial" w:cs="Arial"/>
      <w:sz w:val="22"/>
    </w:rPr>
  </w:style>
  <w:style w:type="character" w:styleId="CommentReference">
    <w:name w:val="annotation reference"/>
    <w:basedOn w:val="DefaultParagraphFont"/>
    <w:rsid w:val="00B30765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rsid w:val="00B30765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30765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B30765"/>
    <w:rPr>
      <w:rFonts w:ascii="Arial" w:hAnsi="Arial" w:cs="Arial"/>
      <w:b/>
      <w:bCs/>
      <w:sz w:val="18"/>
    </w:rPr>
  </w:style>
  <w:style w:type="paragraph" w:customStyle="1" w:styleId="Default">
    <w:name w:val="Default"/>
    <w:rsid w:val="00B36863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71AB9"/>
    <w:rPr>
      <w:rFonts w:ascii="Arial" w:hAnsi="Arial" w:cs="Arial"/>
      <w:sz w:val="22"/>
    </w:rPr>
  </w:style>
  <w:style w:type="table" w:styleId="TableGrid">
    <w:name w:val="Table Grid"/>
    <w:basedOn w:val="TableNormal"/>
    <w:uiPriority w:val="59"/>
    <w:rsid w:val="00011C7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011C7B"/>
    <w:rPr>
      <w:color w:val="0000FF" w:themeColor="hyperlink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1C7B"/>
    <w:rPr>
      <w:rFonts w:ascii="Arial" w:hAnsi="Arial" w:cs="Arial"/>
      <w:sz w:val="18"/>
    </w:rPr>
  </w:style>
  <w:style w:type="character" w:styleId="FootnoteReference">
    <w:name w:val="footnote reference"/>
    <w:basedOn w:val="DefaultParagraphFont"/>
    <w:uiPriority w:val="99"/>
    <w:unhideWhenUsed/>
    <w:rsid w:val="00011C7B"/>
    <w:rPr>
      <w:vertAlign w:val="superscript"/>
    </w:rPr>
  </w:style>
  <w:style w:type="paragraph" w:customStyle="1" w:styleId="null">
    <w:name w:val="null"/>
    <w:basedOn w:val="Normal"/>
    <w:rsid w:val="00C65141"/>
    <w:rPr>
      <w:rFonts w:ascii="Times New Roman" w:eastAsiaTheme="minorEastAsia" w:hAnsi="Times New Roman" w:cs="Times New Roman"/>
      <w:sz w:val="24"/>
      <w:szCs w:val="24"/>
      <w:lang w:eastAsia="ja-JP"/>
    </w:rPr>
  </w:style>
  <w:style w:type="character" w:customStyle="1" w:styleId="null1">
    <w:name w:val="null1"/>
    <w:basedOn w:val="DefaultParagraphFont"/>
    <w:rsid w:val="00C65141"/>
  </w:style>
  <w:style w:type="character" w:styleId="FollowedHyperlink">
    <w:name w:val="FollowedHyperlink"/>
    <w:basedOn w:val="DefaultParagraphFont"/>
    <w:semiHidden/>
    <w:unhideWhenUsed/>
    <w:rsid w:val="007B2F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9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5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9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37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1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607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397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63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2235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74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3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wipo.int/export/sites/www/covid-19/en/dashboard/crisis_mgt_dashboard.pdf" TargetMode="External"/><Relationship Id="rId7" Type="http://schemas.openxmlformats.org/officeDocument/2006/relationships/hyperlink" Target="https://www.wipo.int/edocs/mdocs/govbody/ru/wo_cc_73/wo_cc_73_5.pdf" TargetMode="External"/><Relationship Id="rId2" Type="http://schemas.openxmlformats.org/officeDocument/2006/relationships/hyperlink" Target="https://www.wipo.int/publications/ru/details.jsp?id=4516" TargetMode="External"/><Relationship Id="rId1" Type="http://schemas.openxmlformats.org/officeDocument/2006/relationships/hyperlink" Target="https://www.wipo.int/edocs/mdocs/govbody/en/wo_cc_74/wo_cc_74_5.pdf" TargetMode="External"/><Relationship Id="rId6" Type="http://schemas.openxmlformats.org/officeDocument/2006/relationships/hyperlink" Target="https://www.wipo.int/edocs/mdocs/govbody/ru/wo_cc_75/wo_cc_75_3.pdf" TargetMode="External"/><Relationship Id="rId5" Type="http://schemas.openxmlformats.org/officeDocument/2006/relationships/hyperlink" Target="https://undocs.org/ru/A/74/331" TargetMode="External"/><Relationship Id="rId4" Type="http://schemas.openxmlformats.org/officeDocument/2006/relationships/hyperlink" Target="https://undocs.org/ru/A/74/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79AE2-AAB6-4C5C-9767-4B69B2281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21</Pages>
  <Words>7006</Words>
  <Characters>47015</Characters>
  <Application>Microsoft Office Word</Application>
  <DocSecurity>0</DocSecurity>
  <Lines>1031</Lines>
  <Paragraphs>237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World Intellectual Property Organization</Company>
  <LinksUpToDate>false</LinksUpToDate>
  <CharactersWithSpaces>53806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Wipo Templates</dc:subject>
  <dc:creator>DUKE Anne</dc:creator>
  <cp:keywords>PUBLIC</cp:keywords>
  <cp:lastModifiedBy>HARTOP Tatiana</cp:lastModifiedBy>
  <cp:revision>30</cp:revision>
  <cp:lastPrinted>2020-08-10T15:35:00Z</cp:lastPrinted>
  <dcterms:created xsi:type="dcterms:W3CDTF">2020-08-03T12:39:00Z</dcterms:created>
  <dcterms:modified xsi:type="dcterms:W3CDTF">2020-09-04T14:19:00Z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3a36bf56-f641-4317-8854-12dad26050f8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