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22B2" w:rsidRPr="008B2CC1" w:rsidTr="001510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22B2" w:rsidRPr="008B2CC1" w:rsidRDefault="000A22B2" w:rsidP="00151010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22B2" w:rsidRPr="008B2CC1" w:rsidRDefault="00813237" w:rsidP="00151010">
            <w:r>
              <w:rPr>
                <w:noProof/>
                <w:lang w:eastAsia="en-US"/>
              </w:rPr>
              <w:drawing>
                <wp:inline distT="0" distB="0" distL="0" distR="0" wp14:anchorId="542CE34A" wp14:editId="59187249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22B2" w:rsidRPr="008B2CC1" w:rsidRDefault="00813237" w:rsidP="0015101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A22B2" w:rsidRPr="001832A6" w:rsidTr="0015101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A22B2" w:rsidRPr="0090731E" w:rsidRDefault="00F9072D" w:rsidP="0015101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Wo/cc/73/inf/1</w:t>
            </w:r>
          </w:p>
        </w:tc>
      </w:tr>
      <w:tr w:rsidR="000A22B2" w:rsidRPr="001832A6" w:rsidTr="0015101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A22B2" w:rsidRPr="00EB1995" w:rsidRDefault="00EB1995" w:rsidP="00EB199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A22B2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A22B2" w:rsidRPr="00F9072D" w:rsidTr="0015101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A22B2" w:rsidRPr="00EB1995" w:rsidRDefault="00EB1995" w:rsidP="00EB199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A22B2" w:rsidRPr="00F9072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F9072D" w:rsidRPr="00F9072D">
              <w:rPr>
                <w:rFonts w:ascii="Arial Black" w:hAnsi="Arial Black"/>
                <w:caps/>
                <w:sz w:val="15"/>
              </w:rPr>
              <w:t>5</w:t>
            </w:r>
            <w:r w:rsidRPr="00F9072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0A22B2" w:rsidRPr="00F9072D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0A22B2" w:rsidRPr="008B2CC1" w:rsidRDefault="000A22B2" w:rsidP="000A22B2"/>
    <w:p w:rsidR="000A22B2" w:rsidRPr="008B2CC1" w:rsidRDefault="000A22B2" w:rsidP="000A22B2"/>
    <w:p w:rsidR="000A22B2" w:rsidRPr="008B2CC1" w:rsidRDefault="000A22B2" w:rsidP="000A22B2"/>
    <w:p w:rsidR="000A22B2" w:rsidRPr="008B2CC1" w:rsidRDefault="000A22B2" w:rsidP="000A22B2"/>
    <w:p w:rsidR="000A22B2" w:rsidRPr="008B2CC1" w:rsidRDefault="000A22B2" w:rsidP="000A22B2"/>
    <w:p w:rsidR="002D15E6" w:rsidRPr="002D15E6" w:rsidRDefault="002D15E6" w:rsidP="002D15E6">
      <w:pPr>
        <w:rPr>
          <w:b/>
          <w:sz w:val="28"/>
          <w:szCs w:val="28"/>
          <w:lang w:val="ru-RU"/>
        </w:rPr>
      </w:pPr>
      <w:r w:rsidRPr="002D15E6">
        <w:rPr>
          <w:b/>
          <w:sz w:val="28"/>
          <w:lang w:val="ru-RU"/>
        </w:rPr>
        <w:t>Координационный комитет ВОИС</w:t>
      </w:r>
    </w:p>
    <w:p w:rsidR="002D15E6" w:rsidRPr="002D15E6" w:rsidRDefault="002D15E6" w:rsidP="002D15E6">
      <w:pPr>
        <w:rPr>
          <w:lang w:val="ru-RU"/>
        </w:rPr>
      </w:pPr>
    </w:p>
    <w:p w:rsidR="002D15E6" w:rsidRPr="002D15E6" w:rsidRDefault="002D15E6" w:rsidP="002D15E6">
      <w:pPr>
        <w:rPr>
          <w:lang w:val="ru-RU"/>
        </w:rPr>
      </w:pPr>
    </w:p>
    <w:p w:rsidR="002D15E6" w:rsidRPr="002D15E6" w:rsidRDefault="002D15E6" w:rsidP="002D15E6">
      <w:pPr>
        <w:rPr>
          <w:b/>
          <w:sz w:val="24"/>
          <w:szCs w:val="24"/>
          <w:lang w:val="ru-RU"/>
        </w:rPr>
      </w:pPr>
      <w:r w:rsidRPr="002D15E6">
        <w:rPr>
          <w:b/>
          <w:sz w:val="24"/>
          <w:lang w:val="ru-RU"/>
        </w:rPr>
        <w:t>Семьдесят третья (47-я очередная) сессия</w:t>
      </w:r>
    </w:p>
    <w:p w:rsidR="000A22B2" w:rsidRPr="003845C1" w:rsidRDefault="002D15E6" w:rsidP="002D15E6">
      <w:pPr>
        <w:rPr>
          <w:b/>
          <w:sz w:val="24"/>
          <w:szCs w:val="24"/>
        </w:rPr>
      </w:pPr>
      <w:r w:rsidRPr="002D15E6">
        <w:rPr>
          <w:b/>
          <w:sz w:val="24"/>
          <w:lang w:val="ru-RU"/>
        </w:rPr>
        <w:t>Женева, 3–11 октября 2016 г.</w:t>
      </w:r>
    </w:p>
    <w:p w:rsidR="000A22B2" w:rsidRPr="008B2CC1" w:rsidRDefault="000A22B2" w:rsidP="000A22B2"/>
    <w:p w:rsidR="000A22B2" w:rsidRPr="008B2CC1" w:rsidRDefault="000A22B2" w:rsidP="000A22B2"/>
    <w:p w:rsidR="000A22B2" w:rsidRPr="008B2CC1" w:rsidRDefault="000A22B2" w:rsidP="000A22B2"/>
    <w:p w:rsidR="0059774E" w:rsidRPr="004F624C" w:rsidRDefault="00341518" w:rsidP="000A22B2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юридическое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заключение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вопросу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приобретенных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правах</w:t>
      </w:r>
      <w:r w:rsidRPr="004F624C">
        <w:rPr>
          <w:caps/>
          <w:sz w:val="24"/>
          <w:lang w:val="ru-RU"/>
        </w:rPr>
        <w:t xml:space="preserve"> </w:t>
      </w:r>
      <w:r w:rsidR="004F624C">
        <w:rPr>
          <w:caps/>
          <w:sz w:val="24"/>
          <w:lang w:val="ru-RU"/>
        </w:rPr>
        <w:t>сотрудников</w:t>
      </w:r>
      <w:r w:rsidR="004F624C" w:rsidRPr="004F624C">
        <w:rPr>
          <w:caps/>
          <w:sz w:val="24"/>
          <w:lang w:val="ru-RU"/>
        </w:rPr>
        <w:t xml:space="preserve">, </w:t>
      </w:r>
      <w:r w:rsidR="004F624C">
        <w:rPr>
          <w:caps/>
          <w:sz w:val="24"/>
          <w:lang w:val="ru-RU"/>
        </w:rPr>
        <w:t>проживающих</w:t>
      </w:r>
      <w:r w:rsidR="004F624C" w:rsidRPr="004F624C">
        <w:rPr>
          <w:caps/>
          <w:sz w:val="24"/>
          <w:lang w:val="ru-RU"/>
        </w:rPr>
        <w:t xml:space="preserve">, </w:t>
      </w:r>
      <w:r w:rsidR="004F624C">
        <w:rPr>
          <w:caps/>
          <w:sz w:val="24"/>
          <w:lang w:val="ru-RU"/>
        </w:rPr>
        <w:t>но</w:t>
      </w:r>
      <w:r w:rsidR="004F624C" w:rsidRPr="004F624C">
        <w:rPr>
          <w:caps/>
          <w:sz w:val="24"/>
          <w:lang w:val="ru-RU"/>
        </w:rPr>
        <w:t xml:space="preserve"> </w:t>
      </w:r>
      <w:r w:rsidR="004F624C">
        <w:rPr>
          <w:caps/>
          <w:sz w:val="24"/>
          <w:lang w:val="ru-RU"/>
        </w:rPr>
        <w:t>не</w:t>
      </w:r>
      <w:r w:rsidR="004F624C" w:rsidRPr="004F624C">
        <w:rPr>
          <w:caps/>
          <w:sz w:val="24"/>
          <w:lang w:val="ru-RU"/>
        </w:rPr>
        <w:t xml:space="preserve"> </w:t>
      </w:r>
      <w:r w:rsidR="004F624C">
        <w:rPr>
          <w:caps/>
          <w:sz w:val="24"/>
          <w:lang w:val="ru-RU"/>
        </w:rPr>
        <w:t>работающих</w:t>
      </w:r>
      <w:r w:rsidR="004F624C" w:rsidRPr="004F624C">
        <w:rPr>
          <w:caps/>
          <w:sz w:val="24"/>
          <w:lang w:val="ru-RU"/>
        </w:rPr>
        <w:t xml:space="preserve"> </w:t>
      </w:r>
      <w:r w:rsidR="004F624C">
        <w:rPr>
          <w:caps/>
          <w:sz w:val="24"/>
          <w:lang w:val="ru-RU"/>
        </w:rPr>
        <w:t xml:space="preserve">на родине, </w:t>
      </w:r>
      <w:r>
        <w:rPr>
          <w:caps/>
          <w:sz w:val="24"/>
          <w:lang w:val="ru-RU"/>
        </w:rPr>
        <w:t>на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субсидию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образование</w:t>
      </w:r>
      <w:r w:rsidRPr="004F624C">
        <w:rPr>
          <w:caps/>
          <w:sz w:val="24"/>
          <w:lang w:val="ru-RU"/>
        </w:rPr>
        <w:t xml:space="preserve"> </w:t>
      </w:r>
    </w:p>
    <w:p w:rsidR="0059774E" w:rsidRPr="004F624C" w:rsidRDefault="0059774E" w:rsidP="000A22B2">
      <w:pPr>
        <w:rPr>
          <w:caps/>
          <w:sz w:val="24"/>
          <w:lang w:val="ru-RU"/>
        </w:rPr>
      </w:pPr>
    </w:p>
    <w:p w:rsidR="0059774E" w:rsidRPr="00276685" w:rsidRDefault="004F624C" w:rsidP="000A22B2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и</w:t>
      </w:r>
    </w:p>
    <w:p w:rsidR="0059774E" w:rsidRPr="00276685" w:rsidRDefault="0059774E" w:rsidP="000A22B2">
      <w:pPr>
        <w:rPr>
          <w:caps/>
          <w:sz w:val="24"/>
          <w:lang w:val="ru-RU"/>
        </w:rPr>
      </w:pPr>
    </w:p>
    <w:p w:rsidR="000A22B2" w:rsidRPr="004F624C" w:rsidRDefault="004F624C" w:rsidP="000A22B2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оценка</w:t>
      </w:r>
      <w:r w:rsidR="000A22B2"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финансовых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последствий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возможного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введения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ограниченной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переходной</w:t>
      </w:r>
      <w:r w:rsidRPr="004F624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меры</w:t>
      </w:r>
      <w:r w:rsidR="000A22B2" w:rsidRPr="004F624C">
        <w:rPr>
          <w:caps/>
          <w:sz w:val="24"/>
          <w:lang w:val="ru-RU"/>
        </w:rPr>
        <w:t xml:space="preserve"> </w:t>
      </w:r>
    </w:p>
    <w:p w:rsidR="000A22B2" w:rsidRPr="004F624C" w:rsidRDefault="000A22B2" w:rsidP="000A22B2">
      <w:pPr>
        <w:rPr>
          <w:lang w:val="ru-RU"/>
        </w:rPr>
      </w:pPr>
    </w:p>
    <w:p w:rsidR="000A22B2" w:rsidRPr="008B2CC1" w:rsidRDefault="004F624C" w:rsidP="000A22B2">
      <w:pPr>
        <w:rPr>
          <w:i/>
        </w:rPr>
      </w:pPr>
      <w:bookmarkStart w:id="4" w:name="Prepared"/>
      <w:bookmarkEnd w:id="4"/>
      <w:r>
        <w:rPr>
          <w:i/>
          <w:lang w:val="ru-RU"/>
        </w:rPr>
        <w:t>Информационный документ, подготовленный Бюро Юрисконсульта</w:t>
      </w:r>
    </w:p>
    <w:p w:rsidR="000A22B2" w:rsidRDefault="000A22B2" w:rsidP="000A22B2"/>
    <w:p w:rsidR="000A22B2" w:rsidRDefault="000A22B2" w:rsidP="000A22B2"/>
    <w:p w:rsidR="000A22B2" w:rsidRDefault="000A22B2" w:rsidP="000A22B2"/>
    <w:p w:rsidR="000A22B2" w:rsidRDefault="000A22B2" w:rsidP="000A22B2"/>
    <w:p w:rsidR="009E2FEC" w:rsidRPr="00275C06" w:rsidRDefault="002D15E6" w:rsidP="005503B9">
      <w:pPr>
        <w:pStyle w:val="ListParagraph"/>
        <w:widowControl w:val="0"/>
        <w:numPr>
          <w:ilvl w:val="0"/>
          <w:numId w:val="17"/>
        </w:numPr>
        <w:ind w:left="567" w:hanging="567"/>
        <w:rPr>
          <w:b/>
        </w:rPr>
      </w:pPr>
      <w:r>
        <w:rPr>
          <w:b/>
          <w:lang w:val="ru-RU"/>
        </w:rPr>
        <w:t>ВВЕДЕНИЕ</w:t>
      </w:r>
    </w:p>
    <w:p w:rsidR="009E2FEC" w:rsidRDefault="009E2FEC" w:rsidP="005503B9">
      <w:pPr>
        <w:widowControl w:val="0"/>
        <w:rPr>
          <w:b/>
        </w:rPr>
      </w:pPr>
    </w:p>
    <w:p w:rsidR="00502619" w:rsidRPr="009309C2" w:rsidRDefault="004F624C" w:rsidP="005503B9">
      <w:pPr>
        <w:pStyle w:val="ListParagraph"/>
        <w:widowControl w:val="0"/>
        <w:numPr>
          <w:ilvl w:val="0"/>
          <w:numId w:val="9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9309C2">
        <w:rPr>
          <w:lang w:val="ru-RU"/>
        </w:rPr>
        <w:t xml:space="preserve"> </w:t>
      </w:r>
      <w:r>
        <w:rPr>
          <w:lang w:val="ru-RU"/>
        </w:rPr>
        <w:t>ходе</w:t>
      </w:r>
      <w:r w:rsidRPr="009309C2">
        <w:rPr>
          <w:lang w:val="ru-RU"/>
        </w:rPr>
        <w:t xml:space="preserve"> </w:t>
      </w:r>
      <w:r>
        <w:rPr>
          <w:lang w:val="ru-RU"/>
        </w:rPr>
        <w:t>его</w:t>
      </w:r>
      <w:r w:rsidRPr="009309C2">
        <w:rPr>
          <w:lang w:val="ru-RU"/>
        </w:rPr>
        <w:t xml:space="preserve"> </w:t>
      </w:r>
      <w:r w:rsidR="009309C2">
        <w:rPr>
          <w:lang w:val="ru-RU"/>
        </w:rPr>
        <w:t>семьдесят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первой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сессии</w:t>
      </w:r>
      <w:r w:rsidR="009309C2" w:rsidRPr="009309C2">
        <w:rPr>
          <w:lang w:val="ru-RU"/>
        </w:rPr>
        <w:t xml:space="preserve">, </w:t>
      </w:r>
      <w:r w:rsidR="009309C2">
        <w:rPr>
          <w:lang w:val="ru-RU"/>
        </w:rPr>
        <w:t>состоявшейся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в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октябре</w:t>
      </w:r>
      <w:r w:rsidR="009309C2" w:rsidRPr="009309C2">
        <w:rPr>
          <w:lang w:val="ru-RU"/>
        </w:rPr>
        <w:t xml:space="preserve"> 2015 </w:t>
      </w:r>
      <w:r w:rsidR="009309C2">
        <w:rPr>
          <w:lang w:val="ru-RU"/>
        </w:rPr>
        <w:t>г</w:t>
      </w:r>
      <w:r w:rsidR="009309C2" w:rsidRPr="009309C2">
        <w:rPr>
          <w:lang w:val="ru-RU"/>
        </w:rPr>
        <w:t xml:space="preserve">., </w:t>
      </w:r>
      <w:r w:rsidR="009309C2">
        <w:rPr>
          <w:lang w:val="ru-RU"/>
        </w:rPr>
        <w:t>к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Координационному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комитету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ВОИС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была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обращена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просьба</w:t>
      </w:r>
      <w:r w:rsidR="00B6255E" w:rsidRPr="009309C2">
        <w:rPr>
          <w:lang w:val="ru-RU"/>
        </w:rPr>
        <w:t xml:space="preserve"> </w:t>
      </w:r>
      <w:r w:rsidR="009309C2">
        <w:rPr>
          <w:lang w:val="ru-RU"/>
        </w:rPr>
        <w:t>одобрить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две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поправки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к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положению</w:t>
      </w:r>
      <w:r w:rsidR="00B6255E" w:rsidRPr="009309C2">
        <w:rPr>
          <w:lang w:val="ru-RU"/>
        </w:rPr>
        <w:t xml:space="preserve"> 3.14 </w:t>
      </w:r>
      <w:r w:rsidR="009309C2">
        <w:rPr>
          <w:lang w:val="ru-RU"/>
        </w:rPr>
        <w:t>Положений и правил о персонале ВОИС</w:t>
      </w:r>
      <w:r w:rsidR="00B6255E" w:rsidRPr="009309C2">
        <w:rPr>
          <w:lang w:val="ru-RU"/>
        </w:rPr>
        <w:t xml:space="preserve">, </w:t>
      </w:r>
      <w:r w:rsidR="009309C2">
        <w:rPr>
          <w:lang w:val="ru-RU"/>
        </w:rPr>
        <w:t>которое касается субсидии на образование</w:t>
      </w:r>
      <w:r w:rsidR="00B6255E" w:rsidRPr="009309C2">
        <w:rPr>
          <w:lang w:val="ru-RU"/>
        </w:rPr>
        <w:t>.</w:t>
      </w:r>
      <w:r w:rsidR="004B3EC9" w:rsidRPr="009309C2">
        <w:rPr>
          <w:lang w:val="ru-RU"/>
        </w:rPr>
        <w:t xml:space="preserve">  </w:t>
      </w:r>
      <w:r w:rsidR="009309C2">
        <w:rPr>
          <w:lang w:val="ru-RU"/>
        </w:rPr>
        <w:t>В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то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время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положение</w:t>
      </w:r>
      <w:r w:rsidR="00AA656A" w:rsidRPr="009309C2">
        <w:rPr>
          <w:lang w:val="ru-RU"/>
        </w:rPr>
        <w:t xml:space="preserve"> 3.14(</w:t>
      </w:r>
      <w:r w:rsidR="00AA656A">
        <w:t>a</w:t>
      </w:r>
      <w:r w:rsidR="00AA656A" w:rsidRPr="009309C2">
        <w:rPr>
          <w:lang w:val="ru-RU"/>
        </w:rPr>
        <w:t xml:space="preserve">) </w:t>
      </w:r>
      <w:r w:rsidR="009309C2">
        <w:rPr>
          <w:lang w:val="ru-RU"/>
        </w:rPr>
        <w:t>гласило</w:t>
      </w:r>
      <w:r w:rsidR="009309C2" w:rsidRPr="009309C2">
        <w:rPr>
          <w:lang w:val="ru-RU"/>
        </w:rPr>
        <w:t xml:space="preserve">, </w:t>
      </w:r>
      <w:r w:rsidR="009309C2">
        <w:rPr>
          <w:lang w:val="ru-RU"/>
        </w:rPr>
        <w:t>что</w:t>
      </w:r>
      <w:r w:rsidR="00AA656A" w:rsidRPr="009309C2">
        <w:rPr>
          <w:lang w:val="ru-RU"/>
        </w:rPr>
        <w:t xml:space="preserve"> </w:t>
      </w:r>
      <w:r w:rsidR="009309C2" w:rsidRPr="009309C2">
        <w:rPr>
          <w:lang w:val="ru-RU"/>
        </w:rPr>
        <w:t>«</w:t>
      </w:r>
      <w:r w:rsidR="009309C2">
        <w:rPr>
          <w:lang w:val="ru-RU"/>
        </w:rPr>
        <w:t>сотрудник</w:t>
      </w:r>
      <w:r w:rsidR="00AA656A" w:rsidRPr="009309C2">
        <w:rPr>
          <w:lang w:val="ru-RU"/>
        </w:rPr>
        <w:t xml:space="preserve"> […]</w:t>
      </w:r>
      <w:r w:rsidR="009309C2" w:rsidRPr="009309C2">
        <w:rPr>
          <w:lang w:val="ru-RU"/>
        </w:rPr>
        <w:t xml:space="preserve">, </w:t>
      </w:r>
      <w:r w:rsidR="009309C2">
        <w:rPr>
          <w:lang w:val="ru-RU"/>
        </w:rPr>
        <w:t>место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службы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которого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находится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не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на</w:t>
      </w:r>
      <w:r w:rsidR="009309C2" w:rsidRPr="009309C2">
        <w:rPr>
          <w:lang w:val="ru-RU"/>
        </w:rPr>
        <w:t xml:space="preserve"> </w:t>
      </w:r>
      <w:r w:rsidR="009309C2">
        <w:rPr>
          <w:lang w:val="ru-RU"/>
        </w:rPr>
        <w:t>его/ее родине, имеет право</w:t>
      </w:r>
      <w:r w:rsidR="00AA656A" w:rsidRPr="009309C2">
        <w:rPr>
          <w:lang w:val="ru-RU"/>
        </w:rPr>
        <w:t xml:space="preserve"> […] </w:t>
      </w:r>
      <w:r w:rsidR="009309C2">
        <w:rPr>
          <w:lang w:val="ru-RU"/>
        </w:rPr>
        <w:t>на субсидию на образование»</w:t>
      </w:r>
      <w:r w:rsidR="00AA656A" w:rsidRPr="009309C2">
        <w:rPr>
          <w:lang w:val="ru-RU"/>
        </w:rPr>
        <w:t xml:space="preserve">. </w:t>
      </w:r>
    </w:p>
    <w:p w:rsidR="00502619" w:rsidRPr="009309C2" w:rsidRDefault="00502619" w:rsidP="005503B9">
      <w:pPr>
        <w:pStyle w:val="ListParagraph"/>
        <w:widowControl w:val="0"/>
        <w:ind w:left="0"/>
        <w:rPr>
          <w:lang w:val="ru-RU"/>
        </w:rPr>
      </w:pPr>
    </w:p>
    <w:p w:rsidR="005503B9" w:rsidRPr="003F25E4" w:rsidRDefault="009309C2" w:rsidP="003F25E4">
      <w:pPr>
        <w:pStyle w:val="ListParagraph"/>
        <w:widowControl w:val="0"/>
        <w:numPr>
          <w:ilvl w:val="0"/>
          <w:numId w:val="9"/>
        </w:numPr>
        <w:ind w:left="0" w:firstLine="0"/>
        <w:rPr>
          <w:lang w:val="ru-RU"/>
        </w:rPr>
      </w:pPr>
      <w:r>
        <w:rPr>
          <w:lang w:val="ru-RU"/>
        </w:rPr>
        <w:t>Было</w:t>
      </w:r>
      <w:r w:rsidRPr="009309C2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9309C2">
        <w:rPr>
          <w:lang w:val="ru-RU"/>
        </w:rPr>
        <w:t xml:space="preserve"> </w:t>
      </w:r>
      <w:r>
        <w:rPr>
          <w:lang w:val="ru-RU"/>
        </w:rPr>
        <w:t>внести поправку в</w:t>
      </w:r>
      <w:r w:rsidRPr="009309C2">
        <w:rPr>
          <w:lang w:val="ru-RU"/>
        </w:rPr>
        <w:t xml:space="preserve"> </w:t>
      </w:r>
      <w:r>
        <w:rPr>
          <w:lang w:val="ru-RU"/>
        </w:rPr>
        <w:t>положение</w:t>
      </w:r>
      <w:r w:rsidR="004B3EC9" w:rsidRPr="009309C2">
        <w:rPr>
          <w:lang w:val="ru-RU"/>
        </w:rPr>
        <w:t xml:space="preserve"> 3.14(</w:t>
      </w:r>
      <w:r w:rsidR="004B3EC9">
        <w:t>a</w:t>
      </w:r>
      <w:r w:rsidR="004B3EC9" w:rsidRPr="009309C2">
        <w:rPr>
          <w:lang w:val="ru-RU"/>
        </w:rPr>
        <w:t>)</w:t>
      </w:r>
      <w:r w:rsidRPr="009309C2">
        <w:rPr>
          <w:lang w:val="ru-RU"/>
        </w:rPr>
        <w:t xml:space="preserve">, </w:t>
      </w:r>
      <w:r>
        <w:rPr>
          <w:lang w:val="ru-RU"/>
        </w:rPr>
        <w:t>указав</w:t>
      </w:r>
      <w:r w:rsidRPr="009309C2">
        <w:rPr>
          <w:lang w:val="ru-RU"/>
        </w:rPr>
        <w:t xml:space="preserve">, </w:t>
      </w:r>
      <w:r>
        <w:rPr>
          <w:lang w:val="ru-RU"/>
        </w:rPr>
        <w:t>что</w:t>
      </w:r>
      <w:r w:rsidRPr="009309C2">
        <w:rPr>
          <w:lang w:val="ru-RU"/>
        </w:rPr>
        <w:t xml:space="preserve"> </w:t>
      </w:r>
      <w:r>
        <w:rPr>
          <w:lang w:val="ru-RU"/>
        </w:rPr>
        <w:t>только</w:t>
      </w:r>
      <w:r w:rsidRPr="009309C2">
        <w:rPr>
          <w:lang w:val="ru-RU"/>
        </w:rPr>
        <w:t xml:space="preserve"> </w:t>
      </w:r>
      <w:r>
        <w:rPr>
          <w:lang w:val="ru-RU"/>
        </w:rPr>
        <w:t>сотрудники, «не проживающие и не работающие» на родине, будут иметь право на получение субсидии на образование</w:t>
      </w:r>
      <w:r w:rsidR="00012646" w:rsidRPr="009309C2">
        <w:rPr>
          <w:lang w:val="ru-RU"/>
        </w:rPr>
        <w:t xml:space="preserve">.  </w:t>
      </w:r>
      <w:r>
        <w:rPr>
          <w:lang w:val="ru-RU"/>
        </w:rPr>
        <w:t>Обоснование</w:t>
      </w:r>
      <w:r w:rsidRPr="003F25E4">
        <w:rPr>
          <w:lang w:val="ru-RU"/>
        </w:rPr>
        <w:t xml:space="preserve"> </w:t>
      </w:r>
      <w:r>
        <w:rPr>
          <w:lang w:val="ru-RU"/>
        </w:rPr>
        <w:t>этой</w:t>
      </w:r>
      <w:r w:rsidRPr="003F25E4">
        <w:rPr>
          <w:lang w:val="ru-RU"/>
        </w:rPr>
        <w:t xml:space="preserve"> </w:t>
      </w:r>
      <w:r>
        <w:rPr>
          <w:lang w:val="ru-RU"/>
        </w:rPr>
        <w:t>поправки</w:t>
      </w:r>
      <w:r w:rsidRPr="003F25E4">
        <w:rPr>
          <w:lang w:val="ru-RU"/>
        </w:rPr>
        <w:t xml:space="preserve"> </w:t>
      </w:r>
      <w:r>
        <w:rPr>
          <w:lang w:val="ru-RU"/>
        </w:rPr>
        <w:t>было</w:t>
      </w:r>
      <w:r w:rsidRPr="003F25E4">
        <w:rPr>
          <w:lang w:val="ru-RU"/>
        </w:rPr>
        <w:t xml:space="preserve"> </w:t>
      </w:r>
      <w:r>
        <w:rPr>
          <w:lang w:val="ru-RU"/>
        </w:rPr>
        <w:t>двойным</w:t>
      </w:r>
      <w:r w:rsidR="005D4593" w:rsidRPr="003F25E4">
        <w:rPr>
          <w:lang w:val="ru-RU"/>
        </w:rPr>
        <w:t>: (</w:t>
      </w:r>
      <w:r w:rsidR="005D4593">
        <w:t>i</w:t>
      </w:r>
      <w:r w:rsidR="009B16DD" w:rsidRPr="003F25E4">
        <w:rPr>
          <w:lang w:val="ru-RU"/>
        </w:rPr>
        <w:t xml:space="preserve">) </w:t>
      </w:r>
      <w:r>
        <w:rPr>
          <w:lang w:val="ru-RU"/>
        </w:rPr>
        <w:t>обеспечить</w:t>
      </w:r>
      <w:r w:rsidRPr="003F25E4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3F25E4">
        <w:rPr>
          <w:lang w:val="ru-RU"/>
        </w:rPr>
        <w:t xml:space="preserve"> </w:t>
      </w:r>
      <w:r>
        <w:rPr>
          <w:lang w:val="ru-RU"/>
        </w:rPr>
        <w:t>с</w:t>
      </w:r>
      <w:r w:rsidRPr="003F25E4">
        <w:rPr>
          <w:lang w:val="ru-RU"/>
        </w:rPr>
        <w:t xml:space="preserve"> </w:t>
      </w:r>
      <w:r>
        <w:rPr>
          <w:lang w:val="ru-RU"/>
        </w:rPr>
        <w:t>целью</w:t>
      </w:r>
      <w:r w:rsidRPr="003F25E4">
        <w:rPr>
          <w:lang w:val="ru-RU"/>
        </w:rPr>
        <w:t xml:space="preserve"> </w:t>
      </w:r>
      <w:r>
        <w:rPr>
          <w:lang w:val="ru-RU"/>
        </w:rPr>
        <w:t>субсидии</w:t>
      </w:r>
      <w:r w:rsidRPr="003F25E4">
        <w:rPr>
          <w:lang w:val="ru-RU"/>
        </w:rPr>
        <w:t xml:space="preserve"> </w:t>
      </w:r>
      <w:r>
        <w:rPr>
          <w:lang w:val="ru-RU"/>
        </w:rPr>
        <w:t>на</w:t>
      </w:r>
      <w:r w:rsidRPr="003F25E4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3F25E4">
        <w:rPr>
          <w:lang w:val="ru-RU"/>
        </w:rPr>
        <w:t xml:space="preserve">, </w:t>
      </w:r>
      <w:r>
        <w:rPr>
          <w:lang w:val="ru-RU"/>
        </w:rPr>
        <w:t>которая</w:t>
      </w:r>
      <w:r w:rsidRPr="003F25E4">
        <w:rPr>
          <w:lang w:val="ru-RU"/>
        </w:rPr>
        <w:t xml:space="preserve">, </w:t>
      </w:r>
      <w:r>
        <w:rPr>
          <w:lang w:val="ru-RU"/>
        </w:rPr>
        <w:t>согласно</w:t>
      </w:r>
      <w:r w:rsidRPr="003F25E4">
        <w:rPr>
          <w:lang w:val="ru-RU"/>
        </w:rPr>
        <w:t xml:space="preserve"> </w:t>
      </w:r>
      <w:r>
        <w:rPr>
          <w:lang w:val="ru-RU"/>
        </w:rPr>
        <w:t>Комиссии</w:t>
      </w:r>
      <w:r w:rsidRPr="003F25E4">
        <w:rPr>
          <w:lang w:val="ru-RU"/>
        </w:rPr>
        <w:t xml:space="preserve"> </w:t>
      </w:r>
      <w:r>
        <w:rPr>
          <w:lang w:val="ru-RU"/>
        </w:rPr>
        <w:t>по</w:t>
      </w:r>
      <w:r w:rsidRPr="003F25E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F25E4">
        <w:rPr>
          <w:lang w:val="ru-RU"/>
        </w:rPr>
        <w:t xml:space="preserve"> </w:t>
      </w:r>
      <w:r>
        <w:rPr>
          <w:lang w:val="ru-RU"/>
        </w:rPr>
        <w:t>гражданской</w:t>
      </w:r>
      <w:r w:rsidRPr="003F25E4">
        <w:rPr>
          <w:lang w:val="ru-RU"/>
        </w:rPr>
        <w:t xml:space="preserve"> </w:t>
      </w:r>
      <w:r>
        <w:rPr>
          <w:lang w:val="ru-RU"/>
        </w:rPr>
        <w:t>службе</w:t>
      </w:r>
      <w:r w:rsidRPr="003F25E4">
        <w:rPr>
          <w:lang w:val="ru-RU"/>
        </w:rPr>
        <w:t xml:space="preserve"> (</w:t>
      </w:r>
      <w:r>
        <w:rPr>
          <w:lang w:val="ru-RU"/>
        </w:rPr>
        <w:t>КМГС</w:t>
      </w:r>
      <w:r w:rsidRPr="003F25E4">
        <w:rPr>
          <w:lang w:val="ru-RU"/>
        </w:rPr>
        <w:t xml:space="preserve">), </w:t>
      </w:r>
      <w:r w:rsidR="003F25E4">
        <w:rPr>
          <w:lang w:val="ru-RU"/>
        </w:rPr>
        <w:t>заключается в том, чтобы «</w:t>
      </w:r>
      <w:r w:rsidR="003F25E4" w:rsidRPr="003F25E4">
        <w:rPr>
          <w:lang w:val="ru-RU"/>
        </w:rPr>
        <w:t xml:space="preserve">покрыть часть дополнительных расходов на образование детей сотрудника, возникающих в связи с </w:t>
      </w:r>
      <w:r w:rsidR="003F25E4" w:rsidRPr="003F25E4">
        <w:rPr>
          <w:i/>
          <w:lang w:val="ru-RU"/>
        </w:rPr>
        <w:t>экспатриацией</w:t>
      </w:r>
      <w:r w:rsidR="003F25E4">
        <w:rPr>
          <w:lang w:val="ru-RU"/>
        </w:rPr>
        <w:t xml:space="preserve"> сотрудника»</w:t>
      </w:r>
      <w:r w:rsidR="009A4081" w:rsidRPr="003F25E4">
        <w:rPr>
          <w:lang w:val="ru-RU"/>
        </w:rPr>
        <w:t>;</w:t>
      </w:r>
      <w:r w:rsidR="005D4593" w:rsidRPr="003F25E4">
        <w:rPr>
          <w:lang w:val="ru-RU"/>
        </w:rPr>
        <w:t xml:space="preserve"> </w:t>
      </w:r>
      <w:r w:rsidR="003F25E4">
        <w:rPr>
          <w:lang w:val="ru-RU"/>
        </w:rPr>
        <w:t>и</w:t>
      </w:r>
      <w:r w:rsidR="005D4593" w:rsidRPr="003F25E4">
        <w:rPr>
          <w:lang w:val="ru-RU"/>
        </w:rPr>
        <w:t xml:space="preserve"> (</w:t>
      </w:r>
      <w:r w:rsidR="005D4593">
        <w:t>ii</w:t>
      </w:r>
      <w:r w:rsidR="009B16DD" w:rsidRPr="003F25E4">
        <w:rPr>
          <w:lang w:val="ru-RU"/>
        </w:rPr>
        <w:t xml:space="preserve">) </w:t>
      </w:r>
      <w:r w:rsidR="003F25E4">
        <w:rPr>
          <w:lang w:val="ru-RU"/>
        </w:rPr>
        <w:t>обеспечить согласование нормативной базы ВОИС с правилами и практикой в других организациях общей системы ООН</w:t>
      </w:r>
      <w:r w:rsidR="00AA656A" w:rsidRPr="003F25E4">
        <w:rPr>
          <w:lang w:val="ru-RU"/>
        </w:rPr>
        <w:t>.</w:t>
      </w:r>
      <w:r w:rsidR="009B16DD" w:rsidRPr="003F25E4">
        <w:rPr>
          <w:lang w:val="ru-RU"/>
        </w:rPr>
        <w:t xml:space="preserve">  </w:t>
      </w:r>
      <w:r w:rsidR="003F25E4">
        <w:rPr>
          <w:lang w:val="ru-RU"/>
        </w:rPr>
        <w:t>Как</w:t>
      </w:r>
      <w:r w:rsidR="003F25E4" w:rsidRPr="003F25E4">
        <w:rPr>
          <w:lang w:val="ru-RU"/>
        </w:rPr>
        <w:t xml:space="preserve"> </w:t>
      </w:r>
      <w:r w:rsidR="003F25E4">
        <w:rPr>
          <w:lang w:val="ru-RU"/>
        </w:rPr>
        <w:t>следствие</w:t>
      </w:r>
      <w:r w:rsidR="003F25E4" w:rsidRPr="003F25E4">
        <w:rPr>
          <w:lang w:val="ru-RU"/>
        </w:rPr>
        <w:t xml:space="preserve"> </w:t>
      </w:r>
      <w:r w:rsidR="003F25E4">
        <w:rPr>
          <w:lang w:val="ru-RU"/>
        </w:rPr>
        <w:t>этой</w:t>
      </w:r>
      <w:r w:rsidR="003F25E4" w:rsidRPr="003F25E4">
        <w:rPr>
          <w:lang w:val="ru-RU"/>
        </w:rPr>
        <w:t xml:space="preserve"> </w:t>
      </w:r>
      <w:r w:rsidR="003F25E4">
        <w:rPr>
          <w:lang w:val="ru-RU"/>
        </w:rPr>
        <w:t>поправки</w:t>
      </w:r>
      <w:r w:rsidR="009B16DD" w:rsidRPr="003F25E4">
        <w:rPr>
          <w:lang w:val="ru-RU"/>
        </w:rPr>
        <w:t xml:space="preserve">, </w:t>
      </w:r>
      <w:r w:rsidR="003F25E4" w:rsidRPr="003F25E4">
        <w:rPr>
          <w:lang w:val="ru-RU"/>
        </w:rPr>
        <w:t xml:space="preserve">сотрудники, место службы которых находится не в их родной стране, но </w:t>
      </w:r>
      <w:r w:rsidR="003F25E4" w:rsidRPr="003F25E4">
        <w:rPr>
          <w:lang w:val="ru-RU"/>
        </w:rPr>
        <w:lastRenderedPageBreak/>
        <w:t xml:space="preserve">которые, тем не менее, проживают </w:t>
      </w:r>
      <w:r w:rsidR="003F25E4">
        <w:rPr>
          <w:lang w:val="ru-RU"/>
        </w:rPr>
        <w:t>на родине</w:t>
      </w:r>
      <w:r w:rsidR="003F25E4" w:rsidRPr="003F25E4">
        <w:rPr>
          <w:lang w:val="ru-RU"/>
        </w:rPr>
        <w:t>, больше не будут иметь право на субсидию на образование</w:t>
      </w:r>
      <w:r w:rsidR="009B16DD" w:rsidRPr="003F25E4">
        <w:rPr>
          <w:lang w:val="ru-RU"/>
        </w:rPr>
        <w:t>.</w:t>
      </w:r>
      <w:r w:rsidR="00012646" w:rsidRPr="003F25E4">
        <w:rPr>
          <w:lang w:val="ru-RU"/>
        </w:rPr>
        <w:t xml:space="preserve">  </w:t>
      </w:r>
      <w:r w:rsidR="003F25E4">
        <w:rPr>
          <w:lang w:val="ru-RU"/>
        </w:rPr>
        <w:t>В</w:t>
      </w:r>
      <w:r w:rsidR="003F25E4" w:rsidRPr="003F25E4">
        <w:rPr>
          <w:lang w:val="ru-RU"/>
        </w:rPr>
        <w:t xml:space="preserve"> </w:t>
      </w:r>
      <w:r w:rsidR="003F25E4">
        <w:rPr>
          <w:lang w:val="ru-RU"/>
        </w:rPr>
        <w:t>практическом</w:t>
      </w:r>
      <w:r w:rsidR="003F25E4" w:rsidRPr="003F25E4">
        <w:rPr>
          <w:lang w:val="ru-RU"/>
        </w:rPr>
        <w:t xml:space="preserve"> </w:t>
      </w:r>
      <w:r w:rsidR="003F25E4">
        <w:rPr>
          <w:lang w:val="ru-RU"/>
        </w:rPr>
        <w:t>плане</w:t>
      </w:r>
      <w:r w:rsidR="003F25E4" w:rsidRPr="003F25E4">
        <w:rPr>
          <w:lang w:val="ru-RU"/>
        </w:rPr>
        <w:t xml:space="preserve"> </w:t>
      </w:r>
      <w:r w:rsidR="003F25E4">
        <w:rPr>
          <w:lang w:val="ru-RU"/>
        </w:rPr>
        <w:t>сотрудниками</w:t>
      </w:r>
      <w:r w:rsidR="00012646" w:rsidRPr="003F25E4">
        <w:rPr>
          <w:lang w:val="ru-RU"/>
        </w:rPr>
        <w:t xml:space="preserve">, </w:t>
      </w:r>
      <w:r w:rsidR="003F25E4">
        <w:rPr>
          <w:lang w:val="ru-RU"/>
        </w:rPr>
        <w:t>которых затронет предлагаемая поправка, являются французские сотрудники, проживающие во Франции</w:t>
      </w:r>
      <w:r w:rsidR="00012646" w:rsidRPr="003F25E4">
        <w:rPr>
          <w:lang w:val="ru-RU"/>
        </w:rPr>
        <w:t xml:space="preserve">.  </w:t>
      </w:r>
    </w:p>
    <w:p w:rsidR="005503B9" w:rsidRPr="003F25E4" w:rsidRDefault="005503B9" w:rsidP="005503B9">
      <w:pPr>
        <w:pStyle w:val="ListParagraph"/>
        <w:widowControl w:val="0"/>
        <w:ind w:left="0"/>
        <w:rPr>
          <w:lang w:val="ru-RU"/>
        </w:rPr>
      </w:pPr>
    </w:p>
    <w:p w:rsidR="00502619" w:rsidRDefault="003F25E4" w:rsidP="003F25E4">
      <w:pPr>
        <w:pStyle w:val="ListParagraph"/>
        <w:widowControl w:val="0"/>
        <w:numPr>
          <w:ilvl w:val="0"/>
          <w:numId w:val="9"/>
        </w:numPr>
        <w:ind w:left="0" w:firstLine="0"/>
      </w:pPr>
      <w:r>
        <w:rPr>
          <w:lang w:val="ru-RU"/>
        </w:rPr>
        <w:t>Было</w:t>
      </w:r>
      <w:r w:rsidRPr="003F25E4">
        <w:rPr>
          <w:lang w:val="ru-RU"/>
        </w:rPr>
        <w:t xml:space="preserve"> </w:t>
      </w:r>
      <w:r>
        <w:rPr>
          <w:lang w:val="ru-RU"/>
        </w:rPr>
        <w:t>также</w:t>
      </w:r>
      <w:r w:rsidRPr="003F25E4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3F25E4">
        <w:rPr>
          <w:lang w:val="ru-RU"/>
        </w:rPr>
        <w:t xml:space="preserve"> </w:t>
      </w:r>
      <w:r>
        <w:rPr>
          <w:lang w:val="ru-RU"/>
        </w:rPr>
        <w:t>добавить</w:t>
      </w:r>
      <w:r w:rsidRPr="003F25E4">
        <w:rPr>
          <w:lang w:val="ru-RU"/>
        </w:rPr>
        <w:t xml:space="preserve"> </w:t>
      </w:r>
      <w:r>
        <w:rPr>
          <w:lang w:val="ru-RU"/>
        </w:rPr>
        <w:t>новый</w:t>
      </w:r>
      <w:r w:rsidRPr="003F25E4">
        <w:rPr>
          <w:lang w:val="ru-RU"/>
        </w:rPr>
        <w:t xml:space="preserve"> </w:t>
      </w:r>
      <w:r>
        <w:rPr>
          <w:lang w:val="ru-RU"/>
        </w:rPr>
        <w:t>пункт</w:t>
      </w:r>
      <w:r w:rsidR="009B16DD" w:rsidRPr="003F25E4">
        <w:rPr>
          <w:lang w:val="ru-RU"/>
        </w:rPr>
        <w:t xml:space="preserve"> (</w:t>
      </w:r>
      <w:r w:rsidR="009B16DD">
        <w:t>f</w:t>
      </w:r>
      <w:r w:rsidR="009B16DD" w:rsidRPr="003F25E4">
        <w:rPr>
          <w:lang w:val="ru-RU"/>
        </w:rPr>
        <w:t>)</w:t>
      </w:r>
      <w:r w:rsidRPr="003F25E4">
        <w:rPr>
          <w:lang w:val="ru-RU"/>
        </w:rPr>
        <w:t xml:space="preserve">, </w:t>
      </w:r>
      <w:r>
        <w:rPr>
          <w:lang w:val="ru-RU"/>
        </w:rPr>
        <w:t>чтобы</w:t>
      </w:r>
      <w:r w:rsidRPr="003F25E4">
        <w:rPr>
          <w:lang w:val="ru-RU"/>
        </w:rPr>
        <w:t xml:space="preserve"> сохранить права сотрудников, поступивших на службу в ВОИС до </w:t>
      </w:r>
      <w:r>
        <w:rPr>
          <w:lang w:val="ru-RU"/>
        </w:rPr>
        <w:t xml:space="preserve">того, как будет </w:t>
      </w:r>
      <w:r w:rsidRPr="003F25E4">
        <w:rPr>
          <w:lang w:val="ru-RU"/>
        </w:rPr>
        <w:t>внесен</w:t>
      </w:r>
      <w:r>
        <w:rPr>
          <w:lang w:val="ru-RU"/>
        </w:rPr>
        <w:t>а</w:t>
      </w:r>
      <w:r w:rsidRPr="003F25E4">
        <w:rPr>
          <w:lang w:val="ru-RU"/>
        </w:rPr>
        <w:t xml:space="preserve"> поправк</w:t>
      </w:r>
      <w:r>
        <w:rPr>
          <w:lang w:val="ru-RU"/>
        </w:rPr>
        <w:t>а</w:t>
      </w:r>
      <w:r w:rsidRPr="003F25E4">
        <w:rPr>
          <w:lang w:val="ru-RU"/>
        </w:rPr>
        <w:t xml:space="preserve"> к пункту (</w:t>
      </w:r>
      <w:r w:rsidRPr="003F25E4">
        <w:t>a</w:t>
      </w:r>
      <w:r w:rsidRPr="003F25E4">
        <w:rPr>
          <w:lang w:val="ru-RU"/>
        </w:rPr>
        <w:t>)</w:t>
      </w:r>
      <w:r w:rsidR="00E52A35">
        <w:rPr>
          <w:rStyle w:val="FootnoteReference"/>
        </w:rPr>
        <w:footnoteReference w:id="2"/>
      </w:r>
      <w:r>
        <w:rPr>
          <w:lang w:val="ru-RU"/>
        </w:rPr>
        <w:t>.</w:t>
      </w:r>
      <w:r w:rsidR="00502619" w:rsidRPr="003F25E4">
        <w:rPr>
          <w:lang w:val="ru-RU"/>
        </w:rPr>
        <w:t xml:space="preserve">  </w:t>
      </w:r>
      <w:r>
        <w:rPr>
          <w:lang w:val="ru-RU"/>
        </w:rPr>
        <w:t>Предлагаемая</w:t>
      </w:r>
      <w:r w:rsidRPr="003F25E4">
        <w:t xml:space="preserve"> </w:t>
      </w:r>
      <w:r>
        <w:rPr>
          <w:lang w:val="ru-RU"/>
        </w:rPr>
        <w:t>формулировка</w:t>
      </w:r>
      <w:r w:rsidRPr="003F25E4">
        <w:t xml:space="preserve"> </w:t>
      </w:r>
      <w:r>
        <w:rPr>
          <w:lang w:val="ru-RU"/>
        </w:rPr>
        <w:t>этого</w:t>
      </w:r>
      <w:r w:rsidRPr="003F25E4">
        <w:t xml:space="preserve"> </w:t>
      </w:r>
      <w:r>
        <w:rPr>
          <w:lang w:val="ru-RU"/>
        </w:rPr>
        <w:t>нового</w:t>
      </w:r>
      <w:r w:rsidRPr="003F25E4">
        <w:t xml:space="preserve"> </w:t>
      </w:r>
      <w:r>
        <w:rPr>
          <w:lang w:val="ru-RU"/>
        </w:rPr>
        <w:t>пункта</w:t>
      </w:r>
      <w:r w:rsidR="00502619">
        <w:t xml:space="preserve"> (f) </w:t>
      </w:r>
      <w:r>
        <w:rPr>
          <w:lang w:val="ru-RU"/>
        </w:rPr>
        <w:t>была следующей</w:t>
      </w:r>
      <w:r w:rsidR="00502619">
        <w:t>:</w:t>
      </w:r>
    </w:p>
    <w:p w:rsidR="005170C7" w:rsidRDefault="005170C7" w:rsidP="005503B9">
      <w:pPr>
        <w:widowControl w:val="0"/>
        <w:ind w:left="567"/>
      </w:pPr>
    </w:p>
    <w:p w:rsidR="00B6255E" w:rsidRPr="00276685" w:rsidRDefault="003F25E4" w:rsidP="005503B9">
      <w:pPr>
        <w:widowControl w:val="0"/>
        <w:ind w:left="567"/>
        <w:rPr>
          <w:lang w:val="ru-RU"/>
        </w:rPr>
      </w:pPr>
      <w:r w:rsidRPr="00276685">
        <w:rPr>
          <w:lang w:val="ru-RU"/>
        </w:rPr>
        <w:t>«</w:t>
      </w:r>
      <w:r>
        <w:rPr>
          <w:lang w:val="ru-RU"/>
        </w:rPr>
        <w:t>Несмотря</w:t>
      </w:r>
      <w:r w:rsidRPr="00276685">
        <w:rPr>
          <w:lang w:val="ru-RU"/>
        </w:rPr>
        <w:t xml:space="preserve"> </w:t>
      </w:r>
      <w:r>
        <w:rPr>
          <w:lang w:val="ru-RU"/>
        </w:rPr>
        <w:t>на</w:t>
      </w:r>
      <w:r w:rsidRPr="00276685">
        <w:rPr>
          <w:lang w:val="ru-RU"/>
        </w:rPr>
        <w:t xml:space="preserve"> </w:t>
      </w:r>
      <w:r>
        <w:rPr>
          <w:lang w:val="ru-RU"/>
        </w:rPr>
        <w:t>пункт</w:t>
      </w:r>
      <w:r w:rsidR="005B7940" w:rsidRPr="00276685">
        <w:rPr>
          <w:lang w:val="ru-RU"/>
        </w:rPr>
        <w:t xml:space="preserve"> (</w:t>
      </w:r>
      <w:r w:rsidR="005B7940">
        <w:t>a</w:t>
      </w:r>
      <w:r w:rsidR="005B7940" w:rsidRPr="00276685">
        <w:rPr>
          <w:lang w:val="ru-RU"/>
        </w:rPr>
        <w:t xml:space="preserve">) </w:t>
      </w:r>
      <w:r>
        <w:rPr>
          <w:lang w:val="ru-RU"/>
        </w:rPr>
        <w:t>выше</w:t>
      </w:r>
      <w:r w:rsidR="005B7940" w:rsidRPr="00276685">
        <w:rPr>
          <w:lang w:val="ru-RU"/>
        </w:rPr>
        <w:t xml:space="preserve">, </w:t>
      </w:r>
      <w:r w:rsidRPr="003F25E4">
        <w:rPr>
          <w:lang w:val="ru-RU"/>
        </w:rPr>
        <w:t>сотрудник</w:t>
      </w:r>
      <w:r>
        <w:rPr>
          <w:lang w:val="ru-RU"/>
        </w:rPr>
        <w:t>и</w:t>
      </w:r>
      <w:r w:rsidRPr="00276685">
        <w:rPr>
          <w:lang w:val="ru-RU"/>
        </w:rPr>
        <w:t xml:space="preserve">, </w:t>
      </w:r>
      <w:r w:rsidR="003C1652" w:rsidRPr="003C1652">
        <w:rPr>
          <w:lang w:val="ru-RU"/>
        </w:rPr>
        <w:t>имеющие срочные, непрерывные или постоянные контракты в Международно</w:t>
      </w:r>
      <w:r w:rsidR="003D43E8">
        <w:rPr>
          <w:lang w:val="ru-RU"/>
        </w:rPr>
        <w:t>м</w:t>
      </w:r>
      <w:r w:rsidR="003C1652" w:rsidRPr="003C1652">
        <w:rPr>
          <w:lang w:val="ru-RU"/>
        </w:rPr>
        <w:t xml:space="preserve"> бюро перед 1 января 2016 г. и проживающие, но не работающие в то время на их родине, сохраняют право на субсидию на образование</w:t>
      </w:r>
      <w:r w:rsidR="003C1652" w:rsidRPr="00276685">
        <w:rPr>
          <w:lang w:val="ru-RU"/>
        </w:rPr>
        <w:t>»</w:t>
      </w:r>
      <w:r w:rsidR="005B7940" w:rsidRPr="00276685">
        <w:rPr>
          <w:lang w:val="ru-RU"/>
        </w:rPr>
        <w:t>.</w:t>
      </w:r>
      <w:r w:rsidR="009B16DD" w:rsidRPr="00276685">
        <w:rPr>
          <w:lang w:val="ru-RU"/>
        </w:rPr>
        <w:t xml:space="preserve">  </w:t>
      </w:r>
      <w:r w:rsidR="00AA656A" w:rsidRPr="00276685">
        <w:rPr>
          <w:lang w:val="ru-RU"/>
        </w:rPr>
        <w:t xml:space="preserve">  </w:t>
      </w:r>
      <w:r w:rsidR="009B16DD" w:rsidRPr="00276685">
        <w:rPr>
          <w:lang w:val="ru-RU"/>
        </w:rPr>
        <w:t xml:space="preserve"> </w:t>
      </w:r>
      <w:r w:rsidR="00AA656A" w:rsidRPr="00276685">
        <w:rPr>
          <w:lang w:val="ru-RU"/>
        </w:rPr>
        <w:t xml:space="preserve">      </w:t>
      </w:r>
      <w:r w:rsidR="004B3EC9" w:rsidRPr="00276685">
        <w:rPr>
          <w:lang w:val="ru-RU"/>
        </w:rPr>
        <w:t xml:space="preserve">   </w:t>
      </w:r>
      <w:r w:rsidR="00B6255E" w:rsidRPr="00276685">
        <w:rPr>
          <w:lang w:val="ru-RU"/>
        </w:rPr>
        <w:t xml:space="preserve">   </w:t>
      </w:r>
    </w:p>
    <w:p w:rsidR="002B6775" w:rsidRPr="00276685" w:rsidRDefault="002B6775" w:rsidP="005503B9">
      <w:pPr>
        <w:pStyle w:val="ListParagraph"/>
        <w:widowControl w:val="0"/>
        <w:ind w:left="0"/>
        <w:rPr>
          <w:lang w:val="ru-RU"/>
        </w:rPr>
      </w:pPr>
    </w:p>
    <w:p w:rsidR="00E52A35" w:rsidRDefault="003C1652" w:rsidP="005503B9">
      <w:pPr>
        <w:pStyle w:val="ListParagraph"/>
        <w:widowControl w:val="0"/>
        <w:numPr>
          <w:ilvl w:val="0"/>
          <w:numId w:val="9"/>
        </w:numPr>
        <w:ind w:left="0" w:firstLine="0"/>
      </w:pPr>
      <w:r>
        <w:rPr>
          <w:lang w:val="ru-RU"/>
        </w:rPr>
        <w:t>Координационный</w:t>
      </w:r>
      <w:r w:rsidRPr="003C1652">
        <w:rPr>
          <w:lang w:val="ru-RU"/>
        </w:rPr>
        <w:t xml:space="preserve"> </w:t>
      </w:r>
      <w:r>
        <w:rPr>
          <w:lang w:val="ru-RU"/>
        </w:rPr>
        <w:t>комитет</w:t>
      </w:r>
      <w:r w:rsidRPr="003C1652">
        <w:rPr>
          <w:lang w:val="ru-RU"/>
        </w:rPr>
        <w:t xml:space="preserve"> </w:t>
      </w:r>
      <w:r>
        <w:rPr>
          <w:lang w:val="ru-RU"/>
        </w:rPr>
        <w:t>ВОИС</w:t>
      </w:r>
      <w:r w:rsidRPr="003C1652">
        <w:rPr>
          <w:lang w:val="ru-RU"/>
        </w:rPr>
        <w:t xml:space="preserve"> </w:t>
      </w:r>
      <w:r>
        <w:rPr>
          <w:lang w:val="ru-RU"/>
        </w:rPr>
        <w:t>одобрил</w:t>
      </w:r>
      <w:r w:rsidRPr="003C1652">
        <w:rPr>
          <w:lang w:val="ru-RU"/>
        </w:rPr>
        <w:t xml:space="preserve"> </w:t>
      </w:r>
      <w:r>
        <w:rPr>
          <w:lang w:val="ru-RU"/>
        </w:rPr>
        <w:t>эти</w:t>
      </w:r>
      <w:r w:rsidRPr="003C1652">
        <w:rPr>
          <w:lang w:val="ru-RU"/>
        </w:rPr>
        <w:t xml:space="preserve"> </w:t>
      </w:r>
      <w:r>
        <w:rPr>
          <w:lang w:val="ru-RU"/>
        </w:rPr>
        <w:t>две</w:t>
      </w:r>
      <w:r w:rsidRPr="003C1652">
        <w:rPr>
          <w:lang w:val="ru-RU"/>
        </w:rPr>
        <w:t xml:space="preserve"> </w:t>
      </w:r>
      <w:r>
        <w:rPr>
          <w:lang w:val="ru-RU"/>
        </w:rPr>
        <w:t>поправки</w:t>
      </w:r>
      <w:r w:rsidR="00E52A35" w:rsidRPr="003C1652">
        <w:rPr>
          <w:lang w:val="ru-RU"/>
        </w:rPr>
        <w:t xml:space="preserve"> </w:t>
      </w:r>
      <w:r>
        <w:rPr>
          <w:lang w:val="ru-RU"/>
        </w:rPr>
        <w:t>к положению</w:t>
      </w:r>
      <w:r w:rsidR="00E52A35" w:rsidRPr="003C1652">
        <w:rPr>
          <w:lang w:val="ru-RU"/>
        </w:rPr>
        <w:t xml:space="preserve"> </w:t>
      </w:r>
      <w:r w:rsidR="00E52A35">
        <w:t xml:space="preserve">3.14, </w:t>
      </w:r>
      <w:r>
        <w:rPr>
          <w:lang w:val="ru-RU"/>
        </w:rPr>
        <w:t>отметив, что</w:t>
      </w:r>
      <w:r w:rsidR="00E52A35">
        <w:t>:</w:t>
      </w:r>
    </w:p>
    <w:p w:rsidR="00E52A35" w:rsidRDefault="00E52A35" w:rsidP="005503B9">
      <w:pPr>
        <w:pStyle w:val="ListParagraph"/>
        <w:widowControl w:val="0"/>
        <w:ind w:left="0"/>
      </w:pPr>
    </w:p>
    <w:p w:rsidR="00782E4D" w:rsidRPr="003C1652" w:rsidRDefault="003C1652" w:rsidP="005503B9">
      <w:pPr>
        <w:pStyle w:val="ListParagraph"/>
        <w:widowControl w:val="0"/>
        <w:ind w:left="567"/>
        <w:rPr>
          <w:lang w:val="ru-RU"/>
        </w:rPr>
      </w:pPr>
      <w:r>
        <w:rPr>
          <w:lang w:val="ru-RU"/>
        </w:rPr>
        <w:t>«</w:t>
      </w:r>
      <w:r w:rsidRPr="003C1652">
        <w:rPr>
          <w:lang w:val="ru-RU"/>
        </w:rPr>
        <w:t>Бюро Юрисконсульта представит на сессии Координационного комитета 2016 г. анализ вопроса о приобретенных правах сотрудников на субсидию на образование, а также соответствующую информацию о финансовых последствиях для принятия решения о сохранении или исключении нового положения о персонале 3.14(</w:t>
      </w:r>
      <w:r w:rsidRPr="003C1652">
        <w:t>f</w:t>
      </w:r>
      <w:r w:rsidRPr="003C1652">
        <w:rPr>
          <w:lang w:val="ru-RU"/>
        </w:rPr>
        <w:t>) о субсидии на образование</w:t>
      </w:r>
      <w:r>
        <w:rPr>
          <w:lang w:val="ru-RU"/>
        </w:rPr>
        <w:t>»</w:t>
      </w:r>
      <w:r w:rsidR="00502619">
        <w:rPr>
          <w:rStyle w:val="FootnoteReference"/>
        </w:rPr>
        <w:footnoteReference w:id="3"/>
      </w:r>
      <w:r>
        <w:rPr>
          <w:lang w:val="ru-RU"/>
        </w:rPr>
        <w:t>.</w:t>
      </w:r>
    </w:p>
    <w:p w:rsidR="00076073" w:rsidRPr="003C1652" w:rsidRDefault="00076073" w:rsidP="005503B9">
      <w:pPr>
        <w:pStyle w:val="ListParagraph"/>
        <w:widowControl w:val="0"/>
        <w:ind w:left="567"/>
        <w:rPr>
          <w:lang w:val="ru-RU"/>
        </w:rPr>
      </w:pPr>
    </w:p>
    <w:p w:rsidR="00076073" w:rsidRPr="003C1652" w:rsidRDefault="003C1652" w:rsidP="005503B9">
      <w:pPr>
        <w:pStyle w:val="ListParagraph"/>
        <w:widowControl w:val="0"/>
        <w:ind w:left="567"/>
        <w:rPr>
          <w:u w:val="single"/>
          <w:lang w:val="ru-RU"/>
        </w:rPr>
      </w:pPr>
      <w:r>
        <w:rPr>
          <w:u w:val="single"/>
          <w:lang w:val="ru-RU"/>
        </w:rPr>
        <w:t>Резюме</w:t>
      </w:r>
    </w:p>
    <w:p w:rsidR="00076073" w:rsidRDefault="00076073" w:rsidP="005503B9">
      <w:pPr>
        <w:pStyle w:val="ListParagraph"/>
        <w:widowControl w:val="0"/>
        <w:ind w:left="567"/>
      </w:pPr>
    </w:p>
    <w:p w:rsidR="00076073" w:rsidRPr="00750495" w:rsidRDefault="003C1652" w:rsidP="005503B9">
      <w:pPr>
        <w:pStyle w:val="ListParagraph"/>
        <w:widowControl w:val="0"/>
        <w:numPr>
          <w:ilvl w:val="0"/>
          <w:numId w:val="9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3C1652">
        <w:rPr>
          <w:lang w:val="ru-RU"/>
        </w:rPr>
        <w:t xml:space="preserve"> </w:t>
      </w:r>
      <w:r>
        <w:rPr>
          <w:lang w:val="ru-RU"/>
        </w:rPr>
        <w:t>настоящем</w:t>
      </w:r>
      <w:r w:rsidRPr="003C165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3C1652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3C1652">
        <w:rPr>
          <w:lang w:val="ru-RU"/>
        </w:rPr>
        <w:t xml:space="preserve"> </w:t>
      </w:r>
      <w:r>
        <w:rPr>
          <w:lang w:val="ru-RU"/>
        </w:rPr>
        <w:t>упомянутый</w:t>
      </w:r>
      <w:r w:rsidRPr="003C1652">
        <w:rPr>
          <w:lang w:val="ru-RU"/>
        </w:rPr>
        <w:t xml:space="preserve"> </w:t>
      </w:r>
      <w:r>
        <w:rPr>
          <w:lang w:val="ru-RU"/>
        </w:rPr>
        <w:t>выше</w:t>
      </w:r>
      <w:r w:rsidRPr="003C1652">
        <w:rPr>
          <w:lang w:val="ru-RU"/>
        </w:rPr>
        <w:t xml:space="preserve"> </w:t>
      </w:r>
      <w:r>
        <w:rPr>
          <w:lang w:val="ru-RU"/>
        </w:rPr>
        <w:t>анализ</w:t>
      </w:r>
      <w:r w:rsidRPr="003C1652">
        <w:rPr>
          <w:lang w:val="ru-RU"/>
        </w:rPr>
        <w:t xml:space="preserve">, </w:t>
      </w:r>
      <w:r>
        <w:rPr>
          <w:lang w:val="ru-RU"/>
        </w:rPr>
        <w:t>запрошенный</w:t>
      </w:r>
      <w:r w:rsidRPr="003C1652">
        <w:rPr>
          <w:lang w:val="ru-RU"/>
        </w:rPr>
        <w:t xml:space="preserve"> </w:t>
      </w:r>
      <w:r>
        <w:rPr>
          <w:lang w:val="ru-RU"/>
        </w:rPr>
        <w:t>Координационным</w:t>
      </w:r>
      <w:r w:rsidRPr="003C1652">
        <w:rPr>
          <w:lang w:val="ru-RU"/>
        </w:rPr>
        <w:t xml:space="preserve"> </w:t>
      </w:r>
      <w:r>
        <w:rPr>
          <w:lang w:val="ru-RU"/>
        </w:rPr>
        <w:t>комитетом</w:t>
      </w:r>
      <w:r w:rsidR="000F2A6B" w:rsidRPr="003C1652">
        <w:rPr>
          <w:lang w:val="ru-RU"/>
        </w:rPr>
        <w:t xml:space="preserve">.  </w:t>
      </w:r>
      <w:r>
        <w:rPr>
          <w:lang w:val="ru-RU"/>
        </w:rPr>
        <w:t>Если</w:t>
      </w:r>
      <w:r w:rsidRPr="003C1652">
        <w:rPr>
          <w:lang w:val="ru-RU"/>
        </w:rPr>
        <w:t xml:space="preserve"> </w:t>
      </w:r>
      <w:r>
        <w:rPr>
          <w:lang w:val="ru-RU"/>
        </w:rPr>
        <w:t>быть</w:t>
      </w:r>
      <w:r w:rsidRPr="003C1652">
        <w:rPr>
          <w:lang w:val="ru-RU"/>
        </w:rPr>
        <w:t xml:space="preserve"> </w:t>
      </w:r>
      <w:r>
        <w:rPr>
          <w:lang w:val="ru-RU"/>
        </w:rPr>
        <w:t>кратким</w:t>
      </w:r>
      <w:r w:rsidR="000F2A6B" w:rsidRPr="003C1652">
        <w:rPr>
          <w:lang w:val="ru-RU"/>
        </w:rPr>
        <w:t xml:space="preserve">, </w:t>
      </w:r>
      <w:r>
        <w:rPr>
          <w:lang w:val="ru-RU"/>
        </w:rPr>
        <w:t>хотя</w:t>
      </w:r>
      <w:r w:rsidRPr="003C1652">
        <w:rPr>
          <w:lang w:val="ru-RU"/>
        </w:rPr>
        <w:t xml:space="preserve"> </w:t>
      </w:r>
      <w:r>
        <w:rPr>
          <w:lang w:val="ru-RU"/>
        </w:rPr>
        <w:t>право</w:t>
      </w:r>
      <w:r w:rsidRPr="003C1652">
        <w:rPr>
          <w:lang w:val="ru-RU"/>
        </w:rPr>
        <w:t xml:space="preserve"> </w:t>
      </w:r>
      <w:r>
        <w:rPr>
          <w:lang w:val="ru-RU"/>
        </w:rPr>
        <w:t>на</w:t>
      </w:r>
      <w:r w:rsidRPr="003C1652">
        <w:rPr>
          <w:lang w:val="ru-RU"/>
        </w:rPr>
        <w:t xml:space="preserve"> </w:t>
      </w:r>
      <w:r>
        <w:rPr>
          <w:lang w:val="ru-RU"/>
        </w:rPr>
        <w:t>субсидию</w:t>
      </w:r>
      <w:r w:rsidRPr="003C1652">
        <w:rPr>
          <w:lang w:val="ru-RU"/>
        </w:rPr>
        <w:t xml:space="preserve"> </w:t>
      </w:r>
      <w:r>
        <w:rPr>
          <w:lang w:val="ru-RU"/>
        </w:rPr>
        <w:t>на</w:t>
      </w:r>
      <w:r w:rsidRPr="003C1652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3C1652">
        <w:rPr>
          <w:lang w:val="ru-RU"/>
        </w:rPr>
        <w:t xml:space="preserve"> </w:t>
      </w:r>
      <w:r>
        <w:rPr>
          <w:lang w:val="ru-RU"/>
        </w:rPr>
        <w:t>признано</w:t>
      </w:r>
      <w:r w:rsidRPr="003C1652">
        <w:rPr>
          <w:lang w:val="ru-RU"/>
        </w:rPr>
        <w:t xml:space="preserve"> </w:t>
      </w:r>
      <w:r>
        <w:rPr>
          <w:lang w:val="ru-RU"/>
        </w:rPr>
        <w:t>как</w:t>
      </w:r>
      <w:r w:rsidRPr="003C1652">
        <w:rPr>
          <w:lang w:val="ru-RU"/>
        </w:rPr>
        <w:t xml:space="preserve"> </w:t>
      </w:r>
      <w:r>
        <w:rPr>
          <w:lang w:val="ru-RU"/>
        </w:rPr>
        <w:t>относящееся</w:t>
      </w:r>
      <w:r w:rsidRPr="003C1652">
        <w:rPr>
          <w:lang w:val="ru-RU"/>
        </w:rPr>
        <w:t xml:space="preserve"> </w:t>
      </w:r>
      <w:r>
        <w:rPr>
          <w:lang w:val="ru-RU"/>
        </w:rPr>
        <w:t>к</w:t>
      </w:r>
      <w:r w:rsidRPr="003C1652">
        <w:rPr>
          <w:lang w:val="ru-RU"/>
        </w:rPr>
        <w:t xml:space="preserve"> </w:t>
      </w:r>
      <w:r>
        <w:rPr>
          <w:lang w:val="ru-RU"/>
        </w:rPr>
        <w:t>категории</w:t>
      </w:r>
      <w:r w:rsidRPr="003C1652">
        <w:rPr>
          <w:lang w:val="ru-RU"/>
        </w:rPr>
        <w:t xml:space="preserve"> </w:t>
      </w:r>
      <w:r>
        <w:rPr>
          <w:lang w:val="ru-RU"/>
        </w:rPr>
        <w:t>приобретенных</w:t>
      </w:r>
      <w:r w:rsidRPr="003C1652">
        <w:rPr>
          <w:lang w:val="ru-RU"/>
        </w:rPr>
        <w:t xml:space="preserve"> </w:t>
      </w:r>
      <w:r>
        <w:rPr>
          <w:lang w:val="ru-RU"/>
        </w:rPr>
        <w:t>прав</w:t>
      </w:r>
      <w:r w:rsidR="005F7710" w:rsidRPr="003C1652">
        <w:rPr>
          <w:lang w:val="ru-RU"/>
        </w:rPr>
        <w:t xml:space="preserve"> </w:t>
      </w:r>
      <w:r w:rsidR="00FC7FD3" w:rsidRPr="003C1652">
        <w:rPr>
          <w:lang w:val="ru-RU"/>
        </w:rPr>
        <w:t>(</w:t>
      </w:r>
      <w:r>
        <w:rPr>
          <w:lang w:val="ru-RU"/>
        </w:rPr>
        <w:t>см</w:t>
      </w:r>
      <w:r w:rsidRPr="003C1652">
        <w:rPr>
          <w:lang w:val="ru-RU"/>
        </w:rPr>
        <w:t xml:space="preserve">. </w:t>
      </w:r>
      <w:r>
        <w:rPr>
          <w:lang w:val="ru-RU"/>
        </w:rPr>
        <w:t>раздел</w:t>
      </w:r>
      <w:r w:rsidR="00FC7FD3" w:rsidRPr="003C1652">
        <w:rPr>
          <w:lang w:val="ru-RU"/>
        </w:rPr>
        <w:t xml:space="preserve"> </w:t>
      </w:r>
      <w:r w:rsidR="00FC7FD3">
        <w:t>II</w:t>
      </w:r>
      <w:r w:rsidR="00FC7FD3" w:rsidRPr="003C1652">
        <w:rPr>
          <w:lang w:val="ru-RU"/>
        </w:rPr>
        <w:t>)</w:t>
      </w:r>
      <w:r w:rsidR="005F7710" w:rsidRPr="003C1652">
        <w:rPr>
          <w:lang w:val="ru-RU"/>
        </w:rPr>
        <w:t xml:space="preserve">, </w:t>
      </w:r>
      <w:r>
        <w:rPr>
          <w:lang w:val="ru-RU"/>
        </w:rPr>
        <w:t>французские</w:t>
      </w:r>
      <w:r w:rsidRPr="003C1652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3C1652">
        <w:rPr>
          <w:lang w:val="ru-RU"/>
        </w:rPr>
        <w:t xml:space="preserve">, </w:t>
      </w:r>
      <w:r>
        <w:rPr>
          <w:lang w:val="ru-RU"/>
        </w:rPr>
        <w:t>проживающие</w:t>
      </w:r>
      <w:r w:rsidRPr="003C1652">
        <w:rPr>
          <w:lang w:val="ru-RU"/>
        </w:rPr>
        <w:t xml:space="preserve"> </w:t>
      </w:r>
      <w:r>
        <w:rPr>
          <w:lang w:val="ru-RU"/>
        </w:rPr>
        <w:t>во</w:t>
      </w:r>
      <w:r w:rsidRPr="003C1652">
        <w:rPr>
          <w:lang w:val="ru-RU"/>
        </w:rPr>
        <w:t xml:space="preserve"> </w:t>
      </w:r>
      <w:r>
        <w:rPr>
          <w:lang w:val="ru-RU"/>
        </w:rPr>
        <w:t>Франции, которые подавали требование о предоставлении субсидии на образование</w:t>
      </w:r>
      <w:r w:rsidR="00750495">
        <w:rPr>
          <w:lang w:val="ru-RU"/>
        </w:rPr>
        <w:t>, получали ее исходя из давней практики, а не из права, предусмотренного в Положениях и правилах о персонале ВОИС (см. раздел</w:t>
      </w:r>
      <w:r w:rsidR="00191D0F" w:rsidRPr="003C1652">
        <w:rPr>
          <w:lang w:val="ru-RU"/>
        </w:rPr>
        <w:t xml:space="preserve"> </w:t>
      </w:r>
      <w:r w:rsidR="00FC7FD3">
        <w:t>III</w:t>
      </w:r>
      <w:r w:rsidR="00FC7FD3" w:rsidRPr="00750495">
        <w:rPr>
          <w:lang w:val="ru-RU"/>
        </w:rPr>
        <w:t xml:space="preserve">).  </w:t>
      </w:r>
      <w:r w:rsidR="00750495">
        <w:rPr>
          <w:lang w:val="ru-RU"/>
        </w:rPr>
        <w:t>Эта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практика</w:t>
      </w:r>
      <w:r w:rsidR="008A51F6" w:rsidRPr="00750495">
        <w:rPr>
          <w:lang w:val="ru-RU"/>
        </w:rPr>
        <w:t xml:space="preserve"> </w:t>
      </w:r>
      <w:r w:rsidR="00750495">
        <w:rPr>
          <w:lang w:val="ru-RU"/>
        </w:rPr>
        <w:t>не приобрела юридической силы, не говоря уж о том, чтобы</w:t>
      </w:r>
      <w:r w:rsidR="008A51F6" w:rsidRPr="00750495">
        <w:rPr>
          <w:lang w:val="ru-RU"/>
        </w:rPr>
        <w:t xml:space="preserve"> </w:t>
      </w:r>
      <w:r w:rsidR="00750495">
        <w:rPr>
          <w:lang w:val="ru-RU"/>
        </w:rPr>
        <w:t>обусловить возникновение приобретенного права</w:t>
      </w:r>
      <w:r w:rsidR="008A51F6" w:rsidRPr="00750495">
        <w:rPr>
          <w:lang w:val="ru-RU"/>
        </w:rPr>
        <w:t xml:space="preserve">.  </w:t>
      </w:r>
      <w:r w:rsidR="00750495">
        <w:rPr>
          <w:lang w:val="ru-RU"/>
        </w:rPr>
        <w:t>В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качестве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такового</w:t>
      </w:r>
      <w:r w:rsidR="008A51F6" w:rsidRPr="00750495">
        <w:rPr>
          <w:lang w:val="ru-RU"/>
        </w:rPr>
        <w:t xml:space="preserve">, </w:t>
      </w:r>
      <w:r w:rsidR="00750495">
        <w:rPr>
          <w:lang w:val="ru-RU"/>
        </w:rPr>
        <w:t>оно может быть прекращено на законном основании, но при условии, что это будет сделано</w:t>
      </w:r>
      <w:r w:rsidR="008A51F6" w:rsidRPr="00750495">
        <w:rPr>
          <w:lang w:val="ru-RU"/>
        </w:rPr>
        <w:t xml:space="preserve"> </w:t>
      </w:r>
      <w:r w:rsidR="00750495">
        <w:rPr>
          <w:lang w:val="ru-RU"/>
        </w:rPr>
        <w:t xml:space="preserve">с расчетом на будущее и с достаточным уведомлением (см. раздел </w:t>
      </w:r>
      <w:r w:rsidR="008A51F6">
        <w:t>IV</w:t>
      </w:r>
      <w:r w:rsidR="008A51F6" w:rsidRPr="00750495">
        <w:rPr>
          <w:lang w:val="ru-RU"/>
        </w:rPr>
        <w:t>).</w:t>
      </w:r>
      <w:r w:rsidR="005503B9" w:rsidRPr="00750495">
        <w:rPr>
          <w:lang w:val="ru-RU"/>
        </w:rPr>
        <w:t xml:space="preserve">  </w:t>
      </w:r>
      <w:r w:rsidR="00750495">
        <w:rPr>
          <w:lang w:val="ru-RU"/>
        </w:rPr>
        <w:t>Поэтому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предлагается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исключить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положение</w:t>
      </w:r>
      <w:r w:rsidR="005503B9" w:rsidRPr="00750495">
        <w:rPr>
          <w:lang w:val="ru-RU"/>
        </w:rPr>
        <w:t xml:space="preserve"> 3.14(</w:t>
      </w:r>
      <w:r w:rsidR="005503B9">
        <w:t>f</w:t>
      </w:r>
      <w:r w:rsidR="005503B9" w:rsidRPr="00750495">
        <w:rPr>
          <w:lang w:val="ru-RU"/>
        </w:rPr>
        <w:t xml:space="preserve">) </w:t>
      </w:r>
      <w:r w:rsidR="00750495">
        <w:rPr>
          <w:lang w:val="ru-RU"/>
        </w:rPr>
        <w:t>и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заменить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его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ограниченной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переходной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мерой, воплощающей требование об уведомлении</w:t>
      </w:r>
      <w:r w:rsidR="005503B9" w:rsidRPr="00750495">
        <w:rPr>
          <w:lang w:val="ru-RU"/>
        </w:rPr>
        <w:t xml:space="preserve"> (</w:t>
      </w:r>
      <w:r w:rsidR="00750495">
        <w:rPr>
          <w:lang w:val="ru-RU"/>
        </w:rPr>
        <w:t>см. раздел</w:t>
      </w:r>
      <w:r w:rsidR="005503B9" w:rsidRPr="00750495">
        <w:rPr>
          <w:lang w:val="ru-RU"/>
        </w:rPr>
        <w:t xml:space="preserve"> </w:t>
      </w:r>
      <w:r w:rsidR="005503B9">
        <w:t>V</w:t>
      </w:r>
      <w:r w:rsidR="005503B9" w:rsidRPr="00750495">
        <w:rPr>
          <w:lang w:val="ru-RU"/>
        </w:rPr>
        <w:t>).</w:t>
      </w:r>
      <w:r w:rsidR="002F0458" w:rsidRPr="00750495">
        <w:rPr>
          <w:lang w:val="ru-RU"/>
        </w:rPr>
        <w:t xml:space="preserve">  </w:t>
      </w:r>
      <w:r w:rsidR="00750495">
        <w:rPr>
          <w:lang w:val="ru-RU"/>
        </w:rPr>
        <w:t>Финансовые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последствия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предлагаемой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промежуточной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меры</w:t>
      </w:r>
      <w:r w:rsidR="00750495" w:rsidRPr="00750495">
        <w:rPr>
          <w:lang w:val="ru-RU"/>
        </w:rPr>
        <w:t xml:space="preserve"> </w:t>
      </w:r>
      <w:r w:rsidR="00750495">
        <w:rPr>
          <w:lang w:val="ru-RU"/>
        </w:rPr>
        <w:t>являются</w:t>
      </w:r>
      <w:r w:rsidR="002F0458" w:rsidRPr="00750495">
        <w:rPr>
          <w:lang w:val="ru-RU"/>
        </w:rPr>
        <w:t xml:space="preserve"> </w:t>
      </w:r>
      <w:r w:rsidR="00750495">
        <w:rPr>
          <w:lang w:val="ru-RU"/>
        </w:rPr>
        <w:t>ограниченными</w:t>
      </w:r>
      <w:r w:rsidR="002F0458" w:rsidRPr="00750495">
        <w:rPr>
          <w:lang w:val="ru-RU"/>
        </w:rPr>
        <w:t xml:space="preserve"> (</w:t>
      </w:r>
      <w:r w:rsidR="00750495">
        <w:rPr>
          <w:lang w:val="ru-RU"/>
        </w:rPr>
        <w:t>см</w:t>
      </w:r>
      <w:r w:rsidR="00750495" w:rsidRPr="00750495">
        <w:rPr>
          <w:lang w:val="ru-RU"/>
        </w:rPr>
        <w:t>.</w:t>
      </w:r>
      <w:r w:rsidR="00750495">
        <w:rPr>
          <w:lang w:val="ru-RU"/>
        </w:rPr>
        <w:t xml:space="preserve"> раздел</w:t>
      </w:r>
      <w:r w:rsidR="002F0458" w:rsidRPr="00750495">
        <w:rPr>
          <w:lang w:val="ru-RU"/>
        </w:rPr>
        <w:t xml:space="preserve"> </w:t>
      </w:r>
      <w:r w:rsidR="002F0458">
        <w:t>VI</w:t>
      </w:r>
      <w:r w:rsidR="002F0458" w:rsidRPr="00750495">
        <w:rPr>
          <w:lang w:val="ru-RU"/>
        </w:rPr>
        <w:t>).</w:t>
      </w:r>
      <w:r w:rsidR="00FC7FD3" w:rsidRPr="00750495">
        <w:rPr>
          <w:lang w:val="ru-RU"/>
        </w:rPr>
        <w:t xml:space="preserve">  </w:t>
      </w:r>
      <w:r w:rsidR="005F7710" w:rsidRPr="00750495">
        <w:rPr>
          <w:lang w:val="ru-RU"/>
        </w:rPr>
        <w:t xml:space="preserve"> </w:t>
      </w:r>
    </w:p>
    <w:p w:rsidR="006555C4" w:rsidRPr="00750495" w:rsidRDefault="006555C4" w:rsidP="006555C4">
      <w:pPr>
        <w:pStyle w:val="ListParagraph"/>
        <w:widowControl w:val="0"/>
        <w:ind w:left="0"/>
        <w:rPr>
          <w:lang w:val="ru-RU"/>
        </w:rPr>
      </w:pPr>
    </w:p>
    <w:p w:rsidR="00900446" w:rsidRPr="00275C06" w:rsidRDefault="00750495" w:rsidP="00275C06">
      <w:pPr>
        <w:pStyle w:val="ListParagraph"/>
        <w:keepNext/>
        <w:keepLines/>
        <w:numPr>
          <w:ilvl w:val="0"/>
          <w:numId w:val="17"/>
        </w:numPr>
        <w:ind w:left="567" w:hanging="567"/>
        <w:rPr>
          <w:b/>
        </w:rPr>
      </w:pPr>
      <w:r>
        <w:rPr>
          <w:b/>
          <w:lang w:val="ru-RU"/>
        </w:rPr>
        <w:t>ДОКТРИНА ПРИОБРЕТЕННЫХ ПРАВ</w:t>
      </w:r>
    </w:p>
    <w:p w:rsidR="002B6775" w:rsidRDefault="00A65FFA" w:rsidP="00900446">
      <w:pPr>
        <w:keepNext/>
        <w:keepLines/>
        <w:ind w:left="142"/>
        <w:rPr>
          <w:b/>
        </w:rPr>
      </w:pPr>
      <w:r w:rsidRPr="00900446">
        <w:rPr>
          <w:b/>
        </w:rPr>
        <w:t xml:space="preserve"> </w:t>
      </w:r>
      <w:r w:rsidR="00E52A35" w:rsidRPr="00900446">
        <w:rPr>
          <w:b/>
        </w:rPr>
        <w:t xml:space="preserve">   </w:t>
      </w:r>
    </w:p>
    <w:p w:rsidR="00EC4C5D" w:rsidRPr="002612C1" w:rsidRDefault="002612C1" w:rsidP="00EC4C5D">
      <w:pPr>
        <w:keepNext/>
        <w:keepLines/>
        <w:ind w:left="567"/>
        <w:rPr>
          <w:u w:val="single"/>
          <w:lang w:val="ru-RU"/>
        </w:rPr>
      </w:pPr>
      <w:r>
        <w:rPr>
          <w:u w:val="single"/>
          <w:lang w:val="ru-RU"/>
        </w:rPr>
        <w:t>Полномочие</w:t>
      </w:r>
      <w:r w:rsidRPr="002612C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менять</w:t>
      </w:r>
      <w:r w:rsidRPr="002612C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условия</w:t>
      </w:r>
      <w:r w:rsidRPr="002612C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службы</w:t>
      </w:r>
      <w:r w:rsidRPr="002612C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подчиняется доктрине приобретенных прав</w:t>
      </w:r>
    </w:p>
    <w:p w:rsidR="00EC4C5D" w:rsidRPr="002612C1" w:rsidRDefault="00EC4C5D" w:rsidP="009E2FEC">
      <w:pPr>
        <w:keepNext/>
        <w:keepLines/>
        <w:rPr>
          <w:lang w:val="ru-RU"/>
        </w:rPr>
      </w:pPr>
    </w:p>
    <w:p w:rsidR="00C92EE1" w:rsidRPr="00456BF6" w:rsidRDefault="002612C1" w:rsidP="001F03D9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Хотя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признано</w:t>
      </w:r>
      <w:r w:rsidRPr="002612C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международные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организации</w:t>
      </w:r>
      <w:r w:rsidR="001E197D"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наделены</w:t>
      </w:r>
      <w:r w:rsidRPr="002612C1">
        <w:rPr>
          <w:color w:val="000000"/>
          <w:lang w:val="ru-RU"/>
        </w:rPr>
        <w:t xml:space="preserve"> </w:t>
      </w:r>
      <w:r w:rsidRPr="002612C1">
        <w:rPr>
          <w:color w:val="000000"/>
          <w:u w:val="single"/>
          <w:lang w:val="ru-RU"/>
        </w:rPr>
        <w:t>неотъемлемым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нормативным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правом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изменять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условия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труда, предлагаемые их сотрудникам, такое полномочие не является неограниченным</w:t>
      </w:r>
      <w:r w:rsidR="001E197D" w:rsidRPr="002612C1">
        <w:rPr>
          <w:color w:val="000000"/>
          <w:lang w:val="ru-RU"/>
        </w:rPr>
        <w:t>.</w:t>
      </w:r>
      <w:r w:rsidR="00CC26D2" w:rsidRPr="002612C1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Говоря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общем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плане</w:t>
      </w:r>
      <w:r w:rsidR="00CC26D2" w:rsidRPr="002612C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условия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службы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могут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быть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изменены</w:t>
      </w:r>
      <w:r w:rsidRPr="002612C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но не с обратной силой, а</w:t>
      </w:r>
      <w:r w:rsidRPr="002612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только применительно к будущему</w:t>
      </w:r>
      <w:r w:rsidR="003A3EA4" w:rsidRPr="002612C1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Кроме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того</w:t>
      </w:r>
      <w:r w:rsidR="003A3EA4" w:rsidRPr="00456BF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право</w:t>
      </w:r>
      <w:r w:rsidRPr="00456BF6">
        <w:rPr>
          <w:color w:val="000000"/>
          <w:lang w:val="ru-RU"/>
        </w:rPr>
        <w:t xml:space="preserve"> </w:t>
      </w:r>
      <w:r w:rsidR="003A3EA4" w:rsidRPr="00456BF6">
        <w:rPr>
          <w:color w:val="000000"/>
          <w:lang w:val="ru-RU"/>
        </w:rPr>
        <w:t>(</w:t>
      </w:r>
      <w:r>
        <w:rPr>
          <w:color w:val="000000"/>
          <w:lang w:val="ru-RU"/>
        </w:rPr>
        <w:t>права</w:t>
      </w:r>
      <w:r w:rsidR="003A3EA4" w:rsidRPr="00456BF6">
        <w:rPr>
          <w:color w:val="000000"/>
          <w:lang w:val="ru-RU"/>
        </w:rPr>
        <w:t>)</w:t>
      </w:r>
      <w:r w:rsidRPr="00456BF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котором</w:t>
      </w:r>
      <w:r w:rsidRPr="00456BF6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которых</w:t>
      </w:r>
      <w:r w:rsidRPr="00456BF6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идет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речь</w:t>
      </w:r>
      <w:r w:rsidRPr="00456BF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не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должно</w:t>
      </w:r>
      <w:r w:rsidRPr="00456BF6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должны</w:t>
      </w:r>
      <w:r w:rsidRPr="00456BF6">
        <w:rPr>
          <w:color w:val="000000"/>
          <w:lang w:val="ru-RU"/>
        </w:rPr>
        <w:t xml:space="preserve">) </w:t>
      </w:r>
      <w:r w:rsidR="00456BF6">
        <w:rPr>
          <w:color w:val="000000"/>
          <w:lang w:val="ru-RU"/>
        </w:rPr>
        <w:t>быть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частью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набора</w:t>
      </w:r>
      <w:r w:rsidR="00456BF6" w:rsidRPr="00456BF6">
        <w:rPr>
          <w:color w:val="000000"/>
          <w:lang w:val="ru-RU"/>
        </w:rPr>
        <w:t xml:space="preserve"> «</w:t>
      </w:r>
      <w:r w:rsidR="00456BF6">
        <w:rPr>
          <w:color w:val="000000"/>
          <w:lang w:val="ru-RU"/>
        </w:rPr>
        <w:t>приобретенных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прав</w:t>
      </w:r>
      <w:r w:rsidR="00456BF6" w:rsidRPr="00456BF6">
        <w:rPr>
          <w:color w:val="000000"/>
          <w:lang w:val="ru-RU"/>
        </w:rPr>
        <w:t xml:space="preserve">» </w:t>
      </w:r>
      <w:r w:rsidR="00456BF6">
        <w:rPr>
          <w:color w:val="000000"/>
          <w:lang w:val="ru-RU"/>
        </w:rPr>
        <w:t>сотрудника</w:t>
      </w:r>
      <w:r w:rsidR="00456BF6" w:rsidRPr="00456BF6">
        <w:rPr>
          <w:color w:val="000000"/>
          <w:lang w:val="ru-RU"/>
        </w:rPr>
        <w:t xml:space="preserve">, </w:t>
      </w:r>
      <w:r w:rsidR="00456BF6">
        <w:rPr>
          <w:color w:val="000000"/>
          <w:lang w:val="ru-RU"/>
        </w:rPr>
        <w:t>которые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считаются</w:t>
      </w:r>
      <w:r w:rsidR="00CC26D2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незыблемыми и, соответственно, не могут быть отняты без его или ее согласия</w:t>
      </w:r>
      <w:r w:rsidR="00CC26D2" w:rsidRPr="00456BF6">
        <w:rPr>
          <w:color w:val="000000"/>
          <w:lang w:val="ru-RU"/>
        </w:rPr>
        <w:t>.</w:t>
      </w:r>
      <w:r w:rsidR="00193248" w:rsidRPr="00456BF6">
        <w:rPr>
          <w:color w:val="000000"/>
          <w:lang w:val="ru-RU"/>
        </w:rPr>
        <w:t xml:space="preserve">  </w:t>
      </w:r>
      <w:r w:rsidR="00456BF6">
        <w:rPr>
          <w:color w:val="000000"/>
          <w:lang w:val="ru-RU"/>
        </w:rPr>
        <w:t>В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деле</w:t>
      </w:r>
      <w:r w:rsidR="00456BF6" w:rsidRPr="00456BF6">
        <w:rPr>
          <w:color w:val="000000"/>
          <w:lang w:val="ru-RU"/>
        </w:rPr>
        <w:t xml:space="preserve">, </w:t>
      </w:r>
      <w:r w:rsidR="00456BF6">
        <w:rPr>
          <w:color w:val="000000"/>
          <w:lang w:val="ru-RU"/>
        </w:rPr>
        <w:t>в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котором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ВОИС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выступала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в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качестве</w:t>
      </w:r>
      <w:r w:rsidR="00193248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организации</w:t>
      </w:r>
      <w:r w:rsidR="00456BF6" w:rsidRPr="00456BF6">
        <w:rPr>
          <w:color w:val="000000"/>
          <w:lang w:val="ru-RU"/>
        </w:rPr>
        <w:t>-</w:t>
      </w:r>
      <w:r w:rsidR="00456BF6">
        <w:rPr>
          <w:color w:val="000000"/>
          <w:lang w:val="ru-RU"/>
        </w:rPr>
        <w:t>ответчика</w:t>
      </w:r>
      <w:r w:rsidR="00456BF6" w:rsidRPr="00456BF6">
        <w:rPr>
          <w:color w:val="000000"/>
          <w:lang w:val="ru-RU"/>
        </w:rPr>
        <w:t xml:space="preserve">, </w:t>
      </w:r>
      <w:r w:rsidR="00456BF6">
        <w:rPr>
          <w:color w:val="000000"/>
          <w:lang w:val="ru-RU"/>
        </w:rPr>
        <w:t>Административный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трибунал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Международной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организации</w:t>
      </w:r>
      <w:r w:rsidR="00456BF6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труда</w:t>
      </w:r>
      <w:r w:rsidR="00456BF6" w:rsidRPr="00456BF6">
        <w:rPr>
          <w:color w:val="000000"/>
          <w:lang w:val="ru-RU"/>
        </w:rPr>
        <w:t xml:space="preserve"> («</w:t>
      </w:r>
      <w:r w:rsidR="00456BF6">
        <w:rPr>
          <w:color w:val="000000"/>
          <w:lang w:val="ru-RU"/>
        </w:rPr>
        <w:t>АТМОТ</w:t>
      </w:r>
      <w:r w:rsidR="00456BF6" w:rsidRPr="00456BF6">
        <w:rPr>
          <w:color w:val="000000"/>
          <w:lang w:val="ru-RU"/>
        </w:rPr>
        <w:t>»)</w:t>
      </w:r>
      <w:r w:rsidR="00193248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 xml:space="preserve">однозначно заявил, что «хотя та или иная организация должна соблюдать приобретенные права и выполнять обязывающие </w:t>
      </w:r>
      <w:r w:rsidR="00456BF6">
        <w:rPr>
          <w:color w:val="000000"/>
          <w:lang w:val="ru-RU"/>
        </w:rPr>
        <w:lastRenderedPageBreak/>
        <w:t>обещания, она обладает широким усмотрением в плане внесения поправок в свои положения о персонале</w:t>
      </w:r>
      <w:r w:rsidR="006716B0" w:rsidRPr="00456BF6">
        <w:rPr>
          <w:color w:val="000000"/>
          <w:lang w:val="ru-RU"/>
        </w:rPr>
        <w:t xml:space="preserve"> </w:t>
      </w:r>
      <w:r w:rsidR="00456BF6">
        <w:rPr>
          <w:color w:val="000000"/>
          <w:lang w:val="ru-RU"/>
        </w:rPr>
        <w:t>[…]»</w:t>
      </w:r>
      <w:r w:rsidR="006716B0">
        <w:rPr>
          <w:rStyle w:val="FootnoteReference"/>
          <w:color w:val="000000"/>
        </w:rPr>
        <w:footnoteReference w:id="4"/>
      </w:r>
      <w:r w:rsidR="00456BF6">
        <w:rPr>
          <w:color w:val="000000"/>
          <w:lang w:val="ru-RU"/>
        </w:rPr>
        <w:t>.</w:t>
      </w:r>
      <w:r w:rsidR="006716B0" w:rsidRPr="00456BF6">
        <w:rPr>
          <w:color w:val="000000"/>
          <w:lang w:val="ru-RU"/>
        </w:rPr>
        <w:t xml:space="preserve"> </w:t>
      </w:r>
      <w:r w:rsidR="00193248" w:rsidRPr="00456BF6">
        <w:rPr>
          <w:color w:val="000000"/>
          <w:lang w:val="ru-RU"/>
        </w:rPr>
        <w:t xml:space="preserve">  </w:t>
      </w:r>
      <w:r w:rsidR="00C92EE1" w:rsidRPr="00456BF6">
        <w:rPr>
          <w:color w:val="000000"/>
          <w:lang w:val="ru-RU"/>
        </w:rPr>
        <w:t xml:space="preserve">  </w:t>
      </w:r>
    </w:p>
    <w:p w:rsidR="00CC26D2" w:rsidRPr="00456BF6" w:rsidRDefault="00CC26D2" w:rsidP="00CC26D2">
      <w:pPr>
        <w:pStyle w:val="ListParagraph"/>
        <w:widowControl w:val="0"/>
        <w:ind w:left="0"/>
        <w:rPr>
          <w:color w:val="000000"/>
          <w:lang w:val="ru-RU"/>
        </w:rPr>
      </w:pPr>
    </w:p>
    <w:p w:rsidR="00C92EE1" w:rsidRPr="00107AFA" w:rsidRDefault="00456BF6" w:rsidP="00C92EE1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Полномочие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ВОИС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вносить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поправки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свои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Положения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правила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персонале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также</w:t>
      </w:r>
      <w:r w:rsidRPr="00456BF6">
        <w:rPr>
          <w:color w:val="000000"/>
          <w:lang w:val="ru-RU"/>
        </w:rPr>
        <w:t xml:space="preserve"> </w:t>
      </w:r>
      <w:r w:rsidRPr="00456BF6">
        <w:rPr>
          <w:color w:val="000000"/>
          <w:u w:val="single"/>
          <w:lang w:val="ru-RU"/>
        </w:rPr>
        <w:t>четко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отражено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456B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положении</w:t>
      </w:r>
      <w:r w:rsidRPr="00456BF6">
        <w:rPr>
          <w:color w:val="000000"/>
          <w:lang w:val="ru-RU"/>
        </w:rPr>
        <w:t xml:space="preserve"> </w:t>
      </w:r>
      <w:r w:rsidR="00C92EE1" w:rsidRPr="00456BF6">
        <w:rPr>
          <w:color w:val="000000"/>
          <w:lang w:val="ru-RU"/>
        </w:rPr>
        <w:t>12.1(</w:t>
      </w:r>
      <w:r w:rsidR="00C92EE1" w:rsidRPr="00303BD0">
        <w:rPr>
          <w:color w:val="000000"/>
        </w:rPr>
        <w:t>a</w:t>
      </w:r>
      <w:r w:rsidR="00C92EE1" w:rsidRPr="00456BF6">
        <w:rPr>
          <w:color w:val="000000"/>
          <w:lang w:val="ru-RU"/>
        </w:rPr>
        <w:t xml:space="preserve">) </w:t>
      </w:r>
      <w:r w:rsidR="00322984" w:rsidRPr="00456BF6">
        <w:rPr>
          <w:color w:val="000000"/>
          <w:lang w:val="ru-RU"/>
        </w:rPr>
        <w:t>(</w:t>
      </w:r>
      <w:r>
        <w:rPr>
          <w:color w:val="000000"/>
          <w:lang w:val="ru-RU"/>
        </w:rPr>
        <w:t>касающемся поправок к Положениям</w:t>
      </w:r>
      <w:r w:rsidR="00322984" w:rsidRPr="00456BF6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и в положении</w:t>
      </w:r>
      <w:r w:rsidR="00322984" w:rsidRPr="00456BF6">
        <w:rPr>
          <w:color w:val="000000"/>
          <w:lang w:val="ru-RU"/>
        </w:rPr>
        <w:t xml:space="preserve"> </w:t>
      </w:r>
      <w:r w:rsidR="00C92EE1" w:rsidRPr="00456BF6">
        <w:rPr>
          <w:color w:val="000000"/>
          <w:lang w:val="ru-RU"/>
        </w:rPr>
        <w:t>12.2(</w:t>
      </w:r>
      <w:r w:rsidR="00C92EE1">
        <w:rPr>
          <w:color w:val="000000"/>
        </w:rPr>
        <w:t>a</w:t>
      </w:r>
      <w:r w:rsidR="00C92EE1" w:rsidRPr="00456BF6">
        <w:rPr>
          <w:color w:val="000000"/>
          <w:lang w:val="ru-RU"/>
        </w:rPr>
        <w:t>)</w:t>
      </w:r>
      <w:r w:rsidR="00322984" w:rsidRPr="00456BF6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касающемся поправок к Правилам</w:t>
      </w:r>
      <w:r w:rsidR="00322984" w:rsidRPr="00456BF6">
        <w:rPr>
          <w:color w:val="000000"/>
          <w:lang w:val="ru-RU"/>
        </w:rPr>
        <w:t>)</w:t>
      </w:r>
      <w:r w:rsidR="00C92EE1" w:rsidRPr="00456BF6">
        <w:rPr>
          <w:color w:val="000000"/>
          <w:lang w:val="ru-RU"/>
        </w:rPr>
        <w:t xml:space="preserve">.  </w:t>
      </w:r>
      <w:r w:rsidR="00107AFA">
        <w:rPr>
          <w:color w:val="000000"/>
          <w:lang w:val="ru-RU"/>
        </w:rPr>
        <w:t>Поскольку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право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получать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субсидию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на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образование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содержится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в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положении</w:t>
      </w:r>
      <w:r w:rsidR="00107AFA" w:rsidRPr="00107AFA">
        <w:rPr>
          <w:color w:val="000000"/>
          <w:lang w:val="ru-RU"/>
        </w:rPr>
        <w:t xml:space="preserve">, </w:t>
      </w:r>
      <w:r w:rsidR="00107AFA">
        <w:rPr>
          <w:color w:val="000000"/>
          <w:lang w:val="ru-RU"/>
        </w:rPr>
        <w:t>а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не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в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правила</w:t>
      </w:r>
      <w:r w:rsidR="00107AFA" w:rsidRPr="00107AFA">
        <w:rPr>
          <w:color w:val="000000"/>
          <w:lang w:val="ru-RU"/>
        </w:rPr>
        <w:t xml:space="preserve">, </w:t>
      </w:r>
      <w:r w:rsidR="00107AFA">
        <w:rPr>
          <w:color w:val="000000"/>
          <w:lang w:val="ru-RU"/>
        </w:rPr>
        <w:t>применимым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положением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является</w:t>
      </w:r>
      <w:r w:rsidR="00107AFA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пункт</w:t>
      </w:r>
      <w:r w:rsidR="00C92EE1" w:rsidRPr="00107AFA">
        <w:rPr>
          <w:color w:val="000000"/>
          <w:lang w:val="ru-RU"/>
        </w:rPr>
        <w:t xml:space="preserve"> (</w:t>
      </w:r>
      <w:r w:rsidR="00C92EE1">
        <w:rPr>
          <w:color w:val="000000"/>
        </w:rPr>
        <w:t>b</w:t>
      </w:r>
      <w:r w:rsidR="00C92EE1" w:rsidRPr="00107AFA">
        <w:rPr>
          <w:color w:val="000000"/>
          <w:lang w:val="ru-RU"/>
        </w:rPr>
        <w:t>)</w:t>
      </w:r>
      <w:r w:rsidR="003A3EA4" w:rsidRPr="00107AFA">
        <w:rPr>
          <w:color w:val="000000"/>
          <w:lang w:val="ru-RU"/>
        </w:rPr>
        <w:t xml:space="preserve"> </w:t>
      </w:r>
      <w:r w:rsidR="00107AFA">
        <w:rPr>
          <w:color w:val="000000"/>
          <w:lang w:val="ru-RU"/>
        </w:rPr>
        <w:t>положения</w:t>
      </w:r>
      <w:r w:rsidR="003A3EA4" w:rsidRPr="00107AFA">
        <w:rPr>
          <w:color w:val="000000"/>
          <w:lang w:val="ru-RU"/>
        </w:rPr>
        <w:t xml:space="preserve"> 12.1, </w:t>
      </w:r>
      <w:r w:rsidR="00107AFA">
        <w:rPr>
          <w:color w:val="000000"/>
          <w:lang w:val="ru-RU"/>
        </w:rPr>
        <w:t>который гласит следующее</w:t>
      </w:r>
      <w:r w:rsidR="00C92EE1" w:rsidRPr="00107AFA">
        <w:rPr>
          <w:color w:val="000000"/>
          <w:lang w:val="ru-RU"/>
        </w:rPr>
        <w:t>:</w:t>
      </w:r>
    </w:p>
    <w:p w:rsidR="00C92EE1" w:rsidRPr="00107AFA" w:rsidRDefault="00C92EE1" w:rsidP="00C92EE1">
      <w:pPr>
        <w:widowControl w:val="0"/>
        <w:rPr>
          <w:color w:val="000000"/>
          <w:lang w:val="ru-RU"/>
        </w:rPr>
      </w:pPr>
    </w:p>
    <w:p w:rsidR="00C92EE1" w:rsidRPr="00107AFA" w:rsidRDefault="00107AFA" w:rsidP="00C92EE1">
      <w:pPr>
        <w:widowControl w:val="0"/>
        <w:ind w:left="567"/>
        <w:rPr>
          <w:color w:val="000000"/>
          <w:lang w:val="ru-RU"/>
        </w:rPr>
      </w:pPr>
      <w:r w:rsidRPr="00107AFA">
        <w:rPr>
          <w:color w:val="000000"/>
          <w:lang w:val="ru-RU"/>
        </w:rPr>
        <w:t>«Поправки не должны наносить ущерба приобретенным правам сотрудников и ни одному условию службы, указанному в письме о назначении или контракте сотрудника</w:t>
      </w:r>
      <w:r w:rsidR="00C92EE1" w:rsidRPr="00107AFA">
        <w:rPr>
          <w:color w:val="000000"/>
          <w:lang w:val="ru-RU"/>
        </w:rPr>
        <w:t xml:space="preserve">.  </w:t>
      </w:r>
      <w:r w:rsidRPr="00107AFA">
        <w:rPr>
          <w:color w:val="000000"/>
          <w:lang w:val="ru-RU"/>
        </w:rPr>
        <w:t>Никакая поправка не влияет на применение к сотруднику требований действующих Положений о персонале вплоть до даты вступления этой поправки в силу; поправки не применяются ретроактивно, за исключением случаев, когда такое применение улучшило бы условия назначения сотрудников»</w:t>
      </w:r>
      <w:r w:rsidR="00C92EE1" w:rsidRPr="00107AFA">
        <w:rPr>
          <w:color w:val="000000"/>
          <w:lang w:val="ru-RU"/>
        </w:rPr>
        <w:t xml:space="preserve">.   </w:t>
      </w:r>
    </w:p>
    <w:p w:rsidR="003A3EA4" w:rsidRPr="00107AFA" w:rsidRDefault="003A3EA4" w:rsidP="003A3EA4">
      <w:pPr>
        <w:widowControl w:val="0"/>
        <w:rPr>
          <w:color w:val="000000"/>
          <w:lang w:val="ru-RU"/>
        </w:rPr>
      </w:pPr>
    </w:p>
    <w:p w:rsidR="009D74EF" w:rsidRPr="00107AFA" w:rsidRDefault="00107AFA" w:rsidP="002857A8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Приведенное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выше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положение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ясно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указывает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</w:t>
      </w:r>
      <w:r w:rsidRPr="00107AF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Положения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персонале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можно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вносить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поправки</w:t>
      </w:r>
      <w:r w:rsidRPr="00107AF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но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только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расчетом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будущее</w:t>
      </w:r>
      <w:r w:rsidRPr="00107AF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если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только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сотрудники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выиграют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внесения таких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поправок</w:t>
      </w:r>
      <w:r w:rsidR="003A3EA4" w:rsidRPr="00107AFA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в этом случае поправки могут также вноситься ретроактивно</w:t>
      </w:r>
      <w:r w:rsidR="003A3EA4" w:rsidRPr="00107AFA">
        <w:rPr>
          <w:color w:val="000000"/>
          <w:lang w:val="ru-RU"/>
        </w:rPr>
        <w:t xml:space="preserve">).  </w:t>
      </w:r>
      <w:r>
        <w:rPr>
          <w:color w:val="000000"/>
          <w:lang w:val="ru-RU"/>
        </w:rPr>
        <w:t>Более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того</w:t>
      </w:r>
      <w:r w:rsidR="003A3EA4" w:rsidRPr="00107AF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поправки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могут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иметь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своим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результатом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ущемление</w:t>
      </w:r>
      <w:r w:rsidRPr="00107AFA">
        <w:rPr>
          <w:color w:val="000000"/>
          <w:lang w:val="ru-RU"/>
        </w:rPr>
        <w:t xml:space="preserve"> «</w:t>
      </w:r>
      <w:r>
        <w:rPr>
          <w:color w:val="000000"/>
          <w:lang w:val="ru-RU"/>
        </w:rPr>
        <w:t>приобретенных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</w:t>
      </w:r>
      <w:r w:rsidRPr="00107AFA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сотрудников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изменение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их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условий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службы</w:t>
      </w:r>
      <w:r w:rsidRPr="00107AF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предусмотренных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107AF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их контракте о назначении</w:t>
      </w:r>
      <w:r w:rsidR="002857A8">
        <w:rPr>
          <w:rStyle w:val="FootnoteReference"/>
          <w:color w:val="000000"/>
        </w:rPr>
        <w:footnoteReference w:id="5"/>
      </w:r>
      <w:r>
        <w:rPr>
          <w:color w:val="000000"/>
          <w:lang w:val="ru-RU"/>
        </w:rPr>
        <w:t>.</w:t>
      </w:r>
      <w:r w:rsidR="002857A8" w:rsidRPr="00107AFA">
        <w:rPr>
          <w:color w:val="000000"/>
          <w:lang w:val="ru-RU"/>
        </w:rPr>
        <w:t xml:space="preserve">  </w:t>
      </w:r>
      <w:r w:rsidR="003A3EA4" w:rsidRPr="00107AFA">
        <w:rPr>
          <w:color w:val="000000"/>
          <w:lang w:val="ru-RU"/>
        </w:rPr>
        <w:t xml:space="preserve">   </w:t>
      </w:r>
      <w:r w:rsidR="00DD669B" w:rsidRPr="00107AFA">
        <w:rPr>
          <w:color w:val="000000"/>
          <w:lang w:val="ru-RU"/>
        </w:rPr>
        <w:t xml:space="preserve"> </w:t>
      </w:r>
      <w:r w:rsidR="00B40312" w:rsidRPr="00107AFA">
        <w:rPr>
          <w:color w:val="000000"/>
          <w:lang w:val="ru-RU"/>
        </w:rPr>
        <w:t xml:space="preserve"> </w:t>
      </w:r>
    </w:p>
    <w:p w:rsidR="009D74EF" w:rsidRPr="00107AFA" w:rsidRDefault="009D74EF" w:rsidP="009D74EF">
      <w:pPr>
        <w:pStyle w:val="ListParagraph"/>
        <w:widowControl w:val="0"/>
        <w:ind w:left="0"/>
        <w:rPr>
          <w:color w:val="000000"/>
          <w:lang w:val="ru-RU"/>
        </w:rPr>
      </w:pPr>
    </w:p>
    <w:p w:rsidR="00FF513B" w:rsidRPr="008C13A6" w:rsidRDefault="008C13A6" w:rsidP="001F03D9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Поскольку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ВОИС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попадает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юрисдикцию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АТМОТ</w:t>
      </w:r>
      <w:r w:rsidRPr="008C13A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был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проведен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анализ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его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судебной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практики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</w:t>
      </w:r>
      <w:r w:rsidR="001F03D9"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выяснения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того</w:t>
      </w:r>
      <w:r w:rsidRPr="008C13A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будет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отмена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субсидии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образование</w:t>
      </w:r>
      <w:r w:rsidRPr="008C13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представлять собой нарушение доктрины приобретенных прав</w:t>
      </w:r>
      <w:r w:rsidR="001F03D9" w:rsidRPr="008C13A6">
        <w:rPr>
          <w:color w:val="000000"/>
          <w:lang w:val="ru-RU"/>
        </w:rPr>
        <w:t>.</w:t>
      </w:r>
      <w:r w:rsidR="00D70D20" w:rsidRPr="008C13A6">
        <w:rPr>
          <w:color w:val="000000"/>
          <w:lang w:val="ru-RU"/>
        </w:rPr>
        <w:t xml:space="preserve">  </w:t>
      </w:r>
      <w:r w:rsidR="001F03D9" w:rsidRPr="008C13A6">
        <w:rPr>
          <w:color w:val="000000"/>
          <w:lang w:val="ru-RU"/>
        </w:rPr>
        <w:t xml:space="preserve">  </w:t>
      </w:r>
    </w:p>
    <w:p w:rsidR="004E38AA" w:rsidRPr="008C13A6" w:rsidRDefault="004E38AA" w:rsidP="00FF513B">
      <w:pPr>
        <w:pStyle w:val="ListParagraph"/>
        <w:rPr>
          <w:color w:val="000000"/>
          <w:lang w:val="ru-RU"/>
        </w:rPr>
      </w:pPr>
    </w:p>
    <w:p w:rsidR="004E38AA" w:rsidRPr="008C13A6" w:rsidRDefault="008C13A6" w:rsidP="004E38AA">
      <w:pPr>
        <w:pStyle w:val="ListParagraph"/>
        <w:ind w:left="567"/>
        <w:rPr>
          <w:color w:val="000000"/>
          <w:u w:val="single"/>
          <w:lang w:val="ru-RU"/>
        </w:rPr>
      </w:pPr>
      <w:r>
        <w:rPr>
          <w:color w:val="000000"/>
          <w:u w:val="single"/>
          <w:lang w:val="ru-RU"/>
        </w:rPr>
        <w:t>Что значит приобретенное право</w:t>
      </w:r>
    </w:p>
    <w:p w:rsidR="004E38AA" w:rsidRPr="003E240F" w:rsidRDefault="004E38AA" w:rsidP="00FF513B">
      <w:pPr>
        <w:pStyle w:val="ListParagraph"/>
        <w:rPr>
          <w:color w:val="000000"/>
        </w:rPr>
      </w:pPr>
    </w:p>
    <w:p w:rsidR="00F00DBC" w:rsidRPr="00B1333D" w:rsidRDefault="008C13A6" w:rsidP="003E240F">
      <w:pPr>
        <w:pStyle w:val="ListParagraph"/>
        <w:widowControl w:val="0"/>
        <w:numPr>
          <w:ilvl w:val="0"/>
          <w:numId w:val="9"/>
        </w:numPr>
        <w:ind w:left="0" w:firstLine="0"/>
        <w:rPr>
          <w:i/>
          <w:color w:val="000000"/>
          <w:lang w:val="ru-RU"/>
        </w:rPr>
      </w:pPr>
      <w:r>
        <w:rPr>
          <w:color w:val="000000"/>
          <w:lang w:val="ru-RU"/>
        </w:rPr>
        <w:t>Согласно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последовательному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прецедентному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праву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АТМОТ</w:t>
      </w:r>
      <w:r w:rsidRPr="00276685">
        <w:rPr>
          <w:color w:val="000000"/>
          <w:lang w:val="ru-RU"/>
        </w:rPr>
        <w:t>, «</w:t>
      </w:r>
      <w:r>
        <w:rPr>
          <w:color w:val="000000"/>
          <w:lang w:val="ru-RU"/>
        </w:rPr>
        <w:t>право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является</w:t>
      </w:r>
      <w:r w:rsidRPr="00276685">
        <w:rPr>
          <w:color w:val="000000"/>
          <w:lang w:val="ru-RU"/>
        </w:rPr>
        <w:t xml:space="preserve"> </w:t>
      </w:r>
      <w:r w:rsidR="003C4A88" w:rsidRPr="00276685">
        <w:rPr>
          <w:color w:val="000000"/>
          <w:lang w:val="ru-RU"/>
        </w:rPr>
        <w:t>“</w:t>
      </w:r>
      <w:r>
        <w:rPr>
          <w:color w:val="000000"/>
          <w:lang w:val="ru-RU"/>
        </w:rPr>
        <w:t>приобретенным</w:t>
      </w:r>
      <w:r w:rsidRPr="00276685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когда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кто</w:t>
      </w:r>
      <w:r w:rsidRPr="00276685">
        <w:rPr>
          <w:color w:val="000000"/>
          <w:lang w:val="ru-RU"/>
        </w:rPr>
        <w:t>-</w:t>
      </w:r>
      <w:r>
        <w:rPr>
          <w:color w:val="000000"/>
          <w:lang w:val="ru-RU"/>
        </w:rPr>
        <w:t>то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кто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обладает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может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вследствие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его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основополагающего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значения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баланса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обязанностей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которые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определяют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трудовые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отношения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требовать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чтобы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оно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соблюдалось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несмотря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любую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поправку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правилам</w:t>
      </w:r>
      <w:r w:rsidRPr="00276685">
        <w:rPr>
          <w:color w:val="000000"/>
          <w:lang w:val="ru-RU"/>
        </w:rPr>
        <w:t>»</w:t>
      </w:r>
      <w:r w:rsidR="004705B2" w:rsidRPr="003E240F">
        <w:rPr>
          <w:rStyle w:val="FootnoteReference"/>
          <w:color w:val="000000"/>
        </w:rPr>
        <w:footnoteReference w:id="6"/>
      </w:r>
      <w:r w:rsidRPr="00276685">
        <w:rPr>
          <w:color w:val="000000"/>
          <w:lang w:val="ru-RU"/>
        </w:rPr>
        <w:t>.</w:t>
      </w:r>
      <w:r w:rsidR="004705B2" w:rsidRPr="00276685">
        <w:rPr>
          <w:color w:val="000000"/>
          <w:lang w:val="ru-RU"/>
        </w:rPr>
        <w:t xml:space="preserve">  </w:t>
      </w:r>
      <w:r w:rsidR="00B1333D">
        <w:rPr>
          <w:color w:val="000000"/>
          <w:lang w:val="ru-RU"/>
        </w:rPr>
        <w:t>Приобретенное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право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может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быть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правом</w:t>
      </w:r>
      <w:r w:rsidR="00B1333D" w:rsidRPr="00B1333D">
        <w:rPr>
          <w:color w:val="000000"/>
          <w:lang w:val="ru-RU"/>
        </w:rPr>
        <w:t xml:space="preserve">, </w:t>
      </w:r>
      <w:r w:rsidR="00B1333D">
        <w:rPr>
          <w:color w:val="000000"/>
          <w:lang w:val="ru-RU"/>
        </w:rPr>
        <w:t>конкретно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указанным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в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контракте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назначении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сотрудника</w:t>
      </w:r>
      <w:r w:rsidR="00B1333D" w:rsidRPr="00B1333D">
        <w:rPr>
          <w:color w:val="000000"/>
          <w:lang w:val="ru-RU"/>
        </w:rPr>
        <w:t xml:space="preserve">, </w:t>
      </w:r>
      <w:r w:rsidR="00B1333D">
        <w:rPr>
          <w:color w:val="000000"/>
          <w:lang w:val="ru-RU"/>
        </w:rPr>
        <w:t>причем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обе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стороны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рассматривают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его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как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незыблемое</w:t>
      </w:r>
      <w:r w:rsidR="00D808B1" w:rsidRPr="00B1333D">
        <w:rPr>
          <w:color w:val="000000"/>
          <w:lang w:val="ru-RU"/>
        </w:rPr>
        <w:t xml:space="preserve">.  </w:t>
      </w:r>
      <w:r w:rsidR="00B1333D">
        <w:rPr>
          <w:color w:val="000000"/>
          <w:lang w:val="ru-RU"/>
        </w:rPr>
        <w:t>Что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более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актуально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в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данном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случае</w:t>
      </w:r>
      <w:r w:rsidR="00D808B1" w:rsidRPr="00B1333D">
        <w:rPr>
          <w:color w:val="000000"/>
          <w:lang w:val="ru-RU"/>
        </w:rPr>
        <w:t xml:space="preserve">, </w:t>
      </w:r>
      <w:r w:rsidR="00B1333D">
        <w:rPr>
          <w:color w:val="000000"/>
          <w:lang w:val="ru-RU"/>
        </w:rPr>
        <w:t>приобретенное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право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может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быть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правом</w:t>
      </w:r>
      <w:r w:rsidR="00B1333D" w:rsidRPr="00B1333D">
        <w:rPr>
          <w:color w:val="000000"/>
          <w:lang w:val="ru-RU"/>
        </w:rPr>
        <w:t xml:space="preserve">, </w:t>
      </w:r>
      <w:r w:rsidR="00B1333D">
        <w:rPr>
          <w:color w:val="000000"/>
          <w:lang w:val="ru-RU"/>
        </w:rPr>
        <w:t>предусмотренным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в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одном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из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пунктов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положений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персонале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организации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или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ее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правил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персонале</w:t>
      </w:r>
      <w:r w:rsidR="00A421C9" w:rsidRPr="00B1333D">
        <w:rPr>
          <w:color w:val="000000"/>
          <w:lang w:val="ru-RU"/>
        </w:rPr>
        <w:t xml:space="preserve">, </w:t>
      </w:r>
      <w:r w:rsidR="00B1333D">
        <w:rPr>
          <w:color w:val="000000"/>
          <w:lang w:val="ru-RU"/>
        </w:rPr>
        <w:t>которое имеет решающее значение для принятия назначения или для того, чтобы остаться на службе</w:t>
      </w:r>
      <w:r w:rsidR="00A421C9" w:rsidRPr="00B1333D">
        <w:rPr>
          <w:color w:val="000000"/>
          <w:lang w:val="ru-RU"/>
        </w:rPr>
        <w:t>.</w:t>
      </w:r>
      <w:r w:rsidR="00F00DBC" w:rsidRPr="00B1333D">
        <w:rPr>
          <w:color w:val="000000"/>
          <w:lang w:val="ru-RU"/>
        </w:rPr>
        <w:t xml:space="preserve">  </w:t>
      </w:r>
      <w:r w:rsidR="00B1333D">
        <w:rPr>
          <w:color w:val="000000"/>
          <w:lang w:val="ru-RU"/>
        </w:rPr>
        <w:t>Иными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словами</w:t>
      </w:r>
      <w:r w:rsidR="003E240F" w:rsidRPr="00B1333D">
        <w:rPr>
          <w:color w:val="000000"/>
          <w:lang w:val="ru-RU"/>
        </w:rPr>
        <w:t xml:space="preserve">, </w:t>
      </w:r>
      <w:r w:rsidR="00B1333D">
        <w:rPr>
          <w:color w:val="000000"/>
          <w:lang w:val="ru-RU"/>
        </w:rPr>
        <w:t>чтобы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шла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речь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нарушении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приобретенного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права</w:t>
      </w:r>
      <w:r w:rsidR="00B1333D" w:rsidRPr="00B1333D">
        <w:rPr>
          <w:color w:val="000000"/>
          <w:lang w:val="ru-RU"/>
        </w:rPr>
        <w:t xml:space="preserve">, </w:t>
      </w:r>
      <w:r w:rsidR="00B1333D">
        <w:rPr>
          <w:color w:val="000000"/>
          <w:lang w:val="ru-RU"/>
        </w:rPr>
        <w:t>поправка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к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условиям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службы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должна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иметь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отношение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к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какому</w:t>
      </w:r>
      <w:r w:rsidR="00B1333D" w:rsidRPr="00B1333D">
        <w:rPr>
          <w:color w:val="000000"/>
          <w:lang w:val="ru-RU"/>
        </w:rPr>
        <w:t>-</w:t>
      </w:r>
      <w:r w:rsidR="00B1333D">
        <w:rPr>
          <w:color w:val="000000"/>
          <w:lang w:val="ru-RU"/>
        </w:rPr>
        <w:t>то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основополагающему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или</w:t>
      </w:r>
      <w:r w:rsidR="00B1333D" w:rsidRPr="00B1333D">
        <w:rPr>
          <w:color w:val="000000"/>
          <w:lang w:val="ru-RU"/>
        </w:rPr>
        <w:t xml:space="preserve"> </w:t>
      </w:r>
      <w:r w:rsidR="00B1333D">
        <w:rPr>
          <w:color w:val="000000"/>
          <w:lang w:val="ru-RU"/>
        </w:rPr>
        <w:t>крайне важному условию занятости</w:t>
      </w:r>
      <w:r w:rsidR="001F03D9" w:rsidRPr="00131D15">
        <w:rPr>
          <w:rStyle w:val="FootnoteReference"/>
          <w:color w:val="000000"/>
        </w:rPr>
        <w:footnoteReference w:id="7"/>
      </w:r>
      <w:r w:rsidR="00B1333D">
        <w:rPr>
          <w:color w:val="000000"/>
          <w:lang w:val="ru-RU"/>
        </w:rPr>
        <w:t>.</w:t>
      </w:r>
      <w:r w:rsidR="00F00DBC" w:rsidRPr="00B1333D">
        <w:rPr>
          <w:color w:val="000000"/>
          <w:lang w:val="ru-RU"/>
        </w:rPr>
        <w:t xml:space="preserve">  </w:t>
      </w:r>
    </w:p>
    <w:p w:rsidR="00E237DF" w:rsidRPr="00E24277" w:rsidRDefault="00E24277" w:rsidP="00E237DF">
      <w:pPr>
        <w:widowControl w:val="0"/>
        <w:ind w:left="567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lastRenderedPageBreak/>
        <w:t>Уменьшение в сопоставлении с отменой надбавки</w:t>
      </w:r>
    </w:p>
    <w:p w:rsidR="00E237DF" w:rsidRPr="00E24277" w:rsidRDefault="00E237DF" w:rsidP="001F03D9">
      <w:pPr>
        <w:widowControl w:val="0"/>
        <w:rPr>
          <w:color w:val="000000"/>
          <w:lang w:val="ru-RU"/>
        </w:rPr>
      </w:pPr>
    </w:p>
    <w:p w:rsidR="00CE0964" w:rsidRDefault="00E24277" w:rsidP="001F03D9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</w:rPr>
      </w:pPr>
      <w:r>
        <w:rPr>
          <w:color w:val="000000"/>
          <w:lang w:val="ru-RU"/>
        </w:rPr>
        <w:t>В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своей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судебной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практике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АТМОТ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проводит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различие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между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уменьшением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предусмотренной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нормативно-правовыми актами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надбавки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выплаты</w:t>
      </w:r>
      <w:r w:rsidRPr="00E2427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одной</w:t>
      </w:r>
      <w:r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стороны</w:t>
      </w:r>
      <w:r w:rsidRPr="00E24277">
        <w:rPr>
          <w:color w:val="000000"/>
          <w:lang w:val="ru-RU"/>
        </w:rPr>
        <w:t>,</w:t>
      </w:r>
      <w:r w:rsidR="00CD0260" w:rsidRPr="00E242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 ее полной отменой, с другой</w:t>
      </w:r>
      <w:r w:rsidR="00287ECD" w:rsidRPr="00E24277">
        <w:rPr>
          <w:color w:val="000000"/>
          <w:lang w:val="ru-RU"/>
        </w:rPr>
        <w:t xml:space="preserve">.  </w:t>
      </w:r>
      <w:r w:rsidR="00E70498">
        <w:rPr>
          <w:color w:val="000000"/>
          <w:lang w:val="ru-RU"/>
        </w:rPr>
        <w:t>Говоря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в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общем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плане</w:t>
      </w:r>
      <w:r w:rsidR="00287ECD" w:rsidRPr="00E70498">
        <w:rPr>
          <w:color w:val="000000"/>
          <w:lang w:val="ru-RU"/>
        </w:rPr>
        <w:t xml:space="preserve">, </w:t>
      </w:r>
      <w:r w:rsidR="00E70498">
        <w:rPr>
          <w:color w:val="000000"/>
          <w:lang w:val="ru-RU"/>
        </w:rPr>
        <w:t>уменьшения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пособий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и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льгот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являются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допустимыми</w:t>
      </w:r>
      <w:r w:rsidR="00E70498" w:rsidRPr="00E70498">
        <w:rPr>
          <w:color w:val="000000"/>
          <w:lang w:val="ru-RU"/>
        </w:rPr>
        <w:t xml:space="preserve">, </w:t>
      </w:r>
      <w:r w:rsidR="00E70498">
        <w:rPr>
          <w:color w:val="000000"/>
          <w:lang w:val="ru-RU"/>
        </w:rPr>
        <w:t>чего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нельзя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сказать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о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полном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прекращении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того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или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иного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пособия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либо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той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или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иной</w:t>
      </w:r>
      <w:r w:rsidR="00E70498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льготы</w:t>
      </w:r>
      <w:r w:rsidR="001C4845" w:rsidRPr="00E70498">
        <w:rPr>
          <w:color w:val="000000"/>
          <w:lang w:val="ru-RU"/>
        </w:rPr>
        <w:t xml:space="preserve"> </w:t>
      </w:r>
      <w:r w:rsidR="00E70498">
        <w:rPr>
          <w:color w:val="000000"/>
          <w:lang w:val="ru-RU"/>
        </w:rPr>
        <w:t>вследствие несоблюдения доктрины приобретенных прав</w:t>
      </w:r>
      <w:r w:rsidR="001C4845">
        <w:rPr>
          <w:rStyle w:val="FootnoteReference"/>
          <w:color w:val="000000"/>
        </w:rPr>
        <w:footnoteReference w:id="8"/>
      </w:r>
      <w:r w:rsidR="00E70498">
        <w:rPr>
          <w:color w:val="000000"/>
          <w:lang w:val="ru-RU"/>
        </w:rPr>
        <w:t>.</w:t>
      </w:r>
      <w:r w:rsidR="001C4845" w:rsidRPr="00E70498">
        <w:rPr>
          <w:color w:val="000000"/>
          <w:lang w:val="ru-RU"/>
        </w:rPr>
        <w:t xml:space="preserve">  </w:t>
      </w:r>
      <w:r w:rsidR="00E70498">
        <w:rPr>
          <w:color w:val="000000"/>
          <w:lang w:val="ru-RU"/>
        </w:rPr>
        <w:t>Вот</w:t>
      </w:r>
      <w:r w:rsidR="00E70498" w:rsidRPr="00E70498">
        <w:rPr>
          <w:color w:val="000000"/>
        </w:rPr>
        <w:t xml:space="preserve"> </w:t>
      </w:r>
      <w:r w:rsidR="00E70498">
        <w:rPr>
          <w:color w:val="000000"/>
          <w:lang w:val="ru-RU"/>
        </w:rPr>
        <w:t>как</w:t>
      </w:r>
      <w:r w:rsidR="00E70498" w:rsidRPr="00E70498">
        <w:rPr>
          <w:color w:val="000000"/>
        </w:rPr>
        <w:t xml:space="preserve"> </w:t>
      </w:r>
      <w:r w:rsidR="00E70498">
        <w:rPr>
          <w:color w:val="000000"/>
          <w:lang w:val="ru-RU"/>
        </w:rPr>
        <w:t>АТМОТ</w:t>
      </w:r>
      <w:r w:rsidR="00E70498" w:rsidRPr="00E70498">
        <w:rPr>
          <w:color w:val="000000"/>
        </w:rPr>
        <w:t xml:space="preserve"> </w:t>
      </w:r>
      <w:r w:rsidR="00E70498">
        <w:rPr>
          <w:color w:val="000000"/>
          <w:lang w:val="ru-RU"/>
        </w:rPr>
        <w:t>изложил</w:t>
      </w:r>
      <w:r w:rsidR="00E70498" w:rsidRPr="00E70498">
        <w:rPr>
          <w:color w:val="000000"/>
        </w:rPr>
        <w:t xml:space="preserve"> </w:t>
      </w:r>
      <w:r w:rsidR="00E70498">
        <w:rPr>
          <w:color w:val="000000"/>
          <w:lang w:val="ru-RU"/>
        </w:rPr>
        <w:t>этот</w:t>
      </w:r>
      <w:r w:rsidR="00E70498" w:rsidRPr="00E70498">
        <w:rPr>
          <w:color w:val="000000"/>
        </w:rPr>
        <w:t xml:space="preserve"> </w:t>
      </w:r>
      <w:r w:rsidR="00E70498">
        <w:rPr>
          <w:color w:val="000000"/>
          <w:lang w:val="ru-RU"/>
        </w:rPr>
        <w:t>вопрос</w:t>
      </w:r>
      <w:r w:rsidR="00CE0964" w:rsidRPr="00E70498">
        <w:rPr>
          <w:color w:val="000000"/>
        </w:rPr>
        <w:t>:</w:t>
      </w:r>
      <w:r w:rsidR="00CD0260" w:rsidRPr="00E70498">
        <w:rPr>
          <w:color w:val="000000"/>
        </w:rPr>
        <w:t xml:space="preserve">   </w:t>
      </w:r>
    </w:p>
    <w:p w:rsidR="00B41CCF" w:rsidRPr="00E70498" w:rsidRDefault="00B41CCF" w:rsidP="00B41CCF">
      <w:pPr>
        <w:pStyle w:val="ListParagraph"/>
        <w:widowControl w:val="0"/>
        <w:ind w:left="0"/>
        <w:rPr>
          <w:color w:val="000000"/>
        </w:rPr>
      </w:pPr>
    </w:p>
    <w:p w:rsidR="00CD0260" w:rsidRPr="00C9476B" w:rsidRDefault="00E70498" w:rsidP="001F03D9">
      <w:pPr>
        <w:widowControl w:val="0"/>
        <w:autoSpaceDE w:val="0"/>
        <w:autoSpaceDN w:val="0"/>
        <w:adjustRightInd w:val="0"/>
        <w:ind w:left="567"/>
        <w:rPr>
          <w:color w:val="000000"/>
          <w:szCs w:val="22"/>
          <w:lang w:val="ru-RU"/>
        </w:rPr>
      </w:pPr>
      <w:r w:rsidRPr="00127AF7">
        <w:rPr>
          <w:rFonts w:eastAsia="Times New Roman"/>
          <w:szCs w:val="22"/>
          <w:lang w:val="ru-RU"/>
        </w:rPr>
        <w:t>«</w:t>
      </w:r>
      <w:r>
        <w:rPr>
          <w:rFonts w:eastAsia="Times New Roman"/>
          <w:szCs w:val="22"/>
          <w:lang w:val="ru-RU"/>
        </w:rPr>
        <w:t>Совершено</w:t>
      </w:r>
      <w:r w:rsidRPr="00127AF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ясно</w:t>
      </w:r>
      <w:r w:rsidRPr="00127AF7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что</w:t>
      </w:r>
      <w:r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надбавки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на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экспатриацию</w:t>
      </w:r>
      <w:r w:rsidR="00127AF7" w:rsidRPr="00127AF7">
        <w:rPr>
          <w:rFonts w:eastAsia="Times New Roman"/>
          <w:szCs w:val="22"/>
          <w:lang w:val="ru-RU"/>
        </w:rPr>
        <w:t xml:space="preserve">, </w:t>
      </w:r>
      <w:r w:rsidR="00127AF7">
        <w:rPr>
          <w:rFonts w:eastAsia="Times New Roman"/>
          <w:szCs w:val="22"/>
          <w:lang w:val="ru-RU"/>
        </w:rPr>
        <w:t>образование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и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оплату отпуска представляют собой важные вопросы для кого-то, кто вступает в ряды сотрудников той или иной организации</w:t>
      </w:r>
      <w:r w:rsidR="00CE0964" w:rsidRPr="00127AF7">
        <w:rPr>
          <w:rFonts w:eastAsia="Times New Roman"/>
          <w:szCs w:val="22"/>
          <w:lang w:val="ru-RU"/>
        </w:rPr>
        <w:t xml:space="preserve">.  </w:t>
      </w:r>
      <w:r w:rsidR="00127AF7">
        <w:rPr>
          <w:rFonts w:eastAsia="Times New Roman"/>
          <w:szCs w:val="22"/>
          <w:lang w:val="ru-RU"/>
        </w:rPr>
        <w:t>В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этой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связи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возникает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вопрос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о</w:t>
      </w:r>
      <w:r w:rsidR="00127AF7" w:rsidRPr="00127AF7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том, не будет ли полная отмена таких надбавок нарушать приобретенное право</w:t>
      </w:r>
      <w:r w:rsidR="00CE0964" w:rsidRPr="00127AF7">
        <w:rPr>
          <w:rFonts w:eastAsia="Times New Roman"/>
          <w:szCs w:val="22"/>
          <w:lang w:val="ru-RU"/>
        </w:rPr>
        <w:t xml:space="preserve">.  </w:t>
      </w:r>
      <w:r w:rsidR="00127AF7">
        <w:rPr>
          <w:rFonts w:eastAsia="Times New Roman"/>
          <w:szCs w:val="22"/>
          <w:lang w:val="ru-RU"/>
        </w:rPr>
        <w:t>Вместе с тем нет никакого приобретенного права на сумму таких надбавок и на условия их выплаты</w:t>
      </w:r>
      <w:r w:rsidR="00CE0964" w:rsidRPr="00127AF7">
        <w:rPr>
          <w:rFonts w:eastAsia="Times New Roman"/>
          <w:szCs w:val="22"/>
          <w:lang w:val="ru-RU"/>
        </w:rPr>
        <w:t xml:space="preserve">. </w:t>
      </w:r>
      <w:r w:rsidR="00127AF7">
        <w:rPr>
          <w:rFonts w:eastAsia="Times New Roman"/>
          <w:szCs w:val="22"/>
          <w:lang w:val="ru-RU"/>
        </w:rPr>
        <w:t>По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сути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дела</w:t>
      </w:r>
      <w:r w:rsidR="00127AF7" w:rsidRPr="00C9476B">
        <w:rPr>
          <w:rFonts w:eastAsia="Times New Roman"/>
          <w:szCs w:val="22"/>
          <w:lang w:val="ru-RU"/>
        </w:rPr>
        <w:t xml:space="preserve">, </w:t>
      </w:r>
      <w:r w:rsidR="00127AF7">
        <w:rPr>
          <w:rFonts w:eastAsia="Times New Roman"/>
          <w:szCs w:val="22"/>
          <w:lang w:val="ru-RU"/>
        </w:rPr>
        <w:t>сотруднику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следует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ожидать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поправок</w:t>
      </w:r>
      <w:r w:rsidR="00127AF7" w:rsidRPr="00C9476B">
        <w:rPr>
          <w:rFonts w:eastAsia="Times New Roman"/>
          <w:szCs w:val="22"/>
          <w:lang w:val="ru-RU"/>
        </w:rPr>
        <w:t xml:space="preserve">, </w:t>
      </w:r>
      <w:r w:rsidR="00127AF7">
        <w:rPr>
          <w:rFonts w:eastAsia="Times New Roman"/>
          <w:szCs w:val="22"/>
          <w:lang w:val="ru-RU"/>
        </w:rPr>
        <w:t>вызванных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изменениями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в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обстоятельствах</w:t>
      </w:r>
      <w:r w:rsidR="00127AF7" w:rsidRPr="00C9476B">
        <w:rPr>
          <w:rFonts w:eastAsia="Times New Roman"/>
          <w:szCs w:val="22"/>
          <w:lang w:val="ru-RU"/>
        </w:rPr>
        <w:t xml:space="preserve">, </w:t>
      </w:r>
      <w:r w:rsidR="00127AF7">
        <w:rPr>
          <w:rFonts w:eastAsia="Times New Roman"/>
          <w:szCs w:val="22"/>
          <w:lang w:val="ru-RU"/>
        </w:rPr>
        <w:t>если</w:t>
      </w:r>
      <w:r w:rsidR="00127AF7" w:rsidRPr="00C9476B">
        <w:rPr>
          <w:rFonts w:eastAsia="Times New Roman"/>
          <w:szCs w:val="22"/>
          <w:lang w:val="ru-RU"/>
        </w:rPr>
        <w:t xml:space="preserve">, </w:t>
      </w:r>
      <w:r w:rsidR="00127AF7">
        <w:rPr>
          <w:rFonts w:eastAsia="Times New Roman"/>
          <w:szCs w:val="22"/>
          <w:lang w:val="ru-RU"/>
        </w:rPr>
        <w:t>например</w:t>
      </w:r>
      <w:r w:rsidR="00127AF7" w:rsidRPr="00C9476B">
        <w:rPr>
          <w:rFonts w:eastAsia="Times New Roman"/>
          <w:szCs w:val="22"/>
          <w:lang w:val="ru-RU"/>
        </w:rPr>
        <w:t xml:space="preserve">, </w:t>
      </w:r>
      <w:r w:rsidR="00127AF7">
        <w:rPr>
          <w:rFonts w:eastAsia="Times New Roman"/>
          <w:szCs w:val="22"/>
          <w:lang w:val="ru-RU"/>
        </w:rPr>
        <w:t>стоимость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127AF7">
        <w:rPr>
          <w:rFonts w:eastAsia="Times New Roman"/>
          <w:szCs w:val="22"/>
          <w:lang w:val="ru-RU"/>
        </w:rPr>
        <w:t>жизни</w:t>
      </w:r>
      <w:r w:rsidR="00127AF7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растет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или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падает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либо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если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организация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изменяет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свою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структуру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или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даже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сталкивается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с</w:t>
      </w:r>
      <w:r w:rsidR="00C9476B" w:rsidRPr="00C9476B">
        <w:rPr>
          <w:rFonts w:eastAsia="Times New Roman"/>
          <w:szCs w:val="22"/>
          <w:lang w:val="ru-RU"/>
        </w:rPr>
        <w:t xml:space="preserve"> </w:t>
      </w:r>
      <w:r w:rsidR="00C9476B">
        <w:rPr>
          <w:rFonts w:eastAsia="Times New Roman"/>
          <w:szCs w:val="22"/>
          <w:lang w:val="ru-RU"/>
        </w:rPr>
        <w:t>финансовыми трудностями»</w:t>
      </w:r>
      <w:r w:rsidR="00CE0964">
        <w:rPr>
          <w:rStyle w:val="FootnoteReference"/>
          <w:rFonts w:eastAsia="Times New Roman"/>
          <w:szCs w:val="22"/>
        </w:rPr>
        <w:footnoteReference w:id="9"/>
      </w:r>
      <w:r w:rsidR="00C9476B">
        <w:rPr>
          <w:rFonts w:eastAsia="Times New Roman"/>
          <w:szCs w:val="22"/>
          <w:lang w:val="ru-RU"/>
        </w:rPr>
        <w:t>.</w:t>
      </w:r>
      <w:r w:rsidR="00CD0260" w:rsidRPr="00C9476B">
        <w:rPr>
          <w:color w:val="000000"/>
          <w:szCs w:val="22"/>
          <w:lang w:val="ru-RU"/>
        </w:rPr>
        <w:t xml:space="preserve">    </w:t>
      </w:r>
      <w:r w:rsidR="004C3EE8" w:rsidRPr="00C9476B">
        <w:rPr>
          <w:color w:val="000000"/>
          <w:szCs w:val="22"/>
          <w:lang w:val="ru-RU"/>
        </w:rPr>
        <w:t xml:space="preserve"> </w:t>
      </w:r>
    </w:p>
    <w:p w:rsidR="00CD0260" w:rsidRPr="00C9476B" w:rsidRDefault="00CD0260" w:rsidP="00CD0260">
      <w:pPr>
        <w:pStyle w:val="ListParagraph"/>
        <w:rPr>
          <w:color w:val="000000"/>
          <w:lang w:val="ru-RU"/>
        </w:rPr>
      </w:pPr>
    </w:p>
    <w:p w:rsidR="00F24FB8" w:rsidRPr="00C9476B" w:rsidRDefault="00C9476B" w:rsidP="00F24FB8">
      <w:pPr>
        <w:pStyle w:val="ListParagraph"/>
        <w:ind w:left="567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Приобретенное</w:t>
      </w:r>
      <w:r w:rsidRPr="00C9476B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право</w:t>
      </w:r>
      <w:r w:rsidRPr="00C9476B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на</w:t>
      </w:r>
      <w:r w:rsidRPr="00C9476B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получение</w:t>
      </w:r>
      <w:r w:rsidRPr="00C9476B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определенных надбавок, включая субсидию на образование</w:t>
      </w:r>
      <w:r w:rsidR="0068541C" w:rsidRPr="00C9476B">
        <w:rPr>
          <w:i/>
          <w:color w:val="000000"/>
          <w:lang w:val="ru-RU"/>
        </w:rPr>
        <w:t xml:space="preserve"> </w:t>
      </w:r>
    </w:p>
    <w:p w:rsidR="00F24FB8" w:rsidRPr="00C9476B" w:rsidRDefault="00F24FB8" w:rsidP="00F24FB8">
      <w:pPr>
        <w:pStyle w:val="ListParagraph"/>
        <w:ind w:left="567"/>
        <w:rPr>
          <w:i/>
          <w:color w:val="000000"/>
          <w:lang w:val="ru-RU"/>
        </w:rPr>
      </w:pPr>
    </w:p>
    <w:p w:rsidR="00900446" w:rsidRPr="009B4427" w:rsidRDefault="00C9476B" w:rsidP="001D7BF2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Права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C9476B">
        <w:rPr>
          <w:color w:val="000000"/>
          <w:lang w:val="ru-RU"/>
        </w:rPr>
        <w:t xml:space="preserve"> «</w:t>
      </w:r>
      <w:r>
        <w:rPr>
          <w:color w:val="000000"/>
          <w:lang w:val="ru-RU"/>
        </w:rPr>
        <w:t>у</w:t>
      </w:r>
      <w:r w:rsidR="00D64EAA">
        <w:rPr>
          <w:color w:val="000000"/>
          <w:lang w:val="ru-RU"/>
        </w:rPr>
        <w:t>стоя</w:t>
      </w:r>
      <w:r>
        <w:rPr>
          <w:color w:val="000000"/>
          <w:lang w:val="ru-RU"/>
        </w:rPr>
        <w:t>вшиеся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надбавки</w:t>
      </w:r>
      <w:r w:rsidRPr="00C9476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такие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как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надбавки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иждивенцев</w:t>
      </w:r>
      <w:r w:rsidRPr="00C9476B">
        <w:rPr>
          <w:color w:val="000000"/>
          <w:lang w:val="ru-RU"/>
        </w:rPr>
        <w:t>»</w:t>
      </w:r>
      <w:r w:rsidR="0042392C">
        <w:rPr>
          <w:rStyle w:val="FootnoteReference"/>
          <w:color w:val="000000"/>
        </w:rPr>
        <w:footnoteReference w:id="10"/>
      </w:r>
      <w:r>
        <w:rPr>
          <w:color w:val="000000"/>
          <w:lang w:val="ru-RU"/>
        </w:rPr>
        <w:t>,</w:t>
      </w:r>
      <w:r w:rsidR="00D66732"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 право на пенсию</w:t>
      </w:r>
      <w:r w:rsidR="0042392C">
        <w:rPr>
          <w:rStyle w:val="FootnoteReference"/>
          <w:color w:val="000000"/>
        </w:rPr>
        <w:footnoteReference w:id="11"/>
      </w:r>
      <w:r w:rsidR="00D66732"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признаны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АТМОТ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качестве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основополагающих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необходимых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условий</w:t>
      </w:r>
      <w:r w:rsidRPr="00C947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найма, вследствие чего они квалифицируются как приобретенное право</w:t>
      </w:r>
      <w:r w:rsidR="00EC7426" w:rsidRPr="00C9476B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Более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того</w:t>
      </w:r>
      <w:r w:rsidR="0068541C" w:rsidRPr="009B442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АТМОТ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четко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заявил</w:t>
      </w:r>
      <w:r w:rsidRPr="009B442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отмена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права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возмещение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путевых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расходов</w:t>
      </w:r>
      <w:r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в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связи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с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отпуском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на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родину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является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нарушением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приобретенного права</w:t>
      </w:r>
      <w:r w:rsidR="00EC7426">
        <w:rPr>
          <w:rStyle w:val="FootnoteReference"/>
          <w:color w:val="000000"/>
        </w:rPr>
        <w:footnoteReference w:id="12"/>
      </w:r>
      <w:r w:rsidR="009B4427">
        <w:rPr>
          <w:color w:val="000000"/>
          <w:lang w:val="ru-RU"/>
        </w:rPr>
        <w:t>.</w:t>
      </w:r>
      <w:r w:rsidR="00D574DD" w:rsidRPr="009B4427">
        <w:rPr>
          <w:color w:val="000000"/>
          <w:lang w:val="ru-RU"/>
        </w:rPr>
        <w:t xml:space="preserve">  </w:t>
      </w:r>
      <w:r w:rsidR="009B4427">
        <w:rPr>
          <w:color w:val="000000"/>
          <w:lang w:val="ru-RU"/>
        </w:rPr>
        <w:t>Аналогичным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образом</w:t>
      </w:r>
      <w:r w:rsidR="00D574DD" w:rsidRPr="009B4427">
        <w:rPr>
          <w:color w:val="000000"/>
          <w:lang w:val="ru-RU"/>
        </w:rPr>
        <w:t>,</w:t>
      </w:r>
      <w:r w:rsidR="001E159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что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еще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более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важно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для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нынешних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целей</w:t>
      </w:r>
      <w:r w:rsidR="009B4427" w:rsidRPr="009B4427">
        <w:rPr>
          <w:color w:val="000000"/>
          <w:lang w:val="ru-RU"/>
        </w:rPr>
        <w:t xml:space="preserve">, </w:t>
      </w:r>
      <w:r w:rsidR="009B4427">
        <w:rPr>
          <w:color w:val="000000"/>
          <w:lang w:val="ru-RU"/>
        </w:rPr>
        <w:t>право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сотрудников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на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субсидию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на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образование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было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квалифицировано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как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приобретенное</w:t>
      </w:r>
      <w:r w:rsidR="009B442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право</w:t>
      </w:r>
      <w:r w:rsidR="001E1597">
        <w:rPr>
          <w:rStyle w:val="FootnoteReference"/>
          <w:color w:val="000000"/>
        </w:rPr>
        <w:footnoteReference w:id="13"/>
      </w:r>
      <w:r w:rsidR="009B4427">
        <w:rPr>
          <w:color w:val="000000"/>
          <w:lang w:val="ru-RU"/>
        </w:rPr>
        <w:t>,</w:t>
      </w:r>
      <w:r w:rsidR="001E1597" w:rsidRPr="009B4427">
        <w:rPr>
          <w:color w:val="000000"/>
          <w:lang w:val="ru-RU"/>
        </w:rPr>
        <w:t xml:space="preserve"> </w:t>
      </w:r>
      <w:r w:rsidR="009B4427">
        <w:rPr>
          <w:color w:val="000000"/>
          <w:lang w:val="ru-RU"/>
        </w:rPr>
        <w:t>отмена которого будет рассматриваться как нарушение доктрины приобретенных прав и, соответственно, как незаконная</w:t>
      </w:r>
      <w:r w:rsidR="001E1597" w:rsidRPr="009B4427">
        <w:rPr>
          <w:color w:val="000000"/>
          <w:lang w:val="ru-RU"/>
        </w:rPr>
        <w:t>.</w:t>
      </w:r>
    </w:p>
    <w:p w:rsidR="00580BF0" w:rsidRPr="009B4427" w:rsidRDefault="00580BF0" w:rsidP="00580BF0">
      <w:pPr>
        <w:pStyle w:val="ListParagraph"/>
        <w:widowControl w:val="0"/>
        <w:ind w:left="0"/>
        <w:rPr>
          <w:color w:val="000000"/>
          <w:lang w:val="ru-RU"/>
        </w:rPr>
      </w:pPr>
    </w:p>
    <w:p w:rsidR="00900446" w:rsidRPr="009B4427" w:rsidRDefault="009B4427" w:rsidP="001D7BF2">
      <w:pPr>
        <w:pStyle w:val="ListParagraph"/>
        <w:widowControl w:val="0"/>
        <w:numPr>
          <w:ilvl w:val="0"/>
          <w:numId w:val="17"/>
        </w:numPr>
        <w:ind w:left="567" w:hanging="567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ПОЛОЖЕНИЕ ФРАНЦУЗСКИХ СОТРУДНИКОВ, ПРОЖИВАЮЩИХ ВО ФРАНЦИИ</w:t>
      </w:r>
    </w:p>
    <w:p w:rsidR="00D66732" w:rsidRPr="009B4427" w:rsidRDefault="0068541C" w:rsidP="001D7BF2">
      <w:pPr>
        <w:pStyle w:val="ListParagraph"/>
        <w:widowControl w:val="0"/>
        <w:ind w:left="0"/>
        <w:rPr>
          <w:color w:val="000000"/>
          <w:lang w:val="ru-RU"/>
        </w:rPr>
      </w:pPr>
      <w:r w:rsidRPr="009B4427">
        <w:rPr>
          <w:color w:val="000000"/>
          <w:lang w:val="ru-RU"/>
        </w:rPr>
        <w:t xml:space="preserve"> </w:t>
      </w:r>
    </w:p>
    <w:p w:rsidR="00972DC1" w:rsidRPr="00642640" w:rsidRDefault="009B4427" w:rsidP="001D7BF2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Некоторые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французские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сотрудники</w:t>
      </w:r>
      <w:r w:rsidRPr="009B442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проживающие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Франции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набранные</w:t>
      </w:r>
      <w:r w:rsidRPr="009B44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</w:t>
      </w:r>
      <w:r w:rsidRPr="009B4427">
        <w:rPr>
          <w:color w:val="000000"/>
          <w:lang w:val="ru-RU"/>
        </w:rPr>
        <w:t xml:space="preserve"> 1 </w:t>
      </w:r>
      <w:r>
        <w:rPr>
          <w:color w:val="000000"/>
          <w:lang w:val="ru-RU"/>
        </w:rPr>
        <w:t>января</w:t>
      </w:r>
      <w:r w:rsidRPr="009B4427">
        <w:rPr>
          <w:color w:val="000000"/>
          <w:lang w:val="ru-RU"/>
        </w:rPr>
        <w:t xml:space="preserve"> 2016 </w:t>
      </w:r>
      <w:r>
        <w:rPr>
          <w:color w:val="000000"/>
          <w:lang w:val="ru-RU"/>
        </w:rPr>
        <w:t>г</w:t>
      </w:r>
      <w:r w:rsidRPr="009B4427">
        <w:rPr>
          <w:color w:val="000000"/>
          <w:lang w:val="ru-RU"/>
        </w:rPr>
        <w:t xml:space="preserve">., </w:t>
      </w:r>
      <w:r>
        <w:rPr>
          <w:color w:val="000000"/>
          <w:lang w:val="ru-RU"/>
        </w:rPr>
        <w:t xml:space="preserve">подавали </w:t>
      </w:r>
      <w:r>
        <w:rPr>
          <w:lang w:val="ru-RU"/>
        </w:rPr>
        <w:t>требование о предоставлении субсидии на образование</w:t>
      </w:r>
      <w:r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и получали ее</w:t>
      </w:r>
      <w:r w:rsidR="004E16AD" w:rsidRPr="009B4427">
        <w:rPr>
          <w:color w:val="000000"/>
          <w:lang w:val="ru-RU"/>
        </w:rPr>
        <w:t xml:space="preserve">.  </w:t>
      </w:r>
      <w:r w:rsidR="00642640">
        <w:rPr>
          <w:color w:val="000000"/>
          <w:lang w:val="ru-RU"/>
        </w:rPr>
        <w:t>Выплата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производилась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исходя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из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того</w:t>
      </w:r>
      <w:r w:rsidR="00642640" w:rsidRPr="00642640">
        <w:rPr>
          <w:color w:val="000000"/>
          <w:lang w:val="ru-RU"/>
        </w:rPr>
        <w:t xml:space="preserve">, </w:t>
      </w:r>
      <w:r w:rsidR="00642640">
        <w:rPr>
          <w:color w:val="000000"/>
          <w:lang w:val="ru-RU"/>
        </w:rPr>
        <w:t>что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в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то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время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положение</w:t>
      </w:r>
      <w:r w:rsidR="004E16AD" w:rsidRPr="00642640">
        <w:rPr>
          <w:color w:val="000000"/>
          <w:lang w:val="ru-RU"/>
        </w:rPr>
        <w:t xml:space="preserve"> </w:t>
      </w:r>
      <w:r w:rsidR="007C7109" w:rsidRPr="00642640">
        <w:rPr>
          <w:color w:val="000000"/>
          <w:lang w:val="ru-RU"/>
        </w:rPr>
        <w:t>3.14(</w:t>
      </w:r>
      <w:r w:rsidR="007C7109" w:rsidRPr="00C456CE">
        <w:rPr>
          <w:color w:val="000000"/>
        </w:rPr>
        <w:t>a</w:t>
      </w:r>
      <w:r w:rsidR="007C7109" w:rsidRPr="00642640">
        <w:rPr>
          <w:color w:val="000000"/>
          <w:lang w:val="ru-RU"/>
        </w:rPr>
        <w:t xml:space="preserve">) </w:t>
      </w:r>
      <w:r w:rsidR="00642640">
        <w:rPr>
          <w:color w:val="000000"/>
          <w:lang w:val="ru-RU"/>
        </w:rPr>
        <w:t>не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требовало</w:t>
      </w:r>
      <w:r w:rsidR="00642640" w:rsidRPr="00642640">
        <w:rPr>
          <w:color w:val="000000"/>
          <w:lang w:val="ru-RU"/>
        </w:rPr>
        <w:t xml:space="preserve">, </w:t>
      </w:r>
      <w:r w:rsidR="00642640">
        <w:rPr>
          <w:color w:val="000000"/>
          <w:lang w:val="ru-RU"/>
        </w:rPr>
        <w:t>чтобы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сотрудник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жил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за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пределами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своей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родной</w:t>
      </w:r>
      <w:r w:rsidR="00642640" w:rsidRPr="00642640">
        <w:rPr>
          <w:color w:val="000000"/>
          <w:lang w:val="ru-RU"/>
        </w:rPr>
        <w:t xml:space="preserve"> </w:t>
      </w:r>
      <w:r w:rsidR="00642640">
        <w:rPr>
          <w:color w:val="000000"/>
          <w:lang w:val="ru-RU"/>
        </w:rPr>
        <w:t>страны, в качестве одного из предварительных условий для получения субсидии на образование</w:t>
      </w:r>
      <w:r w:rsidR="004E16AD" w:rsidRPr="00642640">
        <w:rPr>
          <w:color w:val="000000"/>
          <w:lang w:val="ru-RU"/>
        </w:rPr>
        <w:t>.</w:t>
      </w:r>
      <w:r w:rsidR="00972DC1" w:rsidRPr="00642640">
        <w:rPr>
          <w:color w:val="000000"/>
          <w:lang w:val="ru-RU"/>
        </w:rPr>
        <w:t xml:space="preserve">  </w:t>
      </w:r>
      <w:r w:rsidR="00642640">
        <w:rPr>
          <w:color w:val="000000"/>
          <w:lang w:val="ru-RU"/>
        </w:rPr>
        <w:t>Вот как нормативно-правовое положение было сформулировано в соответствующее время</w:t>
      </w:r>
      <w:r w:rsidR="00C456CE" w:rsidRPr="00642640">
        <w:rPr>
          <w:color w:val="000000"/>
          <w:lang w:val="ru-RU"/>
        </w:rPr>
        <w:t>:</w:t>
      </w:r>
      <w:r w:rsidR="00972DC1" w:rsidRPr="00642640">
        <w:rPr>
          <w:color w:val="000000"/>
          <w:lang w:val="ru-RU"/>
        </w:rPr>
        <w:t xml:space="preserve"> </w:t>
      </w:r>
    </w:p>
    <w:p w:rsidR="00507317" w:rsidRPr="00642640" w:rsidRDefault="00507317" w:rsidP="00507317">
      <w:pPr>
        <w:pStyle w:val="ListParagraph"/>
        <w:widowControl w:val="0"/>
        <w:ind w:left="0"/>
        <w:rPr>
          <w:color w:val="000000"/>
          <w:lang w:val="ru-RU"/>
        </w:rPr>
      </w:pPr>
    </w:p>
    <w:p w:rsidR="00972DC1" w:rsidRPr="00642640" w:rsidRDefault="00642640" w:rsidP="00972DC1">
      <w:pPr>
        <w:pStyle w:val="ListParagraph"/>
        <w:widowControl w:val="0"/>
        <w:ind w:left="567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642640">
        <w:rPr>
          <w:color w:val="000000"/>
          <w:lang w:val="ru-RU"/>
        </w:rPr>
        <w:t>Любой сотрудник, набранный на международной основе</w:t>
      </w:r>
      <w:r w:rsidR="00972DC1" w:rsidRPr="00642640">
        <w:rPr>
          <w:color w:val="000000"/>
          <w:lang w:val="ru-RU"/>
        </w:rPr>
        <w:t xml:space="preserve"> […]</w:t>
      </w:r>
      <w:r>
        <w:rPr>
          <w:color w:val="000000"/>
          <w:lang w:val="ru-RU"/>
        </w:rPr>
        <w:t xml:space="preserve">, </w:t>
      </w:r>
      <w:r w:rsidRPr="00642640">
        <w:rPr>
          <w:color w:val="000000"/>
          <w:lang w:val="ru-RU"/>
        </w:rPr>
        <w:t>место службы которого не находится на его/ее родине,</w:t>
      </w:r>
      <w:r w:rsidR="00972DC1" w:rsidRPr="00642640">
        <w:rPr>
          <w:color w:val="000000"/>
          <w:lang w:val="ru-RU"/>
        </w:rPr>
        <w:t xml:space="preserve"> </w:t>
      </w:r>
      <w:r w:rsidRPr="00642640">
        <w:rPr>
          <w:color w:val="000000"/>
          <w:lang w:val="ru-RU"/>
        </w:rPr>
        <w:t xml:space="preserve">имеет право </w:t>
      </w:r>
      <w:r w:rsidR="00972DC1" w:rsidRPr="00642640">
        <w:rPr>
          <w:color w:val="000000"/>
          <w:lang w:val="ru-RU"/>
        </w:rPr>
        <w:t>[…]</w:t>
      </w:r>
      <w:r>
        <w:rPr>
          <w:color w:val="000000"/>
          <w:lang w:val="ru-RU"/>
        </w:rPr>
        <w:t xml:space="preserve"> </w:t>
      </w:r>
      <w:r w:rsidRPr="00642640">
        <w:rPr>
          <w:color w:val="000000"/>
          <w:lang w:val="ru-RU"/>
        </w:rPr>
        <w:t xml:space="preserve">на субсидию на образование для каждого ребенка, который получает от данного сотрудника основную и постоянную поддержку и который регулярно посещает школу, университет или другое аналогичное учебное заведение </w:t>
      </w:r>
      <w:r w:rsidR="0005759F" w:rsidRPr="00642640">
        <w:rPr>
          <w:color w:val="000000"/>
          <w:lang w:val="ru-RU"/>
        </w:rPr>
        <w:t>[…]</w:t>
      </w:r>
      <w:r>
        <w:rPr>
          <w:color w:val="000000"/>
          <w:lang w:val="ru-RU"/>
        </w:rPr>
        <w:t>»</w:t>
      </w:r>
      <w:r w:rsidR="00972DC1" w:rsidRPr="00642640">
        <w:rPr>
          <w:color w:val="000000"/>
          <w:lang w:val="ru-RU"/>
        </w:rPr>
        <w:t>.</w:t>
      </w:r>
    </w:p>
    <w:p w:rsidR="00972DC1" w:rsidRPr="00642640" w:rsidRDefault="00972DC1" w:rsidP="00972DC1">
      <w:pPr>
        <w:pStyle w:val="ListParagraph"/>
        <w:widowControl w:val="0"/>
        <w:ind w:left="0"/>
        <w:rPr>
          <w:color w:val="000000"/>
          <w:lang w:val="ru-RU"/>
        </w:rPr>
      </w:pPr>
    </w:p>
    <w:p w:rsidR="00387178" w:rsidRPr="00642640" w:rsidRDefault="00642640" w:rsidP="001D7BF2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Следует отметить, однако, что термин «место службы» в указанном выше положении получил особое определение в нормативно-правовой базе ВОИС</w:t>
      </w:r>
      <w:r w:rsidR="008B5F14" w:rsidRPr="00642640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Вплоть</w:t>
      </w:r>
      <w:r w:rsidRPr="0064264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</w:t>
      </w:r>
      <w:r w:rsidRPr="0064264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конца</w:t>
      </w:r>
      <w:r w:rsidR="008B5F14" w:rsidRPr="00642640">
        <w:rPr>
          <w:color w:val="000000"/>
          <w:lang w:val="ru-RU"/>
        </w:rPr>
        <w:t xml:space="preserve"> 2012</w:t>
      </w:r>
      <w:r w:rsidRPr="0064264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</w:t>
      </w:r>
      <w:r w:rsidRPr="00642640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в Положениях и правилах о персонале содержалось следующее положение</w:t>
      </w:r>
      <w:r w:rsidR="00387178" w:rsidRPr="00642640">
        <w:rPr>
          <w:color w:val="000000"/>
          <w:lang w:val="ru-RU"/>
        </w:rPr>
        <w:t>:</w:t>
      </w:r>
    </w:p>
    <w:p w:rsidR="00387178" w:rsidRPr="00642640" w:rsidRDefault="00387178" w:rsidP="001D7BF2">
      <w:pPr>
        <w:pStyle w:val="ListParagraph"/>
        <w:widowControl w:val="0"/>
        <w:ind w:left="0"/>
        <w:rPr>
          <w:color w:val="000000"/>
          <w:lang w:val="ru-RU"/>
        </w:rPr>
      </w:pPr>
    </w:p>
    <w:p w:rsidR="00CC6729" w:rsidRPr="00436730" w:rsidRDefault="00436730" w:rsidP="001D7BF2">
      <w:pPr>
        <w:pStyle w:val="ListParagraph"/>
        <w:widowControl w:val="0"/>
        <w:ind w:left="567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436730">
        <w:rPr>
          <w:color w:val="000000"/>
          <w:lang w:val="ru-RU"/>
        </w:rPr>
        <w:t xml:space="preserve">если местом назначения является Женева, термин “место службы” означает район </w:t>
      </w:r>
      <w:r>
        <w:rPr>
          <w:color w:val="000000"/>
          <w:lang w:val="ru-RU"/>
        </w:rPr>
        <w:t>в радиусе 25 километров от Женевы»</w:t>
      </w:r>
      <w:r w:rsidR="00387178" w:rsidRPr="00436730">
        <w:rPr>
          <w:color w:val="000000"/>
          <w:lang w:val="ru-RU"/>
        </w:rPr>
        <w:t>.</w:t>
      </w:r>
    </w:p>
    <w:p w:rsidR="00CC6729" w:rsidRPr="00436730" w:rsidRDefault="00CC6729" w:rsidP="001D7BF2">
      <w:pPr>
        <w:pStyle w:val="ListParagraph"/>
        <w:widowControl w:val="0"/>
        <w:ind w:left="567"/>
        <w:rPr>
          <w:color w:val="000000"/>
          <w:lang w:val="ru-RU"/>
        </w:rPr>
      </w:pPr>
    </w:p>
    <w:p w:rsidR="007C7109" w:rsidRPr="00436730" w:rsidRDefault="00436730" w:rsidP="008B5F14">
      <w:pPr>
        <w:widowControl w:val="0"/>
        <w:rPr>
          <w:color w:val="000000"/>
          <w:lang w:val="ru-RU"/>
        </w:rPr>
      </w:pPr>
      <w:r>
        <w:rPr>
          <w:color w:val="000000"/>
          <w:lang w:val="ru-RU"/>
        </w:rPr>
        <w:t>С</w:t>
      </w:r>
      <w:r w:rsidRPr="00436730">
        <w:rPr>
          <w:color w:val="000000"/>
          <w:lang w:val="ru-RU"/>
        </w:rPr>
        <w:t xml:space="preserve"> 1 </w:t>
      </w:r>
      <w:r>
        <w:rPr>
          <w:color w:val="000000"/>
          <w:lang w:val="ru-RU"/>
        </w:rPr>
        <w:t>января</w:t>
      </w:r>
      <w:r w:rsidR="00B45F78" w:rsidRPr="00436730">
        <w:rPr>
          <w:color w:val="000000"/>
          <w:lang w:val="ru-RU"/>
        </w:rPr>
        <w:t xml:space="preserve"> 2013</w:t>
      </w:r>
      <w:r w:rsidRPr="004367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</w:t>
      </w:r>
      <w:r w:rsidRPr="00436730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фраза</w:t>
      </w:r>
      <w:r w:rsidRPr="00436730">
        <w:rPr>
          <w:color w:val="000000"/>
          <w:lang w:val="ru-RU"/>
        </w:rPr>
        <w:t xml:space="preserve"> </w:t>
      </w:r>
      <w:r w:rsidR="00CC6729" w:rsidRPr="00436730">
        <w:rPr>
          <w:color w:val="000000"/>
          <w:lang w:val="ru-RU"/>
        </w:rPr>
        <w:t xml:space="preserve"> </w:t>
      </w:r>
      <w:r w:rsidRPr="00436730">
        <w:rPr>
          <w:color w:val="000000"/>
          <w:lang w:val="ru-RU"/>
        </w:rPr>
        <w:t>«</w:t>
      </w:r>
      <w:r>
        <w:rPr>
          <w:color w:val="000000"/>
          <w:lang w:val="ru-RU"/>
        </w:rPr>
        <w:t>в</w:t>
      </w:r>
      <w:r w:rsidRPr="004367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радиусе</w:t>
      </w:r>
      <w:r w:rsidRPr="00436730">
        <w:rPr>
          <w:color w:val="000000"/>
          <w:lang w:val="ru-RU"/>
        </w:rPr>
        <w:t xml:space="preserve"> 25 </w:t>
      </w:r>
      <w:r>
        <w:rPr>
          <w:color w:val="000000"/>
          <w:lang w:val="ru-RU"/>
        </w:rPr>
        <w:t>километров</w:t>
      </w:r>
      <w:r w:rsidRPr="004367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</w:t>
      </w:r>
      <w:r w:rsidRPr="004367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Женевы</w:t>
      </w:r>
      <w:r w:rsidRPr="00436730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была</w:t>
      </w:r>
      <w:r w:rsidRPr="004367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заменена</w:t>
      </w:r>
      <w:r w:rsidRPr="004367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4367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фразу</w:t>
      </w:r>
      <w:r w:rsidRPr="004367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«</w:t>
      </w:r>
      <w:r w:rsidRPr="00436730">
        <w:rPr>
          <w:color w:val="000000"/>
          <w:lang w:val="ru-RU"/>
        </w:rPr>
        <w:t>на расстоянии приемлемого пригородного сообщения от Женевы</w:t>
      </w:r>
      <w:r>
        <w:rPr>
          <w:color w:val="000000"/>
          <w:lang w:val="ru-RU"/>
        </w:rPr>
        <w:t>»</w:t>
      </w:r>
      <w:r w:rsidR="00CC6729" w:rsidRPr="00436730">
        <w:rPr>
          <w:color w:val="000000"/>
          <w:lang w:val="ru-RU"/>
        </w:rPr>
        <w:t xml:space="preserve">.   </w:t>
      </w:r>
      <w:r w:rsidR="004E16AD" w:rsidRPr="00436730">
        <w:rPr>
          <w:color w:val="000000"/>
          <w:lang w:val="ru-RU"/>
        </w:rPr>
        <w:t xml:space="preserve">  </w:t>
      </w:r>
      <w:r w:rsidR="007C7109" w:rsidRPr="00436730">
        <w:rPr>
          <w:color w:val="000000"/>
          <w:lang w:val="ru-RU"/>
        </w:rPr>
        <w:t xml:space="preserve">    </w:t>
      </w:r>
    </w:p>
    <w:p w:rsidR="007C7109" w:rsidRPr="00436730" w:rsidRDefault="007C7109" w:rsidP="001D7BF2">
      <w:pPr>
        <w:pStyle w:val="ListParagraph"/>
        <w:widowControl w:val="0"/>
        <w:ind w:left="0"/>
        <w:rPr>
          <w:color w:val="000000"/>
          <w:lang w:val="ru-RU"/>
        </w:rPr>
      </w:pPr>
    </w:p>
    <w:p w:rsidR="007857AA" w:rsidRPr="00A86C42" w:rsidRDefault="00AE75FC" w:rsidP="007857AA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С</w:t>
      </w:r>
      <w:r w:rsidRPr="00A86C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учетом</w:t>
      </w:r>
      <w:r w:rsidRPr="00A86C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близости</w:t>
      </w:r>
      <w:r w:rsidRPr="00A86C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Франции</w:t>
      </w:r>
      <w:r w:rsidRPr="00A86C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A86C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Женеве</w:t>
      </w:r>
      <w:r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процитированные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выше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определения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места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службы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в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Женеве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имели своим следствием то, что оно оказывалось в пределах границ соседней территории Франции</w:t>
      </w:r>
      <w:r w:rsidR="00C35333" w:rsidRPr="00A86C42">
        <w:rPr>
          <w:color w:val="000000"/>
          <w:lang w:val="ru-RU"/>
        </w:rPr>
        <w:t xml:space="preserve">.  </w:t>
      </w:r>
      <w:r w:rsidR="00A86C42">
        <w:rPr>
          <w:color w:val="000000"/>
          <w:lang w:val="ru-RU"/>
        </w:rPr>
        <w:t>Поскольку район места службы распространялся через границу на Францию, Положения и правила о персонале ВОИС не предоставляли права на получение субсидии на образование французским сотрудникам, проживающим в их родной стране</w:t>
      </w:r>
      <w:r w:rsidR="00822294" w:rsidRPr="00A86C42">
        <w:rPr>
          <w:color w:val="000000"/>
          <w:lang w:val="ru-RU"/>
        </w:rPr>
        <w:t>.</w:t>
      </w:r>
      <w:r w:rsidR="00D67B5B" w:rsidRPr="00A86C42">
        <w:rPr>
          <w:color w:val="000000"/>
          <w:lang w:val="ru-RU"/>
        </w:rPr>
        <w:t xml:space="preserve">  </w:t>
      </w:r>
      <w:r w:rsidR="00A86C42">
        <w:rPr>
          <w:color w:val="000000"/>
          <w:lang w:val="ru-RU"/>
        </w:rPr>
        <w:t>Субсидия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на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образование</w:t>
      </w:r>
      <w:r w:rsidR="00A86C42" w:rsidRPr="00A86C42">
        <w:rPr>
          <w:color w:val="000000"/>
          <w:lang w:val="ru-RU"/>
        </w:rPr>
        <w:t xml:space="preserve">, </w:t>
      </w:r>
      <w:r w:rsidR="00A86C42">
        <w:rPr>
          <w:color w:val="000000"/>
          <w:lang w:val="ru-RU"/>
        </w:rPr>
        <w:t>однако</w:t>
      </w:r>
      <w:r w:rsidR="00A86C42" w:rsidRPr="00A86C42">
        <w:rPr>
          <w:color w:val="000000"/>
          <w:lang w:val="ru-RU"/>
        </w:rPr>
        <w:t xml:space="preserve">, </w:t>
      </w:r>
      <w:r w:rsidR="00A86C42">
        <w:rPr>
          <w:color w:val="000000"/>
          <w:lang w:val="ru-RU"/>
        </w:rPr>
        <w:t>выплачивалась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этой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категории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сотрудников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в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соответствии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с</w:t>
      </w:r>
      <w:r w:rsidR="00A86C42" w:rsidRPr="00A86C42">
        <w:rPr>
          <w:color w:val="000000"/>
          <w:lang w:val="ru-RU"/>
        </w:rPr>
        <w:t xml:space="preserve"> </w:t>
      </w:r>
      <w:r w:rsidR="00A86C42">
        <w:rPr>
          <w:color w:val="000000"/>
          <w:lang w:val="ru-RU"/>
        </w:rPr>
        <w:t>последовательной и давней практикой</w:t>
      </w:r>
      <w:r w:rsidR="00D67B5B" w:rsidRPr="00A86C42">
        <w:rPr>
          <w:color w:val="000000"/>
          <w:lang w:val="ru-RU"/>
        </w:rPr>
        <w:t>.</w:t>
      </w:r>
      <w:r w:rsidR="007857AA" w:rsidRPr="00A86C42">
        <w:rPr>
          <w:color w:val="000000"/>
          <w:lang w:val="ru-RU"/>
        </w:rPr>
        <w:t xml:space="preserve"> </w:t>
      </w:r>
    </w:p>
    <w:p w:rsidR="00B45F78" w:rsidRPr="00A86C42" w:rsidRDefault="00B45F78" w:rsidP="00B45F78">
      <w:pPr>
        <w:widowControl w:val="0"/>
        <w:rPr>
          <w:color w:val="000000"/>
          <w:lang w:val="ru-RU"/>
        </w:rPr>
      </w:pPr>
    </w:p>
    <w:p w:rsidR="00822294" w:rsidRPr="00D64EAA" w:rsidRDefault="00A86C42" w:rsidP="00B45F78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Следующий</w:t>
      </w:r>
      <w:r w:rsidRPr="00D64E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вопрос</w:t>
      </w:r>
      <w:r w:rsidRPr="00D64EA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подлежащий</w:t>
      </w:r>
      <w:r w:rsidRPr="00D64E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рассмотрению</w:t>
      </w:r>
      <w:r w:rsidRPr="00D64EA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заключается</w:t>
      </w:r>
      <w:r w:rsidRPr="00D64E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D64E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том</w:t>
      </w:r>
      <w:r w:rsidRPr="00D64EA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создала</w:t>
      </w:r>
      <w:r w:rsidRPr="00D64E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</w:t>
      </w:r>
      <w:r w:rsidRPr="00D64EAA">
        <w:rPr>
          <w:color w:val="000000"/>
          <w:lang w:val="ru-RU"/>
        </w:rPr>
        <w:t xml:space="preserve"> </w:t>
      </w:r>
      <w:r w:rsidR="00B45F78" w:rsidRPr="00D64EAA">
        <w:rPr>
          <w:color w:val="000000"/>
          <w:lang w:val="ru-RU"/>
        </w:rPr>
        <w:t xml:space="preserve"> </w:t>
      </w:r>
      <w:r w:rsidR="00D64EAA">
        <w:rPr>
          <w:color w:val="000000"/>
          <w:lang w:val="ru-RU"/>
        </w:rPr>
        <w:t>прочно устоявшаяся практика выплаты субсидии на образование французским сотрудникам, проживающим во Франции, какое-либо юридическое обязательство</w:t>
      </w:r>
      <w:r w:rsidR="0031045B" w:rsidRPr="00D64EAA">
        <w:rPr>
          <w:color w:val="000000"/>
          <w:lang w:val="ru-RU"/>
        </w:rPr>
        <w:t xml:space="preserve"> </w:t>
      </w:r>
      <w:r w:rsidR="00D64EAA">
        <w:rPr>
          <w:color w:val="000000"/>
          <w:lang w:val="ru-RU"/>
        </w:rPr>
        <w:t>со стороны ВОИС продолжать эту практику</w:t>
      </w:r>
      <w:r w:rsidR="00273D4E" w:rsidRPr="00D64EAA">
        <w:rPr>
          <w:color w:val="000000"/>
          <w:lang w:val="ru-RU"/>
        </w:rPr>
        <w:t>.</w:t>
      </w:r>
      <w:r w:rsidR="0031045B" w:rsidRPr="00D64EAA">
        <w:rPr>
          <w:color w:val="000000"/>
          <w:lang w:val="ru-RU"/>
        </w:rPr>
        <w:t xml:space="preserve">  </w:t>
      </w:r>
      <w:r w:rsidR="00D64EAA">
        <w:rPr>
          <w:color w:val="000000"/>
          <w:lang w:val="ru-RU"/>
        </w:rPr>
        <w:t>Как</w:t>
      </w:r>
      <w:r w:rsidR="00D64EAA" w:rsidRPr="00D64EAA">
        <w:rPr>
          <w:color w:val="000000"/>
          <w:lang w:val="ru-RU"/>
        </w:rPr>
        <w:t xml:space="preserve"> </w:t>
      </w:r>
      <w:r w:rsidR="00D64EAA">
        <w:rPr>
          <w:color w:val="000000"/>
          <w:lang w:val="ru-RU"/>
        </w:rPr>
        <w:t>будет</w:t>
      </w:r>
      <w:r w:rsidR="00D64EAA" w:rsidRPr="00D64EAA">
        <w:rPr>
          <w:color w:val="000000"/>
          <w:lang w:val="ru-RU"/>
        </w:rPr>
        <w:t xml:space="preserve"> </w:t>
      </w:r>
      <w:r w:rsidR="00D64EAA">
        <w:rPr>
          <w:color w:val="000000"/>
          <w:lang w:val="ru-RU"/>
        </w:rPr>
        <w:t>показано</w:t>
      </w:r>
      <w:r w:rsidR="00D64EAA" w:rsidRPr="00D64EAA">
        <w:rPr>
          <w:color w:val="000000"/>
          <w:lang w:val="ru-RU"/>
        </w:rPr>
        <w:t xml:space="preserve"> </w:t>
      </w:r>
      <w:r w:rsidR="00D64EAA">
        <w:rPr>
          <w:color w:val="000000"/>
          <w:lang w:val="ru-RU"/>
        </w:rPr>
        <w:t>ниже</w:t>
      </w:r>
      <w:r w:rsidR="0031045B" w:rsidRPr="00D64EAA">
        <w:rPr>
          <w:color w:val="000000"/>
          <w:lang w:val="ru-RU"/>
        </w:rPr>
        <w:t xml:space="preserve">, </w:t>
      </w:r>
      <w:r w:rsidR="00D64EAA">
        <w:rPr>
          <w:color w:val="000000"/>
          <w:lang w:val="ru-RU"/>
        </w:rPr>
        <w:t>коротким ответом на этот вопрос является «нет»</w:t>
      </w:r>
      <w:r w:rsidR="0031045B" w:rsidRPr="00D64EAA">
        <w:rPr>
          <w:color w:val="000000"/>
          <w:lang w:val="ru-RU"/>
        </w:rPr>
        <w:t>.</w:t>
      </w:r>
      <w:r w:rsidR="00D67B5B" w:rsidRPr="00D64EAA">
        <w:rPr>
          <w:color w:val="000000"/>
          <w:lang w:val="ru-RU"/>
        </w:rPr>
        <w:t xml:space="preserve">   </w:t>
      </w:r>
    </w:p>
    <w:p w:rsidR="00822294" w:rsidRPr="00D64EAA" w:rsidRDefault="00822294" w:rsidP="001D7BF2">
      <w:pPr>
        <w:pStyle w:val="ListParagraph"/>
        <w:widowControl w:val="0"/>
        <w:ind w:left="0"/>
        <w:rPr>
          <w:color w:val="000000"/>
          <w:lang w:val="ru-RU"/>
        </w:rPr>
      </w:pPr>
    </w:p>
    <w:p w:rsidR="00667CFB" w:rsidRPr="00AC3DD5" w:rsidRDefault="00D64EAA" w:rsidP="00AC3DD5">
      <w:pPr>
        <w:pStyle w:val="ListParagraph"/>
        <w:widowControl w:val="0"/>
        <w:numPr>
          <w:ilvl w:val="0"/>
          <w:numId w:val="17"/>
        </w:numPr>
        <w:ind w:left="567" w:hanging="567"/>
        <w:rPr>
          <w:b/>
          <w:color w:val="000000"/>
        </w:rPr>
      </w:pPr>
      <w:r>
        <w:rPr>
          <w:b/>
          <w:color w:val="000000"/>
          <w:lang w:val="ru-RU"/>
        </w:rPr>
        <w:t>ПРАВОВЫЕ ПОСЛЕДСТВИЯ ДАВНЕЙ ПРАКТИКИ</w:t>
      </w:r>
    </w:p>
    <w:p w:rsidR="00667CFB" w:rsidRDefault="00667CFB" w:rsidP="001D7BF2">
      <w:pPr>
        <w:pStyle w:val="ListParagraph"/>
        <w:widowControl w:val="0"/>
        <w:ind w:left="0"/>
        <w:rPr>
          <w:color w:val="000000"/>
        </w:rPr>
      </w:pPr>
    </w:p>
    <w:p w:rsidR="00667CFB" w:rsidRPr="000B3334" w:rsidRDefault="00D64EAA" w:rsidP="00AC3DD5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При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определенных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обстоятельствах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административная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практика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может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рассматриваться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как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источник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права</w:t>
      </w:r>
      <w:r w:rsidRPr="000B33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но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том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условии</w:t>
      </w:r>
      <w:r w:rsidRPr="000B33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="0094133B" w:rsidRPr="000B3334">
        <w:rPr>
          <w:color w:val="000000"/>
          <w:lang w:val="ru-RU"/>
        </w:rPr>
        <w:t xml:space="preserve"> (</w:t>
      </w:r>
      <w:r w:rsidR="0094133B">
        <w:rPr>
          <w:color w:val="000000"/>
        </w:rPr>
        <w:t>i</w:t>
      </w:r>
      <w:r w:rsidR="0094133B" w:rsidRPr="000B3334">
        <w:rPr>
          <w:color w:val="000000"/>
          <w:lang w:val="ru-RU"/>
        </w:rPr>
        <w:t xml:space="preserve">) </w:t>
      </w:r>
      <w:r w:rsidR="000B3334">
        <w:rPr>
          <w:color w:val="000000"/>
          <w:lang w:val="ru-RU"/>
        </w:rPr>
        <w:t>практика</w:t>
      </w:r>
      <w:r w:rsidR="000B3334"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является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последовательной</w:t>
      </w:r>
      <w:r w:rsidR="0094133B" w:rsidRPr="000B3334">
        <w:rPr>
          <w:color w:val="000000"/>
          <w:lang w:val="ru-RU"/>
        </w:rPr>
        <w:t>, (</w:t>
      </w:r>
      <w:r w:rsidR="0094133B">
        <w:rPr>
          <w:color w:val="000000"/>
        </w:rPr>
        <w:t>ii</w:t>
      </w:r>
      <w:r w:rsidR="0094133B" w:rsidRPr="000B3334">
        <w:rPr>
          <w:color w:val="000000"/>
          <w:lang w:val="ru-RU"/>
        </w:rPr>
        <w:t xml:space="preserve">) </w:t>
      </w:r>
      <w:r w:rsidR="000B3334">
        <w:rPr>
          <w:color w:val="000000"/>
          <w:lang w:val="ru-RU"/>
        </w:rPr>
        <w:t>организация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придерживалась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ее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в полной уверенности, что она отражает юридическое обязательство</w:t>
      </w:r>
      <w:r w:rsidR="0094133B" w:rsidRPr="000B3334">
        <w:rPr>
          <w:color w:val="000000"/>
          <w:lang w:val="ru-RU"/>
        </w:rPr>
        <w:t xml:space="preserve"> </w:t>
      </w:r>
      <w:r w:rsidR="0094133B" w:rsidRPr="000B3334">
        <w:rPr>
          <w:i/>
          <w:color w:val="000000"/>
          <w:lang w:val="ru-RU"/>
        </w:rPr>
        <w:t>(</w:t>
      </w:r>
      <w:r w:rsidR="0094133B" w:rsidRPr="0094133B">
        <w:rPr>
          <w:i/>
          <w:color w:val="000000"/>
        </w:rPr>
        <w:t>opinio</w:t>
      </w:r>
      <w:r w:rsidR="0094133B" w:rsidRPr="000B3334">
        <w:rPr>
          <w:i/>
          <w:color w:val="000000"/>
          <w:lang w:val="ru-RU"/>
        </w:rPr>
        <w:t xml:space="preserve"> </w:t>
      </w:r>
      <w:r w:rsidR="0094133B" w:rsidRPr="0094133B">
        <w:rPr>
          <w:i/>
          <w:color w:val="000000"/>
        </w:rPr>
        <w:t>juris</w:t>
      </w:r>
      <w:r w:rsidR="0094133B" w:rsidRPr="000B3334">
        <w:rPr>
          <w:i/>
          <w:color w:val="000000"/>
          <w:lang w:val="ru-RU"/>
        </w:rPr>
        <w:t>)</w:t>
      </w:r>
      <w:r w:rsidR="0094133B" w:rsidRPr="000B3334">
        <w:rPr>
          <w:color w:val="000000"/>
          <w:lang w:val="ru-RU"/>
        </w:rPr>
        <w:t xml:space="preserve">, </w:t>
      </w:r>
      <w:r w:rsidR="000B3334">
        <w:rPr>
          <w:color w:val="000000"/>
          <w:lang w:val="ru-RU"/>
        </w:rPr>
        <w:t>и</w:t>
      </w:r>
      <w:r w:rsidR="0094133B" w:rsidRPr="000B3334">
        <w:rPr>
          <w:color w:val="000000"/>
          <w:lang w:val="ru-RU"/>
        </w:rPr>
        <w:t xml:space="preserve"> (</w:t>
      </w:r>
      <w:r w:rsidR="0094133B">
        <w:rPr>
          <w:color w:val="000000"/>
        </w:rPr>
        <w:t>iii</w:t>
      </w:r>
      <w:r w:rsidR="0094133B" w:rsidRPr="000B3334">
        <w:rPr>
          <w:color w:val="000000"/>
          <w:lang w:val="ru-RU"/>
        </w:rPr>
        <w:t xml:space="preserve">) </w:t>
      </w:r>
      <w:r w:rsidR="000B3334">
        <w:rPr>
          <w:color w:val="000000"/>
          <w:lang w:val="ru-RU"/>
        </w:rPr>
        <w:t>практика не посягает на</w:t>
      </w:r>
      <w:r w:rsidR="0094133B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писаное право</w:t>
      </w:r>
      <w:r w:rsidR="0094133B" w:rsidRPr="000B3334">
        <w:rPr>
          <w:color w:val="000000"/>
          <w:lang w:val="ru-RU"/>
        </w:rPr>
        <w:t>.</w:t>
      </w:r>
      <w:r w:rsidR="00867D28" w:rsidRPr="000B3334">
        <w:rPr>
          <w:color w:val="000000"/>
          <w:lang w:val="ru-RU"/>
        </w:rPr>
        <w:t xml:space="preserve">  </w:t>
      </w:r>
      <w:r w:rsidR="000B3334">
        <w:rPr>
          <w:color w:val="000000"/>
          <w:lang w:val="ru-RU"/>
        </w:rPr>
        <w:t>Более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того</w:t>
      </w:r>
      <w:r w:rsidR="00867D28" w:rsidRPr="000B3334">
        <w:rPr>
          <w:color w:val="000000"/>
          <w:lang w:val="ru-RU"/>
        </w:rPr>
        <w:t xml:space="preserve">, </w:t>
      </w:r>
      <w:r w:rsidR="000B3334">
        <w:rPr>
          <w:color w:val="000000"/>
          <w:lang w:val="ru-RU"/>
        </w:rPr>
        <w:t>АТМОТ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не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исключал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возможности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того</w:t>
      </w:r>
      <w:r w:rsidR="000B3334" w:rsidRPr="000B3334">
        <w:rPr>
          <w:color w:val="000000"/>
          <w:lang w:val="ru-RU"/>
        </w:rPr>
        <w:t xml:space="preserve">, </w:t>
      </w:r>
      <w:r w:rsidR="000B3334">
        <w:rPr>
          <w:color w:val="000000"/>
          <w:lang w:val="ru-RU"/>
        </w:rPr>
        <w:t>что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в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некоторых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ограниченных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случаях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практика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может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даже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стать</w:t>
      </w:r>
      <w:r w:rsidR="000B3334" w:rsidRPr="000B3334">
        <w:rPr>
          <w:color w:val="000000"/>
          <w:lang w:val="ru-RU"/>
        </w:rPr>
        <w:t xml:space="preserve"> </w:t>
      </w:r>
      <w:r w:rsidR="000B3334">
        <w:rPr>
          <w:color w:val="000000"/>
          <w:lang w:val="ru-RU"/>
        </w:rPr>
        <w:t>источником приобретенного права</w:t>
      </w:r>
      <w:r w:rsidR="004673C3">
        <w:rPr>
          <w:rStyle w:val="FootnoteReference"/>
          <w:color w:val="000000"/>
        </w:rPr>
        <w:footnoteReference w:id="14"/>
      </w:r>
      <w:r w:rsidR="000B3334">
        <w:rPr>
          <w:color w:val="000000"/>
          <w:lang w:val="ru-RU"/>
        </w:rPr>
        <w:t>.</w:t>
      </w:r>
      <w:r w:rsidR="00591B93" w:rsidRPr="000B3334">
        <w:rPr>
          <w:color w:val="000000"/>
          <w:lang w:val="ru-RU"/>
        </w:rPr>
        <w:t xml:space="preserve"> </w:t>
      </w:r>
      <w:r w:rsidR="009172E9" w:rsidRPr="000B3334">
        <w:rPr>
          <w:color w:val="000000"/>
          <w:lang w:val="ru-RU"/>
        </w:rPr>
        <w:t xml:space="preserve">   </w:t>
      </w:r>
      <w:r w:rsidR="002C4C8C" w:rsidRPr="000B3334">
        <w:rPr>
          <w:color w:val="000000"/>
          <w:lang w:val="ru-RU"/>
        </w:rPr>
        <w:t xml:space="preserve">    </w:t>
      </w:r>
      <w:r w:rsidR="0094133B" w:rsidRPr="000B3334">
        <w:rPr>
          <w:color w:val="000000"/>
          <w:lang w:val="ru-RU"/>
        </w:rPr>
        <w:t xml:space="preserve"> </w:t>
      </w:r>
    </w:p>
    <w:p w:rsidR="00667CFB" w:rsidRPr="000B3334" w:rsidRDefault="00667CFB" w:rsidP="001D7BF2">
      <w:pPr>
        <w:pStyle w:val="ListParagraph"/>
        <w:widowControl w:val="0"/>
        <w:ind w:left="0"/>
        <w:rPr>
          <w:color w:val="000000"/>
          <w:lang w:val="ru-RU"/>
        </w:rPr>
      </w:pPr>
    </w:p>
    <w:p w:rsidR="009B78BA" w:rsidRPr="000B3334" w:rsidRDefault="000B3334" w:rsidP="000859B2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рассматриваемом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нами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случае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условие</w:t>
      </w:r>
      <w:r w:rsidR="001E443F" w:rsidRPr="000B3334">
        <w:rPr>
          <w:color w:val="000000"/>
          <w:lang w:val="ru-RU"/>
        </w:rPr>
        <w:t xml:space="preserve"> </w:t>
      </w:r>
      <w:r w:rsidR="00667CFB" w:rsidRPr="000B3334">
        <w:rPr>
          <w:color w:val="000000"/>
          <w:lang w:val="ru-RU"/>
        </w:rPr>
        <w:t>(</w:t>
      </w:r>
      <w:r w:rsidR="00667CFB" w:rsidRPr="009B78BA">
        <w:rPr>
          <w:color w:val="000000"/>
        </w:rPr>
        <w:t>iii</w:t>
      </w:r>
      <w:r w:rsidR="00667CFB" w:rsidRPr="000B333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выше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выполняется</w:t>
      </w:r>
      <w:r w:rsidRPr="000B33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поскольку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давняя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практика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выплаты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субсидии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образование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французским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сотрудникам</w:t>
      </w:r>
      <w:r w:rsidRPr="000B33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проживающим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Франции</w:t>
      </w:r>
      <w:r w:rsidRPr="000B33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не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была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санкционирована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положениями Положений и правил о персонале ВОИС в силу определение термина «место службы» в Женеве, как это было разъяснено выше</w:t>
      </w:r>
      <w:r w:rsidR="00667CFB" w:rsidRPr="000B3334">
        <w:rPr>
          <w:color w:val="000000"/>
          <w:lang w:val="ru-RU"/>
        </w:rPr>
        <w:t>.</w:t>
      </w:r>
      <w:r w:rsidR="00B03CCD" w:rsidRPr="000B3334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В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своей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богатой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юриспруденции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АТМОТ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дал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ясно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понять</w:t>
      </w:r>
      <w:r w:rsidRPr="000B33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практика</w:t>
      </w:r>
      <w:r w:rsidRPr="000B33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не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согласующаяся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положениями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персонале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0B3334">
        <w:rPr>
          <w:color w:val="000000"/>
          <w:lang w:val="ru-RU"/>
        </w:rPr>
        <w:t>/</w:t>
      </w:r>
      <w:r>
        <w:rPr>
          <w:color w:val="000000"/>
          <w:lang w:val="ru-RU"/>
        </w:rPr>
        <w:t>или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правилами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персонале</w:t>
      </w:r>
      <w:r w:rsidRPr="000B33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не</w:t>
      </w:r>
      <w:r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может</w:t>
      </w:r>
      <w:r w:rsidR="00B03CCD"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приобрести юридическую силу</w:t>
      </w:r>
      <w:r w:rsidR="00AC3DD5">
        <w:rPr>
          <w:rStyle w:val="FootnoteReference"/>
          <w:color w:val="000000"/>
        </w:rPr>
        <w:footnoteReference w:id="15"/>
      </w:r>
      <w:r w:rsidR="00411E7E"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 привести к возникновению приобретенного права</w:t>
      </w:r>
      <w:r w:rsidR="00411E7E">
        <w:rPr>
          <w:rStyle w:val="FootnoteReference"/>
          <w:color w:val="000000"/>
        </w:rPr>
        <w:footnoteReference w:id="16"/>
      </w:r>
      <w:r w:rsidR="002D5A43" w:rsidRPr="000B33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 что организация</w:t>
      </w:r>
      <w:r w:rsidR="002D5A43" w:rsidRPr="000B3334">
        <w:rPr>
          <w:color w:val="000000"/>
          <w:lang w:val="ru-RU"/>
        </w:rPr>
        <w:t xml:space="preserve"> </w:t>
      </w:r>
      <w:r w:rsidR="000A7C85">
        <w:rPr>
          <w:color w:val="000000"/>
          <w:lang w:val="ru-RU"/>
        </w:rPr>
        <w:t>имеет право вернуть ситуацию обратно так, чтобы она соответствовала нормативно-правовой базе</w:t>
      </w:r>
      <w:r w:rsidR="002D5A43">
        <w:rPr>
          <w:rStyle w:val="FootnoteReference"/>
          <w:color w:val="000000"/>
        </w:rPr>
        <w:footnoteReference w:id="17"/>
      </w:r>
      <w:r w:rsidR="000A7C85">
        <w:rPr>
          <w:color w:val="000000"/>
          <w:lang w:val="ru-RU"/>
        </w:rPr>
        <w:t>.</w:t>
      </w:r>
      <w:r w:rsidR="00411E7E" w:rsidRPr="000B3334">
        <w:rPr>
          <w:color w:val="000000"/>
          <w:lang w:val="ru-RU"/>
        </w:rPr>
        <w:t xml:space="preserve">  </w:t>
      </w:r>
      <w:r w:rsidR="00B44659" w:rsidRPr="000B3334">
        <w:rPr>
          <w:color w:val="000000"/>
          <w:lang w:val="ru-RU"/>
        </w:rPr>
        <w:t xml:space="preserve">  </w:t>
      </w:r>
      <w:r w:rsidR="009B78BA" w:rsidRPr="000B3334">
        <w:rPr>
          <w:color w:val="000000"/>
          <w:lang w:val="ru-RU"/>
        </w:rPr>
        <w:t xml:space="preserve">  </w:t>
      </w:r>
    </w:p>
    <w:p w:rsidR="00B03CCD" w:rsidRPr="000B3334" w:rsidRDefault="00667CFB" w:rsidP="000859B2">
      <w:pPr>
        <w:pStyle w:val="ListParagraph"/>
        <w:widowControl w:val="0"/>
        <w:ind w:left="0"/>
        <w:rPr>
          <w:color w:val="000000"/>
          <w:lang w:val="ru-RU"/>
        </w:rPr>
      </w:pPr>
      <w:r w:rsidRPr="000B3334">
        <w:rPr>
          <w:color w:val="000000"/>
          <w:lang w:val="ru-RU"/>
        </w:rPr>
        <w:t xml:space="preserve">  </w:t>
      </w:r>
    </w:p>
    <w:p w:rsidR="008B5F14" w:rsidRPr="000A7C85" w:rsidRDefault="000A7C85" w:rsidP="000859B2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Из вышесказанного следует, что со стороны ВОИС не существует никакого юридического обязательства продолжать практику выплаты субсидии на образование французским сотрудникам, проживающим во Франции</w:t>
      </w:r>
      <w:r w:rsidR="00667CFB" w:rsidRPr="000A7C85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 Эта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конкретная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категория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сотрудников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никогда не приобретала права на сохранение субсидии на образование</w:t>
      </w:r>
      <w:r w:rsidR="00687A17" w:rsidRPr="000A7C85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Это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объясняется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тем</w:t>
      </w:r>
      <w:r w:rsidRPr="000A7C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субсидия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образование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относится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такому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типу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надбавок</w:t>
      </w:r>
      <w:r w:rsidRPr="000A7C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который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обычно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создавал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приобретенное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право</w:t>
      </w:r>
      <w:r w:rsidRPr="000A7C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а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тем</w:t>
      </w:r>
      <w:r w:rsidRPr="000A7C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они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изначально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имели</w:t>
      </w:r>
      <w:r w:rsidRPr="000A7C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закрепленного в нормативно-правовых актах права на субсидию на образование, выплата которой основывалась просто на давней практике</w:t>
      </w:r>
      <w:r w:rsidR="00687A17" w:rsidRPr="000A7C85">
        <w:rPr>
          <w:color w:val="000000"/>
          <w:lang w:val="ru-RU"/>
        </w:rPr>
        <w:t>.</w:t>
      </w:r>
    </w:p>
    <w:p w:rsidR="00F05297" w:rsidRPr="000A7C85" w:rsidRDefault="00F05297" w:rsidP="00F05297">
      <w:pPr>
        <w:pStyle w:val="ListParagraph"/>
        <w:widowControl w:val="0"/>
        <w:ind w:left="0"/>
        <w:rPr>
          <w:color w:val="000000"/>
          <w:lang w:val="ru-RU"/>
        </w:rPr>
      </w:pPr>
    </w:p>
    <w:p w:rsidR="00EC595E" w:rsidRPr="00634101" w:rsidRDefault="00634101" w:rsidP="00113563">
      <w:pPr>
        <w:pStyle w:val="ListParagraph"/>
        <w:keepNext/>
        <w:keepLines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этих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обстоятельствах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считается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целесообразным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исключить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положение</w:t>
      </w:r>
      <w:r w:rsidRPr="00634101">
        <w:rPr>
          <w:color w:val="000000"/>
          <w:lang w:val="ru-RU"/>
        </w:rPr>
        <w:t xml:space="preserve"> </w:t>
      </w:r>
      <w:r w:rsidR="00687A17" w:rsidRPr="00634101">
        <w:rPr>
          <w:color w:val="000000"/>
          <w:lang w:val="ru-RU"/>
        </w:rPr>
        <w:t>3.14(</w:t>
      </w:r>
      <w:r w:rsidR="00687A17" w:rsidRPr="00113563">
        <w:rPr>
          <w:color w:val="000000"/>
        </w:rPr>
        <w:t>f</w:t>
      </w:r>
      <w:r w:rsidR="00687A17" w:rsidRPr="00634101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Положений и правил о персонале ВОИС с вступлением в силу с 1 января</w:t>
      </w:r>
      <w:r w:rsidR="00302743" w:rsidRPr="00634101">
        <w:rPr>
          <w:color w:val="000000"/>
          <w:lang w:val="ru-RU"/>
        </w:rPr>
        <w:t xml:space="preserve"> 2017</w:t>
      </w:r>
      <w:r>
        <w:rPr>
          <w:color w:val="000000"/>
          <w:lang w:val="ru-RU"/>
        </w:rPr>
        <w:t xml:space="preserve"> г</w:t>
      </w:r>
      <w:r w:rsidR="00687A17" w:rsidRPr="00634101">
        <w:rPr>
          <w:color w:val="000000"/>
          <w:lang w:val="ru-RU"/>
        </w:rPr>
        <w:t>.</w:t>
      </w:r>
    </w:p>
    <w:p w:rsidR="00EC595E" w:rsidRPr="00634101" w:rsidRDefault="00EC595E" w:rsidP="00EC595E">
      <w:pPr>
        <w:pStyle w:val="ListParagraph"/>
        <w:rPr>
          <w:color w:val="000000"/>
          <w:lang w:val="ru-RU"/>
        </w:rPr>
      </w:pPr>
    </w:p>
    <w:p w:rsidR="00687A17" w:rsidRPr="00687A17" w:rsidRDefault="00634101" w:rsidP="00687A17">
      <w:pPr>
        <w:pStyle w:val="ListParagraph"/>
        <w:ind w:hanging="153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Законное прекращение практики</w:t>
      </w:r>
    </w:p>
    <w:p w:rsidR="00687A17" w:rsidRPr="00EC595E" w:rsidRDefault="00687A17" w:rsidP="00EC595E">
      <w:pPr>
        <w:pStyle w:val="ListParagraph"/>
        <w:rPr>
          <w:color w:val="000000"/>
        </w:rPr>
      </w:pPr>
    </w:p>
    <w:p w:rsidR="00521FBC" w:rsidRPr="00634101" w:rsidRDefault="00634101" w:rsidP="00EC595E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Хотя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практика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может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быть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прекращена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законном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основании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АТМОТ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дал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ясно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понять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такое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изменение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должно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применяться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ретроактивно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что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оно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должно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быть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доведено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сведения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сотрудников</w:t>
      </w:r>
      <w:r w:rsidR="009B78BA">
        <w:rPr>
          <w:rStyle w:val="FootnoteReference"/>
          <w:color w:val="000000"/>
        </w:rPr>
        <w:footnoteReference w:id="18"/>
      </w:r>
      <w:r w:rsidRPr="00276685">
        <w:rPr>
          <w:color w:val="000000"/>
          <w:lang w:val="ru-RU"/>
        </w:rPr>
        <w:t>.</w:t>
      </w:r>
      <w:r w:rsidR="00A83ABB" w:rsidRPr="00276685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Эти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предварительные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условия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законного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отказа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практики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вытекают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принципов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добросовестности</w:t>
      </w:r>
      <w:r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="00265E21" w:rsidRPr="0063410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честной деловой практики</w:t>
      </w:r>
      <w:r w:rsidR="00265E21" w:rsidRPr="0063410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обеспечивая, чтобы сотрудники, дела выбор и принимая решения, были полностью информированы</w:t>
      </w:r>
      <w:r w:rsidR="00265E21">
        <w:rPr>
          <w:rStyle w:val="FootnoteReference"/>
          <w:color w:val="000000"/>
        </w:rPr>
        <w:footnoteReference w:id="19"/>
      </w:r>
      <w:r>
        <w:rPr>
          <w:color w:val="000000"/>
          <w:lang w:val="ru-RU"/>
        </w:rPr>
        <w:t>.</w:t>
      </w:r>
      <w:r w:rsidR="00A83ABB" w:rsidRPr="00634101">
        <w:rPr>
          <w:color w:val="000000"/>
          <w:lang w:val="ru-RU"/>
        </w:rPr>
        <w:t xml:space="preserve"> </w:t>
      </w:r>
      <w:r w:rsidR="00687A17" w:rsidRPr="00634101">
        <w:rPr>
          <w:color w:val="000000"/>
          <w:lang w:val="ru-RU"/>
        </w:rPr>
        <w:t xml:space="preserve">  </w:t>
      </w:r>
    </w:p>
    <w:p w:rsidR="00521FBC" w:rsidRPr="00634101" w:rsidRDefault="00521FBC" w:rsidP="00521FBC">
      <w:pPr>
        <w:pStyle w:val="ListParagraph"/>
        <w:widowControl w:val="0"/>
        <w:ind w:left="0"/>
        <w:rPr>
          <w:color w:val="000000"/>
          <w:lang w:val="ru-RU"/>
        </w:rPr>
      </w:pPr>
    </w:p>
    <w:p w:rsidR="00341F0C" w:rsidRPr="007548AD" w:rsidRDefault="00634101" w:rsidP="001D7BF2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Что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касается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требования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уведомлении</w:t>
      </w:r>
      <w:r w:rsidRPr="00036AC0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то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следует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сослаться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относительно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недавнее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решение</w:t>
      </w:r>
      <w:r w:rsidRPr="00036AC0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котором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АТМОТ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имел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возможность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прийти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заключению</w:t>
      </w:r>
      <w:r w:rsidRPr="00036A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правомерности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решения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одной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из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организаций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прекратить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выплату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пособия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на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образование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лицам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с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двойным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гражданством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на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том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основании</w:t>
      </w:r>
      <w:r w:rsidR="00036AC0" w:rsidRPr="00036AC0">
        <w:rPr>
          <w:color w:val="000000"/>
          <w:lang w:val="ru-RU"/>
        </w:rPr>
        <w:t xml:space="preserve">, </w:t>
      </w:r>
      <w:r w:rsidR="00036AC0">
        <w:rPr>
          <w:color w:val="000000"/>
          <w:lang w:val="ru-RU"/>
        </w:rPr>
        <w:t>что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ранее оно было предоставлено им по ошибке</w:t>
      </w:r>
      <w:r w:rsidR="00E079EA" w:rsidRPr="00036AC0">
        <w:rPr>
          <w:color w:val="000000"/>
          <w:lang w:val="ru-RU"/>
        </w:rPr>
        <w:t>.</w:t>
      </w:r>
      <w:r w:rsidR="005D45F4" w:rsidRPr="00036AC0">
        <w:rPr>
          <w:color w:val="000000"/>
          <w:lang w:val="ru-RU"/>
        </w:rPr>
        <w:t xml:space="preserve">  </w:t>
      </w:r>
      <w:r w:rsidR="00036AC0">
        <w:rPr>
          <w:color w:val="000000"/>
          <w:lang w:val="ru-RU"/>
        </w:rPr>
        <w:t>Организация уведомила истца о том, что он не будет больше иметь права на получение пособия на образование на следующий учебный год, поскольку пособие выплачивалось ошибочно</w:t>
      </w:r>
      <w:r w:rsidR="005D45F4" w:rsidRPr="00036AC0">
        <w:rPr>
          <w:color w:val="000000"/>
          <w:lang w:val="ru-RU"/>
        </w:rPr>
        <w:t xml:space="preserve">.  </w:t>
      </w:r>
      <w:r w:rsidR="00036AC0">
        <w:rPr>
          <w:color w:val="000000"/>
          <w:lang w:val="ru-RU"/>
        </w:rPr>
        <w:t>Истец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подал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внутреннюю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апелляцию</w:t>
      </w:r>
      <w:r w:rsidR="00036AC0" w:rsidRPr="00036AC0">
        <w:rPr>
          <w:color w:val="000000"/>
          <w:lang w:val="ru-RU"/>
        </w:rPr>
        <w:t xml:space="preserve">, </w:t>
      </w:r>
      <w:r w:rsidR="00036AC0">
        <w:rPr>
          <w:color w:val="000000"/>
          <w:lang w:val="ru-RU"/>
        </w:rPr>
        <w:t>в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связи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с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которой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было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принято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новое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решение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предоставить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пособие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до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окончания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этапа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образования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его</w:t>
      </w:r>
      <w:r w:rsidR="00036AC0" w:rsidRPr="00036AC0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ребенка</w:t>
      </w:r>
      <w:r w:rsidR="00036AC0" w:rsidRPr="00036AC0">
        <w:rPr>
          <w:color w:val="000000"/>
          <w:lang w:val="ru-RU"/>
        </w:rPr>
        <w:t>-</w:t>
      </w:r>
      <w:r w:rsidR="00036AC0">
        <w:rPr>
          <w:color w:val="000000"/>
          <w:lang w:val="ru-RU"/>
        </w:rPr>
        <w:t>иждивенца</w:t>
      </w:r>
      <w:r w:rsidR="005D45F4">
        <w:rPr>
          <w:rStyle w:val="FootnoteReference"/>
          <w:color w:val="000000"/>
        </w:rPr>
        <w:footnoteReference w:id="20"/>
      </w:r>
      <w:r w:rsidR="00036AC0">
        <w:rPr>
          <w:color w:val="000000"/>
          <w:lang w:val="ru-RU"/>
        </w:rPr>
        <w:t>.</w:t>
      </w:r>
      <w:r w:rsidR="005D45F4" w:rsidRPr="00036AC0">
        <w:rPr>
          <w:color w:val="000000"/>
          <w:lang w:val="ru-RU"/>
        </w:rPr>
        <w:t xml:space="preserve">  </w:t>
      </w:r>
      <w:r w:rsidR="00036AC0">
        <w:rPr>
          <w:color w:val="000000"/>
          <w:lang w:val="ru-RU"/>
        </w:rPr>
        <w:t>Подтверждая</w:t>
      </w:r>
      <w:r w:rsidR="00036AC0" w:rsidRPr="007548AD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законность</w:t>
      </w:r>
      <w:r w:rsidR="00036AC0" w:rsidRPr="007548AD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решения</w:t>
      </w:r>
      <w:r w:rsidR="00036AC0" w:rsidRPr="007548AD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прекратить</w:t>
      </w:r>
      <w:r w:rsidR="00036AC0" w:rsidRPr="007548AD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выплату</w:t>
      </w:r>
      <w:r w:rsidR="00036AC0" w:rsidRPr="007548AD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пособия</w:t>
      </w:r>
      <w:r w:rsidR="00036AC0" w:rsidRPr="007548AD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на</w:t>
      </w:r>
      <w:r w:rsidR="00036AC0" w:rsidRPr="007548AD">
        <w:rPr>
          <w:color w:val="000000"/>
          <w:lang w:val="ru-RU"/>
        </w:rPr>
        <w:t xml:space="preserve"> </w:t>
      </w:r>
      <w:r w:rsidR="00036AC0">
        <w:rPr>
          <w:color w:val="000000"/>
          <w:lang w:val="ru-RU"/>
        </w:rPr>
        <w:t>образование</w:t>
      </w:r>
      <w:r w:rsidR="00036AC0" w:rsidRPr="007548AD">
        <w:rPr>
          <w:color w:val="000000"/>
          <w:lang w:val="ru-RU"/>
        </w:rPr>
        <w:t xml:space="preserve">, </w:t>
      </w:r>
      <w:r w:rsidR="00036AC0">
        <w:rPr>
          <w:color w:val="000000"/>
          <w:lang w:val="ru-RU"/>
        </w:rPr>
        <w:t>АТМОТ</w:t>
      </w:r>
      <w:r w:rsidR="00036AC0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выразил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мнения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о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том</w:t>
      </w:r>
      <w:r w:rsidR="007548AD" w:rsidRPr="007548AD">
        <w:rPr>
          <w:color w:val="000000"/>
          <w:lang w:val="ru-RU"/>
        </w:rPr>
        <w:t xml:space="preserve">, </w:t>
      </w:r>
      <w:r w:rsidR="007548AD">
        <w:rPr>
          <w:color w:val="000000"/>
          <w:lang w:val="ru-RU"/>
        </w:rPr>
        <w:t>что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не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было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никакого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нарушения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приобретенного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права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или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оправданного ожидания в отношении того, что прежняя ситуация сохранится</w:t>
      </w:r>
      <w:r w:rsidR="00E079EA" w:rsidRPr="007548AD">
        <w:rPr>
          <w:color w:val="000000"/>
          <w:lang w:val="ru-RU"/>
        </w:rPr>
        <w:t>.</w:t>
      </w:r>
      <w:r w:rsidR="005D45F4" w:rsidRPr="007548AD">
        <w:rPr>
          <w:color w:val="000000"/>
          <w:lang w:val="ru-RU"/>
        </w:rPr>
        <w:t xml:space="preserve">  </w:t>
      </w:r>
      <w:r w:rsidR="007548AD">
        <w:rPr>
          <w:color w:val="000000"/>
          <w:lang w:val="ru-RU"/>
        </w:rPr>
        <w:t>Кроме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того</w:t>
      </w:r>
      <w:r w:rsidR="005D45F4" w:rsidRPr="007548AD">
        <w:rPr>
          <w:color w:val="000000"/>
          <w:lang w:val="ru-RU"/>
        </w:rPr>
        <w:t xml:space="preserve">, </w:t>
      </w:r>
      <w:r w:rsidR="007548AD">
        <w:rPr>
          <w:color w:val="000000"/>
          <w:lang w:val="ru-RU"/>
        </w:rPr>
        <w:t>АТМОТ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с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удовлетворением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отметил</w:t>
      </w:r>
      <w:r w:rsidR="007548AD" w:rsidRPr="007548AD">
        <w:rPr>
          <w:color w:val="000000"/>
          <w:lang w:val="ru-RU"/>
        </w:rPr>
        <w:t xml:space="preserve">, </w:t>
      </w:r>
      <w:r w:rsidR="007548AD">
        <w:rPr>
          <w:color w:val="000000"/>
          <w:lang w:val="ru-RU"/>
        </w:rPr>
        <w:t>что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организация</w:t>
      </w:r>
      <w:r w:rsidR="007548AD" w:rsidRPr="007548AD">
        <w:rPr>
          <w:color w:val="000000"/>
          <w:lang w:val="ru-RU"/>
        </w:rPr>
        <w:t xml:space="preserve">, </w:t>
      </w:r>
      <w:r w:rsidR="007548AD">
        <w:rPr>
          <w:color w:val="000000"/>
          <w:lang w:val="ru-RU"/>
        </w:rPr>
        <w:t>о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которой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шла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речь</w:t>
      </w:r>
      <w:r w:rsidR="007548AD" w:rsidRPr="007548AD">
        <w:rPr>
          <w:color w:val="000000"/>
          <w:lang w:val="ru-RU"/>
        </w:rPr>
        <w:t xml:space="preserve">, </w:t>
      </w:r>
      <w:r w:rsidR="007548AD">
        <w:rPr>
          <w:color w:val="000000"/>
          <w:lang w:val="ru-RU"/>
        </w:rPr>
        <w:t>прекратила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выплату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пособия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не</w:t>
      </w:r>
      <w:r w:rsidR="007548AD" w:rsidRPr="007548AD">
        <w:rPr>
          <w:color w:val="000000"/>
          <w:lang w:val="ru-RU"/>
        </w:rPr>
        <w:t xml:space="preserve"> </w:t>
      </w:r>
      <w:r w:rsidR="007548AD">
        <w:rPr>
          <w:color w:val="000000"/>
          <w:lang w:val="ru-RU"/>
        </w:rPr>
        <w:t>сразу</w:t>
      </w:r>
      <w:r w:rsidR="009C0230">
        <w:rPr>
          <w:rStyle w:val="FootnoteReference"/>
          <w:color w:val="000000"/>
        </w:rPr>
        <w:footnoteReference w:id="21"/>
      </w:r>
      <w:r w:rsidR="007548AD">
        <w:rPr>
          <w:color w:val="000000"/>
          <w:lang w:val="ru-RU"/>
        </w:rPr>
        <w:t>, а только после завершения этапа образования ребенка</w:t>
      </w:r>
      <w:r w:rsidR="00341F0C" w:rsidRPr="007548AD">
        <w:rPr>
          <w:color w:val="000000"/>
          <w:lang w:val="ru-RU"/>
        </w:rPr>
        <w:t>.</w:t>
      </w:r>
    </w:p>
    <w:p w:rsidR="00E02C0A" w:rsidRPr="007548AD" w:rsidRDefault="00E02C0A" w:rsidP="00341F0C">
      <w:pPr>
        <w:pStyle w:val="ListParagraph"/>
        <w:widowControl w:val="0"/>
        <w:ind w:left="0"/>
        <w:rPr>
          <w:color w:val="000000"/>
          <w:lang w:val="ru-RU"/>
        </w:rPr>
      </w:pPr>
    </w:p>
    <w:p w:rsidR="006B52E2" w:rsidRPr="006B52E2" w:rsidRDefault="00D64EAA" w:rsidP="001D7BF2">
      <w:pPr>
        <w:pStyle w:val="ListParagraph"/>
        <w:widowControl w:val="0"/>
        <w:numPr>
          <w:ilvl w:val="0"/>
          <w:numId w:val="17"/>
        </w:numPr>
        <w:ind w:left="567" w:hanging="567"/>
        <w:rPr>
          <w:b/>
          <w:color w:val="000000"/>
        </w:rPr>
      </w:pPr>
      <w:r>
        <w:rPr>
          <w:b/>
          <w:color w:val="000000"/>
          <w:lang w:val="ru-RU"/>
        </w:rPr>
        <w:t>ПЕРЕХОДНЫЕ МЕРЫ</w:t>
      </w:r>
    </w:p>
    <w:p w:rsidR="009E2FEC" w:rsidRDefault="0015119B" w:rsidP="001D7BF2">
      <w:pPr>
        <w:pStyle w:val="ListParagraph"/>
        <w:widowControl w:val="0"/>
        <w:ind w:left="0"/>
        <w:rPr>
          <w:color w:val="000000"/>
        </w:rPr>
      </w:pPr>
      <w:r>
        <w:rPr>
          <w:color w:val="000000"/>
        </w:rPr>
        <w:t xml:space="preserve"> </w:t>
      </w:r>
    </w:p>
    <w:p w:rsidR="00113563" w:rsidRPr="00426B9A" w:rsidRDefault="00EE3CE1" w:rsidP="00113563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Представляется</w:t>
      </w:r>
      <w:r w:rsidRPr="00EE3CE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подход</w:t>
      </w:r>
      <w:r w:rsidRPr="00EE3CE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использованный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организацией</w:t>
      </w:r>
      <w:r w:rsidRPr="00EE3CE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которой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идет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речь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предшествующем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пункте</w:t>
      </w:r>
      <w:r w:rsidRPr="00EE3CE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является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безупречным</w:t>
      </w:r>
      <w:r w:rsidRPr="00EE3CE1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что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было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подтверждено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АТМОТ</w:t>
      </w:r>
      <w:r w:rsidRPr="00EE3CE1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в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силу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того</w:t>
      </w:r>
      <w:r w:rsidRPr="00EE3CE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EE3CE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вообще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говоря</w:t>
      </w:r>
      <w:r w:rsidRPr="00EE3CE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решение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зачислении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ребенка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той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иное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конкретное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учебное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заведение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представляет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собой</w:t>
      </w:r>
      <w:r w:rsidRPr="00EE3CE1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более</w:t>
      </w:r>
      <w:r w:rsidRPr="00EE3CE1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долгосрочное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обязательство</w:t>
      </w:r>
      <w:r w:rsidRPr="00EE3CE1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т</w:t>
      </w:r>
      <w:r w:rsidRPr="00EE3CE1">
        <w:rPr>
          <w:color w:val="000000"/>
          <w:lang w:val="ru-RU"/>
        </w:rPr>
        <w:t>.</w:t>
      </w:r>
      <w:r>
        <w:rPr>
          <w:color w:val="000000"/>
          <w:lang w:val="ru-RU"/>
        </w:rPr>
        <w:t>е</w:t>
      </w:r>
      <w:r w:rsidRPr="00EE3CE1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выходящее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рамки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одного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учебного</w:t>
      </w:r>
      <w:r w:rsidRPr="00EE3C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года</w:t>
      </w:r>
      <w:r w:rsidR="00113563" w:rsidRPr="00EE3CE1">
        <w:rPr>
          <w:color w:val="000000"/>
          <w:lang w:val="ru-RU"/>
        </w:rPr>
        <w:t xml:space="preserve">), </w:t>
      </w:r>
      <w:r>
        <w:rPr>
          <w:color w:val="000000"/>
          <w:lang w:val="ru-RU"/>
        </w:rPr>
        <w:t>основанное на</w:t>
      </w:r>
      <w:r w:rsidR="0034485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том ожидании, что он или она закончит этап </w:t>
      </w:r>
      <w:r w:rsidR="00426B9A">
        <w:rPr>
          <w:color w:val="000000"/>
          <w:lang w:val="ru-RU"/>
        </w:rPr>
        <w:t>образования в этом же учебном заведении (будь то начальное, среднее образование или обучение после завершения среднего образования</w:t>
      </w:r>
      <w:r w:rsidR="00E02C0A" w:rsidRPr="00EE3CE1">
        <w:rPr>
          <w:color w:val="000000"/>
          <w:lang w:val="ru-RU"/>
        </w:rPr>
        <w:t>)</w:t>
      </w:r>
      <w:r w:rsidR="00113563" w:rsidRPr="00EE3CE1">
        <w:rPr>
          <w:color w:val="000000"/>
          <w:lang w:val="ru-RU"/>
        </w:rPr>
        <w:t xml:space="preserve">.  </w:t>
      </w:r>
      <w:r w:rsidR="009A4081" w:rsidRPr="00EE3CE1">
        <w:rPr>
          <w:color w:val="000000"/>
          <w:lang w:val="ru-RU"/>
        </w:rPr>
        <w:t xml:space="preserve"> </w:t>
      </w:r>
      <w:r w:rsidR="00426B9A">
        <w:rPr>
          <w:color w:val="000000"/>
          <w:lang w:val="ru-RU"/>
        </w:rPr>
        <w:t>Если</w:t>
      </w:r>
      <w:r w:rsidR="00426B9A" w:rsidRPr="00426B9A">
        <w:rPr>
          <w:color w:val="000000"/>
          <w:lang w:val="ru-RU"/>
        </w:rPr>
        <w:t xml:space="preserve"> </w:t>
      </w:r>
      <w:r w:rsidR="00426B9A">
        <w:rPr>
          <w:color w:val="000000"/>
          <w:lang w:val="ru-RU"/>
        </w:rPr>
        <w:t>бы</w:t>
      </w:r>
      <w:r w:rsidR="00426B9A" w:rsidRPr="00426B9A">
        <w:rPr>
          <w:color w:val="000000"/>
          <w:lang w:val="ru-RU"/>
        </w:rPr>
        <w:t xml:space="preserve"> </w:t>
      </w:r>
      <w:r w:rsidR="00426B9A">
        <w:rPr>
          <w:color w:val="000000"/>
          <w:lang w:val="ru-RU"/>
        </w:rPr>
        <w:t>сотрудники</w:t>
      </w:r>
      <w:r w:rsidR="00426B9A" w:rsidRPr="00426B9A">
        <w:rPr>
          <w:color w:val="000000"/>
          <w:lang w:val="ru-RU"/>
        </w:rPr>
        <w:t xml:space="preserve"> </w:t>
      </w:r>
      <w:r w:rsidR="00426B9A">
        <w:rPr>
          <w:color w:val="000000"/>
          <w:lang w:val="ru-RU"/>
        </w:rPr>
        <w:t>знали, что выплата субсидии на образование прекратится до того, как и</w:t>
      </w:r>
      <w:r w:rsidR="006D1D1D">
        <w:rPr>
          <w:color w:val="000000"/>
          <w:lang w:val="ru-RU"/>
        </w:rPr>
        <w:t>х</w:t>
      </w:r>
      <w:r w:rsidR="00426B9A">
        <w:rPr>
          <w:color w:val="000000"/>
          <w:lang w:val="ru-RU"/>
        </w:rPr>
        <w:t xml:space="preserve"> ребенок завершит тот или иной этап образования, они, возможно, сделали бы иной выбор при зачислении своего ребенка в учебное заведение</w:t>
      </w:r>
      <w:r w:rsidR="00113563" w:rsidRPr="00426B9A">
        <w:rPr>
          <w:color w:val="000000"/>
          <w:lang w:val="ru-RU"/>
        </w:rPr>
        <w:t>.</w:t>
      </w:r>
      <w:r w:rsidR="00167265" w:rsidRPr="00426B9A">
        <w:rPr>
          <w:color w:val="000000"/>
          <w:lang w:val="ru-RU"/>
        </w:rPr>
        <w:t xml:space="preserve">  </w:t>
      </w:r>
    </w:p>
    <w:p w:rsidR="00E02C0A" w:rsidRPr="00426B9A" w:rsidRDefault="00E02C0A" w:rsidP="00E02C0A">
      <w:pPr>
        <w:pStyle w:val="ListParagraph"/>
        <w:widowControl w:val="0"/>
        <w:ind w:left="0"/>
        <w:rPr>
          <w:color w:val="000000"/>
          <w:lang w:val="ru-RU"/>
        </w:rPr>
      </w:pPr>
    </w:p>
    <w:p w:rsidR="00113563" w:rsidRPr="00426B9A" w:rsidRDefault="00426B9A" w:rsidP="00113563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Поэтому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считается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целесообразным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включить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следующую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переходную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меру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Положения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правила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персонале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ВОИС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вступлением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силу</w:t>
      </w:r>
      <w:r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426B9A">
        <w:rPr>
          <w:color w:val="000000"/>
          <w:lang w:val="ru-RU"/>
        </w:rPr>
        <w:t xml:space="preserve"> 1 </w:t>
      </w:r>
      <w:r>
        <w:rPr>
          <w:color w:val="000000"/>
          <w:lang w:val="ru-RU"/>
        </w:rPr>
        <w:t>января</w:t>
      </w:r>
      <w:r w:rsidRPr="00426B9A">
        <w:rPr>
          <w:color w:val="000000"/>
          <w:lang w:val="ru-RU"/>
        </w:rPr>
        <w:t xml:space="preserve"> 2017 </w:t>
      </w:r>
      <w:r>
        <w:rPr>
          <w:color w:val="000000"/>
          <w:lang w:val="ru-RU"/>
        </w:rPr>
        <w:t>г</w:t>
      </w:r>
      <w:r w:rsidRPr="00426B9A">
        <w:rPr>
          <w:color w:val="000000"/>
          <w:lang w:val="ru-RU"/>
        </w:rPr>
        <w:t>.</w:t>
      </w:r>
      <w:r w:rsidR="00113563" w:rsidRPr="00426B9A">
        <w:rPr>
          <w:color w:val="000000"/>
          <w:lang w:val="ru-RU"/>
        </w:rPr>
        <w:t xml:space="preserve"> </w:t>
      </w:r>
      <w:r w:rsidR="00522E26" w:rsidRPr="00426B9A">
        <w:rPr>
          <w:color w:val="000000"/>
          <w:lang w:val="ru-RU"/>
        </w:rPr>
        <w:t>(</w:t>
      </w:r>
      <w:r>
        <w:rPr>
          <w:color w:val="000000"/>
          <w:lang w:val="ru-RU"/>
        </w:rPr>
        <w:t>в частности</w:t>
      </w:r>
      <w:r w:rsidR="00E02C0A" w:rsidRPr="00426B9A">
        <w:rPr>
          <w:color w:val="000000"/>
          <w:lang w:val="ru-RU"/>
        </w:rPr>
        <w:t>,</w:t>
      </w:r>
      <w:r w:rsidR="00522E26" w:rsidRPr="00426B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в положение</w:t>
      </w:r>
      <w:r w:rsidR="00522E26" w:rsidRPr="00426B9A">
        <w:rPr>
          <w:color w:val="000000"/>
          <w:lang w:val="ru-RU"/>
        </w:rPr>
        <w:t xml:space="preserve"> 12.5, </w:t>
      </w:r>
      <w:r>
        <w:rPr>
          <w:color w:val="000000"/>
          <w:lang w:val="ru-RU"/>
        </w:rPr>
        <w:t>в котором идет речь о переходных мерах</w:t>
      </w:r>
      <w:r w:rsidR="00522E26" w:rsidRPr="00426B9A">
        <w:rPr>
          <w:color w:val="000000"/>
          <w:lang w:val="ru-RU"/>
        </w:rPr>
        <w:t>)</w:t>
      </w:r>
      <w:r w:rsidR="00113563" w:rsidRPr="00426B9A">
        <w:rPr>
          <w:color w:val="000000"/>
          <w:lang w:val="ru-RU"/>
        </w:rPr>
        <w:t>:</w:t>
      </w:r>
    </w:p>
    <w:p w:rsidR="00113563" w:rsidRPr="00426B9A" w:rsidRDefault="00113563" w:rsidP="00113563">
      <w:pPr>
        <w:pStyle w:val="ListParagraph"/>
        <w:rPr>
          <w:color w:val="000000"/>
          <w:lang w:val="ru-RU"/>
        </w:rPr>
      </w:pPr>
    </w:p>
    <w:p w:rsidR="00E02C0A" w:rsidRPr="006D1D1D" w:rsidRDefault="00426B9A" w:rsidP="00113563">
      <w:pPr>
        <w:pStyle w:val="ListParagraph"/>
        <w:widowControl w:val="0"/>
        <w:ind w:left="567"/>
        <w:rPr>
          <w:color w:val="000000"/>
          <w:lang w:val="ru-RU"/>
        </w:rPr>
      </w:pPr>
      <w:r w:rsidRPr="00276685">
        <w:rPr>
          <w:color w:val="000000"/>
          <w:lang w:val="ru-RU"/>
        </w:rPr>
        <w:t>«</w:t>
      </w:r>
      <w:r>
        <w:rPr>
          <w:color w:val="000000"/>
          <w:lang w:val="ru-RU"/>
        </w:rPr>
        <w:t>Несмотря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положение</w:t>
      </w:r>
      <w:r w:rsidR="00E02C0A" w:rsidRPr="00276685">
        <w:rPr>
          <w:color w:val="000000"/>
          <w:lang w:val="ru-RU"/>
        </w:rPr>
        <w:t xml:space="preserve"> 3.14(</w:t>
      </w:r>
      <w:r w:rsidR="00E02C0A" w:rsidRPr="00E02C0A">
        <w:rPr>
          <w:color w:val="000000"/>
        </w:rPr>
        <w:t>a</w:t>
      </w:r>
      <w:r w:rsidR="00E02C0A" w:rsidRPr="00276685">
        <w:rPr>
          <w:color w:val="000000"/>
          <w:lang w:val="ru-RU"/>
        </w:rPr>
        <w:t xml:space="preserve">), </w:t>
      </w:r>
      <w:r w:rsidRPr="006D1D1D">
        <w:rPr>
          <w:color w:val="000000"/>
          <w:lang w:val="ru-RU"/>
        </w:rPr>
        <w:t>сотрудники, имеющие срочные, непрерывные или постоянные контракты в Международно</w:t>
      </w:r>
      <w:r w:rsidR="00197AE9">
        <w:rPr>
          <w:color w:val="000000"/>
          <w:lang w:val="ru-RU"/>
        </w:rPr>
        <w:t>м</w:t>
      </w:r>
      <w:r w:rsidRPr="006D1D1D">
        <w:rPr>
          <w:color w:val="000000"/>
          <w:lang w:val="ru-RU"/>
        </w:rPr>
        <w:t xml:space="preserve"> бюро перед 1 января 2016 г. и проживающие, но не работающие в то время на родине</w:t>
      </w:r>
      <w:r w:rsidRPr="0027668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которые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получают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субсидию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2766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образование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в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отношении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расходов</w:t>
      </w:r>
      <w:r w:rsidR="006D1D1D" w:rsidRPr="00276685">
        <w:rPr>
          <w:color w:val="000000"/>
          <w:lang w:val="ru-RU"/>
        </w:rPr>
        <w:t xml:space="preserve">, </w:t>
      </w:r>
      <w:r w:rsidR="006D1D1D">
        <w:rPr>
          <w:color w:val="000000"/>
          <w:lang w:val="ru-RU"/>
        </w:rPr>
        <w:t>понесенных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вплоть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до</w:t>
      </w:r>
      <w:r w:rsidR="006D1D1D" w:rsidRPr="00276685">
        <w:rPr>
          <w:color w:val="000000"/>
          <w:lang w:val="ru-RU"/>
        </w:rPr>
        <w:t xml:space="preserve"> 31 </w:t>
      </w:r>
      <w:r w:rsidR="006D1D1D">
        <w:rPr>
          <w:color w:val="000000"/>
          <w:lang w:val="ru-RU"/>
        </w:rPr>
        <w:t>декабря</w:t>
      </w:r>
      <w:r w:rsidR="006D1D1D" w:rsidRPr="00276685">
        <w:rPr>
          <w:color w:val="000000"/>
          <w:lang w:val="ru-RU"/>
        </w:rPr>
        <w:t xml:space="preserve"> 2016 </w:t>
      </w:r>
      <w:r w:rsidR="006D1D1D">
        <w:rPr>
          <w:color w:val="000000"/>
          <w:lang w:val="ru-RU"/>
        </w:rPr>
        <w:t>г</w:t>
      </w:r>
      <w:r w:rsidR="006D1D1D" w:rsidRPr="00276685">
        <w:rPr>
          <w:color w:val="000000"/>
          <w:lang w:val="ru-RU"/>
        </w:rPr>
        <w:t xml:space="preserve">. </w:t>
      </w:r>
      <w:r w:rsidR="006D1D1D">
        <w:rPr>
          <w:color w:val="000000"/>
          <w:lang w:val="ru-RU"/>
        </w:rPr>
        <w:t>включительно</w:t>
      </w:r>
      <w:r w:rsidR="006D1D1D" w:rsidRPr="00276685">
        <w:rPr>
          <w:color w:val="000000"/>
          <w:lang w:val="ru-RU"/>
        </w:rPr>
        <w:t xml:space="preserve">, </w:t>
      </w:r>
      <w:r w:rsidR="006D1D1D">
        <w:rPr>
          <w:color w:val="000000"/>
          <w:lang w:val="ru-RU"/>
        </w:rPr>
        <w:t>продолжают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получать</w:t>
      </w:r>
      <w:r w:rsidRPr="00276685">
        <w:rPr>
          <w:color w:val="000000"/>
          <w:lang w:val="ru-RU"/>
        </w:rPr>
        <w:t xml:space="preserve"> </w:t>
      </w:r>
      <w:r w:rsidRPr="006D1D1D">
        <w:rPr>
          <w:color w:val="000000"/>
          <w:lang w:val="ru-RU"/>
        </w:rPr>
        <w:t>субсидию на образование</w:t>
      </w:r>
      <w:r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до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тех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пор</w:t>
      </w:r>
      <w:r w:rsidR="006D1D1D" w:rsidRPr="00276685">
        <w:rPr>
          <w:color w:val="000000"/>
          <w:lang w:val="ru-RU"/>
        </w:rPr>
        <w:t xml:space="preserve">, </w:t>
      </w:r>
      <w:r w:rsidR="006D1D1D">
        <w:rPr>
          <w:color w:val="000000"/>
          <w:lang w:val="ru-RU"/>
        </w:rPr>
        <w:t>пока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ребенок</w:t>
      </w:r>
      <w:r w:rsidR="006D1D1D" w:rsidRPr="00276685">
        <w:rPr>
          <w:color w:val="000000"/>
          <w:lang w:val="ru-RU"/>
        </w:rPr>
        <w:t>-</w:t>
      </w:r>
      <w:r w:rsidR="006D1D1D">
        <w:rPr>
          <w:color w:val="000000"/>
          <w:lang w:val="ru-RU"/>
        </w:rPr>
        <w:t>иждивенец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не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завершит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этап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образования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в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учебном</w:t>
      </w:r>
      <w:r w:rsidR="006D1D1D" w:rsidRPr="00276685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заведении, в котором он числился по состоянию на 31 декабря 2016 г., при условии соблюдения всех других установленных требований</w:t>
      </w:r>
      <w:r w:rsidR="00E02C0A" w:rsidRPr="00276685">
        <w:rPr>
          <w:color w:val="000000"/>
          <w:lang w:val="ru-RU"/>
        </w:rPr>
        <w:t xml:space="preserve">.  </w:t>
      </w:r>
      <w:r w:rsidR="006D1D1D">
        <w:rPr>
          <w:color w:val="000000"/>
          <w:lang w:val="ru-RU"/>
        </w:rPr>
        <w:t>Для</w:t>
      </w:r>
      <w:r w:rsidR="006D1D1D" w:rsidRPr="006D1D1D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целей</w:t>
      </w:r>
      <w:r w:rsidR="006D1D1D" w:rsidRPr="006D1D1D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настоящего</w:t>
      </w:r>
      <w:r w:rsidR="006D1D1D" w:rsidRPr="006D1D1D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положения</w:t>
      </w:r>
      <w:r w:rsidR="00E02C0A" w:rsidRPr="006D1D1D">
        <w:rPr>
          <w:color w:val="000000"/>
          <w:lang w:val="ru-RU"/>
        </w:rPr>
        <w:t xml:space="preserve"> </w:t>
      </w:r>
      <w:r w:rsidR="006D1D1D" w:rsidRPr="006D1D1D">
        <w:rPr>
          <w:color w:val="000000"/>
          <w:lang w:val="ru-RU"/>
        </w:rPr>
        <w:t>“</w:t>
      </w:r>
      <w:r w:rsidR="006D1D1D">
        <w:rPr>
          <w:color w:val="000000"/>
          <w:lang w:val="ru-RU"/>
        </w:rPr>
        <w:t>этап</w:t>
      </w:r>
      <w:r w:rsidR="006D1D1D" w:rsidRPr="006D1D1D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образования</w:t>
      </w:r>
      <w:r w:rsidR="006D1D1D" w:rsidRPr="006D1D1D">
        <w:rPr>
          <w:color w:val="000000"/>
          <w:lang w:val="ru-RU"/>
        </w:rPr>
        <w:t>”</w:t>
      </w:r>
      <w:r w:rsidR="00E02C0A" w:rsidRPr="006D1D1D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означает</w:t>
      </w:r>
      <w:r w:rsidR="00E02C0A" w:rsidRPr="006D1D1D">
        <w:rPr>
          <w:color w:val="000000"/>
          <w:lang w:val="ru-RU"/>
        </w:rPr>
        <w:t xml:space="preserve"> </w:t>
      </w:r>
      <w:r w:rsidR="006D1D1D">
        <w:rPr>
          <w:color w:val="000000"/>
          <w:lang w:val="ru-RU"/>
        </w:rPr>
        <w:t>начальное, среднее образование или обучение после завершения среднего образования»</w:t>
      </w:r>
      <w:r w:rsidR="00E02C0A" w:rsidRPr="006D1D1D">
        <w:rPr>
          <w:color w:val="000000"/>
          <w:lang w:val="ru-RU"/>
        </w:rPr>
        <w:t>.</w:t>
      </w:r>
    </w:p>
    <w:p w:rsidR="00E02C0A" w:rsidRPr="006D1D1D" w:rsidRDefault="00E02C0A" w:rsidP="00113563">
      <w:pPr>
        <w:pStyle w:val="ListParagraph"/>
        <w:widowControl w:val="0"/>
        <w:ind w:left="567"/>
        <w:rPr>
          <w:color w:val="000000"/>
          <w:lang w:val="ru-RU"/>
        </w:rPr>
      </w:pPr>
    </w:p>
    <w:p w:rsidR="00113563" w:rsidRPr="00344855" w:rsidRDefault="006D1D1D" w:rsidP="007F65D2">
      <w:pPr>
        <w:pStyle w:val="ListParagraph"/>
        <w:widowControl w:val="0"/>
        <w:numPr>
          <w:ilvl w:val="0"/>
          <w:numId w:val="9"/>
        </w:numPr>
        <w:ind w:left="0" w:firstLine="0"/>
        <w:rPr>
          <w:color w:val="000000"/>
          <w:lang w:val="ru-RU"/>
        </w:rPr>
      </w:pPr>
      <w:r>
        <w:rPr>
          <w:szCs w:val="22"/>
          <w:lang w:val="ru-RU"/>
        </w:rPr>
        <w:t>Эта переходная мера ограничена по времени</w:t>
      </w:r>
      <w:r w:rsidR="007F65D2" w:rsidRPr="006D1D1D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Начальное и среднее образование обычно длятся по 6 лет</w:t>
      </w:r>
      <w:r w:rsidR="007F65D2" w:rsidRPr="006D1D1D">
        <w:rPr>
          <w:szCs w:val="22"/>
          <w:lang w:val="ru-RU"/>
        </w:rPr>
        <w:t xml:space="preserve"> </w:t>
      </w:r>
      <w:r w:rsidR="007F65D2" w:rsidRPr="00131D15">
        <w:rPr>
          <w:szCs w:val="22"/>
        </w:rPr>
        <w:t>and</w:t>
      </w:r>
      <w:r w:rsidR="00B06EEF" w:rsidRPr="006D1D1D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Более</w:t>
      </w:r>
      <w:r w:rsidRPr="006D1D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="00B06EEF" w:rsidRPr="006D1D1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субсидия на образование может выплачиваться лишь до четвертого года</w:t>
      </w:r>
      <w:r w:rsidR="00B06EEF" w:rsidRPr="006D1D1D">
        <w:rPr>
          <w:szCs w:val="22"/>
          <w:lang w:val="ru-RU"/>
        </w:rPr>
        <w:t xml:space="preserve"> </w:t>
      </w:r>
      <w:r>
        <w:rPr>
          <w:color w:val="000000"/>
          <w:lang w:val="ru-RU"/>
        </w:rPr>
        <w:t>обучения после завершения среднего образования</w:t>
      </w:r>
      <w:r w:rsidR="00B06EEF" w:rsidRPr="006D1D1D">
        <w:rPr>
          <w:szCs w:val="22"/>
          <w:lang w:val="ru-RU"/>
        </w:rPr>
        <w:t xml:space="preserve">.  </w:t>
      </w:r>
      <w:r w:rsidR="00344855">
        <w:rPr>
          <w:szCs w:val="22"/>
          <w:lang w:val="ru-RU"/>
        </w:rPr>
        <w:t>Поэтому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максимальный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срок</w:t>
      </w:r>
      <w:r w:rsidR="00344855" w:rsidRPr="00344855">
        <w:rPr>
          <w:szCs w:val="22"/>
          <w:lang w:val="ru-RU"/>
        </w:rPr>
        <w:t xml:space="preserve">, </w:t>
      </w:r>
      <w:r w:rsidR="00344855">
        <w:rPr>
          <w:szCs w:val="22"/>
          <w:lang w:val="ru-RU"/>
        </w:rPr>
        <w:t>в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течение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которого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будет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действовать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эта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переходная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мера</w:t>
      </w:r>
      <w:r w:rsidR="00344855" w:rsidRPr="00344855">
        <w:rPr>
          <w:szCs w:val="22"/>
          <w:lang w:val="ru-RU"/>
        </w:rPr>
        <w:t xml:space="preserve">, </w:t>
      </w:r>
      <w:r w:rsidR="00344855">
        <w:rPr>
          <w:szCs w:val="22"/>
          <w:lang w:val="ru-RU"/>
        </w:rPr>
        <w:t>составляет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приблизительно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пять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лет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для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ребенка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на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этапе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начального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или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среднего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 xml:space="preserve">образования </w:t>
      </w:r>
      <w:r w:rsidR="00344855" w:rsidRPr="00344855">
        <w:rPr>
          <w:szCs w:val="22"/>
          <w:lang w:val="ru-RU"/>
        </w:rPr>
        <w:t>(</w:t>
      </w:r>
      <w:r w:rsidR="00344855">
        <w:rPr>
          <w:szCs w:val="22"/>
          <w:lang w:val="ru-RU"/>
        </w:rPr>
        <w:t>исходя из нормальной успеваемости ребенка в системе образования</w:t>
      </w:r>
      <w:r w:rsidR="00344855" w:rsidRPr="00344855">
        <w:rPr>
          <w:szCs w:val="22"/>
          <w:lang w:val="ru-RU"/>
        </w:rPr>
        <w:t xml:space="preserve">) </w:t>
      </w:r>
      <w:r w:rsidR="00344855">
        <w:rPr>
          <w:szCs w:val="22"/>
          <w:lang w:val="ru-RU"/>
        </w:rPr>
        <w:t>и не более трех лет для ребенка на этапе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color w:val="000000"/>
          <w:lang w:val="ru-RU"/>
        </w:rPr>
        <w:t xml:space="preserve">обучения после завершения среднего </w:t>
      </w:r>
      <w:r w:rsidR="00344855">
        <w:rPr>
          <w:szCs w:val="22"/>
          <w:lang w:val="ru-RU"/>
        </w:rPr>
        <w:t xml:space="preserve"> </w:t>
      </w:r>
      <w:r w:rsidR="00344855">
        <w:rPr>
          <w:color w:val="000000"/>
          <w:lang w:val="ru-RU"/>
        </w:rPr>
        <w:t>образования</w:t>
      </w:r>
      <w:r w:rsidR="00B06EEF" w:rsidRPr="00344855">
        <w:rPr>
          <w:szCs w:val="22"/>
          <w:lang w:val="ru-RU"/>
        </w:rPr>
        <w:t xml:space="preserve">.  </w:t>
      </w:r>
      <w:r w:rsidR="00344855">
        <w:rPr>
          <w:szCs w:val="22"/>
          <w:lang w:val="ru-RU"/>
        </w:rPr>
        <w:t>Это</w:t>
      </w:r>
      <w:r w:rsidR="00B06EEF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объясняется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тем</w:t>
      </w:r>
      <w:r w:rsidR="00344855" w:rsidRPr="00344855">
        <w:rPr>
          <w:szCs w:val="22"/>
          <w:lang w:val="ru-RU"/>
        </w:rPr>
        <w:t xml:space="preserve">, </w:t>
      </w:r>
      <w:r w:rsidR="00344855">
        <w:rPr>
          <w:szCs w:val="22"/>
          <w:lang w:val="ru-RU"/>
        </w:rPr>
        <w:t>что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сотрудники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уже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должны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были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связать себя обязательствами в отношении учебного заведения, чтобы на них распространялось действие переходной меры</w:t>
      </w:r>
      <w:r w:rsidR="007F65D2" w:rsidRPr="00344855">
        <w:rPr>
          <w:szCs w:val="22"/>
          <w:lang w:val="ru-RU"/>
        </w:rPr>
        <w:t xml:space="preserve">.  </w:t>
      </w:r>
      <w:r w:rsidR="00344855">
        <w:rPr>
          <w:szCs w:val="22"/>
          <w:lang w:val="ru-RU"/>
        </w:rPr>
        <w:t>Она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разработана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так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исключительно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для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того</w:t>
      </w:r>
      <w:r w:rsidR="00344855" w:rsidRPr="00344855">
        <w:rPr>
          <w:szCs w:val="22"/>
          <w:lang w:val="ru-RU"/>
        </w:rPr>
        <w:t xml:space="preserve">, </w:t>
      </w:r>
      <w:r w:rsidR="00344855">
        <w:rPr>
          <w:szCs w:val="22"/>
          <w:lang w:val="ru-RU"/>
        </w:rPr>
        <w:t>чтобы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учесть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принципы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добросовестности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szCs w:val="22"/>
          <w:lang w:val="ru-RU"/>
        </w:rPr>
        <w:t>и</w:t>
      </w:r>
      <w:r w:rsidR="00344855" w:rsidRPr="00344855">
        <w:rPr>
          <w:szCs w:val="22"/>
          <w:lang w:val="ru-RU"/>
        </w:rPr>
        <w:t xml:space="preserve"> </w:t>
      </w:r>
      <w:r w:rsidR="00344855">
        <w:rPr>
          <w:color w:val="000000"/>
          <w:lang w:val="ru-RU"/>
        </w:rPr>
        <w:t>честной деловой практики, поддерживаемые АТМОТ</w:t>
      </w:r>
      <w:r w:rsidR="007F65D2" w:rsidRPr="00344855">
        <w:rPr>
          <w:szCs w:val="22"/>
          <w:lang w:val="ru-RU"/>
        </w:rPr>
        <w:t>.</w:t>
      </w:r>
      <w:r w:rsidR="00522E26" w:rsidRPr="00344855">
        <w:rPr>
          <w:color w:val="000000"/>
          <w:lang w:val="ru-RU"/>
        </w:rPr>
        <w:t xml:space="preserve"> </w:t>
      </w:r>
      <w:r w:rsidR="00113563" w:rsidRPr="00344855">
        <w:rPr>
          <w:color w:val="000000"/>
          <w:lang w:val="ru-RU"/>
        </w:rPr>
        <w:t xml:space="preserve">      </w:t>
      </w:r>
    </w:p>
    <w:p w:rsidR="00273D4E" w:rsidRPr="00344855" w:rsidRDefault="00273D4E" w:rsidP="000E2E0C">
      <w:pPr>
        <w:pStyle w:val="ListParagraph"/>
        <w:keepNext/>
        <w:keepLines/>
        <w:ind w:left="0"/>
        <w:rPr>
          <w:color w:val="000000"/>
          <w:lang w:val="ru-RU"/>
        </w:rPr>
      </w:pPr>
    </w:p>
    <w:p w:rsidR="00273139" w:rsidRDefault="00D64EAA" w:rsidP="00273D4E">
      <w:pPr>
        <w:pStyle w:val="ListParagraph"/>
        <w:widowControl w:val="0"/>
        <w:numPr>
          <w:ilvl w:val="0"/>
          <w:numId w:val="17"/>
        </w:numPr>
        <w:ind w:left="567" w:hanging="567"/>
        <w:rPr>
          <w:b/>
          <w:color w:val="000000"/>
        </w:rPr>
      </w:pPr>
      <w:r>
        <w:rPr>
          <w:b/>
          <w:color w:val="000000"/>
          <w:lang w:val="ru-RU"/>
        </w:rPr>
        <w:t>ФИНАНСОВЫЕ ПОСЛЕДСТВИЯ</w:t>
      </w:r>
    </w:p>
    <w:p w:rsidR="00273D4E" w:rsidRDefault="00273D4E" w:rsidP="00273D4E">
      <w:pPr>
        <w:pStyle w:val="ListParagraph"/>
        <w:widowControl w:val="0"/>
        <w:ind w:left="567"/>
        <w:rPr>
          <w:b/>
          <w:color w:val="000000"/>
        </w:rPr>
      </w:pPr>
    </w:p>
    <w:p w:rsidR="00344855" w:rsidRPr="00CD1C4C" w:rsidRDefault="00344855" w:rsidP="00CD1C4C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Чтобы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определить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финансовые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последствия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предлагаемой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переходной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меры</w:t>
      </w:r>
      <w:r w:rsidR="00CD614D" w:rsidRPr="00CD1C4C">
        <w:rPr>
          <w:rFonts w:eastAsia="Times New Roman"/>
          <w:szCs w:val="22"/>
          <w:lang w:val="ru-RU" w:eastAsia="en-US"/>
        </w:rPr>
        <w:t xml:space="preserve">, </w:t>
      </w:r>
      <w:r w:rsidR="00CD1C4C">
        <w:rPr>
          <w:rFonts w:eastAsia="Times New Roman"/>
          <w:szCs w:val="22"/>
          <w:lang w:val="ru-RU" w:eastAsia="en-US"/>
        </w:rPr>
        <w:t>Бюро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Юрисконсульта</w:t>
      </w:r>
      <w:r w:rsidR="00CD614D" w:rsidRPr="00CD1C4C">
        <w:rPr>
          <w:rFonts w:eastAsia="Times New Roman"/>
          <w:szCs w:val="22"/>
          <w:lang w:val="ru-RU" w:eastAsia="en-US"/>
        </w:rPr>
        <w:t xml:space="preserve"> </w:t>
      </w:r>
      <w:r w:rsidR="00CD1C4C" w:rsidRPr="00CD1C4C">
        <w:rPr>
          <w:rFonts w:eastAsia="Times New Roman"/>
          <w:szCs w:val="22"/>
          <w:lang w:val="ru-RU" w:eastAsia="en-US"/>
        </w:rPr>
        <w:t>(</w:t>
      </w:r>
      <w:r w:rsidR="00CD1C4C">
        <w:rPr>
          <w:rFonts w:eastAsia="Times New Roman"/>
          <w:szCs w:val="22"/>
          <w:lang w:val="ru-RU" w:eastAsia="en-US"/>
        </w:rPr>
        <w:t>БЮ</w:t>
      </w:r>
      <w:r w:rsidR="00AB3D55" w:rsidRPr="00CD1C4C">
        <w:rPr>
          <w:rFonts w:eastAsia="Times New Roman"/>
          <w:szCs w:val="22"/>
          <w:lang w:val="ru-RU" w:eastAsia="en-US"/>
        </w:rPr>
        <w:t xml:space="preserve">) </w:t>
      </w:r>
      <w:r w:rsidR="00CD1C4C">
        <w:rPr>
          <w:rFonts w:eastAsia="Times New Roman"/>
          <w:szCs w:val="22"/>
          <w:lang w:val="ru-RU" w:eastAsia="en-US"/>
        </w:rPr>
        <w:t>получило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соответствующие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информацию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и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данные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от</w:t>
      </w:r>
      <w:r w:rsidR="00CD1C4C" w:rsidRPr="00CD1C4C">
        <w:rPr>
          <w:rFonts w:eastAsia="Times New Roman"/>
          <w:szCs w:val="22"/>
          <w:lang w:val="ru-RU" w:eastAsia="en-US"/>
        </w:rPr>
        <w:t xml:space="preserve"> Департамент</w:t>
      </w:r>
      <w:r w:rsidR="00CD1C4C">
        <w:rPr>
          <w:rFonts w:eastAsia="Times New Roman"/>
          <w:szCs w:val="22"/>
          <w:lang w:val="ru-RU" w:eastAsia="en-US"/>
        </w:rPr>
        <w:t>а</w:t>
      </w:r>
      <w:r w:rsidR="00CD1C4C" w:rsidRPr="00CD1C4C">
        <w:rPr>
          <w:rFonts w:eastAsia="Times New Roman"/>
          <w:szCs w:val="22"/>
          <w:lang w:val="ru-RU" w:eastAsia="en-US"/>
        </w:rPr>
        <w:t xml:space="preserve"> управления людскими ресурсами</w:t>
      </w:r>
      <w:r w:rsidR="00553050" w:rsidRPr="00CD1C4C">
        <w:rPr>
          <w:rFonts w:eastAsia="Times New Roman"/>
          <w:szCs w:val="22"/>
          <w:lang w:val="ru-RU" w:eastAsia="en-US"/>
        </w:rPr>
        <w:t xml:space="preserve"> </w:t>
      </w:r>
      <w:r w:rsidR="00AB3D55" w:rsidRPr="00CD1C4C">
        <w:rPr>
          <w:rFonts w:eastAsia="Times New Roman"/>
          <w:szCs w:val="22"/>
          <w:lang w:val="ru-RU" w:eastAsia="en-US"/>
        </w:rPr>
        <w:t>(</w:t>
      </w:r>
      <w:r w:rsidR="00CD1C4C">
        <w:rPr>
          <w:rFonts w:eastAsia="Times New Roman"/>
          <w:szCs w:val="22"/>
          <w:lang w:val="ru-RU" w:eastAsia="en-US"/>
        </w:rPr>
        <w:t>ДУЛР</w:t>
      </w:r>
      <w:r w:rsidR="00AB3D55" w:rsidRPr="00CD1C4C">
        <w:rPr>
          <w:rFonts w:eastAsia="Times New Roman"/>
          <w:szCs w:val="22"/>
          <w:lang w:val="ru-RU" w:eastAsia="en-US"/>
        </w:rPr>
        <w:t xml:space="preserve">) </w:t>
      </w:r>
      <w:r w:rsidR="00CD1C4C">
        <w:rPr>
          <w:rFonts w:eastAsia="Times New Roman"/>
          <w:szCs w:val="22"/>
          <w:lang w:val="ru-RU" w:eastAsia="en-US"/>
        </w:rPr>
        <w:t>в отношении численности французских сотрудников, проживающих во Франции, о которых идет речь</w:t>
      </w:r>
      <w:r w:rsidR="00AB3D55" w:rsidRPr="00CD1C4C">
        <w:rPr>
          <w:rFonts w:eastAsia="Times New Roman"/>
          <w:szCs w:val="22"/>
          <w:lang w:val="ru-RU" w:eastAsia="en-US"/>
        </w:rPr>
        <w:t xml:space="preserve">.  </w:t>
      </w:r>
      <w:r w:rsidR="00CD1C4C">
        <w:rPr>
          <w:rFonts w:eastAsia="Times New Roman"/>
          <w:szCs w:val="22"/>
          <w:lang w:val="ru-RU" w:eastAsia="en-US"/>
        </w:rPr>
        <w:t>Затем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БЮ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обратилось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к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ДУЛР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и</w:t>
      </w:r>
      <w:r w:rsidR="00CD1C4C" w:rsidRPr="00CD1C4C">
        <w:rPr>
          <w:rFonts w:eastAsia="Times New Roman"/>
          <w:szCs w:val="22"/>
          <w:lang w:val="ru-RU" w:eastAsia="en-US"/>
        </w:rPr>
        <w:t xml:space="preserve"> </w:t>
      </w:r>
      <w:r w:rsidR="00CD1C4C">
        <w:rPr>
          <w:rFonts w:eastAsia="Times New Roman"/>
          <w:szCs w:val="22"/>
          <w:lang w:val="ru-RU" w:eastAsia="en-US"/>
        </w:rPr>
        <w:t>Финансовому отделу с просьбой произвести расчет финансовых расходов в связи с предлагаемой переходной мерой исходя из набора критериев, предоставленного БЮ</w:t>
      </w:r>
      <w:r w:rsidR="00AB3D55" w:rsidRPr="00CD1C4C">
        <w:rPr>
          <w:rFonts w:eastAsia="Times New Roman"/>
          <w:szCs w:val="22"/>
          <w:lang w:val="ru-RU" w:eastAsia="en-US"/>
        </w:rPr>
        <w:t>.</w:t>
      </w:r>
    </w:p>
    <w:p w:rsidR="00CD614D" w:rsidRPr="00CD1C4C" w:rsidRDefault="00AB3D55" w:rsidP="00344855">
      <w:pPr>
        <w:pStyle w:val="ListParagraph"/>
        <w:widowControl w:val="0"/>
        <w:ind w:left="0"/>
        <w:rPr>
          <w:rFonts w:eastAsia="Times New Roman"/>
          <w:szCs w:val="22"/>
          <w:lang w:val="ru-RU" w:eastAsia="en-US"/>
        </w:rPr>
      </w:pPr>
      <w:r w:rsidRPr="00CD1C4C">
        <w:rPr>
          <w:rFonts w:eastAsia="Times New Roman"/>
          <w:szCs w:val="22"/>
          <w:lang w:val="ru-RU" w:eastAsia="en-US"/>
        </w:rPr>
        <w:t xml:space="preserve"> </w:t>
      </w:r>
    </w:p>
    <w:p w:rsidR="004613B2" w:rsidRPr="00CD1C4C" w:rsidRDefault="00CD1C4C" w:rsidP="004613B2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Изначальной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точкой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финансового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анализа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является</w:t>
      </w:r>
      <w:r w:rsidR="004613B2" w:rsidRPr="00CD1C4C">
        <w:rPr>
          <w:rFonts w:eastAsia="Times New Roman"/>
          <w:szCs w:val="22"/>
          <w:lang w:val="ru-RU" w:eastAsia="en-US"/>
        </w:rPr>
        <w:t xml:space="preserve"> 2017/2018 </w:t>
      </w:r>
      <w:r>
        <w:rPr>
          <w:rFonts w:eastAsia="Times New Roman"/>
          <w:szCs w:val="22"/>
          <w:lang w:val="ru-RU" w:eastAsia="en-US"/>
        </w:rPr>
        <w:t>школьный год</w:t>
      </w:r>
      <w:r w:rsidR="004613B2" w:rsidRPr="00CD1C4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который, как обычно, начнется в сентябре</w:t>
      </w:r>
      <w:r w:rsidR="004613B2" w:rsidRPr="00CD1C4C">
        <w:rPr>
          <w:rFonts w:eastAsia="Times New Roman"/>
          <w:szCs w:val="22"/>
          <w:lang w:val="ru-RU" w:eastAsia="en-US"/>
        </w:rPr>
        <w:t xml:space="preserve"> 2017</w:t>
      </w:r>
      <w:r>
        <w:rPr>
          <w:rFonts w:eastAsia="Times New Roman"/>
          <w:szCs w:val="22"/>
          <w:lang w:val="ru-RU" w:eastAsia="en-US"/>
        </w:rPr>
        <w:t xml:space="preserve"> г</w:t>
      </w:r>
      <w:r w:rsidR="004613B2" w:rsidRPr="00CD1C4C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Это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объясняется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тем</w:t>
      </w:r>
      <w:r w:rsidRPr="00CD1C4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любые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поправки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Положениям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правилам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персонале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вступят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силу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лишь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после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семьдесят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третьей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сессии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Координационного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комитета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октябре</w:t>
      </w:r>
      <w:r w:rsidRPr="00CD1C4C">
        <w:rPr>
          <w:rFonts w:eastAsia="Times New Roman"/>
          <w:szCs w:val="22"/>
          <w:lang w:val="ru-RU" w:eastAsia="en-US"/>
        </w:rPr>
        <w:t xml:space="preserve"> 2016 </w:t>
      </w:r>
      <w:r>
        <w:rPr>
          <w:rFonts w:eastAsia="Times New Roman"/>
          <w:szCs w:val="22"/>
          <w:lang w:val="ru-RU" w:eastAsia="en-US"/>
        </w:rPr>
        <w:t>г</w:t>
      </w:r>
      <w:r w:rsidRPr="00CD1C4C">
        <w:rPr>
          <w:rFonts w:eastAsia="Times New Roman"/>
          <w:szCs w:val="22"/>
          <w:lang w:val="ru-RU" w:eastAsia="en-US"/>
        </w:rPr>
        <w:t xml:space="preserve">., </w:t>
      </w:r>
      <w:r>
        <w:rPr>
          <w:rFonts w:eastAsia="Times New Roman"/>
          <w:szCs w:val="22"/>
          <w:lang w:val="ru-RU" w:eastAsia="en-US"/>
        </w:rPr>
        <w:t>то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есть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слишком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поздно</w:t>
      </w:r>
      <w:r w:rsidRPr="00CD1C4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чтобы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как</w:t>
      </w:r>
      <w:r w:rsidRPr="00CD1C4C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то</w:t>
      </w:r>
      <w:r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повлиять</w:t>
      </w:r>
      <w:r w:rsidR="004613B2" w:rsidRPr="00CD1C4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="00B35ABE" w:rsidRPr="00CD1C4C">
        <w:rPr>
          <w:rFonts w:eastAsia="Times New Roman"/>
          <w:szCs w:val="22"/>
          <w:lang w:val="ru-RU" w:eastAsia="en-US"/>
        </w:rPr>
        <w:t xml:space="preserve"> 2016/2017 </w:t>
      </w:r>
      <w:r>
        <w:rPr>
          <w:rFonts w:eastAsia="Times New Roman"/>
          <w:szCs w:val="22"/>
          <w:lang w:val="ru-RU" w:eastAsia="en-US"/>
        </w:rPr>
        <w:t>учебный год</w:t>
      </w:r>
      <w:r w:rsidR="00B35ABE" w:rsidRPr="00CD1C4C">
        <w:rPr>
          <w:rFonts w:eastAsia="Times New Roman"/>
          <w:szCs w:val="22"/>
          <w:lang w:val="ru-RU" w:eastAsia="en-US"/>
        </w:rPr>
        <w:t xml:space="preserve">, </w:t>
      </w:r>
      <w:r w:rsidR="00AF5072">
        <w:rPr>
          <w:rFonts w:eastAsia="Times New Roman"/>
          <w:szCs w:val="22"/>
          <w:lang w:val="ru-RU" w:eastAsia="en-US"/>
        </w:rPr>
        <w:t>поскольку соответствующие французские сотрудники уже должны будут связать себя соответствующими обязательствами к этому времени</w:t>
      </w:r>
      <w:r w:rsidR="00B35ABE" w:rsidRPr="00CD1C4C">
        <w:rPr>
          <w:rFonts w:eastAsia="Times New Roman"/>
          <w:szCs w:val="22"/>
          <w:lang w:val="ru-RU" w:eastAsia="en-US"/>
        </w:rPr>
        <w:t>.</w:t>
      </w:r>
    </w:p>
    <w:p w:rsidR="00680806" w:rsidRPr="00CD1C4C" w:rsidRDefault="00680806" w:rsidP="00680806">
      <w:pPr>
        <w:pStyle w:val="ListParagraph"/>
        <w:widowControl w:val="0"/>
        <w:ind w:left="0"/>
        <w:rPr>
          <w:rFonts w:eastAsia="Times New Roman"/>
          <w:szCs w:val="22"/>
          <w:lang w:val="ru-RU" w:eastAsia="en-US"/>
        </w:rPr>
      </w:pPr>
    </w:p>
    <w:p w:rsidR="007F5C49" w:rsidRPr="00401EA5" w:rsidRDefault="00AF5072" w:rsidP="007F5C49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По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состоянию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конец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июня</w:t>
      </w:r>
      <w:r w:rsidR="00A16ECB" w:rsidRPr="00AF5072">
        <w:rPr>
          <w:rFonts w:eastAsia="Times New Roman"/>
          <w:szCs w:val="22"/>
          <w:lang w:val="ru-RU" w:eastAsia="en-US"/>
        </w:rPr>
        <w:t xml:space="preserve"> 2016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</w:t>
      </w:r>
      <w:r w:rsidRPr="00AF5072">
        <w:rPr>
          <w:rFonts w:eastAsia="Times New Roman"/>
          <w:szCs w:val="22"/>
          <w:lang w:val="ru-RU" w:eastAsia="en-US"/>
        </w:rPr>
        <w:t xml:space="preserve">. </w:t>
      </w:r>
      <w:r>
        <w:rPr>
          <w:rFonts w:eastAsia="Times New Roman"/>
          <w:szCs w:val="22"/>
          <w:lang w:val="ru-RU" w:eastAsia="en-US"/>
        </w:rPr>
        <w:t>количество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французских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сотрудников</w:t>
      </w:r>
      <w:r w:rsidRPr="00AF5072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проживающих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Франции</w:t>
      </w:r>
      <w:r w:rsidRPr="00AF5072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которые</w:t>
      </w:r>
      <w:r w:rsidRPr="00AF5072">
        <w:rPr>
          <w:rFonts w:eastAsia="Times New Roman"/>
          <w:szCs w:val="22"/>
          <w:lang w:val="ru-RU" w:eastAsia="en-US"/>
        </w:rPr>
        <w:t xml:space="preserve"> </w:t>
      </w:r>
      <w:r>
        <w:rPr>
          <w:lang w:val="ru-RU"/>
        </w:rPr>
        <w:t>подавали требование в рамках системы субсиди</w:t>
      </w:r>
      <w:r w:rsidR="009A3542">
        <w:rPr>
          <w:lang w:val="ru-RU"/>
        </w:rPr>
        <w:t>рова</w:t>
      </w:r>
      <w:r>
        <w:rPr>
          <w:lang w:val="ru-RU"/>
        </w:rPr>
        <w:t>н</w:t>
      </w:r>
      <w:r w:rsidR="009A3542">
        <w:rPr>
          <w:lang w:val="ru-RU"/>
        </w:rPr>
        <w:t>ия</w:t>
      </w:r>
      <w:r>
        <w:rPr>
          <w:lang w:val="ru-RU"/>
        </w:rPr>
        <w:t xml:space="preserve"> образовани</w:t>
      </w:r>
      <w:r w:rsidR="009A3542">
        <w:rPr>
          <w:lang w:val="ru-RU"/>
        </w:rPr>
        <w:t>я</w:t>
      </w:r>
      <w:r>
        <w:rPr>
          <w:lang w:val="ru-RU"/>
        </w:rPr>
        <w:t>, составляет тридцать один</w:t>
      </w:r>
      <w:r w:rsidR="00A16ECB" w:rsidRPr="00AF5072">
        <w:rPr>
          <w:rFonts w:eastAsia="Times New Roman"/>
          <w:szCs w:val="22"/>
          <w:lang w:val="ru-RU" w:eastAsia="en-US"/>
        </w:rPr>
        <w:t xml:space="preserve"> </w:t>
      </w:r>
      <w:r w:rsidR="0079528A" w:rsidRPr="00AF5072">
        <w:rPr>
          <w:rFonts w:eastAsia="Times New Roman"/>
          <w:szCs w:val="22"/>
          <w:lang w:val="ru-RU" w:eastAsia="en-US"/>
        </w:rPr>
        <w:t>(31)</w:t>
      </w:r>
      <w:r w:rsidR="007F65D2" w:rsidRPr="00AF5072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Эти</w:t>
      </w:r>
      <w:r w:rsidR="007F5C49" w:rsidRPr="00401EA5">
        <w:rPr>
          <w:rFonts w:eastAsia="Times New Roman"/>
          <w:szCs w:val="22"/>
          <w:lang w:val="ru-RU" w:eastAsia="en-US"/>
        </w:rPr>
        <w:t xml:space="preserve"> 31 </w:t>
      </w:r>
      <w:r>
        <w:rPr>
          <w:rFonts w:eastAsia="Times New Roman"/>
          <w:szCs w:val="22"/>
          <w:lang w:val="ru-RU" w:eastAsia="en-US"/>
        </w:rPr>
        <w:t>сотрудник</w:t>
      </w:r>
      <w:r w:rsidRPr="00401EA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уже</w:t>
      </w:r>
      <w:r w:rsidRPr="00401EA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проживали</w:t>
      </w:r>
      <w:r w:rsidRPr="00401EA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</w:t>
      </w:r>
      <w:r w:rsidRPr="00401EA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Франции</w:t>
      </w:r>
      <w:r w:rsidR="007F5C49" w:rsidRPr="00401EA5">
        <w:rPr>
          <w:rFonts w:eastAsia="Times New Roman"/>
          <w:szCs w:val="22"/>
          <w:lang w:val="ru-RU" w:eastAsia="en-US"/>
        </w:rPr>
        <w:t xml:space="preserve"> </w:t>
      </w:r>
      <w:r w:rsidR="00401EA5">
        <w:rPr>
          <w:rFonts w:eastAsia="Times New Roman"/>
          <w:szCs w:val="22"/>
          <w:lang w:val="ru-RU" w:eastAsia="en-US"/>
        </w:rPr>
        <w:t>до</w:t>
      </w:r>
      <w:r w:rsidR="00B35ABE" w:rsidRPr="00401EA5">
        <w:rPr>
          <w:rFonts w:eastAsia="Times New Roman"/>
          <w:szCs w:val="22"/>
          <w:lang w:val="ru-RU" w:eastAsia="en-US"/>
        </w:rPr>
        <w:t xml:space="preserve"> 1</w:t>
      </w:r>
      <w:r w:rsidR="00401EA5" w:rsidRPr="00401EA5">
        <w:rPr>
          <w:rFonts w:eastAsia="Times New Roman"/>
          <w:szCs w:val="22"/>
          <w:lang w:val="ru-RU" w:eastAsia="en-US"/>
        </w:rPr>
        <w:t xml:space="preserve"> </w:t>
      </w:r>
      <w:r w:rsidR="00401EA5">
        <w:rPr>
          <w:rFonts w:eastAsia="Times New Roman"/>
          <w:szCs w:val="22"/>
          <w:lang w:val="ru-RU" w:eastAsia="en-US"/>
        </w:rPr>
        <w:t>января</w:t>
      </w:r>
      <w:r w:rsidR="00B35ABE" w:rsidRPr="00401EA5">
        <w:rPr>
          <w:rFonts w:eastAsia="Times New Roman"/>
          <w:szCs w:val="22"/>
          <w:lang w:val="ru-RU" w:eastAsia="en-US"/>
        </w:rPr>
        <w:t xml:space="preserve"> 2016</w:t>
      </w:r>
      <w:r w:rsidR="00401EA5" w:rsidRPr="00401EA5">
        <w:rPr>
          <w:rFonts w:eastAsia="Times New Roman"/>
          <w:szCs w:val="22"/>
          <w:lang w:val="ru-RU" w:eastAsia="en-US"/>
        </w:rPr>
        <w:t xml:space="preserve"> </w:t>
      </w:r>
      <w:r w:rsidR="00401EA5">
        <w:rPr>
          <w:rFonts w:eastAsia="Times New Roman"/>
          <w:szCs w:val="22"/>
          <w:lang w:val="ru-RU" w:eastAsia="en-US"/>
        </w:rPr>
        <w:t>г</w:t>
      </w:r>
      <w:r w:rsidR="00401EA5" w:rsidRPr="00401EA5">
        <w:rPr>
          <w:rFonts w:eastAsia="Times New Roman"/>
          <w:szCs w:val="22"/>
          <w:lang w:val="ru-RU" w:eastAsia="en-US"/>
        </w:rPr>
        <w:t>.</w:t>
      </w:r>
      <w:r w:rsidR="00B35ABE" w:rsidRPr="00401EA5">
        <w:rPr>
          <w:rFonts w:eastAsia="Times New Roman"/>
          <w:szCs w:val="22"/>
          <w:lang w:val="ru-RU" w:eastAsia="en-US"/>
        </w:rPr>
        <w:t xml:space="preserve">, </w:t>
      </w:r>
      <w:r w:rsidR="00401EA5">
        <w:rPr>
          <w:rFonts w:eastAsia="Times New Roman"/>
          <w:szCs w:val="22"/>
          <w:lang w:val="ru-RU" w:eastAsia="en-US"/>
        </w:rPr>
        <w:t>и, соответственно,</w:t>
      </w:r>
      <w:r w:rsidR="00B35ABE" w:rsidRPr="00401EA5">
        <w:rPr>
          <w:rFonts w:eastAsia="Times New Roman"/>
          <w:szCs w:val="22"/>
          <w:lang w:val="ru-RU" w:eastAsia="en-US"/>
        </w:rPr>
        <w:t xml:space="preserve"> </w:t>
      </w:r>
      <w:r w:rsidR="00401EA5">
        <w:rPr>
          <w:rFonts w:eastAsia="Times New Roman"/>
          <w:szCs w:val="22"/>
          <w:lang w:val="ru-RU" w:eastAsia="en-US"/>
        </w:rPr>
        <w:t>на них распространяется гарантирующее действие положения</w:t>
      </w:r>
      <w:r w:rsidR="00B35ABE" w:rsidRPr="00401EA5">
        <w:rPr>
          <w:rFonts w:eastAsia="Times New Roman"/>
          <w:szCs w:val="22"/>
          <w:lang w:val="ru-RU" w:eastAsia="en-US"/>
        </w:rPr>
        <w:t xml:space="preserve"> </w:t>
      </w:r>
      <w:r w:rsidR="00950723" w:rsidRPr="00401EA5">
        <w:rPr>
          <w:rFonts w:eastAsia="Times New Roman"/>
          <w:szCs w:val="22"/>
          <w:lang w:val="ru-RU" w:eastAsia="en-US"/>
        </w:rPr>
        <w:t>3.14(</w:t>
      </w:r>
      <w:r w:rsidR="00950723">
        <w:rPr>
          <w:rFonts w:eastAsia="Times New Roman"/>
          <w:szCs w:val="22"/>
          <w:lang w:eastAsia="en-US"/>
        </w:rPr>
        <w:t>f</w:t>
      </w:r>
      <w:r w:rsidR="00950723" w:rsidRPr="00401EA5">
        <w:rPr>
          <w:rFonts w:eastAsia="Times New Roman"/>
          <w:szCs w:val="22"/>
          <w:lang w:val="ru-RU" w:eastAsia="en-US"/>
        </w:rPr>
        <w:t>).</w:t>
      </w:r>
      <w:r w:rsidR="007F5C49" w:rsidRPr="00401EA5">
        <w:rPr>
          <w:rFonts w:eastAsia="Times New Roman"/>
          <w:szCs w:val="22"/>
          <w:lang w:val="ru-RU" w:eastAsia="en-US"/>
        </w:rPr>
        <w:t xml:space="preserve"> </w:t>
      </w:r>
    </w:p>
    <w:p w:rsidR="007F5C49" w:rsidRPr="00401EA5" w:rsidRDefault="007F5C49" w:rsidP="007F5C49">
      <w:pPr>
        <w:pStyle w:val="ListParagraph"/>
        <w:rPr>
          <w:rFonts w:eastAsia="Times New Roman"/>
          <w:szCs w:val="22"/>
          <w:lang w:val="ru-RU" w:eastAsia="en-US"/>
        </w:rPr>
      </w:pPr>
    </w:p>
    <w:p w:rsidR="007F65D2" w:rsidRPr="00C476C8" w:rsidRDefault="00C476C8" w:rsidP="007F5C49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Расчет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финансовых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затрат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связи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предлагаемой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переходной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мерой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неизбежно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основывается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ряде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предпосылок</w:t>
      </w:r>
      <w:r w:rsidRPr="00C476C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включая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</w:t>
      </w:r>
      <w:r w:rsidRPr="00C476C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группа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 составе</w:t>
      </w:r>
      <w:r w:rsidR="007F65D2" w:rsidRPr="00C476C8">
        <w:rPr>
          <w:rFonts w:eastAsia="Times New Roman"/>
          <w:szCs w:val="22"/>
          <w:lang w:val="ru-RU" w:eastAsia="en-US"/>
        </w:rPr>
        <w:t xml:space="preserve"> </w:t>
      </w:r>
      <w:r w:rsidR="001D195F" w:rsidRPr="00C476C8">
        <w:rPr>
          <w:rFonts w:eastAsia="Times New Roman"/>
          <w:szCs w:val="22"/>
          <w:lang w:val="ru-RU" w:eastAsia="en-US"/>
        </w:rPr>
        <w:t>31</w:t>
      </w:r>
      <w:r w:rsidR="007F65D2"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французского сотрудника не изменится</w:t>
      </w:r>
      <w:r w:rsidR="00950723" w:rsidRPr="00C476C8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Вместе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тем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возможно</w:t>
      </w:r>
      <w:r w:rsidR="008A683A" w:rsidRPr="00C476C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число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увеличится</w:t>
      </w:r>
      <w:r w:rsidRPr="00C476C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если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тот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иной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французский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сотрудник</w:t>
      </w:r>
      <w:r w:rsidRPr="00C476C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проживавший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Франции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</w:t>
      </w:r>
      <w:r w:rsidRPr="00C476C8">
        <w:rPr>
          <w:rFonts w:eastAsia="Times New Roman"/>
          <w:szCs w:val="22"/>
          <w:lang w:val="ru-RU" w:eastAsia="en-US"/>
        </w:rPr>
        <w:t xml:space="preserve"> 1 </w:t>
      </w:r>
      <w:r>
        <w:rPr>
          <w:rFonts w:eastAsia="Times New Roman"/>
          <w:szCs w:val="22"/>
          <w:lang w:val="ru-RU" w:eastAsia="en-US"/>
        </w:rPr>
        <w:t>января</w:t>
      </w:r>
      <w:r w:rsidRPr="00C476C8">
        <w:rPr>
          <w:rFonts w:eastAsia="Times New Roman"/>
          <w:szCs w:val="22"/>
          <w:lang w:val="ru-RU" w:eastAsia="en-US"/>
        </w:rPr>
        <w:t xml:space="preserve"> 2016 </w:t>
      </w:r>
      <w:r>
        <w:rPr>
          <w:rFonts w:eastAsia="Times New Roman"/>
          <w:szCs w:val="22"/>
          <w:lang w:val="ru-RU" w:eastAsia="en-US"/>
        </w:rPr>
        <w:t>г</w:t>
      </w:r>
      <w:r w:rsidRPr="00C476C8">
        <w:rPr>
          <w:rFonts w:eastAsia="Times New Roman"/>
          <w:szCs w:val="22"/>
          <w:lang w:val="ru-RU" w:eastAsia="en-US"/>
        </w:rPr>
        <w:t xml:space="preserve">., </w:t>
      </w:r>
      <w:r>
        <w:rPr>
          <w:rFonts w:eastAsia="Times New Roman"/>
          <w:szCs w:val="22"/>
          <w:lang w:val="ru-RU" w:eastAsia="en-US"/>
        </w:rPr>
        <w:t>подаст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первый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раз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требование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lang w:val="ru-RU"/>
        </w:rPr>
        <w:t>в</w:t>
      </w:r>
      <w:r w:rsidRPr="00C476C8">
        <w:rPr>
          <w:lang w:val="ru-RU"/>
        </w:rPr>
        <w:t xml:space="preserve"> </w:t>
      </w:r>
      <w:r>
        <w:rPr>
          <w:lang w:val="ru-RU"/>
        </w:rPr>
        <w:t>рамках</w:t>
      </w:r>
      <w:r w:rsidRPr="00C476C8">
        <w:rPr>
          <w:lang w:val="ru-RU"/>
        </w:rPr>
        <w:t xml:space="preserve"> </w:t>
      </w:r>
      <w:r>
        <w:rPr>
          <w:lang w:val="ru-RU"/>
        </w:rPr>
        <w:t>системы</w:t>
      </w:r>
      <w:r w:rsidRPr="00C476C8">
        <w:rPr>
          <w:lang w:val="ru-RU"/>
        </w:rPr>
        <w:t xml:space="preserve"> </w:t>
      </w:r>
      <w:r>
        <w:rPr>
          <w:lang w:val="ru-RU"/>
        </w:rPr>
        <w:t>субсиди</w:t>
      </w:r>
      <w:r w:rsidR="008B1C47">
        <w:rPr>
          <w:lang w:val="ru-RU"/>
        </w:rPr>
        <w:t>рования</w:t>
      </w:r>
      <w:r w:rsidRPr="00C476C8">
        <w:rPr>
          <w:lang w:val="ru-RU"/>
        </w:rPr>
        <w:t xml:space="preserve"> </w:t>
      </w:r>
      <w:r>
        <w:rPr>
          <w:lang w:val="ru-RU"/>
        </w:rPr>
        <w:t>образовани</w:t>
      </w:r>
      <w:r w:rsidR="008B1C47">
        <w:rPr>
          <w:lang w:val="ru-RU"/>
        </w:rPr>
        <w:t>я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в отношении </w:t>
      </w:r>
      <w:r>
        <w:rPr>
          <w:rFonts w:eastAsia="Times New Roman"/>
          <w:szCs w:val="22"/>
          <w:lang w:val="ru-RU" w:eastAsia="en-US"/>
        </w:rPr>
        <w:lastRenderedPageBreak/>
        <w:t>учебного года, начинающегося в сентябре</w:t>
      </w:r>
      <w:r w:rsidR="008A683A" w:rsidRPr="00C476C8">
        <w:rPr>
          <w:rFonts w:eastAsia="Times New Roman"/>
          <w:szCs w:val="22"/>
          <w:lang w:val="ru-RU" w:eastAsia="en-US"/>
        </w:rPr>
        <w:t xml:space="preserve"> </w:t>
      </w:r>
      <w:r w:rsidR="00950723" w:rsidRPr="00C476C8">
        <w:rPr>
          <w:rFonts w:eastAsia="Times New Roman"/>
          <w:szCs w:val="22"/>
          <w:lang w:val="ru-RU" w:eastAsia="en-US"/>
        </w:rPr>
        <w:t>2016</w:t>
      </w:r>
      <w:r>
        <w:rPr>
          <w:rFonts w:eastAsia="Times New Roman"/>
          <w:szCs w:val="22"/>
          <w:lang w:val="ru-RU" w:eastAsia="en-US"/>
        </w:rPr>
        <w:t xml:space="preserve"> г</w:t>
      </w:r>
      <w:r w:rsidR="00950723" w:rsidRPr="00C476C8">
        <w:rPr>
          <w:rFonts w:eastAsia="Times New Roman"/>
          <w:szCs w:val="22"/>
          <w:lang w:val="ru-RU" w:eastAsia="en-US"/>
        </w:rPr>
        <w:t>.</w:t>
      </w:r>
      <w:r w:rsidR="001150D1" w:rsidRPr="00C476C8">
        <w:rPr>
          <w:rFonts w:eastAsia="Times New Roman"/>
          <w:szCs w:val="22"/>
          <w:lang w:val="ru-RU" w:eastAsia="en-US"/>
        </w:rPr>
        <w:t xml:space="preserve">  </w:t>
      </w:r>
      <w:r>
        <w:rPr>
          <w:rFonts w:eastAsia="Times New Roman"/>
          <w:szCs w:val="22"/>
          <w:lang w:val="ru-RU" w:eastAsia="en-US"/>
        </w:rPr>
        <w:t>Для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целей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исследования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финансовых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последствий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предполагается также, что 31 французский сотрудник продолжат</w:t>
      </w:r>
      <w:r w:rsidR="007F65D2" w:rsidRPr="00C476C8">
        <w:rPr>
          <w:rFonts w:eastAsia="Times New Roman"/>
          <w:szCs w:val="22"/>
          <w:lang w:val="ru-RU" w:eastAsia="en-US"/>
        </w:rPr>
        <w:t>:</w:t>
      </w:r>
    </w:p>
    <w:p w:rsidR="007F65D2" w:rsidRPr="00C476C8" w:rsidRDefault="007F65D2" w:rsidP="007F65D2">
      <w:pPr>
        <w:rPr>
          <w:rFonts w:eastAsia="Times New Roman"/>
          <w:szCs w:val="22"/>
          <w:lang w:val="ru-RU" w:eastAsia="en-US"/>
        </w:rPr>
      </w:pPr>
    </w:p>
    <w:p w:rsidR="007F65D2" w:rsidRPr="007F65D2" w:rsidRDefault="00C476C8" w:rsidP="00297F9D">
      <w:pPr>
        <w:numPr>
          <w:ilvl w:val="0"/>
          <w:numId w:val="19"/>
        </w:numPr>
        <w:ind w:hanging="153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работать в ВОИС</w:t>
      </w:r>
      <w:r w:rsidR="007F65D2" w:rsidRPr="007F65D2">
        <w:rPr>
          <w:rFonts w:eastAsia="Times New Roman"/>
          <w:szCs w:val="22"/>
          <w:lang w:eastAsia="en-US"/>
        </w:rPr>
        <w:t xml:space="preserve">; </w:t>
      </w:r>
    </w:p>
    <w:p w:rsidR="007F65D2" w:rsidRPr="00C476C8" w:rsidRDefault="00C476C8" w:rsidP="00297F9D">
      <w:pPr>
        <w:numPr>
          <w:ilvl w:val="0"/>
          <w:numId w:val="19"/>
        </w:numPr>
        <w:ind w:left="1134" w:hanging="56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жить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Франции</w:t>
      </w:r>
      <w:r w:rsidRPr="00C476C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не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переезжая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Швейцарию</w:t>
      </w:r>
      <w:r w:rsidRPr="00C476C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поскольку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этом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случае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они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будут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иметь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субсидию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образование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исполнение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положения</w:t>
      </w:r>
      <w:r w:rsidR="007F65D2" w:rsidRPr="00C476C8">
        <w:rPr>
          <w:rFonts w:eastAsia="Times New Roman"/>
          <w:szCs w:val="22"/>
          <w:lang w:val="ru-RU" w:eastAsia="en-US"/>
        </w:rPr>
        <w:t xml:space="preserve"> 3.14(</w:t>
      </w:r>
      <w:r w:rsidR="007F65D2" w:rsidRPr="006721AE">
        <w:rPr>
          <w:rFonts w:eastAsia="Times New Roman"/>
          <w:szCs w:val="22"/>
          <w:lang w:eastAsia="en-US"/>
        </w:rPr>
        <w:t>a</w:t>
      </w:r>
      <w:r w:rsidR="007F65D2" w:rsidRPr="00C476C8">
        <w:rPr>
          <w:rFonts w:eastAsia="Times New Roman"/>
          <w:szCs w:val="22"/>
          <w:lang w:val="ru-RU" w:eastAsia="en-US"/>
        </w:rPr>
        <w:t xml:space="preserve">), </w:t>
      </w:r>
      <w:r>
        <w:rPr>
          <w:rFonts w:eastAsia="Times New Roman"/>
          <w:szCs w:val="22"/>
          <w:lang w:val="ru-RU" w:eastAsia="en-US"/>
        </w:rPr>
        <w:t>а не в силу какой-либо переходной меры</w:t>
      </w:r>
      <w:r w:rsidR="007F65D2" w:rsidRPr="00C476C8">
        <w:rPr>
          <w:rFonts w:eastAsia="Times New Roman"/>
          <w:szCs w:val="22"/>
          <w:lang w:val="ru-RU" w:eastAsia="en-US"/>
        </w:rPr>
        <w:t>;</w:t>
      </w:r>
    </w:p>
    <w:p w:rsidR="00795477" w:rsidRPr="00C476C8" w:rsidRDefault="00C476C8" w:rsidP="00745510">
      <w:pPr>
        <w:numPr>
          <w:ilvl w:val="0"/>
          <w:numId w:val="19"/>
        </w:numPr>
        <w:ind w:left="1134" w:hanging="56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нести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допустимые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расходы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lang w:val="ru-RU"/>
        </w:rPr>
        <w:t>в</w:t>
      </w:r>
      <w:r w:rsidRPr="00C476C8">
        <w:rPr>
          <w:lang w:val="ru-RU"/>
        </w:rPr>
        <w:t xml:space="preserve"> </w:t>
      </w:r>
      <w:r>
        <w:rPr>
          <w:lang w:val="ru-RU"/>
        </w:rPr>
        <w:t>рамках</w:t>
      </w:r>
      <w:r w:rsidRPr="00C476C8">
        <w:rPr>
          <w:lang w:val="ru-RU"/>
        </w:rPr>
        <w:t xml:space="preserve"> </w:t>
      </w:r>
      <w:r>
        <w:rPr>
          <w:lang w:val="ru-RU"/>
        </w:rPr>
        <w:t>системы</w:t>
      </w:r>
      <w:r w:rsidRPr="00C476C8">
        <w:rPr>
          <w:lang w:val="ru-RU"/>
        </w:rPr>
        <w:t xml:space="preserve"> </w:t>
      </w:r>
      <w:r>
        <w:rPr>
          <w:lang w:val="ru-RU"/>
        </w:rPr>
        <w:t>субсидии</w:t>
      </w:r>
      <w:r w:rsidRPr="00C476C8">
        <w:rPr>
          <w:lang w:val="ru-RU"/>
        </w:rPr>
        <w:t xml:space="preserve"> </w:t>
      </w:r>
      <w:r>
        <w:rPr>
          <w:lang w:val="ru-RU"/>
        </w:rPr>
        <w:t>на</w:t>
      </w:r>
      <w:r w:rsidRPr="00C476C8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C476C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в отношении учебного года, начинающегося в сентябре </w:t>
      </w:r>
      <w:r w:rsidR="00F01B39" w:rsidRPr="00C476C8">
        <w:rPr>
          <w:rFonts w:eastAsia="Times New Roman"/>
          <w:szCs w:val="22"/>
          <w:lang w:val="ru-RU" w:eastAsia="en-US"/>
        </w:rPr>
        <w:t>2016</w:t>
      </w:r>
      <w:r>
        <w:rPr>
          <w:rFonts w:eastAsia="Times New Roman"/>
          <w:szCs w:val="22"/>
          <w:lang w:val="ru-RU" w:eastAsia="en-US"/>
        </w:rPr>
        <w:t xml:space="preserve"> г.</w:t>
      </w:r>
      <w:r w:rsidR="007F65D2" w:rsidRPr="00C476C8">
        <w:rPr>
          <w:rFonts w:eastAsia="Times New Roman"/>
          <w:szCs w:val="22"/>
          <w:lang w:val="ru-RU" w:eastAsia="en-US"/>
        </w:rPr>
        <w:t>;</w:t>
      </w:r>
    </w:p>
    <w:p w:rsidR="007F65D2" w:rsidRPr="00826AE4" w:rsidRDefault="00C476C8" w:rsidP="00AA1570">
      <w:pPr>
        <w:numPr>
          <w:ilvl w:val="0"/>
          <w:numId w:val="19"/>
        </w:numPr>
        <w:ind w:left="1134" w:hanging="56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держать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своих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детей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том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же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учебном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заведении</w:t>
      </w:r>
      <w:r w:rsidRPr="00826AE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которое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они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посещают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сейчас</w:t>
      </w:r>
      <w:r w:rsidR="00297F9D" w:rsidRPr="00826AE4">
        <w:rPr>
          <w:rFonts w:eastAsia="Times New Roman"/>
          <w:szCs w:val="22"/>
          <w:lang w:val="ru-RU" w:eastAsia="en-US"/>
        </w:rPr>
        <w:t>;</w:t>
      </w:r>
      <w:r w:rsidR="007F65D2" w:rsidRPr="00826AE4">
        <w:rPr>
          <w:rFonts w:eastAsia="Times New Roman"/>
          <w:szCs w:val="22"/>
          <w:lang w:val="ru-RU" w:eastAsia="en-US"/>
        </w:rPr>
        <w:tab/>
      </w:r>
    </w:p>
    <w:p w:rsidR="007F65D2" w:rsidRPr="00826AE4" w:rsidRDefault="00826AE4" w:rsidP="00AA1570">
      <w:pPr>
        <w:numPr>
          <w:ilvl w:val="0"/>
          <w:numId w:val="19"/>
        </w:numPr>
        <w:ind w:left="1134" w:hanging="56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вносить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ту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же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плату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обучение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учебных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заведениях</w:t>
      </w:r>
      <w:r w:rsidRPr="00826AE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о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которых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идет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речь</w:t>
      </w:r>
      <w:r w:rsidRPr="00826AE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за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тот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же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вид</w:t>
      </w:r>
      <w:r w:rsidRPr="00826AE4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те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же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виды</w:t>
      </w:r>
      <w:r w:rsidRPr="00826AE4">
        <w:rPr>
          <w:rFonts w:eastAsia="Times New Roman"/>
          <w:szCs w:val="22"/>
          <w:lang w:val="ru-RU"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>расходов</w:t>
      </w:r>
      <w:r w:rsidR="007F65D2" w:rsidRPr="00826AE4">
        <w:rPr>
          <w:rFonts w:eastAsia="Times New Roman"/>
          <w:szCs w:val="22"/>
          <w:lang w:val="ru-RU" w:eastAsia="en-US"/>
        </w:rPr>
        <w:t>.</w:t>
      </w:r>
    </w:p>
    <w:p w:rsidR="007F65D2" w:rsidRPr="00826AE4" w:rsidRDefault="007F65D2" w:rsidP="007F65D2">
      <w:pPr>
        <w:ind w:left="720"/>
        <w:rPr>
          <w:rFonts w:eastAsia="Times New Roman"/>
          <w:szCs w:val="22"/>
          <w:lang w:val="ru-RU" w:eastAsia="en-US"/>
        </w:rPr>
      </w:pPr>
    </w:p>
    <w:p w:rsidR="007D6A89" w:rsidRPr="000C7EFC" w:rsidRDefault="00826AE4" w:rsidP="007F65D2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Кроме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того</w:t>
      </w:r>
      <w:r w:rsidR="001150D1" w:rsidRPr="00826AE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необходимо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учитывать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изменения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расчете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расходов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рамках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системы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субсидии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образование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результате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осуществления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реформы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пакета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вознаграждения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общей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системе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ООН</w:t>
      </w:r>
      <w:r w:rsidRPr="00826AE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который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планируется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ввести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действие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отношении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текущего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826AE4">
        <w:rPr>
          <w:rFonts w:eastAsia="Times New Roman"/>
          <w:szCs w:val="22"/>
          <w:lang w:val="ru-RU" w:eastAsia="en-US"/>
        </w:rPr>
        <w:t xml:space="preserve"> 1 </w:t>
      </w:r>
      <w:r>
        <w:rPr>
          <w:rFonts w:eastAsia="Times New Roman"/>
          <w:szCs w:val="22"/>
          <w:lang w:val="ru-RU" w:eastAsia="en-US"/>
        </w:rPr>
        <w:t>января</w:t>
      </w:r>
      <w:r w:rsidRPr="00826AE4">
        <w:rPr>
          <w:rFonts w:eastAsia="Times New Roman"/>
          <w:szCs w:val="22"/>
          <w:lang w:val="ru-RU" w:eastAsia="en-US"/>
        </w:rPr>
        <w:t xml:space="preserve"> 2018 </w:t>
      </w:r>
      <w:r>
        <w:rPr>
          <w:rFonts w:eastAsia="Times New Roman"/>
          <w:szCs w:val="22"/>
          <w:lang w:val="ru-RU" w:eastAsia="en-US"/>
        </w:rPr>
        <w:t>г</w:t>
      </w:r>
      <w:r w:rsidRPr="00826AE4">
        <w:rPr>
          <w:rFonts w:eastAsia="Times New Roman"/>
          <w:szCs w:val="22"/>
          <w:lang w:val="ru-RU" w:eastAsia="en-US"/>
        </w:rPr>
        <w:t xml:space="preserve">. </w:t>
      </w:r>
      <w:r>
        <w:rPr>
          <w:rFonts w:eastAsia="Times New Roman"/>
          <w:szCs w:val="22"/>
          <w:lang w:val="ru-RU" w:eastAsia="en-US"/>
        </w:rPr>
        <w:t>учебного</w:t>
      </w:r>
      <w:r w:rsidRPr="00826A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года</w:t>
      </w:r>
      <w:r w:rsidR="001150D1" w:rsidRPr="00826AE4">
        <w:rPr>
          <w:rFonts w:eastAsia="Times New Roman"/>
          <w:szCs w:val="22"/>
          <w:lang w:val="ru-RU" w:eastAsia="en-US"/>
        </w:rPr>
        <w:t xml:space="preserve"> </w:t>
      </w:r>
      <w:r w:rsidR="002E4DE0" w:rsidRPr="00826AE4">
        <w:rPr>
          <w:rFonts w:eastAsia="Times New Roman"/>
          <w:szCs w:val="22"/>
          <w:lang w:val="ru-RU" w:eastAsia="en-US"/>
        </w:rPr>
        <w:t>(</w:t>
      </w:r>
      <w:r>
        <w:rPr>
          <w:rFonts w:eastAsia="Times New Roman"/>
          <w:szCs w:val="22"/>
          <w:lang w:val="ru-RU" w:eastAsia="en-US"/>
        </w:rPr>
        <w:t>т.е.</w:t>
      </w:r>
      <w:r w:rsidR="002E4DE0" w:rsidRPr="00826AE4">
        <w:rPr>
          <w:rFonts w:eastAsia="Times New Roman"/>
          <w:szCs w:val="22"/>
          <w:lang w:val="ru-RU" w:eastAsia="en-US"/>
        </w:rPr>
        <w:t xml:space="preserve"> 2017/2018 </w:t>
      </w:r>
      <w:r>
        <w:rPr>
          <w:rFonts w:eastAsia="Times New Roman"/>
          <w:szCs w:val="22"/>
          <w:lang w:val="ru-RU" w:eastAsia="en-US"/>
        </w:rPr>
        <w:t>учебного года для школ, находящихся в Северном полушарии</w:t>
      </w:r>
      <w:r w:rsidR="002E4DE0" w:rsidRPr="00826AE4">
        <w:rPr>
          <w:rFonts w:eastAsia="Times New Roman"/>
          <w:szCs w:val="22"/>
          <w:lang w:val="ru-RU" w:eastAsia="en-US"/>
        </w:rPr>
        <w:t>)</w:t>
      </w:r>
      <w:r w:rsidR="007F65D2" w:rsidRPr="00826AE4">
        <w:rPr>
          <w:rFonts w:eastAsia="Times New Roman"/>
          <w:szCs w:val="22"/>
          <w:lang w:val="ru-RU" w:eastAsia="en-US"/>
        </w:rPr>
        <w:t>.</w:t>
      </w:r>
      <w:r w:rsidR="002E4DE0" w:rsidRPr="00826AE4">
        <w:rPr>
          <w:rFonts w:eastAsia="Times New Roman"/>
          <w:szCs w:val="22"/>
          <w:lang w:val="ru-RU" w:eastAsia="en-US"/>
        </w:rPr>
        <w:t xml:space="preserve">  </w:t>
      </w:r>
      <w:r>
        <w:rPr>
          <w:rFonts w:eastAsia="Times New Roman"/>
          <w:szCs w:val="22"/>
          <w:lang w:val="ru-RU" w:eastAsia="en-US"/>
        </w:rPr>
        <w:t>Говоря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общем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плане</w:t>
      </w:r>
      <w:r w:rsidR="00A77694" w:rsidRPr="00E0112E">
        <w:rPr>
          <w:rFonts w:eastAsia="Times New Roman"/>
          <w:szCs w:val="22"/>
          <w:lang w:val="ru-RU" w:eastAsia="en-US"/>
        </w:rPr>
        <w:t>,</w:t>
      </w:r>
      <w:r w:rsidR="002367DF"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основным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изменением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сотрудников</w:t>
      </w:r>
      <w:r w:rsidRPr="00E0112E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работающих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местах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службы</w:t>
      </w:r>
      <w:r w:rsidRPr="00E011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категории</w:t>
      </w:r>
      <w:r w:rsidR="002E4DE0" w:rsidRPr="00E0112E">
        <w:rPr>
          <w:rFonts w:eastAsia="Times New Roman"/>
          <w:szCs w:val="22"/>
          <w:lang w:val="ru-RU" w:eastAsia="en-US"/>
        </w:rPr>
        <w:t xml:space="preserve"> </w:t>
      </w:r>
      <w:r w:rsidR="00E0112E" w:rsidRPr="00E0112E">
        <w:rPr>
          <w:rFonts w:eastAsia="Times New Roman"/>
          <w:szCs w:val="22"/>
          <w:lang w:val="ru-RU" w:eastAsia="en-US"/>
        </w:rPr>
        <w:t>«</w:t>
      </w:r>
      <w:r w:rsidR="00BA2A2C" w:rsidRPr="002367DF">
        <w:rPr>
          <w:rFonts w:eastAsia="Times New Roman"/>
          <w:szCs w:val="22"/>
          <w:lang w:eastAsia="en-US"/>
        </w:rPr>
        <w:t>H</w:t>
      </w:r>
      <w:r w:rsidR="00E0112E" w:rsidRPr="00E0112E">
        <w:rPr>
          <w:rFonts w:eastAsia="Times New Roman"/>
          <w:szCs w:val="22"/>
          <w:lang w:val="ru-RU" w:eastAsia="en-US"/>
        </w:rPr>
        <w:t>»</w:t>
      </w:r>
      <w:r w:rsidR="00BA2A2C" w:rsidRPr="00E0112E">
        <w:rPr>
          <w:rFonts w:eastAsia="Times New Roman"/>
          <w:szCs w:val="22"/>
          <w:lang w:val="ru-RU" w:eastAsia="en-US"/>
        </w:rPr>
        <w:t xml:space="preserve"> (</w:t>
      </w:r>
      <w:r w:rsidR="00E0112E">
        <w:rPr>
          <w:rFonts w:eastAsia="Times New Roman"/>
          <w:szCs w:val="22"/>
          <w:lang w:val="ru-RU" w:eastAsia="en-US"/>
        </w:rPr>
        <w:t>таких</w:t>
      </w:r>
      <w:r w:rsidR="00E0112E" w:rsidRPr="00E0112E">
        <w:rPr>
          <w:rFonts w:eastAsia="Times New Roman"/>
          <w:szCs w:val="22"/>
          <w:lang w:val="ru-RU" w:eastAsia="en-US"/>
        </w:rPr>
        <w:t xml:space="preserve"> </w:t>
      </w:r>
      <w:r w:rsidR="00E0112E">
        <w:rPr>
          <w:rFonts w:eastAsia="Times New Roman"/>
          <w:szCs w:val="22"/>
          <w:lang w:val="ru-RU" w:eastAsia="en-US"/>
        </w:rPr>
        <w:t>как</w:t>
      </w:r>
      <w:r w:rsidR="00E0112E" w:rsidRPr="00E0112E">
        <w:rPr>
          <w:rFonts w:eastAsia="Times New Roman"/>
          <w:szCs w:val="22"/>
          <w:lang w:val="ru-RU" w:eastAsia="en-US"/>
        </w:rPr>
        <w:t xml:space="preserve"> </w:t>
      </w:r>
      <w:r w:rsidR="00E0112E">
        <w:rPr>
          <w:rFonts w:eastAsia="Times New Roman"/>
          <w:szCs w:val="22"/>
          <w:lang w:val="ru-RU" w:eastAsia="en-US"/>
        </w:rPr>
        <w:t>Женева</w:t>
      </w:r>
      <w:r w:rsidR="00BA2A2C" w:rsidRPr="00E0112E">
        <w:rPr>
          <w:rFonts w:eastAsia="Times New Roman"/>
          <w:szCs w:val="22"/>
          <w:lang w:val="ru-RU" w:eastAsia="en-US"/>
        </w:rPr>
        <w:t>)</w:t>
      </w:r>
      <w:r w:rsidR="00E0112E" w:rsidRPr="00E0112E">
        <w:rPr>
          <w:rFonts w:eastAsia="Times New Roman"/>
          <w:szCs w:val="22"/>
          <w:lang w:val="ru-RU" w:eastAsia="en-US"/>
        </w:rPr>
        <w:t>,</w:t>
      </w:r>
      <w:r w:rsidR="00BA2A2C" w:rsidRPr="00E0112E">
        <w:rPr>
          <w:rFonts w:eastAsia="Times New Roman"/>
          <w:szCs w:val="22"/>
          <w:lang w:val="ru-RU" w:eastAsia="en-US"/>
        </w:rPr>
        <w:t xml:space="preserve"> </w:t>
      </w:r>
      <w:r w:rsidR="00E0112E">
        <w:rPr>
          <w:rFonts w:eastAsia="Times New Roman"/>
          <w:szCs w:val="22"/>
          <w:lang w:val="ru-RU" w:eastAsia="en-US"/>
        </w:rPr>
        <w:t>является то, что расходы на пансион и расходы на оплату проезда детей в рамках системы субсидирования образования</w:t>
      </w:r>
      <w:r w:rsidR="002E4DE0" w:rsidRPr="00E0112E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более не являются частью допустимых расходов в рамках пересмотренной системы</w:t>
      </w:r>
      <w:r w:rsidR="002E4DE0" w:rsidRPr="00E0112E">
        <w:rPr>
          <w:rFonts w:eastAsia="Times New Roman"/>
          <w:szCs w:val="22"/>
          <w:lang w:val="ru-RU" w:eastAsia="en-US"/>
        </w:rPr>
        <w:t>.</w:t>
      </w:r>
      <w:r w:rsidR="00BA2A2C" w:rsidRPr="00E0112E">
        <w:rPr>
          <w:rFonts w:eastAsia="Times New Roman"/>
          <w:szCs w:val="22"/>
          <w:lang w:val="ru-RU" w:eastAsia="en-US"/>
        </w:rPr>
        <w:t xml:space="preserve">  </w:t>
      </w:r>
      <w:r w:rsidR="000C7EFC">
        <w:rPr>
          <w:rFonts w:eastAsia="Times New Roman"/>
          <w:szCs w:val="22"/>
          <w:lang w:val="ru-RU" w:eastAsia="en-US"/>
        </w:rPr>
        <w:t>То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же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самое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касается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некоторых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других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расходов</w:t>
      </w:r>
      <w:r w:rsidR="000C7EFC" w:rsidRPr="000C7EFC">
        <w:rPr>
          <w:rFonts w:eastAsia="Times New Roman"/>
          <w:szCs w:val="22"/>
          <w:lang w:val="ru-RU" w:eastAsia="en-US"/>
        </w:rPr>
        <w:t xml:space="preserve">, </w:t>
      </w:r>
      <w:r w:rsidR="000C7EFC">
        <w:rPr>
          <w:rFonts w:eastAsia="Times New Roman"/>
          <w:szCs w:val="22"/>
          <w:lang w:val="ru-RU" w:eastAsia="en-US"/>
        </w:rPr>
        <w:t>таких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как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расходы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на</w:t>
      </w:r>
      <w:r w:rsidR="000C7EFC" w:rsidRPr="000C7EFC">
        <w:rPr>
          <w:rFonts w:eastAsia="Times New Roman"/>
          <w:szCs w:val="22"/>
          <w:lang w:val="ru-RU" w:eastAsia="en-US"/>
        </w:rPr>
        <w:t xml:space="preserve"> </w:t>
      </w:r>
      <w:r w:rsidR="000C7EFC">
        <w:rPr>
          <w:rFonts w:eastAsia="Times New Roman"/>
          <w:szCs w:val="22"/>
          <w:lang w:val="ru-RU" w:eastAsia="en-US"/>
        </w:rPr>
        <w:t>питание</w:t>
      </w:r>
      <w:r w:rsidR="002367DF" w:rsidRPr="000C7EFC">
        <w:rPr>
          <w:rFonts w:eastAsia="Times New Roman"/>
          <w:szCs w:val="22"/>
          <w:lang w:val="ru-RU" w:eastAsia="en-US"/>
        </w:rPr>
        <w:t xml:space="preserve">, </w:t>
      </w:r>
      <w:r w:rsidR="000C7EFC">
        <w:rPr>
          <w:rFonts w:eastAsia="Times New Roman"/>
          <w:szCs w:val="22"/>
          <w:lang w:val="ru-RU" w:eastAsia="en-US"/>
        </w:rPr>
        <w:t>транспорт</w:t>
      </w:r>
      <w:r w:rsidR="00E306D7" w:rsidRPr="000C7EFC">
        <w:rPr>
          <w:rFonts w:eastAsia="Times New Roman"/>
          <w:szCs w:val="22"/>
          <w:lang w:val="ru-RU" w:eastAsia="en-US"/>
        </w:rPr>
        <w:t xml:space="preserve">, </w:t>
      </w:r>
      <w:r w:rsidR="000C7EFC">
        <w:rPr>
          <w:rFonts w:eastAsia="Times New Roman"/>
          <w:szCs w:val="22"/>
          <w:lang w:val="ru-RU" w:eastAsia="en-US"/>
        </w:rPr>
        <w:t>книги и школьные принадлежности</w:t>
      </w:r>
      <w:r w:rsidR="0095447A" w:rsidRPr="000C7EFC">
        <w:rPr>
          <w:rFonts w:eastAsia="Times New Roman"/>
          <w:szCs w:val="22"/>
          <w:lang w:val="ru-RU" w:eastAsia="en-US"/>
        </w:rPr>
        <w:t xml:space="preserve">. </w:t>
      </w:r>
    </w:p>
    <w:p w:rsidR="007D6A89" w:rsidRPr="000C7EFC" w:rsidRDefault="0095447A" w:rsidP="007D6A89">
      <w:pPr>
        <w:pStyle w:val="ListParagraph"/>
        <w:widowControl w:val="0"/>
        <w:ind w:left="0"/>
        <w:rPr>
          <w:rFonts w:eastAsia="Times New Roman"/>
          <w:szCs w:val="22"/>
          <w:lang w:val="ru-RU" w:eastAsia="en-US"/>
        </w:rPr>
      </w:pPr>
      <w:r w:rsidRPr="000C7EFC">
        <w:rPr>
          <w:rFonts w:eastAsia="Times New Roman"/>
          <w:szCs w:val="22"/>
          <w:lang w:val="ru-RU" w:eastAsia="en-US"/>
        </w:rPr>
        <w:t xml:space="preserve"> </w:t>
      </w:r>
    </w:p>
    <w:p w:rsidR="00CC0641" w:rsidRPr="009A3542" w:rsidRDefault="009A3542" w:rsidP="007F65D2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Этот финансовый анализ не учитывает какие-либо относящиеся конкретно к ВОИС переходные меры, которые могут быть предложены в связи с внедрением новой системы субсидирования образования</w:t>
      </w:r>
      <w:r w:rsidR="001150D1" w:rsidRPr="009A3542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Любые такие переходные меры, если они будут приняты, будут применяться ко всем сотрудникам в целом, а не только к французским сотрудникам, проживающим во Франции</w:t>
      </w:r>
      <w:r w:rsidR="00BA2A2C" w:rsidRPr="009A3542">
        <w:rPr>
          <w:rFonts w:eastAsia="Times New Roman"/>
          <w:szCs w:val="22"/>
          <w:lang w:val="ru-RU" w:eastAsia="en-US"/>
        </w:rPr>
        <w:t xml:space="preserve">. </w:t>
      </w:r>
    </w:p>
    <w:p w:rsidR="007F65D2" w:rsidRPr="009A3542" w:rsidRDefault="007F65D2" w:rsidP="00CC0641">
      <w:pPr>
        <w:pStyle w:val="ListParagraph"/>
        <w:widowControl w:val="0"/>
        <w:rPr>
          <w:rFonts w:eastAsia="Times New Roman"/>
          <w:szCs w:val="22"/>
          <w:lang w:val="ru-RU" w:eastAsia="en-US"/>
        </w:rPr>
      </w:pPr>
      <w:r w:rsidRPr="009A3542">
        <w:rPr>
          <w:rFonts w:eastAsia="Times New Roman"/>
          <w:szCs w:val="22"/>
          <w:lang w:val="ru-RU" w:eastAsia="en-US"/>
        </w:rPr>
        <w:t xml:space="preserve"> </w:t>
      </w:r>
    </w:p>
    <w:p w:rsidR="007D6A89" w:rsidRPr="009A3542" w:rsidRDefault="009A3542" w:rsidP="007F65D2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учетом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вышесказанного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считается</w:t>
      </w:r>
      <w:r w:rsidRPr="009A3542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группы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составе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 w:rsidR="001150D1" w:rsidRPr="009A3542">
        <w:rPr>
          <w:rFonts w:eastAsia="Times New Roman"/>
          <w:szCs w:val="22"/>
          <w:lang w:val="ru-RU" w:eastAsia="en-US"/>
        </w:rPr>
        <w:t xml:space="preserve">31 </w:t>
      </w:r>
      <w:r>
        <w:rPr>
          <w:rFonts w:eastAsia="Times New Roman"/>
          <w:szCs w:val="22"/>
          <w:lang w:val="ru-RU" w:eastAsia="en-US"/>
        </w:rPr>
        <w:t>французского сотрудника только</w:t>
      </w:r>
      <w:r w:rsidR="001150D1" w:rsidRPr="009A3542">
        <w:rPr>
          <w:rFonts w:eastAsia="Times New Roman"/>
          <w:szCs w:val="22"/>
          <w:lang w:val="ru-RU" w:eastAsia="en-US"/>
        </w:rPr>
        <w:t xml:space="preserve"> </w:t>
      </w:r>
      <w:r w:rsidR="007D6A89" w:rsidRPr="009A3542">
        <w:rPr>
          <w:rFonts w:eastAsia="Times New Roman"/>
          <w:szCs w:val="22"/>
          <w:lang w:val="ru-RU" w:eastAsia="en-US"/>
        </w:rPr>
        <w:t xml:space="preserve">24 </w:t>
      </w:r>
      <w:r>
        <w:rPr>
          <w:rFonts w:eastAsia="Times New Roman"/>
          <w:szCs w:val="22"/>
          <w:lang w:val="ru-RU" w:eastAsia="en-US"/>
        </w:rPr>
        <w:t>будут подпадать под предлагаемую переходную меру</w:t>
      </w:r>
      <w:r w:rsidR="008A68B8" w:rsidRPr="009A3542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Это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объясняется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тем</w:t>
      </w:r>
      <w:r w:rsidRPr="009A3542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либо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дети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семи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сотрудников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будут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завершать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этап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своего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образования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сентябрю</w:t>
      </w:r>
      <w:r w:rsidR="008A68B8" w:rsidRPr="009A3542">
        <w:rPr>
          <w:rFonts w:eastAsia="Times New Roman"/>
          <w:szCs w:val="22"/>
          <w:lang w:val="ru-RU" w:eastAsia="en-US"/>
        </w:rPr>
        <w:t xml:space="preserve"> 2017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</w:t>
      </w:r>
      <w:r w:rsidRPr="009A3542">
        <w:rPr>
          <w:rFonts w:eastAsia="Times New Roman"/>
          <w:szCs w:val="22"/>
          <w:lang w:val="ru-RU" w:eastAsia="en-US"/>
        </w:rPr>
        <w:t>.</w:t>
      </w:r>
      <w:r w:rsidR="008A68B8" w:rsidRPr="009A3542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либо</w:t>
      </w:r>
      <w:r w:rsidR="008A68B8"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расходы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связи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их</w:t>
      </w:r>
      <w:r w:rsidRPr="009A35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образованием</w:t>
      </w:r>
      <w:r w:rsidRPr="009A3542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 отношении которых будет подано требование о возмещении, уже не будут покрываться новой системой субсидирования образования</w:t>
      </w:r>
      <w:r w:rsidR="008A68B8" w:rsidRPr="009A3542">
        <w:rPr>
          <w:rFonts w:eastAsia="Times New Roman"/>
          <w:szCs w:val="22"/>
          <w:lang w:val="ru-RU" w:eastAsia="en-US"/>
        </w:rPr>
        <w:t>.</w:t>
      </w:r>
      <w:r w:rsidR="007D6A89" w:rsidRPr="009A3542">
        <w:rPr>
          <w:rFonts w:eastAsia="Times New Roman"/>
          <w:szCs w:val="22"/>
          <w:lang w:val="ru-RU" w:eastAsia="en-US"/>
        </w:rPr>
        <w:t xml:space="preserve"> </w:t>
      </w:r>
    </w:p>
    <w:p w:rsidR="007D6A89" w:rsidRPr="009A3542" w:rsidRDefault="007D6A89" w:rsidP="007D6A89">
      <w:pPr>
        <w:pStyle w:val="ListParagraph"/>
        <w:rPr>
          <w:rFonts w:eastAsia="Times New Roman"/>
          <w:szCs w:val="22"/>
          <w:lang w:val="ru-RU" w:eastAsia="en-US"/>
        </w:rPr>
      </w:pPr>
    </w:p>
    <w:p w:rsidR="009A3542" w:rsidRPr="008B1C47" w:rsidRDefault="008B1C47" w:rsidP="007F65D2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Исходя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указанных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выше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предпосылок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учитывая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изменения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системе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субсидирования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образования</w:t>
      </w:r>
      <w:r w:rsidRPr="008B1C4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начиная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</w:t>
      </w:r>
      <w:r w:rsidR="007F65D2" w:rsidRPr="008B1C47">
        <w:rPr>
          <w:rFonts w:eastAsia="Times New Roman"/>
          <w:szCs w:val="22"/>
          <w:lang w:val="ru-RU" w:eastAsia="en-US"/>
        </w:rPr>
        <w:t xml:space="preserve"> </w:t>
      </w:r>
      <w:r w:rsidR="00795477" w:rsidRPr="008B1C47">
        <w:rPr>
          <w:rFonts w:eastAsia="Times New Roman"/>
          <w:szCs w:val="22"/>
          <w:lang w:val="ru-RU" w:eastAsia="en-US"/>
        </w:rPr>
        <w:t xml:space="preserve">2017/2018 </w:t>
      </w:r>
      <w:r>
        <w:rPr>
          <w:rFonts w:eastAsia="Times New Roman"/>
          <w:szCs w:val="22"/>
          <w:lang w:val="ru-RU" w:eastAsia="en-US"/>
        </w:rPr>
        <w:t>учебного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года</w:t>
      </w:r>
      <w:r w:rsidR="007F65D2" w:rsidRPr="008B1C4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согласно оценкам, общая максимальная сумма финансовых расходов ВОИС в связи с принятием предлагаемой переходной меры в отношении 24 французских сотрудников составит</w:t>
      </w:r>
      <w:r w:rsidR="00795477" w:rsidRPr="008B1C47">
        <w:rPr>
          <w:rFonts w:eastAsia="Times New Roman"/>
          <w:szCs w:val="22"/>
          <w:lang w:val="ru-RU" w:eastAsia="en-US"/>
        </w:rPr>
        <w:t xml:space="preserve"> </w:t>
      </w:r>
      <w:r w:rsidR="00E23B54" w:rsidRPr="008B1C47">
        <w:rPr>
          <w:rFonts w:eastAsia="Times New Roman"/>
          <w:szCs w:val="22"/>
          <w:lang w:val="ru-RU" w:eastAsia="en-US"/>
        </w:rPr>
        <w:t>327</w:t>
      </w:r>
      <w:r>
        <w:rPr>
          <w:rFonts w:eastAsia="Times New Roman"/>
          <w:szCs w:val="22"/>
          <w:lang w:val="ru-RU" w:eastAsia="en-US"/>
        </w:rPr>
        <w:t> </w:t>
      </w:r>
      <w:r w:rsidR="00E23B54" w:rsidRPr="008B1C47">
        <w:rPr>
          <w:rFonts w:eastAsia="Times New Roman"/>
          <w:szCs w:val="22"/>
          <w:lang w:val="ru-RU" w:eastAsia="en-US"/>
        </w:rPr>
        <w:t>680</w:t>
      </w:r>
      <w:r w:rsidR="002E3425"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шв. франков</w:t>
      </w:r>
      <w:r w:rsidR="00DA42D5"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 течение пятилетнего периода</w:t>
      </w:r>
      <w:r w:rsidR="007F65D2" w:rsidRPr="008B1C47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см. приложение</w:t>
      </w:r>
      <w:r w:rsidR="007F65D2" w:rsidRPr="008B1C47">
        <w:rPr>
          <w:rFonts w:eastAsia="Times New Roman"/>
          <w:szCs w:val="22"/>
          <w:lang w:val="ru-RU" w:eastAsia="en-US"/>
        </w:rPr>
        <w:t>).</w:t>
      </w:r>
    </w:p>
    <w:p w:rsidR="009A3542" w:rsidRPr="008B1C47" w:rsidRDefault="009A3542" w:rsidP="009A3542">
      <w:pPr>
        <w:pStyle w:val="ListParagraph"/>
        <w:rPr>
          <w:rFonts w:eastAsia="Times New Roman"/>
          <w:szCs w:val="22"/>
          <w:lang w:val="ru-RU" w:eastAsia="en-US"/>
        </w:rPr>
      </w:pPr>
    </w:p>
    <w:p w:rsidR="007F65D2" w:rsidRPr="008B1C47" w:rsidRDefault="008B1C47" w:rsidP="007F65D2">
      <w:pPr>
        <w:pStyle w:val="ListParagraph"/>
        <w:widowControl w:val="0"/>
        <w:numPr>
          <w:ilvl w:val="0"/>
          <w:numId w:val="9"/>
        </w:numPr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Это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значительно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меньше</w:t>
      </w:r>
      <w:r w:rsidRPr="008B1C4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чем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том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случае</w:t>
      </w:r>
      <w:r w:rsidRPr="008B1C4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если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положение</w:t>
      </w:r>
      <w:r w:rsidR="007F65D2" w:rsidRPr="008B1C47">
        <w:rPr>
          <w:rFonts w:eastAsia="Times New Roman"/>
          <w:szCs w:val="22"/>
          <w:lang w:val="ru-RU" w:eastAsia="en-US"/>
        </w:rPr>
        <w:t xml:space="preserve"> 3.14(</w:t>
      </w:r>
      <w:r w:rsidR="007F65D2" w:rsidRPr="007F65D2">
        <w:rPr>
          <w:rFonts w:eastAsia="Times New Roman"/>
          <w:szCs w:val="22"/>
          <w:lang w:eastAsia="en-US"/>
        </w:rPr>
        <w:t>f</w:t>
      </w:r>
      <w:r w:rsidR="007F65D2" w:rsidRPr="008B1C47">
        <w:rPr>
          <w:rFonts w:eastAsia="Times New Roman"/>
          <w:szCs w:val="22"/>
          <w:lang w:val="ru-RU"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>будет продолжать действовать</w:t>
      </w:r>
      <w:r w:rsidR="007F65D2" w:rsidRPr="008B1C47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Если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будет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принято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никакой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ограниченной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переходной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меры</w:t>
      </w:r>
      <w:r w:rsidRPr="008B1C4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ожидается</w:t>
      </w:r>
      <w:r w:rsidRPr="008B1C4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</w:t>
      </w:r>
      <w:r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ВОИС</w:t>
      </w:r>
      <w:r w:rsidR="007F65D2"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столкнется с необходимостью судебного разбирательства по делам, возбужденным соответствующими сотрудниками,</w:t>
      </w:r>
      <w:r w:rsidR="007F65D2"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 связанные с ними расходы будут, вероятно, перевешивать</w:t>
      </w:r>
      <w:r w:rsidR="007F65D2"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исчисленную</w:t>
      </w:r>
      <w:r w:rsidR="002367DF" w:rsidRPr="008B1C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общую максимальную сумму расходов в связи с принятием переходной меры</w:t>
      </w:r>
      <w:r w:rsidR="007F65D2" w:rsidRPr="008B1C47">
        <w:rPr>
          <w:rFonts w:eastAsia="Times New Roman"/>
          <w:szCs w:val="22"/>
          <w:lang w:val="ru-RU" w:eastAsia="en-US"/>
        </w:rPr>
        <w:t xml:space="preserve">.   </w:t>
      </w:r>
    </w:p>
    <w:p w:rsidR="00D43B2B" w:rsidRPr="008B1C47" w:rsidRDefault="00D43B2B" w:rsidP="00273139">
      <w:pPr>
        <w:pStyle w:val="ListParagraph"/>
        <w:ind w:left="5528"/>
        <w:rPr>
          <w:i/>
          <w:lang w:val="ru-RU"/>
        </w:rPr>
      </w:pPr>
    </w:p>
    <w:p w:rsidR="009E2FEC" w:rsidRPr="008B1C47" w:rsidRDefault="009E2FEC" w:rsidP="005A1B6D">
      <w:pPr>
        <w:ind w:left="5528"/>
        <w:contextualSpacing/>
        <w:rPr>
          <w:lang w:val="ru-RU"/>
        </w:rPr>
      </w:pPr>
    </w:p>
    <w:p w:rsidR="005A1B6D" w:rsidRPr="008B1C47" w:rsidRDefault="005A1B6D" w:rsidP="005A1B6D">
      <w:pPr>
        <w:ind w:left="5528"/>
        <w:contextualSpacing/>
        <w:rPr>
          <w:lang w:val="ru-RU"/>
        </w:rPr>
      </w:pPr>
    </w:p>
    <w:p w:rsidR="00E04E1F" w:rsidRDefault="0026217D" w:rsidP="005A1B6D">
      <w:pPr>
        <w:ind w:left="5528"/>
        <w:contextualSpacing/>
      </w:pPr>
      <w:r>
        <w:t>[</w:t>
      </w:r>
      <w:r w:rsidR="00D64EAA">
        <w:rPr>
          <w:lang w:val="ru-RU"/>
        </w:rPr>
        <w:t>Приложение следует</w:t>
      </w:r>
      <w:r>
        <w:t>]</w:t>
      </w:r>
    </w:p>
    <w:p w:rsidR="00276685" w:rsidRDefault="00276685" w:rsidP="005A1B6D">
      <w:pPr>
        <w:ind w:left="5528"/>
        <w:contextualSpacing/>
        <w:rPr>
          <w:lang w:val="ru-RU"/>
        </w:rPr>
        <w:sectPr w:rsidR="00276685" w:rsidSect="002B6775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76685" w:rsidRDefault="00276685" w:rsidP="00276685">
      <w:pPr>
        <w:contextualSpacing/>
        <w:rPr>
          <w:lang w:val="ru-RU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9432925" cy="6102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1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85" w:rsidRPr="00276685" w:rsidRDefault="00276685" w:rsidP="00276685">
      <w:pPr>
        <w:ind w:left="10206"/>
        <w:rPr>
          <w:u w:val="single"/>
          <w:lang w:val="ru-RU"/>
        </w:rPr>
      </w:pPr>
      <w:r w:rsidRPr="00276685">
        <w:rPr>
          <w:u w:val="single"/>
          <w:lang w:val="ru-RU"/>
        </w:rPr>
        <w:lastRenderedPageBreak/>
        <w:t>Глобальная скользящая шкала</w:t>
      </w:r>
    </w:p>
    <w:p w:rsidR="00E04E1F" w:rsidRDefault="00E04E1F" w:rsidP="00276685">
      <w:pPr>
        <w:contextualSpacing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  <w:gridCol w:w="5465"/>
      </w:tblGrid>
      <w:tr w:rsidR="00276685" w:rsidTr="00371003">
        <w:tc>
          <w:tcPr>
            <w:tcW w:w="8897" w:type="dxa"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  <w:tc>
          <w:tcPr>
            <w:tcW w:w="709" w:type="dxa"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  <w:tc>
          <w:tcPr>
            <w:tcW w:w="5465" w:type="dxa"/>
            <w:vMerge w:val="restart"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  <w:p w:rsidR="00276685" w:rsidRDefault="00276685" w:rsidP="00276685">
            <w:pPr>
              <w:contextualSpacing/>
              <w:jc w:val="center"/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7DBDC3D" wp14:editId="689CC3DC">
                  <wp:extent cx="2289810" cy="1987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85" w:rsidRPr="00276685" w:rsidRDefault="00276685" w:rsidP="00276685">
            <w:pPr>
              <w:contextualSpacing/>
              <w:rPr>
                <w:u w:val="single"/>
                <w:lang w:val="ru-RU"/>
              </w:rPr>
            </w:pPr>
          </w:p>
        </w:tc>
      </w:tr>
      <w:tr w:rsidR="00276685" w:rsidTr="00371003">
        <w:tc>
          <w:tcPr>
            <w:tcW w:w="8897" w:type="dxa"/>
          </w:tcPr>
          <w:p w:rsidR="00276685" w:rsidRPr="00371003" w:rsidRDefault="00276685" w:rsidP="00276685">
            <w:pPr>
              <w:contextualSpacing/>
              <w:rPr>
                <w:u w:val="single"/>
                <w:lang w:val="ru-RU"/>
              </w:rPr>
            </w:pPr>
            <w:r w:rsidRPr="00371003">
              <w:rPr>
                <w:u w:val="single"/>
                <w:lang w:val="ru-RU"/>
              </w:rPr>
              <w:t>Пояснительные замечания</w:t>
            </w:r>
          </w:p>
        </w:tc>
        <w:tc>
          <w:tcPr>
            <w:tcW w:w="709" w:type="dxa"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  <w:tc>
          <w:tcPr>
            <w:tcW w:w="5465" w:type="dxa"/>
            <w:vMerge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</w:tr>
      <w:tr w:rsidR="00276685" w:rsidTr="00371003">
        <w:tc>
          <w:tcPr>
            <w:tcW w:w="8897" w:type="dxa"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  <w:tc>
          <w:tcPr>
            <w:tcW w:w="709" w:type="dxa"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  <w:tc>
          <w:tcPr>
            <w:tcW w:w="5465" w:type="dxa"/>
            <w:vMerge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</w:tr>
      <w:tr w:rsidR="00276685" w:rsidRPr="00371003" w:rsidTr="00371003">
        <w:tc>
          <w:tcPr>
            <w:tcW w:w="8897" w:type="dxa"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  <w:r w:rsidRPr="00371003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Pr="00371003">
              <w:rPr>
                <w:sz w:val="18"/>
                <w:szCs w:val="18"/>
                <w:lang w:val="ru-RU"/>
              </w:rPr>
              <w:t xml:space="preserve">  Полученные на основе заключительного требования сотрудника за 2014/2015 год или авансового требования (если таковое есть) в отношении 2015/2016 года. </w:t>
            </w:r>
          </w:p>
        </w:tc>
        <w:tc>
          <w:tcPr>
            <w:tcW w:w="709" w:type="dxa"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5465" w:type="dxa"/>
            <w:vMerge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276685" w:rsidRPr="00371003" w:rsidTr="00371003">
        <w:tc>
          <w:tcPr>
            <w:tcW w:w="8897" w:type="dxa"/>
          </w:tcPr>
          <w:p w:rsidR="00276685" w:rsidRPr="00371003" w:rsidRDefault="00371003" w:rsidP="00276685">
            <w:pPr>
              <w:contextualSpacing/>
              <w:rPr>
                <w:sz w:val="18"/>
                <w:szCs w:val="18"/>
                <w:lang w:val="ru-RU"/>
              </w:rPr>
            </w:pPr>
            <w:r w:rsidRPr="00371003"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371003">
              <w:rPr>
                <w:sz w:val="18"/>
                <w:szCs w:val="18"/>
                <w:lang w:val="ru-RU"/>
              </w:rPr>
              <w:t xml:space="preserve">  В соответствии с новой системой субсидирования образования.</w:t>
            </w:r>
          </w:p>
        </w:tc>
        <w:tc>
          <w:tcPr>
            <w:tcW w:w="709" w:type="dxa"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5465" w:type="dxa"/>
            <w:vMerge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276685" w:rsidRPr="00371003" w:rsidTr="00371003">
        <w:tc>
          <w:tcPr>
            <w:tcW w:w="8897" w:type="dxa"/>
          </w:tcPr>
          <w:p w:rsidR="00276685" w:rsidRPr="00371003" w:rsidRDefault="00371003" w:rsidP="00276685">
            <w:pPr>
              <w:contextualSpacing/>
              <w:rPr>
                <w:sz w:val="18"/>
                <w:szCs w:val="18"/>
                <w:lang w:val="ru-RU"/>
              </w:rPr>
            </w:pPr>
            <w:r w:rsidRPr="00371003">
              <w:rPr>
                <w:sz w:val="18"/>
                <w:szCs w:val="18"/>
                <w:vertAlign w:val="superscript"/>
                <w:lang w:val="ru-RU"/>
              </w:rPr>
              <w:t>3</w:t>
            </w:r>
            <w:r w:rsidRPr="00371003">
              <w:rPr>
                <w:sz w:val="18"/>
                <w:szCs w:val="18"/>
                <w:lang w:val="ru-RU"/>
              </w:rPr>
              <w:t xml:space="preserve">  В соответствии с глобальной скользящей шкалой, принятой в рамках новой системы субсидирования образования.</w:t>
            </w:r>
          </w:p>
        </w:tc>
        <w:tc>
          <w:tcPr>
            <w:tcW w:w="709" w:type="dxa"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5465" w:type="dxa"/>
            <w:vMerge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276685" w:rsidRPr="00371003" w:rsidTr="00371003">
        <w:tc>
          <w:tcPr>
            <w:tcW w:w="8897" w:type="dxa"/>
          </w:tcPr>
          <w:p w:rsidR="00276685" w:rsidRPr="00371003" w:rsidRDefault="00371003" w:rsidP="00276685">
            <w:pPr>
              <w:contextualSpacing/>
              <w:rPr>
                <w:sz w:val="18"/>
                <w:szCs w:val="18"/>
                <w:lang w:val="ru-RU"/>
              </w:rPr>
            </w:pPr>
            <w:r w:rsidRPr="00371003">
              <w:rPr>
                <w:sz w:val="18"/>
                <w:szCs w:val="18"/>
                <w:vertAlign w:val="superscript"/>
                <w:lang w:val="ru-RU"/>
              </w:rPr>
              <w:t>4</w:t>
            </w:r>
            <w:r w:rsidRPr="00371003">
              <w:rPr>
                <w:sz w:val="18"/>
                <w:szCs w:val="18"/>
                <w:lang w:val="ru-RU"/>
              </w:rPr>
              <w:t xml:space="preserve">  Исчислено из расчета на 2017/2018 учебный год.</w:t>
            </w:r>
          </w:p>
        </w:tc>
        <w:tc>
          <w:tcPr>
            <w:tcW w:w="709" w:type="dxa"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5465" w:type="dxa"/>
            <w:vMerge/>
          </w:tcPr>
          <w:p w:rsidR="00276685" w:rsidRPr="00371003" w:rsidRDefault="00276685" w:rsidP="00276685">
            <w:pPr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276685" w:rsidTr="00371003">
        <w:tc>
          <w:tcPr>
            <w:tcW w:w="8897" w:type="dxa"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  <w:tc>
          <w:tcPr>
            <w:tcW w:w="709" w:type="dxa"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  <w:tc>
          <w:tcPr>
            <w:tcW w:w="5465" w:type="dxa"/>
            <w:vMerge/>
          </w:tcPr>
          <w:p w:rsidR="00276685" w:rsidRDefault="00276685" w:rsidP="00276685">
            <w:pPr>
              <w:contextualSpacing/>
              <w:rPr>
                <w:lang w:val="ru-RU"/>
              </w:rPr>
            </w:pPr>
          </w:p>
        </w:tc>
      </w:tr>
    </w:tbl>
    <w:p w:rsidR="00276685" w:rsidRDefault="00276685" w:rsidP="00276685">
      <w:pPr>
        <w:contextualSpacing/>
        <w:rPr>
          <w:lang w:val="ru-RU"/>
        </w:rPr>
      </w:pPr>
    </w:p>
    <w:p w:rsidR="00276685" w:rsidRPr="00371003" w:rsidRDefault="00371003" w:rsidP="00371003">
      <w:pPr>
        <w:ind w:left="9356"/>
        <w:contextualSpacing/>
        <w:jc w:val="center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276685" w:rsidRPr="00276685" w:rsidRDefault="00276685" w:rsidP="00276685">
      <w:pPr>
        <w:contextualSpacing/>
        <w:rPr>
          <w:lang w:val="ru-RU"/>
        </w:rPr>
      </w:pPr>
    </w:p>
    <w:sectPr w:rsidR="00276685" w:rsidRPr="00276685" w:rsidSect="00276685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4C" w:rsidRDefault="00CD1C4C">
      <w:r>
        <w:separator/>
      </w:r>
    </w:p>
  </w:endnote>
  <w:endnote w:type="continuationSeparator" w:id="0">
    <w:p w:rsidR="00CD1C4C" w:rsidRDefault="00CD1C4C" w:rsidP="003B38C1">
      <w:r>
        <w:separator/>
      </w:r>
    </w:p>
    <w:p w:rsidR="00CD1C4C" w:rsidRPr="003B38C1" w:rsidRDefault="00CD1C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1C4C" w:rsidRPr="003B38C1" w:rsidRDefault="00CD1C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4C" w:rsidRDefault="00CD1C4C">
      <w:r>
        <w:separator/>
      </w:r>
    </w:p>
  </w:footnote>
  <w:footnote w:type="continuationSeparator" w:id="0">
    <w:p w:rsidR="00CD1C4C" w:rsidRDefault="00CD1C4C" w:rsidP="008B60B2">
      <w:r>
        <w:separator/>
      </w:r>
    </w:p>
    <w:p w:rsidR="00CD1C4C" w:rsidRPr="00ED77FB" w:rsidRDefault="00CD1C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1C4C" w:rsidRPr="00ED77FB" w:rsidRDefault="00CD1C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D1C4C" w:rsidRPr="003C1652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1652">
        <w:rPr>
          <w:lang w:val="ru-RU"/>
        </w:rPr>
        <w:t xml:space="preserve"> </w:t>
      </w:r>
      <w:r>
        <w:rPr>
          <w:lang w:val="ru-RU"/>
        </w:rPr>
        <w:t>См</w:t>
      </w:r>
      <w:r w:rsidRPr="003C1652">
        <w:rPr>
          <w:lang w:val="ru-RU"/>
        </w:rPr>
        <w:t xml:space="preserve">. </w:t>
      </w:r>
      <w:r>
        <w:t>WO</w:t>
      </w:r>
      <w:r w:rsidRPr="003C1652">
        <w:rPr>
          <w:lang w:val="ru-RU"/>
        </w:rPr>
        <w:t>/</w:t>
      </w:r>
      <w:r>
        <w:t>CC</w:t>
      </w:r>
      <w:r w:rsidRPr="003C1652">
        <w:rPr>
          <w:lang w:val="ru-RU"/>
        </w:rPr>
        <w:t xml:space="preserve">/71/4 </w:t>
      </w:r>
      <w:r>
        <w:t>Rev</w:t>
      </w:r>
      <w:r w:rsidRPr="003C1652">
        <w:rPr>
          <w:lang w:val="ru-RU"/>
        </w:rPr>
        <w:t xml:space="preserve">., </w:t>
      </w:r>
      <w:r>
        <w:rPr>
          <w:lang w:val="ru-RU"/>
        </w:rPr>
        <w:t>пункты</w:t>
      </w:r>
      <w:r w:rsidRPr="003C1652">
        <w:rPr>
          <w:lang w:val="ru-RU"/>
        </w:rPr>
        <w:t xml:space="preserve"> 5 </w:t>
      </w:r>
      <w:r>
        <w:rPr>
          <w:lang w:val="ru-RU"/>
        </w:rPr>
        <w:t>и</w:t>
      </w:r>
      <w:r w:rsidRPr="003C1652">
        <w:rPr>
          <w:lang w:val="ru-RU"/>
        </w:rPr>
        <w:t xml:space="preserve"> 6.</w:t>
      </w:r>
    </w:p>
  </w:footnote>
  <w:footnote w:id="3">
    <w:p w:rsidR="00CD1C4C" w:rsidRDefault="00CD1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3C1652">
        <w:t>.</w:t>
      </w:r>
      <w:r>
        <w:t xml:space="preserve"> WO/CC/71/7, </w:t>
      </w:r>
      <w:r>
        <w:rPr>
          <w:lang w:val="ru-RU"/>
        </w:rPr>
        <w:t>пункт</w:t>
      </w:r>
      <w:r>
        <w:t xml:space="preserve"> 95(i)(b).</w:t>
      </w:r>
    </w:p>
  </w:footnote>
  <w:footnote w:id="4">
    <w:p w:rsidR="00CD1C4C" w:rsidRPr="00F1242B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1242B">
        <w:rPr>
          <w:lang w:val="ru-RU"/>
        </w:rPr>
        <w:t xml:space="preserve"> </w:t>
      </w:r>
      <w:r>
        <w:rPr>
          <w:lang w:val="ru-RU"/>
        </w:rPr>
        <w:t>См</w:t>
      </w:r>
      <w:r w:rsidRPr="00F1242B">
        <w:rPr>
          <w:lang w:val="ru-RU"/>
        </w:rPr>
        <w:t xml:space="preserve">. </w:t>
      </w:r>
      <w:r>
        <w:rPr>
          <w:lang w:val="ru-RU"/>
        </w:rPr>
        <w:t>решение</w:t>
      </w:r>
      <w:r w:rsidRPr="00F1242B">
        <w:rPr>
          <w:lang w:val="ru-RU"/>
        </w:rPr>
        <w:t xml:space="preserve"> № 1641 (1997</w:t>
      </w:r>
      <w:r>
        <w:rPr>
          <w:lang w:val="ru-RU"/>
        </w:rPr>
        <w:t xml:space="preserve"> г.</w:t>
      </w:r>
      <w:r w:rsidRPr="00F1242B">
        <w:rPr>
          <w:lang w:val="ru-RU"/>
        </w:rPr>
        <w:t xml:space="preserve">), </w:t>
      </w:r>
      <w:r>
        <w:rPr>
          <w:lang w:val="ru-RU"/>
        </w:rPr>
        <w:t>пункт</w:t>
      </w:r>
      <w:r w:rsidRPr="00F1242B">
        <w:rPr>
          <w:lang w:val="ru-RU"/>
        </w:rPr>
        <w:t xml:space="preserve"> 7(</w:t>
      </w:r>
      <w:r>
        <w:t>c</w:t>
      </w:r>
      <w:r w:rsidRPr="00F1242B">
        <w:rPr>
          <w:lang w:val="ru-RU"/>
        </w:rPr>
        <w:t>).</w:t>
      </w:r>
    </w:p>
  </w:footnote>
  <w:footnote w:id="5">
    <w:p w:rsidR="00CD1C4C" w:rsidRPr="0068316A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7AFA">
        <w:rPr>
          <w:lang w:val="ru-RU"/>
        </w:rPr>
        <w:t xml:space="preserve"> </w:t>
      </w:r>
      <w:r>
        <w:rPr>
          <w:lang w:val="ru-RU"/>
        </w:rPr>
        <w:t>Доктрина</w:t>
      </w:r>
      <w:r w:rsidRPr="00107AFA">
        <w:rPr>
          <w:lang w:val="ru-RU"/>
        </w:rPr>
        <w:t xml:space="preserve"> </w:t>
      </w:r>
      <w:r>
        <w:rPr>
          <w:lang w:val="ru-RU"/>
        </w:rPr>
        <w:t>приобретенных</w:t>
      </w:r>
      <w:r w:rsidRPr="00107AFA">
        <w:rPr>
          <w:lang w:val="ru-RU"/>
        </w:rPr>
        <w:t xml:space="preserve"> </w:t>
      </w:r>
      <w:r>
        <w:rPr>
          <w:lang w:val="ru-RU"/>
        </w:rPr>
        <w:t>прав</w:t>
      </w:r>
      <w:r w:rsidRPr="00107AFA">
        <w:rPr>
          <w:lang w:val="ru-RU"/>
        </w:rPr>
        <w:t xml:space="preserve"> </w:t>
      </w:r>
      <w:r>
        <w:rPr>
          <w:lang w:val="ru-RU"/>
        </w:rPr>
        <w:t>и</w:t>
      </w:r>
      <w:r w:rsidRPr="00107AFA">
        <w:rPr>
          <w:lang w:val="ru-RU"/>
        </w:rPr>
        <w:t xml:space="preserve"> </w:t>
      </w:r>
      <w:r>
        <w:rPr>
          <w:lang w:val="ru-RU"/>
        </w:rPr>
        <w:t>правило</w:t>
      </w:r>
      <w:r w:rsidRPr="00107AFA">
        <w:rPr>
          <w:lang w:val="ru-RU"/>
        </w:rPr>
        <w:t xml:space="preserve"> </w:t>
      </w:r>
      <w:r>
        <w:rPr>
          <w:lang w:val="ru-RU"/>
        </w:rPr>
        <w:t>против</w:t>
      </w:r>
      <w:r w:rsidRPr="00107AFA">
        <w:rPr>
          <w:lang w:val="ru-RU"/>
        </w:rPr>
        <w:t xml:space="preserve"> </w:t>
      </w:r>
      <w:r>
        <w:rPr>
          <w:lang w:val="ru-RU"/>
        </w:rPr>
        <w:t>ретроактивного</w:t>
      </w:r>
      <w:r w:rsidRPr="00107AFA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107AFA">
        <w:rPr>
          <w:lang w:val="ru-RU"/>
        </w:rPr>
        <w:t xml:space="preserve"> </w:t>
      </w:r>
      <w:r>
        <w:rPr>
          <w:lang w:val="ru-RU"/>
        </w:rPr>
        <w:t>являются</w:t>
      </w:r>
      <w:r w:rsidRPr="00107AFA">
        <w:rPr>
          <w:lang w:val="ru-RU"/>
        </w:rPr>
        <w:t xml:space="preserve"> </w:t>
      </w:r>
      <w:r>
        <w:rPr>
          <w:lang w:val="ru-RU"/>
        </w:rPr>
        <w:t>общими</w:t>
      </w:r>
      <w:r w:rsidRPr="00107AFA">
        <w:rPr>
          <w:lang w:val="ru-RU"/>
        </w:rPr>
        <w:t xml:space="preserve"> </w:t>
      </w:r>
      <w:r>
        <w:rPr>
          <w:lang w:val="ru-RU"/>
        </w:rPr>
        <w:t>принципами</w:t>
      </w:r>
      <w:r w:rsidRPr="00107AFA">
        <w:rPr>
          <w:lang w:val="ru-RU"/>
        </w:rPr>
        <w:t xml:space="preserve"> </w:t>
      </w:r>
      <w:r>
        <w:rPr>
          <w:lang w:val="ru-RU"/>
        </w:rPr>
        <w:t>права</w:t>
      </w:r>
      <w:r w:rsidRPr="00107AFA">
        <w:rPr>
          <w:lang w:val="ru-RU"/>
        </w:rPr>
        <w:t xml:space="preserve"> (</w:t>
      </w:r>
      <w:r>
        <w:rPr>
          <w:lang w:val="ru-RU"/>
        </w:rPr>
        <w:t>см</w:t>
      </w:r>
      <w:r w:rsidRPr="00107AFA">
        <w:rPr>
          <w:lang w:val="ru-RU"/>
        </w:rPr>
        <w:t xml:space="preserve">., </w:t>
      </w:r>
      <w:r>
        <w:rPr>
          <w:lang w:val="ru-RU"/>
        </w:rPr>
        <w:t>например</w:t>
      </w:r>
      <w:r w:rsidRPr="00107AFA">
        <w:rPr>
          <w:lang w:val="ru-RU"/>
        </w:rPr>
        <w:t xml:space="preserve">,  </w:t>
      </w:r>
      <w:r>
        <w:rPr>
          <w:lang w:val="ru-RU"/>
        </w:rPr>
        <w:t>решение</w:t>
      </w:r>
      <w:r w:rsidRPr="00F1242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107AFA">
        <w:rPr>
          <w:lang w:val="ru-RU"/>
        </w:rPr>
        <w:t>429 (1980</w:t>
      </w:r>
      <w:r>
        <w:rPr>
          <w:lang w:val="ru-RU"/>
        </w:rPr>
        <w:t xml:space="preserve"> г.</w:t>
      </w:r>
      <w:r w:rsidRPr="00107AFA">
        <w:rPr>
          <w:lang w:val="ru-RU"/>
        </w:rPr>
        <w:t xml:space="preserve">), </w:t>
      </w:r>
      <w:r>
        <w:rPr>
          <w:lang w:val="ru-RU"/>
        </w:rPr>
        <w:t>пункт</w:t>
      </w:r>
      <w:r w:rsidRPr="00107AFA">
        <w:rPr>
          <w:lang w:val="ru-RU"/>
        </w:rPr>
        <w:t xml:space="preserve"> 9</w:t>
      </w:r>
      <w:r>
        <w:rPr>
          <w:lang w:val="ru-RU"/>
        </w:rPr>
        <w:t>,</w:t>
      </w:r>
      <w:r w:rsidRPr="00107AFA">
        <w:rPr>
          <w:lang w:val="ru-RU"/>
        </w:rPr>
        <w:t xml:space="preserve"> </w:t>
      </w:r>
      <w:r>
        <w:rPr>
          <w:lang w:val="ru-RU"/>
        </w:rPr>
        <w:t>и</w:t>
      </w:r>
      <w:r w:rsidRPr="00107AFA">
        <w:rPr>
          <w:lang w:val="ru-RU"/>
        </w:rPr>
        <w:t xml:space="preserve"> </w:t>
      </w:r>
      <w:r>
        <w:rPr>
          <w:lang w:val="ru-RU"/>
        </w:rPr>
        <w:t>решение</w:t>
      </w:r>
      <w:r w:rsidRPr="00F1242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107AFA">
        <w:rPr>
          <w:lang w:val="ru-RU"/>
        </w:rPr>
        <w:t>51 (1960</w:t>
      </w:r>
      <w:r>
        <w:rPr>
          <w:lang w:val="ru-RU"/>
        </w:rPr>
        <w:t xml:space="preserve"> г.</w:t>
      </w:r>
      <w:r w:rsidRPr="00107AFA">
        <w:rPr>
          <w:lang w:val="ru-RU"/>
        </w:rPr>
        <w:t xml:space="preserve">), </w:t>
      </w:r>
      <w:r>
        <w:rPr>
          <w:lang w:val="ru-RU"/>
        </w:rPr>
        <w:t>пункт</w:t>
      </w:r>
      <w:r w:rsidRPr="00107AFA">
        <w:rPr>
          <w:lang w:val="ru-RU"/>
        </w:rPr>
        <w:t xml:space="preserve"> 5).  </w:t>
      </w:r>
      <w:r>
        <w:rPr>
          <w:lang w:val="ru-RU"/>
        </w:rPr>
        <w:t>Эти</w:t>
      </w:r>
      <w:r w:rsidRPr="0068316A">
        <w:rPr>
          <w:lang w:val="ru-RU"/>
        </w:rPr>
        <w:t xml:space="preserve"> </w:t>
      </w:r>
      <w:r>
        <w:rPr>
          <w:lang w:val="ru-RU"/>
        </w:rPr>
        <w:t>принципы</w:t>
      </w:r>
      <w:r w:rsidRPr="0068316A">
        <w:rPr>
          <w:lang w:val="ru-RU"/>
        </w:rPr>
        <w:t xml:space="preserve"> </w:t>
      </w:r>
      <w:r>
        <w:rPr>
          <w:lang w:val="ru-RU"/>
        </w:rPr>
        <w:t>являются</w:t>
      </w:r>
      <w:r w:rsidRPr="0068316A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68316A">
        <w:rPr>
          <w:lang w:val="ru-RU"/>
        </w:rPr>
        <w:t xml:space="preserve">, </w:t>
      </w:r>
      <w:r>
        <w:rPr>
          <w:lang w:val="ru-RU"/>
        </w:rPr>
        <w:t>применимыми</w:t>
      </w:r>
      <w:r w:rsidRPr="0068316A">
        <w:rPr>
          <w:lang w:val="ru-RU"/>
        </w:rPr>
        <w:t xml:space="preserve"> </w:t>
      </w:r>
      <w:r>
        <w:rPr>
          <w:lang w:val="ru-RU"/>
        </w:rPr>
        <w:t>даже</w:t>
      </w:r>
      <w:r w:rsidRPr="0068316A">
        <w:rPr>
          <w:lang w:val="ru-RU"/>
        </w:rPr>
        <w:t xml:space="preserve"> </w:t>
      </w:r>
      <w:r>
        <w:rPr>
          <w:lang w:val="ru-RU"/>
        </w:rPr>
        <w:t>при отсутствии четкого упоминания в Положениях и правилах о персонале ВОИС</w:t>
      </w:r>
      <w:r w:rsidRPr="0068316A">
        <w:rPr>
          <w:lang w:val="ru-RU"/>
        </w:rPr>
        <w:t xml:space="preserve">.     </w:t>
      </w:r>
    </w:p>
  </w:footnote>
  <w:footnote w:id="6">
    <w:p w:rsidR="00CD1C4C" w:rsidRPr="0068316A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8316A">
        <w:rPr>
          <w:lang w:val="ru-RU"/>
        </w:rPr>
        <w:t xml:space="preserve"> </w:t>
      </w:r>
      <w:r>
        <w:rPr>
          <w:lang w:val="ru-RU"/>
        </w:rPr>
        <w:t>См</w:t>
      </w:r>
      <w:r w:rsidRPr="0068316A">
        <w:rPr>
          <w:lang w:val="ru-RU"/>
        </w:rPr>
        <w:t xml:space="preserve">. </w:t>
      </w:r>
      <w:r>
        <w:rPr>
          <w:lang w:val="ru-RU"/>
        </w:rPr>
        <w:t>решение</w:t>
      </w:r>
      <w:r w:rsidRPr="00F1242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68316A">
        <w:rPr>
          <w:lang w:val="ru-RU"/>
        </w:rPr>
        <w:t>1446 (1995</w:t>
      </w:r>
      <w:r>
        <w:rPr>
          <w:lang w:val="ru-RU"/>
        </w:rPr>
        <w:t xml:space="preserve"> г.</w:t>
      </w:r>
      <w:r w:rsidRPr="0068316A">
        <w:rPr>
          <w:lang w:val="ru-RU"/>
        </w:rPr>
        <w:t xml:space="preserve">), </w:t>
      </w:r>
      <w:r>
        <w:rPr>
          <w:lang w:val="ru-RU"/>
        </w:rPr>
        <w:t>пункт</w:t>
      </w:r>
      <w:r w:rsidRPr="0068316A">
        <w:rPr>
          <w:lang w:val="ru-RU"/>
        </w:rPr>
        <w:t xml:space="preserve"> 13, </w:t>
      </w:r>
      <w:r>
        <w:rPr>
          <w:lang w:val="ru-RU"/>
        </w:rPr>
        <w:t>где</w:t>
      </w:r>
      <w:r w:rsidRPr="0068316A">
        <w:rPr>
          <w:lang w:val="ru-RU"/>
        </w:rPr>
        <w:t xml:space="preserve"> </w:t>
      </w:r>
      <w:r>
        <w:rPr>
          <w:lang w:val="ru-RU"/>
        </w:rPr>
        <w:t>идет</w:t>
      </w:r>
      <w:r w:rsidRPr="0068316A">
        <w:rPr>
          <w:lang w:val="ru-RU"/>
        </w:rPr>
        <w:t xml:space="preserve"> </w:t>
      </w:r>
      <w:r>
        <w:rPr>
          <w:lang w:val="ru-RU"/>
        </w:rPr>
        <w:t>речь</w:t>
      </w:r>
      <w:r w:rsidRPr="0068316A">
        <w:rPr>
          <w:lang w:val="ru-RU"/>
        </w:rPr>
        <w:t xml:space="preserve">, </w:t>
      </w:r>
      <w:r>
        <w:rPr>
          <w:lang w:val="ru-RU"/>
        </w:rPr>
        <w:t>в</w:t>
      </w:r>
      <w:r w:rsidRPr="0068316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8316A">
        <w:rPr>
          <w:lang w:val="ru-RU"/>
        </w:rPr>
        <w:t xml:space="preserve">, </w:t>
      </w:r>
      <w:r>
        <w:rPr>
          <w:lang w:val="ru-RU"/>
        </w:rPr>
        <w:t>о</w:t>
      </w:r>
      <w:r w:rsidRPr="0068316A">
        <w:rPr>
          <w:lang w:val="ru-RU"/>
        </w:rPr>
        <w:t xml:space="preserve"> </w:t>
      </w:r>
      <w:r>
        <w:rPr>
          <w:lang w:val="ru-RU"/>
        </w:rPr>
        <w:t>классических</w:t>
      </w:r>
      <w:r w:rsidRPr="0068316A">
        <w:rPr>
          <w:lang w:val="ru-RU"/>
        </w:rPr>
        <w:t xml:space="preserve"> </w:t>
      </w:r>
      <w:r>
        <w:rPr>
          <w:lang w:val="ru-RU"/>
        </w:rPr>
        <w:t>высказываниях</w:t>
      </w:r>
      <w:r w:rsidRPr="0068316A">
        <w:rPr>
          <w:lang w:val="ru-RU"/>
        </w:rPr>
        <w:t xml:space="preserve"> </w:t>
      </w:r>
      <w:r>
        <w:rPr>
          <w:lang w:val="ru-RU"/>
        </w:rPr>
        <w:t>по</w:t>
      </w:r>
      <w:r w:rsidRPr="0068316A">
        <w:rPr>
          <w:lang w:val="ru-RU"/>
        </w:rPr>
        <w:t xml:space="preserve"> </w:t>
      </w:r>
      <w:r>
        <w:rPr>
          <w:lang w:val="ru-RU"/>
        </w:rPr>
        <w:t>вопросу</w:t>
      </w:r>
      <w:r w:rsidRPr="0068316A">
        <w:rPr>
          <w:lang w:val="ru-RU"/>
        </w:rPr>
        <w:t xml:space="preserve"> </w:t>
      </w:r>
      <w:r>
        <w:rPr>
          <w:lang w:val="ru-RU"/>
        </w:rPr>
        <w:t>о</w:t>
      </w:r>
      <w:r w:rsidRPr="0068316A">
        <w:rPr>
          <w:lang w:val="ru-RU"/>
        </w:rPr>
        <w:t xml:space="preserve"> </w:t>
      </w:r>
      <w:r>
        <w:rPr>
          <w:lang w:val="ru-RU"/>
        </w:rPr>
        <w:t>доктрине</w:t>
      </w:r>
      <w:r w:rsidRPr="0068316A">
        <w:rPr>
          <w:lang w:val="ru-RU"/>
        </w:rPr>
        <w:t xml:space="preserve"> </w:t>
      </w:r>
      <w:r>
        <w:rPr>
          <w:lang w:val="ru-RU"/>
        </w:rPr>
        <w:t>в</w:t>
      </w:r>
      <w:r w:rsidRPr="0068316A">
        <w:rPr>
          <w:lang w:val="ru-RU"/>
        </w:rPr>
        <w:t xml:space="preserve"> </w:t>
      </w:r>
      <w:r>
        <w:rPr>
          <w:lang w:val="ru-RU"/>
        </w:rPr>
        <w:t>решении</w:t>
      </w:r>
      <w:r w:rsidRPr="00F1242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68316A">
        <w:rPr>
          <w:lang w:val="ru-RU"/>
        </w:rPr>
        <w:t>61 (1962</w:t>
      </w:r>
      <w:r>
        <w:rPr>
          <w:lang w:val="ru-RU"/>
        </w:rPr>
        <w:t xml:space="preserve"> г.</w:t>
      </w:r>
      <w:r w:rsidRPr="0068316A">
        <w:rPr>
          <w:lang w:val="ru-RU"/>
        </w:rPr>
        <w:t xml:space="preserve">) </w:t>
      </w:r>
      <w:r>
        <w:rPr>
          <w:lang w:val="ru-RU"/>
        </w:rPr>
        <w:t>и</w:t>
      </w:r>
      <w:r w:rsidRPr="0068316A">
        <w:rPr>
          <w:lang w:val="ru-RU"/>
        </w:rPr>
        <w:t xml:space="preserve"> </w:t>
      </w:r>
      <w:r>
        <w:rPr>
          <w:lang w:val="ru-RU"/>
        </w:rPr>
        <w:t>решении</w:t>
      </w:r>
      <w:r w:rsidRPr="00B1333D">
        <w:rPr>
          <w:lang w:val="ru-RU"/>
        </w:rPr>
        <w:t xml:space="preserve"> №</w:t>
      </w:r>
      <w:r w:rsidRPr="0068316A">
        <w:rPr>
          <w:lang w:val="ru-RU"/>
        </w:rPr>
        <w:t xml:space="preserve"> 832 (1987</w:t>
      </w:r>
      <w:r>
        <w:rPr>
          <w:lang w:val="ru-RU"/>
        </w:rPr>
        <w:t xml:space="preserve"> г.</w:t>
      </w:r>
      <w:r w:rsidRPr="0068316A">
        <w:rPr>
          <w:lang w:val="ru-RU"/>
        </w:rPr>
        <w:t xml:space="preserve">).   </w:t>
      </w:r>
    </w:p>
  </w:footnote>
  <w:footnote w:id="7">
    <w:p w:rsidR="00CD1C4C" w:rsidRPr="008C13A6" w:rsidRDefault="00CD1C4C" w:rsidP="00DF24C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333D">
        <w:rPr>
          <w:lang w:val="ru-RU"/>
        </w:rPr>
        <w:t xml:space="preserve"> </w:t>
      </w:r>
      <w:r>
        <w:rPr>
          <w:lang w:val="ru-RU"/>
        </w:rPr>
        <w:t>См</w:t>
      </w:r>
      <w:r w:rsidRPr="00B1333D">
        <w:rPr>
          <w:lang w:val="ru-RU"/>
        </w:rPr>
        <w:t xml:space="preserve">. </w:t>
      </w:r>
      <w:r>
        <w:rPr>
          <w:lang w:val="ru-RU"/>
        </w:rPr>
        <w:t>решения</w:t>
      </w:r>
      <w:r w:rsidRPr="00B1333D">
        <w:rPr>
          <w:lang w:val="ru-RU"/>
        </w:rPr>
        <w:t xml:space="preserve"> №№ 365 </w:t>
      </w:r>
      <w:r>
        <w:rPr>
          <w:lang w:val="ru-RU"/>
        </w:rPr>
        <w:t>и</w:t>
      </w:r>
      <w:r w:rsidRPr="00B1333D">
        <w:rPr>
          <w:lang w:val="ru-RU"/>
        </w:rPr>
        <w:t xml:space="preserve"> 366 (1978 </w:t>
      </w:r>
      <w:r>
        <w:rPr>
          <w:lang w:val="ru-RU"/>
        </w:rPr>
        <w:t>г</w:t>
      </w:r>
      <w:r w:rsidRPr="00B1333D">
        <w:rPr>
          <w:lang w:val="ru-RU"/>
        </w:rPr>
        <w:t xml:space="preserve">.), </w:t>
      </w:r>
      <w:r>
        <w:rPr>
          <w:lang w:val="ru-RU"/>
        </w:rPr>
        <w:t>пункты</w:t>
      </w:r>
      <w:r w:rsidRPr="00B1333D">
        <w:rPr>
          <w:lang w:val="ru-RU"/>
        </w:rPr>
        <w:t xml:space="preserve"> 7 </w:t>
      </w:r>
      <w:r>
        <w:rPr>
          <w:lang w:val="ru-RU"/>
        </w:rPr>
        <w:t>и</w:t>
      </w:r>
      <w:r w:rsidRPr="00B1333D">
        <w:rPr>
          <w:lang w:val="ru-RU"/>
        </w:rPr>
        <w:t xml:space="preserve"> 6</w:t>
      </w:r>
      <w:r>
        <w:rPr>
          <w:lang w:val="ru-RU"/>
        </w:rPr>
        <w:t>,</w:t>
      </w:r>
      <w:r w:rsidRPr="00B1333D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Pr="00B1333D">
        <w:rPr>
          <w:lang w:val="ru-RU"/>
        </w:rPr>
        <w:t xml:space="preserve">.  </w:t>
      </w:r>
      <w:r>
        <w:rPr>
          <w:lang w:val="ru-RU"/>
        </w:rPr>
        <w:t>См</w:t>
      </w:r>
      <w:r w:rsidRPr="00B1333D">
        <w:rPr>
          <w:lang w:val="ru-RU"/>
        </w:rPr>
        <w:t xml:space="preserve">. </w:t>
      </w:r>
      <w:r>
        <w:rPr>
          <w:lang w:val="ru-RU"/>
        </w:rPr>
        <w:t>также</w:t>
      </w:r>
      <w:r w:rsidRPr="00B1333D">
        <w:rPr>
          <w:lang w:val="ru-RU"/>
        </w:rPr>
        <w:t xml:space="preserve">, </w:t>
      </w:r>
      <w:r>
        <w:rPr>
          <w:lang w:val="ru-RU"/>
        </w:rPr>
        <w:t>например</w:t>
      </w:r>
      <w:r w:rsidRPr="00B1333D">
        <w:rPr>
          <w:lang w:val="ru-RU"/>
        </w:rPr>
        <w:t xml:space="preserve">, </w:t>
      </w:r>
      <w:r>
        <w:rPr>
          <w:lang w:val="ru-RU"/>
        </w:rPr>
        <w:t>решение</w:t>
      </w:r>
      <w:r w:rsidRPr="00B1333D">
        <w:rPr>
          <w:lang w:val="ru-RU"/>
        </w:rPr>
        <w:t xml:space="preserve"> № 368 (1979 </w:t>
      </w:r>
      <w:r>
        <w:rPr>
          <w:lang w:val="ru-RU"/>
        </w:rPr>
        <w:t>г</w:t>
      </w:r>
      <w:r w:rsidRPr="00B1333D">
        <w:rPr>
          <w:lang w:val="ru-RU"/>
        </w:rPr>
        <w:t xml:space="preserve">.), </w:t>
      </w:r>
      <w:r>
        <w:rPr>
          <w:lang w:val="ru-RU"/>
        </w:rPr>
        <w:t>пункт</w:t>
      </w:r>
      <w:r w:rsidRPr="00B1333D">
        <w:rPr>
          <w:lang w:val="ru-RU"/>
        </w:rPr>
        <w:t xml:space="preserve"> 7; </w:t>
      </w:r>
      <w:r>
        <w:rPr>
          <w:lang w:val="ru-RU"/>
        </w:rPr>
        <w:t>решение</w:t>
      </w:r>
      <w:r w:rsidRPr="00B1333D">
        <w:rPr>
          <w:lang w:val="ru-RU"/>
        </w:rPr>
        <w:t xml:space="preserve"> № 371 (1979 </w:t>
      </w:r>
      <w:r>
        <w:rPr>
          <w:lang w:val="ru-RU"/>
        </w:rPr>
        <w:t>г</w:t>
      </w:r>
      <w:r w:rsidRPr="00B1333D">
        <w:rPr>
          <w:lang w:val="ru-RU"/>
        </w:rPr>
        <w:t xml:space="preserve">.), </w:t>
      </w:r>
      <w:r>
        <w:rPr>
          <w:lang w:val="ru-RU"/>
        </w:rPr>
        <w:t>пункт</w:t>
      </w:r>
      <w:r w:rsidRPr="00B1333D">
        <w:rPr>
          <w:lang w:val="ru-RU"/>
        </w:rPr>
        <w:t xml:space="preserve"> 4; </w:t>
      </w:r>
      <w:r>
        <w:rPr>
          <w:lang w:val="ru-RU"/>
        </w:rPr>
        <w:t>решение</w:t>
      </w:r>
      <w:r w:rsidRPr="00B1333D">
        <w:rPr>
          <w:lang w:val="ru-RU"/>
        </w:rPr>
        <w:t xml:space="preserve"> № 666 (1985 </w:t>
      </w:r>
      <w:r>
        <w:rPr>
          <w:lang w:val="ru-RU"/>
        </w:rPr>
        <w:t>г</w:t>
      </w:r>
      <w:r w:rsidRPr="00B1333D">
        <w:rPr>
          <w:lang w:val="ru-RU"/>
        </w:rPr>
        <w:t xml:space="preserve">.), </w:t>
      </w:r>
      <w:r>
        <w:rPr>
          <w:lang w:val="ru-RU"/>
        </w:rPr>
        <w:t>пункт</w:t>
      </w:r>
      <w:r w:rsidRPr="00B1333D">
        <w:rPr>
          <w:lang w:val="ru-RU"/>
        </w:rPr>
        <w:t xml:space="preserve"> 5; </w:t>
      </w:r>
      <w:r>
        <w:rPr>
          <w:lang w:val="ru-RU"/>
        </w:rPr>
        <w:t>решение</w:t>
      </w:r>
      <w:r w:rsidRPr="00B1333D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B1333D">
        <w:rPr>
          <w:lang w:val="ru-RU"/>
        </w:rPr>
        <w:t>832 (1987</w:t>
      </w:r>
      <w:r>
        <w:rPr>
          <w:lang w:val="ru-RU"/>
        </w:rPr>
        <w:t xml:space="preserve"> г.</w:t>
      </w:r>
      <w:r w:rsidRPr="00B1333D">
        <w:rPr>
          <w:lang w:val="ru-RU"/>
        </w:rPr>
        <w:t xml:space="preserve">), </w:t>
      </w:r>
      <w:r>
        <w:rPr>
          <w:lang w:val="ru-RU"/>
        </w:rPr>
        <w:t xml:space="preserve">пункт </w:t>
      </w:r>
      <w:r w:rsidRPr="00B1333D">
        <w:rPr>
          <w:lang w:val="ru-RU"/>
        </w:rPr>
        <w:t>13 (</w:t>
      </w:r>
      <w:r>
        <w:rPr>
          <w:lang w:val="ru-RU"/>
        </w:rPr>
        <w:t>процитировано</w:t>
      </w:r>
      <w:r w:rsidRPr="00B1333D">
        <w:rPr>
          <w:lang w:val="ru-RU"/>
        </w:rPr>
        <w:t xml:space="preserve"> </w:t>
      </w:r>
      <w:r>
        <w:rPr>
          <w:lang w:val="ru-RU"/>
        </w:rPr>
        <w:t>с</w:t>
      </w:r>
      <w:r w:rsidRPr="00B1333D">
        <w:rPr>
          <w:lang w:val="ru-RU"/>
        </w:rPr>
        <w:t xml:space="preserve"> </w:t>
      </w:r>
      <w:r>
        <w:rPr>
          <w:lang w:val="ru-RU"/>
        </w:rPr>
        <w:t>одобрением</w:t>
      </w:r>
      <w:r w:rsidRPr="00B1333D">
        <w:rPr>
          <w:lang w:val="ru-RU"/>
        </w:rPr>
        <w:t xml:space="preserve"> </w:t>
      </w:r>
      <w:r>
        <w:rPr>
          <w:lang w:val="ru-RU"/>
        </w:rPr>
        <w:t>в</w:t>
      </w:r>
      <w:r w:rsidRPr="00B1333D">
        <w:rPr>
          <w:lang w:val="ru-RU"/>
        </w:rPr>
        <w:t xml:space="preserve"> </w:t>
      </w:r>
      <w:r>
        <w:rPr>
          <w:lang w:val="ru-RU"/>
        </w:rPr>
        <w:t>решении</w:t>
      </w:r>
      <w:r w:rsidRPr="00B1333D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B1333D">
        <w:rPr>
          <w:lang w:val="ru-RU"/>
        </w:rPr>
        <w:t>2089 (2002</w:t>
      </w:r>
      <w:r>
        <w:rPr>
          <w:lang w:val="ru-RU"/>
        </w:rPr>
        <w:t xml:space="preserve"> г.</w:t>
      </w:r>
      <w:r w:rsidRPr="00B1333D">
        <w:rPr>
          <w:lang w:val="ru-RU"/>
        </w:rPr>
        <w:t xml:space="preserve">), </w:t>
      </w:r>
      <w:r>
        <w:rPr>
          <w:lang w:val="ru-RU"/>
        </w:rPr>
        <w:t>пункт</w:t>
      </w:r>
      <w:r w:rsidRPr="00B1333D">
        <w:rPr>
          <w:lang w:val="ru-RU"/>
        </w:rPr>
        <w:t xml:space="preserve"> 12); </w:t>
      </w:r>
      <w:r>
        <w:rPr>
          <w:lang w:val="ru-RU"/>
        </w:rPr>
        <w:t>и</w:t>
      </w:r>
      <w:r w:rsidRPr="00B1333D">
        <w:rPr>
          <w:lang w:val="ru-RU"/>
        </w:rPr>
        <w:t xml:space="preserve"> </w:t>
      </w:r>
      <w:r>
        <w:rPr>
          <w:lang w:val="ru-RU"/>
        </w:rPr>
        <w:t>решение</w:t>
      </w:r>
      <w:r w:rsidRPr="00B1333D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B1333D">
        <w:rPr>
          <w:lang w:val="ru-RU"/>
        </w:rPr>
        <w:t>3074 (2012</w:t>
      </w:r>
      <w:r>
        <w:rPr>
          <w:lang w:val="ru-RU"/>
        </w:rPr>
        <w:t xml:space="preserve"> г.</w:t>
      </w:r>
      <w:r w:rsidRPr="00B1333D">
        <w:rPr>
          <w:lang w:val="ru-RU"/>
        </w:rPr>
        <w:t xml:space="preserve">), </w:t>
      </w:r>
      <w:r>
        <w:rPr>
          <w:lang w:val="ru-RU"/>
        </w:rPr>
        <w:t>пункт</w:t>
      </w:r>
      <w:r w:rsidRPr="00B1333D">
        <w:rPr>
          <w:lang w:val="ru-RU"/>
        </w:rPr>
        <w:t xml:space="preserve"> 16.  </w:t>
      </w:r>
      <w:r>
        <w:rPr>
          <w:lang w:val="ru-RU"/>
        </w:rPr>
        <w:t>На</w:t>
      </w:r>
      <w:r w:rsidRPr="0068316A">
        <w:rPr>
          <w:lang w:val="ru-RU"/>
        </w:rPr>
        <w:t xml:space="preserve"> </w:t>
      </w:r>
      <w:r>
        <w:rPr>
          <w:lang w:val="ru-RU"/>
        </w:rPr>
        <w:t>первый</w:t>
      </w:r>
      <w:r w:rsidRPr="0068316A">
        <w:rPr>
          <w:lang w:val="ru-RU"/>
        </w:rPr>
        <w:t xml:space="preserve"> </w:t>
      </w:r>
      <w:r>
        <w:rPr>
          <w:lang w:val="ru-RU"/>
        </w:rPr>
        <w:t>взгляд</w:t>
      </w:r>
      <w:r w:rsidRPr="0068316A">
        <w:rPr>
          <w:lang w:val="ru-RU"/>
        </w:rPr>
        <w:t xml:space="preserve">, </w:t>
      </w:r>
      <w:r>
        <w:rPr>
          <w:lang w:val="ru-RU"/>
        </w:rPr>
        <w:t>разница</w:t>
      </w:r>
      <w:r w:rsidRPr="0068316A">
        <w:rPr>
          <w:lang w:val="ru-RU"/>
        </w:rPr>
        <w:t xml:space="preserve"> </w:t>
      </w:r>
      <w:r>
        <w:rPr>
          <w:lang w:val="ru-RU"/>
        </w:rPr>
        <w:t>между</w:t>
      </w:r>
      <w:r w:rsidRPr="0068316A">
        <w:rPr>
          <w:lang w:val="ru-RU"/>
        </w:rPr>
        <w:t xml:space="preserve"> </w:t>
      </w:r>
      <w:r>
        <w:rPr>
          <w:lang w:val="ru-RU"/>
        </w:rPr>
        <w:t>условиями</w:t>
      </w:r>
      <w:r w:rsidRPr="0068316A">
        <w:rPr>
          <w:lang w:val="ru-RU"/>
        </w:rPr>
        <w:t xml:space="preserve"> </w:t>
      </w:r>
      <w:r>
        <w:rPr>
          <w:lang w:val="ru-RU"/>
        </w:rPr>
        <w:t>службы,</w:t>
      </w:r>
      <w:r w:rsidRPr="0068316A">
        <w:rPr>
          <w:lang w:val="ru-RU"/>
        </w:rPr>
        <w:t xml:space="preserve"> </w:t>
      </w:r>
      <w:r>
        <w:rPr>
          <w:lang w:val="ru-RU"/>
        </w:rPr>
        <w:t>предусмотренными в контракте, и</w:t>
      </w:r>
      <w:r w:rsidRPr="0068316A">
        <w:rPr>
          <w:lang w:val="ru-RU"/>
        </w:rPr>
        <w:t xml:space="preserve"> </w:t>
      </w:r>
      <w:r>
        <w:rPr>
          <w:lang w:val="ru-RU"/>
        </w:rPr>
        <w:t>теми, которые определяются нормативно</w:t>
      </w:r>
      <w:r w:rsidRPr="0068316A">
        <w:rPr>
          <w:lang w:val="ru-RU"/>
        </w:rPr>
        <w:t>-</w:t>
      </w:r>
      <w:r>
        <w:rPr>
          <w:lang w:val="ru-RU"/>
        </w:rPr>
        <w:t>правовыми</w:t>
      </w:r>
      <w:r w:rsidRPr="0068316A">
        <w:rPr>
          <w:lang w:val="ru-RU"/>
        </w:rPr>
        <w:t xml:space="preserve"> </w:t>
      </w:r>
      <w:r>
        <w:rPr>
          <w:lang w:val="ru-RU"/>
        </w:rPr>
        <w:t>актами, может</w:t>
      </w:r>
      <w:r w:rsidRPr="0068316A">
        <w:rPr>
          <w:lang w:val="ru-RU"/>
        </w:rPr>
        <w:t xml:space="preserve"> </w:t>
      </w:r>
      <w:r>
        <w:rPr>
          <w:lang w:val="ru-RU"/>
        </w:rPr>
        <w:t>считаться</w:t>
      </w:r>
      <w:r w:rsidRPr="0068316A">
        <w:rPr>
          <w:lang w:val="ru-RU"/>
        </w:rPr>
        <w:t xml:space="preserve"> </w:t>
      </w:r>
      <w:r>
        <w:rPr>
          <w:lang w:val="ru-RU"/>
        </w:rPr>
        <w:t>поверхностной</w:t>
      </w:r>
      <w:r w:rsidRPr="0068316A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68316A">
        <w:rPr>
          <w:lang w:val="ru-RU"/>
        </w:rPr>
        <w:t xml:space="preserve"> </w:t>
      </w:r>
      <w:r>
        <w:rPr>
          <w:lang w:val="ru-RU"/>
        </w:rPr>
        <w:t>письмо</w:t>
      </w:r>
      <w:r w:rsidRPr="0068316A">
        <w:rPr>
          <w:lang w:val="ru-RU"/>
        </w:rPr>
        <w:t xml:space="preserve"> </w:t>
      </w:r>
      <w:r>
        <w:rPr>
          <w:lang w:val="ru-RU"/>
        </w:rPr>
        <w:t>о</w:t>
      </w:r>
      <w:r w:rsidRPr="0068316A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68316A">
        <w:rPr>
          <w:lang w:val="ru-RU"/>
        </w:rPr>
        <w:t xml:space="preserve"> </w:t>
      </w:r>
      <w:r>
        <w:rPr>
          <w:lang w:val="ru-RU"/>
        </w:rPr>
        <w:t>или</w:t>
      </w:r>
      <w:r w:rsidRPr="0068316A">
        <w:rPr>
          <w:lang w:val="ru-RU"/>
        </w:rPr>
        <w:t xml:space="preserve"> </w:t>
      </w:r>
      <w:r>
        <w:rPr>
          <w:lang w:val="ru-RU"/>
        </w:rPr>
        <w:t>контракт</w:t>
      </w:r>
      <w:r w:rsidRPr="0068316A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68316A">
        <w:rPr>
          <w:lang w:val="ru-RU"/>
        </w:rPr>
        <w:t xml:space="preserve"> </w:t>
      </w:r>
      <w:r>
        <w:rPr>
          <w:lang w:val="ru-RU"/>
        </w:rPr>
        <w:t>обычно</w:t>
      </w:r>
      <w:r w:rsidRPr="0068316A">
        <w:rPr>
          <w:lang w:val="ru-RU"/>
        </w:rPr>
        <w:t xml:space="preserve"> (</w:t>
      </w:r>
      <w:r>
        <w:rPr>
          <w:lang w:val="ru-RU"/>
        </w:rPr>
        <w:t>если</w:t>
      </w:r>
      <w:r w:rsidRPr="0068316A">
        <w:rPr>
          <w:lang w:val="ru-RU"/>
        </w:rPr>
        <w:t xml:space="preserve"> </w:t>
      </w:r>
      <w:r>
        <w:rPr>
          <w:lang w:val="ru-RU"/>
        </w:rPr>
        <w:t>не</w:t>
      </w:r>
      <w:r w:rsidRPr="0068316A">
        <w:rPr>
          <w:lang w:val="ru-RU"/>
        </w:rPr>
        <w:t xml:space="preserve"> </w:t>
      </w:r>
      <w:r>
        <w:rPr>
          <w:lang w:val="ru-RU"/>
        </w:rPr>
        <w:t>всегда</w:t>
      </w:r>
      <w:r w:rsidRPr="0068316A">
        <w:rPr>
          <w:lang w:val="ru-RU"/>
        </w:rPr>
        <w:t xml:space="preserve">) </w:t>
      </w:r>
      <w:r>
        <w:rPr>
          <w:lang w:val="ru-RU"/>
        </w:rPr>
        <w:t>включает</w:t>
      </w:r>
      <w:r w:rsidRPr="0068316A">
        <w:rPr>
          <w:lang w:val="ru-RU"/>
        </w:rPr>
        <w:t xml:space="preserve"> – </w:t>
      </w:r>
      <w:r>
        <w:rPr>
          <w:lang w:val="ru-RU"/>
        </w:rPr>
        <w:t>по</w:t>
      </w:r>
      <w:r w:rsidRPr="0068316A">
        <w:rPr>
          <w:lang w:val="ru-RU"/>
        </w:rPr>
        <w:t xml:space="preserve"> </w:t>
      </w:r>
      <w:r>
        <w:rPr>
          <w:lang w:val="ru-RU"/>
        </w:rPr>
        <w:t>упоминанию</w:t>
      </w:r>
      <w:r w:rsidRPr="0068316A">
        <w:rPr>
          <w:lang w:val="ru-RU"/>
        </w:rPr>
        <w:t xml:space="preserve"> – </w:t>
      </w:r>
      <w:r>
        <w:rPr>
          <w:lang w:val="ru-RU"/>
        </w:rPr>
        <w:t>то</w:t>
      </w:r>
      <w:r w:rsidRPr="0068316A">
        <w:rPr>
          <w:lang w:val="ru-RU"/>
        </w:rPr>
        <w:t xml:space="preserve">, </w:t>
      </w:r>
      <w:r>
        <w:rPr>
          <w:lang w:val="ru-RU"/>
        </w:rPr>
        <w:t>что</w:t>
      </w:r>
      <w:r w:rsidRPr="0068316A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68316A">
        <w:rPr>
          <w:lang w:val="ru-RU"/>
        </w:rPr>
        <w:t xml:space="preserve"> </w:t>
      </w:r>
      <w:r>
        <w:rPr>
          <w:lang w:val="ru-RU"/>
        </w:rPr>
        <w:t>в</w:t>
      </w:r>
      <w:r w:rsidRPr="0068316A">
        <w:rPr>
          <w:lang w:val="ru-RU"/>
        </w:rPr>
        <w:t xml:space="preserve"> </w:t>
      </w:r>
      <w:r>
        <w:rPr>
          <w:lang w:val="ru-RU"/>
        </w:rPr>
        <w:t>Положениях</w:t>
      </w:r>
      <w:r w:rsidRPr="0068316A">
        <w:rPr>
          <w:lang w:val="ru-RU"/>
        </w:rPr>
        <w:t xml:space="preserve"> </w:t>
      </w:r>
      <w:r>
        <w:rPr>
          <w:lang w:val="ru-RU"/>
        </w:rPr>
        <w:t>и</w:t>
      </w:r>
      <w:r w:rsidRPr="0068316A">
        <w:rPr>
          <w:lang w:val="ru-RU"/>
        </w:rPr>
        <w:t xml:space="preserve"> </w:t>
      </w:r>
      <w:r>
        <w:rPr>
          <w:lang w:val="ru-RU"/>
        </w:rPr>
        <w:t>правилах</w:t>
      </w:r>
      <w:r w:rsidRPr="0068316A">
        <w:rPr>
          <w:lang w:val="ru-RU"/>
        </w:rPr>
        <w:t xml:space="preserve"> </w:t>
      </w:r>
      <w:r>
        <w:rPr>
          <w:lang w:val="ru-RU"/>
        </w:rPr>
        <w:t>о</w:t>
      </w:r>
      <w:r w:rsidRPr="0068316A">
        <w:rPr>
          <w:lang w:val="ru-RU"/>
        </w:rPr>
        <w:t xml:space="preserve"> </w:t>
      </w:r>
      <w:r>
        <w:rPr>
          <w:lang w:val="ru-RU"/>
        </w:rPr>
        <w:t>персонале</w:t>
      </w:r>
      <w:r w:rsidRPr="0068316A">
        <w:rPr>
          <w:lang w:val="ru-RU"/>
        </w:rPr>
        <w:t xml:space="preserve">.  </w:t>
      </w:r>
      <w:r>
        <w:rPr>
          <w:lang w:val="ru-RU"/>
        </w:rPr>
        <w:t>Вместе</w:t>
      </w:r>
      <w:r w:rsidRPr="00E560E1">
        <w:rPr>
          <w:lang w:val="ru-RU"/>
        </w:rPr>
        <w:t xml:space="preserve"> </w:t>
      </w:r>
      <w:r>
        <w:rPr>
          <w:lang w:val="ru-RU"/>
        </w:rPr>
        <w:t>с</w:t>
      </w:r>
      <w:r w:rsidRPr="00E560E1">
        <w:rPr>
          <w:lang w:val="ru-RU"/>
        </w:rPr>
        <w:t xml:space="preserve"> </w:t>
      </w:r>
      <w:r>
        <w:rPr>
          <w:lang w:val="ru-RU"/>
        </w:rPr>
        <w:t>тем</w:t>
      </w:r>
      <w:r w:rsidRPr="00E560E1">
        <w:rPr>
          <w:lang w:val="ru-RU"/>
        </w:rPr>
        <w:t xml:space="preserve"> </w:t>
      </w:r>
      <w:r>
        <w:rPr>
          <w:lang w:val="ru-RU"/>
        </w:rPr>
        <w:t>из</w:t>
      </w:r>
      <w:r w:rsidRPr="00E560E1">
        <w:rPr>
          <w:lang w:val="ru-RU"/>
        </w:rPr>
        <w:t xml:space="preserve"> </w:t>
      </w:r>
      <w:r>
        <w:rPr>
          <w:lang w:val="ru-RU"/>
        </w:rPr>
        <w:t>судебной</w:t>
      </w:r>
      <w:r w:rsidRPr="00E560E1">
        <w:rPr>
          <w:lang w:val="ru-RU"/>
        </w:rPr>
        <w:t xml:space="preserve"> </w:t>
      </w:r>
      <w:r>
        <w:rPr>
          <w:lang w:val="ru-RU"/>
        </w:rPr>
        <w:t>практики</w:t>
      </w:r>
      <w:r w:rsidRPr="00E560E1">
        <w:rPr>
          <w:lang w:val="ru-RU"/>
        </w:rPr>
        <w:t xml:space="preserve"> </w:t>
      </w:r>
      <w:r>
        <w:rPr>
          <w:lang w:val="ru-RU"/>
        </w:rPr>
        <w:t>АТМОТ</w:t>
      </w:r>
      <w:r w:rsidRPr="00E560E1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E560E1">
        <w:rPr>
          <w:lang w:val="ru-RU"/>
        </w:rPr>
        <w:t xml:space="preserve"> </w:t>
      </w:r>
      <w:r>
        <w:rPr>
          <w:lang w:val="ru-RU"/>
        </w:rPr>
        <w:t>ясно</w:t>
      </w:r>
      <w:r w:rsidRPr="00E560E1">
        <w:rPr>
          <w:lang w:val="ru-RU"/>
        </w:rPr>
        <w:t xml:space="preserve">, </w:t>
      </w:r>
      <w:r>
        <w:rPr>
          <w:lang w:val="ru-RU"/>
        </w:rPr>
        <w:t>что</w:t>
      </w:r>
      <w:r w:rsidRPr="00E560E1">
        <w:rPr>
          <w:lang w:val="ru-RU"/>
        </w:rPr>
        <w:t xml:space="preserve"> </w:t>
      </w:r>
      <w:r>
        <w:rPr>
          <w:lang w:val="ru-RU"/>
        </w:rPr>
        <w:t>только</w:t>
      </w:r>
      <w:r w:rsidRPr="00E560E1">
        <w:rPr>
          <w:lang w:val="ru-RU"/>
        </w:rPr>
        <w:t xml:space="preserve"> </w:t>
      </w:r>
      <w:r>
        <w:rPr>
          <w:lang w:val="ru-RU"/>
        </w:rPr>
        <w:t>те</w:t>
      </w:r>
      <w:r w:rsidRPr="00E560E1">
        <w:rPr>
          <w:lang w:val="ru-RU"/>
        </w:rPr>
        <w:t xml:space="preserve"> </w:t>
      </w:r>
      <w:r>
        <w:rPr>
          <w:lang w:val="ru-RU"/>
        </w:rPr>
        <w:t>положения</w:t>
      </w:r>
      <w:r w:rsidRPr="00E560E1">
        <w:rPr>
          <w:lang w:val="ru-RU"/>
        </w:rPr>
        <w:t xml:space="preserve">, </w:t>
      </w:r>
      <w:r>
        <w:rPr>
          <w:lang w:val="ru-RU"/>
        </w:rPr>
        <w:t>которые</w:t>
      </w:r>
      <w:r w:rsidRPr="00E560E1">
        <w:rPr>
          <w:lang w:val="ru-RU"/>
        </w:rPr>
        <w:t xml:space="preserve"> </w:t>
      </w:r>
      <w:r>
        <w:rPr>
          <w:lang w:val="ru-RU"/>
        </w:rPr>
        <w:t>четко</w:t>
      </w:r>
      <w:r w:rsidRPr="00E560E1">
        <w:rPr>
          <w:lang w:val="ru-RU"/>
        </w:rPr>
        <w:t xml:space="preserve"> </w:t>
      </w:r>
      <w:r>
        <w:rPr>
          <w:lang w:val="ru-RU"/>
        </w:rPr>
        <w:t>изложены</w:t>
      </w:r>
      <w:r w:rsidRPr="00E560E1">
        <w:rPr>
          <w:lang w:val="ru-RU"/>
        </w:rPr>
        <w:t xml:space="preserve"> </w:t>
      </w:r>
      <w:r>
        <w:rPr>
          <w:lang w:val="ru-RU"/>
        </w:rPr>
        <w:t>в</w:t>
      </w:r>
      <w:r w:rsidRPr="00E560E1">
        <w:rPr>
          <w:lang w:val="ru-RU"/>
        </w:rPr>
        <w:t xml:space="preserve"> </w:t>
      </w:r>
      <w:r>
        <w:rPr>
          <w:lang w:val="ru-RU"/>
        </w:rPr>
        <w:t>контракте отдельного сотрудника, являются, по большому счету, незыблемыми</w:t>
      </w:r>
      <w:r w:rsidRPr="00E560E1">
        <w:rPr>
          <w:lang w:val="ru-RU"/>
        </w:rPr>
        <w:t xml:space="preserve">.  </w:t>
      </w:r>
      <w:r>
        <w:rPr>
          <w:lang w:val="ru-RU"/>
        </w:rPr>
        <w:t>То</w:t>
      </w:r>
      <w:r w:rsidRPr="00E560E1">
        <w:rPr>
          <w:lang w:val="ru-RU"/>
        </w:rPr>
        <w:t xml:space="preserve">, </w:t>
      </w:r>
      <w:r>
        <w:rPr>
          <w:lang w:val="ru-RU"/>
        </w:rPr>
        <w:t>что</w:t>
      </w:r>
      <w:r w:rsidRPr="00E560E1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E560E1">
        <w:rPr>
          <w:lang w:val="ru-RU"/>
        </w:rPr>
        <w:t xml:space="preserve"> </w:t>
      </w:r>
      <w:r>
        <w:rPr>
          <w:lang w:val="ru-RU"/>
        </w:rPr>
        <w:t>включает</w:t>
      </w:r>
      <w:r w:rsidRPr="00E560E1">
        <w:rPr>
          <w:lang w:val="ru-RU"/>
        </w:rPr>
        <w:t xml:space="preserve"> – </w:t>
      </w:r>
      <w:r>
        <w:rPr>
          <w:lang w:val="ru-RU"/>
        </w:rPr>
        <w:t>по</w:t>
      </w:r>
      <w:r w:rsidRPr="00E560E1">
        <w:rPr>
          <w:lang w:val="ru-RU"/>
        </w:rPr>
        <w:t xml:space="preserve"> </w:t>
      </w:r>
      <w:r>
        <w:rPr>
          <w:lang w:val="ru-RU"/>
        </w:rPr>
        <w:t>упоминанию</w:t>
      </w:r>
      <w:r w:rsidRPr="00E560E1">
        <w:rPr>
          <w:lang w:val="ru-RU"/>
        </w:rPr>
        <w:t xml:space="preserve"> – </w:t>
      </w:r>
      <w:r>
        <w:rPr>
          <w:lang w:val="ru-RU"/>
        </w:rPr>
        <w:t>свои</w:t>
      </w:r>
      <w:r w:rsidRPr="00E560E1">
        <w:rPr>
          <w:lang w:val="ru-RU"/>
        </w:rPr>
        <w:t xml:space="preserve"> </w:t>
      </w:r>
      <w:r>
        <w:rPr>
          <w:lang w:val="ru-RU"/>
        </w:rPr>
        <w:t>положения</w:t>
      </w:r>
      <w:r w:rsidRPr="00E560E1">
        <w:rPr>
          <w:lang w:val="ru-RU"/>
        </w:rPr>
        <w:t xml:space="preserve"> </w:t>
      </w:r>
      <w:r>
        <w:rPr>
          <w:lang w:val="ru-RU"/>
        </w:rPr>
        <w:t>и</w:t>
      </w:r>
      <w:r w:rsidRPr="00E560E1">
        <w:rPr>
          <w:lang w:val="ru-RU"/>
        </w:rPr>
        <w:t xml:space="preserve"> </w:t>
      </w:r>
      <w:r>
        <w:rPr>
          <w:lang w:val="ru-RU"/>
        </w:rPr>
        <w:t>правила</w:t>
      </w:r>
      <w:r w:rsidRPr="00E560E1">
        <w:rPr>
          <w:lang w:val="ru-RU"/>
        </w:rPr>
        <w:t xml:space="preserve"> </w:t>
      </w:r>
      <w:r>
        <w:rPr>
          <w:lang w:val="ru-RU"/>
        </w:rPr>
        <w:t>о</w:t>
      </w:r>
      <w:r w:rsidRPr="00E560E1">
        <w:rPr>
          <w:lang w:val="ru-RU"/>
        </w:rPr>
        <w:t xml:space="preserve"> </w:t>
      </w:r>
      <w:r>
        <w:rPr>
          <w:lang w:val="ru-RU"/>
        </w:rPr>
        <w:t>персонале</w:t>
      </w:r>
      <w:r w:rsidRPr="00E560E1">
        <w:rPr>
          <w:lang w:val="ru-RU"/>
        </w:rPr>
        <w:t xml:space="preserve">, </w:t>
      </w:r>
      <w:r>
        <w:rPr>
          <w:lang w:val="ru-RU"/>
        </w:rPr>
        <w:t>не означает</w:t>
      </w:r>
      <w:r w:rsidRPr="00E560E1">
        <w:rPr>
          <w:lang w:val="ru-RU"/>
        </w:rPr>
        <w:t xml:space="preserve"> </w:t>
      </w:r>
      <w:r w:rsidRPr="00531C10">
        <w:rPr>
          <w:i/>
        </w:rPr>
        <w:t>per</w:t>
      </w:r>
      <w:r w:rsidRPr="00E560E1">
        <w:rPr>
          <w:i/>
          <w:lang w:val="ru-RU"/>
        </w:rPr>
        <w:t xml:space="preserve"> </w:t>
      </w:r>
      <w:r w:rsidRPr="00531C10">
        <w:rPr>
          <w:i/>
        </w:rPr>
        <w:t>se</w:t>
      </w:r>
      <w:r>
        <w:rPr>
          <w:lang w:val="ru-RU"/>
        </w:rPr>
        <w:t>, что в них нельзя вносить поправки</w:t>
      </w:r>
      <w:r w:rsidRPr="00E560E1">
        <w:rPr>
          <w:lang w:val="ru-RU"/>
        </w:rPr>
        <w:t xml:space="preserve">.  </w:t>
      </w:r>
      <w:r>
        <w:rPr>
          <w:lang w:val="ru-RU"/>
        </w:rPr>
        <w:t>Все это зависит от того, являются ли эти положения приобретенными правами</w:t>
      </w:r>
      <w:r w:rsidRPr="008C13A6">
        <w:rPr>
          <w:lang w:val="ru-RU"/>
        </w:rPr>
        <w:t>.</w:t>
      </w:r>
    </w:p>
  </w:footnote>
  <w:footnote w:id="8">
    <w:p w:rsidR="00CD1C4C" w:rsidRPr="00276685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0498">
        <w:rPr>
          <w:lang w:val="ru-RU"/>
        </w:rPr>
        <w:t xml:space="preserve"> </w:t>
      </w:r>
      <w:r>
        <w:rPr>
          <w:lang w:val="ru-RU"/>
        </w:rPr>
        <w:t>См</w:t>
      </w:r>
      <w:r w:rsidRPr="00E70498">
        <w:rPr>
          <w:lang w:val="ru-RU"/>
        </w:rPr>
        <w:t xml:space="preserve">. </w:t>
      </w:r>
      <w:r>
        <w:rPr>
          <w:lang w:val="ru-RU"/>
        </w:rPr>
        <w:t>также</w:t>
      </w:r>
      <w:r w:rsidRPr="00E70498">
        <w:rPr>
          <w:lang w:val="ru-RU"/>
        </w:rPr>
        <w:t xml:space="preserve"> </w:t>
      </w:r>
      <w:r>
        <w:rPr>
          <w:lang w:val="ru-RU"/>
        </w:rPr>
        <w:t>консультативное</w:t>
      </w:r>
      <w:r w:rsidRPr="00E70498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E7049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70498">
        <w:rPr>
          <w:lang w:val="ru-RU"/>
        </w:rPr>
        <w:t xml:space="preserve"> </w:t>
      </w:r>
      <w:r>
        <w:rPr>
          <w:lang w:val="ru-RU"/>
        </w:rPr>
        <w:t>по</w:t>
      </w:r>
      <w:r w:rsidRPr="00E70498">
        <w:rPr>
          <w:lang w:val="ru-RU"/>
        </w:rPr>
        <w:t xml:space="preserve"> </w:t>
      </w:r>
      <w:r>
        <w:rPr>
          <w:lang w:val="ru-RU"/>
        </w:rPr>
        <w:t>правовым</w:t>
      </w:r>
      <w:r w:rsidRPr="00E70498">
        <w:rPr>
          <w:lang w:val="ru-RU"/>
        </w:rPr>
        <w:t xml:space="preserve"> </w:t>
      </w:r>
      <w:r>
        <w:rPr>
          <w:lang w:val="ru-RU"/>
        </w:rPr>
        <w:t>вопросам</w:t>
      </w:r>
      <w:r w:rsidRPr="00E70498">
        <w:rPr>
          <w:lang w:val="ru-RU"/>
        </w:rPr>
        <w:t xml:space="preserve"> (</w:t>
      </w:r>
      <w:r>
        <w:rPr>
          <w:lang w:val="ru-RU"/>
        </w:rPr>
        <w:t>Нью</w:t>
      </w:r>
      <w:r w:rsidRPr="00E70498">
        <w:rPr>
          <w:lang w:val="ru-RU"/>
        </w:rPr>
        <w:t>-</w:t>
      </w:r>
      <w:r>
        <w:rPr>
          <w:lang w:val="ru-RU"/>
        </w:rPr>
        <w:t>Йорк</w:t>
      </w:r>
      <w:r w:rsidRPr="00E70498">
        <w:rPr>
          <w:lang w:val="ru-RU"/>
        </w:rPr>
        <w:t xml:space="preserve">), </w:t>
      </w:r>
      <w:r>
        <w:rPr>
          <w:lang w:val="ru-RU"/>
        </w:rPr>
        <w:t>вынесенное</w:t>
      </w:r>
      <w:r w:rsidRPr="00E70498">
        <w:rPr>
          <w:lang w:val="ru-RU"/>
        </w:rPr>
        <w:t xml:space="preserve"> </w:t>
      </w:r>
      <w:r>
        <w:rPr>
          <w:lang w:val="ru-RU"/>
        </w:rPr>
        <w:t>в</w:t>
      </w:r>
      <w:r w:rsidRPr="00E70498">
        <w:rPr>
          <w:lang w:val="ru-RU"/>
        </w:rPr>
        <w:t xml:space="preserve"> </w:t>
      </w:r>
      <w:r>
        <w:rPr>
          <w:lang w:val="ru-RU"/>
        </w:rPr>
        <w:t>ответ</w:t>
      </w:r>
      <w:r w:rsidRPr="00E70498">
        <w:rPr>
          <w:lang w:val="ru-RU"/>
        </w:rPr>
        <w:t xml:space="preserve"> </w:t>
      </w:r>
      <w:r>
        <w:rPr>
          <w:lang w:val="ru-RU"/>
        </w:rPr>
        <w:t>на</w:t>
      </w:r>
      <w:r w:rsidRPr="00E70498">
        <w:rPr>
          <w:lang w:val="ru-RU"/>
        </w:rPr>
        <w:t xml:space="preserve"> </w:t>
      </w:r>
      <w:r>
        <w:rPr>
          <w:lang w:val="ru-RU"/>
        </w:rPr>
        <w:t>запрос</w:t>
      </w:r>
      <w:r w:rsidRPr="00E70498">
        <w:rPr>
          <w:lang w:val="ru-RU"/>
        </w:rPr>
        <w:t xml:space="preserve"> </w:t>
      </w:r>
      <w:r>
        <w:rPr>
          <w:lang w:val="ru-RU"/>
        </w:rPr>
        <w:t>Комиссии</w:t>
      </w:r>
      <w:r w:rsidRPr="00E70498">
        <w:rPr>
          <w:lang w:val="ru-RU"/>
        </w:rPr>
        <w:t xml:space="preserve"> </w:t>
      </w:r>
      <w:r>
        <w:rPr>
          <w:lang w:val="ru-RU"/>
        </w:rPr>
        <w:t>по</w:t>
      </w:r>
      <w:r w:rsidRPr="00E7049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70498">
        <w:rPr>
          <w:lang w:val="ru-RU"/>
        </w:rPr>
        <w:t xml:space="preserve"> </w:t>
      </w:r>
      <w:r>
        <w:rPr>
          <w:lang w:val="ru-RU"/>
        </w:rPr>
        <w:t>гражданской</w:t>
      </w:r>
      <w:r w:rsidRPr="00E70498">
        <w:rPr>
          <w:lang w:val="ru-RU"/>
        </w:rPr>
        <w:t xml:space="preserve"> </w:t>
      </w:r>
      <w:r>
        <w:rPr>
          <w:lang w:val="ru-RU"/>
        </w:rPr>
        <w:t>службе</w:t>
      </w:r>
      <w:r w:rsidRPr="00E70498">
        <w:rPr>
          <w:lang w:val="ru-RU"/>
        </w:rPr>
        <w:t xml:space="preserve">, </w:t>
      </w:r>
      <w:r>
        <w:rPr>
          <w:lang w:val="ru-RU"/>
        </w:rPr>
        <w:t>которое</w:t>
      </w:r>
      <w:r w:rsidRPr="00E70498">
        <w:rPr>
          <w:lang w:val="ru-RU"/>
        </w:rPr>
        <w:t xml:space="preserve"> </w:t>
      </w:r>
      <w:r>
        <w:rPr>
          <w:lang w:val="ru-RU"/>
        </w:rPr>
        <w:t>получило</w:t>
      </w:r>
      <w:r w:rsidRPr="00E70498">
        <w:rPr>
          <w:lang w:val="ru-RU"/>
        </w:rPr>
        <w:t xml:space="preserve"> </w:t>
      </w:r>
      <w:r>
        <w:rPr>
          <w:lang w:val="ru-RU"/>
        </w:rPr>
        <w:t>отражение</w:t>
      </w:r>
      <w:r w:rsidRPr="00E70498">
        <w:rPr>
          <w:lang w:val="ru-RU"/>
        </w:rPr>
        <w:t xml:space="preserve"> </w:t>
      </w:r>
      <w:r>
        <w:rPr>
          <w:lang w:val="ru-RU"/>
        </w:rPr>
        <w:t>в</w:t>
      </w:r>
      <w:r w:rsidRPr="00E70498">
        <w:rPr>
          <w:lang w:val="ru-RU"/>
        </w:rPr>
        <w:t xml:space="preserve"> </w:t>
      </w:r>
      <w:r>
        <w:rPr>
          <w:lang w:val="ru-RU"/>
        </w:rPr>
        <w:t>пункте</w:t>
      </w:r>
      <w:r w:rsidRPr="00E70498">
        <w:rPr>
          <w:lang w:val="ru-RU"/>
        </w:rPr>
        <w:t xml:space="preserve"> 144 </w:t>
      </w:r>
      <w:r>
        <w:rPr>
          <w:lang w:val="ru-RU"/>
        </w:rPr>
        <w:t>ее</w:t>
      </w:r>
      <w:r w:rsidRPr="00E70498">
        <w:rPr>
          <w:lang w:val="ru-RU"/>
        </w:rPr>
        <w:t xml:space="preserve"> </w:t>
      </w:r>
      <w:r>
        <w:rPr>
          <w:lang w:val="ru-RU"/>
        </w:rPr>
        <w:t>доклада</w:t>
      </w:r>
      <w:r w:rsidRPr="00E70498">
        <w:rPr>
          <w:lang w:val="ru-RU"/>
        </w:rPr>
        <w:t xml:space="preserve"> </w:t>
      </w:r>
      <w:r>
        <w:rPr>
          <w:lang w:val="ru-RU"/>
        </w:rPr>
        <w:t>за</w:t>
      </w:r>
      <w:r w:rsidRPr="00E70498">
        <w:rPr>
          <w:lang w:val="ru-RU"/>
        </w:rPr>
        <w:t xml:space="preserve"> 2015 </w:t>
      </w:r>
      <w:r>
        <w:rPr>
          <w:lang w:val="ru-RU"/>
        </w:rPr>
        <w:t>г</w:t>
      </w:r>
      <w:r w:rsidRPr="00E70498">
        <w:rPr>
          <w:lang w:val="ru-RU"/>
        </w:rPr>
        <w:t xml:space="preserve">.: </w:t>
      </w:r>
      <w:r>
        <w:rPr>
          <w:lang w:val="ru-RU"/>
        </w:rPr>
        <w:t>«</w:t>
      </w:r>
      <w:r w:rsidRPr="00E70498">
        <w:rPr>
          <w:szCs w:val="18"/>
          <w:lang w:val="ru-RU"/>
        </w:rPr>
        <w:t>По общему правилу, уменьшение того или иного пособия или выплаты в результате изменения элемента найма, определяемого нормативно-правовыми актами, не является нарушением установленных норм, однако такое изменение не должно приводить к общей отмене такого пособия или выплаты</w:t>
      </w:r>
      <w:r>
        <w:rPr>
          <w:szCs w:val="18"/>
          <w:lang w:val="ru-RU"/>
        </w:rPr>
        <w:t>»</w:t>
      </w:r>
      <w:r w:rsidRPr="00E70498">
        <w:rPr>
          <w:sz w:val="20"/>
          <w:lang w:val="ru-RU"/>
        </w:rPr>
        <w:t>.</w:t>
      </w:r>
      <w:r w:rsidRPr="00E70498">
        <w:rPr>
          <w:lang w:val="ru-RU"/>
        </w:rPr>
        <w:t xml:space="preserve"> </w:t>
      </w:r>
    </w:p>
  </w:footnote>
  <w:footnote w:id="9">
    <w:p w:rsidR="00CD1C4C" w:rsidRPr="00E24277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4277">
        <w:rPr>
          <w:lang w:val="ru-RU"/>
        </w:rPr>
        <w:t xml:space="preserve"> </w:t>
      </w:r>
      <w:r>
        <w:rPr>
          <w:lang w:val="ru-RU"/>
        </w:rPr>
        <w:t>См</w:t>
      </w:r>
      <w:r w:rsidRPr="00E24277">
        <w:rPr>
          <w:lang w:val="ru-RU"/>
        </w:rPr>
        <w:t xml:space="preserve">. </w:t>
      </w:r>
      <w:r>
        <w:rPr>
          <w:lang w:val="ru-RU"/>
        </w:rPr>
        <w:t>решения</w:t>
      </w:r>
      <w:r w:rsidRPr="00E24277">
        <w:rPr>
          <w:lang w:val="ru-RU"/>
        </w:rPr>
        <w:t xml:space="preserve"> №№ 365 </w:t>
      </w:r>
      <w:r>
        <w:rPr>
          <w:lang w:val="ru-RU"/>
        </w:rPr>
        <w:t>и</w:t>
      </w:r>
      <w:r w:rsidRPr="00E24277">
        <w:rPr>
          <w:lang w:val="ru-RU"/>
        </w:rPr>
        <w:t xml:space="preserve"> 366 (1978</w:t>
      </w:r>
      <w:r>
        <w:rPr>
          <w:lang w:val="ru-RU"/>
        </w:rPr>
        <w:t xml:space="preserve"> г.</w:t>
      </w:r>
      <w:r w:rsidRPr="00E24277">
        <w:rPr>
          <w:lang w:val="ru-RU"/>
        </w:rPr>
        <w:t xml:space="preserve">), </w:t>
      </w:r>
      <w:r>
        <w:rPr>
          <w:lang w:val="ru-RU"/>
        </w:rPr>
        <w:t>пункт</w:t>
      </w:r>
      <w:r w:rsidRPr="00E24277">
        <w:rPr>
          <w:lang w:val="ru-RU"/>
        </w:rPr>
        <w:t xml:space="preserve"> 11.  </w:t>
      </w:r>
      <w:r>
        <w:rPr>
          <w:lang w:val="ru-RU"/>
        </w:rPr>
        <w:t>См</w:t>
      </w:r>
      <w:r w:rsidRPr="00E24277">
        <w:rPr>
          <w:lang w:val="ru-RU"/>
        </w:rPr>
        <w:t xml:space="preserve">. </w:t>
      </w:r>
      <w:r>
        <w:rPr>
          <w:lang w:val="ru-RU"/>
        </w:rPr>
        <w:t>также</w:t>
      </w:r>
      <w:r w:rsidRPr="00E24277">
        <w:rPr>
          <w:lang w:val="ru-RU"/>
        </w:rPr>
        <w:t xml:space="preserve">, </w:t>
      </w:r>
      <w:r>
        <w:rPr>
          <w:lang w:val="ru-RU"/>
        </w:rPr>
        <w:t>например</w:t>
      </w:r>
      <w:r w:rsidRPr="00E24277">
        <w:rPr>
          <w:lang w:val="ru-RU"/>
        </w:rPr>
        <w:t xml:space="preserve">, </w:t>
      </w:r>
      <w:r>
        <w:rPr>
          <w:lang w:val="ru-RU"/>
        </w:rPr>
        <w:t>решение</w:t>
      </w:r>
      <w:r w:rsidRPr="00E24277">
        <w:rPr>
          <w:lang w:val="ru-RU"/>
        </w:rPr>
        <w:t xml:space="preserve"> № 368 (1979 </w:t>
      </w:r>
      <w:r>
        <w:rPr>
          <w:lang w:val="ru-RU"/>
        </w:rPr>
        <w:t>г</w:t>
      </w:r>
      <w:r w:rsidRPr="00E24277">
        <w:rPr>
          <w:lang w:val="ru-RU"/>
        </w:rPr>
        <w:t xml:space="preserve">.), </w:t>
      </w:r>
      <w:r>
        <w:rPr>
          <w:lang w:val="ru-RU"/>
        </w:rPr>
        <w:t>пункт</w:t>
      </w:r>
      <w:r w:rsidRPr="00E24277">
        <w:rPr>
          <w:lang w:val="ru-RU"/>
        </w:rPr>
        <w:t xml:space="preserve"> 7; </w:t>
      </w:r>
      <w:r>
        <w:rPr>
          <w:lang w:val="ru-RU"/>
        </w:rPr>
        <w:t>решение</w:t>
      </w:r>
      <w:r w:rsidRPr="00E24277">
        <w:rPr>
          <w:lang w:val="ru-RU"/>
        </w:rPr>
        <w:t xml:space="preserve"> № 371 (1979 </w:t>
      </w:r>
      <w:r>
        <w:rPr>
          <w:lang w:val="ru-RU"/>
        </w:rPr>
        <w:t>г</w:t>
      </w:r>
      <w:r w:rsidRPr="00E24277">
        <w:rPr>
          <w:lang w:val="ru-RU"/>
        </w:rPr>
        <w:t xml:space="preserve">.), </w:t>
      </w:r>
      <w:r>
        <w:rPr>
          <w:lang w:val="ru-RU"/>
        </w:rPr>
        <w:t>пункт</w:t>
      </w:r>
      <w:r w:rsidRPr="00E24277">
        <w:rPr>
          <w:lang w:val="ru-RU"/>
        </w:rPr>
        <w:t xml:space="preserve"> 8; </w:t>
      </w:r>
      <w:r>
        <w:rPr>
          <w:lang w:val="ru-RU"/>
        </w:rPr>
        <w:t>и</w:t>
      </w:r>
      <w:r w:rsidRPr="00E24277">
        <w:rPr>
          <w:lang w:val="ru-RU"/>
        </w:rPr>
        <w:t xml:space="preserve"> </w:t>
      </w:r>
      <w:r>
        <w:rPr>
          <w:lang w:val="ru-RU"/>
        </w:rPr>
        <w:t>решение</w:t>
      </w:r>
      <w:r w:rsidRPr="00E24277">
        <w:rPr>
          <w:lang w:val="ru-RU"/>
        </w:rPr>
        <w:t xml:space="preserve"> № 666 (1985 </w:t>
      </w:r>
      <w:r>
        <w:rPr>
          <w:lang w:val="ru-RU"/>
        </w:rPr>
        <w:t>г</w:t>
      </w:r>
      <w:r w:rsidRPr="00E24277">
        <w:rPr>
          <w:lang w:val="ru-RU"/>
        </w:rPr>
        <w:t xml:space="preserve">.), </w:t>
      </w:r>
      <w:r>
        <w:rPr>
          <w:lang w:val="ru-RU"/>
        </w:rPr>
        <w:t>пункт</w:t>
      </w:r>
      <w:r w:rsidRPr="00E24277">
        <w:rPr>
          <w:lang w:val="ru-RU"/>
        </w:rPr>
        <w:t xml:space="preserve"> 5. </w:t>
      </w:r>
    </w:p>
  </w:footnote>
  <w:footnote w:id="10">
    <w:p w:rsidR="00CD1C4C" w:rsidRPr="00276685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6685">
        <w:rPr>
          <w:lang w:val="ru-RU"/>
        </w:rPr>
        <w:t xml:space="preserve"> </w:t>
      </w:r>
      <w:r>
        <w:rPr>
          <w:lang w:val="ru-RU"/>
        </w:rPr>
        <w:t>См</w:t>
      </w:r>
      <w:r w:rsidRPr="00276685">
        <w:rPr>
          <w:lang w:val="ru-RU"/>
        </w:rPr>
        <w:t xml:space="preserve">.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426 (1980),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7.</w:t>
      </w:r>
    </w:p>
  </w:footnote>
  <w:footnote w:id="11">
    <w:p w:rsidR="00CD1C4C" w:rsidRPr="00276685" w:rsidRDefault="00CD1C4C" w:rsidP="0042392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6685">
        <w:rPr>
          <w:lang w:val="ru-RU"/>
        </w:rPr>
        <w:t xml:space="preserve"> </w:t>
      </w:r>
      <w:r>
        <w:rPr>
          <w:lang w:val="ru-RU"/>
        </w:rPr>
        <w:t>См</w:t>
      </w:r>
      <w:r w:rsidRPr="00276685">
        <w:rPr>
          <w:lang w:val="ru-RU"/>
        </w:rPr>
        <w:t xml:space="preserve">.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2632 (2007 </w:t>
      </w:r>
      <w:r>
        <w:rPr>
          <w:lang w:val="ru-RU"/>
        </w:rPr>
        <w:t>г</w:t>
      </w:r>
      <w:r w:rsidRPr="00276685">
        <w:rPr>
          <w:lang w:val="ru-RU"/>
        </w:rPr>
        <w:t xml:space="preserve">.),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13.</w:t>
      </w:r>
    </w:p>
  </w:footnote>
  <w:footnote w:id="12">
    <w:p w:rsidR="00CD1C4C" w:rsidRPr="009B4427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6685">
        <w:rPr>
          <w:lang w:val="ru-RU"/>
        </w:rPr>
        <w:t xml:space="preserve"> </w:t>
      </w:r>
      <w:r>
        <w:rPr>
          <w:lang w:val="ru-RU"/>
        </w:rPr>
        <w:t>См</w:t>
      </w:r>
      <w:r w:rsidRPr="00276685">
        <w:rPr>
          <w:lang w:val="ru-RU"/>
        </w:rPr>
        <w:t xml:space="preserve">.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441 (1980 </w:t>
      </w:r>
      <w:r>
        <w:rPr>
          <w:lang w:val="ru-RU"/>
        </w:rPr>
        <w:t>г</w:t>
      </w:r>
      <w:r w:rsidRPr="00276685">
        <w:rPr>
          <w:lang w:val="ru-RU"/>
        </w:rPr>
        <w:t xml:space="preserve">.),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7.  </w:t>
      </w:r>
      <w:r>
        <w:rPr>
          <w:lang w:val="ru-RU"/>
        </w:rPr>
        <w:t>Отпуск</w:t>
      </w:r>
      <w:r w:rsidRPr="009B4427">
        <w:rPr>
          <w:lang w:val="ru-RU"/>
        </w:rPr>
        <w:t xml:space="preserve"> </w:t>
      </w:r>
      <w:r>
        <w:rPr>
          <w:lang w:val="ru-RU"/>
        </w:rPr>
        <w:t>на</w:t>
      </w:r>
      <w:r w:rsidRPr="009B4427">
        <w:rPr>
          <w:lang w:val="ru-RU"/>
        </w:rPr>
        <w:t xml:space="preserve"> </w:t>
      </w:r>
      <w:r>
        <w:rPr>
          <w:lang w:val="ru-RU"/>
        </w:rPr>
        <w:t>родину</w:t>
      </w:r>
      <w:r w:rsidRPr="009B4427">
        <w:rPr>
          <w:lang w:val="ru-RU"/>
        </w:rPr>
        <w:t xml:space="preserve"> </w:t>
      </w:r>
      <w:r>
        <w:rPr>
          <w:lang w:val="ru-RU"/>
        </w:rPr>
        <w:t>истца</w:t>
      </w:r>
      <w:r w:rsidRPr="009B4427">
        <w:rPr>
          <w:lang w:val="ru-RU"/>
        </w:rPr>
        <w:t xml:space="preserve">, </w:t>
      </w:r>
      <w:r>
        <w:rPr>
          <w:lang w:val="ru-RU"/>
        </w:rPr>
        <w:t>о</w:t>
      </w:r>
      <w:r w:rsidRPr="009B4427">
        <w:rPr>
          <w:lang w:val="ru-RU"/>
        </w:rPr>
        <w:t xml:space="preserve"> </w:t>
      </w:r>
      <w:r>
        <w:rPr>
          <w:lang w:val="ru-RU"/>
        </w:rPr>
        <w:t>котором</w:t>
      </w:r>
      <w:r w:rsidRPr="009B4427">
        <w:rPr>
          <w:lang w:val="ru-RU"/>
        </w:rPr>
        <w:t xml:space="preserve"> </w:t>
      </w:r>
      <w:r>
        <w:rPr>
          <w:lang w:val="ru-RU"/>
        </w:rPr>
        <w:t>идет</w:t>
      </w:r>
      <w:r w:rsidRPr="009B4427">
        <w:rPr>
          <w:lang w:val="ru-RU"/>
        </w:rPr>
        <w:t xml:space="preserve"> </w:t>
      </w:r>
      <w:r>
        <w:rPr>
          <w:lang w:val="ru-RU"/>
        </w:rPr>
        <w:t>речь</w:t>
      </w:r>
      <w:r w:rsidRPr="009B4427">
        <w:rPr>
          <w:lang w:val="ru-RU"/>
        </w:rPr>
        <w:t xml:space="preserve">, </w:t>
      </w:r>
      <w:r>
        <w:rPr>
          <w:lang w:val="ru-RU"/>
        </w:rPr>
        <w:t>предполагал</w:t>
      </w:r>
      <w:r w:rsidRPr="009B4427">
        <w:rPr>
          <w:lang w:val="ru-RU"/>
        </w:rPr>
        <w:t xml:space="preserve"> </w:t>
      </w:r>
      <w:r>
        <w:rPr>
          <w:lang w:val="ru-RU"/>
        </w:rPr>
        <w:t>поездку</w:t>
      </w:r>
      <w:r w:rsidRPr="009B4427">
        <w:rPr>
          <w:lang w:val="ru-RU"/>
        </w:rPr>
        <w:t xml:space="preserve"> </w:t>
      </w:r>
      <w:r>
        <w:rPr>
          <w:lang w:val="ru-RU"/>
        </w:rPr>
        <w:t>из</w:t>
      </w:r>
      <w:r w:rsidRPr="009B4427">
        <w:rPr>
          <w:lang w:val="ru-RU"/>
        </w:rPr>
        <w:t xml:space="preserve"> </w:t>
      </w:r>
      <w:r>
        <w:rPr>
          <w:lang w:val="ru-RU"/>
        </w:rPr>
        <w:t>Нидерландов</w:t>
      </w:r>
      <w:r w:rsidRPr="009B4427">
        <w:rPr>
          <w:lang w:val="ru-RU"/>
        </w:rPr>
        <w:t xml:space="preserve"> </w:t>
      </w:r>
      <w:r>
        <w:rPr>
          <w:lang w:val="ru-RU"/>
        </w:rPr>
        <w:t>в</w:t>
      </w:r>
      <w:r w:rsidRPr="009B4427">
        <w:rPr>
          <w:lang w:val="ru-RU"/>
        </w:rPr>
        <w:t xml:space="preserve"> </w:t>
      </w:r>
      <w:r>
        <w:rPr>
          <w:lang w:val="ru-RU"/>
        </w:rPr>
        <w:t>Суринам</w:t>
      </w:r>
      <w:r w:rsidRPr="009B4427">
        <w:rPr>
          <w:lang w:val="ru-RU"/>
        </w:rPr>
        <w:t>.</w:t>
      </w:r>
    </w:p>
  </w:footnote>
  <w:footnote w:id="13">
    <w:p w:rsidR="00CD1C4C" w:rsidRPr="00276685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6685">
        <w:rPr>
          <w:lang w:val="ru-RU"/>
        </w:rPr>
        <w:t xml:space="preserve"> </w:t>
      </w:r>
      <w:r>
        <w:rPr>
          <w:lang w:val="ru-RU"/>
        </w:rPr>
        <w:t>См</w:t>
      </w:r>
      <w:r w:rsidRPr="00276685">
        <w:rPr>
          <w:lang w:val="ru-RU"/>
        </w:rPr>
        <w:t xml:space="preserve">.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666 (1985 </w:t>
      </w:r>
      <w:r>
        <w:rPr>
          <w:lang w:val="ru-RU"/>
        </w:rPr>
        <w:t>г</w:t>
      </w:r>
      <w:r w:rsidRPr="00276685">
        <w:rPr>
          <w:lang w:val="ru-RU"/>
        </w:rPr>
        <w:t xml:space="preserve">.),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5.</w:t>
      </w:r>
    </w:p>
  </w:footnote>
  <w:footnote w:id="14">
    <w:p w:rsidR="00CD1C4C" w:rsidRPr="00276685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6685">
        <w:rPr>
          <w:lang w:val="ru-RU"/>
        </w:rPr>
        <w:t xml:space="preserve"> </w:t>
      </w:r>
      <w:r>
        <w:rPr>
          <w:lang w:val="ru-RU"/>
        </w:rPr>
        <w:t>См</w:t>
      </w:r>
      <w:r w:rsidRPr="00276685">
        <w:rPr>
          <w:lang w:val="ru-RU"/>
        </w:rPr>
        <w:t xml:space="preserve">.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2089 (2002 </w:t>
      </w:r>
      <w:r>
        <w:rPr>
          <w:lang w:val="ru-RU"/>
        </w:rPr>
        <w:t>г</w:t>
      </w:r>
      <w:r w:rsidRPr="00276685">
        <w:rPr>
          <w:lang w:val="ru-RU"/>
        </w:rPr>
        <w:t xml:space="preserve">.),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14.</w:t>
      </w:r>
    </w:p>
  </w:footnote>
  <w:footnote w:id="15">
    <w:p w:rsidR="00CD1C4C" w:rsidRPr="00D64EAA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4EAA">
        <w:rPr>
          <w:lang w:val="ru-RU"/>
        </w:rPr>
        <w:t xml:space="preserve"> </w:t>
      </w:r>
      <w:r>
        <w:rPr>
          <w:lang w:val="ru-RU"/>
        </w:rPr>
        <w:t>См</w:t>
      </w:r>
      <w:r w:rsidRPr="00D64EAA">
        <w:rPr>
          <w:lang w:val="ru-RU"/>
        </w:rPr>
        <w:t xml:space="preserve">., </w:t>
      </w:r>
      <w:r>
        <w:rPr>
          <w:lang w:val="ru-RU"/>
        </w:rPr>
        <w:t>например</w:t>
      </w:r>
      <w:r w:rsidRPr="00D64EAA">
        <w:rPr>
          <w:lang w:val="ru-RU"/>
        </w:rPr>
        <w:t xml:space="preserve">, </w:t>
      </w:r>
      <w:r>
        <w:rPr>
          <w:lang w:val="ru-RU"/>
        </w:rPr>
        <w:t>решение</w:t>
      </w:r>
      <w:r w:rsidRPr="00D64EAA">
        <w:rPr>
          <w:lang w:val="ru-RU"/>
        </w:rPr>
        <w:t xml:space="preserve"> № 3071 (2012 </w:t>
      </w:r>
      <w:r>
        <w:rPr>
          <w:lang w:val="ru-RU"/>
        </w:rPr>
        <w:t>г</w:t>
      </w:r>
      <w:r w:rsidRPr="00D64EAA">
        <w:rPr>
          <w:lang w:val="ru-RU"/>
        </w:rPr>
        <w:t xml:space="preserve">.), </w:t>
      </w:r>
      <w:r>
        <w:rPr>
          <w:lang w:val="ru-RU"/>
        </w:rPr>
        <w:t>пункт</w:t>
      </w:r>
      <w:r w:rsidRPr="00D64EAA">
        <w:rPr>
          <w:lang w:val="ru-RU"/>
        </w:rPr>
        <w:t xml:space="preserve"> 28. </w:t>
      </w:r>
    </w:p>
  </w:footnote>
  <w:footnote w:id="16">
    <w:p w:rsidR="00CD1C4C" w:rsidRPr="00276685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6685">
        <w:rPr>
          <w:lang w:val="ru-RU"/>
        </w:rPr>
        <w:t xml:space="preserve"> </w:t>
      </w:r>
      <w:r>
        <w:rPr>
          <w:lang w:val="ru-RU"/>
        </w:rPr>
        <w:t>См</w:t>
      </w:r>
      <w:r w:rsidRPr="00276685">
        <w:rPr>
          <w:lang w:val="ru-RU"/>
        </w:rPr>
        <w:t xml:space="preserve">.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3523 (2015 </w:t>
      </w:r>
      <w:r>
        <w:rPr>
          <w:lang w:val="ru-RU"/>
        </w:rPr>
        <w:t>г</w:t>
      </w:r>
      <w:r w:rsidRPr="00276685">
        <w:rPr>
          <w:lang w:val="ru-RU"/>
        </w:rPr>
        <w:t xml:space="preserve">.),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10.</w:t>
      </w:r>
    </w:p>
  </w:footnote>
  <w:footnote w:id="17">
    <w:p w:rsidR="00CD1C4C" w:rsidRPr="00276685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6685">
        <w:rPr>
          <w:lang w:val="ru-RU"/>
        </w:rPr>
        <w:t xml:space="preserve"> </w:t>
      </w:r>
      <w:r>
        <w:rPr>
          <w:lang w:val="ru-RU"/>
        </w:rPr>
        <w:t>См</w:t>
      </w:r>
      <w:r w:rsidRPr="00276685">
        <w:rPr>
          <w:lang w:val="ru-RU"/>
        </w:rPr>
        <w:t xml:space="preserve">.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3358 (2014 </w:t>
      </w:r>
      <w:r>
        <w:rPr>
          <w:lang w:val="ru-RU"/>
        </w:rPr>
        <w:t>г</w:t>
      </w:r>
      <w:r w:rsidRPr="00276685">
        <w:rPr>
          <w:lang w:val="ru-RU"/>
        </w:rPr>
        <w:t xml:space="preserve">.),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2.</w:t>
      </w:r>
    </w:p>
  </w:footnote>
  <w:footnote w:id="18">
    <w:p w:rsidR="00CD1C4C" w:rsidRPr="00276685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4EAA">
        <w:rPr>
          <w:lang w:val="ru-RU"/>
        </w:rPr>
        <w:t xml:space="preserve"> </w:t>
      </w:r>
      <w:r>
        <w:rPr>
          <w:lang w:val="ru-RU"/>
        </w:rPr>
        <w:t>См</w:t>
      </w:r>
      <w:r w:rsidRPr="00D64EAA">
        <w:rPr>
          <w:lang w:val="ru-RU"/>
        </w:rPr>
        <w:t xml:space="preserve">. </w:t>
      </w:r>
      <w:r>
        <w:rPr>
          <w:lang w:val="ru-RU"/>
        </w:rPr>
        <w:t>решение</w:t>
      </w:r>
      <w:r w:rsidRPr="00D64EAA">
        <w:rPr>
          <w:lang w:val="ru-RU"/>
        </w:rPr>
        <w:t xml:space="preserve"> № 767 (1986 </w:t>
      </w:r>
      <w:r>
        <w:rPr>
          <w:lang w:val="ru-RU"/>
        </w:rPr>
        <w:t>г</w:t>
      </w:r>
      <w:r w:rsidRPr="00D64EAA">
        <w:rPr>
          <w:lang w:val="ru-RU"/>
        </w:rPr>
        <w:t xml:space="preserve">.), </w:t>
      </w:r>
      <w:r>
        <w:rPr>
          <w:lang w:val="ru-RU"/>
        </w:rPr>
        <w:t>пункт</w:t>
      </w:r>
      <w:r w:rsidRPr="00D64EAA">
        <w:rPr>
          <w:lang w:val="ru-RU"/>
        </w:rPr>
        <w:t xml:space="preserve"> 9, </w:t>
      </w:r>
      <w:r>
        <w:rPr>
          <w:lang w:val="ru-RU"/>
        </w:rPr>
        <w:t>и</w:t>
      </w:r>
      <w:r w:rsidRPr="00D64EAA">
        <w:rPr>
          <w:lang w:val="ru-RU"/>
        </w:rPr>
        <w:t xml:space="preserve"> </w:t>
      </w:r>
      <w:r>
        <w:rPr>
          <w:lang w:val="ru-RU"/>
        </w:rPr>
        <w:t>решение</w:t>
      </w:r>
      <w:r w:rsidRPr="00D64EAA">
        <w:rPr>
          <w:lang w:val="ru-RU"/>
        </w:rPr>
        <w:t xml:space="preserve"> № 792 (1986</w:t>
      </w:r>
      <w:r>
        <w:rPr>
          <w:lang w:val="ru-RU"/>
        </w:rPr>
        <w:t xml:space="preserve"> г.</w:t>
      </w:r>
      <w:r w:rsidRPr="00D64EAA">
        <w:rPr>
          <w:lang w:val="ru-RU"/>
        </w:rPr>
        <w:t xml:space="preserve">), </w:t>
      </w:r>
      <w:r>
        <w:rPr>
          <w:lang w:val="ru-RU"/>
        </w:rPr>
        <w:t>пункт</w:t>
      </w:r>
      <w:r w:rsidRPr="00D64EAA">
        <w:rPr>
          <w:lang w:val="ru-RU"/>
        </w:rPr>
        <w:t xml:space="preserve"> 8.  </w:t>
      </w:r>
      <w:r>
        <w:rPr>
          <w:lang w:val="ru-RU"/>
        </w:rPr>
        <w:t>См</w:t>
      </w:r>
      <w:r w:rsidRPr="00276685">
        <w:rPr>
          <w:lang w:val="ru-RU"/>
        </w:rPr>
        <w:t xml:space="preserve">. </w:t>
      </w:r>
      <w:r>
        <w:rPr>
          <w:lang w:val="ru-RU"/>
        </w:rPr>
        <w:t>также</w:t>
      </w:r>
      <w:r w:rsidRPr="00276685">
        <w:rPr>
          <w:lang w:val="ru-RU"/>
        </w:rPr>
        <w:t xml:space="preserve">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1053 (1990 </w:t>
      </w:r>
      <w:r>
        <w:rPr>
          <w:lang w:val="ru-RU"/>
        </w:rPr>
        <w:t>г</w:t>
      </w:r>
      <w:r w:rsidRPr="00276685">
        <w:rPr>
          <w:lang w:val="ru-RU"/>
        </w:rPr>
        <w:t xml:space="preserve">.),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7, </w:t>
      </w:r>
      <w:r>
        <w:rPr>
          <w:lang w:val="ru-RU"/>
        </w:rPr>
        <w:t>и</w:t>
      </w:r>
      <w:r w:rsidRPr="00276685">
        <w:rPr>
          <w:lang w:val="ru-RU"/>
        </w:rPr>
        <w:t xml:space="preserve"> </w:t>
      </w:r>
      <w:r>
        <w:rPr>
          <w:lang w:val="ru-RU"/>
        </w:rPr>
        <w:t>решение</w:t>
      </w:r>
      <w:r w:rsidRPr="00276685">
        <w:rPr>
          <w:lang w:val="ru-RU"/>
        </w:rPr>
        <w:t xml:space="preserve"> № 3358 (2014 </w:t>
      </w:r>
      <w:r>
        <w:rPr>
          <w:lang w:val="ru-RU"/>
        </w:rPr>
        <w:t>г</w:t>
      </w:r>
      <w:r w:rsidRPr="00276685">
        <w:rPr>
          <w:lang w:val="ru-RU"/>
        </w:rPr>
        <w:t xml:space="preserve">.), </w:t>
      </w:r>
      <w:r>
        <w:rPr>
          <w:lang w:val="ru-RU"/>
        </w:rPr>
        <w:t>пункт</w:t>
      </w:r>
      <w:r w:rsidRPr="00276685">
        <w:rPr>
          <w:lang w:val="ru-RU"/>
        </w:rPr>
        <w:t xml:space="preserve"> 6. </w:t>
      </w:r>
    </w:p>
  </w:footnote>
  <w:footnote w:id="19">
    <w:p w:rsidR="00CD1C4C" w:rsidRPr="00D64EAA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4EAA">
        <w:rPr>
          <w:lang w:val="ru-RU"/>
        </w:rPr>
        <w:t xml:space="preserve"> </w:t>
      </w:r>
      <w:r>
        <w:rPr>
          <w:lang w:val="ru-RU"/>
        </w:rPr>
        <w:t>См</w:t>
      </w:r>
      <w:r w:rsidRPr="00D64EAA">
        <w:rPr>
          <w:lang w:val="ru-RU"/>
        </w:rPr>
        <w:t xml:space="preserve">. </w:t>
      </w:r>
      <w:r>
        <w:rPr>
          <w:lang w:val="ru-RU"/>
        </w:rPr>
        <w:t>решение</w:t>
      </w:r>
      <w:r w:rsidRPr="00D64EAA">
        <w:rPr>
          <w:lang w:val="ru-RU"/>
        </w:rPr>
        <w:t xml:space="preserve"> № 1053 (1990 </w:t>
      </w:r>
      <w:r>
        <w:rPr>
          <w:lang w:val="ru-RU"/>
        </w:rPr>
        <w:t>г</w:t>
      </w:r>
      <w:r w:rsidRPr="00D64EAA">
        <w:rPr>
          <w:lang w:val="ru-RU"/>
        </w:rPr>
        <w:t xml:space="preserve">.), </w:t>
      </w:r>
      <w:r>
        <w:rPr>
          <w:lang w:val="ru-RU"/>
        </w:rPr>
        <w:t>пункты</w:t>
      </w:r>
      <w:r w:rsidRPr="00D64EAA">
        <w:rPr>
          <w:lang w:val="ru-RU"/>
        </w:rPr>
        <w:t xml:space="preserve"> 5 - 7, </w:t>
      </w:r>
      <w:r>
        <w:rPr>
          <w:lang w:val="ru-RU"/>
        </w:rPr>
        <w:t>и</w:t>
      </w:r>
      <w:r w:rsidRPr="00D64EAA">
        <w:rPr>
          <w:lang w:val="ru-RU"/>
        </w:rPr>
        <w:t xml:space="preserve"> </w:t>
      </w:r>
      <w:r>
        <w:rPr>
          <w:lang w:val="ru-RU"/>
        </w:rPr>
        <w:t>решение</w:t>
      </w:r>
      <w:r w:rsidRPr="00D64EAA">
        <w:rPr>
          <w:lang w:val="ru-RU"/>
        </w:rPr>
        <w:t xml:space="preserve"> № 767 (1986</w:t>
      </w:r>
      <w:r>
        <w:rPr>
          <w:lang w:val="ru-RU"/>
        </w:rPr>
        <w:t xml:space="preserve"> г.</w:t>
      </w:r>
      <w:r w:rsidRPr="00D64EAA">
        <w:rPr>
          <w:lang w:val="ru-RU"/>
        </w:rPr>
        <w:t xml:space="preserve">), </w:t>
      </w:r>
      <w:r>
        <w:rPr>
          <w:lang w:val="ru-RU"/>
        </w:rPr>
        <w:t>пункт</w:t>
      </w:r>
      <w:r w:rsidRPr="00D64EAA">
        <w:rPr>
          <w:lang w:val="ru-RU"/>
        </w:rPr>
        <w:t xml:space="preserve"> 6.</w:t>
      </w:r>
    </w:p>
  </w:footnote>
  <w:footnote w:id="20">
    <w:p w:rsidR="00CD1C4C" w:rsidRPr="00D64EAA" w:rsidRDefault="00CD1C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4EAA">
        <w:rPr>
          <w:lang w:val="ru-RU"/>
        </w:rPr>
        <w:t xml:space="preserve"> </w:t>
      </w:r>
      <w:r>
        <w:rPr>
          <w:lang w:val="ru-RU"/>
        </w:rPr>
        <w:t>См</w:t>
      </w:r>
      <w:r w:rsidRPr="00D64EAA">
        <w:rPr>
          <w:lang w:val="ru-RU"/>
        </w:rPr>
        <w:t xml:space="preserve">. </w:t>
      </w:r>
      <w:r>
        <w:rPr>
          <w:lang w:val="ru-RU"/>
        </w:rPr>
        <w:t>решение</w:t>
      </w:r>
      <w:r w:rsidRPr="00D64EAA">
        <w:rPr>
          <w:lang w:val="ru-RU"/>
        </w:rPr>
        <w:t xml:space="preserve"> № 3358 (2014 </w:t>
      </w:r>
      <w:r>
        <w:rPr>
          <w:lang w:val="ru-RU"/>
        </w:rPr>
        <w:t>г</w:t>
      </w:r>
      <w:r w:rsidRPr="00D64EAA">
        <w:rPr>
          <w:lang w:val="ru-RU"/>
        </w:rPr>
        <w:t xml:space="preserve">.), </w:t>
      </w:r>
      <w:r>
        <w:rPr>
          <w:lang w:val="ru-RU"/>
        </w:rPr>
        <w:t>часть</w:t>
      </w:r>
      <w:r w:rsidRPr="00D64EAA">
        <w:rPr>
          <w:lang w:val="ru-RU"/>
        </w:rPr>
        <w:t xml:space="preserve"> </w:t>
      </w:r>
      <w:r>
        <w:t>B</w:t>
      </w:r>
      <w:r w:rsidRPr="00D64EAA">
        <w:rPr>
          <w:lang w:val="ru-RU"/>
        </w:rPr>
        <w:t xml:space="preserve"> </w:t>
      </w:r>
      <w:r>
        <w:rPr>
          <w:lang w:val="ru-RU"/>
        </w:rPr>
        <w:t>и пункт</w:t>
      </w:r>
      <w:r w:rsidRPr="00D64EAA">
        <w:rPr>
          <w:lang w:val="ru-RU"/>
        </w:rPr>
        <w:t xml:space="preserve"> 2.</w:t>
      </w:r>
    </w:p>
  </w:footnote>
  <w:footnote w:id="21">
    <w:p w:rsidR="00CD1C4C" w:rsidRDefault="00CD1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E24277">
        <w:t>.</w:t>
      </w:r>
      <w:r>
        <w:t xml:space="preserve"> </w:t>
      </w:r>
      <w:r>
        <w:rPr>
          <w:lang w:val="ru-RU"/>
        </w:rPr>
        <w:t>решение</w:t>
      </w:r>
      <w:r w:rsidRPr="00E24277">
        <w:t xml:space="preserve"> №</w:t>
      </w:r>
      <w:r>
        <w:t xml:space="preserve"> 3358 (2014</w:t>
      </w:r>
      <w:r>
        <w:rPr>
          <w:lang w:val="ru-RU"/>
        </w:rPr>
        <w:t xml:space="preserve"> г.</w:t>
      </w:r>
      <w:r>
        <w:t xml:space="preserve">), </w:t>
      </w:r>
      <w:r>
        <w:rPr>
          <w:lang w:val="ru-RU"/>
        </w:rPr>
        <w:t>пункт</w:t>
      </w:r>
      <w:r>
        <w:t xml:space="preserve">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C" w:rsidRPr="003B25A5" w:rsidRDefault="00CD1C4C" w:rsidP="007759F6">
    <w:pPr>
      <w:ind w:right="113"/>
      <w:jc w:val="right"/>
      <w:rPr>
        <w:lang w:val="fr-FR"/>
      </w:rPr>
    </w:pPr>
    <w:r>
      <w:rPr>
        <w:lang w:val="fr-FR"/>
      </w:rPr>
      <w:t>WO/CC/73/INF/1</w:t>
    </w:r>
  </w:p>
  <w:p w:rsidR="00CD1C4C" w:rsidRPr="003B25A5" w:rsidRDefault="00CD1C4C" w:rsidP="007759F6">
    <w:pPr>
      <w:ind w:right="113"/>
      <w:jc w:val="right"/>
      <w:rPr>
        <w:lang w:val="fr-FR"/>
      </w:rPr>
    </w:pPr>
    <w:r>
      <w:rPr>
        <w:lang w:val="ru-RU"/>
      </w:rPr>
      <w:t>стр.</w:t>
    </w:r>
    <w:r w:rsidRPr="003B25A5">
      <w:rPr>
        <w:lang w:val="fr-FR"/>
      </w:rPr>
      <w:t xml:space="preserve"> </w:t>
    </w:r>
    <w:r w:rsidRPr="002161C1">
      <w:fldChar w:fldCharType="begin"/>
    </w:r>
    <w:r w:rsidRPr="003B25A5">
      <w:rPr>
        <w:lang w:val="fr-FR"/>
      </w:rPr>
      <w:instrText xml:space="preserve"> PAGE   \* MERGEFORMAT </w:instrText>
    </w:r>
    <w:r w:rsidRPr="002161C1">
      <w:fldChar w:fldCharType="separate"/>
    </w:r>
    <w:r w:rsidR="00B41CCF">
      <w:rPr>
        <w:noProof/>
        <w:lang w:val="fr-FR"/>
      </w:rPr>
      <w:t>8</w:t>
    </w:r>
    <w:r w:rsidRPr="002161C1">
      <w:rPr>
        <w:noProof/>
      </w:rPr>
      <w:fldChar w:fldCharType="end"/>
    </w:r>
  </w:p>
  <w:p w:rsidR="00CD1C4C" w:rsidRPr="003B25A5" w:rsidRDefault="00CD1C4C" w:rsidP="007759F6">
    <w:pPr>
      <w:pStyle w:val="Header"/>
      <w:ind w:left="-709" w:right="113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C" w:rsidRPr="000A25C4" w:rsidRDefault="00CD1C4C" w:rsidP="007759F6">
    <w:pPr>
      <w:pStyle w:val="Header"/>
      <w:ind w:right="-78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85" w:rsidRPr="00276685" w:rsidRDefault="00276685" w:rsidP="007759F6">
    <w:pPr>
      <w:ind w:right="113"/>
      <w:jc w:val="right"/>
      <w:rPr>
        <w:lang w:val="ru-RU"/>
      </w:rPr>
    </w:pPr>
    <w:r>
      <w:rPr>
        <w:lang w:val="fr-FR"/>
      </w:rPr>
      <w:t>WO</w:t>
    </w:r>
    <w:r w:rsidRPr="00276685">
      <w:rPr>
        <w:lang w:val="ru-RU"/>
      </w:rPr>
      <w:t>/</w:t>
    </w:r>
    <w:r>
      <w:rPr>
        <w:lang w:val="fr-FR"/>
      </w:rPr>
      <w:t>CC</w:t>
    </w:r>
    <w:r w:rsidRPr="00276685">
      <w:rPr>
        <w:lang w:val="ru-RU"/>
      </w:rPr>
      <w:t>/73/</w:t>
    </w:r>
    <w:r>
      <w:rPr>
        <w:lang w:val="fr-FR"/>
      </w:rPr>
      <w:t>INF</w:t>
    </w:r>
    <w:r w:rsidRPr="00276685">
      <w:rPr>
        <w:lang w:val="ru-RU"/>
      </w:rPr>
      <w:t>/1</w:t>
    </w:r>
  </w:p>
  <w:p w:rsidR="00276685" w:rsidRPr="003B25A5" w:rsidRDefault="00276685" w:rsidP="007759F6">
    <w:pPr>
      <w:ind w:right="113"/>
      <w:jc w:val="right"/>
      <w:rPr>
        <w:lang w:val="fr-FR"/>
      </w:rPr>
    </w:pPr>
    <w:r>
      <w:rPr>
        <w:lang w:val="ru-RU"/>
      </w:rPr>
      <w:t>Приложение, стр.</w:t>
    </w:r>
    <w:r w:rsidRPr="00276685">
      <w:rPr>
        <w:lang w:val="ru-RU"/>
      </w:rPr>
      <w:t xml:space="preserve"> </w:t>
    </w:r>
    <w:r w:rsidRPr="002161C1">
      <w:fldChar w:fldCharType="begin"/>
    </w:r>
    <w:r w:rsidRPr="00276685">
      <w:rPr>
        <w:lang w:val="ru-RU"/>
      </w:rPr>
      <w:instrText xml:space="preserve"> </w:instrText>
    </w:r>
    <w:r w:rsidRPr="003B25A5">
      <w:rPr>
        <w:lang w:val="fr-FR"/>
      </w:rPr>
      <w:instrText>PAGE</w:instrText>
    </w:r>
    <w:r w:rsidRPr="00276685">
      <w:rPr>
        <w:lang w:val="ru-RU"/>
      </w:rPr>
      <w:instrText xml:space="preserve">   \* </w:instrText>
    </w:r>
    <w:r w:rsidRPr="003B25A5">
      <w:rPr>
        <w:lang w:val="fr-FR"/>
      </w:rPr>
      <w:instrText>MERGEFORMAT</w:instrText>
    </w:r>
    <w:r w:rsidRPr="00276685">
      <w:rPr>
        <w:lang w:val="ru-RU"/>
      </w:rPr>
      <w:instrText xml:space="preserve"> </w:instrText>
    </w:r>
    <w:r w:rsidRPr="002161C1">
      <w:fldChar w:fldCharType="separate"/>
    </w:r>
    <w:r w:rsidR="00B41CCF">
      <w:rPr>
        <w:noProof/>
        <w:lang w:val="fr-FR"/>
      </w:rPr>
      <w:t>2</w:t>
    </w:r>
    <w:r w:rsidRPr="002161C1">
      <w:rPr>
        <w:noProof/>
      </w:rPr>
      <w:fldChar w:fldCharType="end"/>
    </w:r>
  </w:p>
  <w:p w:rsidR="00276685" w:rsidRPr="003B25A5" w:rsidRDefault="00276685" w:rsidP="007759F6">
    <w:pPr>
      <w:pStyle w:val="Header"/>
      <w:ind w:left="-709" w:right="113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85" w:rsidRDefault="00276685" w:rsidP="00276685">
    <w:pPr>
      <w:pStyle w:val="Header"/>
      <w:jc w:val="right"/>
      <w:rPr>
        <w:lang w:val="ru-RU"/>
      </w:rPr>
    </w:pPr>
    <w:r>
      <w:rPr>
        <w:lang w:val="fr-FR"/>
      </w:rPr>
      <w:t>WO/CC/73/INF/1</w:t>
    </w:r>
  </w:p>
  <w:p w:rsidR="00276685" w:rsidRPr="00276685" w:rsidRDefault="00276685" w:rsidP="0027668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27005"/>
    <w:multiLevelType w:val="hybridMultilevel"/>
    <w:tmpl w:val="F7D8D5F0"/>
    <w:lvl w:ilvl="0" w:tplc="9F2AB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AC61A5"/>
    <w:multiLevelType w:val="hybridMultilevel"/>
    <w:tmpl w:val="68B8DB0A"/>
    <w:lvl w:ilvl="0" w:tplc="04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FCA78AC"/>
    <w:multiLevelType w:val="hybridMultilevel"/>
    <w:tmpl w:val="5DF882EE"/>
    <w:lvl w:ilvl="0" w:tplc="D6FE6214">
      <w:start w:val="1"/>
      <w:numFmt w:val="decimal"/>
      <w:lvlText w:val="(%1)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5861D9"/>
    <w:multiLevelType w:val="hybridMultilevel"/>
    <w:tmpl w:val="C32645B6"/>
    <w:lvl w:ilvl="0" w:tplc="55F896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0E93AF8"/>
    <w:multiLevelType w:val="multilevel"/>
    <w:tmpl w:val="375081A0"/>
    <w:lvl w:ilvl="0">
      <w:start w:val="2"/>
      <w:numFmt w:val="lowerLetter"/>
      <w:pStyle w:val="RuleLIST"/>
      <w:lvlText w:val="(%1)"/>
      <w:lvlJc w:val="left"/>
      <w:pPr>
        <w:tabs>
          <w:tab w:val="num" w:pos="1135"/>
        </w:tabs>
        <w:ind w:left="568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76"/>
        </w:tabs>
        <w:ind w:left="135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96"/>
        </w:tabs>
        <w:ind w:left="14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6"/>
        </w:tabs>
        <w:ind w:left="1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76"/>
        </w:tabs>
        <w:ind w:left="1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6"/>
        </w:tabs>
        <w:ind w:left="1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56"/>
        </w:tabs>
        <w:ind w:left="16096" w:hanging="1440"/>
      </w:pPr>
      <w:rPr>
        <w:rFonts w:hint="default"/>
      </w:rPr>
    </w:lvl>
  </w:abstractNum>
  <w:abstractNum w:abstractNumId="9">
    <w:nsid w:val="344B54AF"/>
    <w:multiLevelType w:val="hybridMultilevel"/>
    <w:tmpl w:val="54D6EDF0"/>
    <w:lvl w:ilvl="0" w:tplc="D48A4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7672"/>
    <w:multiLevelType w:val="hybridMultilevel"/>
    <w:tmpl w:val="F9AE3C64"/>
    <w:lvl w:ilvl="0" w:tplc="E578D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9668AB"/>
    <w:multiLevelType w:val="hybridMultilevel"/>
    <w:tmpl w:val="C0F882E4"/>
    <w:lvl w:ilvl="0" w:tplc="DB2CA7D2">
      <w:start w:val="1"/>
      <w:numFmt w:val="upperRoman"/>
      <w:lvlText w:val="%1."/>
      <w:lvlJc w:val="left"/>
      <w:pPr>
        <w:ind w:left="1377" w:hanging="720"/>
      </w:pPr>
    </w:lvl>
    <w:lvl w:ilvl="1" w:tplc="04090019">
      <w:start w:val="1"/>
      <w:numFmt w:val="lowerLetter"/>
      <w:lvlText w:val="%2."/>
      <w:lvlJc w:val="left"/>
      <w:pPr>
        <w:ind w:left="1737" w:hanging="360"/>
      </w:pPr>
    </w:lvl>
    <w:lvl w:ilvl="2" w:tplc="0409001B">
      <w:start w:val="1"/>
      <w:numFmt w:val="lowerRoman"/>
      <w:lvlText w:val="%3."/>
      <w:lvlJc w:val="right"/>
      <w:pPr>
        <w:ind w:left="2457" w:hanging="180"/>
      </w:pPr>
    </w:lvl>
    <w:lvl w:ilvl="3" w:tplc="0409000F">
      <w:start w:val="1"/>
      <w:numFmt w:val="decimal"/>
      <w:lvlText w:val="%4."/>
      <w:lvlJc w:val="left"/>
      <w:pPr>
        <w:ind w:left="3177" w:hanging="360"/>
      </w:pPr>
    </w:lvl>
    <w:lvl w:ilvl="4" w:tplc="04090019">
      <w:start w:val="1"/>
      <w:numFmt w:val="lowerLetter"/>
      <w:lvlText w:val="%5."/>
      <w:lvlJc w:val="left"/>
      <w:pPr>
        <w:ind w:left="3897" w:hanging="360"/>
      </w:pPr>
    </w:lvl>
    <w:lvl w:ilvl="5" w:tplc="0409001B">
      <w:start w:val="1"/>
      <w:numFmt w:val="lowerRoman"/>
      <w:lvlText w:val="%6."/>
      <w:lvlJc w:val="right"/>
      <w:pPr>
        <w:ind w:left="4617" w:hanging="180"/>
      </w:pPr>
    </w:lvl>
    <w:lvl w:ilvl="6" w:tplc="0409000F">
      <w:start w:val="1"/>
      <w:numFmt w:val="decimal"/>
      <w:lvlText w:val="%7."/>
      <w:lvlJc w:val="left"/>
      <w:pPr>
        <w:ind w:left="5337" w:hanging="360"/>
      </w:pPr>
    </w:lvl>
    <w:lvl w:ilvl="7" w:tplc="04090019">
      <w:start w:val="1"/>
      <w:numFmt w:val="lowerLetter"/>
      <w:lvlText w:val="%8."/>
      <w:lvlJc w:val="left"/>
      <w:pPr>
        <w:ind w:left="6057" w:hanging="360"/>
      </w:pPr>
    </w:lvl>
    <w:lvl w:ilvl="8" w:tplc="0409001B">
      <w:start w:val="1"/>
      <w:numFmt w:val="lowerRoman"/>
      <w:lvlText w:val="%9."/>
      <w:lvlJc w:val="right"/>
      <w:pPr>
        <w:ind w:left="6777" w:hanging="180"/>
      </w:pPr>
    </w:lvl>
  </w:abstractNum>
  <w:abstractNum w:abstractNumId="13">
    <w:nsid w:val="4B5D6581"/>
    <w:multiLevelType w:val="multilevel"/>
    <w:tmpl w:val="FCCCC81A"/>
    <w:lvl w:ilvl="0">
      <w:start w:val="2"/>
      <w:numFmt w:val="lowerLetter"/>
      <w:pStyle w:val="RegLIST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47"/>
        </w:tabs>
        <w:ind w:left="14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7"/>
        </w:tabs>
        <w:ind w:left="15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27"/>
        </w:tabs>
        <w:ind w:left="15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87"/>
        </w:tabs>
        <w:ind w:left="16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07"/>
        </w:tabs>
        <w:ind w:left="16947" w:hanging="1440"/>
      </w:pPr>
      <w:rPr>
        <w:rFonts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2436C"/>
    <w:multiLevelType w:val="hybridMultilevel"/>
    <w:tmpl w:val="7D383C64"/>
    <w:lvl w:ilvl="0" w:tplc="00EE0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83B25"/>
    <w:multiLevelType w:val="hybridMultilevel"/>
    <w:tmpl w:val="80F26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2481"/>
    <w:multiLevelType w:val="hybridMultilevel"/>
    <w:tmpl w:val="D8F8639C"/>
    <w:lvl w:ilvl="0" w:tplc="B9023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90756"/>
    <w:multiLevelType w:val="hybridMultilevel"/>
    <w:tmpl w:val="C1B86C5A"/>
    <w:lvl w:ilvl="0" w:tplc="551C98E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8"/>
  </w:num>
  <w:num w:numId="16">
    <w:abstractNumId w:val="16"/>
  </w:num>
  <w:num w:numId="17">
    <w:abstractNumId w:val="1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EC"/>
    <w:rsid w:val="00012646"/>
    <w:rsid w:val="00030A39"/>
    <w:rsid w:val="0003378E"/>
    <w:rsid w:val="00036AC0"/>
    <w:rsid w:val="00043CAA"/>
    <w:rsid w:val="000450C9"/>
    <w:rsid w:val="00050CA5"/>
    <w:rsid w:val="00053A34"/>
    <w:rsid w:val="0005759F"/>
    <w:rsid w:val="00057696"/>
    <w:rsid w:val="0006507C"/>
    <w:rsid w:val="0007119F"/>
    <w:rsid w:val="00071E6C"/>
    <w:rsid w:val="00075432"/>
    <w:rsid w:val="00076073"/>
    <w:rsid w:val="00080AFD"/>
    <w:rsid w:val="000859B2"/>
    <w:rsid w:val="00092CC8"/>
    <w:rsid w:val="000968ED"/>
    <w:rsid w:val="000A0790"/>
    <w:rsid w:val="000A22B2"/>
    <w:rsid w:val="000A4A57"/>
    <w:rsid w:val="000A5F26"/>
    <w:rsid w:val="000A614C"/>
    <w:rsid w:val="000A75E9"/>
    <w:rsid w:val="000A7C85"/>
    <w:rsid w:val="000A7EE5"/>
    <w:rsid w:val="000B211F"/>
    <w:rsid w:val="000B3334"/>
    <w:rsid w:val="000C19A0"/>
    <w:rsid w:val="000C6C59"/>
    <w:rsid w:val="000C7EFC"/>
    <w:rsid w:val="000E2E0C"/>
    <w:rsid w:val="000F2A6B"/>
    <w:rsid w:val="000F5E56"/>
    <w:rsid w:val="000F7258"/>
    <w:rsid w:val="0010347A"/>
    <w:rsid w:val="00107AFA"/>
    <w:rsid w:val="00113563"/>
    <w:rsid w:val="00113F28"/>
    <w:rsid w:val="0011408B"/>
    <w:rsid w:val="001150D1"/>
    <w:rsid w:val="00116CB3"/>
    <w:rsid w:val="00117B8A"/>
    <w:rsid w:val="00121CED"/>
    <w:rsid w:val="00122367"/>
    <w:rsid w:val="0012635B"/>
    <w:rsid w:val="0012738C"/>
    <w:rsid w:val="00127AF7"/>
    <w:rsid w:val="00131D15"/>
    <w:rsid w:val="00133450"/>
    <w:rsid w:val="00135888"/>
    <w:rsid w:val="001362EE"/>
    <w:rsid w:val="0014528D"/>
    <w:rsid w:val="00151010"/>
    <w:rsid w:val="0015119B"/>
    <w:rsid w:val="001526E1"/>
    <w:rsid w:val="0015637A"/>
    <w:rsid w:val="00156CE2"/>
    <w:rsid w:val="00167265"/>
    <w:rsid w:val="0018127F"/>
    <w:rsid w:val="0018153B"/>
    <w:rsid w:val="001832A6"/>
    <w:rsid w:val="00191D0F"/>
    <w:rsid w:val="00193248"/>
    <w:rsid w:val="001942D1"/>
    <w:rsid w:val="00194E33"/>
    <w:rsid w:val="001967A0"/>
    <w:rsid w:val="00197AE9"/>
    <w:rsid w:val="001A0DE3"/>
    <w:rsid w:val="001A143A"/>
    <w:rsid w:val="001A6FE8"/>
    <w:rsid w:val="001A75B2"/>
    <w:rsid w:val="001A793C"/>
    <w:rsid w:val="001A7B90"/>
    <w:rsid w:val="001B2F0C"/>
    <w:rsid w:val="001C2926"/>
    <w:rsid w:val="001C3F1B"/>
    <w:rsid w:val="001C4845"/>
    <w:rsid w:val="001C5C2A"/>
    <w:rsid w:val="001D0276"/>
    <w:rsid w:val="001D195F"/>
    <w:rsid w:val="001D7BF2"/>
    <w:rsid w:val="001E1597"/>
    <w:rsid w:val="001E197D"/>
    <w:rsid w:val="001E443F"/>
    <w:rsid w:val="001F03D9"/>
    <w:rsid w:val="001F73E9"/>
    <w:rsid w:val="0020176B"/>
    <w:rsid w:val="00207BCD"/>
    <w:rsid w:val="00211E67"/>
    <w:rsid w:val="002135B6"/>
    <w:rsid w:val="002367DF"/>
    <w:rsid w:val="00236996"/>
    <w:rsid w:val="00240605"/>
    <w:rsid w:val="0025511A"/>
    <w:rsid w:val="00256C0D"/>
    <w:rsid w:val="002612C1"/>
    <w:rsid w:val="00261BF7"/>
    <w:rsid w:val="0026217D"/>
    <w:rsid w:val="002634C4"/>
    <w:rsid w:val="00265E21"/>
    <w:rsid w:val="00270F68"/>
    <w:rsid w:val="00273139"/>
    <w:rsid w:val="00273D4E"/>
    <w:rsid w:val="00275C06"/>
    <w:rsid w:val="00276685"/>
    <w:rsid w:val="00283F2B"/>
    <w:rsid w:val="002857A8"/>
    <w:rsid w:val="002861B4"/>
    <w:rsid w:val="00287ECD"/>
    <w:rsid w:val="00287F12"/>
    <w:rsid w:val="002928D3"/>
    <w:rsid w:val="00293D69"/>
    <w:rsid w:val="002954FB"/>
    <w:rsid w:val="00296597"/>
    <w:rsid w:val="00297F9D"/>
    <w:rsid w:val="002A3B8A"/>
    <w:rsid w:val="002B6775"/>
    <w:rsid w:val="002C30A9"/>
    <w:rsid w:val="002C4C8C"/>
    <w:rsid w:val="002C71B2"/>
    <w:rsid w:val="002D0449"/>
    <w:rsid w:val="002D15E6"/>
    <w:rsid w:val="002D1FF0"/>
    <w:rsid w:val="002D5A43"/>
    <w:rsid w:val="002D6081"/>
    <w:rsid w:val="002D790A"/>
    <w:rsid w:val="002E32A3"/>
    <w:rsid w:val="002E3425"/>
    <w:rsid w:val="002E4DE0"/>
    <w:rsid w:val="002E6095"/>
    <w:rsid w:val="002E66E9"/>
    <w:rsid w:val="002F0458"/>
    <w:rsid w:val="002F1FE6"/>
    <w:rsid w:val="002F4E68"/>
    <w:rsid w:val="0030231F"/>
    <w:rsid w:val="00302743"/>
    <w:rsid w:val="00303BD0"/>
    <w:rsid w:val="00303C95"/>
    <w:rsid w:val="00307F82"/>
    <w:rsid w:val="0031045B"/>
    <w:rsid w:val="00312F7F"/>
    <w:rsid w:val="00317277"/>
    <w:rsid w:val="003228B7"/>
    <w:rsid w:val="00322984"/>
    <w:rsid w:val="00324570"/>
    <w:rsid w:val="003329CB"/>
    <w:rsid w:val="00341518"/>
    <w:rsid w:val="00341F0C"/>
    <w:rsid w:val="00344855"/>
    <w:rsid w:val="00344A08"/>
    <w:rsid w:val="003526AE"/>
    <w:rsid w:val="00354D0A"/>
    <w:rsid w:val="003673CF"/>
    <w:rsid w:val="00371003"/>
    <w:rsid w:val="003758BF"/>
    <w:rsid w:val="0037784F"/>
    <w:rsid w:val="003845C1"/>
    <w:rsid w:val="003861EF"/>
    <w:rsid w:val="00387178"/>
    <w:rsid w:val="00392B49"/>
    <w:rsid w:val="0039377D"/>
    <w:rsid w:val="00397BB3"/>
    <w:rsid w:val="003A131F"/>
    <w:rsid w:val="003A382B"/>
    <w:rsid w:val="003A3EA4"/>
    <w:rsid w:val="003A6F89"/>
    <w:rsid w:val="003B2187"/>
    <w:rsid w:val="003B38C1"/>
    <w:rsid w:val="003B6B88"/>
    <w:rsid w:val="003B7221"/>
    <w:rsid w:val="003C1652"/>
    <w:rsid w:val="003C4A88"/>
    <w:rsid w:val="003D1BEE"/>
    <w:rsid w:val="003D2828"/>
    <w:rsid w:val="003D2AC4"/>
    <w:rsid w:val="003D43E8"/>
    <w:rsid w:val="003E0D3B"/>
    <w:rsid w:val="003E240F"/>
    <w:rsid w:val="003E4584"/>
    <w:rsid w:val="003E5ADC"/>
    <w:rsid w:val="003F0577"/>
    <w:rsid w:val="003F1F66"/>
    <w:rsid w:val="003F25E4"/>
    <w:rsid w:val="00400647"/>
    <w:rsid w:val="00401EA5"/>
    <w:rsid w:val="0040368D"/>
    <w:rsid w:val="00403FDC"/>
    <w:rsid w:val="004062D0"/>
    <w:rsid w:val="00411E7E"/>
    <w:rsid w:val="00416A76"/>
    <w:rsid w:val="0042392C"/>
    <w:rsid w:val="00423E3E"/>
    <w:rsid w:val="0042489C"/>
    <w:rsid w:val="00426575"/>
    <w:rsid w:val="00426B9A"/>
    <w:rsid w:val="00427AF4"/>
    <w:rsid w:val="00431FEC"/>
    <w:rsid w:val="00434A75"/>
    <w:rsid w:val="00436730"/>
    <w:rsid w:val="00437BCD"/>
    <w:rsid w:val="004400E2"/>
    <w:rsid w:val="00444786"/>
    <w:rsid w:val="00446449"/>
    <w:rsid w:val="00447009"/>
    <w:rsid w:val="00451957"/>
    <w:rsid w:val="00456BF6"/>
    <w:rsid w:val="004613B2"/>
    <w:rsid w:val="00463603"/>
    <w:rsid w:val="004647DA"/>
    <w:rsid w:val="004668BA"/>
    <w:rsid w:val="004673C3"/>
    <w:rsid w:val="00467A60"/>
    <w:rsid w:val="00467E74"/>
    <w:rsid w:val="004705B2"/>
    <w:rsid w:val="0047295D"/>
    <w:rsid w:val="00473710"/>
    <w:rsid w:val="00474062"/>
    <w:rsid w:val="00474A8B"/>
    <w:rsid w:val="00477D6B"/>
    <w:rsid w:val="00484682"/>
    <w:rsid w:val="004858A8"/>
    <w:rsid w:val="00494AAE"/>
    <w:rsid w:val="004A4357"/>
    <w:rsid w:val="004B2146"/>
    <w:rsid w:val="004B3705"/>
    <w:rsid w:val="004B3EC9"/>
    <w:rsid w:val="004B7622"/>
    <w:rsid w:val="004C3EE8"/>
    <w:rsid w:val="004C4248"/>
    <w:rsid w:val="004C5AEC"/>
    <w:rsid w:val="004C5DC0"/>
    <w:rsid w:val="004C7E6E"/>
    <w:rsid w:val="004D09CF"/>
    <w:rsid w:val="004D1CCE"/>
    <w:rsid w:val="004D3554"/>
    <w:rsid w:val="004E16AD"/>
    <w:rsid w:val="004E38AA"/>
    <w:rsid w:val="004F02DB"/>
    <w:rsid w:val="004F1712"/>
    <w:rsid w:val="004F624C"/>
    <w:rsid w:val="004F62F6"/>
    <w:rsid w:val="00502619"/>
    <w:rsid w:val="0050378F"/>
    <w:rsid w:val="00507317"/>
    <w:rsid w:val="005170C7"/>
    <w:rsid w:val="00521FBC"/>
    <w:rsid w:val="00522E26"/>
    <w:rsid w:val="005254E1"/>
    <w:rsid w:val="0053057A"/>
    <w:rsid w:val="00531C10"/>
    <w:rsid w:val="00535728"/>
    <w:rsid w:val="00541CDE"/>
    <w:rsid w:val="005429AF"/>
    <w:rsid w:val="00543EC6"/>
    <w:rsid w:val="00545D30"/>
    <w:rsid w:val="005503B9"/>
    <w:rsid w:val="00553050"/>
    <w:rsid w:val="00554BE7"/>
    <w:rsid w:val="00556DCA"/>
    <w:rsid w:val="00560A29"/>
    <w:rsid w:val="00567046"/>
    <w:rsid w:val="005804F7"/>
    <w:rsid w:val="00580BF0"/>
    <w:rsid w:val="00591B93"/>
    <w:rsid w:val="0059774E"/>
    <w:rsid w:val="005A04D6"/>
    <w:rsid w:val="005A1B6D"/>
    <w:rsid w:val="005A440A"/>
    <w:rsid w:val="005B30DD"/>
    <w:rsid w:val="005B689C"/>
    <w:rsid w:val="005B7940"/>
    <w:rsid w:val="005C02B8"/>
    <w:rsid w:val="005C7BEB"/>
    <w:rsid w:val="005D376F"/>
    <w:rsid w:val="005D4593"/>
    <w:rsid w:val="005D45F4"/>
    <w:rsid w:val="005E484C"/>
    <w:rsid w:val="005E5217"/>
    <w:rsid w:val="005F5AA4"/>
    <w:rsid w:val="005F7710"/>
    <w:rsid w:val="0060282E"/>
    <w:rsid w:val="00605827"/>
    <w:rsid w:val="00610283"/>
    <w:rsid w:val="0062589B"/>
    <w:rsid w:val="00632F50"/>
    <w:rsid w:val="00634101"/>
    <w:rsid w:val="0063600A"/>
    <w:rsid w:val="00642640"/>
    <w:rsid w:val="00643EE5"/>
    <w:rsid w:val="00646050"/>
    <w:rsid w:val="006555C4"/>
    <w:rsid w:val="006562BD"/>
    <w:rsid w:val="00667288"/>
    <w:rsid w:val="00667CFB"/>
    <w:rsid w:val="006713CA"/>
    <w:rsid w:val="006716B0"/>
    <w:rsid w:val="006721AE"/>
    <w:rsid w:val="00674805"/>
    <w:rsid w:val="00676C5C"/>
    <w:rsid w:val="00680806"/>
    <w:rsid w:val="0068316A"/>
    <w:rsid w:val="00683E2E"/>
    <w:rsid w:val="0068541C"/>
    <w:rsid w:val="00687A17"/>
    <w:rsid w:val="00691CEA"/>
    <w:rsid w:val="00692A2D"/>
    <w:rsid w:val="0069626F"/>
    <w:rsid w:val="00696935"/>
    <w:rsid w:val="006A417A"/>
    <w:rsid w:val="006A77CE"/>
    <w:rsid w:val="006A7AED"/>
    <w:rsid w:val="006B52E2"/>
    <w:rsid w:val="006C4172"/>
    <w:rsid w:val="006C52C2"/>
    <w:rsid w:val="006D1D1D"/>
    <w:rsid w:val="006D580D"/>
    <w:rsid w:val="006D69E3"/>
    <w:rsid w:val="006E39D3"/>
    <w:rsid w:val="007058FB"/>
    <w:rsid w:val="00707DB1"/>
    <w:rsid w:val="00713524"/>
    <w:rsid w:val="00716C74"/>
    <w:rsid w:val="00727541"/>
    <w:rsid w:val="00745510"/>
    <w:rsid w:val="00746A47"/>
    <w:rsid w:val="00750296"/>
    <w:rsid w:val="00750495"/>
    <w:rsid w:val="00752085"/>
    <w:rsid w:val="007548AD"/>
    <w:rsid w:val="007606EA"/>
    <w:rsid w:val="0076706A"/>
    <w:rsid w:val="007759F6"/>
    <w:rsid w:val="00775AC8"/>
    <w:rsid w:val="00781C32"/>
    <w:rsid w:val="00782E4D"/>
    <w:rsid w:val="007857AA"/>
    <w:rsid w:val="00790360"/>
    <w:rsid w:val="00794F02"/>
    <w:rsid w:val="0079528A"/>
    <w:rsid w:val="00795477"/>
    <w:rsid w:val="007A4F11"/>
    <w:rsid w:val="007A5F79"/>
    <w:rsid w:val="007B0396"/>
    <w:rsid w:val="007B2051"/>
    <w:rsid w:val="007B5E8B"/>
    <w:rsid w:val="007B6A58"/>
    <w:rsid w:val="007B7C58"/>
    <w:rsid w:val="007C6AE7"/>
    <w:rsid w:val="007C7109"/>
    <w:rsid w:val="007C76D5"/>
    <w:rsid w:val="007D1613"/>
    <w:rsid w:val="007D5A55"/>
    <w:rsid w:val="007D6A89"/>
    <w:rsid w:val="007E0FE5"/>
    <w:rsid w:val="007E42CE"/>
    <w:rsid w:val="007F2D7D"/>
    <w:rsid w:val="007F5C49"/>
    <w:rsid w:val="007F65D2"/>
    <w:rsid w:val="007F74A3"/>
    <w:rsid w:val="007F77EF"/>
    <w:rsid w:val="0080528A"/>
    <w:rsid w:val="0081122D"/>
    <w:rsid w:val="00813237"/>
    <w:rsid w:val="00822294"/>
    <w:rsid w:val="00826AE4"/>
    <w:rsid w:val="008339F6"/>
    <w:rsid w:val="00836F38"/>
    <w:rsid w:val="00837F2D"/>
    <w:rsid w:val="008439EB"/>
    <w:rsid w:val="00843F1E"/>
    <w:rsid w:val="00843FB6"/>
    <w:rsid w:val="00867D28"/>
    <w:rsid w:val="008704B2"/>
    <w:rsid w:val="008737BA"/>
    <w:rsid w:val="00875806"/>
    <w:rsid w:val="008805C2"/>
    <w:rsid w:val="00890DF6"/>
    <w:rsid w:val="0089424C"/>
    <w:rsid w:val="008976F8"/>
    <w:rsid w:val="008A129C"/>
    <w:rsid w:val="008A51F6"/>
    <w:rsid w:val="008A5D77"/>
    <w:rsid w:val="008A683A"/>
    <w:rsid w:val="008A68B8"/>
    <w:rsid w:val="008B1C47"/>
    <w:rsid w:val="008B2CC1"/>
    <w:rsid w:val="008B2F89"/>
    <w:rsid w:val="008B44D2"/>
    <w:rsid w:val="008B5F14"/>
    <w:rsid w:val="008B60B2"/>
    <w:rsid w:val="008C0616"/>
    <w:rsid w:val="008C13A6"/>
    <w:rsid w:val="008C1EF7"/>
    <w:rsid w:val="008C2E50"/>
    <w:rsid w:val="008C7612"/>
    <w:rsid w:val="008D369F"/>
    <w:rsid w:val="008D5038"/>
    <w:rsid w:val="008D6E92"/>
    <w:rsid w:val="008E4553"/>
    <w:rsid w:val="008E4F36"/>
    <w:rsid w:val="008E51E6"/>
    <w:rsid w:val="008E59DB"/>
    <w:rsid w:val="008E5DDA"/>
    <w:rsid w:val="008F4969"/>
    <w:rsid w:val="00900446"/>
    <w:rsid w:val="00903217"/>
    <w:rsid w:val="0090731E"/>
    <w:rsid w:val="00916EE2"/>
    <w:rsid w:val="009172E9"/>
    <w:rsid w:val="009173AD"/>
    <w:rsid w:val="009228E0"/>
    <w:rsid w:val="00927F11"/>
    <w:rsid w:val="009309C2"/>
    <w:rsid w:val="0093263C"/>
    <w:rsid w:val="00940F8E"/>
    <w:rsid w:val="0094133B"/>
    <w:rsid w:val="009457DD"/>
    <w:rsid w:val="00950723"/>
    <w:rsid w:val="0095447A"/>
    <w:rsid w:val="00955678"/>
    <w:rsid w:val="009557A6"/>
    <w:rsid w:val="00963F5A"/>
    <w:rsid w:val="009645C6"/>
    <w:rsid w:val="00966A22"/>
    <w:rsid w:val="0096722F"/>
    <w:rsid w:val="00967B0C"/>
    <w:rsid w:val="00972DC1"/>
    <w:rsid w:val="00974B77"/>
    <w:rsid w:val="00975E7B"/>
    <w:rsid w:val="00980843"/>
    <w:rsid w:val="00993AF7"/>
    <w:rsid w:val="009A3542"/>
    <w:rsid w:val="009A4081"/>
    <w:rsid w:val="009A4556"/>
    <w:rsid w:val="009A5EE0"/>
    <w:rsid w:val="009A6F43"/>
    <w:rsid w:val="009B16DD"/>
    <w:rsid w:val="009B35C1"/>
    <w:rsid w:val="009B3E6E"/>
    <w:rsid w:val="009B4204"/>
    <w:rsid w:val="009B4427"/>
    <w:rsid w:val="009B76EC"/>
    <w:rsid w:val="009B78BA"/>
    <w:rsid w:val="009C0230"/>
    <w:rsid w:val="009C5932"/>
    <w:rsid w:val="009C6922"/>
    <w:rsid w:val="009C7521"/>
    <w:rsid w:val="009D6B70"/>
    <w:rsid w:val="009D74EF"/>
    <w:rsid w:val="009E0209"/>
    <w:rsid w:val="009E2791"/>
    <w:rsid w:val="009E2FEC"/>
    <w:rsid w:val="009E3F6F"/>
    <w:rsid w:val="009F2C81"/>
    <w:rsid w:val="009F2E08"/>
    <w:rsid w:val="009F499F"/>
    <w:rsid w:val="00A0442A"/>
    <w:rsid w:val="00A06506"/>
    <w:rsid w:val="00A16ECB"/>
    <w:rsid w:val="00A178A1"/>
    <w:rsid w:val="00A21D31"/>
    <w:rsid w:val="00A33288"/>
    <w:rsid w:val="00A35B6F"/>
    <w:rsid w:val="00A40416"/>
    <w:rsid w:val="00A4153C"/>
    <w:rsid w:val="00A421C9"/>
    <w:rsid w:val="00A42278"/>
    <w:rsid w:val="00A42DAF"/>
    <w:rsid w:val="00A45BD8"/>
    <w:rsid w:val="00A549B1"/>
    <w:rsid w:val="00A61495"/>
    <w:rsid w:val="00A630D9"/>
    <w:rsid w:val="00A656DC"/>
    <w:rsid w:val="00A65FFA"/>
    <w:rsid w:val="00A67AB6"/>
    <w:rsid w:val="00A77694"/>
    <w:rsid w:val="00A83ABB"/>
    <w:rsid w:val="00A84820"/>
    <w:rsid w:val="00A8521F"/>
    <w:rsid w:val="00A85B8E"/>
    <w:rsid w:val="00A86C42"/>
    <w:rsid w:val="00A96E91"/>
    <w:rsid w:val="00AA1570"/>
    <w:rsid w:val="00AA60BD"/>
    <w:rsid w:val="00AA6304"/>
    <w:rsid w:val="00AA656A"/>
    <w:rsid w:val="00AB3D55"/>
    <w:rsid w:val="00AC205C"/>
    <w:rsid w:val="00AC3522"/>
    <w:rsid w:val="00AC3DD5"/>
    <w:rsid w:val="00AD34B0"/>
    <w:rsid w:val="00AD4815"/>
    <w:rsid w:val="00AE350A"/>
    <w:rsid w:val="00AE39E5"/>
    <w:rsid w:val="00AE517A"/>
    <w:rsid w:val="00AE75FC"/>
    <w:rsid w:val="00AF2B66"/>
    <w:rsid w:val="00AF5072"/>
    <w:rsid w:val="00AF7958"/>
    <w:rsid w:val="00B01479"/>
    <w:rsid w:val="00B03CCD"/>
    <w:rsid w:val="00B05A69"/>
    <w:rsid w:val="00B06EEF"/>
    <w:rsid w:val="00B1333D"/>
    <w:rsid w:val="00B22B88"/>
    <w:rsid w:val="00B24CFF"/>
    <w:rsid w:val="00B27C70"/>
    <w:rsid w:val="00B35ABE"/>
    <w:rsid w:val="00B40312"/>
    <w:rsid w:val="00B41CCF"/>
    <w:rsid w:val="00B44659"/>
    <w:rsid w:val="00B45F78"/>
    <w:rsid w:val="00B6255E"/>
    <w:rsid w:val="00B72FBE"/>
    <w:rsid w:val="00B90471"/>
    <w:rsid w:val="00B91F57"/>
    <w:rsid w:val="00B95BA0"/>
    <w:rsid w:val="00B9725C"/>
    <w:rsid w:val="00B9734B"/>
    <w:rsid w:val="00BA2A2C"/>
    <w:rsid w:val="00BA3A52"/>
    <w:rsid w:val="00BB0EC1"/>
    <w:rsid w:val="00BB124B"/>
    <w:rsid w:val="00BB1DAD"/>
    <w:rsid w:val="00BC0597"/>
    <w:rsid w:val="00BC38DA"/>
    <w:rsid w:val="00BC3C2B"/>
    <w:rsid w:val="00BC7ECF"/>
    <w:rsid w:val="00BD1BC4"/>
    <w:rsid w:val="00BD2D2F"/>
    <w:rsid w:val="00BE0939"/>
    <w:rsid w:val="00BE6D49"/>
    <w:rsid w:val="00BF26EA"/>
    <w:rsid w:val="00C0412B"/>
    <w:rsid w:val="00C11BFE"/>
    <w:rsid w:val="00C17AA9"/>
    <w:rsid w:val="00C3129A"/>
    <w:rsid w:val="00C3425F"/>
    <w:rsid w:val="00C35333"/>
    <w:rsid w:val="00C40D95"/>
    <w:rsid w:val="00C43666"/>
    <w:rsid w:val="00C43BAD"/>
    <w:rsid w:val="00C445C0"/>
    <w:rsid w:val="00C4483A"/>
    <w:rsid w:val="00C456CE"/>
    <w:rsid w:val="00C472C3"/>
    <w:rsid w:val="00C476C8"/>
    <w:rsid w:val="00C5349E"/>
    <w:rsid w:val="00C543E6"/>
    <w:rsid w:val="00C77E82"/>
    <w:rsid w:val="00C905D2"/>
    <w:rsid w:val="00C92EE1"/>
    <w:rsid w:val="00C94629"/>
    <w:rsid w:val="00C9476B"/>
    <w:rsid w:val="00CB2C57"/>
    <w:rsid w:val="00CB2CD0"/>
    <w:rsid w:val="00CB7B99"/>
    <w:rsid w:val="00CB7EB5"/>
    <w:rsid w:val="00CC04B0"/>
    <w:rsid w:val="00CC0641"/>
    <w:rsid w:val="00CC26D2"/>
    <w:rsid w:val="00CC5B10"/>
    <w:rsid w:val="00CC6729"/>
    <w:rsid w:val="00CC6CEA"/>
    <w:rsid w:val="00CD0260"/>
    <w:rsid w:val="00CD1C4C"/>
    <w:rsid w:val="00CD33F8"/>
    <w:rsid w:val="00CD614D"/>
    <w:rsid w:val="00CD6BA6"/>
    <w:rsid w:val="00CE0964"/>
    <w:rsid w:val="00CF3DB5"/>
    <w:rsid w:val="00CF61FF"/>
    <w:rsid w:val="00D039C4"/>
    <w:rsid w:val="00D07968"/>
    <w:rsid w:val="00D217BF"/>
    <w:rsid w:val="00D30E76"/>
    <w:rsid w:val="00D32140"/>
    <w:rsid w:val="00D37AB5"/>
    <w:rsid w:val="00D43B2B"/>
    <w:rsid w:val="00D45252"/>
    <w:rsid w:val="00D45FD9"/>
    <w:rsid w:val="00D46779"/>
    <w:rsid w:val="00D543F4"/>
    <w:rsid w:val="00D574DD"/>
    <w:rsid w:val="00D64EAA"/>
    <w:rsid w:val="00D66732"/>
    <w:rsid w:val="00D67B5B"/>
    <w:rsid w:val="00D70D20"/>
    <w:rsid w:val="00D717EB"/>
    <w:rsid w:val="00D71B4D"/>
    <w:rsid w:val="00D72760"/>
    <w:rsid w:val="00D73841"/>
    <w:rsid w:val="00D808B1"/>
    <w:rsid w:val="00D865AE"/>
    <w:rsid w:val="00D86FD2"/>
    <w:rsid w:val="00D919DB"/>
    <w:rsid w:val="00D93D55"/>
    <w:rsid w:val="00D93EC0"/>
    <w:rsid w:val="00D95E16"/>
    <w:rsid w:val="00D973EA"/>
    <w:rsid w:val="00DA1F77"/>
    <w:rsid w:val="00DA42D5"/>
    <w:rsid w:val="00DC09DE"/>
    <w:rsid w:val="00DC127C"/>
    <w:rsid w:val="00DC1D75"/>
    <w:rsid w:val="00DC2164"/>
    <w:rsid w:val="00DC3286"/>
    <w:rsid w:val="00DC4340"/>
    <w:rsid w:val="00DC605A"/>
    <w:rsid w:val="00DD669B"/>
    <w:rsid w:val="00DF24C3"/>
    <w:rsid w:val="00DF6BEA"/>
    <w:rsid w:val="00E0112E"/>
    <w:rsid w:val="00E02C0A"/>
    <w:rsid w:val="00E04E1F"/>
    <w:rsid w:val="00E05F4C"/>
    <w:rsid w:val="00E079EA"/>
    <w:rsid w:val="00E11A90"/>
    <w:rsid w:val="00E15B63"/>
    <w:rsid w:val="00E2000C"/>
    <w:rsid w:val="00E21900"/>
    <w:rsid w:val="00E237DF"/>
    <w:rsid w:val="00E23929"/>
    <w:rsid w:val="00E23A49"/>
    <w:rsid w:val="00E23B54"/>
    <w:rsid w:val="00E23FEA"/>
    <w:rsid w:val="00E24277"/>
    <w:rsid w:val="00E279F2"/>
    <w:rsid w:val="00E306D7"/>
    <w:rsid w:val="00E3250C"/>
    <w:rsid w:val="00E335FE"/>
    <w:rsid w:val="00E359D4"/>
    <w:rsid w:val="00E36BDA"/>
    <w:rsid w:val="00E42A23"/>
    <w:rsid w:val="00E5021F"/>
    <w:rsid w:val="00E52A35"/>
    <w:rsid w:val="00E54930"/>
    <w:rsid w:val="00E54D95"/>
    <w:rsid w:val="00E560E1"/>
    <w:rsid w:val="00E60563"/>
    <w:rsid w:val="00E66453"/>
    <w:rsid w:val="00E67523"/>
    <w:rsid w:val="00E70498"/>
    <w:rsid w:val="00E7074B"/>
    <w:rsid w:val="00E732B4"/>
    <w:rsid w:val="00E7365B"/>
    <w:rsid w:val="00E904EF"/>
    <w:rsid w:val="00EA2075"/>
    <w:rsid w:val="00EB1995"/>
    <w:rsid w:val="00EC269D"/>
    <w:rsid w:val="00EC3446"/>
    <w:rsid w:val="00EC4819"/>
    <w:rsid w:val="00EC4C5D"/>
    <w:rsid w:val="00EC4E49"/>
    <w:rsid w:val="00EC55A2"/>
    <w:rsid w:val="00EC595E"/>
    <w:rsid w:val="00EC7426"/>
    <w:rsid w:val="00ED77FB"/>
    <w:rsid w:val="00EE25DE"/>
    <w:rsid w:val="00EE3CE1"/>
    <w:rsid w:val="00EE5072"/>
    <w:rsid w:val="00EF0B94"/>
    <w:rsid w:val="00EF17AF"/>
    <w:rsid w:val="00EF3D6C"/>
    <w:rsid w:val="00EF4326"/>
    <w:rsid w:val="00EF6036"/>
    <w:rsid w:val="00F00DBC"/>
    <w:rsid w:val="00F012AE"/>
    <w:rsid w:val="00F01B39"/>
    <w:rsid w:val="00F021A6"/>
    <w:rsid w:val="00F05297"/>
    <w:rsid w:val="00F100C6"/>
    <w:rsid w:val="00F1242B"/>
    <w:rsid w:val="00F16C8C"/>
    <w:rsid w:val="00F2404A"/>
    <w:rsid w:val="00F24FB8"/>
    <w:rsid w:val="00F276FC"/>
    <w:rsid w:val="00F308E8"/>
    <w:rsid w:val="00F358CB"/>
    <w:rsid w:val="00F44774"/>
    <w:rsid w:val="00F504A8"/>
    <w:rsid w:val="00F5528E"/>
    <w:rsid w:val="00F641B2"/>
    <w:rsid w:val="00F65351"/>
    <w:rsid w:val="00F66152"/>
    <w:rsid w:val="00F72A88"/>
    <w:rsid w:val="00F774D1"/>
    <w:rsid w:val="00F7760B"/>
    <w:rsid w:val="00F8691D"/>
    <w:rsid w:val="00F9072D"/>
    <w:rsid w:val="00F94809"/>
    <w:rsid w:val="00F94C20"/>
    <w:rsid w:val="00FA40BF"/>
    <w:rsid w:val="00FA4937"/>
    <w:rsid w:val="00FA6AC1"/>
    <w:rsid w:val="00FB1CFC"/>
    <w:rsid w:val="00FC0139"/>
    <w:rsid w:val="00FC1417"/>
    <w:rsid w:val="00FC432D"/>
    <w:rsid w:val="00FC7FD3"/>
    <w:rsid w:val="00FD22B4"/>
    <w:rsid w:val="00FD494F"/>
    <w:rsid w:val="00FD5741"/>
    <w:rsid w:val="00FE0B98"/>
    <w:rsid w:val="00FE161C"/>
    <w:rsid w:val="00FE3173"/>
    <w:rsid w:val="00FF513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</w:tabs>
      <w:ind w:left="720" w:hanging="360"/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EC"/>
    <w:pPr>
      <w:ind w:left="720"/>
      <w:contextualSpacing/>
    </w:p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E2FEC"/>
  </w:style>
  <w:style w:type="character" w:customStyle="1" w:styleId="HeaderChar">
    <w:name w:val="Header Char"/>
    <w:link w:val="Header"/>
    <w:uiPriority w:val="99"/>
    <w:rsid w:val="009E2FEC"/>
    <w:rPr>
      <w:rFonts w:ascii="Arial" w:eastAsia="SimSun" w:hAnsi="Arial" w:cs="Arial"/>
      <w:sz w:val="22"/>
    </w:rPr>
  </w:style>
  <w:style w:type="paragraph" w:customStyle="1" w:styleId="RegLIST">
    <w:name w:val="*RegLIST"/>
    <w:link w:val="RegLISTChar"/>
    <w:rsid w:val="007759F6"/>
    <w:pPr>
      <w:numPr>
        <w:numId w:val="12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7759F6"/>
    <w:rPr>
      <w:rFonts w:ascii="Arial" w:hAnsi="Arial" w:cs="Arial"/>
      <w:sz w:val="22"/>
      <w:szCs w:val="22"/>
      <w:lang w:val="fr-CH" w:eastAsia="fr-CH"/>
    </w:rPr>
  </w:style>
  <w:style w:type="character" w:customStyle="1" w:styleId="CommentTextChar">
    <w:name w:val="Comment Text Char"/>
    <w:link w:val="CommentText"/>
    <w:semiHidden/>
    <w:rsid w:val="007759F6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7759F6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7759F6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7759F6"/>
    <w:pPr>
      <w:numPr>
        <w:numId w:val="15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7759F6"/>
    <w:rPr>
      <w:rFonts w:ascii="Arial" w:hAnsi="Arial" w:cs="Arial"/>
      <w:sz w:val="22"/>
      <w:szCs w:val="22"/>
      <w:lang w:val="fr-CH" w:eastAsia="fr-CH"/>
    </w:rPr>
  </w:style>
  <w:style w:type="paragraph" w:customStyle="1" w:styleId="1RuleText">
    <w:name w:val="1 RuleText"/>
    <w:basedOn w:val="Normal"/>
    <w:rsid w:val="007759F6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lang w:eastAsia="en-US"/>
    </w:rPr>
  </w:style>
  <w:style w:type="table" w:styleId="TableGrid">
    <w:name w:val="Table Grid"/>
    <w:basedOn w:val="TableNormal"/>
    <w:uiPriority w:val="59"/>
    <w:rsid w:val="00775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A7AED"/>
    <w:rPr>
      <w:rFonts w:ascii="Arial" w:eastAsia="SimSun" w:hAnsi="Arial" w:cs="Arial"/>
      <w:sz w:val="18"/>
    </w:rPr>
  </w:style>
  <w:style w:type="character" w:styleId="CommentReference">
    <w:name w:val="annotation reference"/>
    <w:rsid w:val="008E51E6"/>
    <w:rPr>
      <w:sz w:val="16"/>
      <w:szCs w:val="16"/>
    </w:rPr>
  </w:style>
  <w:style w:type="character" w:styleId="FootnoteReference">
    <w:name w:val="footnote reference"/>
    <w:rsid w:val="00E52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</w:tabs>
      <w:ind w:left="720" w:hanging="360"/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EC"/>
    <w:pPr>
      <w:ind w:left="720"/>
      <w:contextualSpacing/>
    </w:p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E2FEC"/>
  </w:style>
  <w:style w:type="character" w:customStyle="1" w:styleId="HeaderChar">
    <w:name w:val="Header Char"/>
    <w:link w:val="Header"/>
    <w:uiPriority w:val="99"/>
    <w:rsid w:val="009E2FEC"/>
    <w:rPr>
      <w:rFonts w:ascii="Arial" w:eastAsia="SimSun" w:hAnsi="Arial" w:cs="Arial"/>
      <w:sz w:val="22"/>
    </w:rPr>
  </w:style>
  <w:style w:type="paragraph" w:customStyle="1" w:styleId="RegLIST">
    <w:name w:val="*RegLIST"/>
    <w:link w:val="RegLISTChar"/>
    <w:rsid w:val="007759F6"/>
    <w:pPr>
      <w:numPr>
        <w:numId w:val="12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7759F6"/>
    <w:rPr>
      <w:rFonts w:ascii="Arial" w:hAnsi="Arial" w:cs="Arial"/>
      <w:sz w:val="22"/>
      <w:szCs w:val="22"/>
      <w:lang w:val="fr-CH" w:eastAsia="fr-CH"/>
    </w:rPr>
  </w:style>
  <w:style w:type="character" w:customStyle="1" w:styleId="CommentTextChar">
    <w:name w:val="Comment Text Char"/>
    <w:link w:val="CommentText"/>
    <w:semiHidden/>
    <w:rsid w:val="007759F6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7759F6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7759F6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7759F6"/>
    <w:pPr>
      <w:numPr>
        <w:numId w:val="15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7759F6"/>
    <w:rPr>
      <w:rFonts w:ascii="Arial" w:hAnsi="Arial" w:cs="Arial"/>
      <w:sz w:val="22"/>
      <w:szCs w:val="22"/>
      <w:lang w:val="fr-CH" w:eastAsia="fr-CH"/>
    </w:rPr>
  </w:style>
  <w:style w:type="paragraph" w:customStyle="1" w:styleId="1RuleText">
    <w:name w:val="1 RuleText"/>
    <w:basedOn w:val="Normal"/>
    <w:rsid w:val="007759F6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lang w:eastAsia="en-US"/>
    </w:rPr>
  </w:style>
  <w:style w:type="table" w:styleId="TableGrid">
    <w:name w:val="Table Grid"/>
    <w:basedOn w:val="TableNormal"/>
    <w:uiPriority w:val="59"/>
    <w:rsid w:val="00775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A7AED"/>
    <w:rPr>
      <w:rFonts w:ascii="Arial" w:eastAsia="SimSun" w:hAnsi="Arial" w:cs="Arial"/>
      <w:sz w:val="18"/>
    </w:rPr>
  </w:style>
  <w:style w:type="character" w:styleId="CommentReference">
    <w:name w:val="annotation reference"/>
    <w:rsid w:val="008E51E6"/>
    <w:rPr>
      <w:sz w:val="16"/>
      <w:szCs w:val="16"/>
    </w:rPr>
  </w:style>
  <w:style w:type="character" w:styleId="FootnoteReference">
    <w:name w:val="footnote reference"/>
    <w:rsid w:val="00E52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F7C2-83BB-4CF8-9E99-77A53749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46D80F1D</Template>
  <TotalTime>0</TotalTime>
  <Pages>10</Pages>
  <Words>3090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WO/CC/71/4, AMENDMENTS TO STAFF REGULATIONS AND RULES</vt:lpstr>
    </vt:vector>
  </TitlesOfParts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WO/CC/71/4, AMENDMENTS TO STAFF REGULATIONS AND RULES</dc:title>
  <dc:subject>WO/CC/71/4, AMENDMENTS TO STAFF REGULATIONS AND RULES</dc:subject>
  <dc:creator/>
  <cp:lastModifiedBy/>
  <cp:revision>1</cp:revision>
  <dcterms:created xsi:type="dcterms:W3CDTF">2016-08-08T13:55:00Z</dcterms:created>
  <dcterms:modified xsi:type="dcterms:W3CDTF">2016-08-11T15:24:00Z</dcterms:modified>
</cp:coreProperties>
</file>