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6EB64" w14:textId="3CAF26A5" w:rsidR="008B2CC1" w:rsidRPr="008B2CC1" w:rsidRDefault="00663B37" w:rsidP="00F11D94">
      <w:pPr>
        <w:spacing w:after="120"/>
        <w:jc w:val="right"/>
      </w:pPr>
      <w:r w:rsidRPr="0042194C">
        <w:rPr>
          <w:noProof/>
          <w:lang w:val="en-US"/>
        </w:rPr>
        <w:drawing>
          <wp:inline distT="0" distB="0" distL="0" distR="0" wp14:anchorId="266A612F" wp14:editId="5A1F085D">
            <wp:extent cx="3122295" cy="1409700"/>
            <wp:effectExtent l="0" t="0" r="1905" b="0"/>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rotWithShape="1">
                    <a:blip r:embed="rId13">
                      <a:extLst>
                        <a:ext uri="{28A0092B-C50C-407E-A947-70E740481C1C}">
                          <a14:useLocalDpi xmlns:a14="http://schemas.microsoft.com/office/drawing/2010/main" val="0"/>
                        </a:ext>
                      </a:extLst>
                    </a:blip>
                    <a:srcRect l="3815" t="9113" b="4440"/>
                    <a:stretch>
                      <a:fillRect/>
                    </a:stretch>
                  </pic:blipFill>
                  <pic:spPr bwMode="auto">
                    <a:xfrm>
                      <a:off x="0" y="0"/>
                      <a:ext cx="3122295" cy="1409700"/>
                    </a:xfrm>
                    <a:prstGeom prst="rect">
                      <a:avLst/>
                    </a:prstGeom>
                    <a:noFill/>
                    <a:ln>
                      <a:noFill/>
                    </a:ln>
                    <a:extLst>
                      <a:ext uri="{53640926-AAD7-44D8-BBD7-CCE9431645EC}">
                        <a14:shadowObscured xmlns:a14="http://schemas.microsoft.com/office/drawing/2010/main"/>
                      </a:ext>
                    </a:extLst>
                  </pic:spPr>
                </pic:pic>
              </a:graphicData>
            </a:graphic>
          </wp:inline>
        </w:drawing>
      </w:r>
      <w:r w:rsidR="002C692A">
        <w:rPr>
          <w:rFonts w:ascii="Arial Black" w:hAnsi="Arial Black"/>
          <w:caps/>
          <w:noProof/>
          <w:sz w:val="15"/>
        </w:rPr>
        <mc:AlternateContent>
          <mc:Choice Requires="wps">
            <w:drawing>
              <wp:inline distT="0" distB="0" distL="0" distR="0" wp14:anchorId="34A13477" wp14:editId="773B656E">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21F5703"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4F12E20" w14:textId="16D54C44" w:rsidR="008B2CC1" w:rsidRPr="001024FE" w:rsidRDefault="00F72EF0" w:rsidP="001024FE">
      <w:pPr>
        <w:jc w:val="right"/>
        <w:rPr>
          <w:rFonts w:ascii="Arial Black" w:hAnsi="Arial Black"/>
          <w:caps/>
          <w:sz w:val="15"/>
          <w:szCs w:val="15"/>
        </w:rPr>
      </w:pPr>
      <w:r>
        <w:rPr>
          <w:rFonts w:ascii="Arial Black" w:hAnsi="Arial Black"/>
          <w:caps/>
          <w:sz w:val="15"/>
        </w:rPr>
        <w:t>PCT/A/58/</w:t>
      </w:r>
      <w:bookmarkStart w:id="0" w:name="Code"/>
      <w:bookmarkEnd w:id="0"/>
      <w:r>
        <w:rPr>
          <w:rFonts w:ascii="Arial Black" w:hAnsi="Arial Black"/>
          <w:caps/>
          <w:sz w:val="15"/>
        </w:rPr>
        <w:t>4 PROV.</w:t>
      </w:r>
    </w:p>
    <w:p w14:paraId="03835074" w14:textId="42F55CDC" w:rsidR="00CE65D4" w:rsidRPr="00CE65D4" w:rsidRDefault="00CE65D4" w:rsidP="00CE65D4">
      <w:pPr>
        <w:jc w:val="right"/>
        <w:rPr>
          <w:rFonts w:ascii="Arial Black" w:hAnsi="Arial Black"/>
          <w:caps/>
          <w:sz w:val="15"/>
          <w:szCs w:val="15"/>
        </w:rPr>
      </w:pPr>
      <w:r>
        <w:rPr>
          <w:rFonts w:ascii="Arial Black" w:hAnsi="Arial Black"/>
          <w:caps/>
          <w:sz w:val="15"/>
        </w:rPr>
        <w:t xml:space="preserve">ОРИГИНАЛ: </w:t>
      </w:r>
      <w:bookmarkStart w:id="1" w:name="Original"/>
      <w:r>
        <w:rPr>
          <w:rFonts w:ascii="Arial Black" w:hAnsi="Arial Black"/>
          <w:caps/>
          <w:sz w:val="15"/>
        </w:rPr>
        <w:t>английский</w:t>
      </w:r>
    </w:p>
    <w:bookmarkEnd w:id="1"/>
    <w:p w14:paraId="5FB228E9" w14:textId="59F82A21" w:rsidR="008B2CC1" w:rsidRPr="00CE65D4" w:rsidRDefault="00CE65D4" w:rsidP="00CE65D4">
      <w:pPr>
        <w:spacing w:after="1200"/>
        <w:jc w:val="right"/>
        <w:rPr>
          <w:rFonts w:ascii="Arial Black" w:hAnsi="Arial Black"/>
          <w:caps/>
          <w:sz w:val="15"/>
          <w:szCs w:val="15"/>
        </w:rPr>
      </w:pPr>
      <w:r>
        <w:rPr>
          <w:rFonts w:ascii="Arial Black" w:hAnsi="Arial Black"/>
          <w:caps/>
          <w:sz w:val="15"/>
        </w:rPr>
        <w:t xml:space="preserve">ДАТА: </w:t>
      </w:r>
      <w:bookmarkStart w:id="2" w:name="Date"/>
      <w:r>
        <w:rPr>
          <w:rFonts w:ascii="Arial Black" w:hAnsi="Arial Black"/>
          <w:caps/>
          <w:sz w:val="15"/>
        </w:rPr>
        <w:t>14 августа 2026 года</w:t>
      </w:r>
    </w:p>
    <w:bookmarkEnd w:id="2"/>
    <w:p w14:paraId="50D86A61" w14:textId="77777777" w:rsidR="008B2CC1" w:rsidRPr="003845C1" w:rsidRDefault="00F72EF0" w:rsidP="00CE65D4">
      <w:pPr>
        <w:spacing w:after="600"/>
        <w:rPr>
          <w:b/>
          <w:sz w:val="28"/>
          <w:szCs w:val="28"/>
        </w:rPr>
      </w:pPr>
      <w:r>
        <w:rPr>
          <w:b/>
          <w:sz w:val="28"/>
        </w:rPr>
        <w:t>Международный союз патентной кооперации (Союз PCT)</w:t>
      </w:r>
    </w:p>
    <w:p w14:paraId="1975EF1F" w14:textId="77777777" w:rsidR="00A85B8E" w:rsidRPr="00A85B8E" w:rsidRDefault="00A85B8E" w:rsidP="00AF5C73">
      <w:pPr>
        <w:spacing w:after="720"/>
        <w:rPr>
          <w:b/>
          <w:sz w:val="28"/>
          <w:szCs w:val="28"/>
        </w:rPr>
      </w:pPr>
      <w:r>
        <w:rPr>
          <w:b/>
          <w:sz w:val="28"/>
        </w:rPr>
        <w:t>Ассамблея</w:t>
      </w:r>
    </w:p>
    <w:p w14:paraId="5C63309B" w14:textId="77777777" w:rsidR="008B2CC1" w:rsidRPr="003845C1" w:rsidRDefault="00771EAF" w:rsidP="008B2CC1">
      <w:pPr>
        <w:rPr>
          <w:b/>
          <w:sz w:val="24"/>
          <w:szCs w:val="24"/>
        </w:rPr>
      </w:pPr>
      <w:r>
        <w:rPr>
          <w:b/>
          <w:sz w:val="24"/>
        </w:rPr>
        <w:t>Пятьдесят восьмая (33-я внеочередная) сессия</w:t>
      </w:r>
    </w:p>
    <w:p w14:paraId="644C9AED" w14:textId="77777777" w:rsidR="008B2CC1" w:rsidRPr="009F3BF9" w:rsidRDefault="00F72EF0" w:rsidP="00CE65D4">
      <w:pPr>
        <w:spacing w:after="720"/>
      </w:pPr>
      <w:r>
        <w:rPr>
          <w:b/>
          <w:sz w:val="24"/>
        </w:rPr>
        <w:t>Женева, 7–15 июля 2026 года</w:t>
      </w:r>
    </w:p>
    <w:p w14:paraId="69E05029" w14:textId="74D75061" w:rsidR="008B2CC1" w:rsidRPr="009F3BF9" w:rsidRDefault="00264B0C" w:rsidP="00CE65D4">
      <w:pPr>
        <w:spacing w:after="360"/>
        <w:rPr>
          <w:caps/>
          <w:sz w:val="24"/>
        </w:rPr>
      </w:pPr>
      <w:bookmarkStart w:id="3" w:name="TitleOfDoc"/>
      <w:r>
        <w:rPr>
          <w:caps/>
          <w:sz w:val="24"/>
        </w:rPr>
        <w:t>Проект отчета</w:t>
      </w:r>
    </w:p>
    <w:p w14:paraId="5D701B78" w14:textId="46C2A2A0" w:rsidR="008B2CC1" w:rsidRPr="004D39C4" w:rsidRDefault="00055AB1" w:rsidP="00CE65D4">
      <w:pPr>
        <w:spacing w:after="960"/>
        <w:rPr>
          <w:i/>
        </w:rPr>
      </w:pPr>
      <w:bookmarkStart w:id="4" w:name="Prepared"/>
      <w:bookmarkEnd w:id="3"/>
      <w:r>
        <w:rPr>
          <w:i/>
        </w:rPr>
        <w:t>подготовлен Секретариатом</w:t>
      </w:r>
    </w:p>
    <w:bookmarkEnd w:id="4"/>
    <w:p w14:paraId="5EEFEF8D" w14:textId="2A04E7FE" w:rsidR="00055AB1" w:rsidRPr="00055AB1" w:rsidRDefault="00055AB1" w:rsidP="00055AB1">
      <w:pPr>
        <w:pStyle w:val="ONUME"/>
      </w:pPr>
      <w:r>
        <w:t xml:space="preserve">Ассамблея занималась следующими пунктами сводной повестки дня (документ </w:t>
      </w:r>
      <w:hyperlink r:id="rId14" w:history="1">
        <w:r w:rsidRPr="00D751F0">
          <w:rPr>
            <w:rStyle w:val="Hyperlink"/>
          </w:rPr>
          <w:t>A/68/1</w:t>
        </w:r>
      </w:hyperlink>
      <w:r>
        <w:t>): 1–4, 6, 9(ii), 10, 12, 18, 22 и 23.</w:t>
      </w:r>
    </w:p>
    <w:p w14:paraId="35C5CDD6" w14:textId="44BE2044" w:rsidR="00055AB1" w:rsidRDefault="00055AB1" w:rsidP="00055AB1">
      <w:pPr>
        <w:pStyle w:val="ONUME"/>
      </w:pPr>
      <w:r>
        <w:t>Отчет об обсуждении указанных пунктов, за исключением пункта</w:t>
      </w:r>
      <w:r w:rsidR="000B7098">
        <w:rPr>
          <w:lang w:val="en-GB"/>
        </w:rPr>
        <w:t> </w:t>
      </w:r>
      <w:r>
        <w:t>12, содержится в Общем отчете (документ A/68/10 Prov.).</w:t>
      </w:r>
    </w:p>
    <w:p w14:paraId="00766DE0" w14:textId="754C79CD" w:rsidR="00055AB1" w:rsidRDefault="00055AB1" w:rsidP="00055AB1">
      <w:pPr>
        <w:pStyle w:val="ONUME"/>
      </w:pPr>
      <w:r>
        <w:t>Отчет по пункту 12 содержится в настоящем документе.</w:t>
      </w:r>
    </w:p>
    <w:p w14:paraId="5A61E9C3" w14:textId="2E2275E3" w:rsidR="00055AB1" w:rsidRDefault="00AA0278" w:rsidP="00055AB1">
      <w:pPr>
        <w:pStyle w:val="ONUME"/>
        <w:spacing w:after="480"/>
      </w:pPr>
      <w:bookmarkStart w:id="5" w:name="_Hlk168905055"/>
      <w:r>
        <w:t>Заседание проходило под председательством</w:t>
      </w:r>
      <w:bookmarkEnd w:id="5"/>
      <w:r>
        <w:t xml:space="preserve"> г-на Константиноса ГЕОРГАРАСА (Канада), Председателя Ассамблеи Союза РСТ.</w:t>
      </w:r>
    </w:p>
    <w:p w14:paraId="7951D14D" w14:textId="77777777" w:rsidR="00055AB1" w:rsidRDefault="00055AB1" w:rsidP="00055AB1">
      <w:pPr>
        <w:rPr>
          <w:bCs/>
          <w:iCs/>
          <w:caps/>
          <w:szCs w:val="28"/>
        </w:rPr>
      </w:pPr>
      <w:r>
        <w:br w:type="page"/>
      </w:r>
    </w:p>
    <w:p w14:paraId="52D77F1E" w14:textId="5F4A0A3A" w:rsidR="00055AB1" w:rsidRDefault="00055AB1" w:rsidP="00055AB1">
      <w:pPr>
        <w:pStyle w:val="Heading2"/>
      </w:pPr>
      <w:r>
        <w:lastRenderedPageBreak/>
        <w:t>Пункт 12 сводной повестки дня</w:t>
      </w:r>
    </w:p>
    <w:p w14:paraId="30347D63" w14:textId="77777777" w:rsidR="00055AB1" w:rsidRDefault="00055AB1" w:rsidP="00055AB1">
      <w:pPr>
        <w:pStyle w:val="Heading2"/>
        <w:spacing w:after="220"/>
      </w:pPr>
      <w:r>
        <w:t>Система PCT</w:t>
      </w:r>
    </w:p>
    <w:p w14:paraId="6B7456DC" w14:textId="208EE6DB" w:rsidR="00055AB1" w:rsidRDefault="00055AB1" w:rsidP="00055AB1">
      <w:pPr>
        <w:pStyle w:val="Heading3"/>
        <w:spacing w:after="220"/>
      </w:pPr>
      <w:r>
        <w:t>Предлагаемые поправки к Инструкции к РСТ и изменения к Директивным указаниям Ассамблеи Союза РСТ</w:t>
      </w:r>
    </w:p>
    <w:p w14:paraId="65C5EAB7" w14:textId="7C411E4A" w:rsidR="00055AB1" w:rsidRPr="005969EF" w:rsidRDefault="00055AB1" w:rsidP="00055AB1">
      <w:pPr>
        <w:pStyle w:val="ONUME"/>
      </w:pPr>
      <w:r>
        <w:t xml:space="preserve">Обсуждения проходили на основе документа </w:t>
      </w:r>
      <w:hyperlink r:id="rId15" w:history="1">
        <w:r>
          <w:rPr>
            <w:rStyle w:val="Hyperlink"/>
          </w:rPr>
          <w:t>PCT/A/58/1</w:t>
        </w:r>
      </w:hyperlink>
      <w:r>
        <w:t>.</w:t>
      </w:r>
    </w:p>
    <w:p w14:paraId="039851F3" w14:textId="072B4D3A" w:rsidR="003724D5" w:rsidRDefault="002E688A" w:rsidP="001601E3">
      <w:pPr>
        <w:pStyle w:val="ONUME"/>
      </w:pPr>
      <w:hyperlink r:id="rId16">
        <w:r>
          <w:rPr>
            <w:rStyle w:val="Hyperlink"/>
          </w:rPr>
          <w:t>СЕКРЕТАРИАТ</w:t>
        </w:r>
      </w:hyperlink>
      <w:r>
        <w:t>: В документе PCT/A/58/1 изложены четыре блока предлагаемых поправок к Инструкции к Договору о патентной кооперации (PCT), а также предлагаемые поправки к Директивным указаниям Ассамблеи Союза PCT. Все представленные предложения были рассмотрены и одобрены Рабочей группой по PCT или Комитетом по техническому сотрудничеству. Секретариат представил эти предложения по порядку, начав с предлагаемых поправок к Инструкции к PCT. Поправки, предлагаемые в приложении I, касаются электронной обработки международных заявок. Предложения предусматривают введение требования указывать адрес электронной почты и номер телефона как минимум одного лица, которому должна направляться корреспонденция, в целях содействия обработке международных заявок, позволяют исключать определенные персональные данные из открытого доступа и создают основу для регистрации Международным бюро изменений адреса для целей переписки по истечении 30 месяцев с даты приоритета. Поправки, предлагаемые в приложении II, направлены на исправление текста правила 26.3</w:t>
      </w:r>
      <w:r>
        <w:rPr>
          <w:i/>
        </w:rPr>
        <w:t>ter</w:t>
      </w:r>
      <w:r>
        <w:t xml:space="preserve"> на французском языке, касающегося случаев, когда Получающее ведомство предлагает исправить недостатки, связанные с установленным языком международной заявки. Поправки, предлагаемые в приложении III, уточняют порядок рассмотрения международной заявки, считающейся изъятой вследствие непредставления электронной копии заявки, которая была подана на бумажном носителе, после того как Получающее ведомство направило соответствующее предложение. Поправки, предлагаемые в приложении IV, позволят использовать формат проектов соглашений в соответствии со статьями 16(3)(b) и 32(3) между Международным бюро и каждым ведомством или организацией, выполняющими функции Международного органа, которые предлагаются в приложениях к документу PCT/A/58/2. Положения о вступлении в силу и переходные положения в отношении этих положений изложены в пункте 4 указанного документа. Предлагается, чтобы они вступили в силу 1 июля 2027 года, за исключением положений, касающихся формата проектов соглашений по статьям 16(3)(b) и 32(3), которые вступят в силу 1 января 2028 года, что соответствует предлагаемой дате вступления в силу новых соглашений, указанной в документе PCT/A/58/2. Переходя к предлагаемым поправкам к Директивным указаниям Ассамблеи Союза PCT, касающимся установления эквивалентного размера некоторых пошлин, следует отметить, что они изложены в приложении VI. Цель этих предложений состоит в упрощении процесса установления эквивалентных размеров пошлин PCT в различных валютах, устранении ненужных действий со стороны Международного бюро и Получающих ведомств и сокращении периода между изменением валютных курсов и вступлением в силу новых эквивалентных размеров пошлин. Предлагаемой датой вступления в силу поправок к Директивным указаниям является 1 января 2027 года при условии соблюдения исключений, изложенных в пункте 7 документа, которые регулируют переход от действующей редакции Директивных указаний к измененной редакции. В указанном пункте также предлагается, чтобы Ассамблея поручила Рабочей группе по PCT провести обзор Директивных указаний через два года после их вступления в силу с целью рассмотрения дополнительных мер по упрощению процесса установления эквивалентных размеров пошлин, которые могли бы еще более повысить эффективность данной процедуры. </w:t>
      </w:r>
    </w:p>
    <w:p w14:paraId="4AE7930C" w14:textId="2C102497" w:rsidR="00AF1FDF" w:rsidRDefault="00AF1FDF" w:rsidP="008A658C">
      <w:pPr>
        <w:pStyle w:val="ONUME"/>
      </w:pPr>
      <w:hyperlink r:id="rId17">
        <w:r>
          <w:rPr>
            <w:rStyle w:val="Hyperlink"/>
          </w:rPr>
          <w:t>ИРЛАНДИЯ</w:t>
        </w:r>
      </w:hyperlink>
      <w:r>
        <w:t>:</w:t>
      </w:r>
      <w:r w:rsidR="002517DB" w:rsidRPr="002517DB">
        <w:t xml:space="preserve"> </w:t>
      </w:r>
      <w:r>
        <w:t xml:space="preserve">Европейский союз и его государства-члены придают большое значение системе PCT, которая является одним из краеугольных элементов работы ВОИС. Ее </w:t>
      </w:r>
      <w:r>
        <w:lastRenderedPageBreak/>
        <w:t>Рабочая группа играет важнейшую роль в поддержании эффективного функционирования данной системы и обеспечении ее соответствия поставленным задачам. Как и другие технические органы ВОИС, она играет существенную роль в поддержании и модернизации регистрационных систем ВОИС. В этой связи делегация с сожалением отметила, что в рамках девятнадцатой сессии Рабочая группа по PCT не смогла принять повестку дня и вследствие этого не смогла приступить к рассмотрению вопросов по существу. Подобные процедурные тупиковые ситуации могут подорвать эффективное функционирование соответствующих систем, а также доверие к ВОИС как к эффективному и надлежащим образом функционирующему многостороннему форуму, который выполняет свои основные функции. Европейский союз и его государства-члены надеются, что в духе диалога и сотрудничества удастся найти практическое решение, которое позволит Рабочей группе по PCT как можно скорее возобновить свою техническую работу. В этой связи делегация подчеркнула, что согласованное заявление, изложенное в сноске 4 к статье 7 Договора ВОИС об интеллектуальной собственности, генетических ресурсах и традиционных знаниях, связанных с генетическими ресурсами (Договор ВОИС о ГР и сТЗ), должно реализовываться в полной мере. Европейский союз и его государства-члены по-прежнему привержены конструктивному участию в обсуждениях с тем, чтобы продолжать целенаправленно работать в рамках основной миссии Рабочей группы по PCT, заключающейся, в частности, в обеспечении бесперебойного, эффективного и результативного функционирования системы PCT. В этой связи Европейский союз и его государства-члены поддерживают принятие предлагаемых поправок к Инструкции к PCT, рекомендованных Рабочей группой по PCT на ее восемнадцатой сессии.</w:t>
      </w:r>
    </w:p>
    <w:p w14:paraId="35B960D2" w14:textId="7FC6545A" w:rsidR="007A4AD8" w:rsidRDefault="00C7491B" w:rsidP="008A658C">
      <w:pPr>
        <w:pStyle w:val="ONUME"/>
      </w:pPr>
      <w:hyperlink r:id="rId18">
        <w:r>
          <w:rPr>
            <w:rStyle w:val="Hyperlink"/>
          </w:rPr>
          <w:t>БРАЗИЛИЯ</w:t>
        </w:r>
      </w:hyperlink>
      <w:r>
        <w:t xml:space="preserve">: Делегация Бразилии заявила о том, что поддерживает все документы, рассматриваемые в рамках текущей повестки дня. В частности, делегация отметила продление срока назначения Национального института промышленной собственности Бразилии (INPI) в качестве Международного поискового органа и Органа международной предварительной экспертизы (МПО/ОМПЭ) в рамках PCT, о чем говорилось в приложении III к документу PCT/A/58/2. Что касается работы Рабочей группы по PCT, делегация Бразилии пожелала напомнить о гибкости и чувстве ответственности, продемонстрированных ею, благодаря которым предложения о внесении поправок, содержащиеся в документе PCT/A/58/1 и только что представленные заместителем Генерального директора Лизой Джоргенсон, были вынесены на рассмотрение настоящей Ассамблеи Союза PCT. В ходе подготовки девятнадцатой сессии Рабочей группы по PCT делегация Бразилии выполнила все процедурные требования, необходимые для внесения предложения о включении в повестку дня пункта, посвященного Договору ВОИС о ГР и сТЗ. Данный пункт был надлежащим образом отражен в проекте повестки дня девятнадцатой сессии Рабочей группы, содержащемся в документе </w:t>
      </w:r>
      <w:hyperlink r:id="rId19" w:history="1">
        <w:r>
          <w:rPr>
            <w:rStyle w:val="Hyperlink"/>
            <w:color w:val="auto"/>
            <w:u w:val="none"/>
          </w:rPr>
          <w:t>PCT/WG/19/1 Prov.</w:t>
        </w:r>
      </w:hyperlink>
      <w:hyperlink r:id="rId20" w:history="1">
        <w:r>
          <w:rPr>
            <w:rStyle w:val="Hyperlink"/>
            <w:color w:val="auto"/>
            <w:u w:val="none"/>
          </w:rPr>
          <w:t>2</w:t>
        </w:r>
      </w:hyperlink>
      <w:r>
        <w:t xml:space="preserve">. Кроме того, делегация Бразилии при поддержке Группы стран Латинской Америки и Карибского бассейна (ГРУЛАК) представила предложение, содержащееся в документе </w:t>
      </w:r>
      <w:hyperlink r:id="rId21" w:history="1">
        <w:r>
          <w:rPr>
            <w:rStyle w:val="Hyperlink"/>
            <w:color w:val="auto"/>
            <w:u w:val="none"/>
          </w:rPr>
          <w:t>PCT/WG/19/10</w:t>
        </w:r>
      </w:hyperlink>
      <w:r>
        <w:t xml:space="preserve">, что вновь свидетельствует о проявляемой делегацией гибкости. Указанный документ содержал предложение о начале обсуждений в Рабочей группе по PCT на той сессии, которая последует за десятой по счету ратификацией Договора ВОИС о ГР и сТЗ или присоединением к нему, на основе подготовленной Международным бюро технической и правовой оценки необходимости внесения поправок в Инструкцию к PCT и/или Административную инструкцию в свете Договора ВОИС о ГР и сТЗ. Как делегация последовательно подчеркивала, любая предварительная техническая работа в этом консультативном органе не предрешала бы вопроса о необходимости внесения поправок в Инструкцию к PCT или Административную инструкцию. Такие обсуждения лишь способствовали бы проведению Ассамблеей PCT информированного рассмотрения вопросов в соответствии с согласованным заявлением по статье 7 Договора ВОИС о ГР и сТЗ, которое было принято консенсусом всеми государствами — членами ВОИС в 2024 году. В связи с этим делегация выразила сожаление по поводу того, что Рабочая группа завершила свою девятнадцатую сессию, так и не сумев даже приступить к своей </w:t>
      </w:r>
      <w:r>
        <w:lastRenderedPageBreak/>
        <w:t>технической работе. Бразилия заявила, что остается всецело приверженной конструктивной работе с другими участниками, Секретариатом и всеми делегациями в целях обеспечения того, чтобы Рабочая группа по PCT могла выполнять свою роль площадки для инклюзивного и уважительного диалога.</w:t>
      </w:r>
    </w:p>
    <w:p w14:paraId="39B78458" w14:textId="4F1FF036" w:rsidR="00B67B5F" w:rsidRDefault="007A4AD8" w:rsidP="003C2535">
      <w:pPr>
        <w:pStyle w:val="ONUME"/>
      </w:pPr>
      <w:hyperlink r:id="rId22">
        <w:r>
          <w:rPr>
            <w:rStyle w:val="Hyperlink"/>
          </w:rPr>
          <w:t>САЛЬВАДОР</w:t>
        </w:r>
      </w:hyperlink>
      <w:r>
        <w:t>: Делегация Сальвадора сообщила, что имеет честь выступать от имени ГРУЛАК. Делегация выразила всеобъемлющую поддержку назначению Мексиканского института промышленной собственности (IMPI) в качестве МПО/ОМПЭ по PCT, поскольку такое назначение будет способствовать укреплению системы PCT и расширению доступа к ней, а также ее эффективному использованию в регионе. Соответственно, делегация призвала Ассамблею Союза PCT назначить IMPI в качестве МПО/ОМПЭ. Делегация также решительно поддержала продление сроков назначений INPI и Национального института промышленной собственности Чили (INAPI), признавая их техническую компетентность и ценный вклад в эффективное и высококачественное функционирование системы PCT. В связи мы призываем Ассамблею Союза PCT продлить сроки назначения INPI и INAPI в качестве МПО/ОМПЭ до 2037 года. Наша Группа также поддерживает предложение о начале технических обсуждений, которые позволят государствам-членам в полной мере ознакомиться с возможными поправками к Инструкции к PCT и Административной инструкции в свете Договора ВОИС о ГР и сТЗ. В этой связи мы считаем, что отсутствие консенсуса не должно препятствовать проведению таких обсуждений или ограничивать нормальный ход обсуждений между государствами-членами. ГРУЛАК вновь подчеркнула важность сохранения принципов, регулирующих функционирование многосторонних организаций, в частности права государств-членов предлагать и включать в повестку дня вопросы, представляющие для них интерес, для их надлежащего рассмотрения.</w:t>
      </w:r>
    </w:p>
    <w:p w14:paraId="2369A7EB" w14:textId="53AC0131" w:rsidR="007A4AD8" w:rsidRDefault="009B697A" w:rsidP="008A658C">
      <w:pPr>
        <w:pStyle w:val="ONUME"/>
      </w:pPr>
      <w:hyperlink r:id="rId23">
        <w:r>
          <w:rPr>
            <w:rStyle w:val="Hyperlink"/>
          </w:rPr>
          <w:t>ГЕРМАНИЯ</w:t>
        </w:r>
      </w:hyperlink>
      <w:r>
        <w:t>: Группа B считает, что Рабочей группе по PCT и Ассамблее преждевременно обсуждать поправки к Инструкции к PCT, обусловленные Договором ВОИС о ГР и сТЗ. Мы напоминаем государствам-членам, что сноска в Договоре содержит предложение к Договаривающимся сторонам рассмотреть необходимость внесения таких поправок. Такое обсуждение может состояться лишь после вступления Договора в силу и появления Договаривающихся сторон Договора, которые обратятся к Союзу PCT с просьбой о проведении такого обсуждения. Мы выражаем сожаление в связи с тем, что работа Рабочей группы по PCT была приостановлена. Данный орган должен оставаться техническим органом, сосредоточенным на обеспечении эффективного функционирования системы PCT. Недопустимо, чтобы такие обсуждения не могли состояться вследствие настойчивого требования некоторых государств-членов провести преждевременное обсуждение.</w:t>
      </w:r>
    </w:p>
    <w:p w14:paraId="2F4175F9" w14:textId="5CF88D5B" w:rsidR="004E189E" w:rsidRPr="00937659" w:rsidRDefault="007C47A8" w:rsidP="008A658C">
      <w:pPr>
        <w:pStyle w:val="ONUME"/>
      </w:pPr>
      <w:hyperlink r:id="rId24">
        <w:r w:rsidRPr="00937659">
          <w:rPr>
            <w:rStyle w:val="Hyperlink"/>
          </w:rPr>
          <w:t>РОССИЙСКАЯ ФЕДЕРАЦИЯ</w:t>
        </w:r>
      </w:hyperlink>
      <w:r w:rsidRPr="00937659">
        <w:t xml:space="preserve">: Российская Федерация имеет честь представить заявление от имени Группы стран Центральной Азии, Кавказа и Восточной Европы (ГЦАКВЕ). Выражаем большую благодарность заместителю Генерального директора г-же Джоргенсон и Секретариату за подготовку документа PCT/A/58/1 относительно поправок в Инструкции к PCT. Мы считаем, что внесение предлагаемых поправок положительно скажется на совершенствовании административных процедур, повышении эффективности взаимодействия с заявителями и обеспечении надлежащей защиты персональных данных в рамках международной патентной системы. Приветствует также рекомендацию Комитета РСТ по техническому сотрудничеству о продлении назначения 25 действующих МПО/ОМПЭ на новых срок, до 31 декабря 2037 года.  Поддерживаем, в частности, продление полномочий Федеральной службы по интеллектуальной собственности (Роспатента) и Евразийского патентного ведомства (ЕАПО) в качестве МПО/ОМПЭ, деятельность которых играет важную роль в эффективном функционировании патентной системы в Евразийском регионе.  </w:t>
      </w:r>
    </w:p>
    <w:p w14:paraId="61DE5FE1" w14:textId="1BBA062C" w:rsidR="0070383F" w:rsidRDefault="00BB0924" w:rsidP="003C2535">
      <w:pPr>
        <w:pStyle w:val="ONUME"/>
      </w:pPr>
      <w:r>
        <w:rPr>
          <w:rStyle w:val="Hyperlink"/>
        </w:rPr>
        <w:lastRenderedPageBreak/>
        <w:t>КИТАЙ:</w:t>
      </w:r>
      <w:r>
        <w:t xml:space="preserve"> Китай поддерживает дальнейшее совершенствование Инструкции к PCT. Предлагаемые поправки будут способствовать повышению эффективности обработки международных заявок и удобства системы PCT для пользователей. Кроме того, благодаря им у Получающих ведомств и заявителей будут иметься более четкие и предсказуемые правила. Китай рассчитывает на дальнейшее совершенствование системы PCT, с тем чтобы она могла предоставлять пользователям во всем мире услуги еще более высокого качества.</w:t>
      </w:r>
    </w:p>
    <w:p w14:paraId="6642E6B3" w14:textId="149E486B" w:rsidR="00BB0924" w:rsidRDefault="008E04D8" w:rsidP="003C2535">
      <w:pPr>
        <w:pStyle w:val="ONUME"/>
      </w:pPr>
      <w:hyperlink r:id="rId25">
        <w:r>
          <w:rPr>
            <w:rStyle w:val="Hyperlink"/>
          </w:rPr>
          <w:t>РЕСПУБЛИКА КОРЕЯ</w:t>
        </w:r>
      </w:hyperlink>
      <w:r>
        <w:t>: Делегация Республики Корея выражает благодарность Международному бюро, Рабочей группе по PCT и Комитету PCT по техническому сотрудничеству за внимательную работу над представленными на наше рассмотрение документами. Мы приветствуем предлагаемые поправки к Инструкции к PCT, которые обеспечивают сбалансированное совершенствование в области защиты персональных данных, повышения эффективности патентного делопроизводства и прозрачности патентной информации. Благодаря тому, что информация, которая ранее помещалась в приложения к соглашениям, будет напрямую публиковаться в Бюллетене PCT, сведения оперативного характера, касающиеся Международных поисковых органов, смогут обновляться быстрее и более прозрачно. Эти поправки поспособствуют укреплению прав заявителей и одновременно  дальнейшему повышению надежности и доступности системы международной подачи заявок. Следовательно, наша делегация полностью поддерживает данные поправки и выступает за их принятие в качестве практического шага на пути модернизации системы PCT и повышения удобства ее использования. Вместе с тем обсуждение возможных поправок к Инструкции к PCT в связи с Договором ВОИС о ГР и сТЗ с правовой точки зрения является преждевременным. С учетом текущего статуса этого Договора мы не считаем, что дальнейшее обсуждение данного вопроса на текущем этапе будет способствовать продуктивной работе Рабочей группы. Мы полагаем, что время и ресурсы Рабочей группы целесообразнее направить на практические и реализуемые усовершенствования, которые могут быть осуществлены в рамках действующей системы PCT. Такой подход будет в большей степени отвечать интересам эффективного функционирования системы PCT и интересам ее пользователей. В этой связи мы надеемся, что Рабочая группа продолжит конструктивным, целенаправленным и эффективным образом продвигать свою основную повестку дня.</w:t>
      </w:r>
    </w:p>
    <w:p w14:paraId="66EC71FE" w14:textId="7EA9DBED" w:rsidR="00E73798" w:rsidRDefault="008F6D10" w:rsidP="008A658C">
      <w:pPr>
        <w:pStyle w:val="ONUME"/>
      </w:pPr>
      <w:hyperlink r:id="rId26">
        <w:r>
          <w:rPr>
            <w:rStyle w:val="Hyperlink"/>
          </w:rPr>
          <w:t>ШВЕЙЦАРИЯ</w:t>
        </w:r>
      </w:hyperlink>
      <w:r>
        <w:t>: Швейцария глубоко обеспокоена текущей приостановкой функционирования Рабочей группы по PCT. PCT является движущей силой деятельности данной Организации. Мы призываем все делегации проявить конструктивный подход на следующей сессии Рабочей группы. Что касается Договора ВОИС о ГР и сТЗ, то Швейцария в принципе открыта для проведения предварительных обсуждений в Рабочей группе до вступления этого Договора в силу. При этом основное внимание должно быть сосредоточено на выяснении того, может ли цель согласованного заявления, содержащегося в Договоре о ГР и сТЗ, быть достигнута путем внесения поправок на уровне Административной инструкции. Однако на данном этапе мы не убеждены в том, что какие-либо поправки вообще необходимы. Поэтому мы не поддержали бы какое-либо конкретное предложение о внесении поправок.</w:t>
      </w:r>
    </w:p>
    <w:p w14:paraId="741C2478" w14:textId="705BEBB2" w:rsidR="00D71F68" w:rsidRDefault="007800AC" w:rsidP="008A658C">
      <w:pPr>
        <w:pStyle w:val="ONUME"/>
      </w:pPr>
      <w:hyperlink r:id="rId27">
        <w:r>
          <w:rPr>
            <w:rStyle w:val="Hyperlink"/>
          </w:rPr>
          <w:t>КОРЕЙСКАЯ НАРОДНО-ДЕМОКРАТИЧЕСКАЯ РЕСПУБЛИКА</w:t>
        </w:r>
      </w:hyperlink>
      <w:r>
        <w:t>: Что касается системы PCT, то внесение изменений в административные руководящие принципы с целью оптимизации излишних процедур в Международном бюро, связанных с уплатой пошлин, является весьма важным вопросом, поскольку это позволит в максимальной степени учитывать интересы заявителей на патенты и устранить нестандартные проблемы, связанные с уплатой пошлин. Кроме того, необходимо провести обзор положений Инструкции на иностранных языках, применяемых соответствующими странами и регионами, в связи с вопросом о некоторых поправках к тексту положений Инструкции к PCT на французском языке.</w:t>
      </w:r>
    </w:p>
    <w:p w14:paraId="7ECFCADA" w14:textId="4611F216" w:rsidR="00CA5426" w:rsidRDefault="00301DC2" w:rsidP="008A658C">
      <w:pPr>
        <w:pStyle w:val="ONUME"/>
      </w:pPr>
      <w:hyperlink r:id="rId28">
        <w:r>
          <w:rPr>
            <w:rStyle w:val="Hyperlink"/>
          </w:rPr>
          <w:t>ИНДИЯ</w:t>
        </w:r>
      </w:hyperlink>
      <w:r>
        <w:t>: Делегация Индии выражает признательность Секретариату за его масштабную работу по подготовке всеобъемлющего отчета Комитета и обеспечению преемственности обсуждений на основе предыдущей сессией. Индия является участником PCT уже 28 лет и с 2013 года выполняет функции Международного поискового органа и Органа международной предварительной экспертизы (МПО/ОМПЭ). За этот период Индия зафиксировала значительной рост числа международных заявок PCT, а также соответствующее увеличение числа заявок, по которым Патентное ведомство Индии подготовило отчеты в своем качестве Международного поискового органа. Индия имела честь председательствовать на тридцать третьей сессии Комитета PCT по техническому сотрудничеству, на которой было единогласно рекомендовано назначить IMPI в качестве МПО и ОМПЭ. Индия полностью поддерживает эту рекомендацию. Индия также призывает патентные ведомства, отвечающие установленным требованиям PCT, рассмотреть возможность подачи заявок на назначение в качестве МПО и ОМПЭ, способствуя тем самым укреплению географического разнообразия и устойчивости системы PCT. Индия также поддерживает рекомендацию о продлении полномочий всех 25 действующих МПО и ОМПЭ. Индия приветствует поправки, рекомендованные Рабочей группой по PCT на ее восемнадцатой сессии. Эти поправки будут способствовать улучшению взаимодействия между заинтересованными сторонами, расширению использования цифровых технологий, укреплению гарантий защиты данных и обеспечению большей гибкости и удобства для заявителей. Благодаря инициативе «Цифровая Индия» страна добилась значительного прогресса в области цифровой трансформации и с удовлетворением сообщает Ассамблее, что в 2025 году достигла стопроцентного уровня электронной подачи международных заявок PCT через систему ePCT. Индия по-прежнему привержена укреплению рамочных механизмов PCT, распространению соответствующих преимуществ на все государства-члены и выполнению своих обязанностей в качестве активного и ответственного МПО и ОМПЭ. Мы рассчитываем на конструктивное обсуждение.</w:t>
      </w:r>
    </w:p>
    <w:p w14:paraId="528A3B78" w14:textId="2906BC02" w:rsidR="00212E09" w:rsidRDefault="00D54F87" w:rsidP="008A658C">
      <w:pPr>
        <w:pStyle w:val="ONUME"/>
      </w:pPr>
      <w:hyperlink r:id="rId29">
        <w:r>
          <w:rPr>
            <w:rStyle w:val="Hyperlink"/>
          </w:rPr>
          <w:t>КОЛУМБИЯ</w:t>
        </w:r>
      </w:hyperlink>
      <w:r>
        <w:t>: Делегация Колумбии выражает благодарность Секретариату за подготовку документов по данному пункту повестки дня. Мы вновь хотели бы подчеркнуть важность охраны генетических ресурсов и связанных с ними традиционных знаний. Мы призываем государства-члены сохранять открытость к обсуждению этих вопросов в рамках данного стратегически важного Комитета, поскольку это необходимо для реализации договоренностей, достигнутых в рамках Договора ВОИС о ГР и сТЗ. Мы поддерживаем изменения, предлагаемые в документе PCT/A/58/1, которые направлены на модернизацию системы PCT. Мы также поддерживаем продление сроков назначения согласно документу PCT/A/58/2. Мы также приветствуем назначение IMPI в качестве МПО/ОМПЭ в рамках PCT, поскольку это может способствовать развитию потенциала стран Латинской Америки и Карибского бассейна. Мы полагаем, что это также будет способствовать более широкому использованию испанского языка как языка, используемого в технологической области.</w:t>
      </w:r>
    </w:p>
    <w:p w14:paraId="454A3DEB" w14:textId="51D48230" w:rsidR="00830A2C" w:rsidRDefault="00E43D4A" w:rsidP="008A658C">
      <w:pPr>
        <w:pStyle w:val="ONUME"/>
      </w:pPr>
      <w:hyperlink r:id="rId30">
        <w:r>
          <w:rPr>
            <w:rStyle w:val="Hyperlink"/>
          </w:rPr>
          <w:t>САУДОВСКАЯ АРАВИЯ</w:t>
        </w:r>
      </w:hyperlink>
      <w:r>
        <w:t xml:space="preserve">: Делегация Саудовской Аравии хотела бы выразить признательность Секретариату за подготовку документов PCT/A/58/1 и PCT/A/58/2. Мы приветствуем предлагаемые поправки к Инструкции к PCT, которые будут способствовать модернизации технических административных процедур. Благодаря им будет расширено использование цифровых средств связи и обработки заявок с одновременным обеспечением защиты персональных данных и поддержкой баланса между транспарентностью и доступом к информации, с одной стороны, и защитой частной жизни с другой. Эти поправки имеют важное значение с точки зрения содействия цифровой трансформации и повышения качества обслуживания пользователей за счет предоставления более качественных услуг в рамках PCT. Мы также приветствуем рекомендацию о продлении полномочий действующих МПО/ОМПЭ до 2037 года. Это имеет решающее значение для обеспечения стабильности и устойчивости услуг PCT. </w:t>
      </w:r>
      <w:r>
        <w:lastRenderedPageBreak/>
        <w:t>Кроме того, это позволит поддерживать высокое качество международного поиска и международной предварительной экспертизы в интересах новаторов и творческих работников во всем мире. В этой связи мы рады и гордимся тем, что Ведомство Саудовской Аравии по интеллектуальной собственности (SAIP) продолжает выполнять функции МПО/ОМПЭ в рамках PCT, что отражает существующее на международном уровне доверие к техническому потенциалу нашего ведомства. Это также свидетельствует о прогрессе, достигнутом Королевством Саудовская Аравия в совершенствовании услуг в области интеллектуальной собственности и патентных услуг. SAIP продолжает повышать уровень патентных услуг посредством проведения цифровой трансформации и укрепления механизмов, обеспечивающих взаимодополняемость и интеграцию с системами ВОИС. Мы продолжаем активно участвовать в различных инициативах по развитию инфраструктуры системы интеллектуальной собственности. В заключение мы хотели бы подчеркнуть нашу неизменную поддержку усилий, направленных на модернизацию PCT в целях повышения эффективности и устойчивости системы, и подтверждаем нашу готовность сотрудничать со всеми государствами-членами и с данной Организацией в интересах создания международной системы, которая будет более эффективной, гибкой и отвечающей потребностям новаторов и творческих работников во всем мире.</w:t>
      </w:r>
    </w:p>
    <w:p w14:paraId="7E3D35B2" w14:textId="0F28A2B3" w:rsidR="002C018E" w:rsidRDefault="002C018E" w:rsidP="002C018E">
      <w:pPr>
        <w:pStyle w:val="ONUME"/>
      </w:pPr>
      <w:hyperlink r:id="rId31" w:history="1">
        <w:r w:rsidRPr="00AF6F04">
          <w:rPr>
            <w:rStyle w:val="Hyperlink"/>
          </w:rPr>
          <w:t>КАЗАХСТАН</w:t>
        </w:r>
      </w:hyperlink>
      <w:r>
        <w:t>: Республика Казахстан выражает благодарность Секретариату ВОИС за всеобъемлющий отчет о работе Постоянного комитета по патентному праву и принимает его к сведению. Казахстан поддерживает работу Комитета по вопросам качества патентов, исключений и ограничений патентных прав, передачи технологий, а также обсуждение новых вопросов, связанных с искусственным интеллектом (ИИ). Мы считаем важным продолжать обмен национальным опытом по вопросу использования ИИ в патентной экспертизе. ИИ обладает значительным потенциалом для повышения эффективности и качества процессов в рамках экспертизы. Вместе с тем патентная охрана должна по-прежнему основываться на творческой деятельности и изобретательском вкладе человека. В этой связи важнейшее значение сохраняют транспарентность инструментов, основанных на ИИ, защита данных заявителей и последовательность административной практики. Казахстан также придает большое значение повышению качества патентов посредством совершенствования процедур поиска и экспертизы, более широкого использования цифровых технологий и непрерывного профессионального развития патентных экспертов. Кроме того, мы рассматриваем передачу технологий как ключевой элемент эффективной патентной системы. Патенты должны не только обеспечивать правовую охрану, но и способствовать коммерциализации инноваций и укреплению сотрудничества между научно-исследовательскими учреждениями, университетами и промышленностью. Казахстан поддерживает продолжение работы Комитета с опорой на практический опыт государств-членов и рассчитывает на дальнейшее сотрудничество с ВОИС в целях укрепления национальной инновационной экосистемы и развития потенциала в области интеллектуальной собственности.</w:t>
      </w:r>
    </w:p>
    <w:p w14:paraId="6B2F3ECD" w14:textId="1DD7E465" w:rsidR="00543749" w:rsidRDefault="00543749" w:rsidP="008A658C">
      <w:pPr>
        <w:pStyle w:val="ONUME"/>
      </w:pPr>
      <w:hyperlink r:id="rId32">
        <w:r>
          <w:rPr>
            <w:rStyle w:val="Hyperlink"/>
          </w:rPr>
          <w:t>ЭКВАДОР</w:t>
        </w:r>
      </w:hyperlink>
      <w:r>
        <w:t xml:space="preserve">: Для Эквадора система PCT является стратегическим инструментом укрепления национальной инновационной экосистемы, содействия международной охране изобретений и продвижения передачи технологий как фактора повышения конкурентоспособности страны. Мы поддерживаем инициативы, направленные на модернизацию системы, улучшение ее электронных сервисов и постоянное совершенствование процедур, и хотели бы подчеркнуть, что решения Ассамблеи должны способствовать формированию системы, в большей степени отвечающей потребностям государств-членов и ее пользователей. На национальном уровне Национальная служба по защите прав интеллектуальной собственности (SENADI) выполняет функции Получающего ведомства и указанного ведомства в рамках системы PCT. В период с января 2025 года по июнь 2026 года 84% заявок на патенты и полезные модели поступили в страну по процедуре PCT, что свидетельствует о стратегическом значении </w:t>
      </w:r>
      <w:r>
        <w:lastRenderedPageBreak/>
        <w:t>данной системы для управления национальной патентной деятельностью. Мы также наблюдали укрепление процедур благодаря внедрению Системы административного управления для ведомств ИС (IPAS). В координации с ВОИС был организован семинар по системе PCT и использованию платформы электронной подачи заявок ePCT-Filing для исследователей, сотрудников университетов, пользователей системы и представителей сети Центров поддержки технологий и инноваций (ЦПТИ). Важно продолжать наращивать институциональный потенциал в интересах пользователей путем проведения специализированного обучения, обмена передовой практикой и оказания технической поддержки в целях модернизации электронных сервисов, предназначенных для помощи национальным новаторам. Мы подтверждаем нашу приверженность дальнейшему участию в работе Союза PCT и готовность и далее вносить свою лепту в укрепление международной патентной системы, которая способствует инновационной деятельности, облегчает передачу технологий и создает более широкие возможности для научного, технологического и производственного развития всех государств-членов.</w:t>
      </w:r>
    </w:p>
    <w:p w14:paraId="0072D10D" w14:textId="07679BA7" w:rsidR="00744A10" w:rsidRDefault="00744A10" w:rsidP="008A658C">
      <w:pPr>
        <w:pStyle w:val="ONUME"/>
      </w:pPr>
      <w:hyperlink r:id="rId33">
        <w:r>
          <w:rPr>
            <w:rStyle w:val="Hyperlink"/>
          </w:rPr>
          <w:t>НИГЕРИЯ</w:t>
        </w:r>
      </w:hyperlink>
      <w:r>
        <w:t>: Делегация Нигерии приняла к сведению документ PCT/A/58/1, в котором описаны предлагаемые поправки к Инструкции к PCT. Нигерия решительно поддерживает принятие данного пакета поправок. Как Договаривающееся государство, активно модернизирующее свой национальный реестр, мы рассматриваем оптимизацию системы PCT как важнейший элемент нашей интеграции в глобальное инновационное пространство. Особо Нигерия подчеркивает значительные стратегические преимущества предлагаемых поправок. За счет расширения и совершенствования этих административных процедур и типовых соглашений в рамках Инструкции к PCT данные поправки создают важный институциональный резерв возможностей. Они фактически предоставляют развивающимся патентным ведомствам необходимое пространство для изучения, внедрения и структурного приведения своих систем в соответствие с историческим Договором ВОИС о ГР и сТЗ до его официального вступления в силу. Будучи страной, богатой традиционными знаниями и генетическими ресурсами, мы считаем, что создание модернизированных, безопасных цифровых процедур PCT предоставляет нам необходимое время для подготовки экспертов и систем обработки заявок к будущим требованиям в отношении раскрытия информации. В заключение Нигерия полностью поддерживает предлагаемые поправки, а также предусмотренные институциональные и переходные сроки. Мы продолжим тесно сотрудничать с Международным бюро в целях внедрения этих современных правовых инструментов на благо наших новаторов, творческих работников и широкого мирового патентного сообщества.</w:t>
      </w:r>
    </w:p>
    <w:p w14:paraId="0539312A" w14:textId="067507BC" w:rsidR="00C74A0F" w:rsidRDefault="009F0EB2" w:rsidP="008A658C">
      <w:pPr>
        <w:pStyle w:val="ONUME"/>
      </w:pPr>
      <w:hyperlink r:id="rId34">
        <w:r>
          <w:rPr>
            <w:rStyle w:val="Hyperlink"/>
          </w:rPr>
          <w:t>ЧИЛИ</w:t>
        </w:r>
      </w:hyperlink>
      <w:r>
        <w:t>: Прежде всего мы хотели бы выразить благодарность за продление полномочий INAPI в качестве МПО/ОМПЭ и поздравить IMPI с назначением в качестве МПО/ОМПЭ. Мы также хотели бы подчеркнуть важность международных регистрационных систем и защиты их центральной роли в рамках приоритетов данной Организации. Мы решительно выступаем за то, чтобы эти системы, включая PCT — вероятно, наиболее важную среди них, — оставались актуальными, конкурентоспособными и доступными для пользователей и чтобы предпринимались необходимые усилия по модернизации системы для продвижения в этом направлении. Поэтому мы приветствуем предпринимаемые в настоящее время усилия. Что касается ситуации вокруг Рабочей группы по PCT, то мы призываем членов Организации рассматривать ее повестку дня в духе диалога и поиска консенсуса и продолжать обсуждения даже при отсутствии консенсуса. Следует приветствовать тот факт, что в многосторонней организации государства-члены имеют возможность обсуждать вопросы, которые они считают отвечающими их национальным интересам, и что такие обсуждения не блокируются заранее.</w:t>
      </w:r>
    </w:p>
    <w:p w14:paraId="428F4CCA" w14:textId="3B983AB0" w:rsidR="008433A6" w:rsidRDefault="00F41B7A" w:rsidP="008A658C">
      <w:pPr>
        <w:pStyle w:val="ONUME"/>
      </w:pPr>
      <w:hyperlink r:id="rId35">
        <w:r>
          <w:rPr>
            <w:rStyle w:val="Hyperlink"/>
          </w:rPr>
          <w:t>ФИЛИППИНЫ</w:t>
        </w:r>
      </w:hyperlink>
      <w:r>
        <w:t xml:space="preserve">: Филиппины выражают признательность Ассамблее Союза PCT за ее непрестанные активные усилия по достижению целей системы PCT. Мы хотели бы </w:t>
      </w:r>
      <w:r>
        <w:lastRenderedPageBreak/>
        <w:t>проинформировать Ассамблею о том, что Филиппины подали заявку на продление и возобновление своего назначения в качестве МПО/ОМПЭ в ходе заседания Комитета PCT по техническому сотрудничеству, состоявшегося в феврале 2026 года. В этой связи Филиппины выражают искреннюю признательность за полученную положительную рекомендацию и рассчитывают на ожидаемое одобрение нашей заявки Ассамблеей.</w:t>
      </w:r>
    </w:p>
    <w:p w14:paraId="12649E62" w14:textId="3CC7E31E" w:rsidR="006A55A2" w:rsidRDefault="000559FA" w:rsidP="008A658C">
      <w:pPr>
        <w:pStyle w:val="ONUME"/>
      </w:pPr>
      <w:r>
        <w:rPr>
          <w:rStyle w:val="Hyperlink"/>
        </w:rPr>
        <w:t>ЮЖНАЯ АФРИКА</w:t>
      </w:r>
      <w:r>
        <w:t>: В письменном заявлении делегация Южной Африки от имени Африканской группы отметила следующее. Африканская группа придает большое значение PCT как ключевому международному инструменту, облегчающему доступ к патентной системе. В этой связи мы подтверждаем нашу приверженность системе PCT, которая является сбалансированной, инклюзивной и учитывает потребности и возможности всех государств-членов, особенно развивающихся и наименее развитых стран. Договор ВОИС о ГР и сТЗ подчеркивает необходимость существования международно-правовой основы, обеспечивающей уважение прав коренных народов и местных общин на их генетические ресурсы и традиционные знания. Африканская группа подчеркивает важность включения в систему PCT требований о раскрытии информации и механизмов предварительного осознанного согласия. Эти элементы имеют важнейшее значение для обеспечения того, чтобы при использовании генетических ресурсов и традиционных знаний в патентных заявках должным образом учитывались права коренных народов и местных общин, что одновременно способствовало бы достижению более широких глобальных целей в области устойчивого развития. Именно поэтому Африканская группа неизменно поддерживает соответствующий пункт повестки дня, который позволил бы Рабочей группе оценить, каким образом такие поправки могут быть интегрированы в систему PCT для достижения целей Договора о ГР и сТЗ. Африканская группа поддерживает внесение изменений в систему PCT в целях обеспечения эффективного и полного осуществления Договора ВОИС о ГР и сТЗ. Мы выражаем глубокое разочарование тем, что девятнадцатая сессия не состоялась из-за отказа одного члена принять повестку дня заседания, в результате чего была упущена возможность не только продвинуться в обсуждении этого важного вопроса, но и рассмотреть другие вопросы по существу, стоявшие перед Рабочей группой. Мы обеспокоены возможными последствиями подобных ситуаций с точки зрения целостности и эффективности многосторонней системы. Поэтому мы настоятельно призываем все делегации в будущем проявлять гибкость в духе сотрудничества и многосторонности.</w:t>
      </w:r>
    </w:p>
    <w:p w14:paraId="1DCB5735" w14:textId="3DADE92C" w:rsidR="00ED3815" w:rsidRDefault="00ED3815" w:rsidP="00B37765">
      <w:pPr>
        <w:pStyle w:val="ONUME"/>
      </w:pPr>
      <w:hyperlink r:id="rId36">
        <w:r>
          <w:rPr>
            <w:rStyle w:val="Hyperlink"/>
          </w:rPr>
          <w:t>ПРЕДСЕДАТЕЛЬ</w:t>
        </w:r>
      </w:hyperlink>
      <w:r>
        <w:t xml:space="preserve">: Я не вижу других делегаций, желающих выступить. Я благодарю все делегации за сделанные заявления. Мы приняли к сведению высказанные замечания относительно пожеланий в отношении обсуждения будущего развития системы PCT. Я хотел бы предложить следующий пункт решения, содержащийся в рассматриваемом документе, который я сейчас зачитаю: </w:t>
      </w:r>
    </w:p>
    <w:p w14:paraId="3216C9FA" w14:textId="5F5C0B5C" w:rsidR="006A55A2" w:rsidRDefault="006A55A2" w:rsidP="006A55A2">
      <w:pPr>
        <w:pStyle w:val="ONUME"/>
        <w:ind w:left="540"/>
      </w:pPr>
      <w:r>
        <w:t>Ассамблея Союза РСТ:</w:t>
      </w:r>
    </w:p>
    <w:p w14:paraId="5CAD9DE3" w14:textId="387F252F" w:rsidR="002D0527" w:rsidRPr="002D0527" w:rsidRDefault="00987F9B" w:rsidP="00341F1E">
      <w:pPr>
        <w:pStyle w:val="ONUME"/>
        <w:numPr>
          <w:ilvl w:val="2"/>
          <w:numId w:val="5"/>
        </w:numPr>
      </w:pPr>
      <w:r>
        <w:t>приняла</w:t>
      </w:r>
      <w:r w:rsidR="002D0527">
        <w:t xml:space="preserve"> предлагаемые поправки к Инструкции к PCT, представленные в приложениях I–IV к документу PCT/A/58/1, а также утверди</w:t>
      </w:r>
      <w:r w:rsidR="00CE013C">
        <w:t>ла</w:t>
      </w:r>
      <w:r w:rsidR="002D0527">
        <w:t xml:space="preserve"> сроки вступления в силу и переходные положения, представленные в пункте</w:t>
      </w:r>
      <w:r w:rsidR="00E8112C" w:rsidRPr="00937659">
        <w:t xml:space="preserve"> 4</w:t>
      </w:r>
      <w:r w:rsidR="002D0527">
        <w:t xml:space="preserve"> этого документа; и </w:t>
      </w:r>
    </w:p>
    <w:p w14:paraId="10596D21" w14:textId="27436C4D" w:rsidR="007B00F1" w:rsidRDefault="002D0527" w:rsidP="00341F1E">
      <w:pPr>
        <w:pStyle w:val="ONUME"/>
        <w:numPr>
          <w:ilvl w:val="2"/>
          <w:numId w:val="5"/>
        </w:numPr>
      </w:pPr>
      <w:r>
        <w:t>приня</w:t>
      </w:r>
      <w:r w:rsidR="00CE013C">
        <w:t>ла</w:t>
      </w:r>
      <w:r>
        <w:t xml:space="preserve"> предлагаемые изменения к Директивным указаниям, касающимся установления эквивалентного размера определенных пошлин, представленные в приложении VI к документу PCT/A/58/1, и предложения об их вступлении в силу, представленные в пункте </w:t>
      </w:r>
      <w:r w:rsidR="007F7152" w:rsidRPr="00937659">
        <w:t>7</w:t>
      </w:r>
      <w:r>
        <w:t xml:space="preserve"> этого документа.</w:t>
      </w:r>
    </w:p>
    <w:p w14:paraId="2EC8F24F" w14:textId="7E6824C0" w:rsidR="00B37765" w:rsidRDefault="00B37765" w:rsidP="00B37765">
      <w:pPr>
        <w:pStyle w:val="ONUME"/>
      </w:pPr>
      <w:hyperlink r:id="rId37">
        <w:r>
          <w:rPr>
            <w:rStyle w:val="Hyperlink"/>
          </w:rPr>
          <w:t>ПРЕДСЕДАТЕЛЬ</w:t>
        </w:r>
      </w:hyperlink>
      <w:r>
        <w:t>: Возражений нет. Решение принимается.</w:t>
      </w:r>
    </w:p>
    <w:p w14:paraId="09B615F3" w14:textId="66898196" w:rsidR="006A55A2" w:rsidRDefault="006A55A2" w:rsidP="006A55A2">
      <w:pPr>
        <w:pStyle w:val="Heading3"/>
        <w:spacing w:after="220"/>
      </w:pPr>
      <w:r>
        <w:lastRenderedPageBreak/>
        <w:t>Продление назначения международных поисковых органов и органов международной предварительной экспертизы в рамках PCT</w:t>
      </w:r>
    </w:p>
    <w:p w14:paraId="2974C2A7" w14:textId="2B2DB4CD" w:rsidR="006A55A2" w:rsidRPr="005969EF" w:rsidRDefault="006A55A2" w:rsidP="006A55A2">
      <w:pPr>
        <w:pStyle w:val="ONUME"/>
      </w:pPr>
      <w:r>
        <w:t xml:space="preserve">Обсуждения проходили на основе документа </w:t>
      </w:r>
      <w:hyperlink r:id="rId38" w:history="1">
        <w:r>
          <w:rPr>
            <w:rStyle w:val="Hyperlink"/>
          </w:rPr>
          <w:t>PCT/A/58/2</w:t>
        </w:r>
      </w:hyperlink>
      <w:r>
        <w:t>.</w:t>
      </w:r>
    </w:p>
    <w:p w14:paraId="3006EC80" w14:textId="6281AB2E" w:rsidR="00E37DE1" w:rsidRDefault="00D14E8A" w:rsidP="00536F20">
      <w:pPr>
        <w:pStyle w:val="ONUME"/>
      </w:pPr>
      <w:hyperlink r:id="rId39">
        <w:r>
          <w:rPr>
            <w:rStyle w:val="Hyperlink"/>
          </w:rPr>
          <w:t>ПРЕДСЕДАТЕЛЬ</w:t>
        </w:r>
      </w:hyperlink>
      <w:r>
        <w:t>: Теперь мы переходим ко второму вопросу в рамках данного пункта повестки дня и к документу PCT/A/58/2, озаглавленному «Продление назначения международных поисковых органов и органов международной предварительной экспертизы в рамках PCT». Все действующие Международные органы были назначены Ассамблеей на срок, заканчивающийся 31 декабря 2027 года. Для того чтобы Договор продолжал обеспечивать проведение международного поиска и международной предварительной экспертизы, Ассамблее необходимо принять решение о продлении назначения каждого Международного органа, желающего ходатайствовать о таком продлении, и утвердить текст проекта соглашения между таким Международным органом и Международным бюро. Проекты соглашений изложены в приложениях I–XXV к документу PCT/A/58/2. Комитет PCT по техническому сотрудничеству провел заседание в феврале этого года и рассмотрел индивидуальные заявки всех действующих Международных поисковых органов и Органов международной предварительной экспертизы о продлении их назначения до конца 2037 года. Рекомендация Комитета изложена в пункте 4 документа. Комитет постановил рекомендовать Ассамблее продлить назначение всех 25 органов с учетом заявлений о несогласии, отмеченных в резюме Председателя. Все Международные органы представили подробные заявки на продление своего назначения, и эти заявки были всесторонне рассмотрены Комитетом по техническому сотрудничеству при вынесении им положительной рекомендации настоящей Ассамблее. Поэтому я предлагаю считать, что действующим Международным органам нет необходимости выступать с заявлениями для представления своих заявок и что вместо этого заявления, сделанные Международными органами на последней сессии Комитета по техническому сотрудничеству, уже были заслушаны Ассамблеей. Однако если имеется какая-либо информация, которую какой-либо Международный орган хотел бы представить на рассмотрение настоящей Ассамблеи в поддержку своей заявки и которая не была предоставлена Комитету по техническому сотрудничеству в ходе его обсуждений в феврале, я предлагаю таким Международным органам взять слово на данном этапе для краткого выступления, прежде чем я открою слово делегациям для замечаний по документу PCT/A/58/2 в целом.</w:t>
      </w:r>
    </w:p>
    <w:p w14:paraId="5AF32EE5" w14:textId="0B954D99" w:rsidR="00E37DE1" w:rsidRDefault="00D92E56" w:rsidP="008055BF">
      <w:pPr>
        <w:pStyle w:val="ONUME"/>
      </w:pPr>
      <w:hyperlink r:id="rId40">
        <w:r>
          <w:rPr>
            <w:rStyle w:val="Hyperlink"/>
          </w:rPr>
          <w:t>ПРЕДСЕДАТЕЛЬ</w:t>
        </w:r>
      </w:hyperlink>
      <w:r>
        <w:t>: Я вижу, что ни одна из делегаций не желает брать слова. Я хотел бы предложить следующий пункт решения, содержащийся в рассматриваемом документе: Ассамблея Союза PCT, в соответствии со статьями 16(3) и 32(3) PCT, i) утвердила текст проектов соглашений между Международными органами и Международным бюро, изложенных в приложениях I–XXV к документу PCT/A/58/2, и ii) продлила назначение действующих Международных поисковых органов и Органов международной предварительной экспертизы до 31 декабря 2037 года.</w:t>
      </w:r>
    </w:p>
    <w:p w14:paraId="11712E2E" w14:textId="0906DFF3" w:rsidR="007B2AE8" w:rsidRDefault="007B2AE8" w:rsidP="008055BF">
      <w:pPr>
        <w:pStyle w:val="ONUME"/>
      </w:pPr>
      <w:hyperlink r:id="rId41">
        <w:r>
          <w:rPr>
            <w:rStyle w:val="Hyperlink"/>
          </w:rPr>
          <w:t>УКРАИНА</w:t>
        </w:r>
      </w:hyperlink>
      <w:r>
        <w:t xml:space="preserve">: Делегация Украины хотела бы выразить искреннюю признательность заместителю Генерального директора Лизе Джоргенсон за ее руководящую роль, профессионализм и поддержку эффективного функционирования системы PCT. Мы также благодарим Председателя за представление соответствующих документов по данному пункту повестки дня. Делегация Украины выражает признательность Секретариату за подготовку документа PCT/A/58/2 и проектов соглашений между Международным бюро и соответствующими МПО/ОМПЭ, а также за поддержку в процессе подготовки к продлению назначения МПО/ОМПЭ в рамках PCT. Украина вновь подтверждает свою твердую приверженность эффективному функционированию системы PCT и высоким стандартам качества, доверия и ответственности, предъявляемым к МПО/ОМПЭ. Украина хотела бы официально заявить, что она не присоединяется к решению в части продления назначения Федеральной службы по интеллектуальной собственности Российской </w:t>
      </w:r>
      <w:r>
        <w:lastRenderedPageBreak/>
        <w:t>Федерации (Роспатент) и Евразийского патентного ведомства Евразийской патентной организации (ЕАПО) в качестве МПО/ОМПЭ в рамках PCT. Данная позиция основана на принципиальной и последовательной позиции Украины, согласно которой государству, которое развязало и продолжает вести агрессивную войну в грубое нарушение Устава ООН и основополагающих принципов международного права, не может быть доверена роль, предполагающая высокий уровень институционального доверия, ответственности и авторитета в рамках системы PCT и ООН. Украина с уважением просит, чтобы ее позиция несогласия была должным образом отражена в отчете о настоящей сессии и в соответствующем пункте решения Ассамблеи Союза PCT по данному пункту повестки дня.</w:t>
      </w:r>
    </w:p>
    <w:p w14:paraId="2A3DCF1B" w14:textId="4F09ECC9" w:rsidR="00E766B5" w:rsidRDefault="00EF24DB" w:rsidP="008055BF">
      <w:pPr>
        <w:pStyle w:val="ONUME"/>
      </w:pPr>
      <w:hyperlink r:id="rId42">
        <w:r>
          <w:rPr>
            <w:rStyle w:val="Hyperlink"/>
          </w:rPr>
          <w:t>РОССИЙСКАЯ ФЕДЕРАЦИЯ</w:t>
        </w:r>
      </w:hyperlink>
      <w:r>
        <w:t>:</w:t>
      </w:r>
      <w:r w:rsidR="003E4E07" w:rsidRPr="003E4E07">
        <w:t xml:space="preserve"> </w:t>
      </w:r>
      <w:r>
        <w:t>Делегация Российской Федерации хотела бы воспользоваться правом на ответ в связи с заявлением одной делегации. Напоминаем, что комитет PCT по техническому сотрудничеству детально изучил вопрос соответствия Роспатента, Евразийского патентного ведомства требованиям, предъявляемым к МПО/ОМПЭ в рамках Договора о патентной кооперации и вынес рекомендацию о их переназначении. Подчеркиваем</w:t>
      </w:r>
      <w:r w:rsidR="003E4E07" w:rsidRPr="00A541C2">
        <w:t>,</w:t>
      </w:r>
      <w:r>
        <w:t xml:space="preserve"> что оба ведомства полностью соответствуют требованиям PCT. Они обладают давней и устойчивой базой, располагают множеством высококвалифицированных специалистов по всем направлениям и на протяжении многих лет вносят значительный вклад в эффективное функционирование системы PCT в особенности в Евразийском регионе. С учетом принципа взаимности делегация Российской Федерации дистанцируется от консенсуса по решению в отношении продления назначения Украинского национального офиса интеллектуальной собственности и инноваций в качестве МПО/ОМПЭ в рамках PCT.</w:t>
      </w:r>
    </w:p>
    <w:p w14:paraId="5E343948" w14:textId="53354FD9" w:rsidR="00F205A0" w:rsidRDefault="00C47C55" w:rsidP="008055BF">
      <w:pPr>
        <w:pStyle w:val="ONUME"/>
      </w:pPr>
      <w:hyperlink r:id="rId43" w:history="1">
        <w:r>
          <w:rPr>
            <w:rStyle w:val="Hyperlink"/>
          </w:rPr>
          <w:t>ЕВРАЗИЙСКОЕ ПАТЕНТНОЕ ВЕДОМСТВО (ЕАПВ)</w:t>
        </w:r>
      </w:hyperlink>
      <w:r>
        <w:t>: В связи с заявлением одной конкретной делегации мы хотели бы отметить, что участникам заседания следует сосредоточиться на повестке дня, касающейся функций МПО/ОМПЭ в контексте PCT. Это не имеет никакого отношения к политике и является сугубо техническим вопросом. Мы также напоминаем, что в соответствии с применимыми нормативными документами системы PCT МПО/ОМПЭ должны отвечать ряду технических критериев и что наше Ведомство, равно как и Роспатент, этим критериям соответствует. Качество их работы подтверждается сертификацией по стандартам ISO. Комитет PCT по техническому сотрудничеству рекомендовал продлить назначение 25 Международных органов. Мы призываем все делегации воздерживаться от каких-либо политизированных заявлений, и со своей стороны мы сохраняем приверженность конструктивному характеру нашего сотрудничества. С учетом принципа взаимности мы не присоединяемся к решению о продлении назначения Украинского национального офиса интеллектуальной собственности и инноваций.</w:t>
      </w:r>
    </w:p>
    <w:p w14:paraId="1773F476" w14:textId="5961B288" w:rsidR="000471CB" w:rsidRDefault="000471CB" w:rsidP="008055BF">
      <w:pPr>
        <w:pStyle w:val="ONUME"/>
      </w:pPr>
      <w:hyperlink r:id="rId44">
        <w:r>
          <w:rPr>
            <w:rStyle w:val="Hyperlink"/>
          </w:rPr>
          <w:t>ПРЕДСЕДАТЕЛЬ</w:t>
        </w:r>
      </w:hyperlink>
      <w:r>
        <w:t>:</w:t>
      </w:r>
      <w:r w:rsidR="00DF2725" w:rsidRPr="00DF2725">
        <w:t xml:space="preserve"> </w:t>
      </w:r>
      <w:r>
        <w:t>Если позволите, я хотел бы обратиться к делегации Украины: в своем заявлении вы просили, чтобы в решении было отмечено несогласие Украины с решением о назначении Роспатента. Мой вопрос состоит в том, настаиваете ли вы на включении этого именно в само решение.</w:t>
      </w:r>
    </w:p>
    <w:p w14:paraId="42935EFE" w14:textId="04061129" w:rsidR="00240761" w:rsidRDefault="00DE2C70" w:rsidP="003C2535">
      <w:pPr>
        <w:pStyle w:val="ONUME"/>
      </w:pPr>
      <w:hyperlink r:id="rId45">
        <w:r>
          <w:rPr>
            <w:rStyle w:val="Hyperlink"/>
          </w:rPr>
          <w:t>УКРАИНА</w:t>
        </w:r>
      </w:hyperlink>
      <w:r>
        <w:t>:</w:t>
      </w:r>
      <w:r w:rsidR="00DF2725" w:rsidRPr="00DF2725">
        <w:t xml:space="preserve"> </w:t>
      </w:r>
      <w:r>
        <w:t>В пункте 2 документа PCT/A/58/2 содержится положение о том, что Комитет PCT по техническому сотрудничеству вынес рекомендацию о продлении назначения действующих Международных поисковых органов указанным образом, и в нем имеется положение о несогласии, которое было озвучено и принято в ходе заседания Комитета по техническому сотрудничеству, однако оно не включено в пункт решения настоящей Ассамблеи Союза PCT. Наша позиция заключается в том, что несогласие Украины с назначением Евразийского патентного ведомства и Роспатента должно быть отражено в пункте решения настоящей Ассамблеи Союза PCT.</w:t>
      </w:r>
    </w:p>
    <w:p w14:paraId="5DE3288D" w14:textId="11B543C5" w:rsidR="00714CA1" w:rsidRDefault="00244813" w:rsidP="008055BF">
      <w:pPr>
        <w:pStyle w:val="ONUME"/>
      </w:pPr>
      <w:hyperlink r:id="rId46">
        <w:r>
          <w:rPr>
            <w:rStyle w:val="Hyperlink"/>
          </w:rPr>
          <w:t>РОССИЙСКАЯ ФЕДЕРАЦИЯ</w:t>
        </w:r>
      </w:hyperlink>
      <w:r>
        <w:t>: Мы принимаем к сведению предыдущее заявление. На основании упомянутого принципа необходимо, чтобы в решении было должным образом отражено, что делегация Российской Федерации не присоединяется к консенсусу в отношении продления назначения Украинского национального офиса интеллектуальной собственности и инноваций.</w:t>
      </w:r>
    </w:p>
    <w:p w14:paraId="7377B5A4" w14:textId="75E5B92E" w:rsidR="00365E18" w:rsidRDefault="001E009E" w:rsidP="008055BF">
      <w:pPr>
        <w:pStyle w:val="ONUME"/>
      </w:pPr>
      <w:hyperlink r:id="rId47">
        <w:r>
          <w:rPr>
            <w:rStyle w:val="Hyperlink"/>
          </w:rPr>
          <w:t>ЕВРАЗИЙСКОЕ ПАТЕНТНОЕ ВЕДОМСТВО (ЕАПВ)</w:t>
        </w:r>
      </w:hyperlink>
      <w:r>
        <w:t>:</w:t>
      </w:r>
      <w:r w:rsidR="00233AA0" w:rsidRPr="00233AA0">
        <w:t xml:space="preserve"> </w:t>
      </w:r>
      <w:r>
        <w:t>Мы с сожалением отмечаем, что продолжаем двигаться по этому политизированному пути. В свете принципа взаимности Евразийское патентное ведомство также хотело бы заявить о своем несогласии с решением о повторном назначении Украинского национального офиса интеллектуальной собственности и инноваций.</w:t>
      </w:r>
    </w:p>
    <w:p w14:paraId="3B453594" w14:textId="16FB7A58" w:rsidR="00B965FB" w:rsidRDefault="008B7070" w:rsidP="008055BF">
      <w:pPr>
        <w:pStyle w:val="ONUME"/>
      </w:pPr>
      <w:hyperlink r:id="rId48">
        <w:r>
          <w:rPr>
            <w:rStyle w:val="Hyperlink"/>
          </w:rPr>
          <w:t>ПРЕДСЕДАТЕЛЬ</w:t>
        </w:r>
      </w:hyperlink>
      <w:r>
        <w:t xml:space="preserve">: Заявление Евразийского патентного ведомства будет принято к сведению. Я не вижу других делегаций, желающих выступить. Вернемся к пункту решения, который будет выведен на экран. Я зачитаю его: </w:t>
      </w:r>
      <w:r w:rsidR="00233AA0">
        <w:t>«</w:t>
      </w:r>
      <w:r>
        <w:t>Согласно предусмотренному в статьях 16(3) и 32(3) PCT Ассамблея Союза РСТ: (i) утвердила текст проектов соглашений между Международными органами и Международным бюро, представленных в приложениях I–XXV документа PCT/A/58/2; (ii) продлила назначение действующих Международных поисковых органов и Органов международной предварительной экспертизы до 31 декабря 2037 года; (iii) приняла к сведению несогласие Украины с решением о продлении назначения Федеральной службы по интеллектуальной собственности Российской Федерации и Евразийского патентного ведомства; и (iv) приняла к сведению несогласие Российской Федерации с решением о продлении назначения Украинского национального офиса интеллектуальной собственности и инноваций</w:t>
      </w:r>
      <w:r w:rsidR="00233AA0">
        <w:t>»</w:t>
      </w:r>
      <w:r>
        <w:t xml:space="preserve">. </w:t>
      </w:r>
    </w:p>
    <w:p w14:paraId="4EF1E132" w14:textId="664CAC1E" w:rsidR="00124888" w:rsidRDefault="001E009E" w:rsidP="008055BF">
      <w:pPr>
        <w:pStyle w:val="ONUME"/>
      </w:pPr>
      <w:r>
        <w:rPr>
          <w:rStyle w:val="Hyperlink"/>
        </w:rPr>
        <w:t>ЕВРАЗИЙСКОЕ ПАТЕНТНОЕ ВЕДОМСТВО (ЕАПВ)</w:t>
      </w:r>
      <w:r>
        <w:t>:</w:t>
      </w:r>
      <w:r w:rsidR="00233AA0">
        <w:t xml:space="preserve"> </w:t>
      </w:r>
      <w:r>
        <w:t>Мы хотели бы, чтобы подпункт iv) был сформулирован следующим образом: «приняла к сведению несогласие Российской Федерации и Евразийского патентного ведомства с продлением назначения Украинского национального офиса интеллектуальной собственности и инноваций».</w:t>
      </w:r>
    </w:p>
    <w:p w14:paraId="03CB97EE" w14:textId="0790B302" w:rsidR="00394D19" w:rsidRDefault="00394D19" w:rsidP="008055BF">
      <w:pPr>
        <w:pStyle w:val="ONUME"/>
      </w:pPr>
      <w:hyperlink r:id="rId49">
        <w:r>
          <w:rPr>
            <w:rStyle w:val="Hyperlink"/>
          </w:rPr>
          <w:t>ПРЕДСЕДАТЕЛЬ</w:t>
        </w:r>
      </w:hyperlink>
      <w:r>
        <w:t>:</w:t>
      </w:r>
      <w:r w:rsidR="00233AA0">
        <w:t xml:space="preserve"> </w:t>
      </w:r>
      <w:r>
        <w:t>Я хотел бы обратить внимание государств-членов на то, что Евразийское патентное ведомство (ЕАПВ) имеет статус специального наблюдателя при настоящей Ассамблее и что в пункте решения отражается только позиция самих государств-членов, а не позиция специального наблюдателя. Мы отметим позицию и просьбу ЕАПВ для протокола, но не в решении. Мы предлагаем включить в решение только заявления о несогласии Украины и Российской Федерации.</w:t>
      </w:r>
    </w:p>
    <w:p w14:paraId="552C009F" w14:textId="44EC1B14" w:rsidR="006A55A2" w:rsidRDefault="006A55A2" w:rsidP="006A55A2">
      <w:pPr>
        <w:pStyle w:val="ONUME"/>
        <w:ind w:left="540"/>
      </w:pPr>
      <w:r>
        <w:t xml:space="preserve">Согласно предусмотренному в статьях 16(3) и 32(3) PCT Ассамблея Союза </w:t>
      </w:r>
      <w:r>
        <w:cr/>
      </w:r>
      <w:r>
        <w:br/>
        <w:t>РСТ:</w:t>
      </w:r>
    </w:p>
    <w:p w14:paraId="0C8DCCB0" w14:textId="2A17BB6C" w:rsidR="00D55987" w:rsidRPr="00D55987" w:rsidRDefault="00D55987" w:rsidP="00341F1E">
      <w:pPr>
        <w:pStyle w:val="ONUME"/>
        <w:numPr>
          <w:ilvl w:val="2"/>
          <w:numId w:val="5"/>
        </w:numPr>
      </w:pPr>
      <w:r>
        <w:t>утвердила текст проектов соглашений между Международными органами и Международным бюро, представленных в приложениях I–XXV документа PCT/A/58/2;</w:t>
      </w:r>
    </w:p>
    <w:p w14:paraId="06F485F2" w14:textId="57B1A475" w:rsidR="00D55987" w:rsidRPr="00D55987" w:rsidRDefault="00D55987" w:rsidP="00341F1E">
      <w:pPr>
        <w:pStyle w:val="ONUME"/>
        <w:numPr>
          <w:ilvl w:val="2"/>
          <w:numId w:val="5"/>
        </w:numPr>
      </w:pPr>
      <w:r>
        <w:t>продлила назначение действующих Международных поисковых органов и Органов международной предварительной экспертизы до 31 декабря 2037 года;</w:t>
      </w:r>
    </w:p>
    <w:p w14:paraId="79ED7CC7" w14:textId="650781D9" w:rsidR="00D55987" w:rsidRPr="00D55987" w:rsidRDefault="00D55987" w:rsidP="00341F1E">
      <w:pPr>
        <w:pStyle w:val="ONUME"/>
        <w:numPr>
          <w:ilvl w:val="2"/>
          <w:numId w:val="5"/>
        </w:numPr>
      </w:pPr>
      <w:r>
        <w:t>приняла к сведению несогласие Украины с решением о продлении назначения Федеральной службы по интеллектуальной собственности Российской Федерации и Евразийского патентного ведомства; и</w:t>
      </w:r>
    </w:p>
    <w:p w14:paraId="0FADADFF" w14:textId="3A6A191C" w:rsidR="00D55987" w:rsidRDefault="00D55987" w:rsidP="00341F1E">
      <w:pPr>
        <w:pStyle w:val="ONUME"/>
        <w:numPr>
          <w:ilvl w:val="2"/>
          <w:numId w:val="5"/>
        </w:numPr>
      </w:pPr>
      <w:r>
        <w:lastRenderedPageBreak/>
        <w:t>приняла к сведению несогласие Российской Федерации с решением о продлении назначения Украинского национального офиса интеллектуальной собственности и инноваций.</w:t>
      </w:r>
    </w:p>
    <w:p w14:paraId="50D3DE3D" w14:textId="315167E1" w:rsidR="00BD3A93" w:rsidRDefault="00BD3A93" w:rsidP="00BD3A93">
      <w:pPr>
        <w:pStyle w:val="ONUME"/>
      </w:pPr>
      <w:hyperlink r:id="rId50">
        <w:r>
          <w:rPr>
            <w:rStyle w:val="Hyperlink"/>
          </w:rPr>
          <w:t>ПРЕДСЕДАТЕЛЬ</w:t>
        </w:r>
      </w:hyperlink>
      <w:r>
        <w:t>: Возражений нет. Решение принимается.</w:t>
      </w:r>
    </w:p>
    <w:p w14:paraId="41DBAFED" w14:textId="2D17BC98" w:rsidR="006A55A2" w:rsidRDefault="006A55A2" w:rsidP="006A55A2">
      <w:pPr>
        <w:pStyle w:val="Heading3"/>
        <w:spacing w:after="220"/>
      </w:pPr>
      <w:r>
        <w:t>Назначение Мексиканского института промышленной собственности в качестве Международного поискового органа и Органа международной предварительной экспертизы в рамках PCT</w:t>
      </w:r>
    </w:p>
    <w:p w14:paraId="23F8F86E" w14:textId="6352D839" w:rsidR="006A55A2" w:rsidRPr="005969EF" w:rsidRDefault="006A55A2" w:rsidP="006A55A2">
      <w:pPr>
        <w:pStyle w:val="ONUME"/>
      </w:pPr>
      <w:r>
        <w:t xml:space="preserve">Обсуждения проходили на основе документов </w:t>
      </w:r>
      <w:hyperlink r:id="rId51" w:history="1">
        <w:r>
          <w:rPr>
            <w:rStyle w:val="Hyperlink"/>
          </w:rPr>
          <w:t>PCT/A/58/3</w:t>
        </w:r>
      </w:hyperlink>
      <w:r>
        <w:t xml:space="preserve"> и </w:t>
      </w:r>
      <w:hyperlink r:id="rId52" w:history="1">
        <w:r>
          <w:rPr>
            <w:rStyle w:val="Hyperlink"/>
          </w:rPr>
          <w:t>PCT/A/58/3 Add.</w:t>
        </w:r>
      </w:hyperlink>
    </w:p>
    <w:p w14:paraId="767ED2F1" w14:textId="6D1A4ED4" w:rsidR="002B523C" w:rsidRDefault="002B523C" w:rsidP="002B523C">
      <w:pPr>
        <w:pStyle w:val="ONUME"/>
      </w:pPr>
      <w:hyperlink r:id="rId53">
        <w:r>
          <w:rPr>
            <w:rStyle w:val="Hyperlink"/>
          </w:rPr>
          <w:t>ПРЕДСЕДАТЕЛЬ</w:t>
        </w:r>
      </w:hyperlink>
      <w:r>
        <w:t>: Теперь мы переходим к третьему вопросу в рамках данного пункта повестки дня и к документу PCT/A/58/3, озаглавленному «Назначение Мексиканского института промышленной собственности в качестве Международного поискового органа и Органа международной предварительной экспертизы в рамках PCT», а также к документу PCT/A/58/3 Add., озаглавленному «Назначение Мексиканского института промышленной собственности в качестве Международного поискового органа и Органа международной предварительной экспертизы в рамках PCT — информация о последних изменениях». Как и по предыдущему пункту, Ассамблее предлагается заслушать представителя IMPI, принять во внимание рекомендацию Комитета PCT по техническому сотрудничеству, утвердить проекты соглашений, изложенные в приложениях I и II к документу PCT/A/58/3, которые будут использоваться в зависимости от того, когда Институт сможет начать выполнение функций Международного органа, и назначить IMPI Международным органом с даты вступления в силу соответствующего соглашения сроком до 31 декабря 2037 года. Рекомендация Комитета PCT по техническому сотрудничеству изложена в пункте 4 документа PCT/A/58/3, в котором Комитет единогласно рекомендовал Ассамблее назначить IMPI в качестве МПО/ОМПЭ.</w:t>
      </w:r>
    </w:p>
    <w:p w14:paraId="274DA4DD" w14:textId="6672497C" w:rsidR="002B523C" w:rsidRDefault="00F728BA" w:rsidP="00531F9A">
      <w:pPr>
        <w:pStyle w:val="ONUME"/>
      </w:pPr>
      <w:hyperlink r:id="rId54">
        <w:r>
          <w:rPr>
            <w:rStyle w:val="Hyperlink"/>
          </w:rPr>
          <w:t>МЕКСИКА</w:t>
        </w:r>
      </w:hyperlink>
      <w:r>
        <w:t xml:space="preserve">: В феврале Комитет PCT по техническому сотрудничеству единогласно рекомендовал назначить IMPI в качестве МПО/ОМПЭ. Эта рекомендация отражает доверие к техническому потенциалу IMPI и приверженность Мексики системе PCT, участником которой она является с 1995 года. В последние месяцы велась работа как на внутри Института, так и совместно с Испанским ведомством по патентам и товарным знакам (OEPM) в целях выполнения необходимых требований. В марте и мае состоялись два технических визита. Оба ведомства тесно сотрудничали для обеспечения соблюдения требований PCT. Одним из ключевых элементов этого процесса стало внедрение системы управления качеством, предусмотренной главой 21 Руководства PCT по проведению международного поиска и международной предварительной экспертизы. Эта система основана на принципах постоянного совершенствования и непрерывной оценки и включает управление рисками для выявления направлений возможного улучшения и принятия превентивных мер — в полном соответствии с международными стандартами качества, в частности ISO 9001:2015. Мы также работали над развитием нашей технологической инфраструктуры. Цифровая трансформация имеет важнейшее значение для реагирования на вызовы международной системы интеллектуальной собственности. Именно поэтому мы укрепили наши системы для обеспечения доступности патентной информации в стандартизированных форматах, продвигаемых ВОИС, а также для гарантии того, что такая информация является защищенной, полной и достоверной в соответствии со стандартом ВОИС ST.36. Стремление IMPI стать МПО/ОМПЭ обусловлено долгосрочным видением. Его цель состоит в содействии укреплению международной патентной системы и более широкому участию новаторов, университетов, исследовательских центров и предприятий в системе PCT. Мы убеждены, что это назначение будет способствовать дальнейшему укреплению региона как центра инноваций и увеличению числа ведомств, осуществляющих поиск и экспертизу на испанском языке, на благо всего испаноязычного сообщества. Мы благодарим делегации </w:t>
      </w:r>
      <w:r>
        <w:lastRenderedPageBreak/>
        <w:t>за их поддержку и доверие, оказанное данной кандидатуре, а также Секретариат ВОИС за содействие, и в особенности Испанское ведомство по патентам и товарным знакам за его профессионализм и ценное сотрудничество. Мы подтверждаем нашу приверженность выполнению этих обязанностей в полном соответствии со стандартами PCT и готовы заключить соответствующее соглашение с Международным бюро, чтобы как можно скорее приступить к выполнению функций МПО/ОМПЭ.</w:t>
      </w:r>
    </w:p>
    <w:p w14:paraId="4B889717" w14:textId="6B4846B0" w:rsidR="00C3782B" w:rsidRDefault="00C3782B" w:rsidP="00656E1F">
      <w:pPr>
        <w:pStyle w:val="ONUME"/>
      </w:pPr>
      <w:hyperlink r:id="rId55">
        <w:r>
          <w:rPr>
            <w:rStyle w:val="Hyperlink"/>
          </w:rPr>
          <w:t>ИСПАНИЯ</w:t>
        </w:r>
      </w:hyperlink>
      <w:r>
        <w:t>: Испания выражает поддержку кандидатуре IMPI на назначение в качестве МПО/ОМПЭ в соответствии с PCT. Наша поддержка основана на техническом сотрудничестве, которое Испанское ведомство по патентам и товарным знакам осуществляло с IMPI и которое позволило нам непосредственно убедиться — в том числе в ходе выездного визита по оценке соответствия установленным требованиям — в прогрессе, достигнутом IMPI в областях, необходимых для такого назначения. В частности, Испания высоко оценивает надежную систему управления качеством, создаваемую IMPI в соответствии со стандартом ISO 9001, с четко определенными целями в области качества, внутренними аудиторскими проверками, проводимыми сертифицированным персоналом, и эффективными механизмами мониторинга и постоянного совершенствования. Мы также хотели бы отметить достигнутый прогресс в отношении минимума документации PCT, а также разработки и организации ведомственного досье, которые имеют ключевое значение для эффективного функционирования в качестве Международного органа. IMPI располагает многочисленным корпусом экспертов, хорошо структурированным процессом экспертизы и растущими технологическими возможностями, что обеспечивает ему прочные позиции для выполнения обязанностей МПО/ОМПЭ. Его назначение также будет способствовать расширению географического и языкового охвата системы PCT, особенно в интересах испаноязычных заявителей. Испания убеждена, что назначение IMPI будет способствовать укреплению системы PCT и дальнейшему развитию сотрудничества между ведомствами промышленной собственности, особенно в Латинской Америке.</w:t>
      </w:r>
    </w:p>
    <w:p w14:paraId="18095D94" w14:textId="20B13C8D" w:rsidR="00314E24" w:rsidRDefault="008D6B14" w:rsidP="004A3E92">
      <w:pPr>
        <w:pStyle w:val="ONUME"/>
      </w:pPr>
      <w:hyperlink r:id="rId56">
        <w:r>
          <w:rPr>
            <w:rStyle w:val="Hyperlink"/>
          </w:rPr>
          <w:t>ДОМИНИКАНСКАЯ РЕСПУБЛИКА</w:t>
        </w:r>
      </w:hyperlink>
      <w:r>
        <w:t>: Делегация Доминиканской Республики хотела бы выразить свою твердую поддержку назначению IMPI в качестве МПО/ОМПЭ в рамках PCT. Наша делегация поздравляет IMPI с этим важным достижением, которое является признанием технического потенциала, накопленного опыта и институциональной компетентности, продемонстрированных этим ведомством на протяжении многих лет при оказании высококачественных услуг в области интеллектуальной собственности. Мы считаем, что данное назначение будет способствовать укреплению международной патентной системы и расширению доступа пользователей PCT к эффективным, высококачественным и специализированным услугам. Оно также представляет собой важный шаг вперед для нашего региона, поскольку расширяет имеющийся потенциал в Латинской Америке и Карибском бассейне и способствует более активному региональному участию в международной архитектуре интеллектуальной собственности. Мы убеждены, что назначение IMPI в качестве МПО/ОМПЭ привнесет ценный экспертный опыт в систему PCT и будет способствовать ее дальнейшей модернизации, повышению эффективности и авторитета в интересах государств-членов, изобретателей и пользователей. Поэтому Доминиканская Республика приветствует это назначение и вновь заявляет о своей поддержке рекомендации, представленной на рассмотрение Ассамблеи, одновременно выражая самые теплые поздравления Мексике и, в особенности, IMPI в связи с этим заслуженным признанием.</w:t>
      </w:r>
    </w:p>
    <w:p w14:paraId="7A5D831E" w14:textId="46604D8D" w:rsidR="00157332" w:rsidRDefault="00157332" w:rsidP="00501D06">
      <w:pPr>
        <w:pStyle w:val="ONUME"/>
      </w:pPr>
      <w:hyperlink r:id="rId57">
        <w:r>
          <w:rPr>
            <w:rStyle w:val="Hyperlink"/>
          </w:rPr>
          <w:t>ПРЕДСЕДАТЕЛЬ</w:t>
        </w:r>
      </w:hyperlink>
      <w:r>
        <w:t xml:space="preserve">:Я хотел бы поблагодарить делегации за сделанные заявления. Заслушав эти заявления, я предлагаю Ассамблее утвердить назначение IMPI и хотел бы поздравить его с этим достижением. В этой связи я хотел бы предложить следующий пункт решения, содержащийся в документе PCT/A/58/3: </w:t>
      </w:r>
    </w:p>
    <w:p w14:paraId="4F35153D" w14:textId="5583428D" w:rsidR="00F9716E" w:rsidRDefault="006A55A2" w:rsidP="00BC7796">
      <w:pPr>
        <w:pStyle w:val="ONUME"/>
        <w:tabs>
          <w:tab w:val="clear" w:pos="567"/>
          <w:tab w:val="num" w:pos="540"/>
        </w:tabs>
        <w:ind w:left="540"/>
      </w:pPr>
      <w:r>
        <w:lastRenderedPageBreak/>
        <w:t xml:space="preserve">Согласно предусмотренному в статьях 16(3) и 32(3) PCT Ассамблея Союза </w:t>
      </w:r>
      <w:r>
        <w:cr/>
      </w:r>
      <w:r>
        <w:br/>
        <w:t>РСТ:</w:t>
      </w:r>
    </w:p>
    <w:p w14:paraId="427CACB6" w14:textId="045C69AD" w:rsidR="00F9716E" w:rsidRDefault="00F9716E" w:rsidP="00F9716E">
      <w:pPr>
        <w:pStyle w:val="ONUME"/>
        <w:numPr>
          <w:ilvl w:val="2"/>
          <w:numId w:val="5"/>
        </w:numPr>
      </w:pPr>
      <w:r>
        <w:t>утвердила текст проектов Соглашений между Мексиканским институтом промышленной собственности и Международным бюро, представленных в приложениях I и II к документу PCT/A/58/3; и</w:t>
      </w:r>
    </w:p>
    <w:p w14:paraId="43FA9D01" w14:textId="46D56CE4" w:rsidR="00F9716E" w:rsidRDefault="00F9716E" w:rsidP="00341F1E">
      <w:pPr>
        <w:pStyle w:val="ONUME"/>
        <w:numPr>
          <w:ilvl w:val="2"/>
          <w:numId w:val="5"/>
        </w:numPr>
      </w:pPr>
      <w:r>
        <w:t>назначила Мексиканский институт промышленной собственности в качестве Международного поискового органа и Органа международной предварительной экспертизы с даты вступления в силу Соглашения, содержащегося в приложении I, если эта дата наступает не позднее 31</w:t>
      </w:r>
      <w:r w:rsidR="002B2304">
        <w:t> </w:t>
      </w:r>
      <w:r>
        <w:t>декабря 2027 года, или с даты вступления в силу Соглашения, содержащегося в приложении II, если эта дата наступает 1 января 2028 года или позднее, сроком до 31 декабря 2037 года.</w:t>
      </w:r>
    </w:p>
    <w:p w14:paraId="41F309D2" w14:textId="4DBD4B64" w:rsidR="00501D06" w:rsidRPr="001B2018" w:rsidRDefault="00501D06" w:rsidP="00501D06">
      <w:pPr>
        <w:pStyle w:val="ONUME"/>
      </w:pPr>
      <w:hyperlink r:id="rId58">
        <w:r>
          <w:rPr>
            <w:rStyle w:val="Hyperlink"/>
          </w:rPr>
          <w:t>ПРЕДСЕДАТЕЛЬ</w:t>
        </w:r>
      </w:hyperlink>
      <w:r>
        <w:t>:</w:t>
      </w:r>
      <w:r w:rsidR="002B2304">
        <w:t xml:space="preserve"> </w:t>
      </w:r>
      <w:r>
        <w:t>Я не вижу возражений. Решение принимается.</w:t>
      </w:r>
    </w:p>
    <w:p w14:paraId="0F1DEAA5" w14:textId="561DD6D8" w:rsidR="003870AF" w:rsidRDefault="0085732F" w:rsidP="003870AF">
      <w:pPr>
        <w:pStyle w:val="ONUME"/>
      </w:pPr>
      <w:hyperlink r:id="rId59">
        <w:r>
          <w:rPr>
            <w:rStyle w:val="Hyperlink"/>
          </w:rPr>
          <w:t>СЕКРЕТАРИАТ</w:t>
        </w:r>
      </w:hyperlink>
      <w:r>
        <w:t>: От имени Международного бюро мы хотели бы поздравить IMPI с назначением в качестве МПО/ОМПЭ в соответствии с PCT. Мексика стала Договаривающимся государством PCT более 31 года назад</w:t>
      </w:r>
      <w:r w:rsidR="002B2304">
        <w:t> </w:t>
      </w:r>
      <w:r>
        <w:t>— 1 января 1995 года. Желаем IMPI всяческих успехов в его новой роли двадцать шестого Международного органа PCT и третьего такого органа в регионе Латинской Америки и Карибского бассейна.</w:t>
      </w:r>
    </w:p>
    <w:p w14:paraId="622A091A" w14:textId="7E389244" w:rsidR="007A50FF" w:rsidRDefault="00660F00" w:rsidP="007A50FF">
      <w:pPr>
        <w:pStyle w:val="ONUME"/>
      </w:pPr>
      <w:hyperlink r:id="rId60">
        <w:r>
          <w:rPr>
            <w:rStyle w:val="Hyperlink"/>
          </w:rPr>
          <w:t>МЕКСИКА</w:t>
        </w:r>
      </w:hyperlink>
      <w:r>
        <w:t>: Моя делегация хотела бы выразить искреннюю признательность делегациям Ассамблеи PCT за доверие, оказанное Мексике посредством назначения IMPI в качестве МПО/ОМПЭ в рамках PCT. Мы принимаем это назначение с глубоким чувством гордости и ответственности. Это назначение представляет собой не только признание технического потенциала IMPI, но и подтверждение приверженности целям и принципам, лежащим в основе системы PCT. Я вновь хотел бы выразить нашу искреннюю признательность ВОИС за ее неоценимую поддержку на протяжении всего процесса. Мы уверены, что IMPI будет выполнять эти новые обязанности с высочайшим уровнем профессионализма в интересах пользователей системы PCT.</w:t>
      </w:r>
    </w:p>
    <w:p w14:paraId="32F55B23" w14:textId="38027308" w:rsidR="006A55A2" w:rsidRDefault="007A50FF" w:rsidP="007A50FF">
      <w:pPr>
        <w:pStyle w:val="ONUME"/>
        <w:numPr>
          <w:ilvl w:val="0"/>
          <w:numId w:val="0"/>
        </w:numPr>
        <w:spacing w:before="720"/>
        <w:ind w:left="5940"/>
      </w:pPr>
      <w:r>
        <w:t>[</w:t>
      </w:r>
      <w:r w:rsidR="00B162B9">
        <w:t>Конец документа</w:t>
      </w:r>
      <w:r>
        <w:t>]</w:t>
      </w:r>
    </w:p>
    <w:sectPr w:rsidR="006A55A2" w:rsidSect="00055AB1">
      <w:headerReference w:type="default" r:id="rId6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EA29A" w14:textId="77777777" w:rsidR="003E6A98" w:rsidRDefault="003E6A98">
      <w:r>
        <w:separator/>
      </w:r>
    </w:p>
  </w:endnote>
  <w:endnote w:type="continuationSeparator" w:id="0">
    <w:p w14:paraId="39B838CB" w14:textId="77777777" w:rsidR="003E6A98" w:rsidRDefault="003E6A98" w:rsidP="003B38C1">
      <w:r>
        <w:separator/>
      </w:r>
    </w:p>
    <w:p w14:paraId="6B67A6CD" w14:textId="77777777" w:rsidR="003E6A98" w:rsidRPr="0015195F" w:rsidRDefault="003E6A98" w:rsidP="003B38C1">
      <w:pPr>
        <w:spacing w:after="60"/>
        <w:rPr>
          <w:sz w:val="17"/>
          <w:lang w:val="en-US"/>
        </w:rPr>
      </w:pPr>
      <w:r w:rsidRPr="0015195F">
        <w:rPr>
          <w:sz w:val="17"/>
          <w:lang w:val="en-US"/>
        </w:rPr>
        <w:t>[Endnote continued from previous page]</w:t>
      </w:r>
    </w:p>
  </w:endnote>
  <w:endnote w:type="continuationNotice" w:id="1">
    <w:p w14:paraId="2645E647" w14:textId="77777777" w:rsidR="003E6A98" w:rsidRPr="0015195F" w:rsidRDefault="003E6A98" w:rsidP="003B38C1">
      <w:pPr>
        <w:spacing w:before="60"/>
        <w:jc w:val="right"/>
        <w:rPr>
          <w:sz w:val="17"/>
          <w:szCs w:val="17"/>
          <w:lang w:val="en-US"/>
        </w:rPr>
      </w:pPr>
      <w:r w:rsidRPr="0015195F">
        <w:rPr>
          <w:sz w:val="17"/>
          <w:szCs w:val="17"/>
          <w:lang w:val="en-US"/>
        </w:rPr>
        <w:t xml:space="preserve">[Endnote </w:t>
      </w:r>
      <w:proofErr w:type="gramStart"/>
      <w:r w:rsidRPr="0015195F">
        <w:rPr>
          <w:sz w:val="17"/>
          <w:szCs w:val="17"/>
          <w:lang w:val="en-US"/>
        </w:rPr>
        <w:t>continued on</w:t>
      </w:r>
      <w:proofErr w:type="gramEnd"/>
      <w:r w:rsidRPr="0015195F">
        <w:rPr>
          <w:sz w:val="17"/>
          <w:szCs w:val="17"/>
          <w:lang w:val="en-US"/>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1ED77" w14:textId="77777777" w:rsidR="003E6A98" w:rsidRDefault="003E6A98">
      <w:r>
        <w:separator/>
      </w:r>
    </w:p>
  </w:footnote>
  <w:footnote w:type="continuationSeparator" w:id="0">
    <w:p w14:paraId="4B99ACAC" w14:textId="77777777" w:rsidR="003E6A98" w:rsidRDefault="003E6A98" w:rsidP="008B60B2">
      <w:r>
        <w:separator/>
      </w:r>
    </w:p>
    <w:p w14:paraId="61821A86" w14:textId="77777777" w:rsidR="003E6A98" w:rsidRPr="0015195F" w:rsidRDefault="003E6A98" w:rsidP="008B60B2">
      <w:pPr>
        <w:spacing w:after="60"/>
        <w:rPr>
          <w:sz w:val="17"/>
          <w:szCs w:val="17"/>
          <w:lang w:val="en-US"/>
        </w:rPr>
      </w:pPr>
      <w:r w:rsidRPr="0015195F">
        <w:rPr>
          <w:sz w:val="17"/>
          <w:szCs w:val="17"/>
          <w:lang w:val="en-US"/>
        </w:rPr>
        <w:t>[Footnote continued from previous page]</w:t>
      </w:r>
    </w:p>
  </w:footnote>
  <w:footnote w:type="continuationNotice" w:id="1">
    <w:p w14:paraId="5E3923AA" w14:textId="77777777" w:rsidR="003E6A98" w:rsidRPr="0015195F" w:rsidRDefault="003E6A98" w:rsidP="008B60B2">
      <w:pPr>
        <w:spacing w:before="60"/>
        <w:jc w:val="right"/>
        <w:rPr>
          <w:sz w:val="17"/>
          <w:szCs w:val="17"/>
          <w:lang w:val="en-US"/>
        </w:rPr>
      </w:pPr>
      <w:r w:rsidRPr="0015195F">
        <w:rPr>
          <w:sz w:val="17"/>
          <w:szCs w:val="17"/>
          <w:lang w:val="en-US"/>
        </w:rPr>
        <w:t xml:space="preserve">[Footnote </w:t>
      </w:r>
      <w:proofErr w:type="gramStart"/>
      <w:r w:rsidRPr="0015195F">
        <w:rPr>
          <w:sz w:val="17"/>
          <w:szCs w:val="17"/>
          <w:lang w:val="en-US"/>
        </w:rPr>
        <w:t>continued on</w:t>
      </w:r>
      <w:proofErr w:type="gramEnd"/>
      <w:r w:rsidRPr="0015195F">
        <w:rPr>
          <w:sz w:val="17"/>
          <w:szCs w:val="17"/>
          <w:lang w:val="en-US"/>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EBFE" w14:textId="1C4B1BA0" w:rsidR="00EC4E49" w:rsidRDefault="00055AB1" w:rsidP="00477D6B">
    <w:pPr>
      <w:jc w:val="right"/>
    </w:pPr>
    <w:bookmarkStart w:id="6" w:name="Code2"/>
    <w:bookmarkEnd w:id="6"/>
    <w:r>
      <w:t>PCT/A/58/4 Prov.</w:t>
    </w:r>
  </w:p>
  <w:p w14:paraId="4D4F650F" w14:textId="77777777" w:rsidR="00EC4E49" w:rsidRDefault="00EC4E49" w:rsidP="00477D6B">
    <w:pPr>
      <w:jc w:val="right"/>
    </w:pPr>
    <w:r>
      <w:t xml:space="preserve">cтр. </w:t>
    </w:r>
    <w:r>
      <w:fldChar w:fldCharType="begin"/>
    </w:r>
    <w:r>
      <w:instrText xml:space="preserve"> PAGE  \* MERGEFORMAT </w:instrText>
    </w:r>
    <w:r>
      <w:fldChar w:fldCharType="separate"/>
    </w:r>
    <w:r w:rsidR="00E671A6">
      <w:t>2</w:t>
    </w:r>
    <w:r>
      <w:fldChar w:fldCharType="end"/>
    </w:r>
  </w:p>
  <w:p w14:paraId="79E4DEF7" w14:textId="77777777" w:rsidR="00EC4E49" w:rsidRDefault="00EC4E49" w:rsidP="00477D6B">
    <w:pPr>
      <w:jc w:val="right"/>
    </w:pPr>
  </w:p>
  <w:p w14:paraId="5C4AA6DC"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9F0F34"/>
    <w:multiLevelType w:val="hybridMultilevel"/>
    <w:tmpl w:val="4EE410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99C5955"/>
    <w:multiLevelType w:val="hybridMultilevel"/>
    <w:tmpl w:val="4EE410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B90F17"/>
    <w:multiLevelType w:val="hybridMultilevel"/>
    <w:tmpl w:val="4EE41040"/>
    <w:lvl w:ilvl="0" w:tplc="6A1AC0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6197115">
    <w:abstractNumId w:val="3"/>
  </w:num>
  <w:num w:numId="2" w16cid:durableId="963269539">
    <w:abstractNumId w:val="6"/>
  </w:num>
  <w:num w:numId="3" w16cid:durableId="311837648">
    <w:abstractNumId w:val="0"/>
  </w:num>
  <w:num w:numId="4" w16cid:durableId="471216670">
    <w:abstractNumId w:val="7"/>
  </w:num>
  <w:num w:numId="5" w16cid:durableId="1818837533">
    <w:abstractNumId w:val="1"/>
  </w:num>
  <w:num w:numId="6" w16cid:durableId="1488129275">
    <w:abstractNumId w:val="4"/>
  </w:num>
  <w:num w:numId="7" w16cid:durableId="1186361923">
    <w:abstractNumId w:val="8"/>
  </w:num>
  <w:num w:numId="8" w16cid:durableId="1702703732">
    <w:abstractNumId w:val="5"/>
  </w:num>
  <w:num w:numId="9" w16cid:durableId="1673222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AB1"/>
    <w:rsid w:val="00003699"/>
    <w:rsid w:val="00004735"/>
    <w:rsid w:val="0000567F"/>
    <w:rsid w:val="00006256"/>
    <w:rsid w:val="00010DA2"/>
    <w:rsid w:val="00010F8E"/>
    <w:rsid w:val="0001647B"/>
    <w:rsid w:val="00020BE6"/>
    <w:rsid w:val="000230A4"/>
    <w:rsid w:val="0002391F"/>
    <w:rsid w:val="00027379"/>
    <w:rsid w:val="00030706"/>
    <w:rsid w:val="00032026"/>
    <w:rsid w:val="000330C7"/>
    <w:rsid w:val="00034C74"/>
    <w:rsid w:val="00037203"/>
    <w:rsid w:val="00041D7A"/>
    <w:rsid w:val="00041F8A"/>
    <w:rsid w:val="00042804"/>
    <w:rsid w:val="00043549"/>
    <w:rsid w:val="00043CAA"/>
    <w:rsid w:val="000458BA"/>
    <w:rsid w:val="00046A0F"/>
    <w:rsid w:val="000471CB"/>
    <w:rsid w:val="0005500E"/>
    <w:rsid w:val="000559FA"/>
    <w:rsid w:val="00055AB1"/>
    <w:rsid w:val="0005659D"/>
    <w:rsid w:val="00060D9D"/>
    <w:rsid w:val="00065D05"/>
    <w:rsid w:val="00075058"/>
    <w:rsid w:val="00075179"/>
    <w:rsid w:val="00075432"/>
    <w:rsid w:val="00082776"/>
    <w:rsid w:val="000828F2"/>
    <w:rsid w:val="00084581"/>
    <w:rsid w:val="000862E1"/>
    <w:rsid w:val="00086699"/>
    <w:rsid w:val="00090B6F"/>
    <w:rsid w:val="00091DFB"/>
    <w:rsid w:val="000949E0"/>
    <w:rsid w:val="000968ED"/>
    <w:rsid w:val="000A069C"/>
    <w:rsid w:val="000A1B53"/>
    <w:rsid w:val="000A1B7C"/>
    <w:rsid w:val="000A2946"/>
    <w:rsid w:val="000A420E"/>
    <w:rsid w:val="000A5D32"/>
    <w:rsid w:val="000B249B"/>
    <w:rsid w:val="000B25BE"/>
    <w:rsid w:val="000B47F9"/>
    <w:rsid w:val="000B4844"/>
    <w:rsid w:val="000B7098"/>
    <w:rsid w:val="000B7C93"/>
    <w:rsid w:val="000C4473"/>
    <w:rsid w:val="000C631B"/>
    <w:rsid w:val="000D28AE"/>
    <w:rsid w:val="000D2A94"/>
    <w:rsid w:val="000D2D00"/>
    <w:rsid w:val="000E2FCC"/>
    <w:rsid w:val="000E43FB"/>
    <w:rsid w:val="000E507F"/>
    <w:rsid w:val="000E573C"/>
    <w:rsid w:val="000E66DA"/>
    <w:rsid w:val="000F0511"/>
    <w:rsid w:val="000F0EB0"/>
    <w:rsid w:val="000F1019"/>
    <w:rsid w:val="000F3DFC"/>
    <w:rsid w:val="000F4209"/>
    <w:rsid w:val="000F5E56"/>
    <w:rsid w:val="000F63B5"/>
    <w:rsid w:val="000F6DFD"/>
    <w:rsid w:val="001024FE"/>
    <w:rsid w:val="00104946"/>
    <w:rsid w:val="00110666"/>
    <w:rsid w:val="00111250"/>
    <w:rsid w:val="001116C5"/>
    <w:rsid w:val="00113E48"/>
    <w:rsid w:val="00122766"/>
    <w:rsid w:val="00123646"/>
    <w:rsid w:val="00124888"/>
    <w:rsid w:val="001256C9"/>
    <w:rsid w:val="00131AC2"/>
    <w:rsid w:val="00133FEC"/>
    <w:rsid w:val="001362EE"/>
    <w:rsid w:val="00136527"/>
    <w:rsid w:val="001379BB"/>
    <w:rsid w:val="00142868"/>
    <w:rsid w:val="00142EC0"/>
    <w:rsid w:val="00143635"/>
    <w:rsid w:val="001469A4"/>
    <w:rsid w:val="0015099B"/>
    <w:rsid w:val="00150EA7"/>
    <w:rsid w:val="0015195F"/>
    <w:rsid w:val="00157332"/>
    <w:rsid w:val="001601E3"/>
    <w:rsid w:val="00162163"/>
    <w:rsid w:val="00171275"/>
    <w:rsid w:val="00175EDF"/>
    <w:rsid w:val="00176549"/>
    <w:rsid w:val="001817EF"/>
    <w:rsid w:val="001832A6"/>
    <w:rsid w:val="00186A16"/>
    <w:rsid w:val="00190869"/>
    <w:rsid w:val="0019142D"/>
    <w:rsid w:val="0019757A"/>
    <w:rsid w:val="001A16EA"/>
    <w:rsid w:val="001A3A1E"/>
    <w:rsid w:val="001A7698"/>
    <w:rsid w:val="001B2018"/>
    <w:rsid w:val="001B2678"/>
    <w:rsid w:val="001B44FB"/>
    <w:rsid w:val="001B6340"/>
    <w:rsid w:val="001B6449"/>
    <w:rsid w:val="001B7935"/>
    <w:rsid w:val="001C03F2"/>
    <w:rsid w:val="001C19E8"/>
    <w:rsid w:val="001C1D18"/>
    <w:rsid w:val="001C23AF"/>
    <w:rsid w:val="001C3967"/>
    <w:rsid w:val="001C6808"/>
    <w:rsid w:val="001D0F65"/>
    <w:rsid w:val="001E009E"/>
    <w:rsid w:val="001E0954"/>
    <w:rsid w:val="001E1972"/>
    <w:rsid w:val="001E198A"/>
    <w:rsid w:val="001E2393"/>
    <w:rsid w:val="001E4C32"/>
    <w:rsid w:val="001F2796"/>
    <w:rsid w:val="001F42FA"/>
    <w:rsid w:val="00201102"/>
    <w:rsid w:val="0020294E"/>
    <w:rsid w:val="00206208"/>
    <w:rsid w:val="00211F45"/>
    <w:rsid w:val="002121FA"/>
    <w:rsid w:val="00212E09"/>
    <w:rsid w:val="002144CF"/>
    <w:rsid w:val="00221F35"/>
    <w:rsid w:val="00231E1D"/>
    <w:rsid w:val="00233AA0"/>
    <w:rsid w:val="00234DFB"/>
    <w:rsid w:val="00240761"/>
    <w:rsid w:val="00240C4E"/>
    <w:rsid w:val="00244813"/>
    <w:rsid w:val="00245774"/>
    <w:rsid w:val="0024722E"/>
    <w:rsid w:val="002517DB"/>
    <w:rsid w:val="00253B16"/>
    <w:rsid w:val="00256BAB"/>
    <w:rsid w:val="002634C4"/>
    <w:rsid w:val="00264B0C"/>
    <w:rsid w:val="00266904"/>
    <w:rsid w:val="00266C15"/>
    <w:rsid w:val="00272F44"/>
    <w:rsid w:val="00274F7B"/>
    <w:rsid w:val="00275598"/>
    <w:rsid w:val="00275CA8"/>
    <w:rsid w:val="002768DA"/>
    <w:rsid w:val="00282571"/>
    <w:rsid w:val="00285629"/>
    <w:rsid w:val="00287C2E"/>
    <w:rsid w:val="002928D3"/>
    <w:rsid w:val="002953C2"/>
    <w:rsid w:val="00295EED"/>
    <w:rsid w:val="0029620F"/>
    <w:rsid w:val="00297C60"/>
    <w:rsid w:val="002A37F1"/>
    <w:rsid w:val="002A4E64"/>
    <w:rsid w:val="002B0554"/>
    <w:rsid w:val="002B2304"/>
    <w:rsid w:val="002B30E6"/>
    <w:rsid w:val="002B3E4B"/>
    <w:rsid w:val="002B523C"/>
    <w:rsid w:val="002C018E"/>
    <w:rsid w:val="002C258E"/>
    <w:rsid w:val="002C5058"/>
    <w:rsid w:val="002C692A"/>
    <w:rsid w:val="002C6CC5"/>
    <w:rsid w:val="002D0527"/>
    <w:rsid w:val="002D142F"/>
    <w:rsid w:val="002D382A"/>
    <w:rsid w:val="002E3972"/>
    <w:rsid w:val="002E3B39"/>
    <w:rsid w:val="002E688A"/>
    <w:rsid w:val="002E6FF7"/>
    <w:rsid w:val="002F0D78"/>
    <w:rsid w:val="002F10AD"/>
    <w:rsid w:val="002F1FE6"/>
    <w:rsid w:val="002F4E68"/>
    <w:rsid w:val="002F5B2D"/>
    <w:rsid w:val="002F6E7F"/>
    <w:rsid w:val="002F7643"/>
    <w:rsid w:val="003005FC"/>
    <w:rsid w:val="00300CFC"/>
    <w:rsid w:val="00301945"/>
    <w:rsid w:val="00301DC2"/>
    <w:rsid w:val="00303474"/>
    <w:rsid w:val="0030357D"/>
    <w:rsid w:val="003041A6"/>
    <w:rsid w:val="00312F7F"/>
    <w:rsid w:val="00314E24"/>
    <w:rsid w:val="00322043"/>
    <w:rsid w:val="003228B7"/>
    <w:rsid w:val="00323CFC"/>
    <w:rsid w:val="00324ADD"/>
    <w:rsid w:val="0032611A"/>
    <w:rsid w:val="00332B5D"/>
    <w:rsid w:val="00333265"/>
    <w:rsid w:val="00333A0A"/>
    <w:rsid w:val="00333AD4"/>
    <w:rsid w:val="00336087"/>
    <w:rsid w:val="003375A8"/>
    <w:rsid w:val="00341F1E"/>
    <w:rsid w:val="003508A3"/>
    <w:rsid w:val="00353541"/>
    <w:rsid w:val="003554F7"/>
    <w:rsid w:val="003572C1"/>
    <w:rsid w:val="00360EBD"/>
    <w:rsid w:val="003635ED"/>
    <w:rsid w:val="00365E18"/>
    <w:rsid w:val="003673CF"/>
    <w:rsid w:val="00371612"/>
    <w:rsid w:val="003724D5"/>
    <w:rsid w:val="003743CA"/>
    <w:rsid w:val="00374518"/>
    <w:rsid w:val="003753B7"/>
    <w:rsid w:val="00377056"/>
    <w:rsid w:val="003845C1"/>
    <w:rsid w:val="003870AF"/>
    <w:rsid w:val="003878E1"/>
    <w:rsid w:val="0039201C"/>
    <w:rsid w:val="00392B71"/>
    <w:rsid w:val="0039397E"/>
    <w:rsid w:val="00394D19"/>
    <w:rsid w:val="00394F32"/>
    <w:rsid w:val="003A34DD"/>
    <w:rsid w:val="003A543D"/>
    <w:rsid w:val="003A6345"/>
    <w:rsid w:val="003A672A"/>
    <w:rsid w:val="003A6F89"/>
    <w:rsid w:val="003A7442"/>
    <w:rsid w:val="003B2B40"/>
    <w:rsid w:val="003B38C1"/>
    <w:rsid w:val="003B7B84"/>
    <w:rsid w:val="003C2487"/>
    <w:rsid w:val="003C2535"/>
    <w:rsid w:val="003C3126"/>
    <w:rsid w:val="003C4FCB"/>
    <w:rsid w:val="003C6816"/>
    <w:rsid w:val="003C6A29"/>
    <w:rsid w:val="003C6F80"/>
    <w:rsid w:val="003C7906"/>
    <w:rsid w:val="003D0204"/>
    <w:rsid w:val="003D02DF"/>
    <w:rsid w:val="003D05DF"/>
    <w:rsid w:val="003D13A1"/>
    <w:rsid w:val="003D17FC"/>
    <w:rsid w:val="003D352A"/>
    <w:rsid w:val="003D5AF9"/>
    <w:rsid w:val="003D5EF1"/>
    <w:rsid w:val="003E3B8E"/>
    <w:rsid w:val="003E4E07"/>
    <w:rsid w:val="003E6A98"/>
    <w:rsid w:val="003F0E01"/>
    <w:rsid w:val="00400B9C"/>
    <w:rsid w:val="0040246E"/>
    <w:rsid w:val="00402BFA"/>
    <w:rsid w:val="00407D27"/>
    <w:rsid w:val="0041104C"/>
    <w:rsid w:val="00414DB3"/>
    <w:rsid w:val="00423E3E"/>
    <w:rsid w:val="0042616F"/>
    <w:rsid w:val="00427AF4"/>
    <w:rsid w:val="004400E2"/>
    <w:rsid w:val="004430F6"/>
    <w:rsid w:val="00443FAA"/>
    <w:rsid w:val="00444380"/>
    <w:rsid w:val="00453A51"/>
    <w:rsid w:val="00455B5A"/>
    <w:rsid w:val="00460645"/>
    <w:rsid w:val="00461632"/>
    <w:rsid w:val="004647DA"/>
    <w:rsid w:val="0046499A"/>
    <w:rsid w:val="00466D3A"/>
    <w:rsid w:val="00471BF5"/>
    <w:rsid w:val="00472BAD"/>
    <w:rsid w:val="00473437"/>
    <w:rsid w:val="00474062"/>
    <w:rsid w:val="0047453E"/>
    <w:rsid w:val="00474A9C"/>
    <w:rsid w:val="00477837"/>
    <w:rsid w:val="00477D6B"/>
    <w:rsid w:val="00483E36"/>
    <w:rsid w:val="004846F7"/>
    <w:rsid w:val="00490439"/>
    <w:rsid w:val="00490C70"/>
    <w:rsid w:val="00493B95"/>
    <w:rsid w:val="004955C4"/>
    <w:rsid w:val="00495EA4"/>
    <w:rsid w:val="00496838"/>
    <w:rsid w:val="004A258C"/>
    <w:rsid w:val="004A3E92"/>
    <w:rsid w:val="004B15E9"/>
    <w:rsid w:val="004B19F9"/>
    <w:rsid w:val="004B6ED9"/>
    <w:rsid w:val="004B72E4"/>
    <w:rsid w:val="004C2A97"/>
    <w:rsid w:val="004C606C"/>
    <w:rsid w:val="004D259C"/>
    <w:rsid w:val="004D39C4"/>
    <w:rsid w:val="004D3CD3"/>
    <w:rsid w:val="004E189E"/>
    <w:rsid w:val="004E2654"/>
    <w:rsid w:val="004E6041"/>
    <w:rsid w:val="004F0E44"/>
    <w:rsid w:val="004F3D82"/>
    <w:rsid w:val="004F46BE"/>
    <w:rsid w:val="004F65E5"/>
    <w:rsid w:val="005015D3"/>
    <w:rsid w:val="00501D06"/>
    <w:rsid w:val="00505068"/>
    <w:rsid w:val="00506E90"/>
    <w:rsid w:val="005107CA"/>
    <w:rsid w:val="0051215D"/>
    <w:rsid w:val="00512304"/>
    <w:rsid w:val="0051369B"/>
    <w:rsid w:val="00513DBF"/>
    <w:rsid w:val="00514B58"/>
    <w:rsid w:val="005163AD"/>
    <w:rsid w:val="005208C3"/>
    <w:rsid w:val="00522A69"/>
    <w:rsid w:val="0053057A"/>
    <w:rsid w:val="00530E81"/>
    <w:rsid w:val="00531F9A"/>
    <w:rsid w:val="00532B1C"/>
    <w:rsid w:val="00534BFC"/>
    <w:rsid w:val="00536F20"/>
    <w:rsid w:val="00540BA8"/>
    <w:rsid w:val="00541215"/>
    <w:rsid w:val="00541988"/>
    <w:rsid w:val="0054248E"/>
    <w:rsid w:val="00543749"/>
    <w:rsid w:val="0054595A"/>
    <w:rsid w:val="0055191E"/>
    <w:rsid w:val="005545E1"/>
    <w:rsid w:val="0055717F"/>
    <w:rsid w:val="00560A29"/>
    <w:rsid w:val="00561F73"/>
    <w:rsid w:val="00563AD1"/>
    <w:rsid w:val="005670BD"/>
    <w:rsid w:val="00574859"/>
    <w:rsid w:val="0057656E"/>
    <w:rsid w:val="00580826"/>
    <w:rsid w:val="00580885"/>
    <w:rsid w:val="00581D88"/>
    <w:rsid w:val="00582BAC"/>
    <w:rsid w:val="00582E55"/>
    <w:rsid w:val="005900EE"/>
    <w:rsid w:val="00591132"/>
    <w:rsid w:val="005923FD"/>
    <w:rsid w:val="00592507"/>
    <w:rsid w:val="00594D27"/>
    <w:rsid w:val="00595C81"/>
    <w:rsid w:val="00596BB8"/>
    <w:rsid w:val="00597F1F"/>
    <w:rsid w:val="00597F59"/>
    <w:rsid w:val="005B0EC0"/>
    <w:rsid w:val="005B2D13"/>
    <w:rsid w:val="005C044F"/>
    <w:rsid w:val="005C05C8"/>
    <w:rsid w:val="005C2039"/>
    <w:rsid w:val="005C290F"/>
    <w:rsid w:val="005D18DE"/>
    <w:rsid w:val="005D252B"/>
    <w:rsid w:val="005D4697"/>
    <w:rsid w:val="005D6621"/>
    <w:rsid w:val="005E10B5"/>
    <w:rsid w:val="005E6124"/>
    <w:rsid w:val="005E708E"/>
    <w:rsid w:val="005F4A83"/>
    <w:rsid w:val="005F62DF"/>
    <w:rsid w:val="005F76FE"/>
    <w:rsid w:val="005F7D3B"/>
    <w:rsid w:val="00601760"/>
    <w:rsid w:val="006019B8"/>
    <w:rsid w:val="00605827"/>
    <w:rsid w:val="006069B4"/>
    <w:rsid w:val="00611C91"/>
    <w:rsid w:val="00620836"/>
    <w:rsid w:val="00631481"/>
    <w:rsid w:val="0063408E"/>
    <w:rsid w:val="006356EA"/>
    <w:rsid w:val="00636AB9"/>
    <w:rsid w:val="0063766F"/>
    <w:rsid w:val="00641065"/>
    <w:rsid w:val="006427A1"/>
    <w:rsid w:val="00642E8A"/>
    <w:rsid w:val="00646050"/>
    <w:rsid w:val="00653D00"/>
    <w:rsid w:val="00654ED9"/>
    <w:rsid w:val="00656E1F"/>
    <w:rsid w:val="00660F00"/>
    <w:rsid w:val="00663B37"/>
    <w:rsid w:val="006641ED"/>
    <w:rsid w:val="006713CA"/>
    <w:rsid w:val="00676C5C"/>
    <w:rsid w:val="00687E12"/>
    <w:rsid w:val="0069223A"/>
    <w:rsid w:val="00695558"/>
    <w:rsid w:val="00695A2A"/>
    <w:rsid w:val="00697279"/>
    <w:rsid w:val="006A10F1"/>
    <w:rsid w:val="006A2DB9"/>
    <w:rsid w:val="006A32FE"/>
    <w:rsid w:val="006A55A2"/>
    <w:rsid w:val="006A6333"/>
    <w:rsid w:val="006A64B8"/>
    <w:rsid w:val="006B1507"/>
    <w:rsid w:val="006C0B5B"/>
    <w:rsid w:val="006C2D55"/>
    <w:rsid w:val="006D0704"/>
    <w:rsid w:val="006D5E0F"/>
    <w:rsid w:val="006F1BCB"/>
    <w:rsid w:val="006F255C"/>
    <w:rsid w:val="006F50A1"/>
    <w:rsid w:val="0070383F"/>
    <w:rsid w:val="0070508F"/>
    <w:rsid w:val="007058FB"/>
    <w:rsid w:val="007059DE"/>
    <w:rsid w:val="0071288B"/>
    <w:rsid w:val="00713732"/>
    <w:rsid w:val="00713CD5"/>
    <w:rsid w:val="00714CA1"/>
    <w:rsid w:val="00714F92"/>
    <w:rsid w:val="00722480"/>
    <w:rsid w:val="0072409D"/>
    <w:rsid w:val="00724686"/>
    <w:rsid w:val="007273C2"/>
    <w:rsid w:val="00727E44"/>
    <w:rsid w:val="00744A10"/>
    <w:rsid w:val="00751812"/>
    <w:rsid w:val="00754C32"/>
    <w:rsid w:val="00755A3C"/>
    <w:rsid w:val="00762709"/>
    <w:rsid w:val="0076750A"/>
    <w:rsid w:val="007708E2"/>
    <w:rsid w:val="00771EAF"/>
    <w:rsid w:val="007800AC"/>
    <w:rsid w:val="007801A4"/>
    <w:rsid w:val="007833A6"/>
    <w:rsid w:val="00784EC4"/>
    <w:rsid w:val="00791C3B"/>
    <w:rsid w:val="00793C73"/>
    <w:rsid w:val="0079558F"/>
    <w:rsid w:val="007A0102"/>
    <w:rsid w:val="007A0BC7"/>
    <w:rsid w:val="007A4AD8"/>
    <w:rsid w:val="007A50FF"/>
    <w:rsid w:val="007A7A84"/>
    <w:rsid w:val="007B00F1"/>
    <w:rsid w:val="007B2AE8"/>
    <w:rsid w:val="007B3617"/>
    <w:rsid w:val="007B696C"/>
    <w:rsid w:val="007B6A58"/>
    <w:rsid w:val="007B6F12"/>
    <w:rsid w:val="007C47A8"/>
    <w:rsid w:val="007C659C"/>
    <w:rsid w:val="007C6A2F"/>
    <w:rsid w:val="007D07DF"/>
    <w:rsid w:val="007D1613"/>
    <w:rsid w:val="007D40FD"/>
    <w:rsid w:val="007D550C"/>
    <w:rsid w:val="007D60B1"/>
    <w:rsid w:val="007E4E75"/>
    <w:rsid w:val="007E5B16"/>
    <w:rsid w:val="007E7CA9"/>
    <w:rsid w:val="007F1227"/>
    <w:rsid w:val="007F3B8F"/>
    <w:rsid w:val="007F5AB3"/>
    <w:rsid w:val="007F656C"/>
    <w:rsid w:val="007F6626"/>
    <w:rsid w:val="007F7152"/>
    <w:rsid w:val="007F76EB"/>
    <w:rsid w:val="00800CE3"/>
    <w:rsid w:val="00802E09"/>
    <w:rsid w:val="00802E9B"/>
    <w:rsid w:val="00804D02"/>
    <w:rsid w:val="008055BF"/>
    <w:rsid w:val="0083091D"/>
    <w:rsid w:val="00830A2C"/>
    <w:rsid w:val="00830FFE"/>
    <w:rsid w:val="00834C21"/>
    <w:rsid w:val="00840826"/>
    <w:rsid w:val="00840CA1"/>
    <w:rsid w:val="0084257F"/>
    <w:rsid w:val="00842A7A"/>
    <w:rsid w:val="00842D6E"/>
    <w:rsid w:val="008433A6"/>
    <w:rsid w:val="00854413"/>
    <w:rsid w:val="0085732F"/>
    <w:rsid w:val="00861FB9"/>
    <w:rsid w:val="00862A87"/>
    <w:rsid w:val="0087110B"/>
    <w:rsid w:val="00873EE5"/>
    <w:rsid w:val="008821D5"/>
    <w:rsid w:val="00885713"/>
    <w:rsid w:val="00893F3B"/>
    <w:rsid w:val="0089405F"/>
    <w:rsid w:val="008A658C"/>
    <w:rsid w:val="008A68BB"/>
    <w:rsid w:val="008B2CC1"/>
    <w:rsid w:val="008B3FA5"/>
    <w:rsid w:val="008B41B1"/>
    <w:rsid w:val="008B4B5E"/>
    <w:rsid w:val="008B5093"/>
    <w:rsid w:val="008B60B2"/>
    <w:rsid w:val="008B7070"/>
    <w:rsid w:val="008B7EA3"/>
    <w:rsid w:val="008C0F2C"/>
    <w:rsid w:val="008C15BB"/>
    <w:rsid w:val="008C42A6"/>
    <w:rsid w:val="008D61EB"/>
    <w:rsid w:val="008D6B14"/>
    <w:rsid w:val="008E04D8"/>
    <w:rsid w:val="008E6591"/>
    <w:rsid w:val="008F6D10"/>
    <w:rsid w:val="0090397F"/>
    <w:rsid w:val="0090731E"/>
    <w:rsid w:val="00912335"/>
    <w:rsid w:val="00916EE2"/>
    <w:rsid w:val="009171CC"/>
    <w:rsid w:val="00917DD0"/>
    <w:rsid w:val="00927823"/>
    <w:rsid w:val="00930D6A"/>
    <w:rsid w:val="00931421"/>
    <w:rsid w:val="0093202B"/>
    <w:rsid w:val="00932822"/>
    <w:rsid w:val="00932C86"/>
    <w:rsid w:val="00934FB9"/>
    <w:rsid w:val="00935413"/>
    <w:rsid w:val="00937659"/>
    <w:rsid w:val="00943D78"/>
    <w:rsid w:val="00945C02"/>
    <w:rsid w:val="00946C01"/>
    <w:rsid w:val="00951C0F"/>
    <w:rsid w:val="00952E39"/>
    <w:rsid w:val="00952EB6"/>
    <w:rsid w:val="009549F8"/>
    <w:rsid w:val="009564CF"/>
    <w:rsid w:val="0096341F"/>
    <w:rsid w:val="0096418A"/>
    <w:rsid w:val="00966A22"/>
    <w:rsid w:val="00966E19"/>
    <w:rsid w:val="0096722F"/>
    <w:rsid w:val="00967F13"/>
    <w:rsid w:val="00980843"/>
    <w:rsid w:val="00987F9B"/>
    <w:rsid w:val="00995CEB"/>
    <w:rsid w:val="0099721A"/>
    <w:rsid w:val="009A2BCA"/>
    <w:rsid w:val="009A392F"/>
    <w:rsid w:val="009A5F9F"/>
    <w:rsid w:val="009A6784"/>
    <w:rsid w:val="009B1297"/>
    <w:rsid w:val="009B697A"/>
    <w:rsid w:val="009B7442"/>
    <w:rsid w:val="009B7E19"/>
    <w:rsid w:val="009B7F6B"/>
    <w:rsid w:val="009C497E"/>
    <w:rsid w:val="009C507D"/>
    <w:rsid w:val="009D1AFE"/>
    <w:rsid w:val="009D4C7A"/>
    <w:rsid w:val="009D5433"/>
    <w:rsid w:val="009D7A6C"/>
    <w:rsid w:val="009E2791"/>
    <w:rsid w:val="009E2E7B"/>
    <w:rsid w:val="009E3F6F"/>
    <w:rsid w:val="009E54B6"/>
    <w:rsid w:val="009E73EE"/>
    <w:rsid w:val="009F0EB2"/>
    <w:rsid w:val="009F3BF9"/>
    <w:rsid w:val="009F499F"/>
    <w:rsid w:val="009F5CA0"/>
    <w:rsid w:val="00A02112"/>
    <w:rsid w:val="00A06838"/>
    <w:rsid w:val="00A06AA2"/>
    <w:rsid w:val="00A10139"/>
    <w:rsid w:val="00A14DD5"/>
    <w:rsid w:val="00A24A69"/>
    <w:rsid w:val="00A24AF4"/>
    <w:rsid w:val="00A25E5A"/>
    <w:rsid w:val="00A30E95"/>
    <w:rsid w:val="00A33A9E"/>
    <w:rsid w:val="00A36318"/>
    <w:rsid w:val="00A42DAF"/>
    <w:rsid w:val="00A447B5"/>
    <w:rsid w:val="00A45BD8"/>
    <w:rsid w:val="00A47565"/>
    <w:rsid w:val="00A47B1F"/>
    <w:rsid w:val="00A5029F"/>
    <w:rsid w:val="00A50A6F"/>
    <w:rsid w:val="00A51157"/>
    <w:rsid w:val="00A541C2"/>
    <w:rsid w:val="00A54251"/>
    <w:rsid w:val="00A57A34"/>
    <w:rsid w:val="00A57AD2"/>
    <w:rsid w:val="00A60421"/>
    <w:rsid w:val="00A63E34"/>
    <w:rsid w:val="00A657C0"/>
    <w:rsid w:val="00A73864"/>
    <w:rsid w:val="00A778BF"/>
    <w:rsid w:val="00A80EE2"/>
    <w:rsid w:val="00A8274B"/>
    <w:rsid w:val="00A84E42"/>
    <w:rsid w:val="00A8536C"/>
    <w:rsid w:val="00A85B8E"/>
    <w:rsid w:val="00A8683C"/>
    <w:rsid w:val="00A9255F"/>
    <w:rsid w:val="00A925B5"/>
    <w:rsid w:val="00A95922"/>
    <w:rsid w:val="00A95BF7"/>
    <w:rsid w:val="00A95E35"/>
    <w:rsid w:val="00A97CAE"/>
    <w:rsid w:val="00A97E6B"/>
    <w:rsid w:val="00AA0278"/>
    <w:rsid w:val="00AA2AE5"/>
    <w:rsid w:val="00AA40DC"/>
    <w:rsid w:val="00AA46EB"/>
    <w:rsid w:val="00AA4C55"/>
    <w:rsid w:val="00AA4E86"/>
    <w:rsid w:val="00AA6044"/>
    <w:rsid w:val="00AA6E79"/>
    <w:rsid w:val="00AB7C26"/>
    <w:rsid w:val="00AC0939"/>
    <w:rsid w:val="00AC205C"/>
    <w:rsid w:val="00AC33C3"/>
    <w:rsid w:val="00AD4A85"/>
    <w:rsid w:val="00AE64F9"/>
    <w:rsid w:val="00AE7B99"/>
    <w:rsid w:val="00AE7D0C"/>
    <w:rsid w:val="00AF189B"/>
    <w:rsid w:val="00AF1FDF"/>
    <w:rsid w:val="00AF5C73"/>
    <w:rsid w:val="00AF6F04"/>
    <w:rsid w:val="00B0103F"/>
    <w:rsid w:val="00B02973"/>
    <w:rsid w:val="00B03801"/>
    <w:rsid w:val="00B0406A"/>
    <w:rsid w:val="00B05A69"/>
    <w:rsid w:val="00B05C9A"/>
    <w:rsid w:val="00B063D9"/>
    <w:rsid w:val="00B10777"/>
    <w:rsid w:val="00B12B10"/>
    <w:rsid w:val="00B13525"/>
    <w:rsid w:val="00B162B9"/>
    <w:rsid w:val="00B1657D"/>
    <w:rsid w:val="00B2071B"/>
    <w:rsid w:val="00B2444A"/>
    <w:rsid w:val="00B2592C"/>
    <w:rsid w:val="00B32151"/>
    <w:rsid w:val="00B37765"/>
    <w:rsid w:val="00B40598"/>
    <w:rsid w:val="00B43025"/>
    <w:rsid w:val="00B44E40"/>
    <w:rsid w:val="00B44E81"/>
    <w:rsid w:val="00B46BCA"/>
    <w:rsid w:val="00B46F7E"/>
    <w:rsid w:val="00B47E7E"/>
    <w:rsid w:val="00B507EB"/>
    <w:rsid w:val="00B50B99"/>
    <w:rsid w:val="00B5456A"/>
    <w:rsid w:val="00B563A1"/>
    <w:rsid w:val="00B62BED"/>
    <w:rsid w:val="00B62CD9"/>
    <w:rsid w:val="00B67B5F"/>
    <w:rsid w:val="00B84224"/>
    <w:rsid w:val="00B86BDA"/>
    <w:rsid w:val="00B965FB"/>
    <w:rsid w:val="00B9734B"/>
    <w:rsid w:val="00B97F54"/>
    <w:rsid w:val="00BA1CEF"/>
    <w:rsid w:val="00BA54FF"/>
    <w:rsid w:val="00BA57FA"/>
    <w:rsid w:val="00BA5B2F"/>
    <w:rsid w:val="00BA691E"/>
    <w:rsid w:val="00BA7230"/>
    <w:rsid w:val="00BB03B9"/>
    <w:rsid w:val="00BB0924"/>
    <w:rsid w:val="00BB3A9C"/>
    <w:rsid w:val="00BC1141"/>
    <w:rsid w:val="00BC1787"/>
    <w:rsid w:val="00BC4462"/>
    <w:rsid w:val="00BC7796"/>
    <w:rsid w:val="00BD3068"/>
    <w:rsid w:val="00BD3A93"/>
    <w:rsid w:val="00BD6033"/>
    <w:rsid w:val="00BE5CD5"/>
    <w:rsid w:val="00BE66C9"/>
    <w:rsid w:val="00BF1146"/>
    <w:rsid w:val="00BF1411"/>
    <w:rsid w:val="00BF2677"/>
    <w:rsid w:val="00BF75C4"/>
    <w:rsid w:val="00C02C05"/>
    <w:rsid w:val="00C069A0"/>
    <w:rsid w:val="00C070F3"/>
    <w:rsid w:val="00C10C47"/>
    <w:rsid w:val="00C11044"/>
    <w:rsid w:val="00C11ABE"/>
    <w:rsid w:val="00C11BFE"/>
    <w:rsid w:val="00C163B8"/>
    <w:rsid w:val="00C24EA9"/>
    <w:rsid w:val="00C258AA"/>
    <w:rsid w:val="00C31922"/>
    <w:rsid w:val="00C31ACC"/>
    <w:rsid w:val="00C3379B"/>
    <w:rsid w:val="00C3551A"/>
    <w:rsid w:val="00C3782B"/>
    <w:rsid w:val="00C40628"/>
    <w:rsid w:val="00C43577"/>
    <w:rsid w:val="00C4427A"/>
    <w:rsid w:val="00C45AA9"/>
    <w:rsid w:val="00C47C55"/>
    <w:rsid w:val="00C5293D"/>
    <w:rsid w:val="00C53CD0"/>
    <w:rsid w:val="00C540F8"/>
    <w:rsid w:val="00C54ACD"/>
    <w:rsid w:val="00C61A74"/>
    <w:rsid w:val="00C6588E"/>
    <w:rsid w:val="00C65B03"/>
    <w:rsid w:val="00C65EDC"/>
    <w:rsid w:val="00C66973"/>
    <w:rsid w:val="00C679FC"/>
    <w:rsid w:val="00C7491B"/>
    <w:rsid w:val="00C74A0F"/>
    <w:rsid w:val="00C77BA2"/>
    <w:rsid w:val="00C80DCB"/>
    <w:rsid w:val="00C826F0"/>
    <w:rsid w:val="00C86E81"/>
    <w:rsid w:val="00C925CD"/>
    <w:rsid w:val="00C94629"/>
    <w:rsid w:val="00C947A9"/>
    <w:rsid w:val="00C94DFD"/>
    <w:rsid w:val="00CA5426"/>
    <w:rsid w:val="00CA7903"/>
    <w:rsid w:val="00CB0766"/>
    <w:rsid w:val="00CB0839"/>
    <w:rsid w:val="00CB4DEA"/>
    <w:rsid w:val="00CB4DF0"/>
    <w:rsid w:val="00CB76D4"/>
    <w:rsid w:val="00CB7EA5"/>
    <w:rsid w:val="00CC2A5E"/>
    <w:rsid w:val="00CC3FA5"/>
    <w:rsid w:val="00CD3FC7"/>
    <w:rsid w:val="00CD58F7"/>
    <w:rsid w:val="00CE013C"/>
    <w:rsid w:val="00CE3FBA"/>
    <w:rsid w:val="00CE65D4"/>
    <w:rsid w:val="00CF27FB"/>
    <w:rsid w:val="00CF2C71"/>
    <w:rsid w:val="00CF3414"/>
    <w:rsid w:val="00CF5EEE"/>
    <w:rsid w:val="00CF61A5"/>
    <w:rsid w:val="00D024F6"/>
    <w:rsid w:val="00D04005"/>
    <w:rsid w:val="00D11946"/>
    <w:rsid w:val="00D14E5D"/>
    <w:rsid w:val="00D14E8A"/>
    <w:rsid w:val="00D162C8"/>
    <w:rsid w:val="00D2657B"/>
    <w:rsid w:val="00D31116"/>
    <w:rsid w:val="00D32920"/>
    <w:rsid w:val="00D34657"/>
    <w:rsid w:val="00D353B5"/>
    <w:rsid w:val="00D36616"/>
    <w:rsid w:val="00D37D88"/>
    <w:rsid w:val="00D42613"/>
    <w:rsid w:val="00D45252"/>
    <w:rsid w:val="00D45382"/>
    <w:rsid w:val="00D458B8"/>
    <w:rsid w:val="00D503DA"/>
    <w:rsid w:val="00D50FC8"/>
    <w:rsid w:val="00D513B9"/>
    <w:rsid w:val="00D534F4"/>
    <w:rsid w:val="00D54C59"/>
    <w:rsid w:val="00D54F87"/>
    <w:rsid w:val="00D55987"/>
    <w:rsid w:val="00D629B6"/>
    <w:rsid w:val="00D70A46"/>
    <w:rsid w:val="00D71B4D"/>
    <w:rsid w:val="00D71F68"/>
    <w:rsid w:val="00D73A77"/>
    <w:rsid w:val="00D751F0"/>
    <w:rsid w:val="00D76952"/>
    <w:rsid w:val="00D77F59"/>
    <w:rsid w:val="00D805A9"/>
    <w:rsid w:val="00D8119A"/>
    <w:rsid w:val="00D82277"/>
    <w:rsid w:val="00D82E6F"/>
    <w:rsid w:val="00D83202"/>
    <w:rsid w:val="00D85A6E"/>
    <w:rsid w:val="00D90D9C"/>
    <w:rsid w:val="00D91AA5"/>
    <w:rsid w:val="00D92E56"/>
    <w:rsid w:val="00D93D55"/>
    <w:rsid w:val="00D946A3"/>
    <w:rsid w:val="00D94A8E"/>
    <w:rsid w:val="00D94F5C"/>
    <w:rsid w:val="00D968F2"/>
    <w:rsid w:val="00DB231F"/>
    <w:rsid w:val="00DB2CE2"/>
    <w:rsid w:val="00DB35BE"/>
    <w:rsid w:val="00DB5107"/>
    <w:rsid w:val="00DB7C87"/>
    <w:rsid w:val="00DC1782"/>
    <w:rsid w:val="00DC39D9"/>
    <w:rsid w:val="00DC677C"/>
    <w:rsid w:val="00DC7ABB"/>
    <w:rsid w:val="00DD07B6"/>
    <w:rsid w:val="00DD18DB"/>
    <w:rsid w:val="00DD4D6D"/>
    <w:rsid w:val="00DD6C51"/>
    <w:rsid w:val="00DE00AC"/>
    <w:rsid w:val="00DE08DC"/>
    <w:rsid w:val="00DE2C70"/>
    <w:rsid w:val="00DE7CD4"/>
    <w:rsid w:val="00DF2725"/>
    <w:rsid w:val="00DF3FA3"/>
    <w:rsid w:val="00E1259D"/>
    <w:rsid w:val="00E15480"/>
    <w:rsid w:val="00E1609E"/>
    <w:rsid w:val="00E161A2"/>
    <w:rsid w:val="00E17739"/>
    <w:rsid w:val="00E335FE"/>
    <w:rsid w:val="00E37DE1"/>
    <w:rsid w:val="00E4078A"/>
    <w:rsid w:val="00E43D4A"/>
    <w:rsid w:val="00E4513C"/>
    <w:rsid w:val="00E4526F"/>
    <w:rsid w:val="00E45BC7"/>
    <w:rsid w:val="00E5021F"/>
    <w:rsid w:val="00E513E9"/>
    <w:rsid w:val="00E5619F"/>
    <w:rsid w:val="00E66AC8"/>
    <w:rsid w:val="00E671A6"/>
    <w:rsid w:val="00E67357"/>
    <w:rsid w:val="00E73798"/>
    <w:rsid w:val="00E766B5"/>
    <w:rsid w:val="00E77425"/>
    <w:rsid w:val="00E8112C"/>
    <w:rsid w:val="00E818C8"/>
    <w:rsid w:val="00E83CE7"/>
    <w:rsid w:val="00E9580A"/>
    <w:rsid w:val="00E95A93"/>
    <w:rsid w:val="00E96E3E"/>
    <w:rsid w:val="00EA59B1"/>
    <w:rsid w:val="00EA7863"/>
    <w:rsid w:val="00EB1C56"/>
    <w:rsid w:val="00EB530A"/>
    <w:rsid w:val="00EC4E49"/>
    <w:rsid w:val="00ED3815"/>
    <w:rsid w:val="00ED77FB"/>
    <w:rsid w:val="00EE0650"/>
    <w:rsid w:val="00EE1978"/>
    <w:rsid w:val="00EE2887"/>
    <w:rsid w:val="00EE5232"/>
    <w:rsid w:val="00EF07C1"/>
    <w:rsid w:val="00EF24DB"/>
    <w:rsid w:val="00EF66F4"/>
    <w:rsid w:val="00F021A6"/>
    <w:rsid w:val="00F0324D"/>
    <w:rsid w:val="00F0426F"/>
    <w:rsid w:val="00F05C5F"/>
    <w:rsid w:val="00F11D94"/>
    <w:rsid w:val="00F157A3"/>
    <w:rsid w:val="00F15880"/>
    <w:rsid w:val="00F17F0D"/>
    <w:rsid w:val="00F205A0"/>
    <w:rsid w:val="00F23438"/>
    <w:rsid w:val="00F24CF8"/>
    <w:rsid w:val="00F2635F"/>
    <w:rsid w:val="00F3352A"/>
    <w:rsid w:val="00F378E4"/>
    <w:rsid w:val="00F406E0"/>
    <w:rsid w:val="00F41A9B"/>
    <w:rsid w:val="00F41B7A"/>
    <w:rsid w:val="00F5176C"/>
    <w:rsid w:val="00F52082"/>
    <w:rsid w:val="00F55F44"/>
    <w:rsid w:val="00F5630F"/>
    <w:rsid w:val="00F56AD0"/>
    <w:rsid w:val="00F579CB"/>
    <w:rsid w:val="00F6001F"/>
    <w:rsid w:val="00F66152"/>
    <w:rsid w:val="00F728BA"/>
    <w:rsid w:val="00F72EF0"/>
    <w:rsid w:val="00F80CF5"/>
    <w:rsid w:val="00F80E84"/>
    <w:rsid w:val="00F84A7D"/>
    <w:rsid w:val="00F91A6C"/>
    <w:rsid w:val="00F92F2B"/>
    <w:rsid w:val="00F940D0"/>
    <w:rsid w:val="00F94D76"/>
    <w:rsid w:val="00F95196"/>
    <w:rsid w:val="00F9716E"/>
    <w:rsid w:val="00FA200F"/>
    <w:rsid w:val="00FA43A1"/>
    <w:rsid w:val="00FB2F97"/>
    <w:rsid w:val="00FB3063"/>
    <w:rsid w:val="00FC0C54"/>
    <w:rsid w:val="00FC0F9A"/>
    <w:rsid w:val="00FC24B7"/>
    <w:rsid w:val="00FC55CD"/>
    <w:rsid w:val="00FC5D83"/>
    <w:rsid w:val="00FD6F5D"/>
    <w:rsid w:val="00FD7A3A"/>
    <w:rsid w:val="00FE0E0C"/>
    <w:rsid w:val="00FE1699"/>
    <w:rsid w:val="00FE41FE"/>
    <w:rsid w:val="00FE54B7"/>
    <w:rsid w:val="00FF035B"/>
    <w:rsid w:val="00FF3692"/>
    <w:rsid w:val="00FF4785"/>
    <w:rsid w:val="00FF4879"/>
    <w:rsid w:val="00FF4A02"/>
    <w:rsid w:val="0D1D063E"/>
    <w:rsid w:val="10760F6F"/>
    <w:rsid w:val="147DBCAB"/>
    <w:rsid w:val="26D76A3E"/>
    <w:rsid w:val="28A7BCA0"/>
    <w:rsid w:val="2A93C90E"/>
    <w:rsid w:val="45576C31"/>
    <w:rsid w:val="498F4B36"/>
    <w:rsid w:val="53FDE0F2"/>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C529C"/>
  <w15:docId w15:val="{802EC392-6ED3-4DBF-B30F-41492536F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basedOn w:val="DefaultParagraphFont"/>
    <w:link w:val="ONUME"/>
    <w:locked/>
    <w:rsid w:val="00055AB1"/>
    <w:rPr>
      <w:rFonts w:ascii="Arial" w:eastAsia="SimSun" w:hAnsi="Arial" w:cs="Arial"/>
      <w:sz w:val="22"/>
      <w:lang w:val="ru-RU" w:eastAsia="zh-CN"/>
    </w:rPr>
  </w:style>
  <w:style w:type="character" w:styleId="Hyperlink">
    <w:name w:val="Hyperlink"/>
    <w:basedOn w:val="DefaultParagraphFont"/>
    <w:uiPriority w:val="99"/>
    <w:unhideWhenUsed/>
    <w:rsid w:val="00055AB1"/>
    <w:rPr>
      <w:color w:val="0000FF" w:themeColor="hyperlink"/>
      <w:u w:val="single"/>
    </w:rPr>
  </w:style>
  <w:style w:type="character" w:styleId="CommentReference">
    <w:name w:val="annotation reference"/>
    <w:basedOn w:val="DefaultParagraphFont"/>
    <w:uiPriority w:val="99"/>
    <w:semiHidden/>
    <w:unhideWhenUsed/>
    <w:rsid w:val="00055AB1"/>
    <w:rPr>
      <w:sz w:val="16"/>
      <w:szCs w:val="16"/>
    </w:rPr>
  </w:style>
  <w:style w:type="paragraph" w:styleId="CommentSubject">
    <w:name w:val="annotation subject"/>
    <w:basedOn w:val="CommentText"/>
    <w:next w:val="CommentText"/>
    <w:link w:val="CommentSubjectChar"/>
    <w:semiHidden/>
    <w:unhideWhenUsed/>
    <w:rsid w:val="00055AB1"/>
    <w:rPr>
      <w:b/>
      <w:bCs/>
      <w:sz w:val="20"/>
    </w:rPr>
  </w:style>
  <w:style w:type="character" w:customStyle="1" w:styleId="CommentTextChar">
    <w:name w:val="Comment Text Char"/>
    <w:basedOn w:val="DefaultParagraphFont"/>
    <w:link w:val="CommentText"/>
    <w:uiPriority w:val="99"/>
    <w:rsid w:val="00055AB1"/>
    <w:rPr>
      <w:rFonts w:ascii="Arial" w:eastAsia="SimSun" w:hAnsi="Arial" w:cs="Arial"/>
      <w:sz w:val="18"/>
      <w:lang w:val="ru-RU" w:eastAsia="zh-CN"/>
    </w:rPr>
  </w:style>
  <w:style w:type="character" w:customStyle="1" w:styleId="CommentSubjectChar">
    <w:name w:val="Comment Subject Char"/>
    <w:basedOn w:val="CommentTextChar"/>
    <w:link w:val="CommentSubject"/>
    <w:semiHidden/>
    <w:rsid w:val="00055AB1"/>
    <w:rPr>
      <w:rFonts w:ascii="Arial" w:eastAsia="SimSun" w:hAnsi="Arial" w:cs="Arial"/>
      <w:b/>
      <w:bCs/>
      <w:sz w:val="18"/>
      <w:lang w:val="ru-RU" w:eastAsia="zh-CN"/>
    </w:rPr>
  </w:style>
  <w:style w:type="character" w:styleId="FollowedHyperlink">
    <w:name w:val="FollowedHyperlink"/>
    <w:basedOn w:val="DefaultParagraphFont"/>
    <w:semiHidden/>
    <w:unhideWhenUsed/>
    <w:rsid w:val="006A55A2"/>
    <w:rPr>
      <w:color w:val="800080" w:themeColor="followedHyperlink"/>
      <w:u w:val="single"/>
    </w:rPr>
  </w:style>
  <w:style w:type="character" w:styleId="UnresolvedMention">
    <w:name w:val="Unresolved Mention"/>
    <w:basedOn w:val="DefaultParagraphFont"/>
    <w:uiPriority w:val="99"/>
    <w:semiHidden/>
    <w:unhideWhenUsed/>
    <w:rsid w:val="006A55A2"/>
    <w:rPr>
      <w:color w:val="605E5C"/>
      <w:shd w:val="clear" w:color="auto" w:fill="E1DFDD"/>
    </w:rPr>
  </w:style>
  <w:style w:type="paragraph" w:styleId="Revision">
    <w:name w:val="Revision"/>
    <w:hidden/>
    <w:uiPriority w:val="99"/>
    <w:semiHidden/>
    <w:rsid w:val="00597F59"/>
    <w:rPr>
      <w:rFonts w:ascii="Arial" w:eastAsia="SimSun" w:hAnsi="Arial" w:cs="Arial"/>
      <w:sz w:val="22"/>
      <w:lang w:eastAsia="zh-CN"/>
    </w:rPr>
  </w:style>
  <w:style w:type="paragraph" w:styleId="BalloonText">
    <w:name w:val="Balloon Text"/>
    <w:basedOn w:val="Normal"/>
    <w:link w:val="BalloonTextChar"/>
    <w:uiPriority w:val="99"/>
    <w:semiHidden/>
    <w:unhideWhenUsed/>
    <w:rsid w:val="003724D5"/>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3724D5"/>
    <w:rPr>
      <w:rFonts w:ascii="Segoe UI" w:eastAsiaTheme="minorEastAsia" w:hAnsi="Segoe UI" w:cs="Segoe UI"/>
      <w:sz w:val="18"/>
      <w:szCs w:val="18"/>
      <w:lang w:val="ru-RU" w:eastAsia="en-US"/>
    </w:rPr>
  </w:style>
  <w:style w:type="paragraph" w:customStyle="1" w:styleId="S2TText">
    <w:name w:val="S2TText"/>
    <w:basedOn w:val="Normal"/>
    <w:qFormat/>
    <w:rsid w:val="003724D5"/>
    <w:pPr>
      <w:spacing w:before="120" w:after="120"/>
      <w:jc w:val="both"/>
    </w:pPr>
    <w:rPr>
      <w:rFonts w:ascii="Times New Roman" w:eastAsia="Times New Roman" w:hAnsi="Times New Roman" w:cs="Times New Roman"/>
      <w:color w:val="000000" w:themeColor="text1"/>
      <w:sz w:val="24"/>
      <w:szCs w:val="22"/>
      <w:lang w:eastAsia="en-US"/>
    </w:rPr>
  </w:style>
  <w:style w:type="paragraph" w:customStyle="1" w:styleId="S2TSpeaker">
    <w:name w:val="S2TSpeaker"/>
    <w:basedOn w:val="Normal"/>
    <w:qFormat/>
    <w:rsid w:val="00AF1FDF"/>
    <w:pPr>
      <w:spacing w:before="120"/>
      <w:contextualSpacing/>
    </w:pPr>
    <w:rPr>
      <w:rFonts w:ascii="Times New Roman" w:eastAsia="Times New Roman" w:hAnsi="Times New Roman" w:cs="Times New Roman"/>
      <w:color w:val="0070C0"/>
      <w:sz w:val="24"/>
      <w:szCs w:val="22"/>
      <w:u w:val="single"/>
      <w:lang w:eastAsia="en-US"/>
    </w:rPr>
  </w:style>
  <w:style w:type="paragraph" w:styleId="ListParagraph">
    <w:name w:val="List Paragraph"/>
    <w:basedOn w:val="Normal"/>
    <w:uiPriority w:val="34"/>
    <w:qFormat/>
    <w:rsid w:val="002D0527"/>
    <w:pPr>
      <w:spacing w:after="160" w:line="259"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ebcast.wipo.int/video/A_68_2026-07-13_101018ea-c8d7-4746-aeb3-08ded6a77707?lang=en&amp;startTime=1533.87" TargetMode="External"/><Relationship Id="rId26" Type="http://schemas.openxmlformats.org/officeDocument/2006/relationships/hyperlink" Target="https://webcast.wipo.int/video/A_68_2026-07-13_101018ea-c8d7-4746-aeb3-08ded6a77707?lang=en&amp;startTime=2260.29" TargetMode="External"/><Relationship Id="rId39" Type="http://schemas.openxmlformats.org/officeDocument/2006/relationships/hyperlink" Target="https://webcast.wipo.int/video/A_68_2026-07-13_101018ea-c8d7-4746-aeb3-08ded6a77707?lang=en&amp;startTime=3398.14" TargetMode="External"/><Relationship Id="rId21" Type="http://schemas.openxmlformats.org/officeDocument/2006/relationships/hyperlink" Target="https://www.wipo.int/meetings/ru/doc_details.jsp?doc_id=655011" TargetMode="External"/><Relationship Id="rId34" Type="http://schemas.openxmlformats.org/officeDocument/2006/relationships/hyperlink" Target="https://webcast.wipo.int/video/A_68_2026-07-13_101018ea-c8d7-4746-aeb3-08ded6a77707?lang=en&amp;startTime=3234.57" TargetMode="External"/><Relationship Id="rId42" Type="http://schemas.openxmlformats.org/officeDocument/2006/relationships/hyperlink" Target="https://webcast.wipo.int/video/A_68_2026-07-13_101018ea-c8d7-4746-aeb3-08ded6a77707?lang=en&amp;startTime=4037.91" TargetMode="External"/><Relationship Id="rId47" Type="http://schemas.openxmlformats.org/officeDocument/2006/relationships/hyperlink" Target="https://webcast.wipo.int/video/A_68_2026-07-13_101018ea-c8d7-4746-aeb3-08ded6a77707?lang=en&amp;startTime=4591.8" TargetMode="External"/><Relationship Id="rId50" Type="http://schemas.openxmlformats.org/officeDocument/2006/relationships/hyperlink" Target="https://webcast.wipo.int/video/A_68_2026-07-13_101018ea-c8d7-4746-aeb3-08ded6a77707?lang=en&amp;startTime=3398.14" TargetMode="External"/><Relationship Id="rId55" Type="http://schemas.openxmlformats.org/officeDocument/2006/relationships/hyperlink" Target="https://webcast.wipo.int/video/A_68_2026-07-13_101018ea-c8d7-4746-aeb3-08ded6a77707?lang=en&amp;startTime=5628.51" TargetMode="External"/><Relationship Id="rId63"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1127.34" TargetMode="External"/><Relationship Id="rId29" Type="http://schemas.openxmlformats.org/officeDocument/2006/relationships/hyperlink" Target="https://webcast.wipo.int/video/A_68_2026-07-13_101018ea-c8d7-4746-aeb3-08ded6a77707?lang=en&amp;startTime=2556.16" TargetMode="Externa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1980.06" TargetMode="External"/><Relationship Id="rId32" Type="http://schemas.openxmlformats.org/officeDocument/2006/relationships/hyperlink" Target="https://webcast.wipo.int/video/A_68_2026-07-13_101018ea-c8d7-4746-aeb3-08ded6a77707?lang=en&amp;startTime=2964.09" TargetMode="External"/><Relationship Id="rId37" Type="http://schemas.openxmlformats.org/officeDocument/2006/relationships/hyperlink" Target="https://webcast.wipo.int/video/A_68_2026-07-13_101018ea-c8d7-4746-aeb3-08ded6a77707?lang=en&amp;startTime=3398.14" TargetMode="External"/><Relationship Id="rId40" Type="http://schemas.openxmlformats.org/officeDocument/2006/relationships/hyperlink" Target="https://webcast.wipo.int/video/A_68_2026-07-13_101018ea-c8d7-4746-aeb3-08ded6a77707?lang=en&amp;startTime=3398.14" TargetMode="External"/><Relationship Id="rId45" Type="http://schemas.openxmlformats.org/officeDocument/2006/relationships/hyperlink" Target="https://webcast.wipo.int/video/A_68_2026-07-13_101018ea-c8d7-4746-aeb3-08ded6a77707?lang=en&amp;startTime=4427.85" TargetMode="External"/><Relationship Id="rId53" Type="http://schemas.openxmlformats.org/officeDocument/2006/relationships/hyperlink" Target="https://webcast.wipo.int/video/A_68_2026-07-13_101018ea-c8d7-4746-aeb3-08ded6a77707?lang=en&amp;startTime=5112.45" TargetMode="External"/><Relationship Id="rId58" Type="http://schemas.openxmlformats.org/officeDocument/2006/relationships/hyperlink" Target="https://webcast.wipo.int/video/A_68_2026-07-13_101018ea-c8d7-4746-aeb3-08ded6a77707?lang=en&amp;startTime=5866.74" TargetMode="External"/><Relationship Id="rId5" Type="http://schemas.openxmlformats.org/officeDocument/2006/relationships/customXml" Target="../customXml/item5.xml"/><Relationship Id="rId61" Type="http://schemas.openxmlformats.org/officeDocument/2006/relationships/header" Target="header1.xml"/><Relationship Id="rId19" Type="http://schemas.openxmlformats.org/officeDocument/2006/relationships/hyperlink" Target="https://www.wipo.int/meetings/ru/doc_details.jsp?doc_id=654073" TargetMode="External"/><Relationship Id="rId14" Type="http://schemas.openxmlformats.org/officeDocument/2006/relationships/hyperlink" Target="https://www.wipo.int/edocs/mdocs/govbody/ru/a_68/a_68_1.pdf" TargetMode="External"/><Relationship Id="rId22" Type="http://schemas.openxmlformats.org/officeDocument/2006/relationships/hyperlink" Target="https://webcast.wipo.int/video/A_68_2026-07-13_101018ea-c8d7-4746-aeb3-08ded6a77707?lang=en&amp;startTime=1768.72" TargetMode="External"/><Relationship Id="rId27" Type="http://schemas.openxmlformats.org/officeDocument/2006/relationships/hyperlink" Target="https://webcast.wipo.int/video/A_68_2026-07-13_101018ea-c8d7-4746-aeb3-08ded6a77707?lang=en&amp;startTime=2326.23" TargetMode="External"/><Relationship Id="rId30" Type="http://schemas.openxmlformats.org/officeDocument/2006/relationships/hyperlink" Target="https://webcast.wipo.int/video/A_68_2026-07-13_101018ea-c8d7-4746-aeb3-08ded6a77707?lang=en&amp;startTime=2670.85" TargetMode="External"/><Relationship Id="rId35" Type="http://schemas.openxmlformats.org/officeDocument/2006/relationships/hyperlink" Target="https://webcast.wipo.int/video/A_68_2026-07-13_101018ea-c8d7-4746-aeb3-08ded6a77707?lang=en&amp;startTime=3330.33" TargetMode="External"/><Relationship Id="rId43" Type="http://schemas.openxmlformats.org/officeDocument/2006/relationships/hyperlink" Target="https://webcast.wipo.int/video/A_68_2026-07-13_101018ea-c8d7-4746-aeb3-08ded6a77707?lang=en&amp;startTime=4142.08" TargetMode="External"/><Relationship Id="rId48" Type="http://schemas.openxmlformats.org/officeDocument/2006/relationships/hyperlink" Target="https://webcast.wipo.int/video/A_68_2026-07-13_101018ea-c8d7-4746-aeb3-08ded6a77707?lang=en&amp;startTime=4641.57" TargetMode="External"/><Relationship Id="rId56" Type="http://schemas.openxmlformats.org/officeDocument/2006/relationships/hyperlink" Target="https://webcast.wipo.int/video/A_68_2026-07-13_101018ea-c8d7-4746-aeb3-08ded6a77707?lang=en&amp;startTime=5754.03" TargetMode="External"/><Relationship Id="rId8" Type="http://schemas.openxmlformats.org/officeDocument/2006/relationships/styles" Target="styles.xml"/><Relationship Id="rId51" Type="http://schemas.openxmlformats.org/officeDocument/2006/relationships/hyperlink" Target="https://www.wipo.int/edocs/mdocs/govbody/ru/pct_a_58/pct_a_58_3.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101018ea-c8d7-4746-aeb3-08ded6a77707?lang=en&amp;startTime=1441.36" TargetMode="External"/><Relationship Id="rId25" Type="http://schemas.openxmlformats.org/officeDocument/2006/relationships/hyperlink" Target="https://webcast.wipo.int/video/A_68_2026-07-13_101018ea-c8d7-4746-aeb3-08ded6a77707?lang=en&amp;startTime=2128.5" TargetMode="External"/><Relationship Id="rId33" Type="http://schemas.openxmlformats.org/officeDocument/2006/relationships/hyperlink" Target="https://webcast.wipo.int/video/A_68_2026-07-13_101018ea-c8d7-4746-aeb3-08ded6a77707?lang=en&amp;startTime=3119.12" TargetMode="External"/><Relationship Id="rId38" Type="http://schemas.openxmlformats.org/officeDocument/2006/relationships/hyperlink" Target="https://www.wipo.int/edocs/mdocs/govbody/ru/pct_a_58/pct_a_58_2.pdf" TargetMode="External"/><Relationship Id="rId46" Type="http://schemas.openxmlformats.org/officeDocument/2006/relationships/hyperlink" Target="https://webcast.wipo.int/video/A_68_2026-07-13_101018ea-c8d7-4746-aeb3-08ded6a77707?lang=en&amp;startTime=4527.66" TargetMode="External"/><Relationship Id="rId59" Type="http://schemas.openxmlformats.org/officeDocument/2006/relationships/hyperlink" Target="https://webcast.wipo.int/video/A_68_2026-07-13_101018ea-c8d7-4746-aeb3-08ded6a77707?lang=en&amp;startTime=6008.07" TargetMode="External"/><Relationship Id="rId20" Type="http://schemas.openxmlformats.org/officeDocument/2006/relationships/hyperlink" Target="https://www.wipo.int/meetings/ru/doc_details.jsp?doc_id=654073" TargetMode="External"/><Relationship Id="rId41" Type="http://schemas.openxmlformats.org/officeDocument/2006/relationships/hyperlink" Target="https://webcast.wipo.int/video/A_68_2026-07-13_101018ea-c8d7-4746-aeb3-08ded6a77707?lang=en&amp;startTime=3881.43" TargetMode="External"/><Relationship Id="rId54" Type="http://schemas.openxmlformats.org/officeDocument/2006/relationships/hyperlink" Target="https://webcast.wipo.int/video/A_68_2026-07-13_101018ea-c8d7-4746-aeb3-08ded6a77707?lang=en&amp;startTime=5410.2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wipo.int/edocs/mdocs/govbody/ru/pct_a_58/pct_a_58_1.pdf" TargetMode="External"/><Relationship Id="rId23" Type="http://schemas.openxmlformats.org/officeDocument/2006/relationships/hyperlink" Target="https://webcast.wipo.int/video/A_68_2026-07-13_101018ea-c8d7-4746-aeb3-08ded6a77707?lang=en&amp;startTime=1914.36" TargetMode="External"/><Relationship Id="rId28" Type="http://schemas.openxmlformats.org/officeDocument/2006/relationships/hyperlink" Target="https://webcast.wipo.int/video/A_68_2026-07-13_101018ea-c8d7-4746-aeb3-08ded6a77707?lang=en&amp;startTime=2409.09" TargetMode="External"/><Relationship Id="rId36" Type="http://schemas.openxmlformats.org/officeDocument/2006/relationships/hyperlink" Target="https://webcast.wipo.int/video/A_68_2026-07-13_101018ea-c8d7-4746-aeb3-08ded6a77707?lang=en&amp;startTime=3398.14" TargetMode="External"/><Relationship Id="rId49" Type="http://schemas.openxmlformats.org/officeDocument/2006/relationships/hyperlink" Target="https://webcast.wipo.int/video/A_68_2026-07-13_101018ea-c8d7-4746-aeb3-08ded6a77707?lang=en&amp;startTime=5112.45" TargetMode="External"/><Relationship Id="rId57" Type="http://schemas.openxmlformats.org/officeDocument/2006/relationships/hyperlink" Target="https://webcast.wipo.int/video/A_68_2026-07-13_101018ea-c8d7-4746-aeb3-08ded6a77707?lang=en&amp;startTime=5866.74" TargetMode="External"/><Relationship Id="rId10" Type="http://schemas.openxmlformats.org/officeDocument/2006/relationships/webSettings" Target="webSettings.xml"/><Relationship Id="rId31" Type="http://schemas.openxmlformats.org/officeDocument/2006/relationships/hyperlink" Target="https://webcast.wipo.int/video/A_68_2026-07-13_101018ea-c8d7-4746-aeb3-08ded6a77707?startTime=2840" TargetMode="External"/><Relationship Id="rId44" Type="http://schemas.openxmlformats.org/officeDocument/2006/relationships/hyperlink" Target="https://webcast.wipo.int/video/A_68_2026-07-13_101018ea-c8d7-4746-aeb3-08ded6a77707?lang=en&amp;startTime=4382.19" TargetMode="External"/><Relationship Id="rId52" Type="http://schemas.openxmlformats.org/officeDocument/2006/relationships/hyperlink" Target="https://www.wipo.int/edocs/mdocs/govbody/ru/pct_a_58/pct_a_58_3_add.pdf" TargetMode="External"/><Relationship Id="rId60" Type="http://schemas.openxmlformats.org/officeDocument/2006/relationships/hyperlink" Target="https://webcast.wipo.int/video/A_68_2026-07-13_101018ea-c8d7-4746-aeb3-08ded6a77707?lang=en&amp;startTime=6060.87" TargetMode="External"/><Relationship Id="rId4" Type="http://schemas.openxmlformats.org/officeDocument/2006/relationships/customXml" Target="../customXml/item4.xml"/><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_A_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43A0F979BE30A3469F998CB749C11FBD"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DEAADBFP-1499948599-55978</_dlc_DocId>
    <_dlc_DocIdUrl xmlns="afdacc0a-6563-489f-9b51-6fc9acac5c48">
      <Url>https://wipoprod.sharepoint.com/sites/SPS-INT-BFP-DEAAD-AsseAffa/_layouts/15/DocIdRedir.aspx?ID=DEAADBFP-1499948599-55978</Url>
      <Description>DEAADBFP-1499948599-55978</Description>
    </_dlc_DocIdUrl>
  </documentManagement>
</p:properties>
</file>

<file path=customXml/itemProps1.xml><?xml version="1.0" encoding="utf-8"?>
<ds:datastoreItem xmlns:ds="http://schemas.openxmlformats.org/officeDocument/2006/customXml" ds:itemID="{F8E77852-85FD-40F1-BE44-4202AFD7ACFC}">
  <ds:schemaRefs>
    <ds:schemaRef ds:uri="Microsoft.SharePoint.Taxonomy.ContentTypeSync"/>
  </ds:schemaRefs>
</ds:datastoreItem>
</file>

<file path=customXml/itemProps2.xml><?xml version="1.0" encoding="utf-8"?>
<ds:datastoreItem xmlns:ds="http://schemas.openxmlformats.org/officeDocument/2006/customXml" ds:itemID="{9632CE5C-C660-4557-889A-7F2AF1FCC5EA}">
  <ds:schemaRefs>
    <ds:schemaRef ds:uri="http://schemas.openxmlformats.org/officeDocument/2006/bibliography"/>
  </ds:schemaRefs>
</ds:datastoreItem>
</file>

<file path=customXml/itemProps3.xml><?xml version="1.0" encoding="utf-8"?>
<ds:datastoreItem xmlns:ds="http://schemas.openxmlformats.org/officeDocument/2006/customXml" ds:itemID="{AF6EE9E2-E227-4B38-8F0F-A9EC34298051}">
  <ds:schemaRefs>
    <ds:schemaRef ds:uri="http://schemas.microsoft.com/sharepoint/v3/contenttype/forms"/>
  </ds:schemaRefs>
</ds:datastoreItem>
</file>

<file path=customXml/itemProps4.xml><?xml version="1.0" encoding="utf-8"?>
<ds:datastoreItem xmlns:ds="http://schemas.openxmlformats.org/officeDocument/2006/customXml" ds:itemID="{C8336FA8-AF3A-4CFE-B980-62BB37394C3F}">
  <ds:schemaRefs>
    <ds:schemaRef ds:uri="http://schemas.microsoft.com/sharepoint/events"/>
  </ds:schemaRefs>
</ds:datastoreItem>
</file>

<file path=customXml/itemProps5.xml><?xml version="1.0" encoding="utf-8"?>
<ds:datastoreItem xmlns:ds="http://schemas.openxmlformats.org/officeDocument/2006/customXml" ds:itemID="{9EF0826C-0EDE-42DA-AC26-BB65BC181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050A80E-B660-4C02-8B79-237C84A958C3}">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PCT_A_58 (E)</Template>
  <TotalTime>7</TotalTime>
  <Pages>15</Pages>
  <Words>8436</Words>
  <Characters>48091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PCT/A/58/</vt:lpstr>
    </vt:vector>
  </TitlesOfParts>
  <Company>WIPO</Company>
  <LinksUpToDate>false</LinksUpToDate>
  <CharactersWithSpaces>56415</CharactersWithSpaces>
  <SharedDoc>false</SharedDoc>
  <HLinks>
    <vt:vector size="252" baseType="variant">
      <vt:variant>
        <vt:i4>3604493</vt:i4>
      </vt:variant>
      <vt:variant>
        <vt:i4>117</vt:i4>
      </vt:variant>
      <vt:variant>
        <vt:i4>0</vt:i4>
      </vt:variant>
      <vt:variant>
        <vt:i4>5</vt:i4>
      </vt:variant>
      <vt:variant>
        <vt:lpwstr>https://webcast.wipo.int/video/A_68_2026-07-13_101018ea-c8d7-4746-aeb3-08ded6a77707?lang=en&amp;startTime=6060.87</vt:lpwstr>
      </vt:variant>
      <vt:variant>
        <vt:lpwstr/>
      </vt:variant>
      <vt:variant>
        <vt:i4>3604491</vt:i4>
      </vt:variant>
      <vt:variant>
        <vt:i4>114</vt:i4>
      </vt:variant>
      <vt:variant>
        <vt:i4>0</vt:i4>
      </vt:variant>
      <vt:variant>
        <vt:i4>5</vt:i4>
      </vt:variant>
      <vt:variant>
        <vt:lpwstr>https://webcast.wipo.int/video/A_68_2026-07-13_101018ea-c8d7-4746-aeb3-08ded6a77707?lang=en&amp;startTime=6008.07</vt:lpwstr>
      </vt:variant>
      <vt:variant>
        <vt:lpwstr/>
      </vt:variant>
      <vt:variant>
        <vt:i4>3932173</vt:i4>
      </vt:variant>
      <vt:variant>
        <vt:i4>111</vt:i4>
      </vt:variant>
      <vt:variant>
        <vt:i4>0</vt:i4>
      </vt:variant>
      <vt:variant>
        <vt:i4>5</vt:i4>
      </vt:variant>
      <vt:variant>
        <vt:lpwstr>https://webcast.wipo.int/video/A_68_2026-07-13_101018ea-c8d7-4746-aeb3-08ded6a77707?lang=en&amp;startTime=5754.03</vt:lpwstr>
      </vt:variant>
      <vt:variant>
        <vt:lpwstr/>
      </vt:variant>
      <vt:variant>
        <vt:i4>3407882</vt:i4>
      </vt:variant>
      <vt:variant>
        <vt:i4>108</vt:i4>
      </vt:variant>
      <vt:variant>
        <vt:i4>0</vt:i4>
      </vt:variant>
      <vt:variant>
        <vt:i4>5</vt:i4>
      </vt:variant>
      <vt:variant>
        <vt:lpwstr>https://webcast.wipo.int/video/A_68_2026-07-13_101018ea-c8d7-4746-aeb3-08ded6a77707?lang=en&amp;startTime=5628.51</vt:lpwstr>
      </vt:variant>
      <vt:variant>
        <vt:lpwstr/>
      </vt:variant>
      <vt:variant>
        <vt:i4>3735561</vt:i4>
      </vt:variant>
      <vt:variant>
        <vt:i4>105</vt:i4>
      </vt:variant>
      <vt:variant>
        <vt:i4>0</vt:i4>
      </vt:variant>
      <vt:variant>
        <vt:i4>5</vt:i4>
      </vt:variant>
      <vt:variant>
        <vt:lpwstr>https://webcast.wipo.int/video/A_68_2026-07-13_101018ea-c8d7-4746-aeb3-08ded6a77707?lang=en&amp;startTime=5410.23</vt:lpwstr>
      </vt:variant>
      <vt:variant>
        <vt:lpwstr/>
      </vt:variant>
      <vt:variant>
        <vt:i4>3670025</vt:i4>
      </vt:variant>
      <vt:variant>
        <vt:i4>102</vt:i4>
      </vt:variant>
      <vt:variant>
        <vt:i4>0</vt:i4>
      </vt:variant>
      <vt:variant>
        <vt:i4>5</vt:i4>
      </vt:variant>
      <vt:variant>
        <vt:lpwstr>https://webcast.wipo.int/video/A_68_2026-07-13_101018ea-c8d7-4746-aeb3-08ded6a77707?lang=en&amp;startTime=5112.45</vt:lpwstr>
      </vt:variant>
      <vt:variant>
        <vt:lpwstr/>
      </vt:variant>
      <vt:variant>
        <vt:i4>3342434</vt:i4>
      </vt:variant>
      <vt:variant>
        <vt:i4>99</vt:i4>
      </vt:variant>
      <vt:variant>
        <vt:i4>0</vt:i4>
      </vt:variant>
      <vt:variant>
        <vt:i4>5</vt:i4>
      </vt:variant>
      <vt:variant>
        <vt:lpwstr>https://www.wipo.int/edocs/mdocs/govbody/en/pct_a_58/pct_a_58_3_add.pdf</vt:lpwstr>
      </vt:variant>
      <vt:variant>
        <vt:lpwstr/>
      </vt:variant>
      <vt:variant>
        <vt:i4>524391</vt:i4>
      </vt:variant>
      <vt:variant>
        <vt:i4>96</vt:i4>
      </vt:variant>
      <vt:variant>
        <vt:i4>0</vt:i4>
      </vt:variant>
      <vt:variant>
        <vt:i4>5</vt:i4>
      </vt:variant>
      <vt:variant>
        <vt:lpwstr>https://www.wipo.int/edocs/mdocs/govbody/en/pct_a_58/pct_a_58_3.pdf</vt:lpwstr>
      </vt:variant>
      <vt:variant>
        <vt:lpwstr/>
      </vt:variant>
      <vt:variant>
        <vt:i4>3670025</vt:i4>
      </vt:variant>
      <vt:variant>
        <vt:i4>93</vt:i4>
      </vt:variant>
      <vt:variant>
        <vt:i4>0</vt:i4>
      </vt:variant>
      <vt:variant>
        <vt:i4>5</vt:i4>
      </vt:variant>
      <vt:variant>
        <vt:lpwstr>https://webcast.wipo.int/video/A_68_2026-07-13_101018ea-c8d7-4746-aeb3-08ded6a77707?lang=en&amp;startTime=5112.45</vt:lpwstr>
      </vt:variant>
      <vt:variant>
        <vt:lpwstr/>
      </vt:variant>
      <vt:variant>
        <vt:i4>3538956</vt:i4>
      </vt:variant>
      <vt:variant>
        <vt:i4>90</vt:i4>
      </vt:variant>
      <vt:variant>
        <vt:i4>0</vt:i4>
      </vt:variant>
      <vt:variant>
        <vt:i4>5</vt:i4>
      </vt:variant>
      <vt:variant>
        <vt:lpwstr>https://webcast.wipo.int/video/A_68_2026-07-13_101018ea-c8d7-4746-aeb3-08ded6a77707?lang=en&amp;startTime=4756.81</vt:lpwstr>
      </vt:variant>
      <vt:variant>
        <vt:lpwstr/>
      </vt:variant>
      <vt:variant>
        <vt:i4>3997709</vt:i4>
      </vt:variant>
      <vt:variant>
        <vt:i4>87</vt:i4>
      </vt:variant>
      <vt:variant>
        <vt:i4>0</vt:i4>
      </vt:variant>
      <vt:variant>
        <vt:i4>5</vt:i4>
      </vt:variant>
      <vt:variant>
        <vt:lpwstr>https://webcast.wipo.int/video/A_68_2026-07-13_101018ea-c8d7-4746-aeb3-08ded6a77707?lang=en&amp;startTime=4641.57</vt:lpwstr>
      </vt:variant>
      <vt:variant>
        <vt:lpwstr/>
      </vt:variant>
      <vt:variant>
        <vt:i4>3342336</vt:i4>
      </vt:variant>
      <vt:variant>
        <vt:i4>84</vt:i4>
      </vt:variant>
      <vt:variant>
        <vt:i4>0</vt:i4>
      </vt:variant>
      <vt:variant>
        <vt:i4>5</vt:i4>
      </vt:variant>
      <vt:variant>
        <vt:lpwstr>https://webcast.wipo.int/video/A_68_2026-07-13_101018ea-c8d7-4746-aeb3-08ded6a77707?lang=en&amp;startTime=4591.8</vt:lpwstr>
      </vt:variant>
      <vt:variant>
        <vt:lpwstr/>
      </vt:variant>
      <vt:variant>
        <vt:i4>3866635</vt:i4>
      </vt:variant>
      <vt:variant>
        <vt:i4>81</vt:i4>
      </vt:variant>
      <vt:variant>
        <vt:i4>0</vt:i4>
      </vt:variant>
      <vt:variant>
        <vt:i4>5</vt:i4>
      </vt:variant>
      <vt:variant>
        <vt:lpwstr>https://webcast.wipo.int/video/A_68_2026-07-13_101018ea-c8d7-4746-aeb3-08ded6a77707?lang=en&amp;startTime=4527.66</vt:lpwstr>
      </vt:variant>
      <vt:variant>
        <vt:lpwstr/>
      </vt:variant>
      <vt:variant>
        <vt:i4>3407883</vt:i4>
      </vt:variant>
      <vt:variant>
        <vt:i4>78</vt:i4>
      </vt:variant>
      <vt:variant>
        <vt:i4>0</vt:i4>
      </vt:variant>
      <vt:variant>
        <vt:i4>5</vt:i4>
      </vt:variant>
      <vt:variant>
        <vt:lpwstr>https://webcast.wipo.int/video/A_68_2026-07-13_101018ea-c8d7-4746-aeb3-08ded6a77707?lang=en&amp;startTime=4427.85</vt:lpwstr>
      </vt:variant>
      <vt:variant>
        <vt:lpwstr/>
      </vt:variant>
      <vt:variant>
        <vt:i4>4128769</vt:i4>
      </vt:variant>
      <vt:variant>
        <vt:i4>75</vt:i4>
      </vt:variant>
      <vt:variant>
        <vt:i4>0</vt:i4>
      </vt:variant>
      <vt:variant>
        <vt:i4>5</vt:i4>
      </vt:variant>
      <vt:variant>
        <vt:lpwstr>https://webcast.wipo.int/video/A_68_2026-07-13_101018ea-c8d7-4746-aeb3-08ded6a77707?lang=en&amp;startTime=4382.19</vt:lpwstr>
      </vt:variant>
      <vt:variant>
        <vt:lpwstr/>
      </vt:variant>
      <vt:variant>
        <vt:i4>3932173</vt:i4>
      </vt:variant>
      <vt:variant>
        <vt:i4>72</vt:i4>
      </vt:variant>
      <vt:variant>
        <vt:i4>0</vt:i4>
      </vt:variant>
      <vt:variant>
        <vt:i4>5</vt:i4>
      </vt:variant>
      <vt:variant>
        <vt:lpwstr>https://webcast.wipo.int/video/A_68_2026-07-13_101018ea-c8d7-4746-aeb3-08ded6a77707?lang=en&amp;startTime=4142.08</vt:lpwstr>
      </vt:variant>
      <vt:variant>
        <vt:lpwstr/>
      </vt:variant>
      <vt:variant>
        <vt:i4>3211274</vt:i4>
      </vt:variant>
      <vt:variant>
        <vt:i4>69</vt:i4>
      </vt:variant>
      <vt:variant>
        <vt:i4>0</vt:i4>
      </vt:variant>
      <vt:variant>
        <vt:i4>5</vt:i4>
      </vt:variant>
      <vt:variant>
        <vt:lpwstr>https://webcast.wipo.int/video/A_68_2026-07-13_101018ea-c8d7-4746-aeb3-08ded6a77707?lang=en&amp;startTime=4037.91</vt:lpwstr>
      </vt:variant>
      <vt:variant>
        <vt:lpwstr/>
      </vt:variant>
      <vt:variant>
        <vt:i4>3276806</vt:i4>
      </vt:variant>
      <vt:variant>
        <vt:i4>66</vt:i4>
      </vt:variant>
      <vt:variant>
        <vt:i4>0</vt:i4>
      </vt:variant>
      <vt:variant>
        <vt:i4>5</vt:i4>
      </vt:variant>
      <vt:variant>
        <vt:lpwstr>https://webcast.wipo.int/video/A_68_2026-07-13_101018ea-c8d7-4746-aeb3-08ded6a77707?lang=en&amp;startTime=3881.43</vt:lpwstr>
      </vt:variant>
      <vt:variant>
        <vt:lpwstr/>
      </vt:variant>
      <vt:variant>
        <vt:i4>3473415</vt:i4>
      </vt:variant>
      <vt:variant>
        <vt:i4>63</vt:i4>
      </vt:variant>
      <vt:variant>
        <vt:i4>0</vt:i4>
      </vt:variant>
      <vt:variant>
        <vt:i4>5</vt:i4>
      </vt:variant>
      <vt:variant>
        <vt:lpwstr>https://webcast.wipo.int/video/A_68_2026-07-13_101018ea-c8d7-4746-aeb3-08ded6a77707?lang=en&amp;startTime=3398.14</vt:lpwstr>
      </vt:variant>
      <vt:variant>
        <vt:lpwstr/>
      </vt:variant>
      <vt:variant>
        <vt:i4>3473415</vt:i4>
      </vt:variant>
      <vt:variant>
        <vt:i4>60</vt:i4>
      </vt:variant>
      <vt:variant>
        <vt:i4>0</vt:i4>
      </vt:variant>
      <vt:variant>
        <vt:i4>5</vt:i4>
      </vt:variant>
      <vt:variant>
        <vt:lpwstr>https://webcast.wipo.int/video/A_68_2026-07-13_101018ea-c8d7-4746-aeb3-08ded6a77707?lang=en&amp;startTime=3398.14</vt:lpwstr>
      </vt:variant>
      <vt:variant>
        <vt:lpwstr/>
      </vt:variant>
      <vt:variant>
        <vt:i4>524390</vt:i4>
      </vt:variant>
      <vt:variant>
        <vt:i4>57</vt:i4>
      </vt:variant>
      <vt:variant>
        <vt:i4>0</vt:i4>
      </vt:variant>
      <vt:variant>
        <vt:i4>5</vt:i4>
      </vt:variant>
      <vt:variant>
        <vt:lpwstr>https://www.wipo.int/edocs/mdocs/govbody/en/pct_a_58/pct_a_58_2.pdf</vt:lpwstr>
      </vt:variant>
      <vt:variant>
        <vt:lpwstr/>
      </vt:variant>
      <vt:variant>
        <vt:i4>4128781</vt:i4>
      </vt:variant>
      <vt:variant>
        <vt:i4>54</vt:i4>
      </vt:variant>
      <vt:variant>
        <vt:i4>0</vt:i4>
      </vt:variant>
      <vt:variant>
        <vt:i4>5</vt:i4>
      </vt:variant>
      <vt:variant>
        <vt:lpwstr>https://webcast.wipo.int/video/A_68_2026-07-13_101018ea-c8d7-4746-aeb3-08ded6a77707?lang=en&amp;startTime=3330.33</vt:lpwstr>
      </vt:variant>
      <vt:variant>
        <vt:lpwstr/>
      </vt:variant>
      <vt:variant>
        <vt:i4>3932173</vt:i4>
      </vt:variant>
      <vt:variant>
        <vt:i4>51</vt:i4>
      </vt:variant>
      <vt:variant>
        <vt:i4>0</vt:i4>
      </vt:variant>
      <vt:variant>
        <vt:i4>5</vt:i4>
      </vt:variant>
      <vt:variant>
        <vt:lpwstr>https://webcast.wipo.int/video/A_68_2026-07-13_101018ea-c8d7-4746-aeb3-08ded6a77707?lang=en&amp;startTime=3234.57</vt:lpwstr>
      </vt:variant>
      <vt:variant>
        <vt:lpwstr/>
      </vt:variant>
      <vt:variant>
        <vt:i4>3538959</vt:i4>
      </vt:variant>
      <vt:variant>
        <vt:i4>48</vt:i4>
      </vt:variant>
      <vt:variant>
        <vt:i4>0</vt:i4>
      </vt:variant>
      <vt:variant>
        <vt:i4>5</vt:i4>
      </vt:variant>
      <vt:variant>
        <vt:lpwstr>https://webcast.wipo.int/video/A_68_2026-07-13_101018ea-c8d7-4746-aeb3-08ded6a77707?lang=en&amp;startTime=3119.12</vt:lpwstr>
      </vt:variant>
      <vt:variant>
        <vt:lpwstr/>
      </vt:variant>
      <vt:variant>
        <vt:i4>3276809</vt:i4>
      </vt:variant>
      <vt:variant>
        <vt:i4>45</vt:i4>
      </vt:variant>
      <vt:variant>
        <vt:i4>0</vt:i4>
      </vt:variant>
      <vt:variant>
        <vt:i4>5</vt:i4>
      </vt:variant>
      <vt:variant>
        <vt:lpwstr>https://webcast.wipo.int/video/A_68_2026-07-13_101018ea-c8d7-4746-aeb3-08ded6a77707?lang=en&amp;startTime=2964.09</vt:lpwstr>
      </vt:variant>
      <vt:variant>
        <vt:lpwstr/>
      </vt:variant>
      <vt:variant>
        <vt:i4>3211272</vt:i4>
      </vt:variant>
      <vt:variant>
        <vt:i4>42</vt:i4>
      </vt:variant>
      <vt:variant>
        <vt:i4>0</vt:i4>
      </vt:variant>
      <vt:variant>
        <vt:i4>5</vt:i4>
      </vt:variant>
      <vt:variant>
        <vt:lpwstr>https://webcast.wipo.int/video/A_68_2026-07-13_101018ea-c8d7-4746-aeb3-08ded6a77707?lang=en&amp;startTime=2670.85</vt:lpwstr>
      </vt:variant>
      <vt:variant>
        <vt:lpwstr/>
      </vt:variant>
      <vt:variant>
        <vt:i4>3997706</vt:i4>
      </vt:variant>
      <vt:variant>
        <vt:i4>39</vt:i4>
      </vt:variant>
      <vt:variant>
        <vt:i4>0</vt:i4>
      </vt:variant>
      <vt:variant>
        <vt:i4>5</vt:i4>
      </vt:variant>
      <vt:variant>
        <vt:lpwstr>https://webcast.wipo.int/video/A_68_2026-07-13_101018ea-c8d7-4746-aeb3-08ded6a77707?lang=en&amp;startTime=2556.16</vt:lpwstr>
      </vt:variant>
      <vt:variant>
        <vt:lpwstr/>
      </vt:variant>
      <vt:variant>
        <vt:i4>3276815</vt:i4>
      </vt:variant>
      <vt:variant>
        <vt:i4>36</vt:i4>
      </vt:variant>
      <vt:variant>
        <vt:i4>0</vt:i4>
      </vt:variant>
      <vt:variant>
        <vt:i4>5</vt:i4>
      </vt:variant>
      <vt:variant>
        <vt:lpwstr>https://webcast.wipo.int/video/A_68_2026-07-13_101018ea-c8d7-4746-aeb3-08ded6a77707?lang=en&amp;startTime=2409.09</vt:lpwstr>
      </vt:variant>
      <vt:variant>
        <vt:lpwstr/>
      </vt:variant>
      <vt:variant>
        <vt:i4>3670029</vt:i4>
      </vt:variant>
      <vt:variant>
        <vt:i4>33</vt:i4>
      </vt:variant>
      <vt:variant>
        <vt:i4>0</vt:i4>
      </vt:variant>
      <vt:variant>
        <vt:i4>5</vt:i4>
      </vt:variant>
      <vt:variant>
        <vt:lpwstr>https://webcast.wipo.int/video/A_68_2026-07-13_101018ea-c8d7-4746-aeb3-08ded6a77707?lang=en&amp;startTime=2326.23</vt:lpwstr>
      </vt:variant>
      <vt:variant>
        <vt:lpwstr/>
      </vt:variant>
      <vt:variant>
        <vt:i4>4128777</vt:i4>
      </vt:variant>
      <vt:variant>
        <vt:i4>30</vt:i4>
      </vt:variant>
      <vt:variant>
        <vt:i4>0</vt:i4>
      </vt:variant>
      <vt:variant>
        <vt:i4>5</vt:i4>
      </vt:variant>
      <vt:variant>
        <vt:lpwstr>https://webcast.wipo.int/video/A_68_2026-07-13_101018ea-c8d7-4746-aeb3-08ded6a77707?lang=en&amp;startTime=2260.29</vt:lpwstr>
      </vt:variant>
      <vt:variant>
        <vt:lpwstr/>
      </vt:variant>
      <vt:variant>
        <vt:i4>3342349</vt:i4>
      </vt:variant>
      <vt:variant>
        <vt:i4>27</vt:i4>
      </vt:variant>
      <vt:variant>
        <vt:i4>0</vt:i4>
      </vt:variant>
      <vt:variant>
        <vt:i4>5</vt:i4>
      </vt:variant>
      <vt:variant>
        <vt:lpwstr>https://webcast.wipo.int/video/A_68_2026-07-13_101018ea-c8d7-4746-aeb3-08ded6a77707?lang=en&amp;startTime=2128.5</vt:lpwstr>
      </vt:variant>
      <vt:variant>
        <vt:lpwstr/>
      </vt:variant>
      <vt:variant>
        <vt:i4>3538948</vt:i4>
      </vt:variant>
      <vt:variant>
        <vt:i4>24</vt:i4>
      </vt:variant>
      <vt:variant>
        <vt:i4>0</vt:i4>
      </vt:variant>
      <vt:variant>
        <vt:i4>5</vt:i4>
      </vt:variant>
      <vt:variant>
        <vt:lpwstr>https://webcast.wipo.int/video/A_68_2026-07-13_101018ea-c8d7-4746-aeb3-08ded6a77707?lang=en&amp;startTime=1980.06</vt:lpwstr>
      </vt:variant>
      <vt:variant>
        <vt:lpwstr/>
      </vt:variant>
      <vt:variant>
        <vt:i4>3211277</vt:i4>
      </vt:variant>
      <vt:variant>
        <vt:i4>21</vt:i4>
      </vt:variant>
      <vt:variant>
        <vt:i4>0</vt:i4>
      </vt:variant>
      <vt:variant>
        <vt:i4>5</vt:i4>
      </vt:variant>
      <vt:variant>
        <vt:lpwstr>https://webcast.wipo.int/video/A_68_2026-07-13_101018ea-c8d7-4746-aeb3-08ded6a77707?lang=en&amp;startTime=1914.36</vt:lpwstr>
      </vt:variant>
      <vt:variant>
        <vt:lpwstr/>
      </vt:variant>
      <vt:variant>
        <vt:i4>3604490</vt:i4>
      </vt:variant>
      <vt:variant>
        <vt:i4>18</vt:i4>
      </vt:variant>
      <vt:variant>
        <vt:i4>0</vt:i4>
      </vt:variant>
      <vt:variant>
        <vt:i4>5</vt:i4>
      </vt:variant>
      <vt:variant>
        <vt:lpwstr>https://webcast.wipo.int/video/A_68_2026-07-13_101018ea-c8d7-4746-aeb3-08ded6a77707?lang=en&amp;startTime=1768.72</vt:lpwstr>
      </vt:variant>
      <vt:variant>
        <vt:lpwstr/>
      </vt:variant>
      <vt:variant>
        <vt:i4>6553650</vt:i4>
      </vt:variant>
      <vt:variant>
        <vt:i4>15</vt:i4>
      </vt:variant>
      <vt:variant>
        <vt:i4>0</vt:i4>
      </vt:variant>
      <vt:variant>
        <vt:i4>5</vt:i4>
      </vt:variant>
      <vt:variant>
        <vt:lpwstr>https://www.wipo.int/meetings/en/doc_details.jsp?doc_id=655011</vt:lpwstr>
      </vt:variant>
      <vt:variant>
        <vt:lpwstr/>
      </vt:variant>
      <vt:variant>
        <vt:i4>6684725</vt:i4>
      </vt:variant>
      <vt:variant>
        <vt:i4>12</vt:i4>
      </vt:variant>
      <vt:variant>
        <vt:i4>0</vt:i4>
      </vt:variant>
      <vt:variant>
        <vt:i4>5</vt:i4>
      </vt:variant>
      <vt:variant>
        <vt:lpwstr>https://www.wipo.int/meetings/en/doc_details.jsp?doc_id=654073</vt:lpwstr>
      </vt:variant>
      <vt:variant>
        <vt:lpwstr/>
      </vt:variant>
      <vt:variant>
        <vt:i4>3211279</vt:i4>
      </vt:variant>
      <vt:variant>
        <vt:i4>9</vt:i4>
      </vt:variant>
      <vt:variant>
        <vt:i4>0</vt:i4>
      </vt:variant>
      <vt:variant>
        <vt:i4>5</vt:i4>
      </vt:variant>
      <vt:variant>
        <vt:lpwstr>https://webcast.wipo.int/video/A_68_2026-07-13_101018ea-c8d7-4746-aeb3-08ded6a77707?lang=en&amp;startTime=1533.87</vt:lpwstr>
      </vt:variant>
      <vt:variant>
        <vt:lpwstr/>
      </vt:variant>
      <vt:variant>
        <vt:i4>3735560</vt:i4>
      </vt:variant>
      <vt:variant>
        <vt:i4>6</vt:i4>
      </vt:variant>
      <vt:variant>
        <vt:i4>0</vt:i4>
      </vt:variant>
      <vt:variant>
        <vt:i4>5</vt:i4>
      </vt:variant>
      <vt:variant>
        <vt:lpwstr>https://webcast.wipo.int/video/A_68_2026-07-13_101018ea-c8d7-4746-aeb3-08ded6a77707?lang=en&amp;startTime=1441.36</vt:lpwstr>
      </vt:variant>
      <vt:variant>
        <vt:lpwstr/>
      </vt:variant>
      <vt:variant>
        <vt:i4>3801102</vt:i4>
      </vt:variant>
      <vt:variant>
        <vt:i4>3</vt:i4>
      </vt:variant>
      <vt:variant>
        <vt:i4>0</vt:i4>
      </vt:variant>
      <vt:variant>
        <vt:i4>5</vt:i4>
      </vt:variant>
      <vt:variant>
        <vt:lpwstr>https://webcast.wipo.int/video/A_68_2026-07-13_101018ea-c8d7-4746-aeb3-08ded6a77707?lang=en&amp;startTime=1127.34</vt:lpwstr>
      </vt:variant>
      <vt:variant>
        <vt:lpwstr/>
      </vt:variant>
      <vt:variant>
        <vt:i4>524389</vt:i4>
      </vt:variant>
      <vt:variant>
        <vt:i4>0</vt:i4>
      </vt:variant>
      <vt:variant>
        <vt:i4>0</vt:i4>
      </vt:variant>
      <vt:variant>
        <vt:i4>5</vt:i4>
      </vt:variant>
      <vt:variant>
        <vt:lpwstr>https://www.wipo.int/edocs/mdocs/govbody/en/pct_a_58/pct_a_58_1.pdf</vt:lpwstr>
      </vt:variant>
      <vt:variant>
        <vt:lpwstr/>
      </vt:variant>
      <vt:variant>
        <vt:i4>262216</vt:i4>
      </vt:variant>
      <vt:variant>
        <vt:i4>3</vt:i4>
      </vt:variant>
      <vt:variant>
        <vt:i4>0</vt:i4>
      </vt:variant>
      <vt:variant>
        <vt:i4>5</vt:i4>
      </vt:variant>
      <vt:variant>
        <vt:lpwstr>https://www.eapo.org/en/</vt:lpwstr>
      </vt:variant>
      <vt:variant>
        <vt:lpwstr/>
      </vt:variant>
      <vt:variant>
        <vt:i4>6488117</vt:i4>
      </vt:variant>
      <vt:variant>
        <vt:i4>0</vt:i4>
      </vt:variant>
      <vt:variant>
        <vt:i4>0</vt:i4>
      </vt:variant>
      <vt:variant>
        <vt:i4>5</vt:i4>
      </vt:variant>
      <vt:variant>
        <vt:lpwstr>https://www.wipo.int/meetings/en/doc_details.jsp?doc_id=353056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PCT/A/58/4 Prov. (R)</dc:title>
  <dc:subject/>
  <dc:creator>WIPO</dc:creator>
  <cp:keywords>PUBLIC</cp:keywords>
  <cp:lastModifiedBy>RUSSO Antonella</cp:lastModifiedBy>
  <cp:revision>8</cp:revision>
  <cp:lastPrinted>2026-08-14T13:53:00Z</cp:lastPrinted>
  <dcterms:created xsi:type="dcterms:W3CDTF">2026-08-14T11:07:00Z</dcterms:created>
  <dcterms:modified xsi:type="dcterms:W3CDTF">2026-08-14T13:54:00Z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2025-02-18T10:27:42Z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19d64ea8-75b0-4cba-b75e-cd606f79347b</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Languages">
    <vt:lpwstr>1;#English|950e6fa2-2df0-4983-a604-54e57c7a6d93</vt:lpwstr>
  </property>
  <property fmtid="{D5CDD505-2E9C-101B-9397-08002B2CF9AE}" pid="19" name="lcf76f155ced4ddcb4097134ff3c332f">
    <vt:lpwstr/>
  </property>
  <property fmtid="{D5CDD505-2E9C-101B-9397-08002B2CF9AE}" pid="20" name="_dlc_DocId">
    <vt:lpwstr>LDBFP-2000531084-64181</vt:lpwstr>
  </property>
  <property fmtid="{D5CDD505-2E9C-101B-9397-08002B2CF9AE}" pid="21" name="_dlc_DocIdUrl">
    <vt:lpwstr>https://wipoprod.sharepoint.com/sites/SPS-INT-BFP-LD-RussTran/_layouts/15/DocIdRedir.aspx?ID=LDBFP-2000531084-64181, LDBFP-2000531084-64181</vt:lpwstr>
  </property>
  <property fmtid="{D5CDD505-2E9C-101B-9397-08002B2CF9AE}" pid="22" name="BusinessUnit">
    <vt:lpwstr>3;#Diplomatic Engagement and Assemblies Affairs Division|c4a5cf71-800f-4e10-aab9-36d8b83eadc2</vt:lpwstr>
  </property>
  <property fmtid="{D5CDD505-2E9C-101B-9397-08002B2CF9AE}" pid="23" name="RMClassification">
    <vt:lpwstr>7;#09 Official Meeting Documents|1c3d7eba-ea38-434e-9ba8-de39eb589212</vt:lpwstr>
  </property>
  <property fmtid="{D5CDD505-2E9C-101B-9397-08002B2CF9AE}" pid="24" name="Body1">
    <vt:lpwstr/>
  </property>
  <property fmtid="{D5CDD505-2E9C-101B-9397-08002B2CF9AE}" pid="25" name="_dlc_DocIdItemGuid">
    <vt:lpwstr>327c87c5-d576-407e-86d0-a7da260152e6</vt:lpwstr>
  </property>
  <property fmtid="{D5CDD505-2E9C-101B-9397-08002B2CF9AE}" pid="26" name="docLang">
    <vt:lpwstr>ru</vt:lpwstr>
  </property>
  <property fmtid="{D5CDD505-2E9C-101B-9397-08002B2CF9AE}" pid="27" name="GrammarlyDocumentId">
    <vt:lpwstr>f9eb7623-888b-4132-9b18-e96379cad61e</vt:lpwstr>
  </property>
</Properties>
</file>