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43888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43888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43888" w:rsidRDefault="00B64ED9" w:rsidP="00916EE2">
            <w:pPr>
              <w:rPr>
                <w:lang w:val="ru-RU"/>
              </w:rPr>
            </w:pPr>
            <w:r w:rsidRPr="00943888">
              <w:rPr>
                <w:noProof/>
                <w:lang w:eastAsia="en-US"/>
              </w:rPr>
              <w:drawing>
                <wp:inline distT="0" distB="0" distL="0" distR="0" wp14:anchorId="46F10DC6" wp14:editId="28AA4E81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43888" w:rsidRDefault="00F407BB" w:rsidP="00F407BB">
            <w:pPr>
              <w:jc w:val="right"/>
              <w:rPr>
                <w:sz w:val="40"/>
                <w:szCs w:val="40"/>
                <w:lang w:val="ru-RU"/>
              </w:rPr>
            </w:pPr>
            <w:r w:rsidRPr="00943888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943888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43888" w:rsidRDefault="00F407BB" w:rsidP="00F407B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43888">
              <w:rPr>
                <w:rFonts w:ascii="Arial Black" w:hAnsi="Arial Black"/>
                <w:caps/>
                <w:sz w:val="15"/>
                <w:lang w:val="ru-RU"/>
              </w:rPr>
              <w:t>PCT/A/49/4</w:t>
            </w:r>
          </w:p>
        </w:tc>
      </w:tr>
      <w:tr w:rsidR="008B2CC1" w:rsidRPr="00943888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43888" w:rsidRDefault="00F407BB" w:rsidP="00F407B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43888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94388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43888" w:rsidRDefault="00F407BB" w:rsidP="00F407B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43888">
              <w:rPr>
                <w:rFonts w:ascii="Arial Black" w:hAnsi="Arial Black"/>
                <w:caps/>
                <w:sz w:val="15"/>
                <w:lang w:val="ru-RU"/>
              </w:rPr>
              <w:t>ДАТА:  3 июля 2017 г.</w:t>
            </w:r>
          </w:p>
        </w:tc>
      </w:tr>
    </w:tbl>
    <w:p w:rsidR="00613E8B" w:rsidRPr="00943888" w:rsidRDefault="00613E8B" w:rsidP="008B2CC1">
      <w:pPr>
        <w:rPr>
          <w:lang w:val="ru-RU"/>
        </w:rPr>
      </w:pPr>
    </w:p>
    <w:p w:rsidR="00613E8B" w:rsidRPr="00943888" w:rsidRDefault="00613E8B" w:rsidP="008B2CC1">
      <w:pPr>
        <w:rPr>
          <w:lang w:val="ru-RU"/>
        </w:rPr>
      </w:pPr>
    </w:p>
    <w:p w:rsidR="00613E8B" w:rsidRPr="00943888" w:rsidRDefault="00613E8B" w:rsidP="008B2CC1">
      <w:pPr>
        <w:rPr>
          <w:lang w:val="ru-RU"/>
        </w:rPr>
      </w:pPr>
    </w:p>
    <w:p w:rsidR="00613E8B" w:rsidRPr="00943888" w:rsidRDefault="00613E8B" w:rsidP="008B2CC1">
      <w:pPr>
        <w:rPr>
          <w:lang w:val="ru-RU"/>
        </w:rPr>
      </w:pPr>
    </w:p>
    <w:p w:rsidR="00613E8B" w:rsidRPr="00943888" w:rsidRDefault="00613E8B" w:rsidP="008B2CC1">
      <w:pPr>
        <w:rPr>
          <w:lang w:val="ru-RU"/>
        </w:rPr>
      </w:pPr>
    </w:p>
    <w:p w:rsidR="00613E8B" w:rsidRPr="00943888" w:rsidRDefault="00F407BB" w:rsidP="00F407BB">
      <w:pPr>
        <w:rPr>
          <w:b/>
          <w:sz w:val="28"/>
          <w:szCs w:val="28"/>
          <w:lang w:val="ru-RU"/>
        </w:rPr>
      </w:pPr>
      <w:r w:rsidRPr="00943888">
        <w:rPr>
          <w:b/>
          <w:sz w:val="28"/>
          <w:szCs w:val="28"/>
          <w:lang w:val="ru-RU"/>
        </w:rPr>
        <w:t>Международный союз патентной кооперации (Союз PCT)</w:t>
      </w:r>
    </w:p>
    <w:p w:rsidR="00613E8B" w:rsidRPr="00943888" w:rsidRDefault="00613E8B" w:rsidP="003845C1">
      <w:pPr>
        <w:rPr>
          <w:lang w:val="ru-RU"/>
        </w:rPr>
      </w:pPr>
    </w:p>
    <w:p w:rsidR="00613E8B" w:rsidRPr="00943888" w:rsidRDefault="00613E8B" w:rsidP="003845C1">
      <w:pPr>
        <w:rPr>
          <w:lang w:val="ru-RU"/>
        </w:rPr>
      </w:pPr>
    </w:p>
    <w:p w:rsidR="00613E8B" w:rsidRPr="00943888" w:rsidRDefault="00F407BB" w:rsidP="00F407BB">
      <w:pPr>
        <w:rPr>
          <w:b/>
          <w:sz w:val="28"/>
          <w:szCs w:val="28"/>
          <w:lang w:val="ru-RU"/>
        </w:rPr>
      </w:pPr>
      <w:r w:rsidRPr="00943888">
        <w:rPr>
          <w:b/>
          <w:sz w:val="28"/>
          <w:szCs w:val="28"/>
          <w:lang w:val="ru-RU"/>
        </w:rPr>
        <w:t>Ассамблея</w:t>
      </w:r>
    </w:p>
    <w:p w:rsidR="00613E8B" w:rsidRPr="00943888" w:rsidRDefault="00613E8B" w:rsidP="003845C1">
      <w:pPr>
        <w:rPr>
          <w:lang w:val="ru-RU"/>
        </w:rPr>
      </w:pPr>
    </w:p>
    <w:p w:rsidR="00613E8B" w:rsidRPr="00943888" w:rsidRDefault="00613E8B" w:rsidP="003845C1">
      <w:pPr>
        <w:rPr>
          <w:lang w:val="ru-RU"/>
        </w:rPr>
      </w:pPr>
    </w:p>
    <w:p w:rsidR="00613E8B" w:rsidRPr="00943888" w:rsidRDefault="00F407BB" w:rsidP="00F407BB">
      <w:pPr>
        <w:rPr>
          <w:b/>
          <w:sz w:val="24"/>
          <w:szCs w:val="24"/>
          <w:lang w:val="ru-RU"/>
        </w:rPr>
      </w:pPr>
      <w:r w:rsidRPr="00943888">
        <w:rPr>
          <w:b/>
          <w:sz w:val="24"/>
          <w:szCs w:val="24"/>
          <w:lang w:val="ru-RU"/>
        </w:rPr>
        <w:t xml:space="preserve">Сорок </w:t>
      </w:r>
      <w:r w:rsidR="00D53C05" w:rsidRPr="00943888">
        <w:rPr>
          <w:b/>
          <w:sz w:val="24"/>
          <w:szCs w:val="24"/>
          <w:lang w:val="ru-RU"/>
        </w:rPr>
        <w:t xml:space="preserve">девятая </w:t>
      </w:r>
      <w:r w:rsidRPr="00943888">
        <w:rPr>
          <w:b/>
          <w:sz w:val="24"/>
          <w:szCs w:val="24"/>
          <w:lang w:val="ru-RU"/>
        </w:rPr>
        <w:t>(21-я очередная) сессия</w:t>
      </w:r>
    </w:p>
    <w:p w:rsidR="00613E8B" w:rsidRPr="00943888" w:rsidRDefault="00D53C05" w:rsidP="00F407BB">
      <w:pPr>
        <w:rPr>
          <w:b/>
          <w:sz w:val="24"/>
          <w:szCs w:val="24"/>
          <w:lang w:val="ru-RU"/>
        </w:rPr>
      </w:pPr>
      <w:r w:rsidRPr="00943888">
        <w:rPr>
          <w:b/>
          <w:sz w:val="24"/>
          <w:szCs w:val="24"/>
          <w:lang w:val="ru-RU"/>
        </w:rPr>
        <w:t>Женева, 2–</w:t>
      </w:r>
      <w:r w:rsidR="00F407BB" w:rsidRPr="00943888">
        <w:rPr>
          <w:b/>
          <w:sz w:val="24"/>
          <w:szCs w:val="24"/>
          <w:lang w:val="ru-RU"/>
        </w:rPr>
        <w:t>11 октября 2017 г.</w:t>
      </w:r>
    </w:p>
    <w:p w:rsidR="00613E8B" w:rsidRPr="00943888" w:rsidRDefault="00613E8B" w:rsidP="008B2CC1">
      <w:pPr>
        <w:rPr>
          <w:lang w:val="ru-RU"/>
        </w:rPr>
      </w:pPr>
    </w:p>
    <w:p w:rsidR="00613E8B" w:rsidRPr="00943888" w:rsidRDefault="00613E8B" w:rsidP="008B2CC1">
      <w:pPr>
        <w:rPr>
          <w:lang w:val="ru-RU"/>
        </w:rPr>
      </w:pPr>
    </w:p>
    <w:p w:rsidR="00613E8B" w:rsidRPr="00943888" w:rsidRDefault="00613E8B" w:rsidP="008B2CC1">
      <w:pPr>
        <w:rPr>
          <w:lang w:val="ru-RU"/>
        </w:rPr>
      </w:pPr>
    </w:p>
    <w:p w:rsidR="00613E8B" w:rsidRPr="00943888" w:rsidRDefault="00F407BB" w:rsidP="00F407BB">
      <w:pPr>
        <w:rPr>
          <w:caps/>
          <w:sz w:val="24"/>
          <w:lang w:val="ru-RU"/>
        </w:rPr>
      </w:pPr>
      <w:bookmarkStart w:id="1" w:name="TitleOfDoc"/>
      <w:bookmarkEnd w:id="1"/>
      <w:r w:rsidRPr="00943888">
        <w:rPr>
          <w:caps/>
          <w:sz w:val="24"/>
          <w:lang w:val="ru-RU"/>
        </w:rPr>
        <w:t>ПРЕДЛАГАЕМЫЕ ПОПРАВКИ К ИНСТРУКЦИИ К PCT</w:t>
      </w:r>
    </w:p>
    <w:p w:rsidR="00613E8B" w:rsidRPr="00943888" w:rsidRDefault="00613E8B" w:rsidP="008B2CC1">
      <w:pPr>
        <w:rPr>
          <w:lang w:val="ru-RU"/>
        </w:rPr>
      </w:pPr>
    </w:p>
    <w:p w:rsidR="00613E8B" w:rsidRPr="00943888" w:rsidRDefault="00F407BB" w:rsidP="00F407BB">
      <w:pPr>
        <w:rPr>
          <w:i/>
          <w:lang w:val="ru-RU"/>
        </w:rPr>
      </w:pPr>
      <w:bookmarkStart w:id="2" w:name="Prepared"/>
      <w:bookmarkEnd w:id="2"/>
      <w:r w:rsidRPr="00943888">
        <w:rPr>
          <w:i/>
          <w:lang w:val="ru-RU"/>
        </w:rPr>
        <w:t>Документ подготовлен Международным бюро</w:t>
      </w:r>
    </w:p>
    <w:p w:rsidR="00613E8B" w:rsidRPr="00943888" w:rsidRDefault="00613E8B">
      <w:pPr>
        <w:rPr>
          <w:lang w:val="ru-RU"/>
        </w:rPr>
      </w:pPr>
    </w:p>
    <w:p w:rsidR="00613E8B" w:rsidRPr="00943888" w:rsidRDefault="00613E8B">
      <w:pPr>
        <w:rPr>
          <w:lang w:val="ru-RU"/>
        </w:rPr>
      </w:pPr>
    </w:p>
    <w:p w:rsidR="00613E8B" w:rsidRPr="00943888" w:rsidRDefault="00613E8B">
      <w:pPr>
        <w:rPr>
          <w:lang w:val="ru-RU"/>
        </w:rPr>
      </w:pPr>
    </w:p>
    <w:p w:rsidR="00613E8B" w:rsidRPr="00943888" w:rsidRDefault="00613E8B" w:rsidP="0053057A">
      <w:pPr>
        <w:rPr>
          <w:lang w:val="ru-RU"/>
        </w:rPr>
      </w:pPr>
    </w:p>
    <w:p w:rsidR="00613E8B" w:rsidRPr="00943888" w:rsidRDefault="00F407BB" w:rsidP="00F407BB">
      <w:pPr>
        <w:pStyle w:val="Heading1"/>
        <w:rPr>
          <w:lang w:val="ru-RU"/>
        </w:rPr>
      </w:pPr>
      <w:r w:rsidRPr="00943888">
        <w:rPr>
          <w:lang w:val="ru-RU"/>
        </w:rPr>
        <w:t>РЕЗЮМЕ</w:t>
      </w:r>
    </w:p>
    <w:p w:rsidR="00613E8B" w:rsidRPr="00943888" w:rsidRDefault="00F407BB" w:rsidP="00F407BB">
      <w:pPr>
        <w:pStyle w:val="ONUME"/>
        <w:numPr>
          <w:ilvl w:val="0"/>
          <w:numId w:val="7"/>
        </w:numPr>
        <w:rPr>
          <w:lang w:val="ru-RU"/>
        </w:rPr>
      </w:pPr>
      <w:r w:rsidRPr="00943888">
        <w:rPr>
          <w:lang w:val="ru-RU"/>
        </w:rPr>
        <w:t>В настоящем документе содержатся предлагаемые поправки к Инструкции к Договору о патентной кооперации (PCT)</w:t>
      </w:r>
      <w:r w:rsidR="001A080D" w:rsidRPr="00943888">
        <w:rPr>
          <w:rStyle w:val="FootnoteReference"/>
          <w:lang w:val="ru-RU"/>
        </w:rPr>
        <w:t xml:space="preserve"> </w:t>
      </w:r>
      <w:r w:rsidR="001A080D" w:rsidRPr="00943888">
        <w:rPr>
          <w:rStyle w:val="FootnoteReference"/>
          <w:lang w:val="ru-RU"/>
        </w:rPr>
        <w:footnoteReference w:id="2"/>
      </w:r>
      <w:r w:rsidRPr="00943888">
        <w:rPr>
          <w:lang w:val="ru-RU"/>
        </w:rPr>
        <w:t>, согласованные Рабочей группой по PCT («Рабочая группа») для представления на рассмотрение Ассамблеи на настоящей сессии.</w:t>
      </w:r>
    </w:p>
    <w:p w:rsidR="00613E8B" w:rsidRPr="00943888" w:rsidRDefault="00F407BB" w:rsidP="00F407BB">
      <w:pPr>
        <w:pStyle w:val="Heading1"/>
        <w:rPr>
          <w:lang w:val="ru-RU"/>
        </w:rPr>
      </w:pPr>
      <w:r w:rsidRPr="00943888">
        <w:rPr>
          <w:lang w:val="ru-RU"/>
        </w:rPr>
        <w:t>ПРЕДЛАГАЕМЫЕ ПОПРАВКИ</w:t>
      </w:r>
    </w:p>
    <w:p w:rsidR="00613E8B" w:rsidRPr="00943888" w:rsidRDefault="00F407BB" w:rsidP="00F407BB">
      <w:pPr>
        <w:pStyle w:val="ONUME"/>
        <w:numPr>
          <w:ilvl w:val="0"/>
          <w:numId w:val="7"/>
        </w:numPr>
        <w:rPr>
          <w:lang w:val="ru-RU"/>
        </w:rPr>
      </w:pPr>
      <w:r w:rsidRPr="00943888">
        <w:rPr>
          <w:lang w:val="ru-RU"/>
        </w:rPr>
        <w:t>В приложении I содержатся предлагаемые поправки к Инструкции к Договору о патентной кооперации, согласованные Рабочей группой на ее де</w:t>
      </w:r>
      <w:r w:rsidR="00D17FFD" w:rsidRPr="00943888">
        <w:rPr>
          <w:lang w:val="ru-RU"/>
        </w:rPr>
        <w:t xml:space="preserve">сятой </w:t>
      </w:r>
      <w:r w:rsidRPr="00943888">
        <w:rPr>
          <w:lang w:val="ru-RU"/>
        </w:rPr>
        <w:t>сессии, состоявшейся в Женеве 8-12 мая 2017 г., для представления на рассмотрение Ассамблеи на настоящей сессии.</w:t>
      </w:r>
      <w:r w:rsidR="00957053" w:rsidRPr="00943888">
        <w:rPr>
          <w:lang w:val="ru-RU"/>
        </w:rPr>
        <w:t xml:space="preserve">  </w:t>
      </w:r>
      <w:r w:rsidRPr="00943888">
        <w:rPr>
          <w:lang w:val="ru-RU"/>
        </w:rPr>
        <w:t>Данные поправки касаются следующих вопросов:</w:t>
      </w:r>
    </w:p>
    <w:p w:rsidR="00613E8B" w:rsidRPr="00943888" w:rsidRDefault="007E5CF6" w:rsidP="00D00961">
      <w:pPr>
        <w:pStyle w:val="ONUME"/>
        <w:keepLines/>
        <w:numPr>
          <w:ilvl w:val="1"/>
          <w:numId w:val="7"/>
        </w:numPr>
        <w:rPr>
          <w:lang w:val="ru-RU"/>
        </w:rPr>
      </w:pPr>
      <w:r w:rsidRPr="00943888">
        <w:rPr>
          <w:lang w:val="ru-RU"/>
        </w:rPr>
        <w:lastRenderedPageBreak/>
        <w:t xml:space="preserve">исправления ссылок в правилах 4.1(b)(ii) и 41.2(b), с тем чтобы они правильно отражали изменения в нумерации с учетом поправок к правилам 12bis и 23bis, принятых Ассамблеей на ее сорок седьмой (в октябре 2015 г.) и сорок восьмой (в октябре 2016 г.) сессиях, соответственно; </w:t>
      </w:r>
    </w:p>
    <w:p w:rsidR="00613E8B" w:rsidRPr="00943888" w:rsidRDefault="007E5CF6" w:rsidP="00FD16B3">
      <w:pPr>
        <w:pStyle w:val="ONUME"/>
        <w:numPr>
          <w:ilvl w:val="1"/>
          <w:numId w:val="7"/>
        </w:numPr>
        <w:rPr>
          <w:lang w:val="ru-RU"/>
        </w:rPr>
      </w:pPr>
      <w:r w:rsidRPr="00943888">
        <w:rPr>
          <w:lang w:val="ru-RU"/>
        </w:rPr>
        <w:t>поправ</w:t>
      </w:r>
      <w:r w:rsidR="00554B50" w:rsidRPr="00943888">
        <w:rPr>
          <w:lang w:val="ru-RU"/>
        </w:rPr>
        <w:t xml:space="preserve">ок </w:t>
      </w:r>
      <w:r w:rsidRPr="00943888">
        <w:rPr>
          <w:lang w:val="ru-RU"/>
        </w:rPr>
        <w:t>к Перечню пошлин и сб</w:t>
      </w:r>
      <w:r w:rsidR="00554B50" w:rsidRPr="00943888">
        <w:rPr>
          <w:lang w:val="ru-RU"/>
        </w:rPr>
        <w:t xml:space="preserve">оров, уточняющих, что </w:t>
      </w:r>
      <w:r w:rsidR="00FD16B3" w:rsidRPr="00943888">
        <w:rPr>
          <w:lang w:val="ru-RU"/>
        </w:rPr>
        <w:t xml:space="preserve">90-процентная скидка с пошлины, предусмотренная в пункте 5, предназначена только для лиц, которые подают международные заявки от своего имени, а не от имени другого физического или юридического лица, не имеющего права на скидку, например в случае, когда директор или сотрудник компании подает международную заявку от имени компании с целью получить скидку в соответствии с пунктом </w:t>
      </w:r>
      <w:r w:rsidR="00352EAB" w:rsidRPr="00943888">
        <w:rPr>
          <w:lang w:val="ru-RU"/>
        </w:rPr>
        <w:t>5(a).</w:t>
      </w:r>
      <w:r w:rsidR="00FD16B3" w:rsidRPr="00943888">
        <w:rPr>
          <w:lang w:val="ru-RU"/>
        </w:rPr>
        <w:t xml:space="preserve"> </w:t>
      </w:r>
    </w:p>
    <w:p w:rsidR="00613E8B" w:rsidRPr="00943888" w:rsidRDefault="00991195" w:rsidP="00991195">
      <w:pPr>
        <w:pStyle w:val="ONUME"/>
        <w:numPr>
          <w:ilvl w:val="0"/>
          <w:numId w:val="7"/>
        </w:numPr>
        <w:rPr>
          <w:lang w:val="ru-RU"/>
        </w:rPr>
      </w:pPr>
      <w:bookmarkStart w:id="3" w:name="_Ref483207578"/>
      <w:r w:rsidRPr="00943888">
        <w:rPr>
          <w:lang w:val="ru-RU"/>
        </w:rPr>
        <w:t>В связи с вышеуказанным вопросом Рабочая группа рекомендовала, чтобы в дополнение к поправкам к Перечню пошлин и сборов Ассамблея приняла следующую договоренность</w:t>
      </w:r>
      <w:r w:rsidR="00957053" w:rsidRPr="00943888">
        <w:rPr>
          <w:lang w:val="ru-RU"/>
        </w:rPr>
        <w:t>:</w:t>
      </w:r>
      <w:bookmarkEnd w:id="3"/>
    </w:p>
    <w:p w:rsidR="00613E8B" w:rsidRPr="00943888" w:rsidRDefault="00F407BB" w:rsidP="00F407BB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 w:rsidRPr="00943888">
        <w:rPr>
          <w:lang w:val="ru-RU"/>
        </w:rPr>
        <w:t>«Ассамблея РСТ исходит из того, что снижение пошлины согласно пункту 5 Перечня пошлин возможно только в том случае, если указанные в заявлении заявители являются единственными и подлинными владельцами заявки и не несут никаких обязательств по переуступке, предоставлению, передаче или лицензированию прав на изобретение другой стороне, которая не отвечает критериям соответствия требованиям, установленным для снижения пошлины».</w:t>
      </w:r>
    </w:p>
    <w:p w:rsidR="00613E8B" w:rsidRPr="00943888" w:rsidRDefault="00F407BB" w:rsidP="00F407BB">
      <w:pPr>
        <w:pStyle w:val="ONUME"/>
        <w:numPr>
          <w:ilvl w:val="0"/>
          <w:numId w:val="7"/>
        </w:numPr>
        <w:rPr>
          <w:lang w:val="ru-RU"/>
        </w:rPr>
      </w:pPr>
      <w:r w:rsidRPr="00943888">
        <w:rPr>
          <w:lang w:val="ru-RU"/>
        </w:rPr>
        <w:t>А приложении II приводится «чистый текст» соответствующих правил с учетом поправок и изменений.</w:t>
      </w:r>
    </w:p>
    <w:p w:rsidR="00613E8B" w:rsidRPr="00943888" w:rsidRDefault="00F407BB" w:rsidP="00F407BB">
      <w:pPr>
        <w:pStyle w:val="Heading1"/>
        <w:rPr>
          <w:lang w:val="ru-RU"/>
        </w:rPr>
      </w:pPr>
      <w:r w:rsidRPr="00943888">
        <w:rPr>
          <w:lang w:val="ru-RU"/>
        </w:rPr>
        <w:t>ВСТУПЛЕНИЕ В СИЛУ И ПЕРЕХОДНЫЕ ПОЛОЖЕНИЯ</w:t>
      </w:r>
    </w:p>
    <w:p w:rsidR="00613E8B" w:rsidRPr="00943888" w:rsidRDefault="00E64332" w:rsidP="00613E8B">
      <w:pPr>
        <w:pStyle w:val="ONUME"/>
        <w:numPr>
          <w:ilvl w:val="0"/>
          <w:numId w:val="7"/>
        </w:numPr>
        <w:rPr>
          <w:lang w:val="ru-RU"/>
        </w:rPr>
      </w:pPr>
      <w:r w:rsidRPr="00943888">
        <w:rPr>
          <w:lang w:val="ru-RU"/>
        </w:rPr>
        <w:t xml:space="preserve">Предлагается, чтобы поправки вступили в силу 1 июля 2018 г. и распространялись на все международные заявки с датой международной подачи не ранее этой даты.  Поскольку смысл поправки к Перечню пошлин и сборов заключается в уточнении первоначальной цели снижения размера пошлины, а не изменении существа положения, предлагается, чтобы </w:t>
      </w:r>
      <w:r w:rsidR="00613E8B" w:rsidRPr="00943888">
        <w:rPr>
          <w:lang w:val="ru-RU"/>
        </w:rPr>
        <w:t xml:space="preserve">при принятии </w:t>
      </w:r>
      <w:r w:rsidRPr="00943888">
        <w:rPr>
          <w:lang w:val="ru-RU"/>
        </w:rPr>
        <w:t>договоренност</w:t>
      </w:r>
      <w:r w:rsidR="00613E8B" w:rsidRPr="00943888">
        <w:rPr>
          <w:lang w:val="ru-RU"/>
        </w:rPr>
        <w:t xml:space="preserve">и </w:t>
      </w:r>
      <w:r w:rsidRPr="00943888">
        <w:rPr>
          <w:lang w:val="ru-RU"/>
        </w:rPr>
        <w:t>был</w:t>
      </w:r>
      <w:r w:rsidR="00613E8B" w:rsidRPr="00943888">
        <w:rPr>
          <w:lang w:val="ru-RU"/>
        </w:rPr>
        <w:t xml:space="preserve">о установлено, что она вступает в силу с момента закрытия сессии Ассамблеи 11 октября </w:t>
      </w:r>
      <w:r w:rsidR="004B31DE" w:rsidRPr="00943888">
        <w:rPr>
          <w:lang w:val="ru-RU"/>
        </w:rPr>
        <w:t>2017</w:t>
      </w:r>
      <w:r w:rsidR="00613E8B" w:rsidRPr="00943888">
        <w:rPr>
          <w:lang w:val="ru-RU"/>
        </w:rPr>
        <w:t> г</w:t>
      </w:r>
      <w:r w:rsidR="006A405F" w:rsidRPr="00943888">
        <w:rPr>
          <w:lang w:val="ru-RU"/>
        </w:rPr>
        <w:t>.</w:t>
      </w:r>
    </w:p>
    <w:p w:rsidR="00613E8B" w:rsidRPr="00943888" w:rsidRDefault="00F407BB" w:rsidP="00F407BB">
      <w:pPr>
        <w:pStyle w:val="ONUME"/>
        <w:numPr>
          <w:ilvl w:val="0"/>
          <w:numId w:val="7"/>
        </w:numPr>
        <w:rPr>
          <w:lang w:val="ru-RU"/>
        </w:rPr>
      </w:pPr>
      <w:r w:rsidRPr="00943888">
        <w:rPr>
          <w:lang w:val="ru-RU"/>
        </w:rPr>
        <w:t>В этой связи Ассамблее предлагается принять следующие решения о вступлении в силу предлагаемых поправок к Инструкции, изложенных в приложении I к настоящему документу, и о соответствующих переходных положениях:</w:t>
      </w:r>
    </w:p>
    <w:p w:rsidR="00613E8B" w:rsidRPr="00943888" w:rsidRDefault="00613E8B" w:rsidP="00613E8B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 w:rsidRPr="00943888">
        <w:rPr>
          <w:lang w:val="ru-RU"/>
        </w:rPr>
        <w:t>« Поправки к Правилам 4.1(b)(ii) и 41.2(b) и Перечню пошлин и сборов вступают в силу 1 июля 2018 г. и распространяются на все международные заявки с датой международной подачи не ранее этой даты»</w:t>
      </w:r>
      <w:r w:rsidR="00957053" w:rsidRPr="00943888">
        <w:rPr>
          <w:lang w:val="ru-RU"/>
        </w:rPr>
        <w:t>.</w:t>
      </w:r>
      <w:r w:rsidRPr="00943888">
        <w:rPr>
          <w:lang w:val="ru-RU"/>
        </w:rPr>
        <w:t xml:space="preserve"> </w:t>
      </w:r>
    </w:p>
    <w:p w:rsidR="00613E8B" w:rsidRPr="00943888" w:rsidRDefault="00F407BB" w:rsidP="00F407BB">
      <w:pPr>
        <w:pStyle w:val="ONUME"/>
        <w:keepLines/>
        <w:numPr>
          <w:ilvl w:val="0"/>
          <w:numId w:val="7"/>
        </w:numPr>
        <w:tabs>
          <w:tab w:val="left" w:pos="6096"/>
        </w:tabs>
        <w:ind w:left="5533"/>
        <w:rPr>
          <w:i/>
          <w:lang w:val="ru-RU"/>
        </w:rPr>
      </w:pPr>
      <w:r w:rsidRPr="00943888">
        <w:rPr>
          <w:i/>
          <w:lang w:val="ru-RU"/>
        </w:rPr>
        <w:t>Ассамблее Союза РСТ предлагается:</w:t>
      </w:r>
    </w:p>
    <w:p w:rsidR="00613E8B" w:rsidRPr="00943888" w:rsidRDefault="00F407BB" w:rsidP="00F407BB">
      <w:pPr>
        <w:pStyle w:val="ONUME"/>
        <w:keepLines/>
        <w:numPr>
          <w:ilvl w:val="0"/>
          <w:numId w:val="0"/>
        </w:numPr>
        <w:tabs>
          <w:tab w:val="left" w:pos="6096"/>
          <w:tab w:val="left" w:pos="6663"/>
        </w:tabs>
        <w:ind w:left="6101"/>
        <w:rPr>
          <w:i/>
          <w:lang w:val="ru-RU"/>
        </w:rPr>
      </w:pPr>
      <w:r w:rsidRPr="00943888">
        <w:rPr>
          <w:i/>
          <w:lang w:val="ru-RU"/>
        </w:rPr>
        <w:t>(i)</w:t>
      </w:r>
      <w:r w:rsidRPr="00943888">
        <w:rPr>
          <w:i/>
          <w:lang w:val="ru-RU"/>
        </w:rPr>
        <w:tab/>
        <w:t xml:space="preserve">принять предлагаемые поправки к Инструкции к РСТ, </w:t>
      </w:r>
      <w:r w:rsidR="00613E8B" w:rsidRPr="00943888">
        <w:rPr>
          <w:i/>
          <w:lang w:val="ru-RU"/>
        </w:rPr>
        <w:t>изложенные</w:t>
      </w:r>
      <w:r w:rsidRPr="00943888">
        <w:rPr>
          <w:i/>
          <w:lang w:val="ru-RU"/>
        </w:rPr>
        <w:t xml:space="preserve"> в </w:t>
      </w:r>
      <w:r w:rsidR="001A080D" w:rsidRPr="00943888">
        <w:rPr>
          <w:i/>
          <w:lang w:val="ru-RU"/>
        </w:rPr>
        <w:t>п</w:t>
      </w:r>
      <w:r w:rsidRPr="00943888">
        <w:rPr>
          <w:i/>
          <w:lang w:val="ru-RU"/>
        </w:rPr>
        <w:t>риложени</w:t>
      </w:r>
      <w:r w:rsidR="00613E8B" w:rsidRPr="00943888">
        <w:rPr>
          <w:i/>
          <w:lang w:val="ru-RU"/>
        </w:rPr>
        <w:t xml:space="preserve">и </w:t>
      </w:r>
      <w:r w:rsidRPr="00943888">
        <w:rPr>
          <w:i/>
          <w:lang w:val="ru-RU"/>
        </w:rPr>
        <w:t xml:space="preserve">I </w:t>
      </w:r>
      <w:r w:rsidR="00613E8B" w:rsidRPr="00943888">
        <w:rPr>
          <w:i/>
          <w:lang w:val="ru-RU"/>
        </w:rPr>
        <w:t xml:space="preserve">к документу PCT/A/49/4, </w:t>
      </w:r>
      <w:r w:rsidRPr="00943888">
        <w:rPr>
          <w:i/>
          <w:lang w:val="ru-RU"/>
        </w:rPr>
        <w:t>и предлагаем</w:t>
      </w:r>
      <w:r w:rsidR="00613E8B" w:rsidRPr="00943888">
        <w:rPr>
          <w:i/>
          <w:lang w:val="ru-RU"/>
        </w:rPr>
        <w:t>о</w:t>
      </w:r>
      <w:r w:rsidRPr="00943888">
        <w:rPr>
          <w:i/>
          <w:lang w:val="ru-RU"/>
        </w:rPr>
        <w:t>е решени</w:t>
      </w:r>
      <w:r w:rsidR="00613E8B" w:rsidRPr="00943888">
        <w:rPr>
          <w:i/>
          <w:lang w:val="ru-RU"/>
        </w:rPr>
        <w:t>е</w:t>
      </w:r>
      <w:r w:rsidRPr="00943888">
        <w:rPr>
          <w:i/>
          <w:lang w:val="ru-RU"/>
        </w:rPr>
        <w:t>, изложенн</w:t>
      </w:r>
      <w:r w:rsidR="00613E8B" w:rsidRPr="00943888">
        <w:rPr>
          <w:i/>
          <w:lang w:val="ru-RU"/>
        </w:rPr>
        <w:t>о</w:t>
      </w:r>
      <w:r w:rsidRPr="00943888">
        <w:rPr>
          <w:i/>
          <w:lang w:val="ru-RU"/>
        </w:rPr>
        <w:t>е в пункт</w:t>
      </w:r>
      <w:r w:rsidR="001A080D" w:rsidRPr="00943888">
        <w:rPr>
          <w:i/>
          <w:lang w:val="ru-RU"/>
        </w:rPr>
        <w:t xml:space="preserve">е 6 </w:t>
      </w:r>
      <w:r w:rsidR="00613E8B" w:rsidRPr="00943888">
        <w:rPr>
          <w:i/>
          <w:lang w:val="ru-RU"/>
        </w:rPr>
        <w:t>документа PCT/A/49/4, касающе</w:t>
      </w:r>
      <w:r w:rsidRPr="00943888">
        <w:rPr>
          <w:i/>
          <w:lang w:val="ru-RU"/>
        </w:rPr>
        <w:t>еся их вступления в силу и переходных положений;  и</w:t>
      </w:r>
    </w:p>
    <w:p w:rsidR="00613E8B" w:rsidRPr="00943888" w:rsidRDefault="006A405F" w:rsidP="00A725B0">
      <w:pPr>
        <w:pStyle w:val="ONUME"/>
        <w:keepLines/>
        <w:numPr>
          <w:ilvl w:val="0"/>
          <w:numId w:val="0"/>
        </w:numPr>
        <w:tabs>
          <w:tab w:val="left" w:pos="6096"/>
          <w:tab w:val="left" w:pos="6663"/>
        </w:tabs>
        <w:ind w:left="6101"/>
        <w:rPr>
          <w:i/>
          <w:lang w:val="ru-RU"/>
        </w:rPr>
      </w:pPr>
      <w:r w:rsidRPr="00943888">
        <w:rPr>
          <w:i/>
          <w:lang w:val="ru-RU"/>
        </w:rPr>
        <w:lastRenderedPageBreak/>
        <w:t>(ii)</w:t>
      </w:r>
      <w:r w:rsidR="001B7D3E" w:rsidRPr="00943888">
        <w:rPr>
          <w:i/>
          <w:lang w:val="ru-RU"/>
        </w:rPr>
        <w:tab/>
      </w:r>
      <w:r w:rsidR="00613E8B" w:rsidRPr="00943888">
        <w:rPr>
          <w:i/>
          <w:lang w:val="ru-RU"/>
        </w:rPr>
        <w:t xml:space="preserve">принять договоренность, изложенную в пункте </w:t>
      </w:r>
      <w:r w:rsidR="001B7D3E" w:rsidRPr="00943888">
        <w:rPr>
          <w:i/>
          <w:lang w:val="ru-RU"/>
        </w:rPr>
        <w:fldChar w:fldCharType="begin"/>
      </w:r>
      <w:r w:rsidR="001B7D3E" w:rsidRPr="00943888">
        <w:rPr>
          <w:i/>
          <w:lang w:val="ru-RU"/>
        </w:rPr>
        <w:instrText xml:space="preserve"> REF _Ref483207578 \r \h </w:instrText>
      </w:r>
      <w:r w:rsidR="00613E8B" w:rsidRPr="00943888">
        <w:rPr>
          <w:i/>
          <w:lang w:val="ru-RU"/>
        </w:rPr>
        <w:instrText xml:space="preserve"> \* MERGEFORMAT </w:instrText>
      </w:r>
      <w:r w:rsidR="001B7D3E" w:rsidRPr="00943888">
        <w:rPr>
          <w:i/>
          <w:lang w:val="ru-RU"/>
        </w:rPr>
      </w:r>
      <w:r w:rsidR="001B7D3E" w:rsidRPr="00943888">
        <w:rPr>
          <w:i/>
          <w:lang w:val="ru-RU"/>
        </w:rPr>
        <w:fldChar w:fldCharType="separate"/>
      </w:r>
      <w:r w:rsidR="00993B5E">
        <w:rPr>
          <w:i/>
          <w:lang w:val="ru-RU"/>
        </w:rPr>
        <w:t>3</w:t>
      </w:r>
      <w:r w:rsidR="001B7D3E" w:rsidRPr="00943888">
        <w:rPr>
          <w:i/>
          <w:lang w:val="ru-RU"/>
        </w:rPr>
        <w:fldChar w:fldCharType="end"/>
      </w:r>
      <w:r w:rsidR="001B7D3E" w:rsidRPr="00943888">
        <w:rPr>
          <w:i/>
          <w:lang w:val="ru-RU"/>
        </w:rPr>
        <w:t xml:space="preserve"> </w:t>
      </w:r>
      <w:r w:rsidR="00613E8B" w:rsidRPr="00943888">
        <w:rPr>
          <w:i/>
          <w:lang w:val="ru-RU"/>
        </w:rPr>
        <w:t xml:space="preserve">документа </w:t>
      </w:r>
      <w:r w:rsidR="001B7D3E" w:rsidRPr="00943888">
        <w:rPr>
          <w:i/>
          <w:lang w:val="ru-RU"/>
        </w:rPr>
        <w:t>PCT/A/49/4</w:t>
      </w:r>
      <w:r w:rsidR="00613E8B" w:rsidRPr="00943888">
        <w:rPr>
          <w:i/>
          <w:lang w:val="ru-RU"/>
        </w:rPr>
        <w:t xml:space="preserve">, установив, что она вступает в силу </w:t>
      </w:r>
      <w:r w:rsidR="004B31DE" w:rsidRPr="00943888">
        <w:rPr>
          <w:i/>
          <w:lang w:val="ru-RU"/>
        </w:rPr>
        <w:t>11</w:t>
      </w:r>
      <w:r w:rsidR="00613E8B" w:rsidRPr="00943888">
        <w:rPr>
          <w:i/>
          <w:lang w:val="ru-RU"/>
        </w:rPr>
        <w:t xml:space="preserve"> октября </w:t>
      </w:r>
      <w:r w:rsidR="004B31DE" w:rsidRPr="00943888">
        <w:rPr>
          <w:i/>
          <w:lang w:val="ru-RU"/>
        </w:rPr>
        <w:t>2017</w:t>
      </w:r>
      <w:r w:rsidR="00613E8B" w:rsidRPr="00943888">
        <w:rPr>
          <w:i/>
          <w:lang w:val="ru-RU"/>
        </w:rPr>
        <w:t> г</w:t>
      </w:r>
      <w:r w:rsidR="00957053" w:rsidRPr="00943888">
        <w:rPr>
          <w:i/>
          <w:lang w:val="ru-RU"/>
        </w:rPr>
        <w:t>.</w:t>
      </w:r>
    </w:p>
    <w:p w:rsidR="00613E8B" w:rsidRPr="00943888" w:rsidRDefault="00613E8B">
      <w:pPr>
        <w:rPr>
          <w:lang w:val="ru-RU"/>
        </w:rPr>
      </w:pPr>
    </w:p>
    <w:p w:rsidR="0091786B" w:rsidRPr="00943888" w:rsidRDefault="00F407BB" w:rsidP="00F407BB">
      <w:pPr>
        <w:pStyle w:val="Endofdocument-Annex"/>
        <w:rPr>
          <w:lang w:val="ru-RU"/>
        </w:rPr>
        <w:sectPr w:rsidR="0091786B" w:rsidRPr="00943888" w:rsidSect="0091786B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43888">
        <w:rPr>
          <w:lang w:val="ru-RU"/>
        </w:rPr>
        <w:t>[Приложения следуют]</w:t>
      </w:r>
    </w:p>
    <w:p w:rsidR="00613E8B" w:rsidRPr="00943888" w:rsidRDefault="00613E8B" w:rsidP="00957053">
      <w:pPr>
        <w:jc w:val="center"/>
        <w:rPr>
          <w:lang w:val="ru-RU"/>
        </w:rPr>
      </w:pPr>
    </w:p>
    <w:p w:rsidR="00613E8B" w:rsidRPr="00943888" w:rsidRDefault="00613E8B" w:rsidP="00957053">
      <w:pPr>
        <w:jc w:val="center"/>
        <w:rPr>
          <w:lang w:val="ru-RU"/>
        </w:rPr>
      </w:pPr>
    </w:p>
    <w:p w:rsidR="00613E8B" w:rsidRPr="00943888" w:rsidRDefault="00F407BB" w:rsidP="00F407BB">
      <w:pPr>
        <w:jc w:val="center"/>
        <w:rPr>
          <w:lang w:val="ru-RU"/>
        </w:rPr>
      </w:pPr>
      <w:r w:rsidRPr="00943888">
        <w:rPr>
          <w:lang w:val="ru-RU"/>
        </w:rPr>
        <w:t>ПРЕДЛАГАЕМЫЕ ПОПРАВКИ К ИНСТРУКЦИИ PCT</w:t>
      </w:r>
      <w:r w:rsidR="006D7AF5" w:rsidRPr="00943888">
        <w:rPr>
          <w:rStyle w:val="FootnoteReference"/>
          <w:lang w:val="ru-RU"/>
        </w:rPr>
        <w:footnoteReference w:id="3"/>
      </w:r>
    </w:p>
    <w:p w:rsidR="00613E8B" w:rsidRPr="00943888" w:rsidRDefault="00613E8B" w:rsidP="00957053">
      <w:pPr>
        <w:jc w:val="center"/>
        <w:rPr>
          <w:lang w:val="ru-RU"/>
        </w:rPr>
      </w:pPr>
    </w:p>
    <w:p w:rsidR="00613E8B" w:rsidRPr="00943888" w:rsidRDefault="00F407BB" w:rsidP="00F407BB">
      <w:pPr>
        <w:jc w:val="center"/>
        <w:rPr>
          <w:lang w:val="ru-RU"/>
        </w:rPr>
      </w:pPr>
      <w:r w:rsidRPr="00943888">
        <w:rPr>
          <w:lang w:val="ru-RU"/>
        </w:rPr>
        <w:t>СОДЕРЖАНИЕ</w:t>
      </w:r>
    </w:p>
    <w:p w:rsidR="00613E8B" w:rsidRPr="00943888" w:rsidRDefault="00613E8B" w:rsidP="00957053">
      <w:pPr>
        <w:pStyle w:val="Endofdocument-Annex"/>
        <w:ind w:left="0"/>
        <w:jc w:val="center"/>
        <w:rPr>
          <w:lang w:val="ru-RU"/>
        </w:rPr>
      </w:pPr>
    </w:p>
    <w:p w:rsidR="00613E8B" w:rsidRPr="00943888" w:rsidRDefault="00613E8B">
      <w:pPr>
        <w:rPr>
          <w:lang w:val="ru-RU"/>
        </w:rPr>
      </w:pPr>
    </w:p>
    <w:p w:rsidR="00613E8B" w:rsidRPr="00943888" w:rsidRDefault="00613E8B">
      <w:pPr>
        <w:rPr>
          <w:lang w:val="ru-RU"/>
        </w:rPr>
      </w:pPr>
    </w:p>
    <w:p w:rsidR="00613E8B" w:rsidRPr="00943888" w:rsidRDefault="001B7D3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943888">
        <w:rPr>
          <w:lang w:val="ru-RU"/>
        </w:rPr>
        <w:fldChar w:fldCharType="begin"/>
      </w:r>
      <w:r w:rsidRPr="00943888">
        <w:rPr>
          <w:lang w:val="ru-RU"/>
        </w:rPr>
        <w:instrText xml:space="preserve"> TOC \b "AxI" \h \z \t "Leg # Title,1,Leg SubRule #,2" </w:instrText>
      </w:r>
      <w:r w:rsidRPr="00943888">
        <w:rPr>
          <w:lang w:val="ru-RU"/>
        </w:rPr>
        <w:fldChar w:fldCharType="separate"/>
      </w:r>
      <w:hyperlink w:anchor="_Toc486502526" w:history="1">
        <w:r w:rsidR="00340BC1" w:rsidRPr="00943888">
          <w:rPr>
            <w:rStyle w:val="Hyperlink"/>
            <w:noProof/>
            <w:lang w:val="ru-RU"/>
          </w:rPr>
          <w:t>Правило 4 Заявление (Содержание)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_Toc486502526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 w:rsidR="00993B5E">
          <w:rPr>
            <w:noProof/>
            <w:webHidden/>
            <w:lang w:val="ru-RU"/>
          </w:rPr>
          <w:t>2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993B5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hyperlink w:anchor="_Toc486502527" w:history="1">
        <w:r w:rsidR="00340BC1" w:rsidRPr="00943888">
          <w:rPr>
            <w:rStyle w:val="Hyperlink"/>
            <w:noProof/>
            <w:lang w:val="ru-RU"/>
          </w:rPr>
          <w:t>4.1   </w:t>
        </w:r>
        <w:r w:rsidR="00340BC1" w:rsidRPr="00943888">
          <w:rPr>
            <w:rStyle w:val="Hyperlink"/>
            <w:i/>
            <w:noProof/>
            <w:lang w:val="ru-RU"/>
          </w:rPr>
          <w:t>Обязательные и необязательные сведения; подпись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_Toc486502527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>
          <w:rPr>
            <w:noProof/>
            <w:webHidden/>
            <w:lang w:val="ru-RU"/>
          </w:rPr>
          <w:t>2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993B5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hyperlink w:anchor="_Toc486502528" w:history="1">
        <w:r w:rsidR="00340BC1" w:rsidRPr="00943888">
          <w:rPr>
            <w:rStyle w:val="Hyperlink"/>
            <w:noProof/>
            <w:lang w:val="ru-RU"/>
          </w:rPr>
          <w:t xml:space="preserve">4.2 - 4.19  </w:t>
        </w:r>
        <w:r w:rsidR="00340BC1" w:rsidRPr="00943888">
          <w:rPr>
            <w:rStyle w:val="Hyperlink"/>
            <w:i/>
            <w:noProof/>
            <w:lang w:val="ru-RU"/>
          </w:rPr>
          <w:t>[Без изменений]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_Toc486502528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>
          <w:rPr>
            <w:noProof/>
            <w:webHidden/>
            <w:lang w:val="ru-RU"/>
          </w:rPr>
          <w:t>2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993B5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hyperlink w:anchor="_Toc486502529" w:history="1">
        <w:r w:rsidR="00340BC1" w:rsidRPr="00943888">
          <w:rPr>
            <w:rStyle w:val="Hyperlink"/>
            <w:noProof/>
            <w:lang w:val="ru-RU"/>
          </w:rPr>
          <w:t>Правило 41 Принятие во внимание результатов предшествующего поиска и классификации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_Toc486502529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>
          <w:rPr>
            <w:noProof/>
            <w:webHidden/>
            <w:lang w:val="ru-RU"/>
          </w:rPr>
          <w:t>3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993B5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hyperlink w:anchor="_Toc486502530" w:history="1">
        <w:r w:rsidR="00340BC1" w:rsidRPr="00943888">
          <w:rPr>
            <w:rStyle w:val="Hyperlink"/>
            <w:noProof/>
            <w:lang w:val="ru-RU"/>
          </w:rPr>
          <w:t>41.1   [Без изменений]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_Toc486502530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>
          <w:rPr>
            <w:noProof/>
            <w:webHidden/>
            <w:lang w:val="ru-RU"/>
          </w:rPr>
          <w:t>3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993B5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hyperlink w:anchor="_Toc486502531" w:history="1">
        <w:r w:rsidR="00340BC1" w:rsidRPr="00943888">
          <w:rPr>
            <w:rStyle w:val="Hyperlink"/>
            <w:noProof/>
            <w:lang w:val="ru-RU"/>
          </w:rPr>
          <w:t>41.2   </w:t>
        </w:r>
        <w:r w:rsidR="00340BC1" w:rsidRPr="00943888">
          <w:rPr>
            <w:rStyle w:val="Hyperlink"/>
            <w:i/>
            <w:noProof/>
            <w:lang w:val="ru-RU"/>
          </w:rPr>
          <w:t>Принятие во внимание результатов предшествующих поиска и классификации в иных случаях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_Toc486502531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>
          <w:rPr>
            <w:noProof/>
            <w:webHidden/>
            <w:lang w:val="ru-RU"/>
          </w:rPr>
          <w:t>3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993B5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hyperlink w:anchor="_Toc486502532" w:history="1">
        <w:r w:rsidR="00340BC1" w:rsidRPr="00943888">
          <w:rPr>
            <w:rStyle w:val="Hyperlink"/>
            <w:noProof/>
            <w:lang w:val="ru-RU"/>
          </w:rPr>
          <w:t>ПЕРЕЧЕНЬ ПОШЛИН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_Toc486502532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>
          <w:rPr>
            <w:noProof/>
            <w:webHidden/>
            <w:lang w:val="ru-RU"/>
          </w:rPr>
          <w:t>4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1B7D3E" w:rsidP="001B7D3E">
      <w:pPr>
        <w:rPr>
          <w:lang w:val="ru-RU"/>
        </w:rPr>
      </w:pPr>
      <w:r w:rsidRPr="00943888">
        <w:rPr>
          <w:lang w:val="ru-RU"/>
        </w:rPr>
        <w:fldChar w:fldCharType="end"/>
      </w:r>
    </w:p>
    <w:p w:rsidR="00613E8B" w:rsidRPr="00943888" w:rsidRDefault="00F407BB" w:rsidP="00F407BB">
      <w:pPr>
        <w:pStyle w:val="LegTitle"/>
        <w:rPr>
          <w:lang w:val="ru-RU"/>
        </w:rPr>
      </w:pPr>
      <w:bookmarkStart w:id="4" w:name="_Toc486502526"/>
      <w:bookmarkStart w:id="5" w:name="_Toc386449385"/>
      <w:bookmarkStart w:id="6" w:name="_Toc116097072"/>
      <w:bookmarkStart w:id="7" w:name="_Toc105480534"/>
      <w:bookmarkStart w:id="8" w:name="_Toc100481227"/>
      <w:bookmarkStart w:id="9" w:name="AxI"/>
      <w:r w:rsidRPr="00943888">
        <w:rPr>
          <w:lang w:val="ru-RU"/>
        </w:rPr>
        <w:lastRenderedPageBreak/>
        <w:t>Правило 4 Заявление (Содержание)</w:t>
      </w:r>
      <w:bookmarkEnd w:id="4"/>
      <w:r w:rsidR="000D4C42" w:rsidRPr="00943888">
        <w:rPr>
          <w:lang w:val="ru-RU"/>
        </w:rPr>
        <w:t xml:space="preserve">  </w:t>
      </w:r>
      <w:bookmarkEnd w:id="5"/>
      <w:bookmarkEnd w:id="6"/>
      <w:bookmarkEnd w:id="7"/>
      <w:bookmarkEnd w:id="8"/>
    </w:p>
    <w:p w:rsidR="00613E8B" w:rsidRPr="00943888" w:rsidRDefault="00F407BB" w:rsidP="00F407BB">
      <w:pPr>
        <w:pStyle w:val="LegSubRule"/>
        <w:rPr>
          <w:lang w:val="ru-RU"/>
        </w:rPr>
      </w:pPr>
      <w:bookmarkStart w:id="10" w:name="_Toc486502527"/>
      <w:r w:rsidRPr="00943888">
        <w:rPr>
          <w:lang w:val="ru-RU"/>
        </w:rPr>
        <w:t>4.1   </w:t>
      </w:r>
      <w:r w:rsidRPr="00943888">
        <w:rPr>
          <w:i/>
          <w:lang w:val="ru-RU"/>
        </w:rPr>
        <w:t>Обязательные и необязательные сведения; подпись</w:t>
      </w:r>
      <w:bookmarkEnd w:id="10"/>
    </w:p>
    <w:p w:rsidR="00613E8B" w:rsidRPr="00943888" w:rsidRDefault="000D4C42" w:rsidP="00F407BB">
      <w:pPr>
        <w:pStyle w:val="Lega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(a)  [Без изменений]</w:t>
      </w:r>
    </w:p>
    <w:p w:rsidR="00613E8B" w:rsidRPr="00943888" w:rsidRDefault="000D4C42" w:rsidP="00F407BB">
      <w:pPr>
        <w:pStyle w:val="Lega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(b)  Заявление, когда это применимо, должно содержать:</w:t>
      </w:r>
    </w:p>
    <w:p w:rsidR="00613E8B" w:rsidRPr="00943888" w:rsidRDefault="000D4C42" w:rsidP="00F407BB">
      <w:pPr>
        <w:pStyle w:val="Legi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(i)</w:t>
      </w:r>
      <w:r w:rsidR="00F407BB" w:rsidRPr="00943888">
        <w:rPr>
          <w:lang w:val="ru-RU"/>
        </w:rPr>
        <w:tab/>
        <w:t>притязание на приоритет;  или</w:t>
      </w:r>
    </w:p>
    <w:p w:rsidR="00613E8B" w:rsidRPr="00943888" w:rsidRDefault="000D4C42" w:rsidP="00F407BB">
      <w:pPr>
        <w:pStyle w:val="Legi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(ii)</w:t>
      </w:r>
      <w:r w:rsidR="00F407BB" w:rsidRPr="00943888">
        <w:rPr>
          <w:lang w:val="ru-RU"/>
        </w:rPr>
        <w:tab/>
        <w:t>сведения о предшествующем поиске, как это предусмотрено правилами 4.12(i) и 1</w:t>
      </w:r>
      <w:r w:rsidR="00F407BB" w:rsidRPr="00943888">
        <w:rPr>
          <w:i/>
          <w:lang w:val="ru-RU"/>
        </w:rPr>
        <w:t>2bi</w:t>
      </w:r>
      <w:r w:rsidR="00F407BB" w:rsidRPr="00943888">
        <w:rPr>
          <w:lang w:val="ru-RU"/>
        </w:rPr>
        <w:t>s.1</w:t>
      </w:r>
      <w:r w:rsidR="008108DB" w:rsidRPr="00943888">
        <w:rPr>
          <w:rStyle w:val="DeletedText"/>
          <w:lang w:val="ru-RU"/>
        </w:rPr>
        <w:t>(c)</w:t>
      </w:r>
      <w:r w:rsidR="008108DB" w:rsidRPr="00943888">
        <w:rPr>
          <w:rStyle w:val="InsertedText"/>
          <w:color w:val="0000FF"/>
          <w:lang w:val="ru-RU"/>
        </w:rPr>
        <w:t>(b)</w:t>
      </w:r>
      <w:r w:rsidR="008108DB" w:rsidRPr="00943888">
        <w:rPr>
          <w:color w:val="0000FF"/>
          <w:lang w:val="ru-RU"/>
        </w:rPr>
        <w:t xml:space="preserve"> </w:t>
      </w:r>
      <w:r w:rsidR="008108DB" w:rsidRPr="00943888">
        <w:rPr>
          <w:lang w:val="ru-RU"/>
        </w:rPr>
        <w:t xml:space="preserve">и </w:t>
      </w:r>
      <w:r w:rsidR="008108DB" w:rsidRPr="00943888">
        <w:rPr>
          <w:rStyle w:val="DeletedText"/>
          <w:lang w:val="ru-RU"/>
        </w:rPr>
        <w:t>(f)</w:t>
      </w:r>
      <w:r w:rsidR="008108DB" w:rsidRPr="00943888">
        <w:rPr>
          <w:rStyle w:val="InsertedText"/>
          <w:color w:val="0000FF"/>
          <w:lang w:val="ru-RU"/>
        </w:rPr>
        <w:t>(d)</w:t>
      </w:r>
      <w:r w:rsidR="00F407BB" w:rsidRPr="00943888">
        <w:rPr>
          <w:lang w:val="ru-RU"/>
        </w:rPr>
        <w:t>;</w:t>
      </w:r>
      <w:r w:rsidRPr="00943888">
        <w:rPr>
          <w:lang w:val="ru-RU"/>
        </w:rPr>
        <w:t xml:space="preserve"> </w:t>
      </w:r>
    </w:p>
    <w:p w:rsidR="00613E8B" w:rsidRPr="00943888" w:rsidRDefault="000D4C42" w:rsidP="00F407BB">
      <w:pPr>
        <w:pStyle w:val="Legi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(iii)</w:t>
      </w:r>
      <w:r w:rsidR="00F407BB" w:rsidRPr="00943888">
        <w:rPr>
          <w:lang w:val="ru-RU"/>
        </w:rPr>
        <w:tab/>
        <w:t>ссылку на основную заявку или на основной патент;</w:t>
      </w:r>
    </w:p>
    <w:p w:rsidR="00613E8B" w:rsidRPr="00943888" w:rsidRDefault="000D4C42" w:rsidP="00F407BB">
      <w:pPr>
        <w:pStyle w:val="Legi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(iv)</w:t>
      </w:r>
      <w:r w:rsidR="00F407BB" w:rsidRPr="00943888">
        <w:rPr>
          <w:lang w:val="ru-RU"/>
        </w:rPr>
        <w:tab/>
        <w:t>название компетентного Международного поискового органа, выбранного заявителем.</w:t>
      </w:r>
    </w:p>
    <w:p w:rsidR="00613E8B" w:rsidRPr="00943888" w:rsidRDefault="000D4C42" w:rsidP="00F407BB">
      <w:pPr>
        <w:pStyle w:val="Lega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(c) и (d)  [Без изменений]</w:t>
      </w:r>
    </w:p>
    <w:p w:rsidR="00613E8B" w:rsidRPr="00943888" w:rsidRDefault="00F407BB" w:rsidP="00F407BB">
      <w:pPr>
        <w:pStyle w:val="LegSubRule"/>
        <w:rPr>
          <w:lang w:val="ru-RU"/>
        </w:rPr>
      </w:pPr>
      <w:bookmarkStart w:id="11" w:name="_Toc486502528"/>
      <w:r w:rsidRPr="00943888">
        <w:rPr>
          <w:lang w:val="ru-RU"/>
        </w:rPr>
        <w:t xml:space="preserve">4.2 - 4.19  </w:t>
      </w:r>
      <w:r w:rsidRPr="00943888">
        <w:rPr>
          <w:i/>
          <w:lang w:val="ru-RU"/>
        </w:rPr>
        <w:t>[Без изменений]</w:t>
      </w:r>
      <w:bookmarkEnd w:id="11"/>
    </w:p>
    <w:p w:rsidR="00613E8B" w:rsidRPr="00943888" w:rsidRDefault="00613E8B">
      <w:pPr>
        <w:rPr>
          <w:lang w:val="ru-RU"/>
        </w:rPr>
      </w:pPr>
    </w:p>
    <w:p w:rsidR="00613E8B" w:rsidRPr="00943888" w:rsidRDefault="00F407BB" w:rsidP="00F407BB">
      <w:pPr>
        <w:pStyle w:val="LegTitle"/>
        <w:rPr>
          <w:lang w:val="ru-RU"/>
        </w:rPr>
      </w:pPr>
      <w:bookmarkStart w:id="12" w:name="_Toc486502529"/>
      <w:r w:rsidRPr="00943888">
        <w:rPr>
          <w:lang w:val="ru-RU"/>
        </w:rPr>
        <w:lastRenderedPageBreak/>
        <w:t>Правило 41 Принятие во внимание результатов предшествующего поиска и классификации</w:t>
      </w:r>
      <w:bookmarkEnd w:id="12"/>
      <w:r w:rsidR="000D4C42" w:rsidRPr="00943888">
        <w:rPr>
          <w:lang w:val="ru-RU"/>
        </w:rPr>
        <w:t xml:space="preserve">  </w:t>
      </w:r>
    </w:p>
    <w:p w:rsidR="00613E8B" w:rsidRPr="00943888" w:rsidRDefault="00F407BB" w:rsidP="00F407BB">
      <w:pPr>
        <w:pStyle w:val="LegSubRule"/>
        <w:rPr>
          <w:lang w:val="ru-RU"/>
        </w:rPr>
      </w:pPr>
      <w:bookmarkStart w:id="13" w:name="_Toc486502530"/>
      <w:r w:rsidRPr="00943888">
        <w:rPr>
          <w:lang w:val="ru-RU"/>
        </w:rPr>
        <w:t>41.1   [Без изменений]</w:t>
      </w:r>
      <w:bookmarkEnd w:id="13"/>
    </w:p>
    <w:p w:rsidR="00613E8B" w:rsidRPr="00943888" w:rsidRDefault="00F407BB" w:rsidP="00F407BB">
      <w:pPr>
        <w:pStyle w:val="LegSubRule"/>
        <w:rPr>
          <w:lang w:val="ru-RU"/>
        </w:rPr>
      </w:pPr>
      <w:bookmarkStart w:id="14" w:name="_Toc486502531"/>
      <w:r w:rsidRPr="00943888">
        <w:rPr>
          <w:lang w:val="ru-RU"/>
        </w:rPr>
        <w:t>41.2   </w:t>
      </w:r>
      <w:r w:rsidRPr="00943888">
        <w:rPr>
          <w:i/>
          <w:lang w:val="ru-RU"/>
        </w:rPr>
        <w:t>Принятие во внимание результатов предшествующих поиска и классификации в иных случаях</w:t>
      </w:r>
      <w:bookmarkEnd w:id="14"/>
    </w:p>
    <w:p w:rsidR="00613E8B" w:rsidRPr="00943888" w:rsidRDefault="000D4C42" w:rsidP="00F407BB">
      <w:pPr>
        <w:pStyle w:val="Lega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(a)  [Без изменений]</w:t>
      </w:r>
    </w:p>
    <w:p w:rsidR="00613E8B" w:rsidRPr="00943888" w:rsidRDefault="000D4C42" w:rsidP="00F407BB">
      <w:pPr>
        <w:pStyle w:val="Lega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 xml:space="preserve">(b)  Если Получающее ведомство переслало в Международный поисковый орган копию результатов любого предшествующего поиска или любой предшествующей классификации в соответствии с правилом 23bis.2(a) или </w:t>
      </w:r>
      <w:r w:rsidR="008108DB" w:rsidRPr="00943888">
        <w:rPr>
          <w:rStyle w:val="DeletedText"/>
          <w:lang w:val="ru-RU"/>
        </w:rPr>
        <w:t>(b)</w:t>
      </w:r>
      <w:r w:rsidR="008108DB" w:rsidRPr="00943888">
        <w:rPr>
          <w:rStyle w:val="InsertedText"/>
          <w:color w:val="0000FF"/>
          <w:lang w:val="ru-RU"/>
        </w:rPr>
        <w:t>(c)</w:t>
      </w:r>
      <w:r w:rsidR="008108DB" w:rsidRPr="00943888">
        <w:rPr>
          <w:lang w:val="ru-RU"/>
        </w:rPr>
        <w:t xml:space="preserve"> </w:t>
      </w:r>
      <w:r w:rsidR="00F407BB" w:rsidRPr="00943888">
        <w:rPr>
          <w:lang w:val="ru-RU"/>
        </w:rPr>
        <w:t>или если эта копия может быть получена Международным поисковым органом в приемлемом для него виде и приемлемым для него способом, например из цифровой библиотеки, то при проведении международного поиска Международной поисковый орган может принять эти результаты во внимание.</w:t>
      </w:r>
    </w:p>
    <w:p w:rsidR="001B7D3E" w:rsidRPr="00943888" w:rsidRDefault="00F407BB" w:rsidP="00F407BB">
      <w:pPr>
        <w:pStyle w:val="LegTitle"/>
        <w:spacing w:after="240" w:line="360" w:lineRule="auto"/>
        <w:rPr>
          <w:lang w:val="ru-RU"/>
        </w:rPr>
      </w:pPr>
      <w:bookmarkStart w:id="15" w:name="_Toc486502532"/>
      <w:r w:rsidRPr="00943888">
        <w:rPr>
          <w:lang w:val="ru-RU"/>
        </w:rPr>
        <w:lastRenderedPageBreak/>
        <w:t>ПЕРЕЧЕНЬ ПОШЛИН</w:t>
      </w:r>
      <w:bookmarkEnd w:id="15"/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"/>
        <w:gridCol w:w="573"/>
        <w:gridCol w:w="5506"/>
        <w:gridCol w:w="3001"/>
        <w:gridCol w:w="33"/>
      </w:tblGrid>
      <w:tr w:rsidR="001B7D3E" w:rsidRPr="00943888" w:rsidTr="001405F4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1B7D3E" w:rsidRPr="00943888" w:rsidRDefault="00F407BB" w:rsidP="00F407BB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RU"/>
              </w:rPr>
            </w:pPr>
            <w:r w:rsidRPr="00943888">
              <w:rPr>
                <w:rFonts w:eastAsia="SimSun"/>
                <w:b/>
                <w:bCs/>
                <w:lang w:val="ru-RU"/>
              </w:rPr>
              <w:t>Пошлины</w:t>
            </w:r>
          </w:p>
        </w:tc>
        <w:tc>
          <w:tcPr>
            <w:tcW w:w="3001" w:type="dxa"/>
          </w:tcPr>
          <w:p w:rsidR="001B7D3E" w:rsidRPr="00943888" w:rsidRDefault="00F407BB" w:rsidP="00F407BB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RU"/>
              </w:rPr>
            </w:pPr>
            <w:r w:rsidRPr="00943888">
              <w:rPr>
                <w:rFonts w:eastAsia="SimSun"/>
                <w:b/>
                <w:bCs/>
                <w:lang w:val="ru-RU"/>
              </w:rPr>
              <w:t>Размеры</w:t>
            </w:r>
          </w:p>
        </w:tc>
      </w:tr>
      <w:tr w:rsidR="001B7D3E" w:rsidRPr="00943888" w:rsidTr="001405F4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1B7D3E" w:rsidRPr="00943888" w:rsidRDefault="00F407BB" w:rsidP="00F407BB">
            <w:pPr>
              <w:pStyle w:val="LegBasic"/>
              <w:spacing w:after="120" w:line="360" w:lineRule="auto"/>
              <w:rPr>
                <w:lang w:val="ru-RU"/>
              </w:rPr>
            </w:pPr>
            <w:r w:rsidRPr="00943888">
              <w:rPr>
                <w:lang w:val="ru-RU"/>
              </w:rPr>
              <w:t>1 – 3   [Без изменений]</w:t>
            </w:r>
          </w:p>
        </w:tc>
      </w:tr>
      <w:tr w:rsidR="001B7D3E" w:rsidRPr="00943888" w:rsidTr="001405F4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613E8B" w:rsidRPr="00943888" w:rsidRDefault="00F407BB" w:rsidP="00F407BB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RU"/>
              </w:rPr>
            </w:pPr>
            <w:r w:rsidRPr="00943888">
              <w:rPr>
                <w:rFonts w:eastAsia="SimSun"/>
                <w:b/>
                <w:bCs/>
                <w:lang w:val="ru-RU"/>
              </w:rPr>
              <w:t>Снижение пошлин</w:t>
            </w:r>
          </w:p>
          <w:p w:rsidR="001B7D3E" w:rsidRPr="00943888" w:rsidRDefault="00F407BB" w:rsidP="00F407BB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RU"/>
              </w:rPr>
            </w:pPr>
            <w:r w:rsidRPr="00943888">
              <w:rPr>
                <w:rFonts w:eastAsia="SimSun"/>
                <w:b/>
                <w:bCs/>
                <w:lang w:val="ru-RU"/>
              </w:rPr>
              <w:t>4.</w:t>
            </w:r>
            <w:r w:rsidRPr="00943888">
              <w:rPr>
                <w:rFonts w:eastAsia="SimSun"/>
                <w:b/>
                <w:bCs/>
                <w:lang w:val="ru-RU"/>
              </w:rPr>
              <w:tab/>
              <w:t xml:space="preserve"> [Без изменений]</w:t>
            </w:r>
          </w:p>
        </w:tc>
        <w:tc>
          <w:tcPr>
            <w:tcW w:w="3001" w:type="dxa"/>
          </w:tcPr>
          <w:p w:rsidR="001B7D3E" w:rsidRPr="00943888" w:rsidRDefault="001B7D3E" w:rsidP="001405F4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RU"/>
              </w:rPr>
            </w:pPr>
          </w:p>
        </w:tc>
      </w:tr>
      <w:tr w:rsidR="001B7D3E" w:rsidRPr="001017A3" w:rsidTr="001405F4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1B7D3E" w:rsidRPr="00943888" w:rsidRDefault="00F407BB" w:rsidP="00F407BB">
            <w:pPr>
              <w:pStyle w:val="LegBasic"/>
              <w:spacing w:after="120" w:line="360" w:lineRule="auto"/>
              <w:rPr>
                <w:rFonts w:eastAsia="SimSun"/>
                <w:lang w:val="ru-RU" w:eastAsia="zh-CN"/>
              </w:rPr>
            </w:pPr>
            <w:r w:rsidRPr="00943888">
              <w:rPr>
                <w:rFonts w:eastAsia="SimSun"/>
                <w:lang w:val="ru-RU" w:eastAsia="zh-CN"/>
              </w:rPr>
              <w:t>5.</w:t>
            </w:r>
            <w:r w:rsidRPr="00943888">
              <w:rPr>
                <w:rFonts w:eastAsia="SimSun"/>
                <w:lang w:val="ru-RU" w:eastAsia="zh-CN"/>
              </w:rPr>
              <w:tab/>
              <w:t>Международная пошлина за подачу в соответствии с пунктом 1 (когда это применимо, уменьшенная в соответствии с пунктом 4), пошлина за обработку дополнительного поиска в соответствии с пунктом 2 и пошлина за обработку в соответствии с пунктом 3 уменьшаются на 90%, если международная заявка подана:</w:t>
            </w:r>
          </w:p>
        </w:tc>
      </w:tr>
      <w:tr w:rsidR="001B7D3E" w:rsidRPr="00F634BD" w:rsidTr="001405F4">
        <w:trPr>
          <w:gridBefore w:val="1"/>
          <w:wBefore w:w="33" w:type="dxa"/>
          <w:cantSplit/>
          <w:jc w:val="center"/>
        </w:trPr>
        <w:tc>
          <w:tcPr>
            <w:tcW w:w="573" w:type="dxa"/>
          </w:tcPr>
          <w:p w:rsidR="001B7D3E" w:rsidRPr="00943888" w:rsidRDefault="001B7D3E" w:rsidP="001405F4">
            <w:pPr>
              <w:suppressAutoHyphens/>
              <w:spacing w:after="120" w:line="360" w:lineRule="auto"/>
              <w:rPr>
                <w:szCs w:val="28"/>
                <w:lang w:val="ru-RU"/>
              </w:rPr>
            </w:pPr>
            <w:r w:rsidRPr="00943888">
              <w:rPr>
                <w:szCs w:val="28"/>
                <w:lang w:val="ru-RU"/>
              </w:rPr>
              <w:br w:type="page"/>
            </w:r>
          </w:p>
        </w:tc>
        <w:tc>
          <w:tcPr>
            <w:tcW w:w="8540" w:type="dxa"/>
            <w:gridSpan w:val="3"/>
          </w:tcPr>
          <w:p w:rsidR="001B7D3E" w:rsidRPr="00943888" w:rsidRDefault="00F407BB" w:rsidP="00F407BB">
            <w:pPr>
              <w:pStyle w:val="LegBasic"/>
              <w:spacing w:after="120" w:line="360" w:lineRule="auto"/>
              <w:rPr>
                <w:rFonts w:eastAsia="SimSun"/>
                <w:lang w:val="ru-RU"/>
              </w:rPr>
            </w:pPr>
            <w:r w:rsidRPr="00943888">
              <w:rPr>
                <w:rFonts w:eastAsia="SimSun"/>
                <w:lang w:val="ru-RU"/>
              </w:rPr>
              <w:t>(a)</w:t>
            </w:r>
            <w:r w:rsidRPr="00943888">
              <w:rPr>
                <w:rFonts w:eastAsia="SimSun"/>
                <w:lang w:val="ru-RU"/>
              </w:rPr>
              <w:tab/>
              <w:t>[Без изменений] заявителем, являющимся физическим лицом и являющимся гражданином государства и проживающим в этом государстве, которое включено в перечень в качестве государства, валовой внутренний продукт которого на душу населения ниже 25 000 долл. США (согласно публикуемым Организацией Объединенных Наций средним показателям валового внутреннего продукта на душу населения в постоянных ценах 2005 г. в долл. США за последние десять лет) и граждане и постоянные жители которого, являющиеся физическими лицами, подают менее 10 международных заявок в год (в расчете на миллион жителей) или менее 50 международных заявок в год (в абсолютных цифрах), согласно среднегодовым показателям подачи заявок за последние пять лет, публикуемым Международным бюро; или</w:t>
            </w:r>
          </w:p>
        </w:tc>
      </w:tr>
      <w:tr w:rsidR="001B7D3E" w:rsidRPr="00F634BD" w:rsidTr="001405F4">
        <w:trPr>
          <w:gridBefore w:val="1"/>
          <w:wBefore w:w="33" w:type="dxa"/>
          <w:cantSplit/>
          <w:jc w:val="center"/>
        </w:trPr>
        <w:tc>
          <w:tcPr>
            <w:tcW w:w="573" w:type="dxa"/>
          </w:tcPr>
          <w:p w:rsidR="001B7D3E" w:rsidRPr="00943888" w:rsidRDefault="001B7D3E" w:rsidP="001405F4">
            <w:pPr>
              <w:suppressAutoHyphens/>
              <w:spacing w:after="120" w:line="360" w:lineRule="auto"/>
              <w:rPr>
                <w:szCs w:val="28"/>
                <w:lang w:val="ru-RU"/>
              </w:rPr>
            </w:pPr>
          </w:p>
        </w:tc>
        <w:tc>
          <w:tcPr>
            <w:tcW w:w="8540" w:type="dxa"/>
            <w:gridSpan w:val="3"/>
          </w:tcPr>
          <w:p w:rsidR="001B7D3E" w:rsidRPr="00943888" w:rsidRDefault="00F407BB" w:rsidP="00F407BB">
            <w:pPr>
              <w:pStyle w:val="LegBasic"/>
              <w:spacing w:after="120" w:line="360" w:lineRule="auto"/>
              <w:rPr>
                <w:rFonts w:eastAsia="SimSun"/>
                <w:lang w:val="ru-RU"/>
              </w:rPr>
            </w:pPr>
            <w:r w:rsidRPr="00943888">
              <w:rPr>
                <w:rFonts w:eastAsia="SimSun"/>
                <w:lang w:val="ru-RU"/>
              </w:rPr>
              <w:t>(b)</w:t>
            </w:r>
            <w:r w:rsidRPr="00943888">
              <w:rPr>
                <w:rFonts w:eastAsia="SimSun"/>
                <w:lang w:val="ru-RU"/>
              </w:rPr>
              <w:tab/>
              <w:t>[Без изменений] заявителем, будь то физическое лицо или нет, являющимся гражданином государства и проживающим в этом государстве, которое включено в перечень в качестве классифицируемого Организацией Объединенных Наций как наименее развитая страна;</w:t>
            </w:r>
          </w:p>
        </w:tc>
      </w:tr>
      <w:tr w:rsidR="001B7D3E" w:rsidRPr="00F634BD" w:rsidTr="001405F4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1B7D3E" w:rsidRPr="00943888" w:rsidRDefault="00F407BB" w:rsidP="00F407BB">
            <w:pPr>
              <w:pStyle w:val="LegBasic"/>
              <w:spacing w:after="120" w:line="360" w:lineRule="auto"/>
              <w:rPr>
                <w:rFonts w:eastAsia="SimSun"/>
                <w:lang w:val="ru-RU"/>
              </w:rPr>
            </w:pPr>
            <w:r w:rsidRPr="00943888">
              <w:rPr>
                <w:rFonts w:eastAsia="SimSun"/>
                <w:color w:val="000000" w:themeColor="text1"/>
                <w:lang w:val="ru-RU"/>
              </w:rPr>
              <w:t xml:space="preserve">при условии, </w:t>
            </w:r>
            <w:r w:rsidRPr="00943888">
              <w:rPr>
                <w:rFonts w:eastAsia="SimSun"/>
                <w:color w:val="0000FF"/>
                <w:u w:val="single"/>
                <w:lang w:val="ru-RU"/>
              </w:rPr>
              <w:t xml:space="preserve">что на момент подачи международной заявки нет ни одного выгодоприобретающего владельца международной заявки, который не удовлетворял бы критериям, изложенным в подпункте (a) или (b), и при условии, </w:t>
            </w:r>
            <w:r w:rsidRPr="00943888">
              <w:rPr>
                <w:rFonts w:eastAsia="SimSun"/>
                <w:color w:val="000000" w:themeColor="text1"/>
                <w:lang w:val="ru-RU"/>
              </w:rPr>
              <w:t>что при наличии нескольких заявителей каждый из них должен удовлетворять критериям, изложенным в подпунктах (a) или (b).</w:t>
            </w:r>
            <w:r w:rsidR="001B7D3E" w:rsidRPr="00943888">
              <w:rPr>
                <w:rFonts w:eastAsia="SimSun"/>
                <w:color w:val="000000" w:themeColor="text1"/>
                <w:lang w:val="ru-RU"/>
              </w:rPr>
              <w:t xml:space="preserve">  </w:t>
            </w:r>
            <w:r w:rsidRPr="00943888">
              <w:rPr>
                <w:rFonts w:eastAsia="SimSun"/>
                <w:color w:val="000000" w:themeColor="text1"/>
                <w:lang w:val="ru-RU"/>
              </w:rPr>
              <w:t>Перечни государств, упомянутые в подпунктах (a) и (b), обновляются Генеральным директором не реже одного раза в пять лет в соответствии с директивами Ассамблеи.</w:t>
            </w:r>
            <w:r w:rsidR="001B7D3E" w:rsidRPr="00943888">
              <w:rPr>
                <w:rFonts w:eastAsia="SimSun"/>
                <w:color w:val="000000" w:themeColor="text1"/>
                <w:lang w:val="ru-RU"/>
              </w:rPr>
              <w:t xml:space="preserve">  </w:t>
            </w:r>
            <w:r w:rsidRPr="00943888">
              <w:rPr>
                <w:rFonts w:eastAsia="SimSun"/>
                <w:lang w:val="ru-RU"/>
              </w:rPr>
              <w:t>Критерии, изложенные в подпунктах (a) и (b), пересматриваются Ассамблеей не реже одного раза в пять лет.</w:t>
            </w:r>
          </w:p>
        </w:tc>
      </w:tr>
      <w:bookmarkEnd w:id="9"/>
    </w:tbl>
    <w:p w:rsidR="00613E8B" w:rsidRPr="00943888" w:rsidRDefault="00613E8B">
      <w:pPr>
        <w:rPr>
          <w:lang w:val="ru-RU"/>
        </w:rPr>
      </w:pPr>
    </w:p>
    <w:p w:rsidR="00957053" w:rsidRPr="00943888" w:rsidRDefault="00F407BB" w:rsidP="00F407BB">
      <w:pPr>
        <w:pStyle w:val="Endofdocument-Annex"/>
        <w:rPr>
          <w:lang w:val="ru-RU"/>
        </w:rPr>
        <w:sectPr w:rsidR="00957053" w:rsidRPr="00943888" w:rsidSect="001B7D3E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943888">
        <w:rPr>
          <w:lang w:val="ru-RU"/>
        </w:rPr>
        <w:t>[Приложение II следует]</w:t>
      </w:r>
    </w:p>
    <w:p w:rsidR="00613E8B" w:rsidRPr="00943888" w:rsidRDefault="00613E8B" w:rsidP="00957053">
      <w:pPr>
        <w:jc w:val="center"/>
        <w:rPr>
          <w:lang w:val="ru-RU"/>
        </w:rPr>
      </w:pPr>
    </w:p>
    <w:p w:rsidR="00613E8B" w:rsidRPr="00943888" w:rsidRDefault="00613E8B" w:rsidP="00957053">
      <w:pPr>
        <w:jc w:val="center"/>
        <w:rPr>
          <w:lang w:val="ru-RU"/>
        </w:rPr>
      </w:pPr>
    </w:p>
    <w:p w:rsidR="00613E8B" w:rsidRPr="00943888" w:rsidRDefault="00F407BB" w:rsidP="00F407BB">
      <w:pPr>
        <w:jc w:val="center"/>
        <w:rPr>
          <w:lang w:val="ru-RU"/>
        </w:rPr>
      </w:pPr>
      <w:r w:rsidRPr="00943888">
        <w:rPr>
          <w:lang w:val="ru-RU"/>
        </w:rPr>
        <w:t>ПРЕДЛАГАЕМЫЕ ПОПРАВКИ К ИНСТРУКЦИИ PCT</w:t>
      </w:r>
    </w:p>
    <w:p w:rsidR="00613E8B" w:rsidRPr="00943888" w:rsidRDefault="00F407BB" w:rsidP="00F407BB">
      <w:pPr>
        <w:jc w:val="center"/>
        <w:rPr>
          <w:caps/>
          <w:lang w:val="ru-RU"/>
        </w:rPr>
      </w:pPr>
      <w:r w:rsidRPr="00943888">
        <w:rPr>
          <w:caps/>
          <w:lang w:val="ru-RU"/>
        </w:rPr>
        <w:t>(ЧИСТЫЙ ТЕКСТ)</w:t>
      </w:r>
    </w:p>
    <w:p w:rsidR="00613E8B" w:rsidRPr="00943888" w:rsidRDefault="00613E8B" w:rsidP="00957053">
      <w:pPr>
        <w:jc w:val="center"/>
        <w:rPr>
          <w:lang w:val="ru-RU"/>
        </w:rPr>
      </w:pPr>
    </w:p>
    <w:p w:rsidR="00613E8B" w:rsidRPr="00943888" w:rsidRDefault="00F407BB" w:rsidP="00F407BB">
      <w:pPr>
        <w:rPr>
          <w:lang w:val="ru-RU"/>
        </w:rPr>
      </w:pPr>
      <w:r w:rsidRPr="00943888">
        <w:rPr>
          <w:lang w:val="ru-RU"/>
        </w:rPr>
        <w:t>Предлагаемые поправки к Инструкции к PCT изложены в приложении I;  формулировки, которые предлагается добавить и удалить, выделены в тексте подчеркиванием или вычеркнуты, соответственно.</w:t>
      </w:r>
      <w:r w:rsidR="00957053" w:rsidRPr="00943888">
        <w:rPr>
          <w:lang w:val="ru-RU"/>
        </w:rPr>
        <w:t xml:space="preserve">  </w:t>
      </w:r>
      <w:r w:rsidRPr="00943888">
        <w:rPr>
          <w:lang w:val="ru-RU"/>
        </w:rPr>
        <w:t>В настоящем приложении для удобства пользователей помещен «чистый» текст соответствующих положений с учетом поправок и изменений.</w:t>
      </w:r>
    </w:p>
    <w:p w:rsidR="00613E8B" w:rsidRPr="00943888" w:rsidRDefault="00613E8B" w:rsidP="00957053">
      <w:pPr>
        <w:jc w:val="center"/>
        <w:rPr>
          <w:lang w:val="ru-RU"/>
        </w:rPr>
      </w:pPr>
    </w:p>
    <w:p w:rsidR="00613E8B" w:rsidRPr="00943888" w:rsidRDefault="001B7D3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943888">
        <w:rPr>
          <w:lang w:val="ru-RU"/>
        </w:rPr>
        <w:fldChar w:fldCharType="begin"/>
      </w:r>
      <w:r w:rsidRPr="00943888">
        <w:rPr>
          <w:lang w:val="ru-RU"/>
        </w:rPr>
        <w:instrText xml:space="preserve"> TOC \b "AxII" \h \z \t "Leg # Title,1,Leg SubRule #,2" </w:instrText>
      </w:r>
      <w:r w:rsidRPr="00943888">
        <w:rPr>
          <w:lang w:val="ru-RU"/>
        </w:rPr>
        <w:fldChar w:fldCharType="separate"/>
      </w:r>
      <w:hyperlink w:anchor="_Toc486502533" w:history="1">
        <w:r w:rsidR="00340BC1" w:rsidRPr="00943888">
          <w:rPr>
            <w:rStyle w:val="Hyperlink"/>
            <w:noProof/>
            <w:lang w:val="ru-RU"/>
          </w:rPr>
          <w:t>Правило 4 Заявление (Содержание)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_Toc486502533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 w:rsidR="00993B5E">
          <w:rPr>
            <w:noProof/>
            <w:webHidden/>
            <w:lang w:val="ru-RU"/>
          </w:rPr>
          <w:t>2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993B5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hyperlink w:anchor="_Toc486502534" w:history="1">
        <w:r w:rsidR="00340BC1" w:rsidRPr="00943888">
          <w:rPr>
            <w:rStyle w:val="Hyperlink"/>
            <w:noProof/>
            <w:lang w:val="ru-RU"/>
          </w:rPr>
          <w:t>4.1   </w:t>
        </w:r>
        <w:r w:rsidR="00340BC1" w:rsidRPr="00943888">
          <w:rPr>
            <w:rStyle w:val="Hyperlink"/>
            <w:i/>
            <w:noProof/>
            <w:lang w:val="ru-RU"/>
          </w:rPr>
          <w:t>Обязательные и необязательные сведения; подпись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_Toc486502534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>
          <w:rPr>
            <w:noProof/>
            <w:webHidden/>
            <w:lang w:val="ru-RU"/>
          </w:rPr>
          <w:t>2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993B5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hyperlink w:anchor="_Toc486502535" w:history="1">
        <w:r w:rsidR="00340BC1" w:rsidRPr="00943888">
          <w:rPr>
            <w:rStyle w:val="Hyperlink"/>
            <w:noProof/>
            <w:lang w:val="ru-RU"/>
          </w:rPr>
          <w:t xml:space="preserve">4.2 - 4.19  </w:t>
        </w:r>
        <w:r w:rsidR="00340BC1" w:rsidRPr="00943888">
          <w:rPr>
            <w:rStyle w:val="Hyperlink"/>
            <w:i/>
            <w:noProof/>
            <w:lang w:val="ru-RU"/>
          </w:rPr>
          <w:t>[Без изменений]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_Toc486502535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>
          <w:rPr>
            <w:noProof/>
            <w:webHidden/>
            <w:lang w:val="ru-RU"/>
          </w:rPr>
          <w:t>2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993B5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hyperlink w:anchor="_Toc486502536" w:history="1">
        <w:r w:rsidR="00340BC1" w:rsidRPr="00943888">
          <w:rPr>
            <w:rStyle w:val="Hyperlink"/>
            <w:noProof/>
            <w:lang w:val="ru-RU"/>
          </w:rPr>
          <w:t>Правило 41 Принятие во внимание результатов предшествующего поиска и классификации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_Toc486502536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>
          <w:rPr>
            <w:noProof/>
            <w:webHidden/>
            <w:lang w:val="ru-RU"/>
          </w:rPr>
          <w:t>3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993B5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hyperlink w:anchor="_Toc486502537" w:history="1">
        <w:r w:rsidR="00340BC1" w:rsidRPr="00943888">
          <w:rPr>
            <w:rStyle w:val="Hyperlink"/>
            <w:noProof/>
            <w:lang w:val="ru-RU"/>
          </w:rPr>
          <w:t>41.1   [Без изменений]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_Toc486502537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>
          <w:rPr>
            <w:noProof/>
            <w:webHidden/>
            <w:lang w:val="ru-RU"/>
          </w:rPr>
          <w:t>3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993B5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hyperlink w:anchor="_Toc486502538" w:history="1">
        <w:r w:rsidR="00340BC1" w:rsidRPr="00943888">
          <w:rPr>
            <w:rStyle w:val="Hyperlink"/>
            <w:noProof/>
            <w:lang w:val="ru-RU"/>
          </w:rPr>
          <w:t>41.2   </w:t>
        </w:r>
        <w:r w:rsidR="00340BC1" w:rsidRPr="00943888">
          <w:rPr>
            <w:rStyle w:val="Hyperlink"/>
            <w:i/>
            <w:noProof/>
            <w:lang w:val="ru-RU"/>
          </w:rPr>
          <w:t>Принятие во внимание результатов предшествующих поиска и классификации в иных случаях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_Toc486502538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>
          <w:rPr>
            <w:noProof/>
            <w:webHidden/>
            <w:lang w:val="ru-RU"/>
          </w:rPr>
          <w:t>3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993B5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hyperlink w:anchor="_Toc486502539" w:history="1">
        <w:r w:rsidR="00340BC1" w:rsidRPr="00943888">
          <w:rPr>
            <w:rStyle w:val="Hyperlink"/>
            <w:noProof/>
            <w:lang w:val="ru-RU"/>
          </w:rPr>
          <w:t>ПЕРЕЧЕНЬ ПОШЛИН</w:t>
        </w:r>
        <w:r w:rsidR="00340BC1" w:rsidRPr="00943888">
          <w:rPr>
            <w:noProof/>
            <w:webHidden/>
            <w:lang w:val="ru-RU"/>
          </w:rPr>
          <w:tab/>
        </w:r>
        <w:r w:rsidR="00340BC1" w:rsidRPr="00943888">
          <w:rPr>
            <w:noProof/>
            <w:webHidden/>
            <w:lang w:val="ru-RU"/>
          </w:rPr>
          <w:fldChar w:fldCharType="begin"/>
        </w:r>
        <w:r w:rsidR="00340BC1" w:rsidRPr="00943888">
          <w:rPr>
            <w:noProof/>
            <w:webHidden/>
            <w:lang w:val="ru-RU"/>
          </w:rPr>
          <w:instrText xml:space="preserve"> PAGEREF _Toc486502539 \h </w:instrText>
        </w:r>
        <w:r w:rsidR="00340BC1" w:rsidRPr="00943888">
          <w:rPr>
            <w:noProof/>
            <w:webHidden/>
            <w:lang w:val="ru-RU"/>
          </w:rPr>
        </w:r>
        <w:r w:rsidR="00340BC1" w:rsidRPr="00943888">
          <w:rPr>
            <w:noProof/>
            <w:webHidden/>
            <w:lang w:val="ru-RU"/>
          </w:rPr>
          <w:fldChar w:fldCharType="separate"/>
        </w:r>
        <w:r>
          <w:rPr>
            <w:noProof/>
            <w:webHidden/>
            <w:lang w:val="ru-RU"/>
          </w:rPr>
          <w:t>4</w:t>
        </w:r>
        <w:r w:rsidR="00340BC1" w:rsidRPr="00943888">
          <w:rPr>
            <w:noProof/>
            <w:webHidden/>
            <w:lang w:val="ru-RU"/>
          </w:rPr>
          <w:fldChar w:fldCharType="end"/>
        </w:r>
      </w:hyperlink>
    </w:p>
    <w:p w:rsidR="00613E8B" w:rsidRPr="00943888" w:rsidRDefault="001B7D3E" w:rsidP="001B7D3E">
      <w:pPr>
        <w:rPr>
          <w:lang w:val="ru-RU"/>
        </w:rPr>
      </w:pPr>
      <w:r w:rsidRPr="00943888">
        <w:rPr>
          <w:lang w:val="ru-RU"/>
        </w:rPr>
        <w:fldChar w:fldCharType="end"/>
      </w:r>
    </w:p>
    <w:p w:rsidR="00613E8B" w:rsidRPr="00943888" w:rsidRDefault="00613E8B">
      <w:pPr>
        <w:rPr>
          <w:lang w:val="ru-RU"/>
        </w:rPr>
      </w:pPr>
    </w:p>
    <w:p w:rsidR="00613E8B" w:rsidRPr="00943888" w:rsidRDefault="00F407BB" w:rsidP="00F407BB">
      <w:pPr>
        <w:pStyle w:val="LegTitle"/>
        <w:rPr>
          <w:lang w:val="ru-RU"/>
        </w:rPr>
      </w:pPr>
      <w:bookmarkStart w:id="16" w:name="_Toc486502533"/>
      <w:bookmarkStart w:id="17" w:name="AxII"/>
      <w:r w:rsidRPr="00943888">
        <w:rPr>
          <w:lang w:val="ru-RU"/>
        </w:rPr>
        <w:lastRenderedPageBreak/>
        <w:t>Правило 4 Заявление (Содержание)</w:t>
      </w:r>
      <w:bookmarkEnd w:id="16"/>
      <w:r w:rsidR="001B7D3E" w:rsidRPr="00943888">
        <w:rPr>
          <w:lang w:val="ru-RU"/>
        </w:rPr>
        <w:t xml:space="preserve">  </w:t>
      </w:r>
    </w:p>
    <w:p w:rsidR="00613E8B" w:rsidRPr="00943888" w:rsidRDefault="00F407BB" w:rsidP="00F407BB">
      <w:pPr>
        <w:pStyle w:val="LegSubRule"/>
        <w:rPr>
          <w:lang w:val="ru-RU"/>
        </w:rPr>
      </w:pPr>
      <w:bookmarkStart w:id="18" w:name="_Toc486502534"/>
      <w:r w:rsidRPr="00943888">
        <w:rPr>
          <w:lang w:val="ru-RU"/>
        </w:rPr>
        <w:t>4.1   </w:t>
      </w:r>
      <w:r w:rsidRPr="00943888">
        <w:rPr>
          <w:i/>
          <w:lang w:val="ru-RU"/>
        </w:rPr>
        <w:t>Обязательные и необязательные сведения; подпись</w:t>
      </w:r>
      <w:bookmarkEnd w:id="18"/>
    </w:p>
    <w:p w:rsidR="00613E8B" w:rsidRPr="00943888" w:rsidRDefault="001B7D3E" w:rsidP="00F407BB">
      <w:pPr>
        <w:pStyle w:val="Lega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(a)  [Без изменений]</w:t>
      </w:r>
    </w:p>
    <w:p w:rsidR="00613E8B" w:rsidRPr="00943888" w:rsidRDefault="001B7D3E" w:rsidP="00F407BB">
      <w:pPr>
        <w:pStyle w:val="Lega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(b)  Заявление, когда это применимо, должно содержать:</w:t>
      </w:r>
    </w:p>
    <w:p w:rsidR="00613E8B" w:rsidRPr="00943888" w:rsidRDefault="001B7D3E" w:rsidP="00F407BB">
      <w:pPr>
        <w:pStyle w:val="Legi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(i)</w:t>
      </w:r>
      <w:r w:rsidR="00F407BB" w:rsidRPr="00943888">
        <w:rPr>
          <w:lang w:val="ru-RU"/>
        </w:rPr>
        <w:tab/>
        <w:t>притязание на приоритет;  или</w:t>
      </w:r>
    </w:p>
    <w:p w:rsidR="00613E8B" w:rsidRPr="00943888" w:rsidRDefault="001B7D3E" w:rsidP="00F407BB">
      <w:pPr>
        <w:pStyle w:val="Legi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(ii)</w:t>
      </w:r>
      <w:r w:rsidR="00F407BB" w:rsidRPr="00943888">
        <w:rPr>
          <w:lang w:val="ru-RU"/>
        </w:rPr>
        <w:tab/>
        <w:t>сведения о предшествующем поиске, как это предусмотрено правилами 4.12(i) и 1</w:t>
      </w:r>
      <w:r w:rsidR="00F407BB" w:rsidRPr="00943888">
        <w:rPr>
          <w:i/>
          <w:lang w:val="ru-RU"/>
        </w:rPr>
        <w:t>2bi</w:t>
      </w:r>
      <w:r w:rsidR="00F407BB" w:rsidRPr="00943888">
        <w:rPr>
          <w:lang w:val="ru-RU"/>
        </w:rPr>
        <w:t>s.1(c</w:t>
      </w:r>
      <w:r w:rsidR="00F407BB" w:rsidRPr="00943888">
        <w:rPr>
          <w:u w:val="single"/>
          <w:lang w:val="ru-RU"/>
        </w:rPr>
        <w:t>)(b</w:t>
      </w:r>
      <w:r w:rsidR="00F407BB" w:rsidRPr="00943888">
        <w:rPr>
          <w:lang w:val="ru-RU"/>
        </w:rPr>
        <w:t>) и (f</w:t>
      </w:r>
      <w:r w:rsidR="00F407BB" w:rsidRPr="00943888">
        <w:rPr>
          <w:u w:val="single"/>
          <w:lang w:val="ru-RU"/>
        </w:rPr>
        <w:t>)(d</w:t>
      </w:r>
      <w:r w:rsidR="00F407BB" w:rsidRPr="00943888">
        <w:rPr>
          <w:lang w:val="ru-RU"/>
        </w:rPr>
        <w:t>);</w:t>
      </w:r>
      <w:r w:rsidRPr="00943888">
        <w:rPr>
          <w:lang w:val="ru-RU"/>
        </w:rPr>
        <w:t xml:space="preserve"> </w:t>
      </w:r>
    </w:p>
    <w:p w:rsidR="00613E8B" w:rsidRPr="00943888" w:rsidRDefault="001B7D3E" w:rsidP="00F407BB">
      <w:pPr>
        <w:pStyle w:val="Legi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(iii)</w:t>
      </w:r>
      <w:r w:rsidR="00F407BB" w:rsidRPr="00943888">
        <w:rPr>
          <w:lang w:val="ru-RU"/>
        </w:rPr>
        <w:tab/>
        <w:t>ссылку на основную заявку или на основной патент;</w:t>
      </w:r>
    </w:p>
    <w:p w:rsidR="00613E8B" w:rsidRPr="00943888" w:rsidRDefault="001B7D3E" w:rsidP="00F407BB">
      <w:pPr>
        <w:pStyle w:val="Legi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(iv)</w:t>
      </w:r>
      <w:r w:rsidR="00F407BB" w:rsidRPr="00943888">
        <w:rPr>
          <w:lang w:val="ru-RU"/>
        </w:rPr>
        <w:tab/>
        <w:t>название компетентного Международного поискового органа, выбранного заявителем.</w:t>
      </w:r>
    </w:p>
    <w:p w:rsidR="00613E8B" w:rsidRPr="00943888" w:rsidRDefault="001B7D3E" w:rsidP="00F407BB">
      <w:pPr>
        <w:pStyle w:val="Lega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(c) и (d)  [Без изменений]</w:t>
      </w:r>
    </w:p>
    <w:p w:rsidR="00613E8B" w:rsidRPr="00943888" w:rsidRDefault="00F407BB" w:rsidP="00F407BB">
      <w:pPr>
        <w:pStyle w:val="LegSubRule"/>
        <w:rPr>
          <w:lang w:val="ru-RU"/>
        </w:rPr>
      </w:pPr>
      <w:bookmarkStart w:id="19" w:name="_Toc486502535"/>
      <w:r w:rsidRPr="00943888">
        <w:rPr>
          <w:lang w:val="ru-RU"/>
        </w:rPr>
        <w:t xml:space="preserve">4.2 - 4.19  </w:t>
      </w:r>
      <w:r w:rsidRPr="00943888">
        <w:rPr>
          <w:i/>
          <w:lang w:val="ru-RU"/>
        </w:rPr>
        <w:t>[Без изменений]</w:t>
      </w:r>
      <w:bookmarkEnd w:id="19"/>
    </w:p>
    <w:p w:rsidR="00613E8B" w:rsidRPr="00943888" w:rsidRDefault="00613E8B" w:rsidP="001B7D3E">
      <w:pPr>
        <w:rPr>
          <w:lang w:val="ru-RU"/>
        </w:rPr>
      </w:pPr>
    </w:p>
    <w:p w:rsidR="00613E8B" w:rsidRPr="00943888" w:rsidRDefault="00F407BB" w:rsidP="00F407BB">
      <w:pPr>
        <w:pStyle w:val="LegTitle"/>
        <w:rPr>
          <w:lang w:val="ru-RU"/>
        </w:rPr>
      </w:pPr>
      <w:bookmarkStart w:id="20" w:name="_Toc486502536"/>
      <w:r w:rsidRPr="00943888">
        <w:rPr>
          <w:lang w:val="ru-RU"/>
        </w:rPr>
        <w:lastRenderedPageBreak/>
        <w:t>Правило 41 Принятие во внимание результатов предшествующего поиска и классификации</w:t>
      </w:r>
      <w:bookmarkEnd w:id="20"/>
      <w:r w:rsidR="001B7D3E" w:rsidRPr="00943888">
        <w:rPr>
          <w:lang w:val="ru-RU"/>
        </w:rPr>
        <w:t xml:space="preserve">  </w:t>
      </w:r>
    </w:p>
    <w:p w:rsidR="00613E8B" w:rsidRPr="00943888" w:rsidRDefault="00F407BB" w:rsidP="00F407BB">
      <w:pPr>
        <w:pStyle w:val="LegSubRule"/>
        <w:rPr>
          <w:lang w:val="ru-RU"/>
        </w:rPr>
      </w:pPr>
      <w:bookmarkStart w:id="21" w:name="_Toc486502537"/>
      <w:r w:rsidRPr="00943888">
        <w:rPr>
          <w:lang w:val="ru-RU"/>
        </w:rPr>
        <w:t>41.1   [Без изменений]</w:t>
      </w:r>
      <w:bookmarkEnd w:id="21"/>
    </w:p>
    <w:p w:rsidR="00613E8B" w:rsidRPr="00943888" w:rsidRDefault="00F407BB" w:rsidP="00F407BB">
      <w:pPr>
        <w:pStyle w:val="LegSubRule"/>
        <w:rPr>
          <w:lang w:val="ru-RU"/>
        </w:rPr>
      </w:pPr>
      <w:bookmarkStart w:id="22" w:name="_Toc486502538"/>
      <w:r w:rsidRPr="00943888">
        <w:rPr>
          <w:lang w:val="ru-RU"/>
        </w:rPr>
        <w:t>41.2   </w:t>
      </w:r>
      <w:r w:rsidRPr="00943888">
        <w:rPr>
          <w:i/>
          <w:lang w:val="ru-RU"/>
        </w:rPr>
        <w:t>Принятие во внимание результатов предшествующих поиска и классификации в иных случаях</w:t>
      </w:r>
      <w:bookmarkEnd w:id="22"/>
    </w:p>
    <w:p w:rsidR="00613E8B" w:rsidRPr="00943888" w:rsidRDefault="001B7D3E" w:rsidP="00F407BB">
      <w:pPr>
        <w:pStyle w:val="Lega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(a)  [Без изменений]</w:t>
      </w:r>
    </w:p>
    <w:p w:rsidR="008108DB" w:rsidRPr="00943888" w:rsidRDefault="001B7D3E" w:rsidP="00F407BB">
      <w:pPr>
        <w:pStyle w:val="Lega"/>
        <w:jc w:val="left"/>
        <w:rPr>
          <w:lang w:val="ru-RU"/>
        </w:rPr>
      </w:pPr>
      <w:r w:rsidRPr="00943888">
        <w:rPr>
          <w:lang w:val="ru-RU"/>
        </w:rPr>
        <w:tab/>
      </w:r>
      <w:r w:rsidR="00F407BB" w:rsidRPr="00943888">
        <w:rPr>
          <w:lang w:val="ru-RU"/>
        </w:rPr>
        <w:t>(b)  Если Получающее ведомство переслало в Международный поисковый орган копию результатов любого предшествующего поиска или любой предшествующей классификации в соответствии с правилом 23bis.2(a) или (b)</w:t>
      </w:r>
      <w:r w:rsidR="00F407BB" w:rsidRPr="00943888">
        <w:rPr>
          <w:u w:val="single"/>
          <w:lang w:val="ru-RU"/>
        </w:rPr>
        <w:t>(c)</w:t>
      </w:r>
      <w:r w:rsidR="00F407BB" w:rsidRPr="00943888">
        <w:rPr>
          <w:lang w:val="ru-RU"/>
        </w:rPr>
        <w:t xml:space="preserve"> или если эта копия может быть получена Международным поисковым органом в приемлемом для него виде и приемлемым для него способом, например из цифровой библиотеки, то при проведении международного поиска Международной поисковый орган может принять эти результаты во внимание.</w:t>
      </w:r>
      <w:r w:rsidR="008108DB" w:rsidRPr="00943888">
        <w:rPr>
          <w:lang w:val="ru-RU"/>
        </w:rPr>
        <w:t xml:space="preserve"> </w:t>
      </w:r>
    </w:p>
    <w:p w:rsidR="008108DB" w:rsidRPr="00943888" w:rsidRDefault="008108DB">
      <w:pPr>
        <w:rPr>
          <w:rFonts w:eastAsia="Times New Roman" w:cs="Times New Roman"/>
          <w:lang w:val="ru-RU" w:eastAsia="en-US"/>
        </w:rPr>
      </w:pPr>
      <w:r w:rsidRPr="00943888">
        <w:rPr>
          <w:lang w:val="ru-RU"/>
        </w:rPr>
        <w:br w:type="page"/>
      </w:r>
    </w:p>
    <w:p w:rsidR="001B7D3E" w:rsidRPr="00943888" w:rsidRDefault="00F407BB" w:rsidP="008108DB">
      <w:pPr>
        <w:pStyle w:val="LegTitle"/>
        <w:keepNext w:val="0"/>
        <w:keepLines w:val="0"/>
        <w:pageBreakBefore w:val="0"/>
        <w:spacing w:after="240" w:line="360" w:lineRule="auto"/>
        <w:rPr>
          <w:lang w:val="ru-RU"/>
        </w:rPr>
      </w:pPr>
      <w:bookmarkStart w:id="23" w:name="_Toc486502539"/>
      <w:r w:rsidRPr="00943888">
        <w:rPr>
          <w:lang w:val="ru-RU"/>
        </w:rPr>
        <w:lastRenderedPageBreak/>
        <w:t>ПЕРЕЧЕНЬ ПОШЛИН</w:t>
      </w:r>
      <w:bookmarkEnd w:id="23"/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"/>
        <w:gridCol w:w="573"/>
        <w:gridCol w:w="5506"/>
        <w:gridCol w:w="3001"/>
        <w:gridCol w:w="33"/>
      </w:tblGrid>
      <w:tr w:rsidR="001B7D3E" w:rsidRPr="00943888" w:rsidTr="001405F4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1B7D3E" w:rsidRPr="00943888" w:rsidRDefault="00F407BB" w:rsidP="008108DB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RU"/>
              </w:rPr>
            </w:pPr>
            <w:r w:rsidRPr="00943888">
              <w:rPr>
                <w:rFonts w:eastAsia="SimSun"/>
                <w:b/>
                <w:bCs/>
                <w:lang w:val="ru-RU"/>
              </w:rPr>
              <w:t>Пошлины</w:t>
            </w:r>
          </w:p>
        </w:tc>
        <w:tc>
          <w:tcPr>
            <w:tcW w:w="3001" w:type="dxa"/>
          </w:tcPr>
          <w:p w:rsidR="001B7D3E" w:rsidRPr="00943888" w:rsidRDefault="00F407BB" w:rsidP="008108DB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RU"/>
              </w:rPr>
            </w:pPr>
            <w:r w:rsidRPr="00943888">
              <w:rPr>
                <w:rFonts w:eastAsia="SimSun"/>
                <w:b/>
                <w:bCs/>
                <w:lang w:val="ru-RU"/>
              </w:rPr>
              <w:t>Размеры</w:t>
            </w:r>
          </w:p>
        </w:tc>
      </w:tr>
      <w:tr w:rsidR="001B7D3E" w:rsidRPr="00943888" w:rsidTr="001405F4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1B7D3E" w:rsidRPr="00943888" w:rsidRDefault="00F407BB" w:rsidP="008108DB">
            <w:pPr>
              <w:pStyle w:val="LegBasic"/>
              <w:spacing w:after="120" w:line="360" w:lineRule="auto"/>
              <w:rPr>
                <w:lang w:val="ru-RU"/>
              </w:rPr>
            </w:pPr>
            <w:r w:rsidRPr="00943888">
              <w:rPr>
                <w:lang w:val="ru-RU"/>
              </w:rPr>
              <w:t>1 – 3   [Без изменений]</w:t>
            </w:r>
          </w:p>
        </w:tc>
      </w:tr>
      <w:tr w:rsidR="001B7D3E" w:rsidRPr="00943888" w:rsidTr="001405F4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613E8B" w:rsidRPr="00943888" w:rsidRDefault="00F407BB" w:rsidP="008108DB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RU"/>
              </w:rPr>
            </w:pPr>
            <w:r w:rsidRPr="00943888">
              <w:rPr>
                <w:rFonts w:eastAsia="SimSun"/>
                <w:b/>
                <w:bCs/>
                <w:lang w:val="ru-RU"/>
              </w:rPr>
              <w:t>Снижение пошлин</w:t>
            </w:r>
          </w:p>
          <w:p w:rsidR="001B7D3E" w:rsidRPr="00943888" w:rsidRDefault="00F407BB" w:rsidP="008108DB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RU"/>
              </w:rPr>
            </w:pPr>
            <w:r w:rsidRPr="00943888">
              <w:rPr>
                <w:rFonts w:eastAsia="SimSun"/>
                <w:b/>
                <w:bCs/>
                <w:lang w:val="ru-RU"/>
              </w:rPr>
              <w:t>4.</w:t>
            </w:r>
            <w:r w:rsidRPr="00943888">
              <w:rPr>
                <w:rFonts w:eastAsia="SimSun"/>
                <w:b/>
                <w:bCs/>
                <w:lang w:val="ru-RU"/>
              </w:rPr>
              <w:tab/>
              <w:t xml:space="preserve"> [Без изменений]</w:t>
            </w:r>
          </w:p>
        </w:tc>
        <w:tc>
          <w:tcPr>
            <w:tcW w:w="3001" w:type="dxa"/>
          </w:tcPr>
          <w:p w:rsidR="001B7D3E" w:rsidRPr="00943888" w:rsidRDefault="001B7D3E" w:rsidP="008108DB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RU"/>
              </w:rPr>
            </w:pPr>
          </w:p>
        </w:tc>
      </w:tr>
      <w:tr w:rsidR="001B7D3E" w:rsidRPr="001017A3" w:rsidTr="001405F4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1B7D3E" w:rsidRPr="00943888" w:rsidRDefault="00F407BB" w:rsidP="008108DB">
            <w:pPr>
              <w:pStyle w:val="LegBasic"/>
              <w:spacing w:after="120" w:line="360" w:lineRule="auto"/>
              <w:rPr>
                <w:rFonts w:eastAsia="SimSun"/>
                <w:lang w:val="ru-RU" w:eastAsia="zh-CN"/>
              </w:rPr>
            </w:pPr>
            <w:r w:rsidRPr="00943888">
              <w:rPr>
                <w:rFonts w:eastAsia="SimSun"/>
                <w:lang w:val="ru-RU" w:eastAsia="zh-CN"/>
              </w:rPr>
              <w:t>5.</w:t>
            </w:r>
            <w:r w:rsidRPr="00943888">
              <w:rPr>
                <w:rFonts w:eastAsia="SimSun"/>
                <w:lang w:val="ru-RU" w:eastAsia="zh-CN"/>
              </w:rPr>
              <w:tab/>
              <w:t>Международная пошлина за подачу в соответствии с пунктом 1 (когда это применимо, уменьшенная в соответствии с пунктом 4), пошлина за обработку дополнительного поиска в соответствии с пунктом 2 и пошлина за обработку в соответствии с пунктом 3 уменьшаются на 90%, если международная заявка подана:</w:t>
            </w:r>
          </w:p>
        </w:tc>
      </w:tr>
      <w:tr w:rsidR="001B7D3E" w:rsidRPr="00F634BD" w:rsidTr="001405F4">
        <w:trPr>
          <w:gridBefore w:val="1"/>
          <w:wBefore w:w="33" w:type="dxa"/>
          <w:cantSplit/>
          <w:jc w:val="center"/>
        </w:trPr>
        <w:tc>
          <w:tcPr>
            <w:tcW w:w="573" w:type="dxa"/>
          </w:tcPr>
          <w:p w:rsidR="001B7D3E" w:rsidRPr="00943888" w:rsidRDefault="001B7D3E" w:rsidP="008108DB">
            <w:pPr>
              <w:spacing w:after="120" w:line="360" w:lineRule="auto"/>
              <w:rPr>
                <w:szCs w:val="28"/>
                <w:lang w:val="ru-RU"/>
              </w:rPr>
            </w:pPr>
            <w:r w:rsidRPr="00943888">
              <w:rPr>
                <w:szCs w:val="28"/>
                <w:lang w:val="ru-RU"/>
              </w:rPr>
              <w:br w:type="page"/>
            </w:r>
          </w:p>
        </w:tc>
        <w:tc>
          <w:tcPr>
            <w:tcW w:w="8540" w:type="dxa"/>
            <w:gridSpan w:val="3"/>
          </w:tcPr>
          <w:p w:rsidR="001B7D3E" w:rsidRPr="00943888" w:rsidRDefault="00F407BB" w:rsidP="008108DB">
            <w:pPr>
              <w:pStyle w:val="LegBasic"/>
              <w:spacing w:after="120" w:line="360" w:lineRule="auto"/>
              <w:rPr>
                <w:rFonts w:eastAsia="SimSun"/>
                <w:lang w:val="ru-RU"/>
              </w:rPr>
            </w:pPr>
            <w:r w:rsidRPr="00943888">
              <w:rPr>
                <w:rFonts w:eastAsia="SimSun"/>
                <w:lang w:val="ru-RU"/>
              </w:rPr>
              <w:t>(a)</w:t>
            </w:r>
            <w:r w:rsidRPr="00943888">
              <w:rPr>
                <w:rFonts w:eastAsia="SimSun"/>
                <w:lang w:val="ru-RU"/>
              </w:rPr>
              <w:tab/>
              <w:t>[Без изменений] заявителем, являющимся физическим лицом и являющимся гражданином государства и проживающим в этом государстве, которое включено в перечень в качестве государства, валовой внутренний продукт которого на душу населения ниже 25 000 долл. США (согласно публикуемым Организацией Объединенных Наций средним показателям валового внутреннего продукта на душу населения в постоянных ценах 2005 г. в долл. США за последние десять лет) и граждане и постоянные жители которого, являющиеся физическими лицами, подают менее 10 международных заявок в год (в расчете на миллион жителей) или менее 50 международных заявок в год (в абсолютных цифрах), согласно среднегодовым показателям подачи заявок за последние пять лет, публикуемым Международным бюро; или</w:t>
            </w:r>
          </w:p>
        </w:tc>
      </w:tr>
      <w:tr w:rsidR="001B7D3E" w:rsidRPr="00F634BD" w:rsidTr="001405F4">
        <w:trPr>
          <w:gridBefore w:val="1"/>
          <w:wBefore w:w="33" w:type="dxa"/>
          <w:cantSplit/>
          <w:jc w:val="center"/>
        </w:trPr>
        <w:tc>
          <w:tcPr>
            <w:tcW w:w="573" w:type="dxa"/>
          </w:tcPr>
          <w:p w:rsidR="001B7D3E" w:rsidRPr="00943888" w:rsidRDefault="001B7D3E" w:rsidP="008108DB">
            <w:pPr>
              <w:spacing w:after="120" w:line="360" w:lineRule="auto"/>
              <w:rPr>
                <w:szCs w:val="28"/>
                <w:lang w:val="ru-RU"/>
              </w:rPr>
            </w:pPr>
          </w:p>
        </w:tc>
        <w:tc>
          <w:tcPr>
            <w:tcW w:w="8540" w:type="dxa"/>
            <w:gridSpan w:val="3"/>
          </w:tcPr>
          <w:p w:rsidR="001B7D3E" w:rsidRPr="00943888" w:rsidRDefault="00F407BB" w:rsidP="008108DB">
            <w:pPr>
              <w:pStyle w:val="LegBasic"/>
              <w:spacing w:after="120" w:line="360" w:lineRule="auto"/>
              <w:rPr>
                <w:rFonts w:eastAsia="SimSun"/>
                <w:lang w:val="ru-RU"/>
              </w:rPr>
            </w:pPr>
            <w:r w:rsidRPr="00943888">
              <w:rPr>
                <w:rFonts w:eastAsia="SimSun"/>
                <w:lang w:val="ru-RU"/>
              </w:rPr>
              <w:t>(b)</w:t>
            </w:r>
            <w:r w:rsidRPr="00943888">
              <w:rPr>
                <w:rFonts w:eastAsia="SimSun"/>
                <w:lang w:val="ru-RU"/>
              </w:rPr>
              <w:tab/>
              <w:t>[Без изменений] заявителем, будь то физическое лицо или нет, являющимся гражданином государства и проживающим в этом государстве, которое включено в перечень в качестве классифицируемого Организацией Объединенных Наций как наименее развитая страна;</w:t>
            </w:r>
          </w:p>
        </w:tc>
      </w:tr>
      <w:tr w:rsidR="001B7D3E" w:rsidRPr="00F634BD" w:rsidTr="001405F4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1B7D3E" w:rsidRPr="00943888" w:rsidRDefault="00F407BB" w:rsidP="008108DB">
            <w:pPr>
              <w:pStyle w:val="LegBasic"/>
              <w:spacing w:after="120" w:line="360" w:lineRule="auto"/>
              <w:rPr>
                <w:rFonts w:eastAsia="SimSun"/>
                <w:lang w:val="ru-RU"/>
              </w:rPr>
            </w:pPr>
            <w:r w:rsidRPr="00943888">
              <w:rPr>
                <w:rFonts w:eastAsia="SimSun"/>
                <w:color w:val="000000" w:themeColor="text1"/>
                <w:lang w:val="ru-RU"/>
              </w:rPr>
              <w:t>при условии, что на момент подачи международной заявки нет ни одного выгодоприобретающего владельца международной заявки, который не удовлетворял бы критериям, изложенным в подпункте (a) или (b), и при условии, что при наличии нескольких заявителей каждый из них должен удовлетворять критериям, изложенным в подпунктах (a) или (b).</w:t>
            </w:r>
            <w:r w:rsidR="001B7D3E" w:rsidRPr="00943888">
              <w:rPr>
                <w:rFonts w:eastAsia="SimSun"/>
                <w:color w:val="000000" w:themeColor="text1"/>
                <w:lang w:val="ru-RU"/>
              </w:rPr>
              <w:t xml:space="preserve">  </w:t>
            </w:r>
            <w:r w:rsidRPr="00943888">
              <w:rPr>
                <w:rFonts w:eastAsia="SimSun"/>
                <w:color w:val="000000" w:themeColor="text1"/>
                <w:lang w:val="ru-RU"/>
              </w:rPr>
              <w:t>Перечни государств, упомянутые в подпунктах (a) и (b), обновляются Генеральным директором не реже одного раза в пять лет в соответствии с директивами Ассамблеи.</w:t>
            </w:r>
            <w:r w:rsidR="001B7D3E" w:rsidRPr="00943888">
              <w:rPr>
                <w:rFonts w:eastAsia="SimSun"/>
                <w:color w:val="000000" w:themeColor="text1"/>
                <w:lang w:val="ru-RU"/>
              </w:rPr>
              <w:t xml:space="preserve">  </w:t>
            </w:r>
            <w:r w:rsidRPr="00943888">
              <w:rPr>
                <w:rFonts w:eastAsia="SimSun"/>
                <w:color w:val="000000" w:themeColor="text1"/>
                <w:lang w:val="ru-RU"/>
              </w:rPr>
              <w:t>Критерии</w:t>
            </w:r>
            <w:r w:rsidRPr="00943888">
              <w:rPr>
                <w:rFonts w:eastAsia="SimSun"/>
                <w:lang w:val="ru-RU"/>
              </w:rPr>
              <w:t>, изложенные в подпунктах (a) и (b), пересматриваются Ассамблеей не реже одного раза в пять лет.</w:t>
            </w:r>
          </w:p>
        </w:tc>
      </w:tr>
      <w:bookmarkEnd w:id="17"/>
    </w:tbl>
    <w:p w:rsidR="00613E8B" w:rsidRPr="00943888" w:rsidRDefault="00613E8B" w:rsidP="008108DB">
      <w:pPr>
        <w:rPr>
          <w:lang w:val="ru-RU"/>
        </w:rPr>
      </w:pPr>
    </w:p>
    <w:p w:rsidR="00613E8B" w:rsidRPr="00943888" w:rsidRDefault="00F407BB" w:rsidP="008108DB">
      <w:pPr>
        <w:pStyle w:val="Endofdocument-Annex"/>
        <w:rPr>
          <w:lang w:val="ru-RU"/>
        </w:rPr>
      </w:pPr>
      <w:r w:rsidRPr="00943888">
        <w:rPr>
          <w:lang w:val="ru-RU"/>
        </w:rPr>
        <w:t>[Конец приложения II и документа]</w:t>
      </w:r>
      <w:r w:rsidR="00A32283">
        <w:rPr>
          <w:lang w:val="ru-RU"/>
        </w:rPr>
        <w:t xml:space="preserve"> </w:t>
      </w:r>
    </w:p>
    <w:sectPr w:rsidR="00613E8B" w:rsidRPr="00943888" w:rsidSect="001B7D3E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22" w:rsidRDefault="003F7422">
      <w:r>
        <w:separator/>
      </w:r>
    </w:p>
  </w:endnote>
  <w:endnote w:type="continuationSeparator" w:id="0">
    <w:p w:rsidR="003F7422" w:rsidRDefault="003F7422" w:rsidP="003B38C1">
      <w:r>
        <w:separator/>
      </w:r>
    </w:p>
    <w:p w:rsidR="003F7422" w:rsidRPr="003B38C1" w:rsidRDefault="003F74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422" w:rsidRPr="003B38C1" w:rsidRDefault="003F74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22" w:rsidRDefault="003F7422">
      <w:r>
        <w:separator/>
      </w:r>
    </w:p>
  </w:footnote>
  <w:footnote w:type="continuationSeparator" w:id="0">
    <w:p w:rsidR="003F7422" w:rsidRDefault="003F7422" w:rsidP="008B60B2">
      <w:r>
        <w:separator/>
      </w:r>
    </w:p>
    <w:p w:rsidR="003F7422" w:rsidRPr="00ED77FB" w:rsidRDefault="003F74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422" w:rsidRPr="00ED77FB" w:rsidRDefault="003F74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A080D" w:rsidRPr="00163172" w:rsidRDefault="001A080D" w:rsidP="001A080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3172">
        <w:rPr>
          <w:lang w:val="ru-RU"/>
        </w:rPr>
        <w:t xml:space="preserve"> </w:t>
      </w:r>
      <w:r w:rsidRPr="00163172">
        <w:rPr>
          <w:lang w:val="ru-RU"/>
        </w:rPr>
        <w:tab/>
      </w:r>
      <w:r w:rsidR="00163172">
        <w:rPr>
          <w:lang w:val="ru-RU"/>
        </w:rPr>
        <w:t xml:space="preserve">Под терминами «статья» и «правило», используемыми в настоящем документе, подразумеваются статьи PCT и правила Инструкции к PCT («Инструкция») или положения, которые предлагается изменить или, соответственно, дополнить.  Термины «национальное законодательство», «национальные заявки», «национальная фаза» и т.д. </w:t>
      </w:r>
      <w:r w:rsidR="007E5CF6">
        <w:rPr>
          <w:lang w:val="ru-RU"/>
        </w:rPr>
        <w:t xml:space="preserve">включают в себя </w:t>
      </w:r>
      <w:r w:rsidR="00163172">
        <w:rPr>
          <w:lang w:val="ru-RU"/>
        </w:rPr>
        <w:t>региональное законодательство, региональные заявки, региональную фазу и т.д.</w:t>
      </w:r>
    </w:p>
  </w:footnote>
  <w:footnote w:id="3">
    <w:p w:rsidR="008108DB" w:rsidRDefault="006D7AF5" w:rsidP="008108D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17A3">
        <w:rPr>
          <w:lang w:val="ru-RU"/>
        </w:rPr>
        <w:t xml:space="preserve"> </w:t>
      </w:r>
      <w:r w:rsidRPr="001017A3">
        <w:rPr>
          <w:lang w:val="ru-RU"/>
        </w:rPr>
        <w:tab/>
      </w:r>
      <w:r w:rsidR="008108DB" w:rsidRPr="008108DB">
        <w:rPr>
          <w:lang w:val="ru-RU"/>
        </w:rPr>
        <w:t>Предлагаемые добавления и исключения указаны, соответственно, подчеркиванием и перечеркиванием соответствующего текста.</w:t>
      </w:r>
      <w:r w:rsidRPr="001017A3">
        <w:rPr>
          <w:szCs w:val="18"/>
          <w:lang w:val="ru-RU"/>
        </w:rPr>
        <w:t xml:space="preserve">  </w:t>
      </w:r>
      <w:r w:rsidR="008108DB">
        <w:rPr>
          <w:szCs w:val="18"/>
          <w:lang w:val="ru-RU"/>
        </w:rPr>
        <w:t>“</w:t>
      </w:r>
      <w:r w:rsidR="008108DB" w:rsidRPr="008108DB">
        <w:rPr>
          <w:szCs w:val="18"/>
          <w:lang w:val="ru-RU"/>
        </w:rPr>
        <w:t>Чистая</w:t>
      </w:r>
      <w:r w:rsidR="008108DB">
        <w:rPr>
          <w:szCs w:val="18"/>
          <w:lang w:val="ru-RU"/>
        </w:rPr>
        <w:t>»</w:t>
      </w:r>
      <w:r w:rsidR="008108DB" w:rsidRPr="008108DB">
        <w:rPr>
          <w:szCs w:val="18"/>
          <w:lang w:val="ru-RU"/>
        </w:rPr>
        <w:t xml:space="preserve"> копия предлагаемых положений с внесенными в них поправками (без подчеркивания или перечеркивания) содержится в приложении II.</w:t>
      </w:r>
    </w:p>
    <w:p w:rsidR="006D7AF5" w:rsidRPr="006D7AF5" w:rsidRDefault="006D7AF5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407BB" w:rsidP="00F407BB">
    <w:pPr>
      <w:jc w:val="right"/>
    </w:pPr>
    <w:r w:rsidRPr="00F407BB">
      <w:rPr>
        <w:lang w:val="ru-RU"/>
      </w:rPr>
      <w:t>PCT/A/49/4</w:t>
    </w:r>
  </w:p>
  <w:p w:rsidR="00EC4E49" w:rsidRDefault="00F407BB" w:rsidP="00F407BB">
    <w:pPr>
      <w:jc w:val="right"/>
    </w:pPr>
    <w:r w:rsidRPr="00F407BB"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93B5E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3E" w:rsidRPr="00163172" w:rsidRDefault="00F407BB" w:rsidP="00F407BB">
    <w:pPr>
      <w:jc w:val="right"/>
      <w:rPr>
        <w:lang w:val="ru-RU"/>
      </w:rPr>
    </w:pPr>
    <w:r w:rsidRPr="00F407BB">
      <w:rPr>
        <w:lang w:val="ru-RU"/>
      </w:rPr>
      <w:t>PCT/A/49/4</w:t>
    </w:r>
  </w:p>
  <w:p w:rsidR="001B7D3E" w:rsidRDefault="00F407BB" w:rsidP="00F407BB">
    <w:pPr>
      <w:jc w:val="right"/>
    </w:pPr>
    <w:r w:rsidRPr="00F407BB">
      <w:rPr>
        <w:lang w:val="ru-RU"/>
      </w:rPr>
      <w:t>Приложение I, стр.</w:t>
    </w:r>
    <w:r w:rsidR="001B7D3E" w:rsidRPr="00163172">
      <w:rPr>
        <w:lang w:val="ru-RU"/>
      </w:rPr>
      <w:t xml:space="preserve"> </w:t>
    </w:r>
    <w:r w:rsidR="001B7D3E">
      <w:fldChar w:fldCharType="begin"/>
    </w:r>
    <w:r w:rsidR="001B7D3E" w:rsidRPr="00163172">
      <w:rPr>
        <w:lang w:val="ru-RU"/>
      </w:rPr>
      <w:instrText xml:space="preserve"> </w:instrText>
    </w:r>
    <w:r w:rsidR="001B7D3E">
      <w:instrText>PAGE</w:instrText>
    </w:r>
    <w:r w:rsidR="001B7D3E" w:rsidRPr="00163172">
      <w:rPr>
        <w:lang w:val="ru-RU"/>
      </w:rPr>
      <w:instrText xml:space="preserve">  \* </w:instrText>
    </w:r>
    <w:r w:rsidR="001B7D3E">
      <w:instrText>MERGEFORMAT</w:instrText>
    </w:r>
    <w:r w:rsidR="001B7D3E" w:rsidRPr="00163172">
      <w:rPr>
        <w:lang w:val="ru-RU"/>
      </w:rPr>
      <w:instrText xml:space="preserve"> </w:instrText>
    </w:r>
    <w:r w:rsidR="001B7D3E">
      <w:fldChar w:fldCharType="separate"/>
    </w:r>
    <w:r w:rsidR="00993B5E">
      <w:rPr>
        <w:noProof/>
      </w:rPr>
      <w:t>4</w:t>
    </w:r>
    <w:r w:rsidR="001B7D3E">
      <w:fldChar w:fldCharType="end"/>
    </w:r>
  </w:p>
  <w:p w:rsidR="001B7D3E" w:rsidRDefault="001B7D3E" w:rsidP="00477D6B">
    <w:pPr>
      <w:jc w:val="right"/>
    </w:pPr>
  </w:p>
  <w:p w:rsidR="001B7D3E" w:rsidRDefault="001B7D3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3E" w:rsidRDefault="001B7D3E" w:rsidP="001B7D3E">
    <w:pPr>
      <w:pStyle w:val="Header"/>
      <w:jc w:val="right"/>
    </w:pPr>
    <w:r>
      <w:t>PCT/A/49/4</w:t>
    </w:r>
  </w:p>
  <w:p w:rsidR="00E5717F" w:rsidRDefault="00613E8B" w:rsidP="001B7D3E">
    <w:pPr>
      <w:pStyle w:val="Header"/>
      <w:jc w:val="right"/>
    </w:pPr>
    <w:r>
      <w:rPr>
        <w:lang w:val="ru-RU"/>
      </w:rPr>
      <w:t>ПРИЛОЖЕНИЕ</w:t>
    </w:r>
    <w:r w:rsidR="00E5717F">
      <w:t xml:space="preserve"> I</w:t>
    </w:r>
  </w:p>
  <w:p w:rsidR="001B7D3E" w:rsidRDefault="001B7D3E" w:rsidP="001B7D3E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3E" w:rsidRPr="00163172" w:rsidRDefault="00F407BB" w:rsidP="00F407BB">
    <w:pPr>
      <w:jc w:val="right"/>
      <w:rPr>
        <w:lang w:val="ru-RU"/>
      </w:rPr>
    </w:pPr>
    <w:r w:rsidRPr="00F407BB">
      <w:rPr>
        <w:lang w:val="ru-RU"/>
      </w:rPr>
      <w:t>PCT/A/49/4</w:t>
    </w:r>
  </w:p>
  <w:p w:rsidR="001B7D3E" w:rsidRPr="00383F79" w:rsidRDefault="00F407BB" w:rsidP="00F407BB">
    <w:pPr>
      <w:jc w:val="right"/>
      <w:rPr>
        <w:lang w:val="fr-CH"/>
      </w:rPr>
    </w:pPr>
    <w:r w:rsidRPr="00F407BB">
      <w:rPr>
        <w:lang w:val="ru-RU"/>
      </w:rPr>
      <w:t>Приложение II, стр.</w:t>
    </w:r>
    <w:r w:rsidR="001B7D3E" w:rsidRPr="00163172">
      <w:rPr>
        <w:lang w:val="ru-RU"/>
      </w:rPr>
      <w:t xml:space="preserve"> </w:t>
    </w:r>
    <w:r w:rsidR="001B7D3E">
      <w:fldChar w:fldCharType="begin"/>
    </w:r>
    <w:r w:rsidR="001B7D3E" w:rsidRPr="00163172">
      <w:rPr>
        <w:lang w:val="ru-RU"/>
      </w:rPr>
      <w:instrText xml:space="preserve"> </w:instrText>
    </w:r>
    <w:r w:rsidR="001B7D3E" w:rsidRPr="00383F79">
      <w:rPr>
        <w:lang w:val="fr-CH"/>
      </w:rPr>
      <w:instrText>PAGE</w:instrText>
    </w:r>
    <w:r w:rsidR="001B7D3E" w:rsidRPr="00163172">
      <w:rPr>
        <w:lang w:val="ru-RU"/>
      </w:rPr>
      <w:instrText xml:space="preserve">  \* </w:instrText>
    </w:r>
    <w:r w:rsidR="001B7D3E" w:rsidRPr="00383F79">
      <w:rPr>
        <w:lang w:val="fr-CH"/>
      </w:rPr>
      <w:instrText>MERGEFORMAT</w:instrText>
    </w:r>
    <w:r w:rsidR="001B7D3E" w:rsidRPr="00163172">
      <w:rPr>
        <w:lang w:val="ru-RU"/>
      </w:rPr>
      <w:instrText xml:space="preserve"> </w:instrText>
    </w:r>
    <w:r w:rsidR="001B7D3E">
      <w:fldChar w:fldCharType="separate"/>
    </w:r>
    <w:r w:rsidR="00993B5E">
      <w:rPr>
        <w:noProof/>
        <w:lang w:val="fr-CH"/>
      </w:rPr>
      <w:t>4</w:t>
    </w:r>
    <w:r w:rsidR="001B7D3E">
      <w:fldChar w:fldCharType="end"/>
    </w:r>
  </w:p>
  <w:p w:rsidR="001B7D3E" w:rsidRPr="00383F79" w:rsidRDefault="001B7D3E" w:rsidP="00477D6B">
    <w:pPr>
      <w:jc w:val="right"/>
      <w:rPr>
        <w:lang w:val="fr-CH"/>
      </w:rPr>
    </w:pPr>
  </w:p>
  <w:p w:rsidR="001B7D3E" w:rsidRPr="00383F79" w:rsidRDefault="001B7D3E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7F" w:rsidRDefault="00E5717F" w:rsidP="001B7D3E">
    <w:pPr>
      <w:pStyle w:val="Header"/>
      <w:jc w:val="right"/>
    </w:pPr>
    <w:r>
      <w:t>PCT/A/49/4</w:t>
    </w:r>
  </w:p>
  <w:p w:rsidR="00E5717F" w:rsidRDefault="00613E8B" w:rsidP="001B7D3E">
    <w:pPr>
      <w:pStyle w:val="Header"/>
      <w:jc w:val="right"/>
    </w:pPr>
    <w:r>
      <w:rPr>
        <w:lang w:val="ru-RU"/>
      </w:rPr>
      <w:t>ПРИЛОЖЕНИЕ</w:t>
    </w:r>
    <w:r w:rsidR="00E5717F">
      <w:t xml:space="preserve"> II</w:t>
    </w:r>
  </w:p>
  <w:p w:rsidR="00E5717F" w:rsidRDefault="00E5717F" w:rsidP="001B7D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WIPONew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91786B"/>
    <w:rsid w:val="00043CAA"/>
    <w:rsid w:val="0005328E"/>
    <w:rsid w:val="00075432"/>
    <w:rsid w:val="000968ED"/>
    <w:rsid w:val="000B156E"/>
    <w:rsid w:val="000D4C42"/>
    <w:rsid w:val="000E3D2B"/>
    <w:rsid w:val="000F5E56"/>
    <w:rsid w:val="001017A3"/>
    <w:rsid w:val="001362EE"/>
    <w:rsid w:val="00163172"/>
    <w:rsid w:val="001832A6"/>
    <w:rsid w:val="001A080D"/>
    <w:rsid w:val="001B7D3E"/>
    <w:rsid w:val="001F452E"/>
    <w:rsid w:val="002121FA"/>
    <w:rsid w:val="002634C4"/>
    <w:rsid w:val="002928D3"/>
    <w:rsid w:val="002F1FE6"/>
    <w:rsid w:val="002F4E68"/>
    <w:rsid w:val="002F6A93"/>
    <w:rsid w:val="00312F7F"/>
    <w:rsid w:val="003228B7"/>
    <w:rsid w:val="00340BC1"/>
    <w:rsid w:val="00352EAB"/>
    <w:rsid w:val="00362ED3"/>
    <w:rsid w:val="00365FB3"/>
    <w:rsid w:val="003673CF"/>
    <w:rsid w:val="00381C71"/>
    <w:rsid w:val="00383F79"/>
    <w:rsid w:val="003845C1"/>
    <w:rsid w:val="003A6F89"/>
    <w:rsid w:val="003B38C1"/>
    <w:rsid w:val="003D074D"/>
    <w:rsid w:val="003F7422"/>
    <w:rsid w:val="00423E3E"/>
    <w:rsid w:val="00427AF4"/>
    <w:rsid w:val="0043386F"/>
    <w:rsid w:val="004400E2"/>
    <w:rsid w:val="004647DA"/>
    <w:rsid w:val="00474062"/>
    <w:rsid w:val="004743CC"/>
    <w:rsid w:val="00477D6B"/>
    <w:rsid w:val="004A718E"/>
    <w:rsid w:val="004B31DE"/>
    <w:rsid w:val="004E6616"/>
    <w:rsid w:val="0050041D"/>
    <w:rsid w:val="0053057A"/>
    <w:rsid w:val="00531ED8"/>
    <w:rsid w:val="00554B50"/>
    <w:rsid w:val="00560A29"/>
    <w:rsid w:val="005705A2"/>
    <w:rsid w:val="00570D75"/>
    <w:rsid w:val="0058183D"/>
    <w:rsid w:val="00605827"/>
    <w:rsid w:val="00613E8B"/>
    <w:rsid w:val="00646050"/>
    <w:rsid w:val="006713CA"/>
    <w:rsid w:val="00676C5C"/>
    <w:rsid w:val="006A405F"/>
    <w:rsid w:val="006D5E0F"/>
    <w:rsid w:val="006D7AF5"/>
    <w:rsid w:val="007058FB"/>
    <w:rsid w:val="007B6A58"/>
    <w:rsid w:val="007D1613"/>
    <w:rsid w:val="007E5CF6"/>
    <w:rsid w:val="008108DB"/>
    <w:rsid w:val="00812A22"/>
    <w:rsid w:val="00890627"/>
    <w:rsid w:val="00890C93"/>
    <w:rsid w:val="008B2CC1"/>
    <w:rsid w:val="008B60B2"/>
    <w:rsid w:val="008D6B8F"/>
    <w:rsid w:val="0090731E"/>
    <w:rsid w:val="00916EE2"/>
    <w:rsid w:val="0091786B"/>
    <w:rsid w:val="00943888"/>
    <w:rsid w:val="00957053"/>
    <w:rsid w:val="00966A22"/>
    <w:rsid w:val="0096722F"/>
    <w:rsid w:val="00980843"/>
    <w:rsid w:val="00991195"/>
    <w:rsid w:val="00993B5E"/>
    <w:rsid w:val="009E2791"/>
    <w:rsid w:val="009E3F6F"/>
    <w:rsid w:val="009F3BF9"/>
    <w:rsid w:val="009F499F"/>
    <w:rsid w:val="00A1318E"/>
    <w:rsid w:val="00A32283"/>
    <w:rsid w:val="00A42DAF"/>
    <w:rsid w:val="00A45BD8"/>
    <w:rsid w:val="00A725B0"/>
    <w:rsid w:val="00A85B8E"/>
    <w:rsid w:val="00AC205C"/>
    <w:rsid w:val="00B05A69"/>
    <w:rsid w:val="00B50B99"/>
    <w:rsid w:val="00B64ED9"/>
    <w:rsid w:val="00B9734B"/>
    <w:rsid w:val="00C11BFE"/>
    <w:rsid w:val="00C35406"/>
    <w:rsid w:val="00C94629"/>
    <w:rsid w:val="00CF0691"/>
    <w:rsid w:val="00D00961"/>
    <w:rsid w:val="00D17FFD"/>
    <w:rsid w:val="00D45252"/>
    <w:rsid w:val="00D53C05"/>
    <w:rsid w:val="00D71B4D"/>
    <w:rsid w:val="00D72073"/>
    <w:rsid w:val="00D752B5"/>
    <w:rsid w:val="00D93D55"/>
    <w:rsid w:val="00E212C7"/>
    <w:rsid w:val="00E31400"/>
    <w:rsid w:val="00E335FE"/>
    <w:rsid w:val="00E5021F"/>
    <w:rsid w:val="00E5717F"/>
    <w:rsid w:val="00E64332"/>
    <w:rsid w:val="00EC4E49"/>
    <w:rsid w:val="00ED77FB"/>
    <w:rsid w:val="00F021A6"/>
    <w:rsid w:val="00F407BB"/>
    <w:rsid w:val="00F634BD"/>
    <w:rsid w:val="00F66152"/>
    <w:rsid w:val="00F9010A"/>
    <w:rsid w:val="00FC19F7"/>
    <w:rsid w:val="00F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72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207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57053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57053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nhideWhenUsed/>
    <w:rsid w:val="00957053"/>
    <w:rPr>
      <w:vertAlign w:val="superscript"/>
    </w:rPr>
  </w:style>
  <w:style w:type="character" w:customStyle="1" w:styleId="ONUMEChar">
    <w:name w:val="ONUM E Char"/>
    <w:basedOn w:val="DefaultParagraphFont"/>
    <w:link w:val="ONUME"/>
    <w:locked/>
    <w:rsid w:val="00957053"/>
    <w:rPr>
      <w:rFonts w:ascii="Arial" w:eastAsia="SimSun" w:hAnsi="Arial" w:cs="Arial"/>
      <w:sz w:val="22"/>
      <w:lang w:val="en-US" w:eastAsia="zh-CN"/>
    </w:rPr>
  </w:style>
  <w:style w:type="paragraph" w:customStyle="1" w:styleId="LegTitle">
    <w:name w:val="Leg # Title"/>
    <w:basedOn w:val="Normal"/>
    <w:next w:val="Normal"/>
    <w:rsid w:val="000D4C42"/>
    <w:pPr>
      <w:keepNext/>
      <w:keepLines/>
      <w:pageBreakBefore/>
      <w:snapToGrid w:val="0"/>
      <w:spacing w:before="240" w:line="480" w:lineRule="auto"/>
      <w:jc w:val="center"/>
    </w:pPr>
    <w:rPr>
      <w:rFonts w:eastAsia="Arial Unicode MS" w:cs="Times New Roman"/>
      <w:b/>
      <w:lang w:eastAsia="en-US"/>
    </w:rPr>
  </w:style>
  <w:style w:type="paragraph" w:customStyle="1" w:styleId="LegSubRule">
    <w:name w:val="Leg SubRule #"/>
    <w:basedOn w:val="Normal"/>
    <w:rsid w:val="000D4C42"/>
    <w:pPr>
      <w:keepNext/>
      <w:keepLines/>
      <w:tabs>
        <w:tab w:val="left" w:pos="510"/>
      </w:tabs>
      <w:snapToGrid w:val="0"/>
      <w:spacing w:before="480" w:line="480" w:lineRule="auto"/>
      <w:ind w:left="533" w:hanging="533"/>
    </w:pPr>
    <w:rPr>
      <w:rFonts w:eastAsia="Arial Unicode MS" w:cs="Times New Roman"/>
      <w:lang w:eastAsia="en-US"/>
    </w:rPr>
  </w:style>
  <w:style w:type="paragraph" w:customStyle="1" w:styleId="Lega">
    <w:name w:val="Leg (a)"/>
    <w:basedOn w:val="Normal"/>
    <w:rsid w:val="000D4C42"/>
    <w:pPr>
      <w:tabs>
        <w:tab w:val="left" w:pos="454"/>
      </w:tabs>
      <w:snapToGrid w:val="0"/>
      <w:spacing w:before="240" w:after="240" w:line="480" w:lineRule="auto"/>
      <w:jc w:val="both"/>
    </w:pPr>
    <w:rPr>
      <w:rFonts w:eastAsia="Times New Roman" w:cs="Times New Roman"/>
      <w:lang w:eastAsia="en-US"/>
    </w:rPr>
  </w:style>
  <w:style w:type="paragraph" w:customStyle="1" w:styleId="Legi">
    <w:name w:val="Leg (i)"/>
    <w:basedOn w:val="Normal"/>
    <w:rsid w:val="000D4C42"/>
    <w:pPr>
      <w:tabs>
        <w:tab w:val="right" w:pos="1020"/>
        <w:tab w:val="left" w:pos="1191"/>
      </w:tabs>
      <w:snapToGrid w:val="0"/>
      <w:spacing w:before="60" w:line="480" w:lineRule="auto"/>
      <w:jc w:val="both"/>
    </w:pPr>
    <w:rPr>
      <w:rFonts w:eastAsia="Times New Roman" w:cs="Times New Roman"/>
      <w:lang w:eastAsia="en-US"/>
    </w:rPr>
  </w:style>
  <w:style w:type="character" w:customStyle="1" w:styleId="DeletedText">
    <w:name w:val="Deleted Text"/>
    <w:basedOn w:val="DefaultParagraphFont"/>
    <w:uiPriority w:val="1"/>
    <w:qFormat/>
    <w:rsid w:val="000D4C42"/>
    <w:rPr>
      <w:strike/>
      <w:color w:val="FF0000"/>
    </w:rPr>
  </w:style>
  <w:style w:type="character" w:customStyle="1" w:styleId="InsertedText">
    <w:name w:val="Inserted Text"/>
    <w:basedOn w:val="DefaultParagraphFont"/>
    <w:qFormat/>
    <w:rsid w:val="000D4C42"/>
    <w:rPr>
      <w:color w:val="1F497D" w:themeColor="text2"/>
      <w:u w:val="single"/>
    </w:rPr>
  </w:style>
  <w:style w:type="paragraph" w:customStyle="1" w:styleId="LegBasic">
    <w:name w:val="Leg Basic"/>
    <w:rsid w:val="001B7D3E"/>
    <w:pPr>
      <w:spacing w:after="480" w:line="480" w:lineRule="auto"/>
    </w:pPr>
    <w:rPr>
      <w:rFonts w:ascii="Arial" w:hAnsi="Arial"/>
      <w:snapToGrid w:val="0"/>
      <w:sz w:val="22"/>
      <w:lang w:val="en-US" w:eastAsia="en-US"/>
    </w:rPr>
  </w:style>
  <w:style w:type="character" w:customStyle="1" w:styleId="LegAddedText">
    <w:name w:val="Leg Added Text"/>
    <w:basedOn w:val="DefaultParagraphFont"/>
    <w:uiPriority w:val="1"/>
    <w:qFormat/>
    <w:rsid w:val="001B7D3E"/>
    <w:rPr>
      <w:color w:val="0070C0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1B7D3E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qFormat/>
    <w:rsid w:val="001B7D3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B7D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131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131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18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1318E"/>
    <w:rPr>
      <w:rFonts w:ascii="Arial" w:eastAsia="SimSun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72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207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57053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57053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nhideWhenUsed/>
    <w:rsid w:val="00957053"/>
    <w:rPr>
      <w:vertAlign w:val="superscript"/>
    </w:rPr>
  </w:style>
  <w:style w:type="character" w:customStyle="1" w:styleId="ONUMEChar">
    <w:name w:val="ONUM E Char"/>
    <w:basedOn w:val="DefaultParagraphFont"/>
    <w:link w:val="ONUME"/>
    <w:locked/>
    <w:rsid w:val="00957053"/>
    <w:rPr>
      <w:rFonts w:ascii="Arial" w:eastAsia="SimSun" w:hAnsi="Arial" w:cs="Arial"/>
      <w:sz w:val="22"/>
      <w:lang w:val="en-US" w:eastAsia="zh-CN"/>
    </w:rPr>
  </w:style>
  <w:style w:type="paragraph" w:customStyle="1" w:styleId="LegTitle">
    <w:name w:val="Leg # Title"/>
    <w:basedOn w:val="Normal"/>
    <w:next w:val="Normal"/>
    <w:rsid w:val="000D4C42"/>
    <w:pPr>
      <w:keepNext/>
      <w:keepLines/>
      <w:pageBreakBefore/>
      <w:snapToGrid w:val="0"/>
      <w:spacing w:before="240" w:line="480" w:lineRule="auto"/>
      <w:jc w:val="center"/>
    </w:pPr>
    <w:rPr>
      <w:rFonts w:eastAsia="Arial Unicode MS" w:cs="Times New Roman"/>
      <w:b/>
      <w:lang w:eastAsia="en-US"/>
    </w:rPr>
  </w:style>
  <w:style w:type="paragraph" w:customStyle="1" w:styleId="LegSubRule">
    <w:name w:val="Leg SubRule #"/>
    <w:basedOn w:val="Normal"/>
    <w:rsid w:val="000D4C42"/>
    <w:pPr>
      <w:keepNext/>
      <w:keepLines/>
      <w:tabs>
        <w:tab w:val="left" w:pos="510"/>
      </w:tabs>
      <w:snapToGrid w:val="0"/>
      <w:spacing w:before="480" w:line="480" w:lineRule="auto"/>
      <w:ind w:left="533" w:hanging="533"/>
    </w:pPr>
    <w:rPr>
      <w:rFonts w:eastAsia="Arial Unicode MS" w:cs="Times New Roman"/>
      <w:lang w:eastAsia="en-US"/>
    </w:rPr>
  </w:style>
  <w:style w:type="paragraph" w:customStyle="1" w:styleId="Lega">
    <w:name w:val="Leg (a)"/>
    <w:basedOn w:val="Normal"/>
    <w:rsid w:val="000D4C42"/>
    <w:pPr>
      <w:tabs>
        <w:tab w:val="left" w:pos="454"/>
      </w:tabs>
      <w:snapToGrid w:val="0"/>
      <w:spacing w:before="240" w:after="240" w:line="480" w:lineRule="auto"/>
      <w:jc w:val="both"/>
    </w:pPr>
    <w:rPr>
      <w:rFonts w:eastAsia="Times New Roman" w:cs="Times New Roman"/>
      <w:lang w:eastAsia="en-US"/>
    </w:rPr>
  </w:style>
  <w:style w:type="paragraph" w:customStyle="1" w:styleId="Legi">
    <w:name w:val="Leg (i)"/>
    <w:basedOn w:val="Normal"/>
    <w:rsid w:val="000D4C42"/>
    <w:pPr>
      <w:tabs>
        <w:tab w:val="right" w:pos="1020"/>
        <w:tab w:val="left" w:pos="1191"/>
      </w:tabs>
      <w:snapToGrid w:val="0"/>
      <w:spacing w:before="60" w:line="480" w:lineRule="auto"/>
      <w:jc w:val="both"/>
    </w:pPr>
    <w:rPr>
      <w:rFonts w:eastAsia="Times New Roman" w:cs="Times New Roman"/>
      <w:lang w:eastAsia="en-US"/>
    </w:rPr>
  </w:style>
  <w:style w:type="character" w:customStyle="1" w:styleId="DeletedText">
    <w:name w:val="Deleted Text"/>
    <w:basedOn w:val="DefaultParagraphFont"/>
    <w:uiPriority w:val="1"/>
    <w:qFormat/>
    <w:rsid w:val="000D4C42"/>
    <w:rPr>
      <w:strike/>
      <w:color w:val="FF0000"/>
    </w:rPr>
  </w:style>
  <w:style w:type="character" w:customStyle="1" w:styleId="InsertedText">
    <w:name w:val="Inserted Text"/>
    <w:basedOn w:val="DefaultParagraphFont"/>
    <w:qFormat/>
    <w:rsid w:val="000D4C42"/>
    <w:rPr>
      <w:color w:val="1F497D" w:themeColor="text2"/>
      <w:u w:val="single"/>
    </w:rPr>
  </w:style>
  <w:style w:type="paragraph" w:customStyle="1" w:styleId="LegBasic">
    <w:name w:val="Leg Basic"/>
    <w:rsid w:val="001B7D3E"/>
    <w:pPr>
      <w:spacing w:after="480" w:line="480" w:lineRule="auto"/>
    </w:pPr>
    <w:rPr>
      <w:rFonts w:ascii="Arial" w:hAnsi="Arial"/>
      <w:snapToGrid w:val="0"/>
      <w:sz w:val="22"/>
      <w:lang w:val="en-US" w:eastAsia="en-US"/>
    </w:rPr>
  </w:style>
  <w:style w:type="character" w:customStyle="1" w:styleId="LegAddedText">
    <w:name w:val="Leg Added Text"/>
    <w:basedOn w:val="DefaultParagraphFont"/>
    <w:uiPriority w:val="1"/>
    <w:qFormat/>
    <w:rsid w:val="001B7D3E"/>
    <w:rPr>
      <w:color w:val="0070C0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1B7D3E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qFormat/>
    <w:rsid w:val="001B7D3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B7D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131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131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18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1318E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%20A%20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2ED8-49F8-4A34-A622-7C9AC2DB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A  49 (E)</Template>
  <TotalTime>4</TotalTime>
  <Pages>11</Pages>
  <Words>1537</Words>
  <Characters>10753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PCT/A/49/4</vt:lpstr>
    </vt:vector>
  </TitlesOfParts>
  <Company>WIPO</Company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PCT/A/49/4</dc:title>
  <dc:subject>Proposed Amendments to the PCT Regulations</dc:subject>
  <dc:creator>RICHARDSON Michael</dc:creator>
  <cp:lastModifiedBy>HÄFLIGER Patience</cp:lastModifiedBy>
  <cp:revision>5</cp:revision>
  <cp:lastPrinted>2017-07-03T07:55:00Z</cp:lastPrinted>
  <dcterms:created xsi:type="dcterms:W3CDTF">2017-07-03T07:44:00Z</dcterms:created>
  <dcterms:modified xsi:type="dcterms:W3CDTF">2017-07-03T07:56:00Z</dcterms:modified>
</cp:coreProperties>
</file>