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FA9CE" w14:textId="77777777" w:rsidR="008A3279" w:rsidRDefault="008A3279" w:rsidP="00E5566B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52"/>
        <w:gridCol w:w="4375"/>
        <w:gridCol w:w="429"/>
      </w:tblGrid>
      <w:tr w:rsidR="006314C1" w:rsidRPr="00656413" w14:paraId="4D9A759E" w14:textId="77777777" w:rsidTr="006314C1">
        <w:tc>
          <w:tcPr>
            <w:tcW w:w="4552" w:type="dxa"/>
            <w:tcMar>
              <w:bottom w:w="170" w:type="dxa"/>
            </w:tcMar>
          </w:tcPr>
          <w:p w14:paraId="0E5C64B8" w14:textId="77777777" w:rsidR="006314C1" w:rsidRPr="00656413" w:rsidRDefault="006314C1" w:rsidP="00EA0A78"/>
        </w:tc>
        <w:tc>
          <w:tcPr>
            <w:tcW w:w="4375" w:type="dxa"/>
            <w:tcMar>
              <w:left w:w="0" w:type="dxa"/>
              <w:right w:w="0" w:type="dxa"/>
            </w:tcMar>
          </w:tcPr>
          <w:p w14:paraId="09909B72" w14:textId="77777777" w:rsidR="006314C1" w:rsidRPr="00656413" w:rsidRDefault="006314C1" w:rsidP="00EA0A78">
            <w:r w:rsidRPr="00656413">
              <w:rPr>
                <w:noProof/>
                <w:lang w:eastAsia="en-US"/>
              </w:rPr>
              <w:drawing>
                <wp:inline distT="0" distB="0" distL="0" distR="0" wp14:anchorId="399F023E" wp14:editId="434D5C5E">
                  <wp:extent cx="1809750" cy="1343025"/>
                  <wp:effectExtent l="0" t="0" r="0" b="9525"/>
                  <wp:docPr id="2" name="Picture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семирной организации интеллектуальной собственности (ВОИ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" w:type="dxa"/>
            <w:tcMar>
              <w:left w:w="0" w:type="dxa"/>
              <w:right w:w="0" w:type="dxa"/>
            </w:tcMar>
          </w:tcPr>
          <w:p w14:paraId="0BA82B86" w14:textId="77777777" w:rsidR="006314C1" w:rsidRPr="00656413" w:rsidRDefault="006314C1" w:rsidP="00EA0A78">
            <w:pPr>
              <w:jc w:val="right"/>
            </w:pPr>
            <w:r w:rsidRPr="00656413">
              <w:rPr>
                <w:b/>
                <w:sz w:val="40"/>
                <w:szCs w:val="40"/>
              </w:rPr>
              <w:t>R</w:t>
            </w:r>
          </w:p>
        </w:tc>
      </w:tr>
    </w:tbl>
    <w:p w14:paraId="69621B97" w14:textId="17CF216A" w:rsidR="008A3279" w:rsidRDefault="008166B3" w:rsidP="00086241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342182">
        <w:rPr>
          <w:rFonts w:ascii="Arial Black" w:hAnsi="Arial Black"/>
          <w:b/>
          <w:caps/>
          <w:sz w:val="15"/>
        </w:rPr>
        <w:t>LI</w:t>
      </w:r>
      <w:r w:rsidRPr="00DC6BD5">
        <w:rPr>
          <w:rFonts w:ascii="Arial Black" w:hAnsi="Arial Black"/>
          <w:b/>
          <w:caps/>
          <w:sz w:val="15"/>
          <w:lang w:val="ru-RU"/>
        </w:rPr>
        <w:t>/</w:t>
      </w:r>
      <w:r w:rsidRPr="00342182">
        <w:rPr>
          <w:rFonts w:ascii="Arial Black" w:hAnsi="Arial Black"/>
          <w:b/>
          <w:caps/>
          <w:sz w:val="15"/>
        </w:rPr>
        <w:t>A</w:t>
      </w:r>
      <w:r w:rsidRPr="00DC6BD5">
        <w:rPr>
          <w:rFonts w:ascii="Arial Black" w:hAnsi="Arial Black"/>
          <w:b/>
          <w:caps/>
          <w:sz w:val="15"/>
          <w:lang w:val="ru-RU"/>
        </w:rPr>
        <w:t>/3</w:t>
      </w:r>
      <w:r w:rsidR="00136F59">
        <w:rPr>
          <w:rFonts w:ascii="Arial Black" w:hAnsi="Arial Black"/>
          <w:b/>
          <w:caps/>
          <w:sz w:val="15"/>
        </w:rPr>
        <w:t>8</w:t>
      </w:r>
      <w:r w:rsidR="006E4F5F" w:rsidRPr="00DC6BD5">
        <w:rPr>
          <w:rFonts w:ascii="Arial Black" w:hAnsi="Arial Black"/>
          <w:b/>
          <w:caps/>
          <w:sz w:val="15"/>
          <w:lang w:val="ru-RU"/>
        </w:rPr>
        <w:t>/</w:t>
      </w:r>
      <w:bookmarkStart w:id="1" w:name="Code"/>
      <w:bookmarkEnd w:id="1"/>
      <w:r w:rsidR="000F0B28" w:rsidRPr="00DC6BD5">
        <w:rPr>
          <w:rFonts w:ascii="Arial Black" w:hAnsi="Arial Black"/>
          <w:b/>
          <w:caps/>
          <w:sz w:val="15"/>
          <w:lang w:val="ru-RU"/>
        </w:rPr>
        <w:t>1</w:t>
      </w:r>
    </w:p>
    <w:p w14:paraId="0EE5E344" w14:textId="77777777" w:rsidR="008A3279" w:rsidRDefault="00092113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092113">
        <w:rPr>
          <w:rFonts w:ascii="Arial Black" w:hAnsi="Arial Black"/>
          <w:b/>
          <w:caps/>
          <w:sz w:val="15"/>
          <w:lang w:val="ru-RU"/>
        </w:rPr>
        <w:t>:</w:t>
      </w:r>
      <w:r w:rsidR="00781DB8" w:rsidRPr="00092113">
        <w:rPr>
          <w:rFonts w:ascii="Arial Black" w:hAnsi="Arial Black"/>
          <w:b/>
          <w:caps/>
          <w:sz w:val="15"/>
          <w:lang w:val="ru-RU"/>
        </w:rPr>
        <w:t xml:space="preserve"> </w:t>
      </w:r>
      <w:r w:rsidR="006E4F5F" w:rsidRPr="00092113">
        <w:rPr>
          <w:rFonts w:ascii="Arial Black" w:hAnsi="Arial Black"/>
          <w:b/>
          <w:caps/>
          <w:sz w:val="15"/>
          <w:lang w:val="ru-RU"/>
        </w:rPr>
        <w:t xml:space="preserve"> </w:t>
      </w:r>
      <w:bookmarkStart w:id="2" w:name="Original"/>
      <w:bookmarkEnd w:id="2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14:paraId="22582E1B" w14:textId="69538D54" w:rsidR="008A3279" w:rsidRDefault="00092113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092113">
        <w:rPr>
          <w:rFonts w:ascii="Arial Black" w:hAnsi="Arial Black"/>
          <w:b/>
          <w:caps/>
          <w:sz w:val="15"/>
          <w:lang w:val="ru-RU"/>
        </w:rPr>
        <w:t>:</w:t>
      </w:r>
      <w:r w:rsidR="00781DB8" w:rsidRPr="00092113">
        <w:rPr>
          <w:rFonts w:ascii="Arial Black" w:hAnsi="Arial Black"/>
          <w:b/>
          <w:caps/>
          <w:sz w:val="15"/>
          <w:lang w:val="ru-RU"/>
        </w:rPr>
        <w:t xml:space="preserve"> </w:t>
      </w:r>
      <w:r w:rsidR="006E4F5F" w:rsidRPr="00092113">
        <w:rPr>
          <w:rFonts w:ascii="Arial Black" w:hAnsi="Arial Black"/>
          <w:b/>
          <w:caps/>
          <w:sz w:val="15"/>
          <w:lang w:val="ru-RU"/>
        </w:rPr>
        <w:t xml:space="preserve"> </w:t>
      </w:r>
      <w:bookmarkStart w:id="3" w:name="Date"/>
      <w:bookmarkEnd w:id="3"/>
      <w:r>
        <w:rPr>
          <w:rFonts w:ascii="Arial Black" w:hAnsi="Arial Black"/>
          <w:b/>
          <w:caps/>
          <w:sz w:val="15"/>
          <w:lang w:val="ru-RU"/>
        </w:rPr>
        <w:t>2 июля</w:t>
      </w:r>
      <w:r w:rsidR="008166B3" w:rsidRPr="00092113">
        <w:rPr>
          <w:rFonts w:ascii="Arial Black" w:hAnsi="Arial Black"/>
          <w:b/>
          <w:caps/>
          <w:sz w:val="15"/>
          <w:lang w:val="ru-RU"/>
        </w:rPr>
        <w:t xml:space="preserve"> 202</w:t>
      </w:r>
      <w:r w:rsidR="00136F59">
        <w:rPr>
          <w:rFonts w:ascii="Arial Black" w:hAnsi="Arial Black"/>
          <w:b/>
          <w:caps/>
          <w:sz w:val="15"/>
          <w:lang w:val="ru-RU"/>
        </w:rPr>
        <w:t>1</w:t>
      </w:r>
      <w:r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14:paraId="537957FF" w14:textId="0D653B8D" w:rsidR="008A3279" w:rsidRPr="006314C1" w:rsidRDefault="00092113" w:rsidP="006314C1">
      <w:pPr>
        <w:pStyle w:val="Heading1"/>
      </w:pPr>
      <w:r w:rsidRPr="006314C1">
        <w:t>Специальный союз по охране наименований мест происхождения и их международной регистрации (Лиссабонский союз)</w:t>
      </w:r>
    </w:p>
    <w:p w14:paraId="1A2D31C1" w14:textId="77777777" w:rsidR="008A3279" w:rsidRDefault="00092113" w:rsidP="006314C1">
      <w:pPr>
        <w:pStyle w:val="Heading1"/>
      </w:pPr>
      <w:r w:rsidRPr="00092113">
        <w:rPr>
          <w:color w:val="000000"/>
        </w:rPr>
        <w:t>А</w:t>
      </w:r>
      <w:r w:rsidRPr="00092113">
        <w:t>ссамблея</w:t>
      </w:r>
    </w:p>
    <w:p w14:paraId="20623015" w14:textId="046BB1AF" w:rsidR="008A3279" w:rsidRPr="006314C1" w:rsidRDefault="00092113" w:rsidP="00092113">
      <w:pPr>
        <w:spacing w:after="720"/>
        <w:rPr>
          <w:b/>
          <w:sz w:val="24"/>
          <w:lang w:val="ru-RU"/>
        </w:rPr>
      </w:pPr>
      <w:r w:rsidRPr="006314C1">
        <w:rPr>
          <w:b/>
          <w:sz w:val="24"/>
          <w:lang w:val="ru-RU"/>
        </w:rPr>
        <w:t xml:space="preserve">Тридцать </w:t>
      </w:r>
      <w:r w:rsidR="00D94B12">
        <w:rPr>
          <w:b/>
          <w:sz w:val="24"/>
          <w:lang w:val="ru-RU"/>
        </w:rPr>
        <w:t>во</w:t>
      </w:r>
      <w:r w:rsidRPr="006314C1">
        <w:rPr>
          <w:b/>
          <w:sz w:val="24"/>
          <w:lang w:val="ru-RU"/>
        </w:rPr>
        <w:t>сьмая (</w:t>
      </w:r>
      <w:r w:rsidR="00D94B12">
        <w:rPr>
          <w:b/>
          <w:sz w:val="24"/>
          <w:lang w:val="ru-RU"/>
        </w:rPr>
        <w:t xml:space="preserve">24-я </w:t>
      </w:r>
      <w:r w:rsidRPr="006314C1">
        <w:rPr>
          <w:b/>
          <w:sz w:val="24"/>
          <w:lang w:val="ru-RU"/>
        </w:rPr>
        <w:t xml:space="preserve">очередная) сессия </w:t>
      </w:r>
      <w:r w:rsidR="004A4C4C" w:rsidRPr="006314C1">
        <w:rPr>
          <w:b/>
          <w:sz w:val="24"/>
          <w:lang w:val="ru-RU"/>
        </w:rPr>
        <w:br/>
      </w:r>
      <w:r w:rsidRPr="006314C1">
        <w:rPr>
          <w:b/>
          <w:sz w:val="24"/>
          <w:lang w:val="ru-RU"/>
        </w:rPr>
        <w:t xml:space="preserve">Женева, </w:t>
      </w:r>
      <w:r w:rsidR="008C5FC0">
        <w:rPr>
          <w:b/>
          <w:sz w:val="24"/>
          <w:lang w:val="ru-RU"/>
        </w:rPr>
        <w:t>4</w:t>
      </w:r>
      <w:r w:rsidRPr="006314C1">
        <w:rPr>
          <w:b/>
          <w:sz w:val="24"/>
          <w:lang w:val="ru-RU"/>
        </w:rPr>
        <w:t>–</w:t>
      </w:r>
      <w:r w:rsidR="008C5FC0">
        <w:rPr>
          <w:b/>
          <w:sz w:val="24"/>
          <w:lang w:val="ru-RU"/>
        </w:rPr>
        <w:t>8</w:t>
      </w:r>
      <w:r w:rsidRPr="006314C1">
        <w:rPr>
          <w:b/>
          <w:sz w:val="24"/>
          <w:lang w:val="ru-RU"/>
        </w:rPr>
        <w:t xml:space="preserve"> </w:t>
      </w:r>
      <w:r w:rsidR="008C5FC0">
        <w:rPr>
          <w:b/>
          <w:sz w:val="24"/>
          <w:lang w:val="ru-RU"/>
        </w:rPr>
        <w:t>ок</w:t>
      </w:r>
      <w:r w:rsidRPr="006314C1">
        <w:rPr>
          <w:b/>
          <w:sz w:val="24"/>
          <w:lang w:val="ru-RU"/>
        </w:rPr>
        <w:t>тября 202</w:t>
      </w:r>
      <w:r w:rsidR="008C5FC0">
        <w:rPr>
          <w:b/>
          <w:sz w:val="24"/>
          <w:lang w:val="ru-RU"/>
        </w:rPr>
        <w:t>1 </w:t>
      </w:r>
      <w:r w:rsidRPr="006314C1">
        <w:rPr>
          <w:b/>
          <w:sz w:val="24"/>
          <w:lang w:val="ru-RU"/>
        </w:rPr>
        <w:t>г.</w:t>
      </w:r>
    </w:p>
    <w:p w14:paraId="0628901F" w14:textId="77777777" w:rsidR="008A3279" w:rsidRPr="006314C1" w:rsidRDefault="00092113" w:rsidP="00092113">
      <w:pPr>
        <w:spacing w:after="360"/>
        <w:rPr>
          <w:caps/>
          <w:sz w:val="24"/>
          <w:lang w:val="ru-RU"/>
        </w:rPr>
      </w:pPr>
      <w:bookmarkStart w:id="4" w:name="TitleOfDoc"/>
      <w:bookmarkStart w:id="5" w:name="Prepared"/>
      <w:bookmarkEnd w:id="4"/>
      <w:bookmarkEnd w:id="5"/>
      <w:r w:rsidRPr="006314C1">
        <w:rPr>
          <w:caps/>
          <w:sz w:val="24"/>
          <w:lang w:val="ru-RU"/>
        </w:rPr>
        <w:t>РАЗВИТИЕ ЛИССАБОНСКОЙ СИСТЕМЫ</w:t>
      </w:r>
    </w:p>
    <w:p w14:paraId="3A283DEC" w14:textId="77777777" w:rsidR="008A3279" w:rsidRPr="006314C1" w:rsidRDefault="00092113" w:rsidP="00092113">
      <w:pPr>
        <w:spacing w:after="960"/>
        <w:rPr>
          <w:i/>
          <w:lang w:val="ru-RU"/>
        </w:rPr>
      </w:pPr>
      <w:r w:rsidRPr="006314C1">
        <w:rPr>
          <w:i/>
          <w:lang w:val="ru-RU"/>
        </w:rPr>
        <w:t>Документ подготовлен Секретариатом</w:t>
      </w:r>
    </w:p>
    <w:p w14:paraId="032193B8" w14:textId="51D41424" w:rsidR="008A3279" w:rsidRPr="006314C1" w:rsidRDefault="00367204" w:rsidP="006314C1">
      <w:pPr>
        <w:pStyle w:val="ONUME"/>
        <w:spacing w:after="240"/>
        <w:rPr>
          <w:lang w:val="ru-RU"/>
        </w:rPr>
      </w:pPr>
      <w:r>
        <w:rPr>
          <w:lang w:val="ru-RU"/>
        </w:rPr>
        <w:t>Т</w:t>
      </w:r>
      <w:r w:rsidR="00731C62" w:rsidRPr="006314C1">
        <w:rPr>
          <w:lang w:val="ru-RU"/>
        </w:rPr>
        <w:t>ретья сессия Рабочей группы по развитию Лиссабонской с</w:t>
      </w:r>
      <w:r w:rsidR="006314C1" w:rsidRPr="006314C1">
        <w:rPr>
          <w:lang w:val="ru-RU"/>
        </w:rPr>
        <w:t>истемы (далее</w:t>
      </w:r>
      <w:r>
        <w:rPr>
          <w:lang w:val="ru-RU"/>
        </w:rPr>
        <w:t> </w:t>
      </w:r>
      <w:r w:rsidR="006314C1" w:rsidRPr="006314C1">
        <w:rPr>
          <w:lang w:val="ru-RU"/>
        </w:rPr>
        <w:t>– Рабочая г</w:t>
      </w:r>
      <w:r w:rsidR="00731C62" w:rsidRPr="006314C1">
        <w:rPr>
          <w:lang w:val="ru-RU"/>
        </w:rPr>
        <w:t>руппа),</w:t>
      </w:r>
      <w:r>
        <w:rPr>
          <w:lang w:val="ru-RU"/>
        </w:rPr>
        <w:t xml:space="preserve"> первоначально запланированная на 10 </w:t>
      </w:r>
      <w:r w:rsidR="00731C62" w:rsidRPr="006314C1">
        <w:rPr>
          <w:lang w:val="ru-RU"/>
        </w:rPr>
        <w:t>и</w:t>
      </w:r>
      <w:r>
        <w:rPr>
          <w:lang w:val="ru-RU"/>
        </w:rPr>
        <w:t> </w:t>
      </w:r>
      <w:r w:rsidR="00731C62" w:rsidRPr="006314C1">
        <w:rPr>
          <w:lang w:val="ru-RU"/>
        </w:rPr>
        <w:t>11 марта 2020</w:t>
      </w:r>
      <w:r>
        <w:rPr>
          <w:lang w:val="ru-RU"/>
        </w:rPr>
        <w:t> </w:t>
      </w:r>
      <w:r w:rsidR="00731C62" w:rsidRPr="006314C1">
        <w:rPr>
          <w:lang w:val="ru-RU"/>
        </w:rPr>
        <w:t xml:space="preserve">г., была </w:t>
      </w:r>
      <w:r>
        <w:rPr>
          <w:lang w:val="ru-RU"/>
        </w:rPr>
        <w:t xml:space="preserve">вынужденно </w:t>
      </w:r>
      <w:r w:rsidR="00731C62" w:rsidRPr="006314C1">
        <w:rPr>
          <w:lang w:val="ru-RU"/>
        </w:rPr>
        <w:t>отложена в связи с пандемией COVID-19</w:t>
      </w:r>
      <w:r>
        <w:rPr>
          <w:lang w:val="ru-RU"/>
        </w:rPr>
        <w:t xml:space="preserve"> и состоялась 2 и 3 ноября 2020 г</w:t>
      </w:r>
      <w:r w:rsidR="00731C62" w:rsidRPr="006314C1">
        <w:rPr>
          <w:lang w:val="ru-RU"/>
        </w:rPr>
        <w:t>.</w:t>
      </w:r>
    </w:p>
    <w:p w14:paraId="5FAE6CB4" w14:textId="600AEA52" w:rsidR="008A3279" w:rsidRPr="006314C1" w:rsidRDefault="002A27D8" w:rsidP="00731C62">
      <w:pPr>
        <w:pStyle w:val="ONUME"/>
        <w:spacing w:after="480"/>
        <w:rPr>
          <w:szCs w:val="22"/>
          <w:lang w:val="ru-RU"/>
        </w:rPr>
      </w:pPr>
      <w:r>
        <w:rPr>
          <w:lang w:val="ru-RU"/>
        </w:rPr>
        <w:t xml:space="preserve">В этой связи </w:t>
      </w:r>
      <w:r w:rsidR="00731C62" w:rsidRPr="006314C1">
        <w:rPr>
          <w:lang w:val="ru-RU"/>
        </w:rPr>
        <w:t>цель настоящего документа состоит в том, чтобы представить последние изменения</w:t>
      </w:r>
      <w:r>
        <w:rPr>
          <w:lang w:val="ru-RU"/>
        </w:rPr>
        <w:t xml:space="preserve"> в развитии </w:t>
      </w:r>
      <w:r w:rsidR="00731C62" w:rsidRPr="006314C1">
        <w:rPr>
          <w:lang w:val="ru-RU"/>
        </w:rPr>
        <w:t xml:space="preserve">Лиссабонской системы, которые </w:t>
      </w:r>
      <w:r>
        <w:rPr>
          <w:lang w:val="ru-RU"/>
        </w:rPr>
        <w:t xml:space="preserve">были </w:t>
      </w:r>
      <w:r w:rsidR="00731C62" w:rsidRPr="006314C1">
        <w:rPr>
          <w:lang w:val="ru-RU"/>
        </w:rPr>
        <w:t>рассмотрены на третьей сессии Рабочей группы.</w:t>
      </w:r>
      <w:r w:rsidR="006A0BF0" w:rsidRPr="006314C1">
        <w:rPr>
          <w:lang w:val="ru-RU"/>
        </w:rPr>
        <w:t xml:space="preserve"> </w:t>
      </w:r>
      <w:r w:rsidR="00A65A52" w:rsidRPr="006314C1">
        <w:rPr>
          <w:lang w:val="ru-RU"/>
        </w:rPr>
        <w:t xml:space="preserve"> </w:t>
      </w:r>
      <w:r w:rsidR="00731C62" w:rsidRPr="006314C1">
        <w:rPr>
          <w:lang w:val="ru-RU"/>
        </w:rPr>
        <w:t>В частности,</w:t>
      </w:r>
      <w:r w:rsidR="00CA758B">
        <w:rPr>
          <w:lang w:val="ru-RU"/>
        </w:rPr>
        <w:t xml:space="preserve"> такие</w:t>
      </w:r>
      <w:r w:rsidR="00731C62" w:rsidRPr="006314C1">
        <w:rPr>
          <w:lang w:val="ru-RU"/>
        </w:rPr>
        <w:t xml:space="preserve"> изменения касаются: </w:t>
      </w:r>
      <w:r w:rsidR="006314C1" w:rsidRPr="006314C1">
        <w:rPr>
          <w:lang w:val="ru-RU"/>
        </w:rPr>
        <w:br/>
      </w:r>
      <w:r w:rsidR="00731C62" w:rsidRPr="006314C1">
        <w:rPr>
          <w:lang w:val="ru-RU"/>
        </w:rPr>
        <w:t>(1) вступления в силу Женевского акта Лиссабонского соглашения о наименованиях мест происхождения и географических указаниях (Женевский акт Лиссабонского соглашения);  (2) нормативно-правовой базы Лиссабонской системы после</w:t>
      </w:r>
      <w:r w:rsidR="006314C1" w:rsidRPr="006314C1">
        <w:rPr>
          <w:lang w:val="ru-RU"/>
        </w:rPr>
        <w:t xml:space="preserve"> </w:t>
      </w:r>
      <w:r w:rsidR="00731C62" w:rsidRPr="006314C1">
        <w:rPr>
          <w:lang w:val="ru-RU"/>
        </w:rPr>
        <w:t>принятия Женевского акта и его вступления в силу;  и (3) текущ</w:t>
      </w:r>
      <w:r w:rsidR="00A44E8B">
        <w:rPr>
          <w:lang w:val="ru-RU"/>
        </w:rPr>
        <w:t>ей</w:t>
      </w:r>
      <w:r w:rsidR="00731C62" w:rsidRPr="006314C1">
        <w:rPr>
          <w:lang w:val="ru-RU"/>
        </w:rPr>
        <w:t xml:space="preserve"> </w:t>
      </w:r>
      <w:r w:rsidR="00A44E8B">
        <w:rPr>
          <w:lang w:val="ru-RU"/>
        </w:rPr>
        <w:t>дискуссии на тему</w:t>
      </w:r>
      <w:r w:rsidR="00731C62" w:rsidRPr="006314C1">
        <w:rPr>
          <w:lang w:val="ru-RU"/>
        </w:rPr>
        <w:t xml:space="preserve"> финансовой устойчивости Лиссабонского союза.</w:t>
      </w:r>
    </w:p>
    <w:p w14:paraId="5C5FF2AA" w14:textId="77777777" w:rsidR="008A3279" w:rsidRDefault="00F77EF5">
      <w:pPr>
        <w:rPr>
          <w:szCs w:val="22"/>
          <w:lang w:val="ru-RU"/>
        </w:rPr>
      </w:pPr>
      <w:r w:rsidRPr="000373DE">
        <w:rPr>
          <w:szCs w:val="22"/>
          <w:lang w:val="ru-RU"/>
        </w:rPr>
        <w:br w:type="page"/>
      </w:r>
    </w:p>
    <w:p w14:paraId="14387E8F" w14:textId="77777777" w:rsidR="008A3279" w:rsidRPr="006314C1" w:rsidRDefault="00731C62" w:rsidP="00731C62">
      <w:pPr>
        <w:pStyle w:val="ONUME"/>
        <w:numPr>
          <w:ilvl w:val="0"/>
          <w:numId w:val="0"/>
        </w:numPr>
        <w:spacing w:after="240"/>
        <w:rPr>
          <w:szCs w:val="22"/>
          <w:lang w:val="ru-RU"/>
        </w:rPr>
      </w:pPr>
      <w:r w:rsidRPr="006314C1">
        <w:rPr>
          <w:szCs w:val="22"/>
          <w:lang w:val="ru-RU"/>
        </w:rPr>
        <w:lastRenderedPageBreak/>
        <w:t>ВСТУПЛЕНИЕ В СИЛУ ЖЕНЕВСКОГО АКТА ЛИССАБОНСКОГО СОГЛАШЕНИЯ</w:t>
      </w:r>
    </w:p>
    <w:p w14:paraId="1E6576CC" w14:textId="4AF81B11" w:rsidR="008A3279" w:rsidRPr="006314C1" w:rsidRDefault="00731C62" w:rsidP="00731C62">
      <w:pPr>
        <w:pStyle w:val="ONUME"/>
        <w:rPr>
          <w:lang w:val="ru-RU"/>
        </w:rPr>
      </w:pPr>
      <w:r w:rsidRPr="006314C1">
        <w:rPr>
          <w:lang w:val="ru-RU"/>
        </w:rPr>
        <w:t>В соответствии с решением, принятым Ассамблеей Лиссабонского союза на двадцать девятой (20-й очередной) сессии (23</w:t>
      </w:r>
      <w:r w:rsidR="00B920A3">
        <w:rPr>
          <w:lang w:val="ru-RU"/>
        </w:rPr>
        <w:t> </w:t>
      </w:r>
      <w:r w:rsidRPr="006314C1">
        <w:rPr>
          <w:lang w:val="ru-RU"/>
        </w:rPr>
        <w:t>сентября–2</w:t>
      </w:r>
      <w:r w:rsidR="00B920A3">
        <w:rPr>
          <w:lang w:val="ru-RU"/>
        </w:rPr>
        <w:t> </w:t>
      </w:r>
      <w:r w:rsidRPr="006314C1">
        <w:rPr>
          <w:lang w:val="ru-RU"/>
        </w:rPr>
        <w:t>октября 2013</w:t>
      </w:r>
      <w:r w:rsidR="00B920A3">
        <w:rPr>
          <w:lang w:val="ru-RU"/>
        </w:rPr>
        <w:t> </w:t>
      </w:r>
      <w:r w:rsidRPr="006314C1">
        <w:rPr>
          <w:lang w:val="ru-RU"/>
        </w:rPr>
        <w:t xml:space="preserve">г.) </w:t>
      </w:r>
      <w:r w:rsidR="00B920A3">
        <w:rPr>
          <w:lang w:val="ru-RU"/>
        </w:rPr>
        <w:br/>
      </w:r>
      <w:r w:rsidRPr="006314C1">
        <w:rPr>
          <w:lang w:val="ru-RU"/>
        </w:rPr>
        <w:t>(документ LI/A/29/2, пункт</w:t>
      </w:r>
      <w:r w:rsidR="00B920A3">
        <w:rPr>
          <w:lang w:val="ru-RU"/>
        </w:rPr>
        <w:t> </w:t>
      </w:r>
      <w:r w:rsidRPr="006314C1">
        <w:rPr>
          <w:lang w:val="ru-RU"/>
        </w:rPr>
        <w:t>29 (ii))</w:t>
      </w:r>
      <w:r w:rsidR="00B920A3">
        <w:rPr>
          <w:lang w:val="ru-RU"/>
        </w:rPr>
        <w:t>,</w:t>
      </w:r>
      <w:r w:rsidRPr="006314C1">
        <w:rPr>
          <w:lang w:val="ru-RU"/>
        </w:rPr>
        <w:t xml:space="preserve"> </w:t>
      </w:r>
      <w:r w:rsidR="00B920A3" w:rsidRPr="006314C1">
        <w:rPr>
          <w:lang w:val="ru-RU"/>
        </w:rPr>
        <w:t>Дипломатическая конференция для принятия нового акта Лиссабонского соглашения об охране наименований мест происхождения и их международной регистрации</w:t>
      </w:r>
      <w:r w:rsidR="00B920A3">
        <w:rPr>
          <w:lang w:val="ru-RU"/>
        </w:rPr>
        <w:t xml:space="preserve"> была организована</w:t>
      </w:r>
      <w:r w:rsidRPr="006314C1">
        <w:rPr>
          <w:lang w:val="ru-RU"/>
        </w:rPr>
        <w:t xml:space="preserve"> в штаб-квартире Всемирной организации интеллектуальной собственности (ВОИС) в Женеве </w:t>
      </w:r>
      <w:r w:rsidR="00B920A3" w:rsidRPr="006314C1">
        <w:rPr>
          <w:lang w:val="ru-RU"/>
        </w:rPr>
        <w:t>11</w:t>
      </w:r>
      <w:r w:rsidR="00B920A3">
        <w:rPr>
          <w:lang w:val="ru-RU"/>
        </w:rPr>
        <w:t> </w:t>
      </w:r>
      <w:r w:rsidR="00B920A3" w:rsidRPr="006314C1">
        <w:rPr>
          <w:lang w:val="ru-RU"/>
        </w:rPr>
        <w:t>–</w:t>
      </w:r>
      <w:r w:rsidR="00B920A3">
        <w:rPr>
          <w:lang w:val="ru-RU"/>
        </w:rPr>
        <w:t> </w:t>
      </w:r>
      <w:r w:rsidR="00B920A3" w:rsidRPr="006314C1">
        <w:rPr>
          <w:lang w:val="ru-RU"/>
        </w:rPr>
        <w:t>21 мая 2015</w:t>
      </w:r>
      <w:r w:rsidR="00B920A3">
        <w:rPr>
          <w:lang w:val="ru-RU"/>
        </w:rPr>
        <w:t> </w:t>
      </w:r>
      <w:r w:rsidR="00B920A3" w:rsidRPr="006314C1">
        <w:rPr>
          <w:lang w:val="ru-RU"/>
        </w:rPr>
        <w:t>г.</w:t>
      </w:r>
    </w:p>
    <w:p w14:paraId="3A2DF1A2" w14:textId="782A8BB2" w:rsidR="008A3279" w:rsidRPr="006314C1" w:rsidRDefault="006314C1" w:rsidP="00731C62">
      <w:pPr>
        <w:pStyle w:val="ONUME"/>
        <w:spacing w:after="240"/>
        <w:rPr>
          <w:lang w:val="ru-RU"/>
        </w:rPr>
      </w:pPr>
      <w:r w:rsidRPr="006314C1">
        <w:rPr>
          <w:lang w:val="ru-RU"/>
        </w:rPr>
        <w:t>Двадцатого м</w:t>
      </w:r>
      <w:r w:rsidR="00731C62" w:rsidRPr="006314C1">
        <w:rPr>
          <w:lang w:val="ru-RU"/>
        </w:rPr>
        <w:t>ая 2015</w:t>
      </w:r>
      <w:r w:rsidR="00151029">
        <w:rPr>
          <w:lang w:val="ru-RU"/>
        </w:rPr>
        <w:t> </w:t>
      </w:r>
      <w:r w:rsidR="00731C62" w:rsidRPr="006314C1">
        <w:rPr>
          <w:lang w:val="ru-RU"/>
        </w:rPr>
        <w:t>г. Дипломатическая конференция приняла Женевский акт Лиссабонского соглашения и Инструкцию к Женевскому акту Лиссабонского соглашения (документ</w:t>
      </w:r>
      <w:r w:rsidR="00482E5D">
        <w:rPr>
          <w:lang w:val="ru-RU"/>
        </w:rPr>
        <w:t>ы</w:t>
      </w:r>
      <w:r w:rsidR="00731C62" w:rsidRPr="006314C1">
        <w:rPr>
          <w:lang w:val="ru-RU"/>
        </w:rPr>
        <w:t xml:space="preserve"> LI/DC/19</w:t>
      </w:r>
      <w:r w:rsidR="00482E5D" w:rsidRPr="004961D3">
        <w:rPr>
          <w:lang w:val="ru-RU"/>
        </w:rPr>
        <w:t xml:space="preserve"> </w:t>
      </w:r>
      <w:r w:rsidR="00482E5D">
        <w:rPr>
          <w:lang w:val="ru-RU"/>
        </w:rPr>
        <w:t>и</w:t>
      </w:r>
      <w:r w:rsidR="00482E5D" w:rsidRPr="004961D3">
        <w:rPr>
          <w:lang w:val="ru-RU"/>
        </w:rPr>
        <w:t xml:space="preserve"> </w:t>
      </w:r>
      <w:r w:rsidR="00482E5D">
        <w:rPr>
          <w:lang w:val="fr-FR"/>
        </w:rPr>
        <w:t>LI</w:t>
      </w:r>
      <w:r w:rsidR="00482E5D" w:rsidRPr="004961D3">
        <w:rPr>
          <w:lang w:val="ru-RU"/>
        </w:rPr>
        <w:t>/</w:t>
      </w:r>
      <w:r w:rsidR="00482E5D">
        <w:rPr>
          <w:lang w:val="fr-FR"/>
        </w:rPr>
        <w:t>DC</w:t>
      </w:r>
      <w:r w:rsidR="00482E5D" w:rsidRPr="004961D3">
        <w:rPr>
          <w:lang w:val="ru-RU"/>
        </w:rPr>
        <w:t>/19</w:t>
      </w:r>
      <w:r w:rsidR="00482E5D">
        <w:rPr>
          <w:lang w:val="ru-RU"/>
        </w:rPr>
        <w:t> </w:t>
      </w:r>
      <w:r w:rsidR="00482E5D" w:rsidRPr="00482E5D">
        <w:rPr>
          <w:lang w:val="fr-FR"/>
        </w:rPr>
        <w:t>CORR</w:t>
      </w:r>
      <w:r w:rsidR="00482E5D" w:rsidRPr="004961D3">
        <w:rPr>
          <w:lang w:val="ru-RU"/>
        </w:rPr>
        <w:t>.)</w:t>
      </w:r>
      <w:r w:rsidR="00482E5D">
        <w:rPr>
          <w:lang w:val="ru-RU"/>
        </w:rPr>
        <w:t>.</w:t>
      </w:r>
    </w:p>
    <w:p w14:paraId="61801B30" w14:textId="7101BF17" w:rsidR="008A3279" w:rsidRPr="00910B04" w:rsidRDefault="00151029" w:rsidP="00731C62">
      <w:pPr>
        <w:pStyle w:val="ONUME"/>
        <w:spacing w:after="120"/>
        <w:rPr>
          <w:lang w:val="ru-RU"/>
        </w:rPr>
      </w:pPr>
      <w:r>
        <w:rPr>
          <w:lang w:val="ru-RU"/>
        </w:rPr>
        <w:t>Д</w:t>
      </w:r>
      <w:r w:rsidR="00731C62" w:rsidRPr="00910B04">
        <w:rPr>
          <w:lang w:val="ru-RU"/>
        </w:rPr>
        <w:t>окументы о ратификации или присоединении к Женевскому акту Лиссабонского соглашения сдали на хранение:</w:t>
      </w:r>
    </w:p>
    <w:p w14:paraId="3440280A" w14:textId="29D96174" w:rsidR="008A3279" w:rsidRPr="00910B04" w:rsidRDefault="00731C62" w:rsidP="00731C62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 w:rsidRPr="00910B04">
        <w:rPr>
          <w:color w:val="auto"/>
          <w:sz w:val="22"/>
          <w:szCs w:val="22"/>
          <w:lang w:val="ru-RU"/>
        </w:rPr>
        <w:t>Камбоджа – 9 марта 2018</w:t>
      </w:r>
      <w:r w:rsidR="00C65038">
        <w:rPr>
          <w:color w:val="auto"/>
          <w:sz w:val="22"/>
          <w:szCs w:val="22"/>
          <w:lang w:val="ru-RU"/>
        </w:rPr>
        <w:t> </w:t>
      </w:r>
      <w:r w:rsidRPr="00910B04">
        <w:rPr>
          <w:color w:val="auto"/>
          <w:sz w:val="22"/>
          <w:szCs w:val="22"/>
          <w:lang w:val="ru-RU"/>
        </w:rPr>
        <w:t>г.;</w:t>
      </w:r>
    </w:p>
    <w:p w14:paraId="4BC91842" w14:textId="6AA6B6AA" w:rsidR="008A3279" w:rsidRPr="00910B04" w:rsidRDefault="00C65038" w:rsidP="00731C62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ru-RU"/>
        </w:rPr>
        <w:t>Албания – 26 июня 2019 </w:t>
      </w:r>
      <w:r w:rsidR="00731C62" w:rsidRPr="00910B04">
        <w:rPr>
          <w:color w:val="auto"/>
          <w:sz w:val="22"/>
          <w:szCs w:val="22"/>
          <w:lang w:val="ru-RU"/>
        </w:rPr>
        <w:t>г.;</w:t>
      </w:r>
    </w:p>
    <w:p w14:paraId="33F8AF00" w14:textId="0B891213" w:rsidR="008A3279" w:rsidRPr="00910B04" w:rsidRDefault="00731C62" w:rsidP="00731C62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 w:rsidRPr="00910B04">
        <w:rPr>
          <w:color w:val="auto"/>
          <w:sz w:val="22"/>
          <w:szCs w:val="22"/>
          <w:lang w:val="ru-RU"/>
        </w:rPr>
        <w:t>Самоа – 2 октября 2019</w:t>
      </w:r>
      <w:r w:rsidR="00C65038">
        <w:rPr>
          <w:color w:val="auto"/>
          <w:sz w:val="22"/>
          <w:szCs w:val="22"/>
          <w:lang w:val="ru-RU"/>
        </w:rPr>
        <w:t> </w:t>
      </w:r>
      <w:r w:rsidRPr="00910B04">
        <w:rPr>
          <w:color w:val="auto"/>
          <w:sz w:val="22"/>
          <w:szCs w:val="22"/>
          <w:lang w:val="ru-RU"/>
        </w:rPr>
        <w:t>г.;</w:t>
      </w:r>
    </w:p>
    <w:p w14:paraId="4FCD026A" w14:textId="3BF6E9B1" w:rsidR="008A3279" w:rsidRPr="00910B04" w:rsidRDefault="00731C62" w:rsidP="00731C62">
      <w:pPr>
        <w:pStyle w:val="Default"/>
        <w:numPr>
          <w:ilvl w:val="0"/>
          <w:numId w:val="12"/>
        </w:numPr>
        <w:rPr>
          <w:color w:val="auto"/>
          <w:sz w:val="22"/>
          <w:szCs w:val="22"/>
          <w:lang w:val="ru-RU"/>
        </w:rPr>
      </w:pPr>
      <w:r w:rsidRPr="00910B04">
        <w:rPr>
          <w:color w:val="auto"/>
          <w:sz w:val="22"/>
          <w:szCs w:val="22"/>
          <w:lang w:val="ru-RU"/>
        </w:rPr>
        <w:t>Корейская Народно-Демократическая Республика – 8 октября 2019</w:t>
      </w:r>
      <w:r w:rsidR="00C65038">
        <w:rPr>
          <w:color w:val="auto"/>
          <w:sz w:val="22"/>
          <w:szCs w:val="22"/>
          <w:lang w:val="ru-RU"/>
        </w:rPr>
        <w:t> </w:t>
      </w:r>
      <w:r w:rsidRPr="00910B04">
        <w:rPr>
          <w:color w:val="auto"/>
          <w:sz w:val="22"/>
          <w:szCs w:val="22"/>
          <w:lang w:val="ru-RU"/>
        </w:rPr>
        <w:t>г.; и</w:t>
      </w:r>
    </w:p>
    <w:p w14:paraId="3A027912" w14:textId="7DA8C8F9" w:rsidR="008A3279" w:rsidRPr="00910B04" w:rsidRDefault="00731C62" w:rsidP="00731C62">
      <w:pPr>
        <w:pStyle w:val="Default"/>
        <w:numPr>
          <w:ilvl w:val="0"/>
          <w:numId w:val="12"/>
        </w:numPr>
        <w:spacing w:after="240"/>
        <w:rPr>
          <w:color w:val="auto"/>
          <w:sz w:val="22"/>
          <w:szCs w:val="22"/>
        </w:rPr>
      </w:pPr>
      <w:r w:rsidRPr="00910B04">
        <w:rPr>
          <w:color w:val="auto"/>
          <w:sz w:val="22"/>
          <w:szCs w:val="22"/>
          <w:lang w:val="ru-RU"/>
        </w:rPr>
        <w:t>Европейский союз – 26 ноября 2019</w:t>
      </w:r>
      <w:r w:rsidR="00C65038">
        <w:rPr>
          <w:color w:val="auto"/>
          <w:sz w:val="22"/>
          <w:szCs w:val="22"/>
          <w:lang w:val="ru-RU"/>
        </w:rPr>
        <w:t> </w:t>
      </w:r>
      <w:r w:rsidRPr="00910B04">
        <w:rPr>
          <w:color w:val="auto"/>
          <w:sz w:val="22"/>
          <w:szCs w:val="22"/>
          <w:lang w:val="ru-RU"/>
        </w:rPr>
        <w:t>г.</w:t>
      </w:r>
    </w:p>
    <w:p w14:paraId="6639679D" w14:textId="1E917A6A" w:rsidR="008A3279" w:rsidRDefault="00731C62" w:rsidP="00731C62">
      <w:pPr>
        <w:pStyle w:val="Default"/>
        <w:spacing w:after="480"/>
        <w:rPr>
          <w:color w:val="auto"/>
          <w:sz w:val="22"/>
          <w:szCs w:val="22"/>
          <w:lang w:val="ru-RU"/>
        </w:rPr>
      </w:pPr>
      <w:r w:rsidRPr="00910B04">
        <w:rPr>
          <w:color w:val="auto"/>
          <w:sz w:val="22"/>
          <w:szCs w:val="22"/>
          <w:lang w:val="ru-RU"/>
        </w:rPr>
        <w:t>Таким образом, в соответствии со статьей</w:t>
      </w:r>
      <w:r w:rsidR="00593B68">
        <w:rPr>
          <w:color w:val="auto"/>
          <w:sz w:val="22"/>
          <w:szCs w:val="22"/>
          <w:lang w:val="ru-RU"/>
        </w:rPr>
        <w:t> </w:t>
      </w:r>
      <w:r w:rsidRPr="00910B04">
        <w:rPr>
          <w:color w:val="auto"/>
          <w:sz w:val="22"/>
          <w:szCs w:val="22"/>
          <w:lang w:val="ru-RU"/>
        </w:rPr>
        <w:t>29(2) Женевского акта Лиссабонского</w:t>
      </w:r>
      <w:r w:rsidR="00593B68">
        <w:rPr>
          <w:color w:val="auto"/>
          <w:sz w:val="22"/>
          <w:szCs w:val="22"/>
          <w:lang w:val="ru-RU"/>
        </w:rPr>
        <w:t xml:space="preserve"> соглашения 26 </w:t>
      </w:r>
      <w:r w:rsidRPr="00910B04">
        <w:rPr>
          <w:color w:val="auto"/>
          <w:sz w:val="22"/>
          <w:szCs w:val="22"/>
          <w:lang w:val="ru-RU"/>
        </w:rPr>
        <w:t>февраля 2020</w:t>
      </w:r>
      <w:r w:rsidR="00593B68">
        <w:rPr>
          <w:color w:val="auto"/>
          <w:sz w:val="22"/>
          <w:szCs w:val="22"/>
          <w:lang w:val="ru-RU"/>
        </w:rPr>
        <w:t> </w:t>
      </w:r>
      <w:r w:rsidRPr="00910B04">
        <w:rPr>
          <w:color w:val="auto"/>
          <w:sz w:val="22"/>
          <w:szCs w:val="22"/>
          <w:lang w:val="ru-RU"/>
        </w:rPr>
        <w:t xml:space="preserve">г. </w:t>
      </w:r>
      <w:r w:rsidR="00593B68">
        <w:rPr>
          <w:color w:val="auto"/>
          <w:sz w:val="22"/>
          <w:szCs w:val="22"/>
          <w:lang w:val="ru-RU"/>
        </w:rPr>
        <w:t>А</w:t>
      </w:r>
      <w:r w:rsidRPr="00910B04">
        <w:rPr>
          <w:color w:val="auto"/>
          <w:sz w:val="22"/>
          <w:szCs w:val="22"/>
          <w:lang w:val="ru-RU"/>
        </w:rPr>
        <w:t>кт вступил в силу в отношении четырех указанных выше государств и одной межправительственной организации.</w:t>
      </w:r>
      <w:r w:rsidR="00BA3CF8" w:rsidRPr="00910B04">
        <w:rPr>
          <w:color w:val="auto"/>
          <w:sz w:val="22"/>
          <w:szCs w:val="22"/>
          <w:lang w:val="ru-RU"/>
        </w:rPr>
        <w:t xml:space="preserve">  </w:t>
      </w:r>
      <w:r w:rsidR="00593B68">
        <w:rPr>
          <w:color w:val="auto"/>
          <w:sz w:val="22"/>
          <w:szCs w:val="22"/>
          <w:lang w:val="ru-RU"/>
        </w:rPr>
        <w:t>Кроме того, 28 </w:t>
      </w:r>
      <w:r w:rsidRPr="00910B04">
        <w:rPr>
          <w:color w:val="auto"/>
          <w:sz w:val="22"/>
          <w:szCs w:val="22"/>
          <w:lang w:val="ru-RU"/>
        </w:rPr>
        <w:t>сентября 2018</w:t>
      </w:r>
      <w:r w:rsidR="00593B68">
        <w:rPr>
          <w:color w:val="auto"/>
          <w:sz w:val="22"/>
          <w:szCs w:val="22"/>
          <w:lang w:val="ru-RU"/>
        </w:rPr>
        <w:t> </w:t>
      </w:r>
      <w:r w:rsidRPr="00910B04">
        <w:rPr>
          <w:color w:val="auto"/>
          <w:sz w:val="22"/>
          <w:szCs w:val="22"/>
          <w:lang w:val="ru-RU"/>
        </w:rPr>
        <w:t>г. был сдан на хранение документ о присоединении</w:t>
      </w:r>
      <w:r w:rsidR="00593B68">
        <w:rPr>
          <w:color w:val="auto"/>
          <w:sz w:val="22"/>
          <w:szCs w:val="22"/>
          <w:lang w:val="ru-RU"/>
        </w:rPr>
        <w:t xml:space="preserve"> к этому документу</w:t>
      </w:r>
      <w:r w:rsidRPr="00910B04">
        <w:rPr>
          <w:color w:val="auto"/>
          <w:sz w:val="22"/>
          <w:szCs w:val="22"/>
          <w:lang w:val="ru-RU"/>
        </w:rPr>
        <w:t xml:space="preserve"> Кот-д'Ивуара.</w:t>
      </w:r>
      <w:r w:rsidR="00BA3CF8" w:rsidRPr="00910B04">
        <w:rPr>
          <w:color w:val="auto"/>
          <w:sz w:val="22"/>
          <w:szCs w:val="22"/>
          <w:lang w:val="ru-RU"/>
        </w:rPr>
        <w:t xml:space="preserve">  </w:t>
      </w:r>
      <w:r w:rsidRPr="00910B04">
        <w:rPr>
          <w:color w:val="auto"/>
          <w:sz w:val="22"/>
          <w:szCs w:val="22"/>
          <w:lang w:val="ru-RU"/>
        </w:rPr>
        <w:t>В соответствии со статьей</w:t>
      </w:r>
      <w:r w:rsidR="00593B68">
        <w:rPr>
          <w:color w:val="auto"/>
          <w:sz w:val="22"/>
          <w:szCs w:val="22"/>
          <w:lang w:val="ru-RU"/>
        </w:rPr>
        <w:t> </w:t>
      </w:r>
      <w:r w:rsidRPr="00910B04">
        <w:rPr>
          <w:color w:val="auto"/>
          <w:sz w:val="22"/>
          <w:szCs w:val="22"/>
          <w:lang w:val="ru-RU"/>
        </w:rPr>
        <w:t>28(3)(b) Акт вступит в силу для Кот-д'Ивуара спустя три месяца после сдачи на хранение Африканской организацией интеллектуальной собственности (АОИС)</w:t>
      </w:r>
      <w:r w:rsidR="00910B04" w:rsidRPr="00910B04">
        <w:rPr>
          <w:color w:val="auto"/>
          <w:sz w:val="22"/>
          <w:szCs w:val="22"/>
          <w:lang w:val="ru-RU"/>
        </w:rPr>
        <w:t xml:space="preserve"> </w:t>
      </w:r>
      <w:r w:rsidRPr="00910B04">
        <w:rPr>
          <w:color w:val="auto"/>
          <w:sz w:val="22"/>
          <w:szCs w:val="22"/>
          <w:lang w:val="ru-RU"/>
        </w:rPr>
        <w:t>документа о присоединении.</w:t>
      </w:r>
    </w:p>
    <w:p w14:paraId="78F5D910" w14:textId="5B3F85E6" w:rsidR="00593B68" w:rsidRPr="004961D3" w:rsidRDefault="00B1450B" w:rsidP="00593B68">
      <w:pPr>
        <w:pStyle w:val="ONUME"/>
        <w:spacing w:after="120"/>
        <w:rPr>
          <w:lang w:val="ru-RU"/>
        </w:rPr>
      </w:pPr>
      <w:r>
        <w:rPr>
          <w:lang w:val="ru-RU"/>
        </w:rPr>
        <w:t xml:space="preserve">Со времени вступления в силу Женевского акта Лиссабонского соглашения </w:t>
      </w:r>
      <w:r w:rsidR="00593B68" w:rsidRPr="004961D3">
        <w:rPr>
          <w:lang w:val="ru-RU"/>
        </w:rPr>
        <w:t>26</w:t>
      </w:r>
      <w:r>
        <w:rPr>
          <w:lang w:val="ru-RU"/>
        </w:rPr>
        <w:t xml:space="preserve"> февраля </w:t>
      </w:r>
      <w:r w:rsidR="00593B68" w:rsidRPr="004961D3">
        <w:rPr>
          <w:lang w:val="ru-RU"/>
        </w:rPr>
        <w:t>2020</w:t>
      </w:r>
      <w:r>
        <w:rPr>
          <w:lang w:val="ru-RU"/>
        </w:rPr>
        <w:t> г. были получены документы о ратификации или присоединении от следующих стран</w:t>
      </w:r>
      <w:r w:rsidR="00593B68" w:rsidRPr="004961D3">
        <w:rPr>
          <w:lang w:val="ru-RU"/>
        </w:rPr>
        <w:t xml:space="preserve"> (</w:t>
      </w:r>
      <w:r w:rsidR="00CD32B0">
        <w:rPr>
          <w:lang w:val="ru-RU"/>
        </w:rPr>
        <w:t xml:space="preserve">по состоянию на </w:t>
      </w:r>
      <w:r w:rsidR="00593B68" w:rsidRPr="004961D3">
        <w:rPr>
          <w:lang w:val="ru-RU"/>
        </w:rPr>
        <w:t>10</w:t>
      </w:r>
      <w:r w:rsidR="00CD32B0">
        <w:rPr>
          <w:lang w:val="ru-RU"/>
        </w:rPr>
        <w:t> июня</w:t>
      </w:r>
      <w:r w:rsidR="00593B68" w:rsidRPr="004961D3">
        <w:rPr>
          <w:lang w:val="ru-RU"/>
        </w:rPr>
        <w:t xml:space="preserve"> 2021</w:t>
      </w:r>
      <w:r w:rsidR="00CD32B0">
        <w:rPr>
          <w:lang w:val="ru-RU"/>
        </w:rPr>
        <w:t> г.</w:t>
      </w:r>
      <w:r w:rsidR="00593B68" w:rsidRPr="004961D3">
        <w:rPr>
          <w:lang w:val="ru-RU"/>
        </w:rPr>
        <w:t>):</w:t>
      </w:r>
    </w:p>
    <w:p w14:paraId="0A953FBD" w14:textId="10CEBD74" w:rsidR="00593B68" w:rsidRPr="004961D3" w:rsidRDefault="00CD32B0" w:rsidP="00593B68">
      <w:pPr>
        <w:pStyle w:val="Default"/>
        <w:numPr>
          <w:ilvl w:val="0"/>
          <w:numId w:val="12"/>
        </w:numPr>
        <w:rPr>
          <w:sz w:val="22"/>
          <w:szCs w:val="22"/>
          <w:lang w:val="ru-RU"/>
        </w:rPr>
      </w:pPr>
      <w:r w:rsidRPr="005F725D">
        <w:rPr>
          <w:sz w:val="22"/>
          <w:szCs w:val="22"/>
          <w:lang w:val="ru-RU"/>
        </w:rPr>
        <w:t>Лаосская Народно-Демократическая Республика</w:t>
      </w:r>
      <w:r>
        <w:rPr>
          <w:sz w:val="22"/>
          <w:szCs w:val="22"/>
          <w:lang w:val="ru-RU"/>
        </w:rPr>
        <w:t xml:space="preserve"> </w:t>
      </w:r>
      <w:r w:rsidRPr="00910B04">
        <w:rPr>
          <w:color w:val="auto"/>
          <w:sz w:val="22"/>
          <w:szCs w:val="22"/>
          <w:lang w:val="ru-RU"/>
        </w:rPr>
        <w:t>–</w:t>
      </w:r>
      <w:r>
        <w:rPr>
          <w:color w:val="auto"/>
          <w:sz w:val="22"/>
          <w:szCs w:val="22"/>
          <w:lang w:val="ru-RU"/>
        </w:rPr>
        <w:t xml:space="preserve"> </w:t>
      </w:r>
      <w:r w:rsidR="00593B68" w:rsidRPr="004961D3">
        <w:rPr>
          <w:sz w:val="22"/>
          <w:szCs w:val="22"/>
          <w:lang w:val="ru-RU"/>
        </w:rPr>
        <w:t>20</w:t>
      </w:r>
      <w:r>
        <w:rPr>
          <w:sz w:val="22"/>
          <w:szCs w:val="22"/>
          <w:lang w:val="ru-RU"/>
        </w:rPr>
        <w:t xml:space="preserve"> ноября</w:t>
      </w:r>
      <w:r w:rsidR="00593B68" w:rsidRPr="004961D3">
        <w:rPr>
          <w:sz w:val="22"/>
          <w:szCs w:val="22"/>
          <w:lang w:val="ru-RU"/>
        </w:rPr>
        <w:t xml:space="preserve"> 2020</w:t>
      </w:r>
      <w:r>
        <w:rPr>
          <w:sz w:val="22"/>
          <w:szCs w:val="22"/>
          <w:lang w:val="ru-RU"/>
        </w:rPr>
        <w:t> г.</w:t>
      </w:r>
      <w:r w:rsidR="00593B68" w:rsidRPr="004961D3">
        <w:rPr>
          <w:sz w:val="22"/>
          <w:szCs w:val="22"/>
          <w:lang w:val="ru-RU"/>
        </w:rPr>
        <w:t>;</w:t>
      </w:r>
    </w:p>
    <w:p w14:paraId="1ABAF221" w14:textId="3DA252D0" w:rsidR="00593B68" w:rsidRDefault="00CD32B0" w:rsidP="00593B68">
      <w:pPr>
        <w:pStyle w:val="Default"/>
        <w:numPr>
          <w:ilvl w:val="0"/>
          <w:numId w:val="12"/>
        </w:numPr>
        <w:ind w:left="994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Франция </w:t>
      </w:r>
      <w:r w:rsidRPr="00910B04">
        <w:rPr>
          <w:color w:val="auto"/>
          <w:sz w:val="22"/>
          <w:szCs w:val="22"/>
          <w:lang w:val="ru-RU"/>
        </w:rPr>
        <w:t>–</w:t>
      </w:r>
      <w:r>
        <w:rPr>
          <w:color w:val="auto"/>
          <w:sz w:val="22"/>
          <w:szCs w:val="22"/>
          <w:lang w:val="ru-RU"/>
        </w:rPr>
        <w:t xml:space="preserve"> </w:t>
      </w:r>
      <w:r w:rsidR="00593B68">
        <w:rPr>
          <w:sz w:val="22"/>
          <w:szCs w:val="22"/>
        </w:rPr>
        <w:t>21</w:t>
      </w:r>
      <w:r>
        <w:rPr>
          <w:sz w:val="22"/>
          <w:szCs w:val="22"/>
          <w:lang w:val="ru-RU"/>
        </w:rPr>
        <w:t xml:space="preserve"> января </w:t>
      </w:r>
      <w:r w:rsidR="00593B68">
        <w:rPr>
          <w:sz w:val="22"/>
          <w:szCs w:val="22"/>
        </w:rPr>
        <w:t>2021</w:t>
      </w:r>
      <w:r>
        <w:rPr>
          <w:sz w:val="22"/>
          <w:szCs w:val="22"/>
          <w:lang w:val="ru-RU"/>
        </w:rPr>
        <w:t> г.</w:t>
      </w:r>
      <w:r w:rsidR="00593B68">
        <w:rPr>
          <w:sz w:val="22"/>
          <w:szCs w:val="22"/>
        </w:rPr>
        <w:t>;</w:t>
      </w:r>
    </w:p>
    <w:p w14:paraId="10E7A5DF" w14:textId="2C7D7ECE" w:rsidR="00593B68" w:rsidRDefault="00861604" w:rsidP="00593B68">
      <w:pPr>
        <w:pStyle w:val="Default"/>
        <w:numPr>
          <w:ilvl w:val="0"/>
          <w:numId w:val="12"/>
        </w:numPr>
        <w:ind w:left="994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Оман </w:t>
      </w:r>
      <w:r w:rsidRPr="00910B04">
        <w:rPr>
          <w:color w:val="auto"/>
          <w:sz w:val="22"/>
          <w:szCs w:val="22"/>
          <w:lang w:val="ru-RU"/>
        </w:rPr>
        <w:t>–</w:t>
      </w:r>
      <w:r>
        <w:rPr>
          <w:color w:val="auto"/>
          <w:sz w:val="22"/>
          <w:szCs w:val="22"/>
          <w:lang w:val="ru-RU"/>
        </w:rPr>
        <w:t xml:space="preserve"> </w:t>
      </w:r>
      <w:r w:rsidR="00593B68">
        <w:rPr>
          <w:sz w:val="22"/>
          <w:szCs w:val="22"/>
        </w:rPr>
        <w:t>30</w:t>
      </w:r>
      <w:r>
        <w:rPr>
          <w:sz w:val="22"/>
          <w:szCs w:val="22"/>
          <w:lang w:val="ru-RU"/>
        </w:rPr>
        <w:t xml:space="preserve"> марта</w:t>
      </w:r>
      <w:r w:rsidR="00593B68">
        <w:rPr>
          <w:sz w:val="22"/>
          <w:szCs w:val="22"/>
        </w:rPr>
        <w:t xml:space="preserve"> 2021</w:t>
      </w:r>
      <w:r>
        <w:rPr>
          <w:sz w:val="22"/>
          <w:szCs w:val="22"/>
          <w:lang w:val="ru-RU"/>
        </w:rPr>
        <w:t> г.</w:t>
      </w:r>
      <w:r w:rsidR="00593B68">
        <w:rPr>
          <w:sz w:val="22"/>
          <w:szCs w:val="22"/>
        </w:rPr>
        <w:t xml:space="preserve">;  </w:t>
      </w:r>
      <w:r>
        <w:rPr>
          <w:sz w:val="22"/>
          <w:szCs w:val="22"/>
          <w:lang w:val="ru-RU"/>
        </w:rPr>
        <w:t>и</w:t>
      </w:r>
    </w:p>
    <w:p w14:paraId="21D3133C" w14:textId="2EF875BB" w:rsidR="00593B68" w:rsidRPr="002E00BF" w:rsidRDefault="00861604" w:rsidP="00593B68">
      <w:pPr>
        <w:pStyle w:val="Default"/>
        <w:numPr>
          <w:ilvl w:val="0"/>
          <w:numId w:val="12"/>
        </w:numPr>
        <w:spacing w:after="480"/>
        <w:ind w:left="994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Венгрия </w:t>
      </w:r>
      <w:r w:rsidRPr="00910B04">
        <w:rPr>
          <w:color w:val="auto"/>
          <w:sz w:val="22"/>
          <w:szCs w:val="22"/>
          <w:lang w:val="ru-RU"/>
        </w:rPr>
        <w:t>–</w:t>
      </w:r>
      <w:r w:rsidR="00593B68">
        <w:rPr>
          <w:sz w:val="22"/>
          <w:szCs w:val="22"/>
        </w:rPr>
        <w:t xml:space="preserve"> 10</w:t>
      </w:r>
      <w:r>
        <w:rPr>
          <w:sz w:val="22"/>
          <w:szCs w:val="22"/>
          <w:lang w:val="ru-RU"/>
        </w:rPr>
        <w:t xml:space="preserve"> июня</w:t>
      </w:r>
      <w:r w:rsidR="00593B68">
        <w:rPr>
          <w:sz w:val="22"/>
          <w:szCs w:val="22"/>
        </w:rPr>
        <w:t xml:space="preserve"> 2021</w:t>
      </w:r>
      <w:r>
        <w:rPr>
          <w:sz w:val="22"/>
          <w:szCs w:val="22"/>
          <w:lang w:val="ru-RU"/>
        </w:rPr>
        <w:t> г.</w:t>
      </w:r>
    </w:p>
    <w:p w14:paraId="5D5D040B" w14:textId="77777777" w:rsidR="008A3279" w:rsidRPr="00910B04" w:rsidRDefault="00731C62" w:rsidP="00731C62">
      <w:pPr>
        <w:pStyle w:val="Default"/>
        <w:spacing w:after="240"/>
        <w:rPr>
          <w:color w:val="auto"/>
          <w:sz w:val="22"/>
          <w:szCs w:val="22"/>
        </w:rPr>
      </w:pPr>
      <w:r w:rsidRPr="00910B04">
        <w:rPr>
          <w:color w:val="auto"/>
          <w:sz w:val="22"/>
          <w:szCs w:val="22"/>
          <w:lang w:val="ru-RU"/>
        </w:rPr>
        <w:t>НОРМАТИВНО-ПРАВОВАЯ БАЗА ЛИССАБОНСКОЙ СИСТЕМЫ</w:t>
      </w:r>
    </w:p>
    <w:p w14:paraId="0CA8E605" w14:textId="76B353A3" w:rsidR="008A3279" w:rsidRPr="00C50BC7" w:rsidRDefault="00731C62" w:rsidP="00731C62">
      <w:pPr>
        <w:pStyle w:val="ONUME"/>
        <w:spacing w:after="240"/>
        <w:rPr>
          <w:lang w:val="ru-RU"/>
        </w:rPr>
      </w:pPr>
      <w:r w:rsidRPr="00C50BC7">
        <w:rPr>
          <w:lang w:val="ru-RU"/>
        </w:rPr>
        <w:t>На своей тридцать второй (21-й очередной) сессии, состоявшейся 5–14</w:t>
      </w:r>
      <w:r w:rsidR="00F37B48">
        <w:rPr>
          <w:lang w:val="ru-RU"/>
        </w:rPr>
        <w:t> </w:t>
      </w:r>
      <w:r w:rsidRPr="00C50BC7">
        <w:rPr>
          <w:lang w:val="ru-RU"/>
        </w:rPr>
        <w:t>октября 2015</w:t>
      </w:r>
      <w:r w:rsidR="00F37B48">
        <w:rPr>
          <w:lang w:val="ru-RU"/>
        </w:rPr>
        <w:t> </w:t>
      </w:r>
      <w:r w:rsidRPr="00C50BC7">
        <w:rPr>
          <w:lang w:val="ru-RU"/>
        </w:rPr>
        <w:t>г. в Женеве, Ассамблея Лиссабонского союза учредила Рабочую группу по подготовке Общей инструкции к Лиссабонскому соглашению и Женевскому акту Лиссабонского соглашения (далее – Рабочая группа).</w:t>
      </w:r>
      <w:r w:rsidR="00BA3CF8" w:rsidRPr="00C50BC7">
        <w:rPr>
          <w:lang w:val="ru-RU"/>
        </w:rPr>
        <w:t xml:space="preserve">  </w:t>
      </w:r>
      <w:r w:rsidRPr="00C50BC7">
        <w:rPr>
          <w:lang w:val="ru-RU"/>
        </w:rPr>
        <w:t>Рабочая группа провела две сессии в Женеве: первую – 7–9 июня 2016</w:t>
      </w:r>
      <w:r w:rsidR="0029226D">
        <w:rPr>
          <w:lang w:val="ru-RU"/>
        </w:rPr>
        <w:t> </w:t>
      </w:r>
      <w:r w:rsidRPr="00C50BC7">
        <w:rPr>
          <w:lang w:val="ru-RU"/>
        </w:rPr>
        <w:t>г.</w:t>
      </w:r>
      <w:r w:rsidR="0029226D">
        <w:rPr>
          <w:lang w:val="ru-RU"/>
        </w:rPr>
        <w:t>, вторую – 3–5 апреля 2017 </w:t>
      </w:r>
      <w:r w:rsidRPr="00C50BC7">
        <w:rPr>
          <w:lang w:val="ru-RU"/>
        </w:rPr>
        <w:t>г.</w:t>
      </w:r>
    </w:p>
    <w:p w14:paraId="2C07BCF1" w14:textId="11E939D4" w:rsidR="008A3279" w:rsidRPr="004F3A21" w:rsidRDefault="00731C62" w:rsidP="004F3A21">
      <w:pPr>
        <w:pStyle w:val="ONUME"/>
        <w:spacing w:after="240"/>
        <w:rPr>
          <w:lang w:val="ru-RU"/>
        </w:rPr>
      </w:pPr>
      <w:r w:rsidRPr="00C50BC7">
        <w:rPr>
          <w:szCs w:val="22"/>
          <w:lang w:val="ru-RU"/>
        </w:rPr>
        <w:t xml:space="preserve">На </w:t>
      </w:r>
      <w:r w:rsidR="000930D8">
        <w:rPr>
          <w:szCs w:val="22"/>
          <w:lang w:val="ru-RU"/>
        </w:rPr>
        <w:t>обеих</w:t>
      </w:r>
      <w:r w:rsidR="00905B05">
        <w:rPr>
          <w:szCs w:val="22"/>
          <w:lang w:val="ru-RU"/>
        </w:rPr>
        <w:t xml:space="preserve"> </w:t>
      </w:r>
      <w:r w:rsidRPr="00C50BC7">
        <w:rPr>
          <w:szCs w:val="22"/>
          <w:lang w:val="ru-RU"/>
        </w:rPr>
        <w:t>сессиях Рабочая группа рассм</w:t>
      </w:r>
      <w:r w:rsidR="000930D8">
        <w:rPr>
          <w:szCs w:val="22"/>
          <w:lang w:val="ru-RU"/>
        </w:rPr>
        <w:t xml:space="preserve">атривала </w:t>
      </w:r>
      <w:r w:rsidRPr="00C50BC7">
        <w:rPr>
          <w:szCs w:val="22"/>
          <w:lang w:val="ru-RU"/>
        </w:rPr>
        <w:t>проект Общей инструкции к Лиссабонскому соглашению об охране наименований мест происхождения и их международной регистрации и Женевскому акту Лиссабонского соглашения о наименованиях мест происхождения и географических указаниях (далее – Общая инструкция) (документы LI/WG/PCR/1/2 и LI/WG/PCR/2/2).</w:t>
      </w:r>
      <w:r w:rsidR="00BA3CF8" w:rsidRPr="00C50BC7">
        <w:rPr>
          <w:szCs w:val="22"/>
          <w:lang w:val="ru-RU"/>
        </w:rPr>
        <w:t xml:space="preserve">  </w:t>
      </w:r>
      <w:r w:rsidR="004F3A21">
        <w:rPr>
          <w:szCs w:val="22"/>
          <w:lang w:val="ru-RU"/>
        </w:rPr>
        <w:t xml:space="preserve">На </w:t>
      </w:r>
      <w:r w:rsidRPr="00C50BC7">
        <w:rPr>
          <w:szCs w:val="22"/>
          <w:lang w:val="ru-RU"/>
        </w:rPr>
        <w:t xml:space="preserve">второй сессии Рабочая группа </w:t>
      </w:r>
      <w:r w:rsidR="004F3A21">
        <w:rPr>
          <w:szCs w:val="22"/>
          <w:lang w:val="ru-RU"/>
        </w:rPr>
        <w:t xml:space="preserve">также рассмотрела </w:t>
      </w:r>
      <w:r w:rsidRPr="00C50BC7">
        <w:rPr>
          <w:szCs w:val="22"/>
          <w:lang w:val="ru-RU"/>
        </w:rPr>
        <w:t xml:space="preserve">проект Административной инструкции по применению Лиссабонского соглашения об охране наименований мест происхождения и их </w:t>
      </w:r>
      <w:r w:rsidRPr="00C50BC7">
        <w:rPr>
          <w:szCs w:val="22"/>
          <w:lang w:val="ru-RU"/>
        </w:rPr>
        <w:lastRenderedPageBreak/>
        <w:t xml:space="preserve">международной регистрации и Женевского акта Лиссабонского соглашения о наименованиях мест происхождения и </w:t>
      </w:r>
      <w:r w:rsidR="004F3A21">
        <w:rPr>
          <w:szCs w:val="22"/>
          <w:lang w:val="ru-RU"/>
        </w:rPr>
        <w:t>географических указаниях (далее </w:t>
      </w:r>
      <w:r w:rsidRPr="00C50BC7">
        <w:rPr>
          <w:szCs w:val="22"/>
          <w:lang w:val="ru-RU"/>
        </w:rPr>
        <w:t>– Административная инструкция) (документ LI/WG/PCR/2/4).</w:t>
      </w:r>
    </w:p>
    <w:p w14:paraId="4B882F58" w14:textId="3CC3048F" w:rsidR="008A3279" w:rsidRPr="00C50BC7" w:rsidRDefault="00530FC8" w:rsidP="00530FC8">
      <w:pPr>
        <w:pStyle w:val="ONUME"/>
        <w:spacing w:after="240"/>
        <w:rPr>
          <w:szCs w:val="22"/>
          <w:lang w:val="ru-RU"/>
        </w:rPr>
      </w:pPr>
      <w:r w:rsidRPr="00C50BC7">
        <w:rPr>
          <w:szCs w:val="22"/>
          <w:lang w:val="ru-RU"/>
        </w:rPr>
        <w:t>Цель проекта Общей инструкции состоит в упорядочении нормативно-правовой базы Лиссабонской системы в интересах компетентных органов участников Лисс</w:t>
      </w:r>
      <w:r w:rsidR="00530860">
        <w:rPr>
          <w:szCs w:val="22"/>
          <w:lang w:val="ru-RU"/>
        </w:rPr>
        <w:t>абонского союза, пользователей С</w:t>
      </w:r>
      <w:r w:rsidRPr="00C50BC7">
        <w:rPr>
          <w:szCs w:val="22"/>
          <w:lang w:val="ru-RU"/>
        </w:rPr>
        <w:t>истемы и Международного бюро путем замены двух инструкций к Лиссабонскому соглашению об охране наименований мест происхождения и их международной регистрации (далее – Акт 1967</w:t>
      </w:r>
      <w:r w:rsidR="00B97038">
        <w:rPr>
          <w:szCs w:val="22"/>
          <w:lang w:val="ru-RU"/>
        </w:rPr>
        <w:t> </w:t>
      </w:r>
      <w:r w:rsidRPr="00C50BC7">
        <w:rPr>
          <w:szCs w:val="22"/>
          <w:lang w:val="ru-RU"/>
        </w:rPr>
        <w:t>г.) и Женевскому акту Лиссабонского соглашения одн</w:t>
      </w:r>
      <w:r w:rsidR="00B97038">
        <w:rPr>
          <w:szCs w:val="22"/>
          <w:lang w:val="ru-RU"/>
        </w:rPr>
        <w:t>им аналогичным документом</w:t>
      </w:r>
      <w:r w:rsidRPr="00C50BC7">
        <w:rPr>
          <w:szCs w:val="22"/>
          <w:lang w:val="ru-RU"/>
        </w:rPr>
        <w:t>, регулирующ</w:t>
      </w:r>
      <w:r w:rsidR="00B97038">
        <w:rPr>
          <w:szCs w:val="22"/>
          <w:lang w:val="ru-RU"/>
        </w:rPr>
        <w:t>им</w:t>
      </w:r>
      <w:r w:rsidRPr="00C50BC7">
        <w:rPr>
          <w:szCs w:val="22"/>
          <w:lang w:val="ru-RU"/>
        </w:rPr>
        <w:t xml:space="preserve"> выдачу международных регистраций в соответствии с Актом 1967</w:t>
      </w:r>
      <w:r w:rsidR="00B97038">
        <w:rPr>
          <w:szCs w:val="22"/>
          <w:lang w:val="ru-RU"/>
        </w:rPr>
        <w:t> </w:t>
      </w:r>
      <w:r w:rsidRPr="00C50BC7">
        <w:rPr>
          <w:szCs w:val="22"/>
          <w:lang w:val="ru-RU"/>
        </w:rPr>
        <w:t>г.</w:t>
      </w:r>
      <w:r w:rsidR="00B97038">
        <w:rPr>
          <w:szCs w:val="22"/>
          <w:lang w:val="ru-RU"/>
        </w:rPr>
        <w:t xml:space="preserve"> и </w:t>
      </w:r>
      <w:r w:rsidRPr="00C50BC7">
        <w:rPr>
          <w:szCs w:val="22"/>
          <w:lang w:val="ru-RU"/>
        </w:rPr>
        <w:t>Женевским актом Лиссабонского соглашения.</w:t>
      </w:r>
    </w:p>
    <w:p w14:paraId="3DEF9C55" w14:textId="1E358884" w:rsidR="008A3279" w:rsidRPr="00C50BC7" w:rsidRDefault="00530FC8" w:rsidP="00530FC8">
      <w:pPr>
        <w:pStyle w:val="ONUME"/>
        <w:spacing w:after="240"/>
        <w:rPr>
          <w:lang w:val="ru-RU"/>
        </w:rPr>
      </w:pPr>
      <w:r w:rsidRPr="00C50BC7">
        <w:rPr>
          <w:lang w:val="ru-RU"/>
        </w:rPr>
        <w:t>На своей тридцать четвертой (22-й очередной) сессии, состоявшейся 2</w:t>
      </w:r>
      <w:r w:rsidR="004B4FA3" w:rsidRPr="00C50BC7">
        <w:rPr>
          <w:szCs w:val="22"/>
          <w:lang w:val="ru-RU"/>
        </w:rPr>
        <w:t>–</w:t>
      </w:r>
      <w:r w:rsidRPr="00C50BC7">
        <w:rPr>
          <w:lang w:val="ru-RU"/>
        </w:rPr>
        <w:t>11 октября 2017</w:t>
      </w:r>
      <w:r w:rsidR="004B4FA3">
        <w:rPr>
          <w:lang w:val="ru-RU"/>
        </w:rPr>
        <w:t> </w:t>
      </w:r>
      <w:r w:rsidRPr="00C50BC7">
        <w:rPr>
          <w:lang w:val="ru-RU"/>
        </w:rPr>
        <w:t xml:space="preserve">г. в Женеве, Ассамблея Лиссабонского союза приняла Общую инструкцию </w:t>
      </w:r>
      <w:r w:rsidR="00A34FF7">
        <w:rPr>
          <w:lang w:val="ru-RU"/>
        </w:rPr>
        <w:br/>
      </w:r>
      <w:r w:rsidRPr="00C50BC7">
        <w:rPr>
          <w:lang w:val="ru-RU"/>
        </w:rPr>
        <w:t>(докум</w:t>
      </w:r>
      <w:r w:rsidR="00A34FF7">
        <w:rPr>
          <w:lang w:val="ru-RU"/>
        </w:rPr>
        <w:t>ент LI/A/23/4, пункт </w:t>
      </w:r>
      <w:r w:rsidRPr="00C50BC7">
        <w:rPr>
          <w:lang w:val="ru-RU"/>
        </w:rPr>
        <w:t>24(i)</w:t>
      </w:r>
      <w:r w:rsidR="00A34FF7">
        <w:rPr>
          <w:lang w:val="ru-RU"/>
        </w:rPr>
        <w:t>,</w:t>
      </w:r>
      <w:r w:rsidRPr="00C50BC7">
        <w:rPr>
          <w:lang w:val="ru-RU"/>
        </w:rPr>
        <w:t xml:space="preserve"> и приложение к документу LI/A/34/4).</w:t>
      </w:r>
      <w:r w:rsidR="00BA3CF8" w:rsidRPr="00C50BC7">
        <w:rPr>
          <w:lang w:val="ru-RU"/>
        </w:rPr>
        <w:t xml:space="preserve">  </w:t>
      </w:r>
      <w:r w:rsidRPr="00C50BC7">
        <w:rPr>
          <w:lang w:val="ru-RU"/>
        </w:rPr>
        <w:t>В этой связи Ассамблея также постановила, что Общая инструкция вступит в силу одновременно с Женевск</w:t>
      </w:r>
      <w:r w:rsidR="00A34FF7">
        <w:rPr>
          <w:lang w:val="ru-RU"/>
        </w:rPr>
        <w:t>им</w:t>
      </w:r>
      <w:r w:rsidRPr="00C50BC7">
        <w:rPr>
          <w:lang w:val="ru-RU"/>
        </w:rPr>
        <w:t xml:space="preserve"> акт</w:t>
      </w:r>
      <w:r w:rsidR="00A34FF7">
        <w:rPr>
          <w:lang w:val="ru-RU"/>
        </w:rPr>
        <w:t>ом</w:t>
      </w:r>
      <w:r w:rsidRPr="00C50BC7">
        <w:rPr>
          <w:lang w:val="ru-RU"/>
        </w:rPr>
        <w:t xml:space="preserve"> Лиссабонского согла</w:t>
      </w:r>
      <w:r w:rsidR="00A34FF7">
        <w:rPr>
          <w:lang w:val="ru-RU"/>
        </w:rPr>
        <w:t>шения (документ LI/A/34/4 пункт </w:t>
      </w:r>
      <w:r w:rsidRPr="00C50BC7">
        <w:rPr>
          <w:lang w:val="ru-RU"/>
        </w:rPr>
        <w:t>24(ii)).</w:t>
      </w:r>
    </w:p>
    <w:p w14:paraId="2D725177" w14:textId="15A365E2" w:rsidR="008A3279" w:rsidRPr="008A3279" w:rsidRDefault="008A3279" w:rsidP="008A3279">
      <w:pPr>
        <w:pStyle w:val="ONUME"/>
        <w:rPr>
          <w:szCs w:val="22"/>
          <w:lang w:val="ru-RU"/>
        </w:rPr>
      </w:pPr>
      <w:r w:rsidRPr="008A3279">
        <w:rPr>
          <w:szCs w:val="22"/>
          <w:lang w:val="ru-RU"/>
        </w:rPr>
        <w:t>В перечень пошлин и сборов, содержащийся в Общей инструкции, по решению Ассамблеи Лис</w:t>
      </w:r>
      <w:r w:rsidR="00A43B3D">
        <w:rPr>
          <w:szCs w:val="22"/>
          <w:lang w:val="ru-RU"/>
        </w:rPr>
        <w:t xml:space="preserve">сабонского союза, принятому на </w:t>
      </w:r>
      <w:r w:rsidRPr="008A3279">
        <w:rPr>
          <w:szCs w:val="22"/>
          <w:lang w:val="ru-RU"/>
        </w:rPr>
        <w:t>тридцать пятой (13-й внеочередной) сессии, состояв</w:t>
      </w:r>
      <w:r w:rsidR="00A43B3D">
        <w:rPr>
          <w:szCs w:val="22"/>
          <w:lang w:val="ru-RU"/>
        </w:rPr>
        <w:t>шейся в Женеве 24 сентября</w:t>
      </w:r>
      <w:r>
        <w:rPr>
          <w:szCs w:val="22"/>
          <w:lang w:val="ru-RU"/>
        </w:rPr>
        <w:t>–2</w:t>
      </w:r>
      <w:r w:rsidR="00A43B3D">
        <w:rPr>
          <w:szCs w:val="22"/>
          <w:lang w:val="ru-RU"/>
        </w:rPr>
        <w:t> </w:t>
      </w:r>
      <w:r>
        <w:rPr>
          <w:szCs w:val="22"/>
          <w:lang w:val="ru-RU"/>
        </w:rPr>
        <w:t>о</w:t>
      </w:r>
      <w:r w:rsidR="00A43B3D">
        <w:rPr>
          <w:szCs w:val="22"/>
          <w:lang w:val="ru-RU"/>
        </w:rPr>
        <w:t>ктября 2018 </w:t>
      </w:r>
      <w:r w:rsidRPr="008A3279">
        <w:rPr>
          <w:szCs w:val="22"/>
          <w:lang w:val="ru-RU"/>
        </w:rPr>
        <w:t>г., были внесены дополнительные поправки в целях снижения пошлин в соответствии со статьей</w:t>
      </w:r>
      <w:r w:rsidR="004F2D38">
        <w:rPr>
          <w:szCs w:val="22"/>
          <w:lang w:val="ru-RU"/>
        </w:rPr>
        <w:t> </w:t>
      </w:r>
      <w:r w:rsidRPr="008A3279">
        <w:rPr>
          <w:szCs w:val="22"/>
          <w:lang w:val="ru-RU"/>
        </w:rPr>
        <w:t>7(3) Женевского акт</w:t>
      </w:r>
      <w:r>
        <w:rPr>
          <w:szCs w:val="22"/>
          <w:lang w:val="ru-RU"/>
        </w:rPr>
        <w:t>а Лиссабонского соглашения (</w:t>
      </w:r>
      <w:r w:rsidRPr="008A3279">
        <w:rPr>
          <w:szCs w:val="22"/>
          <w:lang w:val="ru-RU"/>
        </w:rPr>
        <w:t xml:space="preserve">документ </w:t>
      </w:r>
      <w:r w:rsidRPr="008A3279">
        <w:rPr>
          <w:szCs w:val="22"/>
        </w:rPr>
        <w:t>LI</w:t>
      </w:r>
      <w:r w:rsidRPr="008A3279">
        <w:rPr>
          <w:szCs w:val="22"/>
          <w:lang w:val="ru-RU"/>
        </w:rPr>
        <w:t>/</w:t>
      </w:r>
      <w:r w:rsidRPr="008A3279">
        <w:rPr>
          <w:szCs w:val="22"/>
        </w:rPr>
        <w:t>A</w:t>
      </w:r>
      <w:r w:rsidR="004F2D38">
        <w:rPr>
          <w:szCs w:val="22"/>
          <w:lang w:val="ru-RU"/>
        </w:rPr>
        <w:t>/35/3, пункт 23, и приложение к нему).</w:t>
      </w:r>
    </w:p>
    <w:p w14:paraId="5B650B70" w14:textId="0596DF86" w:rsidR="008A3279" w:rsidRPr="00AF7992" w:rsidRDefault="003176B0" w:rsidP="00AF7992">
      <w:pPr>
        <w:pStyle w:val="ONUME"/>
        <w:rPr>
          <w:szCs w:val="22"/>
          <w:lang w:val="ru-RU"/>
        </w:rPr>
      </w:pPr>
      <w:r>
        <w:rPr>
          <w:lang w:val="ru-RU"/>
        </w:rPr>
        <w:t xml:space="preserve">Двадцать шестого </w:t>
      </w:r>
      <w:r w:rsidR="00DC6BD5" w:rsidRPr="00C50BC7">
        <w:rPr>
          <w:lang w:val="ru-RU"/>
        </w:rPr>
        <w:t>февраля 2020</w:t>
      </w:r>
      <w:r>
        <w:rPr>
          <w:lang w:val="ru-RU"/>
        </w:rPr>
        <w:t> </w:t>
      </w:r>
      <w:r w:rsidR="00DC6BD5" w:rsidRPr="00C50BC7">
        <w:rPr>
          <w:lang w:val="ru-RU"/>
        </w:rPr>
        <w:t xml:space="preserve">г. вступила в силу пересмотренная редакция Административной инструкции, призванная дополнить набор правовых положений, регулирующих функционирование Лиссабонской системы после вступления в силу </w:t>
      </w:r>
      <w:r w:rsidR="00DC6BD5" w:rsidRPr="00AF7992">
        <w:rPr>
          <w:szCs w:val="22"/>
          <w:lang w:val="ru-RU"/>
        </w:rPr>
        <w:t>Женевского акта Лиссабонского соглашения.</w:t>
      </w:r>
    </w:p>
    <w:p w14:paraId="0809D4C0" w14:textId="489BA673" w:rsidR="00DB781E" w:rsidRPr="00C50BC7" w:rsidRDefault="002B2772" w:rsidP="00AF7992">
      <w:pPr>
        <w:pStyle w:val="ONUME"/>
        <w:spacing w:after="480"/>
        <w:rPr>
          <w:lang w:val="ru-RU"/>
        </w:rPr>
      </w:pPr>
      <w:r>
        <w:rPr>
          <w:szCs w:val="22"/>
          <w:lang w:val="ru-RU"/>
        </w:rPr>
        <w:t>На третьей сессии Р</w:t>
      </w:r>
      <w:r w:rsidRPr="00FD3788">
        <w:rPr>
          <w:szCs w:val="22"/>
          <w:lang w:val="ru-RU"/>
        </w:rPr>
        <w:t xml:space="preserve">абочей группы, состоявшейся </w:t>
      </w:r>
      <w:r w:rsidR="00DB781E" w:rsidRPr="00FD3788">
        <w:rPr>
          <w:szCs w:val="22"/>
          <w:lang w:val="ru-RU"/>
        </w:rPr>
        <w:t>2</w:t>
      </w:r>
      <w:r w:rsidRPr="00FD3788">
        <w:rPr>
          <w:szCs w:val="22"/>
          <w:lang w:val="ru-RU"/>
        </w:rPr>
        <w:t> и </w:t>
      </w:r>
      <w:r w:rsidR="00DB781E" w:rsidRPr="00FD3788">
        <w:rPr>
          <w:szCs w:val="22"/>
          <w:lang w:val="ru-RU"/>
        </w:rPr>
        <w:t>3</w:t>
      </w:r>
      <w:r w:rsidRPr="00FD3788">
        <w:rPr>
          <w:szCs w:val="22"/>
          <w:lang w:val="ru-RU"/>
        </w:rPr>
        <w:t xml:space="preserve"> ноября</w:t>
      </w:r>
      <w:r w:rsidR="00DB781E" w:rsidRPr="00FD3788">
        <w:rPr>
          <w:szCs w:val="22"/>
          <w:lang w:val="ru-RU"/>
        </w:rPr>
        <w:t xml:space="preserve"> 2020</w:t>
      </w:r>
      <w:r w:rsidRPr="00FD3788">
        <w:rPr>
          <w:szCs w:val="22"/>
          <w:lang w:val="ru-RU"/>
        </w:rPr>
        <w:t> г., участники этого органа рекомендовали Ассамблее Лиссабонского союза принять поправки к Общей инструкции к Лиссабонскому соглашению об охране наименований мест происхождения и их международной регистрации и Женевскому акту Лиссабонского соглашения о наименованиях мест происхождения и географических указаниях, заключающиеся в добавлении нового правила 2bis («Допущение несоблюдения сроков»), в том виде, в каком оно изложено в приложении к документу LI/A/38/2, с тем чтобы эти поправки вступили в силу через два месяца после их принятия Ассамблей Лиссабонского союза</w:t>
      </w:r>
      <w:r w:rsidR="00FD3788" w:rsidRPr="00FD3788">
        <w:rPr>
          <w:szCs w:val="22"/>
          <w:lang w:val="ru-RU"/>
        </w:rPr>
        <w:t xml:space="preserve"> на тридцать восьмой сессии.</w:t>
      </w:r>
    </w:p>
    <w:p w14:paraId="6A9C52C4" w14:textId="77777777" w:rsidR="008A3279" w:rsidRPr="00C50BC7" w:rsidRDefault="00DC6BD5" w:rsidP="00AF7992">
      <w:pPr>
        <w:pStyle w:val="ONUME"/>
        <w:numPr>
          <w:ilvl w:val="0"/>
          <w:numId w:val="0"/>
        </w:numPr>
        <w:spacing w:after="240"/>
      </w:pPr>
      <w:r w:rsidRPr="00C50BC7">
        <w:rPr>
          <w:lang w:val="ru-RU"/>
        </w:rPr>
        <w:t>ФИНАНСОВАЯ УСТОЙЧИВОСТЬ</w:t>
      </w:r>
    </w:p>
    <w:p w14:paraId="0C0CED0C" w14:textId="716D8D46" w:rsidR="008A3279" w:rsidRPr="00C50BC7" w:rsidRDefault="00DC6BD5" w:rsidP="00AF7992">
      <w:pPr>
        <w:pStyle w:val="ONUME"/>
        <w:spacing w:after="240"/>
        <w:rPr>
          <w:lang w:val="ru-RU"/>
        </w:rPr>
      </w:pPr>
      <w:r w:rsidRPr="00C50BC7">
        <w:rPr>
          <w:lang w:val="ru-RU"/>
        </w:rPr>
        <w:t>В связи с обсуждением вопроса о финансовой устойчивости Лиссабонского союза Ассамблее Лиссабонского союза предлагается принять к сведению итоги пятьдесят девятой серии заседаний (30</w:t>
      </w:r>
      <w:r w:rsidR="00D973DA">
        <w:rPr>
          <w:lang w:val="ru-RU"/>
        </w:rPr>
        <w:t> </w:t>
      </w:r>
      <w:r w:rsidRPr="00C50BC7">
        <w:rPr>
          <w:lang w:val="ru-RU"/>
        </w:rPr>
        <w:t>сентября–9</w:t>
      </w:r>
      <w:r w:rsidR="00D973DA">
        <w:rPr>
          <w:lang w:val="ru-RU"/>
        </w:rPr>
        <w:t> </w:t>
      </w:r>
      <w:r w:rsidRPr="00C50BC7">
        <w:rPr>
          <w:lang w:val="ru-RU"/>
        </w:rPr>
        <w:t>октября 2019</w:t>
      </w:r>
      <w:r w:rsidR="00D973DA">
        <w:rPr>
          <w:lang w:val="ru-RU"/>
        </w:rPr>
        <w:t> </w:t>
      </w:r>
      <w:r w:rsidRPr="00C50BC7">
        <w:rPr>
          <w:lang w:val="ru-RU"/>
        </w:rPr>
        <w:t>г.) Ассамблей государств</w:t>
      </w:r>
      <w:r w:rsidR="00D973DA">
        <w:rPr>
          <w:lang w:val="ru-RU"/>
        </w:rPr>
        <w:t> </w:t>
      </w:r>
      <w:r w:rsidRPr="00C50BC7">
        <w:rPr>
          <w:lang w:val="ru-RU"/>
        </w:rPr>
        <w:t>–</w:t>
      </w:r>
      <w:r w:rsidR="00D973DA">
        <w:rPr>
          <w:lang w:val="ru-RU"/>
        </w:rPr>
        <w:t> </w:t>
      </w:r>
      <w:r w:rsidR="002A4EAD">
        <w:rPr>
          <w:lang w:val="ru-RU"/>
        </w:rPr>
        <w:t>членов ВОИС и с</w:t>
      </w:r>
      <w:r w:rsidRPr="00C50BC7">
        <w:rPr>
          <w:lang w:val="ru-RU"/>
        </w:rPr>
        <w:t>оюзов</w:t>
      </w:r>
      <w:r w:rsidR="00D973DA">
        <w:rPr>
          <w:lang w:val="ru-RU"/>
        </w:rPr>
        <w:t xml:space="preserve"> и</w:t>
      </w:r>
      <w:r w:rsidRPr="00C50BC7">
        <w:rPr>
          <w:lang w:val="ru-RU"/>
        </w:rPr>
        <w:t xml:space="preserve"> принятое ими решение относительно предлагаемых Программы и бюджета на двухлетний период 2020–2021</w:t>
      </w:r>
      <w:r w:rsidR="00EB1351">
        <w:rPr>
          <w:lang w:val="ru-RU"/>
        </w:rPr>
        <w:t> </w:t>
      </w:r>
      <w:r w:rsidRPr="00C50BC7">
        <w:rPr>
          <w:lang w:val="ru-RU"/>
        </w:rPr>
        <w:t>гг.:</w:t>
      </w:r>
    </w:p>
    <w:p w14:paraId="6AC05788" w14:textId="09313F2A" w:rsidR="008A3279" w:rsidRPr="00812035" w:rsidRDefault="00DC6BD5" w:rsidP="00DC6BD5">
      <w:pPr>
        <w:pStyle w:val="Default"/>
        <w:spacing w:after="240"/>
        <w:ind w:left="567"/>
        <w:rPr>
          <w:color w:val="auto"/>
          <w:sz w:val="22"/>
          <w:szCs w:val="22"/>
          <w:lang w:val="ru-RU"/>
        </w:rPr>
      </w:pPr>
      <w:r w:rsidRPr="00C50BC7">
        <w:rPr>
          <w:color w:val="auto"/>
          <w:sz w:val="22"/>
          <w:szCs w:val="22"/>
          <w:lang w:val="ru-RU"/>
        </w:rPr>
        <w:t>«</w:t>
      </w:r>
      <w:r w:rsidR="00812035" w:rsidRPr="004961D3">
        <w:rPr>
          <w:color w:val="auto"/>
          <w:sz w:val="22"/>
          <w:szCs w:val="22"/>
          <w:lang w:val="ru-RU"/>
        </w:rPr>
        <w:t xml:space="preserve">[…] </w:t>
      </w:r>
      <w:r w:rsidR="00812035" w:rsidRPr="00812035">
        <w:rPr>
          <w:color w:val="auto"/>
          <w:sz w:val="22"/>
          <w:szCs w:val="22"/>
          <w:lang w:val="ru-RU"/>
        </w:rPr>
        <w:t>Ассамблеи ВОИС, каждая в той мере, в какой это ее касается</w:t>
      </w:r>
      <w:r w:rsidRPr="00812035">
        <w:rPr>
          <w:color w:val="auto"/>
          <w:sz w:val="22"/>
          <w:szCs w:val="22"/>
          <w:lang w:val="ru-RU"/>
        </w:rPr>
        <w:t>:</w:t>
      </w:r>
    </w:p>
    <w:p w14:paraId="2390CDDD" w14:textId="7012B1B7" w:rsidR="008A3279" w:rsidRPr="00C50BC7" w:rsidRDefault="00DC6BD5" w:rsidP="00DC6BD5">
      <w:pPr>
        <w:pStyle w:val="Default"/>
        <w:spacing w:after="240"/>
        <w:ind w:left="567"/>
        <w:rPr>
          <w:color w:val="auto"/>
          <w:sz w:val="22"/>
          <w:szCs w:val="22"/>
          <w:lang w:val="ru-RU"/>
        </w:rPr>
      </w:pPr>
      <w:r w:rsidRPr="00812035">
        <w:rPr>
          <w:color w:val="auto"/>
          <w:sz w:val="22"/>
          <w:szCs w:val="22"/>
          <w:lang w:val="ru-RU"/>
        </w:rPr>
        <w:t>(i</w:t>
      </w:r>
      <w:r w:rsidRPr="00C50BC7">
        <w:rPr>
          <w:color w:val="auto"/>
          <w:sz w:val="22"/>
          <w:szCs w:val="22"/>
          <w:lang w:val="ru-RU"/>
        </w:rPr>
        <w:t>)</w:t>
      </w:r>
      <w:r w:rsidR="00094701" w:rsidRPr="004961D3">
        <w:rPr>
          <w:rFonts w:eastAsia="SimSun"/>
          <w:color w:val="auto"/>
          <w:sz w:val="22"/>
          <w:szCs w:val="20"/>
          <w:lang w:val="ru-RU" w:eastAsia="zh-CN"/>
        </w:rPr>
        <w:t xml:space="preserve"> </w:t>
      </w:r>
      <w:r w:rsidRPr="00C50BC7">
        <w:rPr>
          <w:color w:val="auto"/>
          <w:sz w:val="22"/>
          <w:szCs w:val="22"/>
          <w:lang w:val="ru-RU"/>
        </w:rPr>
        <w:t xml:space="preserve">утвердили предлагаемые Программу и бюджет на двухлетний период </w:t>
      </w:r>
      <w:r w:rsidR="00C50BC7" w:rsidRPr="00C50BC7">
        <w:rPr>
          <w:color w:val="auto"/>
          <w:sz w:val="22"/>
          <w:szCs w:val="22"/>
          <w:lang w:val="ru-RU"/>
        </w:rPr>
        <w:br/>
      </w:r>
      <w:r w:rsidRPr="00C50BC7">
        <w:rPr>
          <w:color w:val="auto"/>
          <w:sz w:val="22"/>
          <w:szCs w:val="22"/>
          <w:lang w:val="ru-RU"/>
        </w:rPr>
        <w:t>2020</w:t>
      </w:r>
      <w:r w:rsidR="000268CC" w:rsidRPr="00C50BC7">
        <w:rPr>
          <w:lang w:val="ru-RU"/>
        </w:rPr>
        <w:t>–</w:t>
      </w:r>
      <w:r w:rsidRPr="00C50BC7">
        <w:rPr>
          <w:color w:val="auto"/>
          <w:sz w:val="22"/>
          <w:szCs w:val="22"/>
          <w:lang w:val="ru-RU"/>
        </w:rPr>
        <w:t>2021</w:t>
      </w:r>
      <w:r w:rsidR="00C50BC7" w:rsidRPr="00C50BC7">
        <w:rPr>
          <w:color w:val="auto"/>
          <w:sz w:val="22"/>
          <w:szCs w:val="22"/>
          <w:lang w:val="ru-RU"/>
        </w:rPr>
        <w:t> </w:t>
      </w:r>
      <w:r w:rsidRPr="00C50BC7">
        <w:rPr>
          <w:color w:val="auto"/>
          <w:sz w:val="22"/>
          <w:szCs w:val="22"/>
          <w:lang w:val="ru-RU"/>
        </w:rPr>
        <w:t>гг. (документ A/59/8), предусмотрев распределение доходов и расходов по союзам, отраженное в прилагаемом пер</w:t>
      </w:r>
      <w:r w:rsidR="002A4EAD">
        <w:rPr>
          <w:color w:val="auto"/>
          <w:sz w:val="22"/>
          <w:szCs w:val="22"/>
          <w:lang w:val="ru-RU"/>
        </w:rPr>
        <w:t>есмотренном варианте приложения </w:t>
      </w:r>
      <w:r w:rsidRPr="00C50BC7">
        <w:rPr>
          <w:color w:val="auto"/>
          <w:sz w:val="22"/>
          <w:szCs w:val="22"/>
          <w:lang w:val="ru-RU"/>
        </w:rPr>
        <w:t xml:space="preserve">III, </w:t>
      </w:r>
      <w:r w:rsidRPr="00C50BC7">
        <w:rPr>
          <w:color w:val="auto"/>
          <w:sz w:val="22"/>
          <w:szCs w:val="22"/>
          <w:lang w:val="ru-RU"/>
        </w:rPr>
        <w:lastRenderedPageBreak/>
        <w:t>воспроизводящем тот же порядок распределения доходов и расходов по союзам, который был заложен в Программе и бю</w:t>
      </w:r>
      <w:r w:rsidR="002A4EAD">
        <w:rPr>
          <w:color w:val="auto"/>
          <w:sz w:val="22"/>
          <w:szCs w:val="22"/>
          <w:lang w:val="ru-RU"/>
        </w:rPr>
        <w:t>джете на двухлетний период 2018</w:t>
      </w:r>
      <w:r w:rsidR="002A4EAD" w:rsidRPr="00C50BC7">
        <w:rPr>
          <w:lang w:val="ru-RU"/>
        </w:rPr>
        <w:t>–</w:t>
      </w:r>
      <w:r w:rsidR="002A4EAD">
        <w:rPr>
          <w:color w:val="auto"/>
          <w:sz w:val="22"/>
          <w:szCs w:val="22"/>
          <w:lang w:val="ru-RU"/>
        </w:rPr>
        <w:t>2019 </w:t>
      </w:r>
      <w:r w:rsidRPr="00C50BC7">
        <w:rPr>
          <w:color w:val="auto"/>
          <w:sz w:val="22"/>
          <w:szCs w:val="22"/>
          <w:lang w:val="ru-RU"/>
        </w:rPr>
        <w:t>гг.;</w:t>
      </w:r>
    </w:p>
    <w:p w14:paraId="13F2320F" w14:textId="175AB0BF" w:rsidR="008A3279" w:rsidRPr="001F1708" w:rsidRDefault="00DC6BD5" w:rsidP="00DC6BD5">
      <w:pPr>
        <w:pStyle w:val="Default"/>
        <w:spacing w:after="240"/>
        <w:ind w:left="567"/>
        <w:rPr>
          <w:color w:val="auto"/>
          <w:sz w:val="22"/>
          <w:szCs w:val="22"/>
          <w:lang w:val="ru-RU"/>
        </w:rPr>
      </w:pPr>
      <w:r w:rsidRPr="00C50BC7">
        <w:rPr>
          <w:color w:val="auto"/>
          <w:sz w:val="22"/>
          <w:szCs w:val="22"/>
          <w:lang w:val="ru-RU"/>
        </w:rPr>
        <w:t>(ii</w:t>
      </w:r>
      <w:r w:rsidRPr="001F1708">
        <w:rPr>
          <w:color w:val="auto"/>
          <w:sz w:val="22"/>
          <w:szCs w:val="22"/>
          <w:lang w:val="ru-RU"/>
        </w:rPr>
        <w:t xml:space="preserve">) </w:t>
      </w:r>
      <w:r w:rsidR="001F1708" w:rsidRPr="001F1708">
        <w:rPr>
          <w:color w:val="auto"/>
          <w:sz w:val="22"/>
          <w:szCs w:val="22"/>
          <w:lang w:val="ru-RU"/>
        </w:rPr>
        <w:t>напомнили, что в соответствии с договорами о создании союзов, финансируемых за счет пошлин, каждый союз должен иметь доход, достаточный для покрытия его собственных расходов</w:t>
      </w:r>
      <w:r w:rsidRPr="001F1708">
        <w:rPr>
          <w:color w:val="auto"/>
          <w:sz w:val="22"/>
          <w:szCs w:val="22"/>
          <w:lang w:val="ru-RU"/>
        </w:rPr>
        <w:t>;</w:t>
      </w:r>
    </w:p>
    <w:p w14:paraId="3081874F" w14:textId="62F6C604" w:rsidR="00C50BC7" w:rsidRPr="009B6B31" w:rsidRDefault="0086648C" w:rsidP="00BD402F">
      <w:pPr>
        <w:pStyle w:val="Default"/>
        <w:spacing w:after="240"/>
        <w:ind w:left="562"/>
        <w:rPr>
          <w:sz w:val="22"/>
          <w:szCs w:val="22"/>
          <w:lang w:val="ru-RU"/>
        </w:rPr>
      </w:pPr>
      <w:r w:rsidRPr="00DC6BD5">
        <w:rPr>
          <w:sz w:val="22"/>
          <w:szCs w:val="22"/>
          <w:lang w:val="ru-RU"/>
        </w:rPr>
        <w:t>(</w:t>
      </w:r>
      <w:r w:rsidRPr="00A65A52">
        <w:rPr>
          <w:sz w:val="22"/>
          <w:szCs w:val="22"/>
        </w:rPr>
        <w:t>iii</w:t>
      </w:r>
      <w:r w:rsidRPr="00DC6BD5">
        <w:rPr>
          <w:sz w:val="22"/>
          <w:szCs w:val="22"/>
          <w:lang w:val="ru-RU"/>
        </w:rPr>
        <w:t>)</w:t>
      </w:r>
      <w:r w:rsidRPr="00DC6BD5">
        <w:rPr>
          <w:sz w:val="22"/>
          <w:szCs w:val="22"/>
          <w:lang w:val="ru-RU"/>
        </w:rPr>
        <w:tab/>
      </w:r>
      <w:r w:rsidR="00164565" w:rsidRPr="00164565">
        <w:rPr>
          <w:sz w:val="22"/>
          <w:szCs w:val="22"/>
          <w:lang w:val="ru-RU"/>
        </w:rPr>
        <w:t>указали, что каждый союз, финансируемый за счет пошлин, прогнозирующий на двухлетний период 2020</w:t>
      </w:r>
      <w:r w:rsidR="00164565" w:rsidRPr="00C50BC7">
        <w:rPr>
          <w:lang w:val="ru-RU"/>
        </w:rPr>
        <w:t>–</w:t>
      </w:r>
      <w:r w:rsidR="00164565" w:rsidRPr="00164565">
        <w:rPr>
          <w:sz w:val="22"/>
          <w:szCs w:val="22"/>
          <w:lang w:val="ru-RU"/>
        </w:rPr>
        <w:t>2021 годов дефицит бюджета, должен рассмотреть вопрос о мерах, позволяющих устранить такой дефицит, соответствующих положениям его собственного договора</w:t>
      </w:r>
      <w:r w:rsidR="00164565">
        <w:rPr>
          <w:sz w:val="22"/>
          <w:szCs w:val="22"/>
          <w:lang w:val="ru-RU"/>
        </w:rPr>
        <w:t>;</w:t>
      </w:r>
    </w:p>
    <w:p w14:paraId="56D3EB0C" w14:textId="5567352C" w:rsidR="008A3279" w:rsidRPr="009B6B31" w:rsidRDefault="00C50BC7" w:rsidP="00BD402F">
      <w:pPr>
        <w:pStyle w:val="Default"/>
        <w:spacing w:after="240"/>
        <w:ind w:left="562"/>
        <w:rPr>
          <w:color w:val="auto"/>
          <w:sz w:val="22"/>
          <w:szCs w:val="22"/>
          <w:lang w:val="ru-RU"/>
        </w:rPr>
      </w:pPr>
      <w:r w:rsidRPr="009B6B31">
        <w:rPr>
          <w:sz w:val="22"/>
          <w:szCs w:val="22"/>
          <w:lang w:val="ru-RU"/>
        </w:rPr>
        <w:t xml:space="preserve">(iv) </w:t>
      </w:r>
      <w:r w:rsidR="009B6B31" w:rsidRPr="009B6B31">
        <w:rPr>
          <w:color w:val="auto"/>
          <w:sz w:val="22"/>
          <w:szCs w:val="22"/>
          <w:lang w:val="ru-RU"/>
        </w:rPr>
        <w:t>указали, что если какой-либо союз не имеет в какой-либо конкретный двухлетний период достаточных доходов и резервов для покрытия своих прогнозируемых расходов, то сумма, необходимая для фина</w:t>
      </w:r>
      <w:r w:rsidR="00B07BFA">
        <w:rPr>
          <w:color w:val="auto"/>
          <w:sz w:val="22"/>
          <w:szCs w:val="22"/>
          <w:lang w:val="ru-RU"/>
        </w:rPr>
        <w:t>нсирования деятельности такого с</w:t>
      </w:r>
      <w:r w:rsidR="009B6B31" w:rsidRPr="009B6B31">
        <w:rPr>
          <w:color w:val="auto"/>
          <w:sz w:val="22"/>
          <w:szCs w:val="22"/>
          <w:lang w:val="ru-RU"/>
        </w:rPr>
        <w:t>оюза, покрывается из чистых активов Организации и указывается в годовом финансовом отчете и в разделе «Доходы, расходы и резервы в разбивке по сегментам» финансовых ведомостей Организации, включая профицит/дефицит союзов, и подлежит возмещению, когда резервы такого союза позволят это сделать;</w:t>
      </w:r>
    </w:p>
    <w:p w14:paraId="14A7C7C7" w14:textId="6D29B616" w:rsidR="008A3279" w:rsidRPr="00C50BC7" w:rsidRDefault="00C50BC7" w:rsidP="004A4C4C">
      <w:pPr>
        <w:pStyle w:val="Default"/>
        <w:ind w:left="567"/>
        <w:rPr>
          <w:color w:val="auto"/>
          <w:sz w:val="22"/>
          <w:szCs w:val="22"/>
          <w:lang w:val="ru-RU"/>
        </w:rPr>
      </w:pPr>
      <w:r w:rsidRPr="00C50BC7">
        <w:rPr>
          <w:color w:val="auto"/>
          <w:sz w:val="22"/>
          <w:szCs w:val="22"/>
          <w:lang w:val="ru-RU"/>
        </w:rPr>
        <w:t>(</w:t>
      </w:r>
      <w:r w:rsidRPr="00C50BC7">
        <w:rPr>
          <w:color w:val="auto"/>
          <w:sz w:val="22"/>
          <w:szCs w:val="22"/>
        </w:rPr>
        <w:t>v</w:t>
      </w:r>
      <w:r w:rsidRPr="00C50BC7">
        <w:rPr>
          <w:color w:val="auto"/>
          <w:sz w:val="22"/>
          <w:szCs w:val="22"/>
          <w:lang w:val="ru-RU"/>
        </w:rPr>
        <w:t xml:space="preserve">) </w:t>
      </w:r>
      <w:r w:rsidR="004A4C4C" w:rsidRPr="00C50BC7">
        <w:rPr>
          <w:color w:val="auto"/>
          <w:sz w:val="22"/>
          <w:szCs w:val="22"/>
          <w:lang w:val="ru-RU"/>
        </w:rPr>
        <w:t>постановили, что, в соответствии с подпунктом (iv) выше, если в двухлетнем периоде 2020</w:t>
      </w:r>
      <w:r w:rsidR="00B62CF1" w:rsidRPr="00C50BC7">
        <w:rPr>
          <w:lang w:val="ru-RU"/>
        </w:rPr>
        <w:t>–</w:t>
      </w:r>
      <w:r w:rsidR="004A4C4C" w:rsidRPr="00C50BC7">
        <w:rPr>
          <w:color w:val="auto"/>
          <w:sz w:val="22"/>
          <w:szCs w:val="22"/>
          <w:lang w:val="ru-RU"/>
        </w:rPr>
        <w:t>2021</w:t>
      </w:r>
      <w:r w:rsidR="00B62CF1">
        <w:rPr>
          <w:color w:val="auto"/>
          <w:sz w:val="22"/>
          <w:szCs w:val="22"/>
          <w:lang w:val="ru-RU"/>
        </w:rPr>
        <w:t> </w:t>
      </w:r>
      <w:r w:rsidRPr="00C50BC7">
        <w:rPr>
          <w:color w:val="auto"/>
          <w:sz w:val="22"/>
          <w:szCs w:val="22"/>
          <w:lang w:val="ru-RU"/>
        </w:rPr>
        <w:t>гг.</w:t>
      </w:r>
      <w:r w:rsidR="004A4C4C" w:rsidRPr="00C50BC7">
        <w:rPr>
          <w:color w:val="auto"/>
          <w:sz w:val="22"/>
          <w:szCs w:val="22"/>
          <w:lang w:val="ru-RU"/>
        </w:rPr>
        <w:t xml:space="preserve"> какой-либо из союзов, финансируемых за счет пошлин, не будет иметь достаточных доходов для покрытия своих расходов, необходимая сумма, упомянутая в подпункте (iv), будет выделена из резервов союзов, финансируемых за счет взносов, если этих резервов будет достаточно для этого; в противном случае она будет выделена из резервов других союзов, финансируемых за счет пошлин, и отражена в примечаниях к финансовым ведомостям</w:t>
      </w:r>
      <w:r w:rsidR="00812035">
        <w:rPr>
          <w:color w:val="auto"/>
          <w:sz w:val="22"/>
          <w:szCs w:val="22"/>
          <w:lang w:val="ru-RU"/>
        </w:rPr>
        <w:t>»</w:t>
      </w:r>
      <w:r w:rsidR="00B62CF1">
        <w:rPr>
          <w:color w:val="auto"/>
          <w:sz w:val="22"/>
          <w:szCs w:val="22"/>
          <w:lang w:val="ru-RU"/>
        </w:rPr>
        <w:br/>
      </w:r>
      <w:r w:rsidR="004A4C4C" w:rsidRPr="00C50BC7">
        <w:rPr>
          <w:color w:val="auto"/>
          <w:sz w:val="22"/>
          <w:szCs w:val="22"/>
          <w:lang w:val="ru-RU"/>
        </w:rPr>
        <w:t>(докум</w:t>
      </w:r>
      <w:r w:rsidRPr="00C50BC7">
        <w:rPr>
          <w:color w:val="auto"/>
          <w:sz w:val="22"/>
          <w:szCs w:val="22"/>
          <w:lang w:val="ru-RU"/>
        </w:rPr>
        <w:t>ент A/59/14, пункт 152 (i)</w:t>
      </w:r>
      <w:r w:rsidR="00B62CF1" w:rsidRPr="00C50BC7">
        <w:rPr>
          <w:lang w:val="ru-RU"/>
        </w:rPr>
        <w:t>–</w:t>
      </w:r>
      <w:r w:rsidRPr="00C50BC7">
        <w:rPr>
          <w:color w:val="auto"/>
          <w:sz w:val="22"/>
          <w:szCs w:val="22"/>
          <w:lang w:val="ru-RU"/>
        </w:rPr>
        <w:t>(v)).</w:t>
      </w:r>
    </w:p>
    <w:p w14:paraId="3F0ED0CC" w14:textId="77777777" w:rsidR="00C50BC7" w:rsidRPr="00C50BC7" w:rsidRDefault="00C50BC7" w:rsidP="007743FE">
      <w:pPr>
        <w:pStyle w:val="Default"/>
        <w:rPr>
          <w:sz w:val="22"/>
          <w:szCs w:val="22"/>
          <w:lang w:val="ru-RU"/>
        </w:rPr>
      </w:pPr>
    </w:p>
    <w:p w14:paraId="57574EDE" w14:textId="77495FD5" w:rsidR="008A3279" w:rsidRPr="008B4433" w:rsidRDefault="004A4C4C" w:rsidP="004A4C4C">
      <w:pPr>
        <w:pStyle w:val="ONUME"/>
        <w:spacing w:after="240"/>
        <w:rPr>
          <w:lang w:val="ru-RU"/>
        </w:rPr>
      </w:pPr>
      <w:r w:rsidRPr="008B4433">
        <w:rPr>
          <w:szCs w:val="22"/>
          <w:lang w:val="ru-RU"/>
        </w:rPr>
        <w:t>На своей тридцать шестой (23-й очередной) сессии (30</w:t>
      </w:r>
      <w:r w:rsidR="00257586">
        <w:rPr>
          <w:szCs w:val="22"/>
          <w:lang w:val="ru-RU"/>
        </w:rPr>
        <w:t> </w:t>
      </w:r>
      <w:r w:rsidRPr="008B4433">
        <w:rPr>
          <w:szCs w:val="22"/>
          <w:lang w:val="ru-RU"/>
        </w:rPr>
        <w:t>сентября–9</w:t>
      </w:r>
      <w:r w:rsidR="00257586">
        <w:rPr>
          <w:szCs w:val="22"/>
          <w:lang w:val="ru-RU"/>
        </w:rPr>
        <w:t> </w:t>
      </w:r>
      <w:r w:rsidRPr="008B4433">
        <w:rPr>
          <w:szCs w:val="22"/>
          <w:lang w:val="ru-RU"/>
        </w:rPr>
        <w:t>октября 2019</w:t>
      </w:r>
      <w:r w:rsidR="00257586">
        <w:rPr>
          <w:szCs w:val="22"/>
          <w:lang w:val="ru-RU"/>
        </w:rPr>
        <w:t> </w:t>
      </w:r>
      <w:r w:rsidRPr="008B4433">
        <w:rPr>
          <w:szCs w:val="22"/>
          <w:lang w:val="ru-RU"/>
        </w:rPr>
        <w:t xml:space="preserve">г.) Ассамблея Лиссабонского </w:t>
      </w:r>
      <w:r w:rsidR="008B4433" w:rsidRPr="008B4433">
        <w:rPr>
          <w:szCs w:val="22"/>
          <w:lang w:val="ru-RU"/>
        </w:rPr>
        <w:t>союза</w:t>
      </w:r>
      <w:r w:rsidRPr="008B4433">
        <w:rPr>
          <w:szCs w:val="22"/>
          <w:lang w:val="ru-RU"/>
        </w:rPr>
        <w:t xml:space="preserve"> при</w:t>
      </w:r>
      <w:r w:rsidR="00C50BC7" w:rsidRPr="008B4433">
        <w:rPr>
          <w:szCs w:val="22"/>
          <w:lang w:val="ru-RU"/>
        </w:rPr>
        <w:t>няла к сведению отчет о работе Р</w:t>
      </w:r>
      <w:r w:rsidRPr="008B4433">
        <w:rPr>
          <w:szCs w:val="22"/>
          <w:lang w:val="ru-RU"/>
        </w:rPr>
        <w:t>абочей группы по развитию Лиссабонской системы (документ LI/A/36/1).</w:t>
      </w:r>
      <w:r w:rsidR="00A65A52" w:rsidRPr="004961D3">
        <w:rPr>
          <w:szCs w:val="22"/>
          <w:lang w:val="ru-RU"/>
        </w:rPr>
        <w:t xml:space="preserve">  </w:t>
      </w:r>
      <w:r w:rsidRPr="008B4433">
        <w:rPr>
          <w:szCs w:val="22"/>
          <w:lang w:val="ru-RU"/>
        </w:rPr>
        <w:t>В частности, в отношении финансовой устойчивости Лиссабонского союза Рабочая группа отметила большое значение информационно-просветительской деятельности</w:t>
      </w:r>
      <w:r w:rsidR="00257586">
        <w:rPr>
          <w:szCs w:val="22"/>
          <w:lang w:val="ru-RU"/>
        </w:rPr>
        <w:t xml:space="preserve"> в целях увеличения числа стран </w:t>
      </w:r>
      <w:r w:rsidRPr="008B4433">
        <w:rPr>
          <w:szCs w:val="22"/>
          <w:lang w:val="ru-RU"/>
        </w:rPr>
        <w:t>– участниц Лиссабонской системы, в том числе Женевского акта Лиссабонского соглашения, и необходимость повышения согласованности действий участников этой системы в данном вопросе.</w:t>
      </w:r>
      <w:r w:rsidR="00A65A52" w:rsidRPr="008B4433">
        <w:rPr>
          <w:szCs w:val="22"/>
          <w:lang w:val="ru-RU"/>
        </w:rPr>
        <w:t xml:space="preserve">  </w:t>
      </w:r>
      <w:r w:rsidRPr="008B4433">
        <w:rPr>
          <w:szCs w:val="22"/>
          <w:lang w:val="ru-RU"/>
        </w:rPr>
        <w:t>В ходе этой сессии Рабочая группа также постановила продолжить обсуждение надлежащих мер по обеспечению финансовой устойчивости Лиссабонского союза в будущем, в том числе регулярно проводить обзор перечня пошлин, признав при этом необходимость оценки воздействия вступления в силу Женевского акта Лиссабонского согл</w:t>
      </w:r>
      <w:r w:rsidR="00B07BFA">
        <w:rPr>
          <w:szCs w:val="22"/>
          <w:lang w:val="ru-RU"/>
        </w:rPr>
        <w:t xml:space="preserve">ашения на финансовое положение </w:t>
      </w:r>
      <w:r w:rsidR="00257586">
        <w:rPr>
          <w:szCs w:val="22"/>
          <w:lang w:val="ru-RU"/>
        </w:rPr>
        <w:t>С</w:t>
      </w:r>
      <w:r w:rsidRPr="008B4433">
        <w:rPr>
          <w:szCs w:val="22"/>
          <w:lang w:val="ru-RU"/>
        </w:rPr>
        <w:t xml:space="preserve">оюза </w:t>
      </w:r>
      <w:r w:rsidR="00257586">
        <w:rPr>
          <w:szCs w:val="22"/>
          <w:lang w:val="ru-RU"/>
        </w:rPr>
        <w:br/>
      </w:r>
      <w:r w:rsidRPr="008B4433">
        <w:rPr>
          <w:szCs w:val="22"/>
          <w:lang w:val="ru-RU"/>
        </w:rPr>
        <w:t>(см. документ LI/A/36/1, пункты 2</w:t>
      </w:r>
      <w:r w:rsidR="00257586">
        <w:rPr>
          <w:szCs w:val="22"/>
          <w:lang w:val="ru-RU"/>
        </w:rPr>
        <w:t> </w:t>
      </w:r>
      <w:r w:rsidRPr="008B4433">
        <w:rPr>
          <w:szCs w:val="22"/>
          <w:lang w:val="ru-RU"/>
        </w:rPr>
        <w:t>и</w:t>
      </w:r>
      <w:r w:rsidR="00257586">
        <w:rPr>
          <w:szCs w:val="22"/>
          <w:lang w:val="ru-RU"/>
        </w:rPr>
        <w:t> </w:t>
      </w:r>
      <w:r w:rsidRPr="008B4433">
        <w:rPr>
          <w:szCs w:val="22"/>
          <w:lang w:val="ru-RU"/>
        </w:rPr>
        <w:t xml:space="preserve">3, и </w:t>
      </w:r>
      <w:r w:rsidR="00257586">
        <w:rPr>
          <w:szCs w:val="22"/>
          <w:lang w:val="ru-RU"/>
        </w:rPr>
        <w:t xml:space="preserve">приложенный к нему </w:t>
      </w:r>
      <w:r w:rsidRPr="008B4433">
        <w:rPr>
          <w:szCs w:val="22"/>
          <w:lang w:val="ru-RU"/>
        </w:rPr>
        <w:t>документ LI/WG/DEV-SYS/2/3, пункты 13</w:t>
      </w:r>
      <w:r w:rsidR="00257586">
        <w:rPr>
          <w:szCs w:val="22"/>
          <w:lang w:val="ru-RU"/>
        </w:rPr>
        <w:t> </w:t>
      </w:r>
      <w:r w:rsidRPr="008B4433">
        <w:rPr>
          <w:szCs w:val="22"/>
          <w:lang w:val="ru-RU"/>
        </w:rPr>
        <w:t>и</w:t>
      </w:r>
      <w:r w:rsidR="00257586">
        <w:rPr>
          <w:szCs w:val="22"/>
          <w:lang w:val="ru-RU"/>
        </w:rPr>
        <w:t> </w:t>
      </w:r>
      <w:r w:rsidRPr="008B4433">
        <w:rPr>
          <w:szCs w:val="22"/>
          <w:lang w:val="ru-RU"/>
        </w:rPr>
        <w:t>14(ii)).</w:t>
      </w:r>
    </w:p>
    <w:p w14:paraId="0F56BB7D" w14:textId="2C219074" w:rsidR="008A3279" w:rsidRPr="00EE640B" w:rsidRDefault="00B05C3A" w:rsidP="00EE640B">
      <w:pPr>
        <w:pStyle w:val="ONUME"/>
        <w:ind w:left="5490"/>
        <w:rPr>
          <w:i/>
          <w:lang w:val="ru-RU"/>
        </w:rPr>
      </w:pPr>
      <w:r>
        <w:rPr>
          <w:i/>
          <w:lang w:val="ru-RU"/>
        </w:rPr>
        <w:t>Ассамблее Лиссабонского с</w:t>
      </w:r>
      <w:r w:rsidR="004A4C4C" w:rsidRPr="00EE640B">
        <w:rPr>
          <w:i/>
          <w:lang w:val="ru-RU"/>
        </w:rPr>
        <w:t>оюза предлагается принять к сведению документ</w:t>
      </w:r>
      <w:r>
        <w:rPr>
          <w:i/>
          <w:lang w:val="ru-RU"/>
        </w:rPr>
        <w:t xml:space="preserve"> </w:t>
      </w:r>
      <w:r w:rsidR="008B4433" w:rsidRPr="00EE640B">
        <w:rPr>
          <w:i/>
          <w:lang w:val="ru-RU"/>
        </w:rPr>
        <w:t>«Развитие Лиссабонской системы»</w:t>
      </w:r>
      <w:r w:rsidR="004A4C4C" w:rsidRPr="00EE640B">
        <w:rPr>
          <w:i/>
          <w:lang w:val="ru-RU"/>
        </w:rPr>
        <w:t xml:space="preserve"> </w:t>
      </w:r>
      <w:r>
        <w:rPr>
          <w:i/>
          <w:lang w:val="ru-RU"/>
        </w:rPr>
        <w:br/>
      </w:r>
      <w:r w:rsidR="004A4C4C" w:rsidRPr="00EE640B">
        <w:rPr>
          <w:i/>
          <w:lang w:val="ru-RU"/>
        </w:rPr>
        <w:t>(документ LI/A/3</w:t>
      </w:r>
      <w:r w:rsidR="001E55FC" w:rsidRPr="00EE640B">
        <w:rPr>
          <w:i/>
          <w:lang w:val="ru-RU"/>
        </w:rPr>
        <w:t>8</w:t>
      </w:r>
      <w:r w:rsidR="004A4C4C" w:rsidRPr="00EE640B">
        <w:rPr>
          <w:i/>
          <w:lang w:val="ru-RU"/>
        </w:rPr>
        <w:t>/1).</w:t>
      </w:r>
      <w:r w:rsidR="00D621C8" w:rsidRPr="00EE640B">
        <w:rPr>
          <w:i/>
          <w:lang w:val="ru-RU"/>
        </w:rPr>
        <w:t xml:space="preserve"> </w:t>
      </w:r>
    </w:p>
    <w:p w14:paraId="0D635FC3" w14:textId="77777777" w:rsidR="008A3279" w:rsidRPr="008B4433" w:rsidRDefault="004A4C4C" w:rsidP="004A4C4C">
      <w:pPr>
        <w:spacing w:before="960"/>
        <w:ind w:left="5534"/>
      </w:pPr>
      <w:r w:rsidRPr="008B4433">
        <w:rPr>
          <w:lang w:val="ru-RU"/>
        </w:rPr>
        <w:t>[Конец документа]</w:t>
      </w:r>
    </w:p>
    <w:sectPr w:rsidR="008A3279" w:rsidRPr="008B4433" w:rsidSect="00AC631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CBB0F" w14:textId="77777777" w:rsidR="00C8106F" w:rsidRDefault="00C8106F">
      <w:r>
        <w:separator/>
      </w:r>
    </w:p>
  </w:endnote>
  <w:endnote w:type="continuationSeparator" w:id="0">
    <w:p w14:paraId="2CBA701D" w14:textId="77777777" w:rsidR="00C8106F" w:rsidRDefault="00C8106F" w:rsidP="003B38C1">
      <w:r>
        <w:separator/>
      </w:r>
    </w:p>
    <w:p w14:paraId="076BC3A8" w14:textId="77777777" w:rsidR="00C8106F" w:rsidRPr="003B38C1" w:rsidRDefault="00C8106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8849313" w14:textId="77777777" w:rsidR="00C8106F" w:rsidRPr="003B38C1" w:rsidRDefault="00C8106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A0AC5" w14:textId="77777777" w:rsidR="00C8106F" w:rsidRDefault="00C8106F">
      <w:r>
        <w:separator/>
      </w:r>
    </w:p>
  </w:footnote>
  <w:footnote w:type="continuationSeparator" w:id="0">
    <w:p w14:paraId="1CFB0CEF" w14:textId="77777777" w:rsidR="00C8106F" w:rsidRDefault="00C8106F" w:rsidP="008B60B2">
      <w:r>
        <w:separator/>
      </w:r>
    </w:p>
    <w:p w14:paraId="662BF7C0" w14:textId="77777777" w:rsidR="00C8106F" w:rsidRPr="00ED77FB" w:rsidRDefault="00C8106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16AFA1C" w14:textId="77777777" w:rsidR="00C8106F" w:rsidRPr="00ED77FB" w:rsidRDefault="00C8106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3BABF" w14:textId="12076AD3" w:rsidR="006A0BF0" w:rsidRDefault="006A0BF0" w:rsidP="006A0BF0">
    <w:pPr>
      <w:jc w:val="right"/>
    </w:pPr>
    <w:r>
      <w:t>LI/A/3</w:t>
    </w:r>
    <w:r w:rsidR="00213089">
      <w:rPr>
        <w:lang w:val="ru-RU"/>
      </w:rPr>
      <w:t>8</w:t>
    </w:r>
    <w:r>
      <w:t>/1</w:t>
    </w:r>
  </w:p>
  <w:p w14:paraId="76EFF1AC" w14:textId="5175BA4E" w:rsidR="006A0BF0" w:rsidRPr="00BA0078" w:rsidRDefault="004A4C4C" w:rsidP="00BA0078">
    <w:pPr>
      <w:pStyle w:val="Header"/>
      <w:spacing w:after="480"/>
      <w:jc w:val="right"/>
    </w:pPr>
    <w:r>
      <w:rPr>
        <w:lang w:val="ru-RU"/>
      </w:rPr>
      <w:t>стр.</w:t>
    </w:r>
    <w:r w:rsidR="006A0BF0">
      <w:t xml:space="preserve"> </w:t>
    </w:r>
    <w:sdt>
      <w:sdtPr>
        <w:id w:val="-14135020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A0BF0">
          <w:fldChar w:fldCharType="begin"/>
        </w:r>
        <w:r w:rsidR="006A0BF0">
          <w:instrText xml:space="preserve"> PAGE   \* MERGEFORMAT </w:instrText>
        </w:r>
        <w:r w:rsidR="006A0BF0">
          <w:fldChar w:fldCharType="separate"/>
        </w:r>
        <w:r w:rsidR="004961D3">
          <w:rPr>
            <w:noProof/>
          </w:rPr>
          <w:t>4</w:t>
        </w:r>
        <w:r w:rsidR="006A0BF0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BC94C6F"/>
    <w:multiLevelType w:val="hybridMultilevel"/>
    <w:tmpl w:val="FF002892"/>
    <w:lvl w:ilvl="0" w:tplc="AF723B4A">
      <w:start w:val="1"/>
      <w:numFmt w:val="lowerRoman"/>
      <w:lvlText w:val="(%1)"/>
      <w:lvlJc w:val="left"/>
      <w:pPr>
        <w:ind w:left="1489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49" w:hanging="360"/>
      </w:pPr>
    </w:lvl>
    <w:lvl w:ilvl="2" w:tplc="100C001B" w:tentative="1">
      <w:start w:val="1"/>
      <w:numFmt w:val="lowerRoman"/>
      <w:lvlText w:val="%3."/>
      <w:lvlJc w:val="right"/>
      <w:pPr>
        <w:ind w:left="2569" w:hanging="180"/>
      </w:pPr>
    </w:lvl>
    <w:lvl w:ilvl="3" w:tplc="100C000F" w:tentative="1">
      <w:start w:val="1"/>
      <w:numFmt w:val="decimal"/>
      <w:lvlText w:val="%4."/>
      <w:lvlJc w:val="left"/>
      <w:pPr>
        <w:ind w:left="3289" w:hanging="360"/>
      </w:pPr>
    </w:lvl>
    <w:lvl w:ilvl="4" w:tplc="100C0019" w:tentative="1">
      <w:start w:val="1"/>
      <w:numFmt w:val="lowerLetter"/>
      <w:lvlText w:val="%5."/>
      <w:lvlJc w:val="left"/>
      <w:pPr>
        <w:ind w:left="4009" w:hanging="360"/>
      </w:pPr>
    </w:lvl>
    <w:lvl w:ilvl="5" w:tplc="100C001B" w:tentative="1">
      <w:start w:val="1"/>
      <w:numFmt w:val="lowerRoman"/>
      <w:lvlText w:val="%6."/>
      <w:lvlJc w:val="right"/>
      <w:pPr>
        <w:ind w:left="4729" w:hanging="180"/>
      </w:pPr>
    </w:lvl>
    <w:lvl w:ilvl="6" w:tplc="100C000F" w:tentative="1">
      <w:start w:val="1"/>
      <w:numFmt w:val="decimal"/>
      <w:lvlText w:val="%7."/>
      <w:lvlJc w:val="left"/>
      <w:pPr>
        <w:ind w:left="5449" w:hanging="360"/>
      </w:pPr>
    </w:lvl>
    <w:lvl w:ilvl="7" w:tplc="100C0019" w:tentative="1">
      <w:start w:val="1"/>
      <w:numFmt w:val="lowerLetter"/>
      <w:lvlText w:val="%8."/>
      <w:lvlJc w:val="left"/>
      <w:pPr>
        <w:ind w:left="6169" w:hanging="360"/>
      </w:pPr>
    </w:lvl>
    <w:lvl w:ilvl="8" w:tplc="100C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5F44399"/>
    <w:multiLevelType w:val="hybridMultilevel"/>
    <w:tmpl w:val="FCD05D9C"/>
    <w:lvl w:ilvl="0" w:tplc="B5261A58"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291A06D7"/>
    <w:multiLevelType w:val="hybridMultilevel"/>
    <w:tmpl w:val="1BD88F1A"/>
    <w:lvl w:ilvl="0" w:tplc="68C012F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7550A"/>
    <w:multiLevelType w:val="hybridMultilevel"/>
    <w:tmpl w:val="35E4F1E4"/>
    <w:lvl w:ilvl="0" w:tplc="8CC020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978C1"/>
    <w:multiLevelType w:val="hybridMultilevel"/>
    <w:tmpl w:val="878813FE"/>
    <w:lvl w:ilvl="0" w:tplc="F1FE3D0C">
      <w:start w:val="1"/>
      <w:numFmt w:val="lowerRoman"/>
      <w:lvlText w:val="(%1)"/>
      <w:lvlJc w:val="left"/>
      <w:pPr>
        <w:ind w:left="-1305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-945" w:hanging="360"/>
      </w:pPr>
    </w:lvl>
    <w:lvl w:ilvl="2" w:tplc="100C001B" w:tentative="1">
      <w:start w:val="1"/>
      <w:numFmt w:val="lowerRoman"/>
      <w:lvlText w:val="%3."/>
      <w:lvlJc w:val="right"/>
      <w:pPr>
        <w:ind w:left="-225" w:hanging="180"/>
      </w:pPr>
    </w:lvl>
    <w:lvl w:ilvl="3" w:tplc="100C000F" w:tentative="1">
      <w:start w:val="1"/>
      <w:numFmt w:val="decimal"/>
      <w:lvlText w:val="%4."/>
      <w:lvlJc w:val="left"/>
      <w:pPr>
        <w:ind w:left="495" w:hanging="360"/>
      </w:pPr>
    </w:lvl>
    <w:lvl w:ilvl="4" w:tplc="100C0019" w:tentative="1">
      <w:start w:val="1"/>
      <w:numFmt w:val="lowerLetter"/>
      <w:lvlText w:val="%5."/>
      <w:lvlJc w:val="left"/>
      <w:pPr>
        <w:ind w:left="1215" w:hanging="360"/>
      </w:pPr>
    </w:lvl>
    <w:lvl w:ilvl="5" w:tplc="100C001B" w:tentative="1">
      <w:start w:val="1"/>
      <w:numFmt w:val="lowerRoman"/>
      <w:lvlText w:val="%6."/>
      <w:lvlJc w:val="right"/>
      <w:pPr>
        <w:ind w:left="1935" w:hanging="180"/>
      </w:pPr>
    </w:lvl>
    <w:lvl w:ilvl="6" w:tplc="100C000F" w:tentative="1">
      <w:start w:val="1"/>
      <w:numFmt w:val="decimal"/>
      <w:lvlText w:val="%7."/>
      <w:lvlJc w:val="left"/>
      <w:pPr>
        <w:ind w:left="2655" w:hanging="360"/>
      </w:pPr>
    </w:lvl>
    <w:lvl w:ilvl="7" w:tplc="100C0019" w:tentative="1">
      <w:start w:val="1"/>
      <w:numFmt w:val="lowerLetter"/>
      <w:lvlText w:val="%8."/>
      <w:lvlJc w:val="left"/>
      <w:pPr>
        <w:ind w:left="3375" w:hanging="360"/>
      </w:pPr>
    </w:lvl>
    <w:lvl w:ilvl="8" w:tplc="100C001B" w:tentative="1">
      <w:start w:val="1"/>
      <w:numFmt w:val="lowerRoman"/>
      <w:lvlText w:val="%9."/>
      <w:lvlJc w:val="right"/>
      <w:pPr>
        <w:ind w:left="4095" w:hanging="180"/>
      </w:pPr>
    </w:lvl>
  </w:abstractNum>
  <w:abstractNum w:abstractNumId="11" w15:restartNumberingAfterBreak="0">
    <w:nsid w:val="53065E24"/>
    <w:multiLevelType w:val="hybridMultilevel"/>
    <w:tmpl w:val="B54A4A7E"/>
    <w:lvl w:ilvl="0" w:tplc="B5261A58"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Brands, Designs &amp; DN\Lisbon|TextBase TMs\WorkspaceRTS\Brands, Designs &amp; DN\Lisbon_Inst|TextBase TMs\WorkspaceRTS\Brands, Designs &amp; DN\Reports|TextBase TMs\WorkspaceRTS\Brands, Designs &amp; DN\SCT|TextBase TMs\WorkspaceRTS\Brands, Designs &amp; DN\Tm&amp;InD|TextBase TMs\WorkspaceRTS\Brands, Designs &amp; DN\Tm&amp;InD_Inst|TextBase TMs\WorkspaceRTS\Ad-hoc\Assemblies Reports|TextBase TMs\WorkspaceRTS\Ad-hoc\WIPO Assemblies"/>
    <w:docVar w:name="TextBaseURL" w:val="empty"/>
    <w:docVar w:name="UILng" w:val="en"/>
  </w:docVars>
  <w:rsids>
    <w:rsidRoot w:val="000F0B28"/>
    <w:rsid w:val="00003707"/>
    <w:rsid w:val="00010562"/>
    <w:rsid w:val="000268CC"/>
    <w:rsid w:val="0003253F"/>
    <w:rsid w:val="000373DE"/>
    <w:rsid w:val="00043CAA"/>
    <w:rsid w:val="00046169"/>
    <w:rsid w:val="000677EA"/>
    <w:rsid w:val="00075432"/>
    <w:rsid w:val="000765C4"/>
    <w:rsid w:val="00086241"/>
    <w:rsid w:val="00092113"/>
    <w:rsid w:val="000921F3"/>
    <w:rsid w:val="000930D8"/>
    <w:rsid w:val="00094701"/>
    <w:rsid w:val="000968ED"/>
    <w:rsid w:val="00097DD8"/>
    <w:rsid w:val="000A00F8"/>
    <w:rsid w:val="000C117A"/>
    <w:rsid w:val="000E181D"/>
    <w:rsid w:val="000E6FDE"/>
    <w:rsid w:val="000F0B28"/>
    <w:rsid w:val="000F251F"/>
    <w:rsid w:val="000F5E56"/>
    <w:rsid w:val="0010331B"/>
    <w:rsid w:val="00134150"/>
    <w:rsid w:val="00134C35"/>
    <w:rsid w:val="001362EE"/>
    <w:rsid w:val="00136F59"/>
    <w:rsid w:val="00151029"/>
    <w:rsid w:val="00156693"/>
    <w:rsid w:val="00156A89"/>
    <w:rsid w:val="00156C9A"/>
    <w:rsid w:val="00164565"/>
    <w:rsid w:val="001647D5"/>
    <w:rsid w:val="00164CB0"/>
    <w:rsid w:val="00172B30"/>
    <w:rsid w:val="00182325"/>
    <w:rsid w:val="001832A6"/>
    <w:rsid w:val="001B4018"/>
    <w:rsid w:val="001E4E00"/>
    <w:rsid w:val="001E55FC"/>
    <w:rsid w:val="001F1708"/>
    <w:rsid w:val="002000FB"/>
    <w:rsid w:val="0021217E"/>
    <w:rsid w:val="00213089"/>
    <w:rsid w:val="002173F6"/>
    <w:rsid w:val="00224A25"/>
    <w:rsid w:val="00253771"/>
    <w:rsid w:val="00256704"/>
    <w:rsid w:val="00257586"/>
    <w:rsid w:val="0026259E"/>
    <w:rsid w:val="002634C4"/>
    <w:rsid w:val="00267A31"/>
    <w:rsid w:val="00275857"/>
    <w:rsid w:val="0029226D"/>
    <w:rsid w:val="002928D3"/>
    <w:rsid w:val="00296EEF"/>
    <w:rsid w:val="00297919"/>
    <w:rsid w:val="002A27D8"/>
    <w:rsid w:val="002A3E80"/>
    <w:rsid w:val="002A4EAD"/>
    <w:rsid w:val="002B2772"/>
    <w:rsid w:val="002F1FE6"/>
    <w:rsid w:val="002F4E68"/>
    <w:rsid w:val="002F6A4B"/>
    <w:rsid w:val="00312F7F"/>
    <w:rsid w:val="003140AE"/>
    <w:rsid w:val="003176B0"/>
    <w:rsid w:val="003178BA"/>
    <w:rsid w:val="00321326"/>
    <w:rsid w:val="00325DA0"/>
    <w:rsid w:val="003348DA"/>
    <w:rsid w:val="00342182"/>
    <w:rsid w:val="00350AE2"/>
    <w:rsid w:val="00361450"/>
    <w:rsid w:val="00367204"/>
    <w:rsid w:val="003673CF"/>
    <w:rsid w:val="00373F08"/>
    <w:rsid w:val="003845C1"/>
    <w:rsid w:val="003855E4"/>
    <w:rsid w:val="00391C44"/>
    <w:rsid w:val="003A6F89"/>
    <w:rsid w:val="003B38C1"/>
    <w:rsid w:val="003D2030"/>
    <w:rsid w:val="003D3991"/>
    <w:rsid w:val="003D57B0"/>
    <w:rsid w:val="003F3520"/>
    <w:rsid w:val="00412AE0"/>
    <w:rsid w:val="00423E3E"/>
    <w:rsid w:val="00427AF4"/>
    <w:rsid w:val="004647DA"/>
    <w:rsid w:val="004718D0"/>
    <w:rsid w:val="00474062"/>
    <w:rsid w:val="00477D6B"/>
    <w:rsid w:val="00482E5D"/>
    <w:rsid w:val="004961D3"/>
    <w:rsid w:val="004A4C4C"/>
    <w:rsid w:val="004B4FA3"/>
    <w:rsid w:val="004C2469"/>
    <w:rsid w:val="004F2D38"/>
    <w:rsid w:val="004F3A21"/>
    <w:rsid w:val="005019FF"/>
    <w:rsid w:val="0053057A"/>
    <w:rsid w:val="00530860"/>
    <w:rsid w:val="00530FC8"/>
    <w:rsid w:val="00531C21"/>
    <w:rsid w:val="00550034"/>
    <w:rsid w:val="00557BDA"/>
    <w:rsid w:val="00560A29"/>
    <w:rsid w:val="005678CB"/>
    <w:rsid w:val="00580999"/>
    <w:rsid w:val="00593B68"/>
    <w:rsid w:val="005A4B73"/>
    <w:rsid w:val="005A4D59"/>
    <w:rsid w:val="005C582A"/>
    <w:rsid w:val="005C6649"/>
    <w:rsid w:val="005D1F68"/>
    <w:rsid w:val="005E114B"/>
    <w:rsid w:val="005F725D"/>
    <w:rsid w:val="00601E0B"/>
    <w:rsid w:val="00605827"/>
    <w:rsid w:val="00630608"/>
    <w:rsid w:val="006314C1"/>
    <w:rsid w:val="006315CA"/>
    <w:rsid w:val="006452A5"/>
    <w:rsid w:val="00646050"/>
    <w:rsid w:val="006713CA"/>
    <w:rsid w:val="0067586F"/>
    <w:rsid w:val="00676C5C"/>
    <w:rsid w:val="006A0BF0"/>
    <w:rsid w:val="006A5CAE"/>
    <w:rsid w:val="006C2EFB"/>
    <w:rsid w:val="006E4F5F"/>
    <w:rsid w:val="00724CBF"/>
    <w:rsid w:val="00731C62"/>
    <w:rsid w:val="0073282F"/>
    <w:rsid w:val="0074083E"/>
    <w:rsid w:val="00743A35"/>
    <w:rsid w:val="007547F5"/>
    <w:rsid w:val="007743FE"/>
    <w:rsid w:val="00777FCC"/>
    <w:rsid w:val="00781DB8"/>
    <w:rsid w:val="00785CEC"/>
    <w:rsid w:val="007B326F"/>
    <w:rsid w:val="007D1613"/>
    <w:rsid w:val="007E117B"/>
    <w:rsid w:val="007E19D8"/>
    <w:rsid w:val="007E4C0E"/>
    <w:rsid w:val="00812035"/>
    <w:rsid w:val="008166B3"/>
    <w:rsid w:val="00835B19"/>
    <w:rsid w:val="0085042C"/>
    <w:rsid w:val="00860537"/>
    <w:rsid w:val="00861604"/>
    <w:rsid w:val="0086648C"/>
    <w:rsid w:val="00874EBD"/>
    <w:rsid w:val="00877718"/>
    <w:rsid w:val="008865FA"/>
    <w:rsid w:val="008A134B"/>
    <w:rsid w:val="008A3279"/>
    <w:rsid w:val="008B2CC1"/>
    <w:rsid w:val="008B4433"/>
    <w:rsid w:val="008B60B2"/>
    <w:rsid w:val="008C5FC0"/>
    <w:rsid w:val="008D2F97"/>
    <w:rsid w:val="008D3398"/>
    <w:rsid w:val="008E4224"/>
    <w:rsid w:val="008E470A"/>
    <w:rsid w:val="00905B05"/>
    <w:rsid w:val="0090731E"/>
    <w:rsid w:val="00910B04"/>
    <w:rsid w:val="00912C1D"/>
    <w:rsid w:val="00916EE2"/>
    <w:rsid w:val="009362E7"/>
    <w:rsid w:val="0094464F"/>
    <w:rsid w:val="00966A22"/>
    <w:rsid w:val="0096722F"/>
    <w:rsid w:val="00980843"/>
    <w:rsid w:val="00997EFD"/>
    <w:rsid w:val="009B6777"/>
    <w:rsid w:val="009B6B31"/>
    <w:rsid w:val="009C127D"/>
    <w:rsid w:val="009E2791"/>
    <w:rsid w:val="009E3F6F"/>
    <w:rsid w:val="009F499F"/>
    <w:rsid w:val="009F7DB0"/>
    <w:rsid w:val="00A15403"/>
    <w:rsid w:val="00A26E0C"/>
    <w:rsid w:val="00A34FF7"/>
    <w:rsid w:val="00A37342"/>
    <w:rsid w:val="00A42DAF"/>
    <w:rsid w:val="00A43B3D"/>
    <w:rsid w:val="00A4441F"/>
    <w:rsid w:val="00A44E8B"/>
    <w:rsid w:val="00A45BD8"/>
    <w:rsid w:val="00A60917"/>
    <w:rsid w:val="00A623C5"/>
    <w:rsid w:val="00A65A52"/>
    <w:rsid w:val="00A81FF6"/>
    <w:rsid w:val="00A869B7"/>
    <w:rsid w:val="00AA2DD4"/>
    <w:rsid w:val="00AC205C"/>
    <w:rsid w:val="00AD36C6"/>
    <w:rsid w:val="00AF0A6B"/>
    <w:rsid w:val="00AF7992"/>
    <w:rsid w:val="00B05A69"/>
    <w:rsid w:val="00B05C3A"/>
    <w:rsid w:val="00B07BFA"/>
    <w:rsid w:val="00B1450B"/>
    <w:rsid w:val="00B16337"/>
    <w:rsid w:val="00B26D46"/>
    <w:rsid w:val="00B360D1"/>
    <w:rsid w:val="00B62CF1"/>
    <w:rsid w:val="00B67858"/>
    <w:rsid w:val="00B73290"/>
    <w:rsid w:val="00B920A3"/>
    <w:rsid w:val="00B97038"/>
    <w:rsid w:val="00B9734B"/>
    <w:rsid w:val="00BA0078"/>
    <w:rsid w:val="00BA30E2"/>
    <w:rsid w:val="00BA3CF8"/>
    <w:rsid w:val="00BB60F8"/>
    <w:rsid w:val="00BD0948"/>
    <w:rsid w:val="00BD402F"/>
    <w:rsid w:val="00BD4A6F"/>
    <w:rsid w:val="00BD67CE"/>
    <w:rsid w:val="00C02596"/>
    <w:rsid w:val="00C115C4"/>
    <w:rsid w:val="00C11BFE"/>
    <w:rsid w:val="00C16A6E"/>
    <w:rsid w:val="00C3539D"/>
    <w:rsid w:val="00C5068F"/>
    <w:rsid w:val="00C50BC7"/>
    <w:rsid w:val="00C60617"/>
    <w:rsid w:val="00C64EA9"/>
    <w:rsid w:val="00C65038"/>
    <w:rsid w:val="00C71AE3"/>
    <w:rsid w:val="00C739D1"/>
    <w:rsid w:val="00C74EE9"/>
    <w:rsid w:val="00C8106F"/>
    <w:rsid w:val="00C86D74"/>
    <w:rsid w:val="00C919E8"/>
    <w:rsid w:val="00C933E3"/>
    <w:rsid w:val="00CA39F1"/>
    <w:rsid w:val="00CA3F7F"/>
    <w:rsid w:val="00CA6BC1"/>
    <w:rsid w:val="00CA758B"/>
    <w:rsid w:val="00CC01C5"/>
    <w:rsid w:val="00CD04F1"/>
    <w:rsid w:val="00CD2964"/>
    <w:rsid w:val="00CD32B0"/>
    <w:rsid w:val="00CD52A9"/>
    <w:rsid w:val="00CD7F59"/>
    <w:rsid w:val="00CF7FB4"/>
    <w:rsid w:val="00D03CBC"/>
    <w:rsid w:val="00D44A0B"/>
    <w:rsid w:val="00D45252"/>
    <w:rsid w:val="00D621C8"/>
    <w:rsid w:val="00D66E37"/>
    <w:rsid w:val="00D71B4D"/>
    <w:rsid w:val="00D72B16"/>
    <w:rsid w:val="00D74717"/>
    <w:rsid w:val="00D93D55"/>
    <w:rsid w:val="00D94B12"/>
    <w:rsid w:val="00D96C3B"/>
    <w:rsid w:val="00D973DA"/>
    <w:rsid w:val="00DA0642"/>
    <w:rsid w:val="00DA5152"/>
    <w:rsid w:val="00DB781E"/>
    <w:rsid w:val="00DC0E7C"/>
    <w:rsid w:val="00DC6126"/>
    <w:rsid w:val="00DC61A6"/>
    <w:rsid w:val="00DC6676"/>
    <w:rsid w:val="00DC6BD5"/>
    <w:rsid w:val="00DF023A"/>
    <w:rsid w:val="00DF383E"/>
    <w:rsid w:val="00E03315"/>
    <w:rsid w:val="00E128A8"/>
    <w:rsid w:val="00E15015"/>
    <w:rsid w:val="00E335FE"/>
    <w:rsid w:val="00E47DD3"/>
    <w:rsid w:val="00E5566B"/>
    <w:rsid w:val="00E56E5D"/>
    <w:rsid w:val="00E64A23"/>
    <w:rsid w:val="00E64B82"/>
    <w:rsid w:val="00E85557"/>
    <w:rsid w:val="00E96DAD"/>
    <w:rsid w:val="00EA6A48"/>
    <w:rsid w:val="00EA6AFB"/>
    <w:rsid w:val="00EA7C5F"/>
    <w:rsid w:val="00EA7D6E"/>
    <w:rsid w:val="00EB1351"/>
    <w:rsid w:val="00EB2210"/>
    <w:rsid w:val="00EC4E49"/>
    <w:rsid w:val="00ED77FB"/>
    <w:rsid w:val="00EE45FA"/>
    <w:rsid w:val="00EE640B"/>
    <w:rsid w:val="00F33C1C"/>
    <w:rsid w:val="00F37B48"/>
    <w:rsid w:val="00F66152"/>
    <w:rsid w:val="00F66F8A"/>
    <w:rsid w:val="00F71986"/>
    <w:rsid w:val="00F73A67"/>
    <w:rsid w:val="00F77EF5"/>
    <w:rsid w:val="00F82119"/>
    <w:rsid w:val="00F87544"/>
    <w:rsid w:val="00F952D1"/>
    <w:rsid w:val="00F96A04"/>
    <w:rsid w:val="00FC70DE"/>
    <w:rsid w:val="00FD15C2"/>
    <w:rsid w:val="00FD3788"/>
    <w:rsid w:val="00FD53CC"/>
    <w:rsid w:val="00FF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6CE73CF"/>
  <w15:docId w15:val="{68E9373C-48AB-4FBC-91E8-282DD146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6314C1"/>
    <w:pPr>
      <w:keepNext/>
      <w:tabs>
        <w:tab w:val="left" w:pos="180"/>
      </w:tabs>
      <w:spacing w:after="600"/>
      <w:outlineLvl w:val="0"/>
    </w:pPr>
    <w:rPr>
      <w:b/>
      <w:bCs/>
      <w:kern w:val="32"/>
      <w:sz w:val="28"/>
      <w:szCs w:val="32"/>
      <w:lang w:val="ru-RU"/>
    </w:rPr>
  </w:style>
  <w:style w:type="paragraph" w:styleId="Heading2">
    <w:name w:val="heading 2"/>
    <w:basedOn w:val="Normal"/>
    <w:next w:val="Normal"/>
    <w:autoRedefine/>
    <w:qFormat/>
    <w:rsid w:val="009F7DB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9F7DB0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F7DB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ONUMEChar">
    <w:name w:val="ONUM E Char"/>
    <w:basedOn w:val="DefaultParagraphFont"/>
    <w:link w:val="ONUME"/>
    <w:locked/>
    <w:rsid w:val="000F0B28"/>
    <w:rPr>
      <w:rFonts w:ascii="Arial" w:eastAsia="SimSun" w:hAnsi="Arial" w:cs="Arial"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2325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82325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uiPriority w:val="99"/>
    <w:rsid w:val="00182325"/>
    <w:rPr>
      <w:vertAlign w:val="superscript"/>
    </w:rPr>
  </w:style>
  <w:style w:type="paragraph" w:styleId="ListParagraph">
    <w:name w:val="List Paragraph"/>
    <w:basedOn w:val="Normal"/>
    <w:uiPriority w:val="34"/>
    <w:qFormat/>
    <w:rsid w:val="00A65A52"/>
    <w:pPr>
      <w:ind w:left="720"/>
      <w:contextualSpacing/>
    </w:pPr>
  </w:style>
  <w:style w:type="paragraph" w:customStyle="1" w:styleId="Default">
    <w:name w:val="Default"/>
    <w:rsid w:val="00A65A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F8211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211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211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F82119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F77EF5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52FFC-242B-441B-853E-F62079F3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1328</Words>
  <Characters>8654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LI/A/38/1</vt:lpstr>
    </vt:vector>
  </TitlesOfParts>
  <Company>WIPO</Company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LI/A/38/1</dc:title>
  <dc:subject>Sixty-Second Series of Meetings</dc:subject>
  <dc:creator>WIPO</dc:creator>
  <cp:keywords>PUBLIC</cp:keywords>
  <cp:lastModifiedBy>MARIN-CUDRAZ DAVI Nicoletta</cp:lastModifiedBy>
  <cp:revision>65</cp:revision>
  <cp:lastPrinted>2011-02-15T11:56:00Z</cp:lastPrinted>
  <dcterms:created xsi:type="dcterms:W3CDTF">2021-06-16T07:19:00Z</dcterms:created>
  <dcterms:modified xsi:type="dcterms:W3CDTF">2021-06-29T08:49:00Z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75f01cce-c10e-4f75-afca-03a086e73440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