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A5B3A" w14:textId="4685F24E" w:rsidR="008B2CC1" w:rsidRPr="008B2CC1" w:rsidRDefault="00A97226" w:rsidP="00F11D94">
      <w:pPr>
        <w:spacing w:after="120"/>
        <w:jc w:val="right"/>
      </w:pPr>
      <w:r w:rsidRPr="0042194C">
        <w:rPr>
          <w:noProof/>
          <w:lang w:val="en-US"/>
        </w:rPr>
        <w:drawing>
          <wp:inline distT="0" distB="0" distL="0" distR="0" wp14:anchorId="1BAD80C4" wp14:editId="6A319E4A">
            <wp:extent cx="3122295" cy="1409700"/>
            <wp:effectExtent l="0" t="0" r="1905" b="0"/>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rotWithShape="1">
                    <a:blip r:embed="rId13">
                      <a:extLst>
                        <a:ext uri="{28A0092B-C50C-407E-A947-70E740481C1C}">
                          <a14:useLocalDpi xmlns:a14="http://schemas.microsoft.com/office/drawing/2010/main" val="0"/>
                        </a:ext>
                      </a:extLst>
                    </a:blip>
                    <a:srcRect l="3815" t="9113" b="4440"/>
                    <a:stretch>
                      <a:fillRect/>
                    </a:stretch>
                  </pic:blipFill>
                  <pic:spPr bwMode="auto">
                    <a:xfrm>
                      <a:off x="0" y="0"/>
                      <a:ext cx="3122295" cy="1409700"/>
                    </a:xfrm>
                    <a:prstGeom prst="rect">
                      <a:avLst/>
                    </a:prstGeom>
                    <a:noFill/>
                    <a:ln>
                      <a:noFill/>
                    </a:ln>
                    <a:extLst>
                      <a:ext uri="{53640926-AAD7-44D8-BBD7-CCE9431645EC}">
                        <a14:shadowObscured xmlns:a14="http://schemas.microsoft.com/office/drawing/2010/main"/>
                      </a:ext>
                    </a:extLst>
                  </pic:spPr>
                </pic:pic>
              </a:graphicData>
            </a:graphic>
          </wp:inline>
        </w:drawing>
      </w:r>
      <w:r w:rsidR="00873EE5">
        <w:rPr>
          <w:rFonts w:ascii="Arial Black" w:hAnsi="Arial Black"/>
          <w:caps/>
          <w:noProof/>
          <w:sz w:val="15"/>
        </w:rPr>
        <mc:AlternateContent>
          <mc:Choice Requires="wps">
            <w:drawing>
              <wp:inline distT="0" distB="0" distL="0" distR="0" wp14:anchorId="2D76F106" wp14:editId="46FBD778">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99300A5"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565A6B4E" w14:textId="175B32B8" w:rsidR="008B2CC1" w:rsidRPr="001024FE" w:rsidRDefault="000676A8" w:rsidP="001024FE">
      <w:pPr>
        <w:jc w:val="right"/>
        <w:rPr>
          <w:rFonts w:ascii="Arial Black" w:hAnsi="Arial Black"/>
          <w:caps/>
          <w:sz w:val="15"/>
          <w:szCs w:val="15"/>
        </w:rPr>
      </w:pPr>
      <w:r>
        <w:rPr>
          <w:rFonts w:ascii="Arial Black" w:hAnsi="Arial Black"/>
          <w:caps/>
          <w:sz w:val="15"/>
        </w:rPr>
        <w:t>H/A/46/</w:t>
      </w:r>
      <w:bookmarkStart w:id="0" w:name="Code"/>
      <w:bookmarkEnd w:id="0"/>
      <w:r>
        <w:rPr>
          <w:rFonts w:ascii="Arial Black" w:hAnsi="Arial Black"/>
          <w:caps/>
          <w:sz w:val="15"/>
        </w:rPr>
        <w:t>2 PROV.</w:t>
      </w:r>
    </w:p>
    <w:p w14:paraId="65D361C1" w14:textId="20B56B3A" w:rsidR="00CE65D4" w:rsidRPr="00CE65D4" w:rsidRDefault="00CE65D4" w:rsidP="00CE65D4">
      <w:pPr>
        <w:jc w:val="right"/>
        <w:rPr>
          <w:rFonts w:ascii="Arial Black" w:hAnsi="Arial Black"/>
          <w:caps/>
          <w:sz w:val="15"/>
          <w:szCs w:val="15"/>
        </w:rPr>
      </w:pPr>
      <w:r>
        <w:rPr>
          <w:rFonts w:ascii="Arial Black" w:hAnsi="Arial Black"/>
          <w:caps/>
          <w:sz w:val="15"/>
        </w:rPr>
        <w:t xml:space="preserve">ОРИГИНАЛ: </w:t>
      </w:r>
      <w:bookmarkStart w:id="1" w:name="Original"/>
      <w:r>
        <w:rPr>
          <w:rFonts w:ascii="Arial Black" w:hAnsi="Arial Black"/>
          <w:caps/>
          <w:sz w:val="15"/>
        </w:rPr>
        <w:t>АНГЛИЙСКИЙ</w:t>
      </w:r>
    </w:p>
    <w:bookmarkEnd w:id="1"/>
    <w:p w14:paraId="795A21D2" w14:textId="3AFF92B6" w:rsidR="008B2CC1" w:rsidRPr="00CE65D4" w:rsidRDefault="00CE65D4" w:rsidP="00CE65D4">
      <w:pPr>
        <w:spacing w:after="1200"/>
        <w:jc w:val="right"/>
        <w:rPr>
          <w:rFonts w:ascii="Arial Black" w:hAnsi="Arial Black"/>
          <w:caps/>
          <w:sz w:val="15"/>
          <w:szCs w:val="15"/>
        </w:rPr>
      </w:pPr>
      <w:r>
        <w:rPr>
          <w:rFonts w:ascii="Arial Black" w:hAnsi="Arial Black"/>
          <w:sz w:val="15"/>
        </w:rPr>
        <w:t>ДАТА:</w:t>
      </w:r>
      <w:r>
        <w:rPr>
          <w:rFonts w:ascii="Arial Black" w:hAnsi="Arial Black"/>
          <w:caps/>
          <w:sz w:val="15"/>
        </w:rPr>
        <w:t xml:space="preserve"> </w:t>
      </w:r>
      <w:bookmarkStart w:id="2" w:name="Date"/>
      <w:r>
        <w:rPr>
          <w:rFonts w:ascii="Arial Black" w:hAnsi="Arial Black"/>
          <w:caps/>
          <w:sz w:val="15"/>
        </w:rPr>
        <w:t>14 АВГУСТА 2026 ГОДА</w:t>
      </w:r>
    </w:p>
    <w:bookmarkEnd w:id="2"/>
    <w:p w14:paraId="11D06709" w14:textId="77777777" w:rsidR="008B2CC1" w:rsidRPr="003845C1" w:rsidRDefault="000676A8" w:rsidP="00CE65D4">
      <w:pPr>
        <w:spacing w:after="600"/>
        <w:rPr>
          <w:b/>
          <w:sz w:val="28"/>
          <w:szCs w:val="28"/>
        </w:rPr>
      </w:pPr>
      <w:r>
        <w:rPr>
          <w:b/>
          <w:sz w:val="28"/>
        </w:rPr>
        <w:t>Специальный союз по международному депонированию промышленных образцов (Гаагский союз)</w:t>
      </w:r>
    </w:p>
    <w:p w14:paraId="030D6D8F" w14:textId="77777777" w:rsidR="00A85B8E" w:rsidRPr="00A85B8E" w:rsidRDefault="00A85B8E" w:rsidP="00AF5C73">
      <w:pPr>
        <w:spacing w:after="720"/>
        <w:rPr>
          <w:b/>
          <w:sz w:val="28"/>
          <w:szCs w:val="28"/>
        </w:rPr>
      </w:pPr>
      <w:r>
        <w:rPr>
          <w:b/>
          <w:sz w:val="28"/>
        </w:rPr>
        <w:t>Ассамблея</w:t>
      </w:r>
    </w:p>
    <w:p w14:paraId="3530BDA6" w14:textId="77777777" w:rsidR="008B2CC1" w:rsidRPr="003845C1" w:rsidRDefault="000676A8" w:rsidP="008B2CC1">
      <w:pPr>
        <w:rPr>
          <w:b/>
          <w:sz w:val="24"/>
          <w:szCs w:val="24"/>
        </w:rPr>
      </w:pPr>
      <w:r>
        <w:rPr>
          <w:b/>
          <w:sz w:val="24"/>
        </w:rPr>
        <w:t>Сорок шестая (21-я внеочередная) сессия</w:t>
      </w:r>
    </w:p>
    <w:p w14:paraId="29E853B6" w14:textId="77777777" w:rsidR="008B2CC1" w:rsidRPr="009F3BF9" w:rsidRDefault="000676A8" w:rsidP="00CE65D4">
      <w:pPr>
        <w:spacing w:after="720"/>
      </w:pPr>
      <w:r>
        <w:rPr>
          <w:b/>
          <w:sz w:val="24"/>
        </w:rPr>
        <w:t>Женева, 7–15 июля 2026 года</w:t>
      </w:r>
    </w:p>
    <w:p w14:paraId="50E045C2" w14:textId="14B026B2" w:rsidR="008B2CC1" w:rsidRPr="009F3BF9" w:rsidRDefault="00530A04" w:rsidP="00CE65D4">
      <w:pPr>
        <w:spacing w:after="360"/>
        <w:rPr>
          <w:caps/>
          <w:sz w:val="24"/>
        </w:rPr>
      </w:pPr>
      <w:bookmarkStart w:id="3" w:name="TitleOfDoc"/>
      <w:r>
        <w:rPr>
          <w:caps/>
          <w:sz w:val="24"/>
        </w:rPr>
        <w:t>ПРОЕКТ ОТЧЕТА</w:t>
      </w:r>
    </w:p>
    <w:p w14:paraId="46E0F8BF" w14:textId="44C92F7D" w:rsidR="008B2CC1" w:rsidRPr="004D39C4" w:rsidRDefault="00530A04" w:rsidP="00CE65D4">
      <w:pPr>
        <w:spacing w:after="960"/>
        <w:rPr>
          <w:i/>
        </w:rPr>
      </w:pPr>
      <w:bookmarkStart w:id="4" w:name="Prepared"/>
      <w:bookmarkEnd w:id="3"/>
      <w:r>
        <w:rPr>
          <w:i/>
        </w:rPr>
        <w:t>подготовлен Секретариатом</w:t>
      </w:r>
    </w:p>
    <w:bookmarkEnd w:id="4"/>
    <w:p w14:paraId="26D1AB60" w14:textId="511E5E53" w:rsidR="00530A04" w:rsidRDefault="00530A04" w:rsidP="00530A04">
      <w:pPr>
        <w:pStyle w:val="ONUME"/>
      </w:pPr>
      <w:r>
        <w:t>Ассамблея занималась следующими пунктами сводной повестки дня (документ</w:t>
      </w:r>
      <w:r w:rsidR="00A97226">
        <w:t> </w:t>
      </w:r>
      <w:hyperlink r:id="rId14" w:history="1">
        <w:r w:rsidRPr="00BE39C1">
          <w:rPr>
            <w:rStyle w:val="Hyperlink"/>
          </w:rPr>
          <w:t>A/68/1</w:t>
        </w:r>
      </w:hyperlink>
      <w:r>
        <w:t>): 1–4, 6, 9(ii), 10, 14, 18, 22 и 23.</w:t>
      </w:r>
    </w:p>
    <w:p w14:paraId="54A84383" w14:textId="785A106F" w:rsidR="00530A04" w:rsidRDefault="00530A04" w:rsidP="00530A04">
      <w:pPr>
        <w:pStyle w:val="ONUME"/>
      </w:pPr>
      <w:r>
        <w:t>Отчет об обсуждении указанных пунктов, за исключением пункта 14, содержится в проекте Общего отчета (документ A/68/10 Prov.).</w:t>
      </w:r>
    </w:p>
    <w:p w14:paraId="5632D6EC" w14:textId="77777777" w:rsidR="00530A04" w:rsidRDefault="00530A04" w:rsidP="00530A04">
      <w:pPr>
        <w:pStyle w:val="ONUME"/>
      </w:pPr>
      <w:r>
        <w:t>Отчет об обсуждении пункта 14 содержится в настоящем документе.</w:t>
      </w:r>
    </w:p>
    <w:p w14:paraId="776C0FDF" w14:textId="216E31BD" w:rsidR="00530A04" w:rsidRDefault="00530A04" w:rsidP="00530A04">
      <w:pPr>
        <w:pStyle w:val="ONUME"/>
      </w:pPr>
      <w:r>
        <w:t xml:space="preserve">Заседание проходило под председательством г-жи Грейс Иссак (Гана), Председателя Ассамблеи Гаагского союза. </w:t>
      </w:r>
    </w:p>
    <w:p w14:paraId="07A9CCAF" w14:textId="77777777" w:rsidR="00530A04" w:rsidRDefault="00530A04" w:rsidP="00530A04">
      <w:pPr>
        <w:pStyle w:val="Heading2"/>
        <w:spacing w:line="480" w:lineRule="auto"/>
      </w:pPr>
      <w:r>
        <w:br w:type="page"/>
      </w:r>
      <w:r>
        <w:lastRenderedPageBreak/>
        <w:t>ПУНКТ 14 СВОДНОЙ ПОВЕСТКИ ДНЯ</w:t>
      </w:r>
      <w:r>
        <w:br/>
        <w:t>ГААГСКАЯ СИСТЕМА</w:t>
      </w:r>
    </w:p>
    <w:p w14:paraId="181E13FE" w14:textId="7225B890" w:rsidR="00530A04" w:rsidRDefault="00530A04" w:rsidP="00530A04">
      <w:pPr>
        <w:pStyle w:val="ONUME"/>
      </w:pPr>
      <w:bookmarkStart w:id="5" w:name="_Hlk168923797"/>
      <w:r>
        <w:t xml:space="preserve">Обсуждения проходили на основе документа </w:t>
      </w:r>
      <w:bookmarkEnd w:id="5"/>
      <w:r>
        <w:fldChar w:fldCharType="begin"/>
      </w:r>
      <w:r>
        <w:instrText>HYPERLINK "https://www.wipo.int/edocs/mdocs/govbody/ru/h_a_46/h_a_46_1.pdf"</w:instrText>
      </w:r>
      <w:r>
        <w:fldChar w:fldCharType="separate"/>
      </w:r>
      <w:r>
        <w:rPr>
          <w:rStyle w:val="Hyperlink"/>
        </w:rPr>
        <w:t>H/A/46/1</w:t>
      </w:r>
      <w:r>
        <w:fldChar w:fldCharType="end"/>
      </w:r>
      <w:r>
        <w:t>.</w:t>
      </w:r>
    </w:p>
    <w:p w14:paraId="62C78A99" w14:textId="591815F5" w:rsidR="003D2A2E" w:rsidRDefault="00D510F8" w:rsidP="000C2212">
      <w:pPr>
        <w:pStyle w:val="ONUME"/>
      </w:pPr>
      <w:hyperlink r:id="rId15">
        <w:r>
          <w:rPr>
            <w:rStyle w:val="Hyperlink"/>
          </w:rPr>
          <w:t>ПРЕДСЕДАТЕЛЬ</w:t>
        </w:r>
      </w:hyperlink>
      <w:r>
        <w:t xml:space="preserve">: Сейчас мы переходим к рассмотрению пункта 14 повестки дня, посвященного Гаагской системе. На рассмотрении находится один документ, указанный в перечне документов, а именно документ H/A/46/1. Я хотела бы поприветствовать две новые Договаривающиеся стороны Женевского акта Гаагского договора — Сальвадор и Евразийскую патентную организацию (ЕАПО). В отношении Сальвадора Женевский акт вступит в действие 7 октября 2026 года, а в отношении ЕАПО — 10 октября 2026 года. Теперь мы переходим к документу H/A/46/1, озаглавленному «Отчет о сессии Рабочей группы по правовому развитию Гаагской системы международной регистрации промышленных образцов». Я хотела бы пригласить г-жу Мари Поль Ризо, директора Отдела по правовому развитию и расширению участия в договорах Гаагской системы, кратко представить документ H/A/46/1. </w:t>
      </w:r>
    </w:p>
    <w:p w14:paraId="0A018BF8" w14:textId="402E43AA" w:rsidR="003D2A2E" w:rsidRDefault="00D510F8" w:rsidP="003D2A2E">
      <w:pPr>
        <w:pStyle w:val="ONUME"/>
      </w:pPr>
      <w:hyperlink r:id="rId16">
        <w:r>
          <w:rPr>
            <w:rStyle w:val="Hyperlink"/>
          </w:rPr>
          <w:t>СЕКРЕТАРИАТ</w:t>
        </w:r>
      </w:hyperlink>
      <w:r>
        <w:t xml:space="preserve">: Рабочая группа по правовому развитию Гаагской системы международной регистрации промышленных образцов провела свою четырнадцатую сессию 6–8 октября 2025 года. В документе H/A/46/1 содержится отчет обо всех вопросах, которые были обсуждены на этой сессии. Позвольте мне озвучить следующие важные аспекты. Во-первых, Рабочая группа приняла к сведению отчет о консультациях, проведенных Международным бюро с ведомствами заинтересованных Договаривающихся сторон по вопросу об обмене приоритетными документами в контексте Гаагской системы. Рабочая группа также рассмотрела две предложенные поправки в Общую инструкцию к Женевскому акту (1999 года) Гаагского соглашения. Первая поправка касается предложения исключить требование о принадлежности к одному классу для множественных заявок. Данное предложение направлено на повышение привлекательности Гаагской системы за счет повышения гибкости для пользователей при одновременном обеспечении возможности для Договаривающихся сторон оставить в силе свои нынешние требования к заявкам. Рабочая группа поручила доработать данное предложение к следующей сессии. Рабочая группа также приняла решение продолжить на следующей сессии обсуждение предложения делегации Бразилии о введении нового правила, предусматривающего пересылку сообщений от ведомств правообладателям через Международное бюро. Что касается изображений образцов, Рабочая группа одобрила улучшение качества изображений в формате 2D и поручила Международному бюро сформировать консультативный форум для обсуждения плана применения и технических деталей. Рабочая группа также приняла решение продолжить на одной из будущих сессии обсуждение вопроса о возможном введении 3D-файлов и видеофайлов. Помимо этого, Рабочая группа продолжила обсуждение вопроса о пересмотре Перечня пошлин Гаагской системы и попросила Международное бюро подготовить более широкий обзор этого Перечня для рассмотрения на одной из следующих сессий. Наконец, Рабочая группа продолжила обсуждение возможного включения в Гаагскую систему новых языков и попросила Международное бюро подготовить документ, в котором будут представлены возможные варианты сокращения расходов на перевод при сохранении качества и оптимизации практики перевода, а также обновленный финансовый анализ возможности введения новых языков. </w:t>
      </w:r>
    </w:p>
    <w:p w14:paraId="4C573FE1" w14:textId="302BACC4" w:rsidR="003D2A2E" w:rsidRDefault="00D510F8" w:rsidP="003D2A2E">
      <w:pPr>
        <w:pStyle w:val="ONUME"/>
      </w:pPr>
      <w:hyperlink r:id="rId17">
        <w:r>
          <w:rPr>
            <w:rStyle w:val="Hyperlink"/>
          </w:rPr>
          <w:t>РОССИЙСКАЯ ФЕДЕРАЦИЯ</w:t>
        </w:r>
      </w:hyperlink>
      <w:r>
        <w:t xml:space="preserve">: Российская Федерация имеет честь представить заявление от имени Группы стран Центральной Азии, Кавказа и Восточной Европы (ГЦАКВЕ), являющихся членами Гаагской системы. Выражаем благодарность заместителю Генерального директора г-же Ван и Секретариату за подготовку отчета о 14-й сессии Рабочей группы по развитию Гаагской системы международной регистрации промышленных образцов. Для государств нашей Региональной группы Гаагская система </w:t>
      </w:r>
      <w:r>
        <w:lastRenderedPageBreak/>
        <w:t xml:space="preserve">имеет весьма важное значение для обеспечения доступа заявителей к зарубежным рынкам. В этой связи заинтересованы в дальнейшем развитии системы и повышению ее удобства для всех пользователей. Одним из ключевых направлений такой работы считаем расширение языкового режима Гаагской системы. Последовательно выступаем за увеличение количества рабочих языков, в том числе посредством внедрения русского языка. Считаем, что такой шаг будет способствовать повышению доступности и укреплению универсального характера Гаагской системы, а также привлечению новых пользователей.  Со своей стороны, продолжим оказывать Секретариату всестороннее содействие по данному вопросу. Отдельное внимание уделяем адаптации Гаагской системы к современному уровню технологического развития.  Положительно отмечаем одобрение Рабочей группой мер по улучшению качества представляемых в двухмерном формате изображений. При этом считаем целесообразным продолжить работу по расширению допустимых форматов представления промышленных образцов в международных заявках, включая использование трехмерных изображений и моделей.  ГЦАКВЕ подтверждает готовность и далее вносить конструктивный вклад в развитие Гаагской системы. </w:t>
      </w:r>
    </w:p>
    <w:p w14:paraId="00598AFE" w14:textId="1F89368B" w:rsidR="003D2A2E" w:rsidRPr="00AE72CF" w:rsidRDefault="00D510F8" w:rsidP="003D2A2E">
      <w:pPr>
        <w:pStyle w:val="ONUME"/>
      </w:pPr>
      <w:hyperlink r:id="rId18">
        <w:r>
          <w:rPr>
            <w:rStyle w:val="Hyperlink"/>
          </w:rPr>
          <w:t>КИТАЙ</w:t>
        </w:r>
      </w:hyperlink>
      <w:r>
        <w:t xml:space="preserve">: Делегация Китая высоко оценивает усилия всех сторон, направленные на достижение прогресса в работе над темами, рассматриваемыми в рамках Рабочей группы по Гаагской системе. Как крупнейший пользователь Гаагской системы, Китай всегда придавал большое значение долгосрочному и устойчивому развитию Гаагской системы и активно и конструктивно участвовал в обсуждениях. Китай рассчитывает на предметный прогресс по таким вопросам, как включение новых языков и пересмотр Перечня пошлин, поскольку они непосредственно затрагивают интересы пользователей.  Такой прогресс позволит и далее совершенствовать Гаагскую систему, привлекать новых пользователей и содействовать предоставлению более качественных и удобных услуг пользователям во всем мире. </w:t>
      </w:r>
    </w:p>
    <w:p w14:paraId="2632C7B8" w14:textId="4EA0FDFA" w:rsidR="003D2A2E" w:rsidRDefault="00D510F8" w:rsidP="003D2A2E">
      <w:pPr>
        <w:pStyle w:val="ONUME"/>
      </w:pPr>
      <w:hyperlink r:id="rId19">
        <w:r>
          <w:rPr>
            <w:rStyle w:val="Hyperlink"/>
          </w:rPr>
          <w:t>АЛБАНИЯ</w:t>
        </w:r>
      </w:hyperlink>
      <w:r>
        <w:t xml:space="preserve">: Имею честь предоставить это заявление от имени Группы государств Центральной Европы и Балтии (ГЦЕБ). Прежде всего Группа ГЦЕБ хотела бы поблагодарить Секретариат и Международное бюро за подготовку документа H/A/46/1. Мы также бы хотели благодарность г-же Мирто Ламбру Маурер из Греции за ее </w:t>
      </w:r>
      <w:r>
        <w:br/>
        <w:t xml:space="preserve">отличное руководство работой 14-й сессии Рабочей группы и горячо поздравляем г-жу Элизабет Джоунс из Соединенного Королевства с ее избранием в качестве Председателя 15-й сессии. Группа ГЦЕБ приветствуют продолжение работы по увеличению привлекательности, простоты и гибкости Гаагской системы. В этом отношении мы отмечаем конструктивную дискуссию по предложению исключить требование о принадлежности к одному классу при подаче множественных заявок на образцы, и ожидаем представление результатов дальнейшего анализа, порученного Международному бюро, чтобы гарантировать всесторонний учет внутренних требований Договаривающихся сторон. Кроме того, наша Группа приветствует достижение согласия по вопросу о повышении качества 2D-изображений. Мы с нетерпением ждем возможность принять участие в работе будущего консультационного форума для обсуждения плана внедрения и технических деталей при одновременном продолжении в дальнейшем дискуссий о потенциальном введении 3D-файлов и видеофайлов. Мы также хотели бы отметить продолжающееся обсуждение Перечня пошлин и поддерживаем проведение более широкого анализа для оценки последствий ранее внесенных в него изменений в целях обеспечения финансовой устойчивости всей системы. Переходя к чувствительному вопросу о возможном введении новых языков в Гаагскую систему, Группа ГЦЕБ сохраняют осторожную и прагматичную позицию. Мы вновь заявляем, что любое такое расширение требует тщательного и реалистичного анализа потенциального отрицательного финансового эффекта для настоящих и будущих пользователей. Хотя мы принимаем к сведению просьбу Рабочей группы о подготовке обновленных исследований по инструментам машинного перевода на основе искусственного интеллекта (ИИ) и расходам на перевод, отдаваемый на внешний подряд, мы крепко верим, что основными критериями принятия любого решения должны оставаться техническая и финансовая реализуемость мер. Следовательно, в полной мере учитывая серьезную обеспокоенность финансовой стороной вопроса вкупе с вызывающим озабоченность геополитическим контекстом агрессивной войны России против Украины, которая длится теперь уже пятый год, Группа ГЦЕБ по-прежнему не готова поддержать введение русского языка в рамках Гаагской системы. Представив эти замечания, Группа ГЦЕБ принимает отчет к сведению. </w:t>
      </w:r>
    </w:p>
    <w:p w14:paraId="2A82BDCE" w14:textId="4D9124AC" w:rsidR="003D2A2E" w:rsidRDefault="002701BD" w:rsidP="003D2A2E">
      <w:pPr>
        <w:pStyle w:val="ONUME"/>
      </w:pPr>
      <w:hyperlink r:id="rId20">
        <w:r>
          <w:rPr>
            <w:rStyle w:val="Hyperlink"/>
          </w:rPr>
          <w:t>ЕВРОПЕЙСКИЙ СОЮЗ (ЕС)</w:t>
        </w:r>
      </w:hyperlink>
      <w:r>
        <w:t xml:space="preserve">: Европейский союз (ЕС) и его государства-члены придают огромное значение Гаагской системе как одной из ключевых международных систем регистраций, управляемыми ВОИС, а также работе, предпринятой Рабочей группой по правовому развитию Гаагской системы международной регистрации промышленных образцов. Мы хотели бы благодарить Секретариат за работу, проделанную за прошедший год, и Председателя Рабочей группы за руководство обсуждениями во время последней сессии. Мы верим, что предложения, предложенные Секретариатом с целью модернизации системы, такие как исключение требования о принадлежности к одному классу или включение новых форматов изображения образцов, являются положительным шагом на пути к модернизации системы, которая имеет теперь уже столетнюю историю. Мы ожидаем продолжения обсуждений по таким предложениям во время следующей сессии Рабочей группы и инициативной работы с целью значимого совершенствования системы. В отношении возможного включения новых языков в систему, мы полагаем, что введение какого-либо нового языка в любую систему, административные функции которой выполняет ВОИС, должно обеспечивать некое преимущество и не обременять ее пользователей. Кроме того, мы считаем, что введение новых языков в различные системы должно осуществляться постепенно. Это могло бы позволить нам оценивать результаты таких мер прежде, чем принимать какие-либо дальнейшие шаги, и обеспечивать стабильность международных систем регистрации. В этой связи нашим приоритетом по-прежнему должно быть поддержание надлежащего функционирования международных систем регистрации и, что особенно важно в данном случае, сервисов Гаагской системы. </w:t>
      </w:r>
    </w:p>
    <w:p w14:paraId="2F8AE4F6" w14:textId="1D3FB347" w:rsidR="003D2A2E" w:rsidRDefault="00D510F8" w:rsidP="003D2A2E">
      <w:pPr>
        <w:pStyle w:val="ONUME"/>
      </w:pPr>
      <w:hyperlink r:id="rId21">
        <w:r>
          <w:rPr>
            <w:rStyle w:val="Hyperlink"/>
          </w:rPr>
          <w:t>СОЕДИНЕННЫЕ ШТАТЫ АМЕРИКИ</w:t>
        </w:r>
      </w:hyperlink>
      <w:r>
        <w:t>: Соединенные Штаты Америки полностью поддерживают усилия, направленные на обеспечение того, чтобы доходы Гаагского союза от пошлин и из других источников как минимум были достаточными для покрытия всех расходов Международного бюро, касающихся Гаагского союза. Делегация по-прежнему заинтересована в будущих обсуждениях, касающихся более широкого и всеобъемлющего анализа Перечня пошлин, а также любых предложений, цель которых состоит в повышении финансовой устойчивости Гаагской системы. Что касается Службы цифрового доступа ВОИС (СЦД ВОИС), мы считаем, что СЦД ВОИС является наиболее эффективной и удобной для пользователей системой обмена приоритетными документами по образцам. При указании Соединенных Штатов в заявке на регистрацию международного промышленного образца заявитель должен представить заверенную копию предшествующей заявки на этапе рассмотрения заявки в Ведомстве Соединенных Штатов Америки по патентам и товарным знакам (ВПТЗ США). Мы отмечаем, что Соединенные Штаты не взимают пошлину за представление приоритетного документа. СЦД ВОИС позволяет заявителям лучше ориентироваться в разных процедурах и требованиях, касающихся приоритета, в юрисдикциях по всему миру, включая Соединенные Штаты Америки. Нам хорошо известно, что при подаче заявок на промышленные образцы заявители, включая заявителей из Соединенных Штатов, а также заявителей из других стран мира, сталкиваются с трудностями при представлении притязаний на приоритет за пределами Соединенных Штатов Америки даже при использовании системы СЦД ВОИС. С учетом принципов и удобства для пользователей как СЦД ВОИС, так и Гаагской системы мы призываем все Договаривающиеся стороны рассмотреть возможность устранения всех дополнительных требований, таких как наличие перевода и уплата пошлин, помимо предоставления самого приоритетного документа через СЦД ВОИС. Мы особенно призываем Договаривающиеся стороны предоставлять достаточные сроки и направлять уведомления о необходимости соблюдения таких дополнительных требований.</w:t>
      </w:r>
    </w:p>
    <w:p w14:paraId="3E27B9CF" w14:textId="75920421" w:rsidR="003D2A2E" w:rsidRDefault="00D510F8" w:rsidP="003D2A2E">
      <w:pPr>
        <w:pStyle w:val="ONUME"/>
      </w:pPr>
      <w:hyperlink r:id="rId22">
        <w:r>
          <w:rPr>
            <w:rStyle w:val="Hyperlink"/>
          </w:rPr>
          <w:t>СОЕДИНЕННОЕ КОРОЛЕВСТВО</w:t>
        </w:r>
      </w:hyperlink>
      <w:r>
        <w:t>: Соединенное Королевство благодарит Секретариат за подготовку отчета, содержащегося в документе H/A/46/1. Мы приветствуем усилия по совершенствованию и модернизации Гаагской системы. В связи с этим мы рассчитываем на продолжение обсуждения новых форматов представления образцов на следующей сессии Рабочей группы. Это важная тема, которая требует тщательного обсуждения для обеспечения надлежащего учета всех аспектов. Соединенное Королевство считает, что Гаагская система должна быть финансово устойчивой, оставаясь при этом доступной для пользователей. Мы благодарим Секретариат за проделанную к настоящему времени работу по предоставлению информации о Перечне пошлин.</w:t>
      </w:r>
    </w:p>
    <w:p w14:paraId="266071A2" w14:textId="3426ABA7" w:rsidR="003D2A2E" w:rsidRDefault="00D510F8" w:rsidP="003D2A2E">
      <w:pPr>
        <w:pStyle w:val="ONUME"/>
      </w:pPr>
      <w:hyperlink r:id="rId23">
        <w:r>
          <w:rPr>
            <w:rStyle w:val="Hyperlink"/>
          </w:rPr>
          <w:t>УКРАИНА</w:t>
        </w:r>
      </w:hyperlink>
      <w:r>
        <w:t xml:space="preserve">: Делегация Украины присоединяется к заявлению, сделанному уважаемой делегацией Албании от имени Группы ГЦЕБ. Делегация Украины приветствует продолжение работы, направленной на повышение привлекательности, простоты и гибкости Гаагской системы, и мы сохраняем приверженность конструктивному участию в деятельности Рабочей группы по Гаагской системе. В более широком контексте улучшения доступа к информации о промышленных образцах Украина хотела бы сообщить соответствующую национальную информацию. В ходе этих Ассамблей Украина подписала с ВОИС Соглашение об обмене данными в области интеллектуальной собственности (ИС), которое будет способствовать обеспечению в будущем доступности данных Украины о промышленных образцах через Глобальную базу данных ВОИС по образцам. Мы выражаем признательность Секретариату ВОИС за его поддержку в заключении этого Соглашения. Кроме того, с учетом более широкой повестки дня Украины, связанной с присоединением к Европейскому союзу, на прошлой неделе данные Украины об образцах были включены в инструмент DesignView Ведомства интеллектуальной собственности Европейского союза (ВИС ЕС), что дополнительно улучшает доступ к информации о промышленных образцах Украины для пользователей во всем мире. Мы также благодарим ВИС ЕС и участников финансируемого Европейским союзом проекта за их ценную поддержку в работе по данному направлению. Что касается возможного включения новых языков в Гаагскую систему, Украина вновь заявляет о своей твердой позиции, согласно которой любое такое решение должно основываться на объективных критериях, четко выраженном спросе со стороны пользователей и реалистичной оценке технических, финансовых и операционных последствий. В этой связи Украина не видит оснований для включения русского языка в Гаагскую систему. Такой шаг не был бы подкреплен подтвержденной потребностью пользователей и мог бы повлечь за собой неоправданные расходы и бремя для нынешних пользователей. Украина должна вновь обратить внимание на неправомерное использование административных систем ВОИС, включая Гаагскую систему. Украина высоко оценивает уже принятые Международным бюро меры, включая введение и расширение соответствующих оговорок. Однако оговорки не являются окончательным решением, и поэтому Украина призывает к принятию дальнейших эффективных технических и организационных мер для обеспечения того, чтобы публикации, записи и соответствующие данные Гаагской системы не могли использоваться для легитимизации попыток России исказить международно признанные границы Украины. Украина сохраняет приверженность сбалансированной и эффективной Гаагской системе, которая служит интересам пользователей и полностью уважает принципы суверенитета, независимости и территориальной целостности государств-членов. </w:t>
      </w:r>
    </w:p>
    <w:p w14:paraId="4BF87CDE" w14:textId="26A79EFA" w:rsidR="003D2A2E" w:rsidRDefault="00D510F8" w:rsidP="003D2A2E">
      <w:pPr>
        <w:pStyle w:val="ONUME"/>
      </w:pPr>
      <w:hyperlink r:id="rId24">
        <w:r>
          <w:rPr>
            <w:rStyle w:val="Hyperlink"/>
          </w:rPr>
          <w:t>САЛЬВАДОР</w:t>
        </w:r>
      </w:hyperlink>
      <w:r>
        <w:t xml:space="preserve">: Делегация Сальвадора имеет честь выступить в своем национальном качестве. Мы благодарим Секретариат ВОИС за представление отчета Рабочей группы по правовому развитию Гаагской системы международной регистрации промышленных образцов. Мы приветствуем прогресс, достигнутый в рамках этой группы, особенно в том, что касается упрощения Гаагской системы и повышения ее доступности, включая анализ предложений о предоставлении большей гибкости при подаче множественных заявок на промышленные образцы, а также усилия по расширению форматов представления образцов за счет включения новых технологий. Мы также признаем важность содействия расширению применения эффективной международной системы, которая адаптирована к потребностям пользователей и может упростить охрану промышленных образцов и способствовать укреплению инноваций и творчества на глобальном уровне. Мы рады сообщить, что 7 июля мы депонировали четыре документа о ратификации договоров, административные функции которых выполняет ВОИС, и о присоединении к ним, включая документ о присоединении к Женевскому акту Гаагского соглашения о международной регистрации промышленных образцов. Это важный шаг на пути укрепления национальной системы ИС на благо создателей промышленных образцов и предприятий творческого сектора, индустрии моды, сфер технологий и производства, которые стремятся обеспечить охрану своих образцов на международных рынках. Мы вновь подтверждаем нашу приверженность дальнейшей защите стратегического использования ИС в качестве инструмента содействия инновациям, конкурентоспособности и экономическому развитию. </w:t>
      </w:r>
    </w:p>
    <w:p w14:paraId="4E439EEB" w14:textId="6A52BF54" w:rsidR="003D2A2E" w:rsidRDefault="00D510F8" w:rsidP="003D2A2E">
      <w:pPr>
        <w:pStyle w:val="ONUME"/>
      </w:pPr>
      <w:hyperlink r:id="rId25">
        <w:r>
          <w:rPr>
            <w:rStyle w:val="Hyperlink"/>
          </w:rPr>
          <w:t>КОТ-Д’ИВУАР</w:t>
        </w:r>
      </w:hyperlink>
      <w:r>
        <w:t xml:space="preserve">: Делегация Кот-д’Ивуара хотела бы поблагодарить вас за столь эффективное руководство нашей работой на благо Гаагской системы международной регистрации промышленных образцов. Мы приветствуем прогресс, достигнутый в реализации механизмов Гаагской системы, и инициативы, предпринятые в целях повышения эффективности, прозрачности и доступности системы для пользователей. Мы твердо убеждены в том, что международная система охраны промышленных образцов способствует развитию творчества, инноваций и экономическому развитию, особенно в развивающихся странах. Мы хотели бы особо подчеркнуть важность многоязычия в Организации. Более инклюзивный многоязычный режим способствовал бы более широкому и эффективному участию государств-членов, расширению доступа к услугам в области ИС и более эффективному распространению инноваций и знаний. Мы поддерживаем усилия по постепенному расширению многоязычия во всей Гаагской системе с учетом имеющихся ресурсов и участия государств-членов. Мы вновь заявляем о поддержке Кот-д’Ивуаром работы Гаагской системы. </w:t>
      </w:r>
    </w:p>
    <w:p w14:paraId="30D85A78" w14:textId="52F7D669" w:rsidR="003D2A2E" w:rsidRDefault="00D510F8" w:rsidP="003D2A2E">
      <w:pPr>
        <w:pStyle w:val="ONUME"/>
      </w:pPr>
      <w:hyperlink r:id="rId26">
        <w:r>
          <w:rPr>
            <w:rStyle w:val="Hyperlink"/>
          </w:rPr>
          <w:t>ЛАТВИЯ</w:t>
        </w:r>
      </w:hyperlink>
      <w:r>
        <w:t xml:space="preserve">: Латвия присоединяется к заявлениям, сделанным Группой ГЦЕБ и Украиной. Мы приветствуем продолжение работы по правовому развитию Гаагской системы и усилия Секретариата по дальнейшей модернизации и совершенствованию сервисов для пользователей. Однако, что касается предложения о включении дополнительных языков в Гаагскую систему, Латвия твердо придерживается мнения, что это не является ни верным приоритетом, ни своевременным шагом. В то время, когда Российская Федерация продолжает жестокую войну против Украины, продолжает нарушать международное право и разрушать сами условия, позволяющие процветать инновациям, творчеству и международному сотрудничеству, Латвия не может поддержать включение русского языка в качестве дополнительного рабочего языка Гаагской системы. Логика здесь очень проста. Какой сигнал это послало бы? Как и в прошлом году, мы хотели бы вновь подчеркнуть один момент. Помимо нынешних геополитических обстоятельств, мы также твердо убеждены, что ВОИС следует применять более стратегический и ориентированный на будущее подход к обеспечению многоязычной доступности. Вместо того чтобы вкладывать значительные финансовые и административные ресурсы в интеграцию отдельных языков один за другим, ВОИС следует уделять первоочередное внимание разработке и внедрению безопасных инструментов перевода и языковых технологий на базе ИИ. Такие решения потенциально способны сделать услуги ВОИС в целом многоязычными, более доступными для всех пользователей, более экономически эффективными и более простыми в поддержании с течением времени. Мы хотим сказать, что вопрос, следовательно, должен заключаться не в том, как сегодня добавить еще один язык, а в том, как завтра сделать ВОИС доступной на многих языках. По этим причинам Латвия не может поддержать включение русского языка в Гаагскую систему. </w:t>
      </w:r>
    </w:p>
    <w:p w14:paraId="4AA48C0A" w14:textId="7CA3610F" w:rsidR="003D2A2E" w:rsidRDefault="00D510F8" w:rsidP="003D2A2E">
      <w:pPr>
        <w:pStyle w:val="ONUME"/>
      </w:pPr>
      <w:hyperlink r:id="rId27">
        <w:r>
          <w:rPr>
            <w:rStyle w:val="Hyperlink"/>
          </w:rPr>
          <w:t>ЛИТВА</w:t>
        </w:r>
      </w:hyperlink>
      <w:r>
        <w:t xml:space="preserve">: Литва присоединяется к заявлениям, сделанным Европейским союзом и его государствами-членами, Албанией от имени Группы ГЦЕБ и делегацией Латвии. Мы хотели бы выразить искреннюю признательность Секретариату ВОИС и всем государствам-членам за их непрестанные усилия и за существенный прогресс, достигнутый в деятельности Рабочей группы по правовому развитию Гаагской системы. Литва приветствует продолжающиеся усилия по повышению привлекательности, эффективности и удобства Гаагской системы для пользователей. В этой связи мы принимаем к сведению конструктивные обсуждения предложения об отмене требования о принадлежности к одному классу в отношении заявок, содержащих несколько образцов. Литва поддерживает проведение Международным бюро дальнейшего анализа и в принципе открыта для обеспечения большей гибкости в этой области. Мы считаем, что это обсуждение особенно своевременно с учетом недавней реформы законодательства Европейского союза в области промышленных образцов, которая была направлена на модернизацию и упрощение механизмов охраны образцов и более полный учет потребностей современных пользователей. Литва поддерживает дальнейшее обсуждение возможного введения трехмерных изображений и видеофайлов, так как они могли бы дополнительно расширить возможности по обработке в рамках Гаагской системы инновационных и все более сложных промышленных образцов в цифровую эпоху. Кроме того, Литва поддерживает сбалансированный, основанный на фактических данных и критериях подход к любому будущему рассмотрению дополнительных языков в рамках Гаагской системы. Любые обсуждения расширения языкового режима должны основываться на объективных данных, подтвержденных потребностях пользователей, операционной осуществимости и финансовой устойчивости при одновременном обеспечении того, чтобы на пользователей системы не возлагалось несоразмерное бремя. В то же время Литва хотела бы вновь заявить о своей четкой и принципиальной позиции в отношении предложений о включении русского языка в качестве еще одного языка Гаагской системы. Пока Российская Федерация продолжает свою неспровоцированную, необоснованную и незаконную агрессивную войну против Украины в нарушение международного права и принципов Устава Организации Объединенных Наций (ООН), Литва остается твердо против таких предложений и не может поддержать включение русского языка в Гаагскую систему. По нашему мнению, в нынешних обстоятельствах нет достаточных оснований для продвижения такой инициативы. Любое рассмотрение дополнительных языков должно по-прежнему твердо основываться на объективных критериях и реальном спросе со стороны пользователей. Литва сохраняет приверженность конструктивному участию в продолжающейся модернизации Гаагской системы и рассчитывает на работу с другими государствами-членами и Международным бюро над решениями, которые отвечают меняющимся потребностям пользователей, сохраняя при этом эффективность и устойчивость системы. </w:t>
      </w:r>
    </w:p>
    <w:p w14:paraId="6C13F300" w14:textId="09A68A2E" w:rsidR="003D2A2E" w:rsidRDefault="00D510F8" w:rsidP="003D2A2E">
      <w:pPr>
        <w:pStyle w:val="ONUME"/>
      </w:pPr>
      <w:hyperlink r:id="rId28">
        <w:r>
          <w:rPr>
            <w:rStyle w:val="Hyperlink"/>
          </w:rPr>
          <w:t>САУДОВСКАЯ АРАВИЯ</w:t>
        </w:r>
      </w:hyperlink>
      <w:r>
        <w:t xml:space="preserve">: Королевство Саудовская Аравия хотело бы поблагодарить Секретариат за подготовку этого отчета и выразить высокую оценку усилиям, предпринятым Секретариатом и Рабочей группой по правовому развитию Гаагской системы международной регистрации промышленных образцов. Мы также приняли к сведению отчет, в котором отражен значительный прогресс, достигнутый по ряду вопросов, например обмену приоритетными документами, развитию форматов представления образцов, пересмотру Перечня пошлин, а также продолжающимся обсуждениям возможного включения новых языков в Гаагскую систему. Королевство также высоко оценивает рассмотрение вопроса об использовании новых технологий, включая инструменты ИИ, для повышения эффективности переводческих услуг и снижения их стоимости. В этом контексте Королевство вновь подчеркивает важность продолжения изучения вопроса о включении арабского языка в число рабочих языков Гаагской системы. Такой шаг способствовал бы повышению инклюзивности и координации, расширению преимуществ системы для арабоязычных государств-членов и облегчению доступа к ее сервисам. Мы также хотели бы сослаться на обсуждения, отраженные в документе в отношении СЦД ВОИС. Королевство Саудовская Аравия вновь подтверждает свою неизменную поддержку работы Рабочей группы и свою приверженность сохранению конструктивного участия в целях налаживания координации по различным связанным с этим вопросам. Это будет способствовать дальнейшему развитию Гаагской системы и повышению ее эффективности и результативности на благо всех государств-членов. </w:t>
      </w:r>
    </w:p>
    <w:p w14:paraId="347848D9" w14:textId="5A7D118B" w:rsidR="003D2A2E" w:rsidRDefault="00D510F8" w:rsidP="003D2A2E">
      <w:pPr>
        <w:pStyle w:val="ONUME"/>
      </w:pPr>
      <w:hyperlink r:id="rId29">
        <w:r>
          <w:rPr>
            <w:rStyle w:val="Hyperlink"/>
          </w:rPr>
          <w:t>РОССИЙСКАЯ ФЕДЕРАЦИЯ</w:t>
        </w:r>
      </w:hyperlink>
      <w:r>
        <w:t xml:space="preserve">: Вынуждены начать свое заявление с реализации права на ответ. Отдельные делегации, не стесняясь и не подбирая слов, открыто признают, что для них единственной причиной неприятия инициативы по расширению языкового режима Гаагской системы являются политические мотивы. Тем самым они фактически подтверждают, что вопрос, имеющий сугубо технический характер и направленный на повышение доступности Гаагской системы для заявителей, искусственно переводится в политическую плоскость. Это абсолютно неприемлемо и противоречит цели нашей Организации, заключающейся в содействии охране интеллектуальной собственности во всем мире путем сотрудничества государств, закрепленной в конвенции, учреждающей ВОИС. При этом невозможно оспорить объективный факт: русский язык является одним из наиболее распространенных языков мира, на котором говорят более 255 миллионов человек. Он имеет статус государственного языка в ряде государств и широко используется как язык международного общения, науки, образования, технологий. Нет сомнений, что внедрение русского языка в рамках Гаагской системы позволит существенно повысить ее доступность для миллионов русскоязычных пользователей, будет способствовать росту числа заявок не только из Российской Федерации и стран ГЦАКВЕ, но и из других государств-членов ВОИС, включая государства Группы ГЦЕБ, где русский язык широко распространен и остается родным или языком повседневного общения для значительной части населения. Переходя к существу рассматриваемого пункта повестки, делегация Российской Федерации хотела бы выразить благодарность заместителю Генерального директора г-же Ван Биньин и Секретариату за подготовку и представление отчета о 14-й сессии Рабочей группы по развитию Гаагской системы международной регистрации промышленных образцов. Мы присоединяемся к заявлению ГЦАКВЕ и положительно отмечаем усилия Секретариата по совершенствованию Гаагской системы, а также одобрение Рабочей группой мер по улучшению качества представляемых в двухмерном формате изображений. Не менее важной задачей видим адаптацию Гаагской системы к современному уровню технологического развития. В этой связи поддерживаем продолжение работы по расширению форматов представления изображений промышленных образцов, в частности трехмерных форматов. Российская Федерация уже обладает практическим опытом применения подобных решений в национальной системе. При подаче заявки на патент на промышленный образец по национальной процедуре по желанию заявителя может быть представлена 3D-модель промышленного образца в электронной форме. Кроме того, в рамках Комитета по стандартам ВОИС мы продолжаем работать над развитием стандарта ST.91, посвященного представлению трехмерных моделей и изображений в материалах заявок. Разработанный Целевой группой по 3D под руководством Российской Федерации, сегодня этот стандарт последовательно совершенствуется. В частности, подготовлен проект нового приложения, посвященного поиску по 3D-моделям. Считаем данную работу важным вкладом в дальнейшее развитие цифровых технологий в Гаагской системе и благодарим Секретариат Гаагского реестра за участие в работе Целевой группы. Другим не менее важным направлениям дальнейшего развития Гаагской системы считаем постепенное расширение языкового режима. Надеемся на скорое внедрение в Гаагскую систему как минимум всех официальных языков ООН, включая русский, что позволит повысить ее доступность для заявителей, расширить круг пользователей и укрепить универсальный характер системы. Помимо этого, вынуждены еще раз повторить, что мы глубоко обеспокоены и решительно осуждаем противоречащие нормам международного права в сфере интеллектуальной собственности действия Европейского союза и его государств-членов в отношении регистрации и охраны прав российских заявителей и правообладателей на промышленные образцы. Подобная дискриминация по национальному признаку направлена непосредственно против заявителей. Она создает опасный прецедент для всего международного сообщества и уже приводит к утрате доверия к системе интеллектуальной собственности в целом. </w:t>
      </w:r>
    </w:p>
    <w:p w14:paraId="1968A951" w14:textId="097B864D" w:rsidR="003D2A2E" w:rsidRDefault="00D510F8" w:rsidP="003D2A2E">
      <w:pPr>
        <w:pStyle w:val="ONUME"/>
      </w:pPr>
      <w:hyperlink r:id="rId30">
        <w:r>
          <w:rPr>
            <w:rStyle w:val="Hyperlink"/>
          </w:rPr>
          <w:t>ПОЛЬША</w:t>
        </w:r>
      </w:hyperlink>
      <w:r>
        <w:t xml:space="preserve">: Польша приветствует работу Рабочей группы по правовому развитию Гаагской системы международной регистрации промышленных образцов. Мы хотели бы поблагодарить заместителя Генерального директора г-жу Ван Биньин, Председателей Рабочей группы и Секретариат за подготовку последней сессии. Отмечая историческую веху, связанную с тем, что Гаагская система функционирует уже более века, мы высоко оцениваем ее неизменную роль в содействии международной охране промышленных образцов. Кроме того, мы с большим удовлетворением отмечаем недавнее увеличение числа заявок на промышленные образцы с указанием Польши в рамках системы. Эта весьма положительная тенденция подчеркивает растущий интерес к нашему рынку и явным образом отражает возрастающую динамичность, эффективность и привлекательность этой международной системы. Мы тепло приветствуем предложения Секретариата, направленные на модернизацию системы. В частности, такие инициативы, как отмена требования о принадлежности к одному классу и включение новых форматов изображений образцов, являются значительным шагом на пути приведения системы в соответствие с современными технологическими и деловыми реалиями. Мы рассчитываем на продолжение обсуждений этих ключевых вопросов в ходе следующей сессии Рабочей группы. Что касается вопроса о возможном включении новых языков, моя делегация присоединяется к заявлениям, сделанным Европейским союзом, Албанией от имени Группы ГЦЕБ, Украиной, Латвией и Литвой. Мы считаем, что по этому вопросу необходимы дальнейшие обсуждения и тщательное рассмотрение. Мы хотели бы подчеркнуть, что такое возможное включение должно основываться на четких и объективных критериях и не должно создавать обременяющей административной или финансовой нагрузки на пользователей Гаагской системы. Для сохранения эффективности и удобства системы для пользователей к любому такому расширению следует подходить с должной осторожностью и осуществлять его на постепенной основе. В нынешней геополитической ситуации Польша не может поддержать включение русского языка в Гаагскую систему. Государство-агрессор, которое систематически нарушает международное право, Устав ООН и его принципы, также лежащие в основе этой Организации, не должно пользоваться ресурсами, средствами ВОИС и ее глобальными системами регистрации ИС до тех пор, пока оно продолжает свою необоснованную и неспровоцированную войну против Украины. </w:t>
      </w:r>
    </w:p>
    <w:p w14:paraId="3CDE78D4" w14:textId="2C2072B7" w:rsidR="003D2A2E" w:rsidRDefault="00D510F8" w:rsidP="008A4F27">
      <w:pPr>
        <w:pStyle w:val="ONUME"/>
      </w:pPr>
      <w:hyperlink r:id="rId31">
        <w:r>
          <w:rPr>
            <w:rStyle w:val="Hyperlink"/>
          </w:rPr>
          <w:t>ЛАОССКАЯ НАРОДНО-ДЕМОКРАТИЧЕСКАЯ РЕСПУБЛИКА</w:t>
        </w:r>
      </w:hyperlink>
      <w:r>
        <w:t>: Я хотел бы выразить искреннюю благодарность, а также отметить исторический и важный момент для Лаосской Народно-Демократической Республики, поскольку мы собираемся передать на хранение документ о присоединении к Женевскому акту Гаагского соглашения о международной регистрации промышленных образцов 14 июля 2026 года, то есть завтра. Эта важная веха отражает твердую приверженность правительства Лаосской Народно-Демократической Республики укреплению своей системы ИС и углублению взаимодействия с международным сообществом в области ИС. Гаагская система предоставит дизайнерам, авторам, предпринимателям и предприятиям упрощенный и экономически эффективный механизм для получения охраны их промышленных образцов в нескольких юрисдикциях посредством подачи одной международной заявки. В этой связи Лаосская Народно-Демократическая Республика хотела бы выразить искреннюю признательность Генеральному директору и заместителям Генерального директора ВОИС, Секретариату ВОИС и всем партнерам, которые предоставляли ценную техническую помощь, рекомендации и поддержку в укреплении потенциала в ходе процесса нашего присоединения. Их постоянное сотрудничество сыграло важную роль в том, что мы смогли достичь этой важной вехи. Для нас большая честь присоединиться к растущей семье Договаривающихся сторон Гаагского соглашения, и мы рассчитываем на тесную работу со всеми членами для обеспечения эффективной реализации механизмов системы и дальнейшего укрепления международного сотрудничества в области охраны промышленных образцов. Мы вновь подтверждаем нашу приверженность содействию инновациям, поддержке авторов и предпринимателей и внесению вклада в современную, инклюзивную и сбалансированную международную систему ИС, приносящую пользу всем.</w:t>
      </w:r>
    </w:p>
    <w:p w14:paraId="2C681F50" w14:textId="18860533" w:rsidR="003D2A2E" w:rsidRDefault="000324F3" w:rsidP="003D2A2E">
      <w:pPr>
        <w:pStyle w:val="ONUME"/>
      </w:pPr>
      <w:hyperlink r:id="rId32">
        <w:r>
          <w:rPr>
            <w:rStyle w:val="Hyperlink"/>
          </w:rPr>
          <w:t>ЕВРАЗИЙСКАЯ ПАТЕНТНАЯ ОРГАНИЗАЦИЯ</w:t>
        </w:r>
      </w:hyperlink>
      <w:r>
        <w:t xml:space="preserve"> (EAPO): Делегация с удовлетворением отмечает, что 10 июля ЕАПО передала Генеральному директору ВОИС на хранение свой документ о присоединении к Женевскому акту Гаагского соглашения о международной регистрации промышленных образцов. Это присоединение позволит нам укрепить синергию между двумя системами регистрации — региональной и международной системами. Заявители по всему миру смогут одновременно получать правовую охрану промышленных образцов во всем Евразийском регионе с использованием оптимизированной и упрощенной процедуры. Мы хотели бы искренне поблагодарить г-жу Ван Биньин и специалистов Гаагской системы за плодотворное сотрудничество при подготовке к присоединению и депонировании нашего документа. Мы надеемся на дальнейшее развитие Гаагской системы как с точки зрения увеличения числа Договаривающихся сторон, так и с точки зрения повышения доступности услуг на всех официальных языках ООН, включая русский, китайский и арабский языки. Мы считаем, что это очень важная мера для повышения привлекательности системы для многих, многих новых пользователей. Мы считаем, что современные технологии автоматизированного перевода позволяют развивать систему регистрации и инфраструктуру ВОИС в более широком смысле без создания чрезмерной обременительной нагрузки, тем самым поддерживая многоязычие как один из основополагающих принципов Организации и ООН. </w:t>
      </w:r>
    </w:p>
    <w:p w14:paraId="3E266D05" w14:textId="668844B8" w:rsidR="003D2A2E" w:rsidRDefault="00D510F8" w:rsidP="003D2A2E">
      <w:pPr>
        <w:pStyle w:val="ONUME"/>
      </w:pPr>
      <w:hyperlink r:id="rId33">
        <w:r>
          <w:rPr>
            <w:rStyle w:val="Hyperlink"/>
          </w:rPr>
          <w:t>АМЕРИКАНО-АРАБСКАЯ АССОЦИАЦИЯ ИНТЕЛЛЕКТУАЛЬНОЙ СОБСТВЕННОСТИ</w:t>
        </w:r>
      </w:hyperlink>
      <w:r>
        <w:rPr>
          <w:rStyle w:val="Hyperlink"/>
        </w:rPr>
        <w:t xml:space="preserve"> (AAIPA)</w:t>
      </w:r>
      <w:r>
        <w:t>: Прежде всего AAIPA хотела бы поблагодарить Секретариат ВОИС за предпринятые усилия, которые в прошлом году принесли плодотворные результаты в деле совершенствования и укрепления Гаагской системы. Мы считаем, что Гаагская система международной регистрации промышленных образцов является одним из основных инструментов, которые могут позволить нам охранять эти права в нашем регионе. Именно поэтому мы считаем, что должны реализовать значимые меры, с тем чтобы система стала бы более всеобъемлющей, более полной и чтобы больше пользователей могли пользоваться ей с пользой для себя. Мы должны, например, включить арабский язык в число официальных рабочих языков Гаагской системы. Это стало бы стратегическим шагом, имеющим первостепенное значение. Это позволило бы нам устранить любые языковые барьеры. Это также стало бы мерой, которая помогла бы нам обеспечить беспрепятственность коммуникации. Мы смогли бы также включить в эту систему больше арабоязычных стран, и это оказало бы положительное влияние на число пользователей, которые присоединились бы к этой системе. Мы решительно поддерживаем все предложения, направленные на развитие законов и правил, касающихся международной регистрации промышленных образцов, таким образом, чтобы обеспечить упрощение процедур и повысить их эффективность и конкурентоспособность с точки зрения затрат. Мы полностью готовы оказывать все формы поддержки и сотрудничества Международному бюро, Секретариату и государствам-членам таким образом, чтобы это служило нашим общим устремлениям к укреплению современной и доступной среды для охраны ИС на международном уровне.</w:t>
      </w:r>
    </w:p>
    <w:p w14:paraId="5CB40522" w14:textId="549EB6BD" w:rsidR="003D2A2E" w:rsidRDefault="00D510F8" w:rsidP="003D2A2E">
      <w:pPr>
        <w:pStyle w:val="ONUME"/>
      </w:pPr>
      <w:hyperlink r:id="rId34">
        <w:r>
          <w:rPr>
            <w:rStyle w:val="Hyperlink"/>
          </w:rPr>
          <w:t>Программа в области здравоохранения и окружающей среды (HEP)</w:t>
        </w:r>
      </w:hyperlink>
      <w:r>
        <w:t xml:space="preserve">. Прежде всего мы хотели бы обратиться к Генеральному директору г-ну Дарену Тангу. Для меня большая честь обратиться к Вам от имени неправительственной организации HEP и в личном качестве, чтобы выразить нашу высочайшую оценку того, как Вы руководите работой ВОИС. Благодаря Вашим усилиям ВОИС убедительно демонстрирует, что ИС является важным рычагом развития, технологических инноваций и повышения качества жизни на международном уровне. Мы приветствуем важнейшие обсуждения, касающиеся Гаагской системы. Предлагаемые изменения в Инструкцию, особенно в отношении управления сроками в случаях нарушения работы служб коммуникации, свидетельствуют о примечательной готовности адаптировать ВОИС к нынешним логистическим и технологическим реалиям. Эта модернизация обеспечит более надежную охрану для авторов промышленных образцов перед лицом непредвиденных обстоятельств. Оптимизация этих международных инструментов имеет первостепенное значение. Она обеспечит более стабильные и предсказуемые рамки для всех тех, кто работает над совершенствованием здравоохранения и технологий будущего. </w:t>
      </w:r>
    </w:p>
    <w:p w14:paraId="458D2989" w14:textId="7EBFC956" w:rsidR="00D06540" w:rsidRDefault="00D510F8" w:rsidP="003D2A2E">
      <w:pPr>
        <w:pStyle w:val="ONUME"/>
      </w:pPr>
      <w:hyperlink r:id="rId35">
        <w:r>
          <w:rPr>
            <w:rStyle w:val="Hyperlink"/>
          </w:rPr>
          <w:t>ПРЕДСЕДАТЕЛЬ</w:t>
        </w:r>
      </w:hyperlink>
      <w:r>
        <w:t>: Я хотел бы предложить следующий пункт решения, содержащийся в соответствующем документе, и я его зачитаю:</w:t>
      </w:r>
    </w:p>
    <w:p w14:paraId="3FF2EE3F" w14:textId="2C4051B9" w:rsidR="00A94729" w:rsidRDefault="003D2A2E" w:rsidP="008B1E70">
      <w:pPr>
        <w:pStyle w:val="ONUME"/>
        <w:ind w:left="630"/>
      </w:pPr>
      <w:r>
        <w:t xml:space="preserve">Ассамблея Гаагского союза приняла к сведению «Отчет о деятельности Рабочей группы по правовому развитию Гаагской системы международной регистрации промышленных образцов» (документ H/A/46/1).  </w:t>
      </w:r>
    </w:p>
    <w:p w14:paraId="41D6412E" w14:textId="6047D71B" w:rsidR="003D2A2E" w:rsidRDefault="00A94729" w:rsidP="00A94729">
      <w:pPr>
        <w:pStyle w:val="ONUME"/>
      </w:pPr>
      <w:hyperlink r:id="rId36">
        <w:r>
          <w:rPr>
            <w:rStyle w:val="Hyperlink"/>
          </w:rPr>
          <w:t>ПРЕДСЕДАТЕЛЬ</w:t>
        </w:r>
      </w:hyperlink>
      <w:r>
        <w:t>: Я не вижу возражений. Решение принимается. Благодарю вас. Этим решением мы завершили работу Ассамблеи Гаагского союза.</w:t>
      </w:r>
    </w:p>
    <w:p w14:paraId="3FB385FD" w14:textId="33FCE855" w:rsidR="002928D3" w:rsidRDefault="005A25A9" w:rsidP="006956EC">
      <w:pPr>
        <w:pStyle w:val="ONUME"/>
        <w:numPr>
          <w:ilvl w:val="0"/>
          <w:numId w:val="0"/>
        </w:numPr>
        <w:spacing w:before="720"/>
        <w:ind w:left="5490"/>
      </w:pPr>
      <w:r>
        <w:t>[Конец документа]</w:t>
      </w:r>
    </w:p>
    <w:sectPr w:rsidR="002928D3" w:rsidSect="00530A04">
      <w:headerReference w:type="default" r:id="rId3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BCEA4" w14:textId="77777777" w:rsidR="000D0B74" w:rsidRDefault="000D0B74">
      <w:r>
        <w:separator/>
      </w:r>
    </w:p>
  </w:endnote>
  <w:endnote w:type="continuationSeparator" w:id="0">
    <w:p w14:paraId="50CC6563" w14:textId="77777777" w:rsidR="000D0B74" w:rsidRDefault="000D0B74" w:rsidP="003B38C1">
      <w:r>
        <w:separator/>
      </w:r>
    </w:p>
    <w:p w14:paraId="4C5A5C9C" w14:textId="77777777" w:rsidR="000D0B74" w:rsidRPr="00D558F3" w:rsidRDefault="000D0B74" w:rsidP="003B38C1">
      <w:pPr>
        <w:spacing w:after="60"/>
        <w:rPr>
          <w:sz w:val="17"/>
          <w:lang w:val="en-US"/>
        </w:rPr>
      </w:pPr>
      <w:r w:rsidRPr="00D558F3">
        <w:rPr>
          <w:sz w:val="17"/>
          <w:lang w:val="en-US"/>
        </w:rPr>
        <w:t>[Endnote continued from previous page]</w:t>
      </w:r>
    </w:p>
  </w:endnote>
  <w:endnote w:type="continuationNotice" w:id="1">
    <w:p w14:paraId="228D7ABE" w14:textId="77777777" w:rsidR="000D0B74" w:rsidRPr="00D558F3" w:rsidRDefault="000D0B74" w:rsidP="003B38C1">
      <w:pPr>
        <w:spacing w:before="60"/>
        <w:jc w:val="right"/>
        <w:rPr>
          <w:sz w:val="17"/>
          <w:szCs w:val="17"/>
          <w:lang w:val="en-US"/>
        </w:rPr>
      </w:pPr>
      <w:r w:rsidRPr="00D558F3">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9C936" w14:textId="77777777" w:rsidR="000D0B74" w:rsidRDefault="000D0B74">
      <w:r>
        <w:separator/>
      </w:r>
    </w:p>
  </w:footnote>
  <w:footnote w:type="continuationSeparator" w:id="0">
    <w:p w14:paraId="5FECAECE" w14:textId="77777777" w:rsidR="000D0B74" w:rsidRDefault="000D0B74" w:rsidP="008B60B2">
      <w:r>
        <w:separator/>
      </w:r>
    </w:p>
    <w:p w14:paraId="15FB0CE0" w14:textId="77777777" w:rsidR="000D0B74" w:rsidRPr="00D558F3" w:rsidRDefault="000D0B74" w:rsidP="008B60B2">
      <w:pPr>
        <w:spacing w:after="60"/>
        <w:rPr>
          <w:sz w:val="17"/>
          <w:szCs w:val="17"/>
          <w:lang w:val="en-US"/>
        </w:rPr>
      </w:pPr>
      <w:r w:rsidRPr="00D558F3">
        <w:rPr>
          <w:sz w:val="17"/>
          <w:szCs w:val="17"/>
          <w:lang w:val="en-US"/>
        </w:rPr>
        <w:t>[Footnote continued from previous page]</w:t>
      </w:r>
    </w:p>
  </w:footnote>
  <w:footnote w:type="continuationNotice" w:id="1">
    <w:p w14:paraId="66FB5DA4" w14:textId="77777777" w:rsidR="000D0B74" w:rsidRPr="00D558F3" w:rsidRDefault="000D0B74" w:rsidP="008B60B2">
      <w:pPr>
        <w:spacing w:before="60"/>
        <w:jc w:val="right"/>
        <w:rPr>
          <w:sz w:val="17"/>
          <w:szCs w:val="17"/>
          <w:lang w:val="en-US"/>
        </w:rPr>
      </w:pPr>
      <w:r w:rsidRPr="00D558F3">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3A0F" w14:textId="1B3A17FE" w:rsidR="00EC4E49" w:rsidRDefault="00530A04" w:rsidP="00477D6B">
    <w:pPr>
      <w:jc w:val="right"/>
    </w:pPr>
    <w:bookmarkStart w:id="6" w:name="Code2"/>
    <w:bookmarkEnd w:id="6"/>
    <w:r>
      <w:t>H/A/46/2 Prov.</w:t>
    </w:r>
  </w:p>
  <w:p w14:paraId="0B664A76" w14:textId="77777777" w:rsidR="00EC4E49" w:rsidRDefault="00EC4E49" w:rsidP="00477D6B">
    <w:pPr>
      <w:jc w:val="right"/>
    </w:pPr>
    <w:r>
      <w:t xml:space="preserve">cтр. </w:t>
    </w:r>
    <w:r>
      <w:fldChar w:fldCharType="begin"/>
    </w:r>
    <w:r>
      <w:instrText xml:space="preserve"> PAGE  \* MERGEFORMAT </w:instrText>
    </w:r>
    <w:r>
      <w:fldChar w:fldCharType="separate"/>
    </w:r>
    <w:r w:rsidR="00E671A6">
      <w:t>2</w:t>
    </w:r>
    <w:r>
      <w:fldChar w:fldCharType="end"/>
    </w:r>
  </w:p>
  <w:p w14:paraId="6E4351D4" w14:textId="77777777" w:rsidR="00EC4E49" w:rsidRDefault="00EC4E49" w:rsidP="00477D6B">
    <w:pPr>
      <w:jc w:val="right"/>
    </w:pPr>
  </w:p>
  <w:p w14:paraId="27A71E5D"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85745038">
    <w:abstractNumId w:val="2"/>
  </w:num>
  <w:num w:numId="2" w16cid:durableId="2125538450">
    <w:abstractNumId w:val="4"/>
  </w:num>
  <w:num w:numId="3" w16cid:durableId="1602568926">
    <w:abstractNumId w:val="0"/>
  </w:num>
  <w:num w:numId="4" w16cid:durableId="1572429343">
    <w:abstractNumId w:val="5"/>
  </w:num>
  <w:num w:numId="5" w16cid:durableId="504394857">
    <w:abstractNumId w:val="1"/>
  </w:num>
  <w:num w:numId="6" w16cid:durableId="218833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A04"/>
    <w:rsid w:val="00003E29"/>
    <w:rsid w:val="00014975"/>
    <w:rsid w:val="00014B58"/>
    <w:rsid w:val="0001647B"/>
    <w:rsid w:val="00020668"/>
    <w:rsid w:val="0002256D"/>
    <w:rsid w:val="000324F3"/>
    <w:rsid w:val="000357E5"/>
    <w:rsid w:val="000376A9"/>
    <w:rsid w:val="00043CAA"/>
    <w:rsid w:val="00044C76"/>
    <w:rsid w:val="00044D14"/>
    <w:rsid w:val="00051453"/>
    <w:rsid w:val="00053A14"/>
    <w:rsid w:val="00064020"/>
    <w:rsid w:val="000676A8"/>
    <w:rsid w:val="0007156E"/>
    <w:rsid w:val="00075432"/>
    <w:rsid w:val="00080386"/>
    <w:rsid w:val="00080A01"/>
    <w:rsid w:val="00087FF9"/>
    <w:rsid w:val="00092D0B"/>
    <w:rsid w:val="00094B32"/>
    <w:rsid w:val="000968ED"/>
    <w:rsid w:val="000A4263"/>
    <w:rsid w:val="000B03F1"/>
    <w:rsid w:val="000B2C21"/>
    <w:rsid w:val="000B3F97"/>
    <w:rsid w:val="000B6017"/>
    <w:rsid w:val="000C2212"/>
    <w:rsid w:val="000D0B74"/>
    <w:rsid w:val="000D5570"/>
    <w:rsid w:val="000D5819"/>
    <w:rsid w:val="000E1D0B"/>
    <w:rsid w:val="000E38ED"/>
    <w:rsid w:val="000F1164"/>
    <w:rsid w:val="000F5C29"/>
    <w:rsid w:val="000F5E56"/>
    <w:rsid w:val="0010072C"/>
    <w:rsid w:val="001024FE"/>
    <w:rsid w:val="001061E4"/>
    <w:rsid w:val="001071F9"/>
    <w:rsid w:val="00127F61"/>
    <w:rsid w:val="0013168E"/>
    <w:rsid w:val="00134114"/>
    <w:rsid w:val="001362EE"/>
    <w:rsid w:val="00142868"/>
    <w:rsid w:val="001458DB"/>
    <w:rsid w:val="001512A8"/>
    <w:rsid w:val="00153519"/>
    <w:rsid w:val="00155E17"/>
    <w:rsid w:val="0016110E"/>
    <w:rsid w:val="00163100"/>
    <w:rsid w:val="0017158C"/>
    <w:rsid w:val="001832A6"/>
    <w:rsid w:val="00192372"/>
    <w:rsid w:val="0019642C"/>
    <w:rsid w:val="00196943"/>
    <w:rsid w:val="001A10EA"/>
    <w:rsid w:val="001A337C"/>
    <w:rsid w:val="001B2DC4"/>
    <w:rsid w:val="001C26A1"/>
    <w:rsid w:val="001C2ACE"/>
    <w:rsid w:val="001C5E2F"/>
    <w:rsid w:val="001C6808"/>
    <w:rsid w:val="001C7730"/>
    <w:rsid w:val="001D1B75"/>
    <w:rsid w:val="001D39D6"/>
    <w:rsid w:val="001D5EC1"/>
    <w:rsid w:val="001F0175"/>
    <w:rsid w:val="001F5326"/>
    <w:rsid w:val="001F5A88"/>
    <w:rsid w:val="002121FA"/>
    <w:rsid w:val="00216704"/>
    <w:rsid w:val="00220766"/>
    <w:rsid w:val="0022157E"/>
    <w:rsid w:val="002224B9"/>
    <w:rsid w:val="00225886"/>
    <w:rsid w:val="00230C07"/>
    <w:rsid w:val="0023773C"/>
    <w:rsid w:val="00244945"/>
    <w:rsid w:val="00245DD5"/>
    <w:rsid w:val="00246C7E"/>
    <w:rsid w:val="00251489"/>
    <w:rsid w:val="002524C2"/>
    <w:rsid w:val="00254A1E"/>
    <w:rsid w:val="002634C4"/>
    <w:rsid w:val="00266633"/>
    <w:rsid w:val="00266734"/>
    <w:rsid w:val="00267E45"/>
    <w:rsid w:val="002701BD"/>
    <w:rsid w:val="00275E9F"/>
    <w:rsid w:val="00280593"/>
    <w:rsid w:val="002928D3"/>
    <w:rsid w:val="002944F4"/>
    <w:rsid w:val="00295976"/>
    <w:rsid w:val="002A4FAF"/>
    <w:rsid w:val="002B0504"/>
    <w:rsid w:val="002C0689"/>
    <w:rsid w:val="002C644B"/>
    <w:rsid w:val="002C65E5"/>
    <w:rsid w:val="002F1FE6"/>
    <w:rsid w:val="002F4E68"/>
    <w:rsid w:val="00307AD2"/>
    <w:rsid w:val="00307D6C"/>
    <w:rsid w:val="00312B55"/>
    <w:rsid w:val="00312F7F"/>
    <w:rsid w:val="0031708B"/>
    <w:rsid w:val="003228B7"/>
    <w:rsid w:val="003254B2"/>
    <w:rsid w:val="00326D48"/>
    <w:rsid w:val="003375A8"/>
    <w:rsid w:val="00340E12"/>
    <w:rsid w:val="0034168C"/>
    <w:rsid w:val="003430C2"/>
    <w:rsid w:val="00344C9F"/>
    <w:rsid w:val="003451E4"/>
    <w:rsid w:val="003508A3"/>
    <w:rsid w:val="0035750D"/>
    <w:rsid w:val="00366D08"/>
    <w:rsid w:val="003673CF"/>
    <w:rsid w:val="003675C9"/>
    <w:rsid w:val="00370342"/>
    <w:rsid w:val="00370655"/>
    <w:rsid w:val="00373BC2"/>
    <w:rsid w:val="00380D0D"/>
    <w:rsid w:val="003845C1"/>
    <w:rsid w:val="00387475"/>
    <w:rsid w:val="00391AE4"/>
    <w:rsid w:val="00396251"/>
    <w:rsid w:val="003A119E"/>
    <w:rsid w:val="003A1770"/>
    <w:rsid w:val="003A17BD"/>
    <w:rsid w:val="003A542C"/>
    <w:rsid w:val="003A6F89"/>
    <w:rsid w:val="003B38C1"/>
    <w:rsid w:val="003B3ED1"/>
    <w:rsid w:val="003C0C7D"/>
    <w:rsid w:val="003C7A40"/>
    <w:rsid w:val="003D2A2E"/>
    <w:rsid w:val="003D352A"/>
    <w:rsid w:val="003E1AB1"/>
    <w:rsid w:val="003E6522"/>
    <w:rsid w:val="003F1A72"/>
    <w:rsid w:val="003F2BE0"/>
    <w:rsid w:val="003F4DB8"/>
    <w:rsid w:val="003F5C01"/>
    <w:rsid w:val="003F6B26"/>
    <w:rsid w:val="004073C4"/>
    <w:rsid w:val="00414873"/>
    <w:rsid w:val="00415C62"/>
    <w:rsid w:val="00420CEC"/>
    <w:rsid w:val="00423E3E"/>
    <w:rsid w:val="0042632F"/>
    <w:rsid w:val="00427AF4"/>
    <w:rsid w:val="00433B57"/>
    <w:rsid w:val="00436401"/>
    <w:rsid w:val="00436BD3"/>
    <w:rsid w:val="004400E2"/>
    <w:rsid w:val="004410BA"/>
    <w:rsid w:val="0045346A"/>
    <w:rsid w:val="004556FD"/>
    <w:rsid w:val="00456D39"/>
    <w:rsid w:val="00461632"/>
    <w:rsid w:val="00463AEA"/>
    <w:rsid w:val="004647DA"/>
    <w:rsid w:val="00465B6E"/>
    <w:rsid w:val="00473B1E"/>
    <w:rsid w:val="00474062"/>
    <w:rsid w:val="00474DE9"/>
    <w:rsid w:val="00477D6B"/>
    <w:rsid w:val="00481FB0"/>
    <w:rsid w:val="00485CE2"/>
    <w:rsid w:val="004919CC"/>
    <w:rsid w:val="004A549E"/>
    <w:rsid w:val="004A5B6B"/>
    <w:rsid w:val="004B0A5D"/>
    <w:rsid w:val="004B6793"/>
    <w:rsid w:val="004C00B3"/>
    <w:rsid w:val="004C31DD"/>
    <w:rsid w:val="004C32D9"/>
    <w:rsid w:val="004C5A5E"/>
    <w:rsid w:val="004C5C56"/>
    <w:rsid w:val="004C6E32"/>
    <w:rsid w:val="004C71DB"/>
    <w:rsid w:val="004D36FF"/>
    <w:rsid w:val="004D39C4"/>
    <w:rsid w:val="004F4E59"/>
    <w:rsid w:val="005001AD"/>
    <w:rsid w:val="005021FB"/>
    <w:rsid w:val="0050705A"/>
    <w:rsid w:val="00525790"/>
    <w:rsid w:val="0053057A"/>
    <w:rsid w:val="00530A04"/>
    <w:rsid w:val="00531BF4"/>
    <w:rsid w:val="00531CB8"/>
    <w:rsid w:val="00543A2E"/>
    <w:rsid w:val="005443AA"/>
    <w:rsid w:val="00547AFB"/>
    <w:rsid w:val="00552D60"/>
    <w:rsid w:val="00553C61"/>
    <w:rsid w:val="005609C8"/>
    <w:rsid w:val="00560A29"/>
    <w:rsid w:val="005638EC"/>
    <w:rsid w:val="0058138B"/>
    <w:rsid w:val="00590764"/>
    <w:rsid w:val="00590A25"/>
    <w:rsid w:val="00594D27"/>
    <w:rsid w:val="0059521C"/>
    <w:rsid w:val="00595ECD"/>
    <w:rsid w:val="005A25A9"/>
    <w:rsid w:val="005A2A59"/>
    <w:rsid w:val="005B20A1"/>
    <w:rsid w:val="005C7CDD"/>
    <w:rsid w:val="005F46E9"/>
    <w:rsid w:val="005F6606"/>
    <w:rsid w:val="00601760"/>
    <w:rsid w:val="00605827"/>
    <w:rsid w:val="006063D2"/>
    <w:rsid w:val="00617089"/>
    <w:rsid w:val="00632159"/>
    <w:rsid w:val="00633AF1"/>
    <w:rsid w:val="0064277C"/>
    <w:rsid w:val="0064488F"/>
    <w:rsid w:val="00646050"/>
    <w:rsid w:val="00650FB6"/>
    <w:rsid w:val="00653102"/>
    <w:rsid w:val="006543F8"/>
    <w:rsid w:val="00657721"/>
    <w:rsid w:val="00666430"/>
    <w:rsid w:val="006713CA"/>
    <w:rsid w:val="006733C2"/>
    <w:rsid w:val="00676C5C"/>
    <w:rsid w:val="00681C4B"/>
    <w:rsid w:val="00687D2F"/>
    <w:rsid w:val="0069100C"/>
    <w:rsid w:val="00692E89"/>
    <w:rsid w:val="00693E45"/>
    <w:rsid w:val="00695558"/>
    <w:rsid w:val="006956EC"/>
    <w:rsid w:val="006A665E"/>
    <w:rsid w:val="006B1507"/>
    <w:rsid w:val="006B1711"/>
    <w:rsid w:val="006B2E06"/>
    <w:rsid w:val="006B400E"/>
    <w:rsid w:val="006C0912"/>
    <w:rsid w:val="006C3FA1"/>
    <w:rsid w:val="006C6C5D"/>
    <w:rsid w:val="006D18E5"/>
    <w:rsid w:val="006D5D10"/>
    <w:rsid w:val="006D5E0F"/>
    <w:rsid w:val="006D65CB"/>
    <w:rsid w:val="006E3B56"/>
    <w:rsid w:val="006E5D13"/>
    <w:rsid w:val="006E6E2C"/>
    <w:rsid w:val="006F0313"/>
    <w:rsid w:val="006F1D2C"/>
    <w:rsid w:val="006F2E11"/>
    <w:rsid w:val="006F32E5"/>
    <w:rsid w:val="006F3B3E"/>
    <w:rsid w:val="006F6661"/>
    <w:rsid w:val="007058FB"/>
    <w:rsid w:val="00705C89"/>
    <w:rsid w:val="00705F22"/>
    <w:rsid w:val="00712A25"/>
    <w:rsid w:val="00716354"/>
    <w:rsid w:val="00723746"/>
    <w:rsid w:val="00740546"/>
    <w:rsid w:val="00747C17"/>
    <w:rsid w:val="00750C25"/>
    <w:rsid w:val="00752843"/>
    <w:rsid w:val="007562A3"/>
    <w:rsid w:val="00757841"/>
    <w:rsid w:val="00760087"/>
    <w:rsid w:val="007613CA"/>
    <w:rsid w:val="007669AD"/>
    <w:rsid w:val="00782A07"/>
    <w:rsid w:val="00784023"/>
    <w:rsid w:val="007A0B0F"/>
    <w:rsid w:val="007A3A4A"/>
    <w:rsid w:val="007B66DC"/>
    <w:rsid w:val="007B6A58"/>
    <w:rsid w:val="007C1718"/>
    <w:rsid w:val="007C4415"/>
    <w:rsid w:val="007C5EEA"/>
    <w:rsid w:val="007D1613"/>
    <w:rsid w:val="007D7026"/>
    <w:rsid w:val="007E315E"/>
    <w:rsid w:val="007E78EF"/>
    <w:rsid w:val="007F540E"/>
    <w:rsid w:val="008034BC"/>
    <w:rsid w:val="00807F58"/>
    <w:rsid w:val="008107F8"/>
    <w:rsid w:val="00811BB1"/>
    <w:rsid w:val="00812073"/>
    <w:rsid w:val="00817E34"/>
    <w:rsid w:val="00833245"/>
    <w:rsid w:val="00840720"/>
    <w:rsid w:val="0084086F"/>
    <w:rsid w:val="008425F5"/>
    <w:rsid w:val="00843057"/>
    <w:rsid w:val="00844C42"/>
    <w:rsid w:val="00853D3A"/>
    <w:rsid w:val="00853FC2"/>
    <w:rsid w:val="0086073B"/>
    <w:rsid w:val="00863E85"/>
    <w:rsid w:val="008644FC"/>
    <w:rsid w:val="008668DF"/>
    <w:rsid w:val="0086717D"/>
    <w:rsid w:val="008674CC"/>
    <w:rsid w:val="00871093"/>
    <w:rsid w:val="00873EE5"/>
    <w:rsid w:val="008846F6"/>
    <w:rsid w:val="00891CC3"/>
    <w:rsid w:val="008958FE"/>
    <w:rsid w:val="008A05F6"/>
    <w:rsid w:val="008A0DD2"/>
    <w:rsid w:val="008A3AD9"/>
    <w:rsid w:val="008A4F27"/>
    <w:rsid w:val="008A6288"/>
    <w:rsid w:val="008B1B7B"/>
    <w:rsid w:val="008B1E70"/>
    <w:rsid w:val="008B2CC1"/>
    <w:rsid w:val="008B38DE"/>
    <w:rsid w:val="008B434F"/>
    <w:rsid w:val="008B4B5E"/>
    <w:rsid w:val="008B60B2"/>
    <w:rsid w:val="008C0A78"/>
    <w:rsid w:val="008D3157"/>
    <w:rsid w:val="008E0FEF"/>
    <w:rsid w:val="008F3C7F"/>
    <w:rsid w:val="00902137"/>
    <w:rsid w:val="009045D1"/>
    <w:rsid w:val="00906281"/>
    <w:rsid w:val="009072A4"/>
    <w:rsid w:val="0090731E"/>
    <w:rsid w:val="00907DDB"/>
    <w:rsid w:val="009113C3"/>
    <w:rsid w:val="00916EE2"/>
    <w:rsid w:val="00921E04"/>
    <w:rsid w:val="00922622"/>
    <w:rsid w:val="00924EB5"/>
    <w:rsid w:val="00931103"/>
    <w:rsid w:val="00933568"/>
    <w:rsid w:val="00946494"/>
    <w:rsid w:val="00952DCC"/>
    <w:rsid w:val="00961284"/>
    <w:rsid w:val="00964F66"/>
    <w:rsid w:val="00966A22"/>
    <w:rsid w:val="0096722F"/>
    <w:rsid w:val="00976331"/>
    <w:rsid w:val="00980843"/>
    <w:rsid w:val="00986892"/>
    <w:rsid w:val="009A67EB"/>
    <w:rsid w:val="009C1D3B"/>
    <w:rsid w:val="009D2E54"/>
    <w:rsid w:val="009D620E"/>
    <w:rsid w:val="009E2791"/>
    <w:rsid w:val="009E3F6F"/>
    <w:rsid w:val="009F0E9E"/>
    <w:rsid w:val="009F23BA"/>
    <w:rsid w:val="009F3BF9"/>
    <w:rsid w:val="009F499F"/>
    <w:rsid w:val="00A00EA8"/>
    <w:rsid w:val="00A01654"/>
    <w:rsid w:val="00A0416D"/>
    <w:rsid w:val="00A06139"/>
    <w:rsid w:val="00A07371"/>
    <w:rsid w:val="00A27317"/>
    <w:rsid w:val="00A33AC9"/>
    <w:rsid w:val="00A3645C"/>
    <w:rsid w:val="00A42DAF"/>
    <w:rsid w:val="00A45BD8"/>
    <w:rsid w:val="00A4675C"/>
    <w:rsid w:val="00A50E77"/>
    <w:rsid w:val="00A50F87"/>
    <w:rsid w:val="00A54EDC"/>
    <w:rsid w:val="00A55877"/>
    <w:rsid w:val="00A57569"/>
    <w:rsid w:val="00A6109F"/>
    <w:rsid w:val="00A61E32"/>
    <w:rsid w:val="00A753C7"/>
    <w:rsid w:val="00A75CBD"/>
    <w:rsid w:val="00A778BF"/>
    <w:rsid w:val="00A8011C"/>
    <w:rsid w:val="00A85B8E"/>
    <w:rsid w:val="00A90ABB"/>
    <w:rsid w:val="00A94729"/>
    <w:rsid w:val="00A95F8F"/>
    <w:rsid w:val="00A97226"/>
    <w:rsid w:val="00A97EC7"/>
    <w:rsid w:val="00AA354C"/>
    <w:rsid w:val="00AA3835"/>
    <w:rsid w:val="00AA50DC"/>
    <w:rsid w:val="00AA6AC2"/>
    <w:rsid w:val="00AC205C"/>
    <w:rsid w:val="00AC6E35"/>
    <w:rsid w:val="00AD2B52"/>
    <w:rsid w:val="00AE4F05"/>
    <w:rsid w:val="00AF5C73"/>
    <w:rsid w:val="00B05A69"/>
    <w:rsid w:val="00B1709C"/>
    <w:rsid w:val="00B27168"/>
    <w:rsid w:val="00B35798"/>
    <w:rsid w:val="00B35AD5"/>
    <w:rsid w:val="00B369B1"/>
    <w:rsid w:val="00B40598"/>
    <w:rsid w:val="00B43FB7"/>
    <w:rsid w:val="00B465E6"/>
    <w:rsid w:val="00B50B99"/>
    <w:rsid w:val="00B5405F"/>
    <w:rsid w:val="00B62CD9"/>
    <w:rsid w:val="00B701F4"/>
    <w:rsid w:val="00B705B7"/>
    <w:rsid w:val="00B80DB2"/>
    <w:rsid w:val="00B821DA"/>
    <w:rsid w:val="00B96C24"/>
    <w:rsid w:val="00B9734B"/>
    <w:rsid w:val="00BA1B24"/>
    <w:rsid w:val="00BB44E0"/>
    <w:rsid w:val="00BB495B"/>
    <w:rsid w:val="00BB749D"/>
    <w:rsid w:val="00BB7B04"/>
    <w:rsid w:val="00BC0AB3"/>
    <w:rsid w:val="00BC14AE"/>
    <w:rsid w:val="00BC47AE"/>
    <w:rsid w:val="00BD353A"/>
    <w:rsid w:val="00BD37B0"/>
    <w:rsid w:val="00BD4003"/>
    <w:rsid w:val="00BD69B5"/>
    <w:rsid w:val="00BD6EAB"/>
    <w:rsid w:val="00BD6EE3"/>
    <w:rsid w:val="00BD77CA"/>
    <w:rsid w:val="00BE39C1"/>
    <w:rsid w:val="00BE470F"/>
    <w:rsid w:val="00BE7396"/>
    <w:rsid w:val="00BF4E05"/>
    <w:rsid w:val="00BF5FCF"/>
    <w:rsid w:val="00C003D5"/>
    <w:rsid w:val="00C022AA"/>
    <w:rsid w:val="00C025FD"/>
    <w:rsid w:val="00C0597B"/>
    <w:rsid w:val="00C11BFE"/>
    <w:rsid w:val="00C276EC"/>
    <w:rsid w:val="00C27801"/>
    <w:rsid w:val="00C309D2"/>
    <w:rsid w:val="00C33A46"/>
    <w:rsid w:val="00C37400"/>
    <w:rsid w:val="00C45377"/>
    <w:rsid w:val="00C765AF"/>
    <w:rsid w:val="00C80BD5"/>
    <w:rsid w:val="00C83D1C"/>
    <w:rsid w:val="00C85D6C"/>
    <w:rsid w:val="00C8667C"/>
    <w:rsid w:val="00C90A26"/>
    <w:rsid w:val="00C945AC"/>
    <w:rsid w:val="00C94629"/>
    <w:rsid w:val="00C94BC6"/>
    <w:rsid w:val="00CA49A2"/>
    <w:rsid w:val="00CC267F"/>
    <w:rsid w:val="00CC51BD"/>
    <w:rsid w:val="00CC61D6"/>
    <w:rsid w:val="00CC6520"/>
    <w:rsid w:val="00CC6956"/>
    <w:rsid w:val="00CD1D13"/>
    <w:rsid w:val="00CE1A6A"/>
    <w:rsid w:val="00CE3EE2"/>
    <w:rsid w:val="00CE65D4"/>
    <w:rsid w:val="00D01E44"/>
    <w:rsid w:val="00D04600"/>
    <w:rsid w:val="00D06540"/>
    <w:rsid w:val="00D07B4F"/>
    <w:rsid w:val="00D11490"/>
    <w:rsid w:val="00D22D4D"/>
    <w:rsid w:val="00D30AB0"/>
    <w:rsid w:val="00D30F6A"/>
    <w:rsid w:val="00D3180B"/>
    <w:rsid w:val="00D350B2"/>
    <w:rsid w:val="00D423BC"/>
    <w:rsid w:val="00D42D71"/>
    <w:rsid w:val="00D4322E"/>
    <w:rsid w:val="00D433E0"/>
    <w:rsid w:val="00D45252"/>
    <w:rsid w:val="00D46CEC"/>
    <w:rsid w:val="00D510F8"/>
    <w:rsid w:val="00D558F3"/>
    <w:rsid w:val="00D71B4D"/>
    <w:rsid w:val="00D72870"/>
    <w:rsid w:val="00D732EB"/>
    <w:rsid w:val="00D733A3"/>
    <w:rsid w:val="00D81453"/>
    <w:rsid w:val="00D82018"/>
    <w:rsid w:val="00D93195"/>
    <w:rsid w:val="00D93D55"/>
    <w:rsid w:val="00D94DD8"/>
    <w:rsid w:val="00D95C66"/>
    <w:rsid w:val="00D97C3F"/>
    <w:rsid w:val="00DA3145"/>
    <w:rsid w:val="00DB5283"/>
    <w:rsid w:val="00DC39CB"/>
    <w:rsid w:val="00DD04A2"/>
    <w:rsid w:val="00DD1579"/>
    <w:rsid w:val="00DD35CD"/>
    <w:rsid w:val="00DD6EC0"/>
    <w:rsid w:val="00DE41AE"/>
    <w:rsid w:val="00DE4666"/>
    <w:rsid w:val="00E01BB8"/>
    <w:rsid w:val="00E0485E"/>
    <w:rsid w:val="00E073EC"/>
    <w:rsid w:val="00E1250E"/>
    <w:rsid w:val="00E161A2"/>
    <w:rsid w:val="00E3133E"/>
    <w:rsid w:val="00E335FE"/>
    <w:rsid w:val="00E5021F"/>
    <w:rsid w:val="00E51F03"/>
    <w:rsid w:val="00E52BEF"/>
    <w:rsid w:val="00E55FB5"/>
    <w:rsid w:val="00E64CF1"/>
    <w:rsid w:val="00E671A6"/>
    <w:rsid w:val="00E77469"/>
    <w:rsid w:val="00E81643"/>
    <w:rsid w:val="00E831BB"/>
    <w:rsid w:val="00E858C9"/>
    <w:rsid w:val="00E85AB5"/>
    <w:rsid w:val="00E91B32"/>
    <w:rsid w:val="00E9210C"/>
    <w:rsid w:val="00E937A4"/>
    <w:rsid w:val="00E95A83"/>
    <w:rsid w:val="00EA1B28"/>
    <w:rsid w:val="00EB48AE"/>
    <w:rsid w:val="00EC4E49"/>
    <w:rsid w:val="00ED5A45"/>
    <w:rsid w:val="00ED64F0"/>
    <w:rsid w:val="00ED77FB"/>
    <w:rsid w:val="00EF30BB"/>
    <w:rsid w:val="00F021A6"/>
    <w:rsid w:val="00F11D94"/>
    <w:rsid w:val="00F23D3E"/>
    <w:rsid w:val="00F311B5"/>
    <w:rsid w:val="00F3637C"/>
    <w:rsid w:val="00F409CD"/>
    <w:rsid w:val="00F4390A"/>
    <w:rsid w:val="00F46A0D"/>
    <w:rsid w:val="00F507B0"/>
    <w:rsid w:val="00F51314"/>
    <w:rsid w:val="00F55D0C"/>
    <w:rsid w:val="00F577A9"/>
    <w:rsid w:val="00F66152"/>
    <w:rsid w:val="00F679A2"/>
    <w:rsid w:val="00F707D1"/>
    <w:rsid w:val="00F72D29"/>
    <w:rsid w:val="00F73BD2"/>
    <w:rsid w:val="00F81C61"/>
    <w:rsid w:val="00FA57A5"/>
    <w:rsid w:val="00FB26FE"/>
    <w:rsid w:val="00FB58F5"/>
    <w:rsid w:val="00FB5B7E"/>
    <w:rsid w:val="00FC56DC"/>
    <w:rsid w:val="00FD167B"/>
    <w:rsid w:val="00FD2F3F"/>
    <w:rsid w:val="00FE4A3F"/>
    <w:rsid w:val="00FF2FBE"/>
    <w:rsid w:val="1259C5C2"/>
    <w:rsid w:val="1972B247"/>
    <w:rsid w:val="224F8FA5"/>
    <w:rsid w:val="2B00BD64"/>
    <w:rsid w:val="4B84DE29"/>
    <w:rsid w:val="539EE1EB"/>
    <w:rsid w:val="5F852E0D"/>
    <w:rsid w:val="61B93168"/>
    <w:rsid w:val="69DF5EB5"/>
    <w:rsid w:val="78F2A8A7"/>
    <w:rsid w:val="7AB3CA80"/>
    <w:rsid w:val="7B473125"/>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28220"/>
  <w15:docId w15:val="{32235FEE-6987-4FB5-A79E-C952E181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530A04"/>
    <w:rPr>
      <w:color w:val="0000FF" w:themeColor="hyperlink"/>
      <w:u w:val="single"/>
    </w:rPr>
  </w:style>
  <w:style w:type="character" w:styleId="UnresolvedMention">
    <w:name w:val="Unresolved Mention"/>
    <w:basedOn w:val="DefaultParagraphFont"/>
    <w:uiPriority w:val="99"/>
    <w:semiHidden/>
    <w:unhideWhenUsed/>
    <w:rsid w:val="00530A04"/>
    <w:rPr>
      <w:color w:val="605E5C"/>
      <w:shd w:val="clear" w:color="auto" w:fill="E1DFDD"/>
    </w:rPr>
  </w:style>
  <w:style w:type="paragraph" w:customStyle="1" w:styleId="S2TSpeaker">
    <w:name w:val="S2TSpeaker"/>
    <w:basedOn w:val="Normal"/>
    <w:qFormat/>
    <w:rsid w:val="003D2A2E"/>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3D2A2E"/>
    <w:pPr>
      <w:spacing w:after="120"/>
      <w:contextualSpacing w:val="0"/>
      <w:jc w:val="both"/>
    </w:pPr>
    <w:rPr>
      <w:color w:val="000000" w:themeColor="text1"/>
      <w:u w:val="none"/>
    </w:rPr>
  </w:style>
  <w:style w:type="paragraph" w:styleId="Revision">
    <w:name w:val="Revision"/>
    <w:hidden/>
    <w:uiPriority w:val="99"/>
    <w:semiHidden/>
    <w:rsid w:val="003D2A2E"/>
    <w:rPr>
      <w:rFonts w:ascii="Arial" w:eastAsia="SimSun" w:hAnsi="Arial" w:cs="Arial"/>
      <w:sz w:val="22"/>
      <w:lang w:eastAsia="zh-CN"/>
    </w:rPr>
  </w:style>
  <w:style w:type="character" w:styleId="CommentReference">
    <w:name w:val="annotation reference"/>
    <w:basedOn w:val="DefaultParagraphFont"/>
    <w:semiHidden/>
    <w:unhideWhenUsed/>
    <w:rsid w:val="00D510F8"/>
    <w:rPr>
      <w:sz w:val="16"/>
      <w:szCs w:val="16"/>
    </w:rPr>
  </w:style>
  <w:style w:type="paragraph" w:styleId="CommentSubject">
    <w:name w:val="annotation subject"/>
    <w:basedOn w:val="CommentText"/>
    <w:next w:val="CommentText"/>
    <w:link w:val="CommentSubjectChar"/>
    <w:semiHidden/>
    <w:unhideWhenUsed/>
    <w:rsid w:val="00D510F8"/>
    <w:rPr>
      <w:b/>
      <w:bCs/>
      <w:sz w:val="20"/>
    </w:rPr>
  </w:style>
  <w:style w:type="character" w:customStyle="1" w:styleId="CommentTextChar">
    <w:name w:val="Comment Text Char"/>
    <w:basedOn w:val="DefaultParagraphFont"/>
    <w:link w:val="CommentText"/>
    <w:semiHidden/>
    <w:rsid w:val="00D510F8"/>
    <w:rPr>
      <w:rFonts w:ascii="Arial" w:eastAsia="SimSun" w:hAnsi="Arial" w:cs="Arial"/>
      <w:sz w:val="18"/>
      <w:lang w:val="ru-RU" w:eastAsia="zh-CN"/>
    </w:rPr>
  </w:style>
  <w:style w:type="character" w:customStyle="1" w:styleId="CommentSubjectChar">
    <w:name w:val="Comment Subject Char"/>
    <w:basedOn w:val="CommentTextChar"/>
    <w:link w:val="CommentSubject"/>
    <w:semiHidden/>
    <w:rsid w:val="00D510F8"/>
    <w:rPr>
      <w:rFonts w:ascii="Arial" w:eastAsia="SimSun" w:hAnsi="Arial" w:cs="Arial"/>
      <w:b/>
      <w:bCs/>
      <w:sz w:val="18"/>
      <w:lang w:val="ru-RU" w:eastAsia="zh-CN"/>
    </w:rPr>
  </w:style>
  <w:style w:type="character" w:customStyle="1" w:styleId="ONUMEChar">
    <w:name w:val="ONUM E Char"/>
    <w:basedOn w:val="DefaultParagraphFont"/>
    <w:link w:val="ONUME"/>
    <w:locked/>
    <w:rsid w:val="005A25A9"/>
    <w:rPr>
      <w:rFonts w:ascii="Arial" w:eastAsia="SimSun" w:hAnsi="Arial" w:cs="Arial"/>
      <w:sz w:val="22"/>
      <w:lang w:val="ru-RU" w:eastAsia="zh-CN"/>
    </w:rPr>
  </w:style>
  <w:style w:type="character" w:styleId="FollowedHyperlink">
    <w:name w:val="FollowedHyperlink"/>
    <w:basedOn w:val="DefaultParagraphFont"/>
    <w:semiHidden/>
    <w:unhideWhenUsed/>
    <w:rsid w:val="003E65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ebcast.wipo.int/video/A_68_2026-07-13_101018ea-c8d7-4746-aeb3-08ded6a77707?lang=en&amp;startTime=11145.56" TargetMode="External"/><Relationship Id="rId26" Type="http://schemas.openxmlformats.org/officeDocument/2006/relationships/hyperlink" Target="https://webcast.wipo.int/video/A_68_2026-07-13_101018ea-c8d7-4746-aeb3-08ded6a77707?lang=en&amp;startTime=12147.99" TargetMode="External"/><Relationship Id="rId39" Type="http://schemas.openxmlformats.org/officeDocument/2006/relationships/theme" Target="theme/theme1.xml"/><Relationship Id="rId21" Type="http://schemas.openxmlformats.org/officeDocument/2006/relationships/hyperlink" Target="https://webcast.wipo.int/video/A_68_2026-07-13_101018ea-c8d7-4746-aeb3-08ded6a77707?lang=en&amp;startTime=11505.71" TargetMode="External"/><Relationship Id="rId34" Type="http://schemas.openxmlformats.org/officeDocument/2006/relationships/hyperlink" Target="https://webcast.wipo.int/video/A_68_2026-07-13_a1e1e8b1-692c-47c4-aeb4-08ded6a77707?lang=en&amp;startTime=2118.39"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ebcast.wipo.int/video/A_68_2026-07-13_101018ea-c8d7-4746-aeb3-08ded6a77707?lang=en&amp;startTime=10990.35" TargetMode="External"/><Relationship Id="rId25" Type="http://schemas.openxmlformats.org/officeDocument/2006/relationships/hyperlink" Target="https://webcast.wipo.int/video/A_68_2026-07-13_101018ea-c8d7-4746-aeb3-08ded6a77707?lang=en&amp;startTime=12050.79" TargetMode="External"/><Relationship Id="rId33" Type="http://schemas.openxmlformats.org/officeDocument/2006/relationships/hyperlink" Target="https://webcast.wipo.int/video/A_68_2026-07-13_a1e1e8b1-692c-47c4-aeb4-08ded6a77707?lang=en&amp;startTime=1992.51"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10780.44" TargetMode="External"/><Relationship Id="rId20" Type="http://schemas.openxmlformats.org/officeDocument/2006/relationships/hyperlink" Target="https://webcast.wipo.int/video/A_68_2026-07-13_101018ea-c8d7-4746-aeb3-08ded6a77707?lang=en&amp;startTime=11379.95" TargetMode="External"/><Relationship Id="rId29" Type="http://schemas.openxmlformats.org/officeDocument/2006/relationships/hyperlink" Target="https://webcast.wipo.int/video/A_68_2026-07-13_a1e1e8b1-692c-47c4-aeb4-08ded6a77707?lang=en&amp;startTime=1291.14"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11902.23" TargetMode="External"/><Relationship Id="rId32" Type="http://schemas.openxmlformats.org/officeDocument/2006/relationships/hyperlink" Target="https://webcast.wipo.int/video/A_68_2026-07-13_a1e1e8b1-692c-47c4-aeb4-08ded6a77707?lang=en&amp;startTime=1866.81" TargetMode="External"/><Relationship Id="rId37"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ebcast.wipo.int/video/A_68_2026-07-13_101018ea-c8d7-4746-aeb3-08ded6a77707?lang=en&amp;startTime=10686.18" TargetMode="External"/><Relationship Id="rId23" Type="http://schemas.openxmlformats.org/officeDocument/2006/relationships/hyperlink" Target="https://webcast.wipo.int/video/A_68_2026-07-13_101018ea-c8d7-4746-aeb3-08ded6a77707?lang=en&amp;startTime=11680.26" TargetMode="External"/><Relationship Id="rId28" Type="http://schemas.openxmlformats.org/officeDocument/2006/relationships/hyperlink" Target="https://webcast.wipo.int/video/A_68_2026-07-13_a1e1e8b1-692c-47c4-aeb4-08ded6a77707?lang=en&amp;startTime=1168.53" TargetMode="External"/><Relationship Id="rId36" Type="http://schemas.openxmlformats.org/officeDocument/2006/relationships/hyperlink" Target="https://webcast.wipo.int/video/A_68_2026-07-13_a1e1e8b1-692c-47c4-aeb4-08ded6a77707?lang=en&amp;startTime=2218.26" TargetMode="External"/><Relationship Id="rId10" Type="http://schemas.openxmlformats.org/officeDocument/2006/relationships/webSettings" Target="webSettings.xml"/><Relationship Id="rId19" Type="http://schemas.openxmlformats.org/officeDocument/2006/relationships/hyperlink" Target="https://webcast.wipo.int/video/A_68_2026-07-13_101018ea-c8d7-4746-aeb3-08ded6a77707?lang=en&amp;startTime=11207.42" TargetMode="External"/><Relationship Id="rId31" Type="http://schemas.openxmlformats.org/officeDocument/2006/relationships/hyperlink" Target="https://webcast.wipo.int/video/A_68_2026-07-13_a1e1e8b1-692c-47c4-aeb4-08ded6a77707?lang=en&amp;startTime=1744.98"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ru/a_68/a_68_1.pdf" TargetMode="External"/><Relationship Id="rId22" Type="http://schemas.openxmlformats.org/officeDocument/2006/relationships/hyperlink" Target="https://webcast.wipo.int/video/A_68_2026-07-13_101018ea-c8d7-4746-aeb3-08ded6a77707?lang=en&amp;startTime=11627.03" TargetMode="External"/><Relationship Id="rId27" Type="http://schemas.openxmlformats.org/officeDocument/2006/relationships/hyperlink" Target="https://webcast.wipo.int/video/A_68_2026-07-13_a1e1e8b1-692c-47c4-aeb4-08ded6a77707?lang=en&amp;startTime=957.09" TargetMode="External"/><Relationship Id="rId30" Type="http://schemas.openxmlformats.org/officeDocument/2006/relationships/hyperlink" Target="https://webcast.wipo.int/video/A_68_2026-07-13_a1e1e8b1-692c-47c4-aeb4-08ded6a77707?lang=en&amp;startTime=1552.19" TargetMode="External"/><Relationship Id="rId35" Type="http://schemas.openxmlformats.org/officeDocument/2006/relationships/hyperlink" Target="https://webcast.wipo.int/video/A_68_2026-07-13_a1e1e8b1-692c-47c4-aeb4-08ded6a77707?lang=en&amp;startTime=2218.26" TargetMode="External"/><Relationship Id="rId8" Type="http://schemas.openxmlformats.org/officeDocument/2006/relationships/styles" Target="style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H_A_4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DEAADBFP-1499948599-55935</_dlc_DocId>
    <_dlc_DocIdUrl xmlns="afdacc0a-6563-489f-9b51-6fc9acac5c48">
      <Url>https://wipoprod.sharepoint.com/sites/SPS-INT-BFP-DEAAD-AsseAffa/_layouts/15/DocIdRedir.aspx?ID=DEAADBFP-1499948599-55935</Url>
      <Description>DEAADBFP-1499948599-55935</Description>
    </_dlc_DocIdUrl>
  </documentManagement>
</p:properties>
</file>

<file path=customXml/itemProps1.xml><?xml version="1.0" encoding="utf-8"?>
<ds:datastoreItem xmlns:ds="http://schemas.openxmlformats.org/officeDocument/2006/customXml" ds:itemID="{D92F381E-1E82-4579-B105-5DCF0E8BE600}">
  <ds:schemaRefs>
    <ds:schemaRef ds:uri="http://schemas.microsoft.com/sharepoint/v3/contenttype/forms"/>
  </ds:schemaRefs>
</ds:datastoreItem>
</file>

<file path=customXml/itemProps2.xml><?xml version="1.0" encoding="utf-8"?>
<ds:datastoreItem xmlns:ds="http://schemas.openxmlformats.org/officeDocument/2006/customXml" ds:itemID="{79EE3A79-C958-4AFF-B3DF-B2FA22F756EF}">
  <ds:schemaRefs>
    <ds:schemaRef ds:uri="http://schemas.openxmlformats.org/officeDocument/2006/bibliography"/>
  </ds:schemaRefs>
</ds:datastoreItem>
</file>

<file path=customXml/itemProps3.xml><?xml version="1.0" encoding="utf-8"?>
<ds:datastoreItem xmlns:ds="http://schemas.openxmlformats.org/officeDocument/2006/customXml" ds:itemID="{CD0B46A3-76DA-4959-881B-3973C7A5526C}">
  <ds:schemaRefs>
    <ds:schemaRef ds:uri="http://schemas.microsoft.com/sharepoint/events"/>
  </ds:schemaRefs>
</ds:datastoreItem>
</file>

<file path=customXml/itemProps4.xml><?xml version="1.0" encoding="utf-8"?>
<ds:datastoreItem xmlns:ds="http://schemas.openxmlformats.org/officeDocument/2006/customXml" ds:itemID="{43120445-86D9-4E84-8E4A-7CFC6FF96920}">
  <ds:schemaRefs>
    <ds:schemaRef ds:uri="Microsoft.SharePoint.Taxonomy.ContentTypeSync"/>
  </ds:schemaRefs>
</ds:datastoreItem>
</file>

<file path=customXml/itemProps5.xml><?xml version="1.0" encoding="utf-8"?>
<ds:datastoreItem xmlns:ds="http://schemas.openxmlformats.org/officeDocument/2006/customXml" ds:itemID="{91182AAC-3A9A-4026-8E4C-8E983DFF9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C7031E0-5E40-4FD7-8263-20BA8942D0B8}">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H_A_46 (E)</Template>
  <TotalTime>2</TotalTime>
  <Pages>3</Pages>
  <Words>6110</Words>
  <Characters>34827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H/A/46/</vt:lpstr>
    </vt:vector>
  </TitlesOfParts>
  <Company>WIPO</Company>
  <LinksUpToDate>false</LinksUpToDate>
  <CharactersWithSpaces>40856</CharactersWithSpaces>
  <SharedDoc>false</SharedDoc>
  <HLinks>
    <vt:vector size="132" baseType="variant">
      <vt:variant>
        <vt:i4>6619231</vt:i4>
      </vt:variant>
      <vt:variant>
        <vt:i4>66</vt:i4>
      </vt:variant>
      <vt:variant>
        <vt:i4>0</vt:i4>
      </vt:variant>
      <vt:variant>
        <vt:i4>5</vt:i4>
      </vt:variant>
      <vt:variant>
        <vt:lpwstr>https://webcast.wipo.int/video/A_68_2026-07-13_a1e1e8b1-692c-47c4-aeb4-08ded6a77707?lang=en&amp;startTime=2218.26</vt:lpwstr>
      </vt:variant>
      <vt:variant>
        <vt:lpwstr/>
      </vt:variant>
      <vt:variant>
        <vt:i4>6619231</vt:i4>
      </vt:variant>
      <vt:variant>
        <vt:i4>63</vt:i4>
      </vt:variant>
      <vt:variant>
        <vt:i4>0</vt:i4>
      </vt:variant>
      <vt:variant>
        <vt:i4>5</vt:i4>
      </vt:variant>
      <vt:variant>
        <vt:lpwstr>https://webcast.wipo.int/video/A_68_2026-07-13_a1e1e8b1-692c-47c4-aeb4-08ded6a77707?lang=en&amp;startTime=2218.26</vt:lpwstr>
      </vt:variant>
      <vt:variant>
        <vt:lpwstr/>
      </vt:variant>
      <vt:variant>
        <vt:i4>6750303</vt:i4>
      </vt:variant>
      <vt:variant>
        <vt:i4>60</vt:i4>
      </vt:variant>
      <vt:variant>
        <vt:i4>0</vt:i4>
      </vt:variant>
      <vt:variant>
        <vt:i4>5</vt:i4>
      </vt:variant>
      <vt:variant>
        <vt:lpwstr>https://webcast.wipo.int/video/A_68_2026-07-13_a1e1e8b1-692c-47c4-aeb4-08ded6a77707?lang=en&amp;startTime=2118.39</vt:lpwstr>
      </vt:variant>
      <vt:variant>
        <vt:lpwstr/>
      </vt:variant>
      <vt:variant>
        <vt:i4>6488148</vt:i4>
      </vt:variant>
      <vt:variant>
        <vt:i4>57</vt:i4>
      </vt:variant>
      <vt:variant>
        <vt:i4>0</vt:i4>
      </vt:variant>
      <vt:variant>
        <vt:i4>5</vt:i4>
      </vt:variant>
      <vt:variant>
        <vt:lpwstr>https://webcast.wipo.int/video/A_68_2026-07-13_a1e1e8b1-692c-47c4-aeb4-08ded6a77707?lang=en&amp;startTime=1992.51</vt:lpwstr>
      </vt:variant>
      <vt:variant>
        <vt:lpwstr/>
      </vt:variant>
      <vt:variant>
        <vt:i4>7012443</vt:i4>
      </vt:variant>
      <vt:variant>
        <vt:i4>54</vt:i4>
      </vt:variant>
      <vt:variant>
        <vt:i4>0</vt:i4>
      </vt:variant>
      <vt:variant>
        <vt:i4>5</vt:i4>
      </vt:variant>
      <vt:variant>
        <vt:lpwstr>https://webcast.wipo.int/video/A_68_2026-07-13_a1e1e8b1-692c-47c4-aeb4-08ded6a77707?lang=en&amp;startTime=1866.81</vt:lpwstr>
      </vt:variant>
      <vt:variant>
        <vt:lpwstr/>
      </vt:variant>
      <vt:variant>
        <vt:i4>6750297</vt:i4>
      </vt:variant>
      <vt:variant>
        <vt:i4>51</vt:i4>
      </vt:variant>
      <vt:variant>
        <vt:i4>0</vt:i4>
      </vt:variant>
      <vt:variant>
        <vt:i4>5</vt:i4>
      </vt:variant>
      <vt:variant>
        <vt:lpwstr>https://webcast.wipo.int/video/A_68_2026-07-13_a1e1e8b1-692c-47c4-aeb4-08ded6a77707?lang=en&amp;startTime=1744.98</vt:lpwstr>
      </vt:variant>
      <vt:variant>
        <vt:lpwstr/>
      </vt:variant>
      <vt:variant>
        <vt:i4>7012440</vt:i4>
      </vt:variant>
      <vt:variant>
        <vt:i4>48</vt:i4>
      </vt:variant>
      <vt:variant>
        <vt:i4>0</vt:i4>
      </vt:variant>
      <vt:variant>
        <vt:i4>5</vt:i4>
      </vt:variant>
      <vt:variant>
        <vt:lpwstr>https://webcast.wipo.int/video/A_68_2026-07-13_a1e1e8b1-692c-47c4-aeb4-08ded6a77707?lang=en&amp;startTime=1552.19</vt:lpwstr>
      </vt:variant>
      <vt:variant>
        <vt:lpwstr/>
      </vt:variant>
      <vt:variant>
        <vt:i4>7274580</vt:i4>
      </vt:variant>
      <vt:variant>
        <vt:i4>45</vt:i4>
      </vt:variant>
      <vt:variant>
        <vt:i4>0</vt:i4>
      </vt:variant>
      <vt:variant>
        <vt:i4>5</vt:i4>
      </vt:variant>
      <vt:variant>
        <vt:lpwstr>https://webcast.wipo.int/video/A_68_2026-07-13_a1e1e8b1-692c-47c4-aeb4-08ded6a77707?lang=en&amp;startTime=1291.14</vt:lpwstr>
      </vt:variant>
      <vt:variant>
        <vt:lpwstr/>
      </vt:variant>
      <vt:variant>
        <vt:i4>6357083</vt:i4>
      </vt:variant>
      <vt:variant>
        <vt:i4>42</vt:i4>
      </vt:variant>
      <vt:variant>
        <vt:i4>0</vt:i4>
      </vt:variant>
      <vt:variant>
        <vt:i4>5</vt:i4>
      </vt:variant>
      <vt:variant>
        <vt:lpwstr>https://webcast.wipo.int/video/A_68_2026-07-13_a1e1e8b1-692c-47c4-aeb4-08ded6a77707?lang=en&amp;startTime=1168.53</vt:lpwstr>
      </vt:variant>
      <vt:variant>
        <vt:lpwstr/>
      </vt:variant>
      <vt:variant>
        <vt:i4>8323148</vt:i4>
      </vt:variant>
      <vt:variant>
        <vt:i4>39</vt:i4>
      </vt:variant>
      <vt:variant>
        <vt:i4>0</vt:i4>
      </vt:variant>
      <vt:variant>
        <vt:i4>5</vt:i4>
      </vt:variant>
      <vt:variant>
        <vt:lpwstr>https://webcast.wipo.int/video/A_68_2026-07-13_a1e1e8b1-692c-47c4-aeb4-08ded6a77707?lang=en&amp;startTime=957.09</vt:lpwstr>
      </vt:variant>
      <vt:variant>
        <vt:lpwstr/>
      </vt:variant>
      <vt:variant>
        <vt:i4>1966125</vt:i4>
      </vt:variant>
      <vt:variant>
        <vt:i4>36</vt:i4>
      </vt:variant>
      <vt:variant>
        <vt:i4>0</vt:i4>
      </vt:variant>
      <vt:variant>
        <vt:i4>5</vt:i4>
      </vt:variant>
      <vt:variant>
        <vt:lpwstr>https://webcast.wipo.int/video/A_68_2026-07-13_101018ea-c8d7-4746-aeb3-08ded6a77707?lang=en&amp;startTime=12147.99</vt:lpwstr>
      </vt:variant>
      <vt:variant>
        <vt:lpwstr/>
      </vt:variant>
      <vt:variant>
        <vt:i4>2031653</vt:i4>
      </vt:variant>
      <vt:variant>
        <vt:i4>33</vt:i4>
      </vt:variant>
      <vt:variant>
        <vt:i4>0</vt:i4>
      </vt:variant>
      <vt:variant>
        <vt:i4>5</vt:i4>
      </vt:variant>
      <vt:variant>
        <vt:lpwstr>https://webcast.wipo.int/video/A_68_2026-07-13_101018ea-c8d7-4746-aeb3-08ded6a77707?lang=en&amp;startTime=12050.79</vt:lpwstr>
      </vt:variant>
      <vt:variant>
        <vt:lpwstr/>
      </vt:variant>
      <vt:variant>
        <vt:i4>1245227</vt:i4>
      </vt:variant>
      <vt:variant>
        <vt:i4>30</vt:i4>
      </vt:variant>
      <vt:variant>
        <vt:i4>0</vt:i4>
      </vt:variant>
      <vt:variant>
        <vt:i4>5</vt:i4>
      </vt:variant>
      <vt:variant>
        <vt:lpwstr>https://webcast.wipo.int/video/A_68_2026-07-13_101018ea-c8d7-4746-aeb3-08ded6a77707?lang=en&amp;startTime=11902.23</vt:lpwstr>
      </vt:variant>
      <vt:variant>
        <vt:lpwstr/>
      </vt:variant>
      <vt:variant>
        <vt:i4>1966118</vt:i4>
      </vt:variant>
      <vt:variant>
        <vt:i4>27</vt:i4>
      </vt:variant>
      <vt:variant>
        <vt:i4>0</vt:i4>
      </vt:variant>
      <vt:variant>
        <vt:i4>5</vt:i4>
      </vt:variant>
      <vt:variant>
        <vt:lpwstr>https://webcast.wipo.int/video/A_68_2026-07-13_101018ea-c8d7-4746-aeb3-08ded6a77707?lang=en&amp;startTime=11680.26</vt:lpwstr>
      </vt:variant>
      <vt:variant>
        <vt:lpwstr/>
      </vt:variant>
      <vt:variant>
        <vt:i4>1114147</vt:i4>
      </vt:variant>
      <vt:variant>
        <vt:i4>24</vt:i4>
      </vt:variant>
      <vt:variant>
        <vt:i4>0</vt:i4>
      </vt:variant>
      <vt:variant>
        <vt:i4>5</vt:i4>
      </vt:variant>
      <vt:variant>
        <vt:lpwstr>https://webcast.wipo.int/video/A_68_2026-07-13_101018ea-c8d7-4746-aeb3-08ded6a77707?lang=en&amp;startTime=11627.03</vt:lpwstr>
      </vt:variant>
      <vt:variant>
        <vt:lpwstr/>
      </vt:variant>
      <vt:variant>
        <vt:i4>1114149</vt:i4>
      </vt:variant>
      <vt:variant>
        <vt:i4>21</vt:i4>
      </vt:variant>
      <vt:variant>
        <vt:i4>0</vt:i4>
      </vt:variant>
      <vt:variant>
        <vt:i4>5</vt:i4>
      </vt:variant>
      <vt:variant>
        <vt:lpwstr>https://webcast.wipo.int/video/A_68_2026-07-13_101018ea-c8d7-4746-aeb3-08ded6a77707?lang=en&amp;startTime=11505.71</vt:lpwstr>
      </vt:variant>
      <vt:variant>
        <vt:lpwstr/>
      </vt:variant>
      <vt:variant>
        <vt:i4>1179681</vt:i4>
      </vt:variant>
      <vt:variant>
        <vt:i4>18</vt:i4>
      </vt:variant>
      <vt:variant>
        <vt:i4>0</vt:i4>
      </vt:variant>
      <vt:variant>
        <vt:i4>5</vt:i4>
      </vt:variant>
      <vt:variant>
        <vt:lpwstr>https://webcast.wipo.int/video/A_68_2026-07-13_101018ea-c8d7-4746-aeb3-08ded6a77707?lang=en&amp;startTime=11379.95</vt:lpwstr>
      </vt:variant>
      <vt:variant>
        <vt:lpwstr/>
      </vt:variant>
      <vt:variant>
        <vt:i4>1179683</vt:i4>
      </vt:variant>
      <vt:variant>
        <vt:i4>15</vt:i4>
      </vt:variant>
      <vt:variant>
        <vt:i4>0</vt:i4>
      </vt:variant>
      <vt:variant>
        <vt:i4>5</vt:i4>
      </vt:variant>
      <vt:variant>
        <vt:lpwstr>https://webcast.wipo.int/video/A_68_2026-07-13_101018ea-c8d7-4746-aeb3-08ded6a77707?lang=en&amp;startTime=11207.42</vt:lpwstr>
      </vt:variant>
      <vt:variant>
        <vt:lpwstr/>
      </vt:variant>
      <vt:variant>
        <vt:i4>1179683</vt:i4>
      </vt:variant>
      <vt:variant>
        <vt:i4>12</vt:i4>
      </vt:variant>
      <vt:variant>
        <vt:i4>0</vt:i4>
      </vt:variant>
      <vt:variant>
        <vt:i4>5</vt:i4>
      </vt:variant>
      <vt:variant>
        <vt:lpwstr>https://webcast.wipo.int/video/A_68_2026-07-13_101018ea-c8d7-4746-aeb3-08ded6a77707?lang=en&amp;startTime=11145.56</vt:lpwstr>
      </vt:variant>
      <vt:variant>
        <vt:lpwstr/>
      </vt:variant>
      <vt:variant>
        <vt:i4>1900584</vt:i4>
      </vt:variant>
      <vt:variant>
        <vt:i4>9</vt:i4>
      </vt:variant>
      <vt:variant>
        <vt:i4>0</vt:i4>
      </vt:variant>
      <vt:variant>
        <vt:i4>5</vt:i4>
      </vt:variant>
      <vt:variant>
        <vt:lpwstr>https://webcast.wipo.int/video/A_68_2026-07-13_101018ea-c8d7-4746-aeb3-08ded6a77707?lang=en&amp;startTime=10990.35</vt:lpwstr>
      </vt:variant>
      <vt:variant>
        <vt:lpwstr/>
      </vt:variant>
      <vt:variant>
        <vt:i4>1900577</vt:i4>
      </vt:variant>
      <vt:variant>
        <vt:i4>6</vt:i4>
      </vt:variant>
      <vt:variant>
        <vt:i4>0</vt:i4>
      </vt:variant>
      <vt:variant>
        <vt:i4>5</vt:i4>
      </vt:variant>
      <vt:variant>
        <vt:lpwstr>https://webcast.wipo.int/video/A_68_2026-07-13_101018ea-c8d7-4746-aeb3-08ded6a77707?lang=en&amp;startTime=10780.44</vt:lpwstr>
      </vt:variant>
      <vt:variant>
        <vt:lpwstr/>
      </vt:variant>
      <vt:variant>
        <vt:i4>1114147</vt:i4>
      </vt:variant>
      <vt:variant>
        <vt:i4>3</vt:i4>
      </vt:variant>
      <vt:variant>
        <vt:i4>0</vt:i4>
      </vt:variant>
      <vt:variant>
        <vt:i4>5</vt:i4>
      </vt:variant>
      <vt:variant>
        <vt:lpwstr>https://webcast.wipo.int/video/A_68_2026-07-13_101018ea-c8d7-4746-aeb3-08ded6a77707?lang=en&amp;startTime=10686.18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H/A/46/2 Prov.</dc:title>
  <dc:subject/>
  <dc:creator>WIPO</dc:creator>
  <cp:keywords/>
  <cp:lastModifiedBy>RUSSO Antonella</cp:lastModifiedBy>
  <cp:revision>6</cp:revision>
  <cp:lastPrinted>2011-02-15T11:56:00Z</cp:lastPrinted>
  <dcterms:created xsi:type="dcterms:W3CDTF">2026-08-14T06:29:00Z</dcterms:created>
  <dcterms:modified xsi:type="dcterms:W3CDTF">2026-08-14T08:23:00Z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2025-02-18T10:15:27Z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46146e00-3a18-4748-8b17-8ecff22c6285</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dbe5cbd4-b21b-4f05-8e17-b2407a86cc2e</vt:lpwstr>
  </property>
  <property fmtid="{D5CDD505-2E9C-101B-9397-08002B2CF9AE}" pid="23" name="_dlc_DocId">
    <vt:lpwstr>LDBFP-2000531084-64197</vt:lpwstr>
  </property>
  <property fmtid="{D5CDD505-2E9C-101B-9397-08002B2CF9AE}" pid="24" name="_dlc_DocIdUrl">
    <vt:lpwstr>https://wipoprod.sharepoint.com/sites/SPS-INT-BFP-LD-RussTran/_layouts/15/DocIdRedir.aspx?ID=LDBFP-2000531084-64197, LDBFP-2000531084-64197</vt:lpwstr>
  </property>
</Properties>
</file>