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4076B" w14:textId="313C3176" w:rsidR="008B2CC1" w:rsidRPr="008B2CC1" w:rsidRDefault="00223B9C" w:rsidP="00F11D94">
      <w:pPr>
        <w:spacing w:after="12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0D37413B" wp14:editId="1F4E3D86">
            <wp:extent cx="2938780" cy="1481455"/>
            <wp:effectExtent l="0" t="0" r="0" b="4445"/>
            <wp:docPr id="3" name="Picture 3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6AF1CFEB" wp14:editId="6D42491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C7E5B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761D6D08" w14:textId="39195142" w:rsidR="008B2CC1" w:rsidRPr="001024FE" w:rsidRDefault="00B932E6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BP</w:t>
      </w:r>
      <w:bookmarkStart w:id="1" w:name="Code"/>
      <w:r>
        <w:rPr>
          <w:rFonts w:ascii="Arial Black" w:hAnsi="Arial Black"/>
          <w:caps/>
          <w:sz w:val="15"/>
          <w:szCs w:val="15"/>
        </w:rPr>
        <w:t>/A/39/1</w:t>
      </w:r>
    </w:p>
    <w:bookmarkEnd w:id="1"/>
    <w:p w14:paraId="61ECD1F4" w14:textId="2B81BC85" w:rsidR="00CE65D4" w:rsidRPr="00CE65D4" w:rsidRDefault="00223B9C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553F55D5" w14:textId="7E01E3E5" w:rsidR="008B2CC1" w:rsidRPr="00F62C6D" w:rsidRDefault="00223B9C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F62C6D"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F62C6D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5E29BE" w:rsidRPr="00F62C6D">
        <w:rPr>
          <w:rFonts w:ascii="Arial Black" w:hAnsi="Arial Black"/>
          <w:caps/>
          <w:sz w:val="15"/>
          <w:szCs w:val="15"/>
          <w:lang w:val="ru-RU"/>
        </w:rPr>
        <w:t>13</w:t>
      </w:r>
      <w:r w:rsidRPr="00F62C6D">
        <w:rPr>
          <w:rFonts w:ascii="Arial Black" w:hAnsi="Arial Black"/>
          <w:caps/>
          <w:sz w:val="15"/>
          <w:szCs w:val="15"/>
          <w:lang w:val="ru-RU"/>
        </w:rPr>
        <w:t xml:space="preserve"> мая</w:t>
      </w:r>
      <w:r w:rsidR="00ED5075" w:rsidRPr="00F62C6D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Pr="00F62C6D">
        <w:rPr>
          <w:rFonts w:ascii="Arial Black" w:hAnsi="Arial Black"/>
          <w:caps/>
          <w:sz w:val="15"/>
          <w:szCs w:val="15"/>
          <w:lang w:val="ru-RU"/>
        </w:rPr>
        <w:t>2 г.</w:t>
      </w:r>
    </w:p>
    <w:bookmarkEnd w:id="3"/>
    <w:p w14:paraId="79CC9E33" w14:textId="406E0DFF" w:rsidR="00ED5075" w:rsidRPr="00F62C6D" w:rsidRDefault="00F62C6D" w:rsidP="00CE65D4">
      <w:pPr>
        <w:spacing w:after="600"/>
        <w:rPr>
          <w:b/>
          <w:sz w:val="28"/>
          <w:szCs w:val="28"/>
          <w:lang w:val="ru-RU"/>
        </w:rPr>
      </w:pPr>
      <w:r w:rsidRPr="00F62C6D">
        <w:rPr>
          <w:b/>
          <w:sz w:val="28"/>
          <w:szCs w:val="28"/>
          <w:lang w:val="ru-RU"/>
        </w:rPr>
        <w:t>Союз по международному признанию депонирования микроорганизмов для целей патентной процедуры</w:t>
      </w:r>
      <w:r w:rsidR="005E29BE" w:rsidRPr="00F62C6D">
        <w:rPr>
          <w:b/>
          <w:sz w:val="28"/>
          <w:szCs w:val="28"/>
          <w:lang w:val="ru-RU"/>
        </w:rPr>
        <w:t xml:space="preserve"> (</w:t>
      </w:r>
      <w:r w:rsidRPr="00F62C6D">
        <w:rPr>
          <w:b/>
          <w:sz w:val="28"/>
          <w:szCs w:val="28"/>
          <w:lang w:val="ru-RU"/>
        </w:rPr>
        <w:t>Будапештский союз</w:t>
      </w:r>
      <w:r w:rsidR="00ED5075" w:rsidRPr="00F62C6D">
        <w:rPr>
          <w:b/>
          <w:sz w:val="28"/>
          <w:szCs w:val="28"/>
          <w:lang w:val="ru-RU"/>
        </w:rPr>
        <w:t>)</w:t>
      </w:r>
    </w:p>
    <w:p w14:paraId="39DDF1DB" w14:textId="386CEAB4" w:rsidR="008B2CC1" w:rsidRPr="003845C1" w:rsidRDefault="00F62C6D" w:rsidP="00CE65D4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Ассамблея</w:t>
      </w:r>
    </w:p>
    <w:p w14:paraId="1294249F" w14:textId="1A13A249" w:rsidR="005F089D" w:rsidRPr="003845C1" w:rsidRDefault="002C32D1" w:rsidP="005F089D">
      <w:pPr>
        <w:rPr>
          <w:b/>
          <w:sz w:val="24"/>
          <w:szCs w:val="24"/>
        </w:rPr>
      </w:pPr>
      <w:r>
        <w:rPr>
          <w:b/>
          <w:sz w:val="24"/>
          <w:lang w:val="ru-RU"/>
        </w:rPr>
        <w:t>Тридцать девятая</w:t>
      </w:r>
      <w:r w:rsidR="00EA0BEA">
        <w:rPr>
          <w:b/>
          <w:sz w:val="24"/>
        </w:rPr>
        <w:t xml:space="preserve"> (18</w:t>
      </w:r>
      <w:r>
        <w:rPr>
          <w:b/>
          <w:sz w:val="24"/>
          <w:lang w:val="ru-RU"/>
        </w:rPr>
        <w:t>-я внеочередная</w:t>
      </w:r>
      <w:r w:rsidR="00ED5075">
        <w:rPr>
          <w:b/>
          <w:sz w:val="24"/>
        </w:rPr>
        <w:t xml:space="preserve">) </w:t>
      </w:r>
      <w:r>
        <w:rPr>
          <w:b/>
          <w:sz w:val="24"/>
          <w:lang w:val="ru-RU"/>
        </w:rPr>
        <w:t>сессия</w:t>
      </w:r>
    </w:p>
    <w:p w14:paraId="584D94DE" w14:textId="68A33F99" w:rsidR="008B2CC1" w:rsidRPr="002C32D1" w:rsidRDefault="002C32D1" w:rsidP="00CE65D4">
      <w:pPr>
        <w:spacing w:after="720"/>
        <w:rPr>
          <w:lang w:val="ru-RU"/>
        </w:rPr>
      </w:pPr>
      <w:r>
        <w:rPr>
          <w:b/>
          <w:sz w:val="24"/>
          <w:lang w:val="ru-RU"/>
        </w:rPr>
        <w:t>Женева</w:t>
      </w:r>
      <w:r w:rsidR="005F089D" w:rsidRPr="009C127D">
        <w:rPr>
          <w:b/>
          <w:sz w:val="24"/>
        </w:rPr>
        <w:t xml:space="preserve">, </w:t>
      </w:r>
      <w:r w:rsidR="005F089D">
        <w:rPr>
          <w:b/>
          <w:sz w:val="24"/>
        </w:rPr>
        <w:t>1</w:t>
      </w:r>
      <w:r w:rsidR="00C91E8C">
        <w:rPr>
          <w:b/>
          <w:sz w:val="24"/>
        </w:rPr>
        <w:t>4</w:t>
      </w:r>
      <w:r w:rsidRPr="002C32D1">
        <w:rPr>
          <w:b/>
          <w:sz w:val="24"/>
        </w:rPr>
        <w:t>–</w:t>
      </w:r>
      <w:r w:rsidR="005F089D">
        <w:rPr>
          <w:b/>
          <w:sz w:val="24"/>
        </w:rPr>
        <w:t>22</w:t>
      </w:r>
      <w:r>
        <w:rPr>
          <w:b/>
          <w:sz w:val="24"/>
          <w:lang w:val="ru-RU"/>
        </w:rPr>
        <w:t xml:space="preserve"> июля</w:t>
      </w:r>
      <w:r w:rsidR="005F089D">
        <w:rPr>
          <w:b/>
          <w:sz w:val="24"/>
        </w:rPr>
        <w:t xml:space="preserve"> 2022</w:t>
      </w:r>
      <w:r>
        <w:rPr>
          <w:b/>
          <w:sz w:val="24"/>
          <w:lang w:val="ru-RU"/>
        </w:rPr>
        <w:t> г.</w:t>
      </w:r>
    </w:p>
    <w:p w14:paraId="3354EFD3" w14:textId="620EE136" w:rsidR="008B2CC1" w:rsidRPr="009F3BF9" w:rsidRDefault="007F4757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  <w:lang w:val="ru-RU"/>
        </w:rPr>
        <w:t>БЛАНКИ К БУДАПЕШТСКОМУ ДОГОВОРУ</w:t>
      </w:r>
    </w:p>
    <w:p w14:paraId="5C815010" w14:textId="5918DBC2" w:rsidR="008B2CC1" w:rsidRPr="004D39C4" w:rsidRDefault="004515B2" w:rsidP="00CE65D4">
      <w:pPr>
        <w:spacing w:after="960"/>
        <w:rPr>
          <w:i/>
        </w:rPr>
      </w:pPr>
      <w:bookmarkStart w:id="5" w:name="Prepared"/>
      <w:bookmarkEnd w:id="4"/>
      <w:r>
        <w:rPr>
          <w:i/>
          <w:lang w:val="ru-RU"/>
        </w:rPr>
        <w:t>Документ подготовлен Секретариатом</w:t>
      </w:r>
    </w:p>
    <w:bookmarkEnd w:id="5"/>
    <w:p w14:paraId="67E94A8E" w14:textId="5D934CC8" w:rsidR="002928D3" w:rsidRPr="00F01807" w:rsidRDefault="00BE4016" w:rsidP="00B41A93">
      <w:pPr>
        <w:pStyle w:val="Heading1"/>
        <w:spacing w:after="220"/>
      </w:pPr>
      <w:r>
        <w:rPr>
          <w:lang w:val="ru-RU"/>
        </w:rPr>
        <w:t>РЕЗЮМЕ</w:t>
      </w:r>
    </w:p>
    <w:p w14:paraId="4E448E70" w14:textId="2F3917DC" w:rsidR="00EF331A" w:rsidRDefault="00351621" w:rsidP="002F75D2">
      <w:pPr>
        <w:pStyle w:val="ONUME"/>
        <w:rPr>
          <w:bCs/>
        </w:rPr>
      </w:pPr>
      <w:r>
        <w:rPr>
          <w:lang w:val="ru-RU"/>
        </w:rPr>
        <w:t>В настоящем документе из</w:t>
      </w:r>
      <w:r w:rsidR="00FB4684">
        <w:rPr>
          <w:lang w:val="ru-RU"/>
        </w:rPr>
        <w:t>ложено предложение включить в бланки, разработанные в соответс</w:t>
      </w:r>
      <w:r w:rsidR="00FB4684" w:rsidRPr="00045CC9">
        <w:rPr>
          <w:lang w:val="ru-RU"/>
        </w:rPr>
        <w:t>твии с Будапештским договором о международном признании депонирования микроорганизмов для целей патентной процедуры</w:t>
      </w:r>
      <w:r w:rsidR="00DC1528" w:rsidRPr="00045CC9">
        <w:rPr>
          <w:lang w:val="ru-RU"/>
        </w:rPr>
        <w:t xml:space="preserve"> (далее «Будапештский договор»), поля для указания адреса электронной почты </w:t>
      </w:r>
      <w:r w:rsidR="001440AB" w:rsidRPr="00045CC9">
        <w:rPr>
          <w:lang w:val="ru-RU"/>
        </w:rPr>
        <w:t>(</w:t>
      </w:r>
      <w:r w:rsidR="008B53BC" w:rsidRPr="00045CC9">
        <w:rPr>
          <w:lang w:val="ru-RU"/>
        </w:rPr>
        <w:t>далее «электронная почта») и номера телефона</w:t>
      </w:r>
      <w:r w:rsidR="00C665A5" w:rsidRPr="00045CC9">
        <w:rPr>
          <w:bCs/>
          <w:lang w:val="ru-RU"/>
        </w:rPr>
        <w:t>.</w:t>
      </w:r>
    </w:p>
    <w:p w14:paraId="7BDE1421" w14:textId="0E381706" w:rsidR="00F9633E" w:rsidRDefault="00B83BD3" w:rsidP="001E6377">
      <w:pPr>
        <w:pStyle w:val="ONUME"/>
        <w:spacing w:after="240"/>
      </w:pPr>
      <w:r>
        <w:rPr>
          <w:bCs/>
          <w:lang w:val="ru-RU"/>
        </w:rPr>
        <w:t xml:space="preserve">В духе принципа многоязычия, </w:t>
      </w:r>
      <w:r w:rsidR="001F29A4">
        <w:rPr>
          <w:bCs/>
          <w:lang w:val="ru-RU"/>
        </w:rPr>
        <w:t>исповедуемого</w:t>
      </w:r>
      <w:r>
        <w:rPr>
          <w:bCs/>
          <w:lang w:val="ru-RU"/>
        </w:rPr>
        <w:t xml:space="preserve"> ВОИС, предлагается также </w:t>
      </w:r>
      <w:r w:rsidR="001F29A4">
        <w:rPr>
          <w:bCs/>
          <w:lang w:val="ru-RU"/>
        </w:rPr>
        <w:t>разработать такие бланки на шести языках Организации Объединенных На</w:t>
      </w:r>
      <w:r w:rsidR="00CC5258">
        <w:rPr>
          <w:bCs/>
          <w:lang w:val="ru-RU"/>
        </w:rPr>
        <w:t>ций </w:t>
      </w:r>
      <w:r w:rsidR="001F29A4">
        <w:rPr>
          <w:bCs/>
          <w:lang w:val="ru-RU"/>
        </w:rPr>
        <w:t xml:space="preserve">(ООН) </w:t>
      </w:r>
      <w:r w:rsidR="001F29A4">
        <w:rPr>
          <w:lang w:val="ru-RU"/>
        </w:rPr>
        <w:t>и внести поправки в правило</w:t>
      </w:r>
      <w:r w:rsidR="00137F23">
        <w:t> </w:t>
      </w:r>
      <w:r w:rsidR="00DF46F7">
        <w:t>11.4</w:t>
      </w:r>
      <w:r w:rsidR="003058C7">
        <w:t>(a)</w:t>
      </w:r>
      <w:r w:rsidR="001F29A4">
        <w:rPr>
          <w:lang w:val="ru-RU"/>
        </w:rPr>
        <w:t> и</w:t>
      </w:r>
      <w:r w:rsidR="000B1A8F">
        <w:t> </w:t>
      </w:r>
      <w:r w:rsidR="003058C7">
        <w:t xml:space="preserve">(b) </w:t>
      </w:r>
      <w:r w:rsidR="001F29A4">
        <w:rPr>
          <w:lang w:val="ru-RU"/>
        </w:rPr>
        <w:t>Инструкции к Будапештскому договору, включив тем самым в эти положения указание всех шести языков ООН</w:t>
      </w:r>
      <w:r w:rsidR="00EF331A">
        <w:t>.</w:t>
      </w:r>
    </w:p>
    <w:p w14:paraId="61DCDFDD" w14:textId="77777777" w:rsidR="007E3604" w:rsidRDefault="007E3604">
      <w:pPr>
        <w:rPr>
          <w:b/>
          <w:bCs/>
          <w:caps/>
          <w:kern w:val="32"/>
          <w:szCs w:val="32"/>
          <w:lang w:val="ru-RU"/>
        </w:rPr>
      </w:pPr>
      <w:r>
        <w:rPr>
          <w:lang w:val="ru-RU"/>
        </w:rPr>
        <w:br w:type="page"/>
      </w:r>
    </w:p>
    <w:p w14:paraId="4E8FEDEA" w14:textId="674875D2" w:rsidR="0032658D" w:rsidRPr="00D024FB" w:rsidRDefault="0012662C" w:rsidP="00B41A93">
      <w:pPr>
        <w:pStyle w:val="Heading1"/>
        <w:spacing w:after="220"/>
        <w:rPr>
          <w:lang w:val="ru-RU"/>
        </w:rPr>
      </w:pPr>
      <w:r>
        <w:rPr>
          <w:lang w:val="ru-RU"/>
        </w:rPr>
        <w:lastRenderedPageBreak/>
        <w:t>БЛАНКИ К БУДАПЕШТСКОМУ ДОГОВОРУ</w:t>
      </w:r>
    </w:p>
    <w:p w14:paraId="7FFD69B7" w14:textId="5CC4DD96" w:rsidR="000B1A8F" w:rsidRPr="00D024FB" w:rsidRDefault="00D024FB" w:rsidP="002F75D2">
      <w:pPr>
        <w:pStyle w:val="ONUME"/>
        <w:rPr>
          <w:lang w:val="ru-RU"/>
        </w:rPr>
      </w:pPr>
      <w:r w:rsidRPr="00D024FB">
        <w:rPr>
          <w:bCs/>
          <w:lang w:val="ru-RU"/>
        </w:rPr>
        <w:t>В рамках Будапештского договора используется 14 бланков с порядковыми номерами BP/1 </w:t>
      </w:r>
      <w:r w:rsidRPr="00C27DA7">
        <w:rPr>
          <w:bCs/>
          <w:lang w:val="ru-RU"/>
        </w:rPr>
        <w:t>–</w:t>
      </w:r>
      <w:r w:rsidRPr="00D024FB">
        <w:rPr>
          <w:bCs/>
          <w:lang w:val="ru-RU"/>
        </w:rPr>
        <w:t> BP/14 (см. перечень бланков в приложении I).  Они были разработаны Международным бюро ВОИС на основе обсуждений, состоявшихся в рамках Ассамблеи Будапештского союза (далее «Ассамблея») и Межсессионного консультативного комитета по подготовке вступления в силу Будапештского договора.</w:t>
      </w:r>
    </w:p>
    <w:p w14:paraId="184AF4B4" w14:textId="6CDF24A3" w:rsidR="00240493" w:rsidRDefault="00E33BE7" w:rsidP="002F75D2">
      <w:pPr>
        <w:pStyle w:val="ONUME"/>
      </w:pPr>
      <w:r>
        <w:rPr>
          <w:lang w:val="ru-RU"/>
        </w:rPr>
        <w:t xml:space="preserve">Инструкция к Будапештскому договору не предусматривает разработку всех этих бланков.  </w:t>
      </w:r>
      <w:r w:rsidR="007E141C">
        <w:rPr>
          <w:lang w:val="ru-RU"/>
        </w:rPr>
        <w:t xml:space="preserve">Она </w:t>
      </w:r>
      <w:r>
        <w:rPr>
          <w:lang w:val="ru-RU"/>
        </w:rPr>
        <w:t>предпис</w:t>
      </w:r>
      <w:r w:rsidR="007E141C">
        <w:rPr>
          <w:lang w:val="ru-RU"/>
        </w:rPr>
        <w:t xml:space="preserve">ывает подготовку </w:t>
      </w:r>
      <w:r>
        <w:rPr>
          <w:lang w:val="ru-RU"/>
        </w:rPr>
        <w:t>бланк</w:t>
      </w:r>
      <w:r w:rsidR="007E141C">
        <w:rPr>
          <w:lang w:val="ru-RU"/>
        </w:rPr>
        <w:t>ов</w:t>
      </w:r>
      <w:r>
        <w:rPr>
          <w:lang w:val="ru-RU"/>
        </w:rPr>
        <w:t xml:space="preserve"> </w:t>
      </w:r>
      <w:r w:rsidR="00DC6B4D" w:rsidRPr="00DC6B4D">
        <w:t>BP/4, 5</w:t>
      </w:r>
      <w:r w:rsidR="00DC6B4D">
        <w:t xml:space="preserve">, </w:t>
      </w:r>
      <w:r w:rsidR="00DC6B4D" w:rsidRPr="00DC6B4D">
        <w:t>6</w:t>
      </w:r>
      <w:r w:rsidR="00DC6B4D">
        <w:t xml:space="preserve">, </w:t>
      </w:r>
      <w:r w:rsidR="00DC6B4D" w:rsidRPr="00DC6B4D">
        <w:t>9</w:t>
      </w:r>
      <w:r w:rsidR="00DC6B4D">
        <w:t xml:space="preserve"> </w:t>
      </w:r>
      <w:r>
        <w:rPr>
          <w:lang w:val="ru-RU"/>
        </w:rPr>
        <w:t>и</w:t>
      </w:r>
      <w:r w:rsidR="00DC6B4D">
        <w:t xml:space="preserve"> 12</w:t>
      </w:r>
      <w:r w:rsidR="00DC6B4D" w:rsidRPr="00DC6B4D">
        <w:t>.</w:t>
      </w:r>
      <w:r w:rsidR="00DC6B4D">
        <w:t xml:space="preserve">  </w:t>
      </w:r>
      <w:r w:rsidR="007E141C">
        <w:rPr>
          <w:lang w:val="ru-RU"/>
        </w:rPr>
        <w:t xml:space="preserve">Что касается остальных бланков с порядковыми номерами </w:t>
      </w:r>
      <w:r w:rsidR="00DC6B4D" w:rsidRPr="00DC6B4D">
        <w:t xml:space="preserve">BP/1, 2, 3, 7, 8, 10, 11, 13 </w:t>
      </w:r>
      <w:r w:rsidR="007E141C">
        <w:rPr>
          <w:lang w:val="ru-RU"/>
        </w:rPr>
        <w:t>и</w:t>
      </w:r>
      <w:r w:rsidR="00DC6B4D" w:rsidRPr="00DC6B4D">
        <w:t xml:space="preserve"> 14,</w:t>
      </w:r>
      <w:r w:rsidR="007E141C">
        <w:rPr>
          <w:lang w:val="ru-RU"/>
        </w:rPr>
        <w:t xml:space="preserve"> Ассамблея сочла целесообразным разработать их в качестве образца</w:t>
      </w:r>
      <w:r w:rsidR="00DC6B4D" w:rsidRPr="00DC6B4D">
        <w:t>.</w:t>
      </w:r>
      <w:r w:rsidR="00DC6B4D">
        <w:t xml:space="preserve">  </w:t>
      </w:r>
      <w:r w:rsidR="007A3A29">
        <w:rPr>
          <w:lang w:val="ru-RU"/>
        </w:rPr>
        <w:t>В результате Международное бюро выработало такие бланки</w:t>
      </w:r>
      <w:r w:rsidR="00DC6B4D">
        <w:t>.</w:t>
      </w:r>
    </w:p>
    <w:p w14:paraId="4166D023" w14:textId="296CDBCE" w:rsidR="00EF331A" w:rsidRPr="00EF331A" w:rsidRDefault="001930A9" w:rsidP="001E6377">
      <w:pPr>
        <w:pStyle w:val="ONUME"/>
        <w:spacing w:after="240"/>
      </w:pPr>
      <w:r>
        <w:rPr>
          <w:lang w:val="ru-RU"/>
        </w:rPr>
        <w:t xml:space="preserve">Бланки </w:t>
      </w:r>
      <w:r w:rsidR="000B1A8F" w:rsidRPr="000B1A8F">
        <w:t>BP/4, 5, 6</w:t>
      </w:r>
      <w:r>
        <w:rPr>
          <w:lang w:val="ru-RU"/>
        </w:rPr>
        <w:t xml:space="preserve"> и</w:t>
      </w:r>
      <w:r w:rsidR="000B1A8F" w:rsidRPr="000B1A8F">
        <w:t xml:space="preserve"> 9</w:t>
      </w:r>
      <w:r w:rsidR="000B1A8F">
        <w:t xml:space="preserve"> </w:t>
      </w:r>
      <w:r>
        <w:rPr>
          <w:lang w:val="ru-RU"/>
        </w:rPr>
        <w:t>называются «международными»</w:t>
      </w:r>
      <w:r w:rsidR="00DC6B4D">
        <w:t xml:space="preserve">.  </w:t>
      </w:r>
      <w:r w:rsidR="006A60CF">
        <w:rPr>
          <w:lang w:val="ru-RU"/>
        </w:rPr>
        <w:t>Они касаются расписки в получении микроорганизма и</w:t>
      </w:r>
      <w:r w:rsidR="000B1A8F" w:rsidRPr="000B1A8F">
        <w:t xml:space="preserve"> </w:t>
      </w:r>
      <w:r w:rsidR="006A60CF">
        <w:rPr>
          <w:lang w:val="ru-RU"/>
        </w:rPr>
        <w:t>свидетельства о жизнеспособности</w:t>
      </w:r>
      <w:r w:rsidR="000B1A8F">
        <w:t xml:space="preserve">, </w:t>
      </w:r>
      <w:r w:rsidR="006A60CF">
        <w:rPr>
          <w:lang w:val="ru-RU"/>
        </w:rPr>
        <w:t>выда</w:t>
      </w:r>
      <w:r w:rsidR="00686461">
        <w:rPr>
          <w:lang w:val="ru-RU"/>
        </w:rPr>
        <w:t>емых</w:t>
      </w:r>
      <w:r w:rsidR="006A60CF">
        <w:rPr>
          <w:lang w:val="ru-RU"/>
        </w:rPr>
        <w:t xml:space="preserve"> международными органами по депонированию</w:t>
      </w:r>
      <w:r w:rsidR="000B1A8F">
        <w:t xml:space="preserve"> (</w:t>
      </w:r>
      <w:r w:rsidR="006A60CF">
        <w:rPr>
          <w:lang w:val="ru-RU"/>
        </w:rPr>
        <w:t>МОД</w:t>
      </w:r>
      <w:r w:rsidR="000B1A8F">
        <w:t xml:space="preserve">).  </w:t>
      </w:r>
      <w:r w:rsidR="00C1576D">
        <w:rPr>
          <w:lang w:val="ru-RU"/>
        </w:rPr>
        <w:t>Международные бланки доступны на английском, испанском, русском и французском языках по решению Ассамблеи</w:t>
      </w:r>
      <w:r w:rsidR="000B1A8F" w:rsidRPr="000B1A8F">
        <w:t>.</w:t>
      </w:r>
      <w:r w:rsidR="000B1A8F">
        <w:t xml:space="preserve">  </w:t>
      </w:r>
      <w:r w:rsidR="00C1576D">
        <w:rPr>
          <w:lang w:val="ru-RU"/>
        </w:rPr>
        <w:t>Остальные бланки в настоящее время доступны на английском и французском языках</w:t>
      </w:r>
      <w:r w:rsidR="000B1A8F">
        <w:t>.</w:t>
      </w:r>
    </w:p>
    <w:p w14:paraId="11B7416F" w14:textId="598EED96" w:rsidR="00C107B3" w:rsidRPr="00C107B3" w:rsidRDefault="00B90F6D" w:rsidP="0064296F">
      <w:pPr>
        <w:pStyle w:val="Heading1"/>
        <w:spacing w:after="220"/>
      </w:pPr>
      <w:r>
        <w:rPr>
          <w:lang w:val="ru-RU"/>
        </w:rPr>
        <w:t>УКАЗАНИЕ НОМЕРА ТЕЛЕФОНА И АДРЕСА ЭЛЕКТРОННО</w:t>
      </w:r>
      <w:r w:rsidR="00686461">
        <w:rPr>
          <w:lang w:val="ru-RU"/>
        </w:rPr>
        <w:t>Й</w:t>
      </w:r>
      <w:r>
        <w:rPr>
          <w:lang w:val="ru-RU"/>
        </w:rPr>
        <w:t xml:space="preserve"> ПОЧТЫ в бланках к будапештскому договору</w:t>
      </w:r>
    </w:p>
    <w:p w14:paraId="5D77D091" w14:textId="26E5D929" w:rsidR="009878CD" w:rsidRDefault="00897582" w:rsidP="002F75D2">
      <w:pPr>
        <w:pStyle w:val="ONUME"/>
      </w:pPr>
      <w:r>
        <w:rPr>
          <w:lang w:val="ru-RU"/>
        </w:rPr>
        <w:t>Для целей идентификации</w:t>
      </w:r>
      <w:r w:rsidR="00FF5154">
        <w:rPr>
          <w:lang w:val="ru-RU"/>
        </w:rPr>
        <w:t xml:space="preserve"> и связи с</w:t>
      </w:r>
      <w:r>
        <w:rPr>
          <w:lang w:val="ru-RU"/>
        </w:rPr>
        <w:t xml:space="preserve"> депозитор</w:t>
      </w:r>
      <w:r w:rsidR="00FF5154">
        <w:rPr>
          <w:lang w:val="ru-RU"/>
        </w:rPr>
        <w:t>ом</w:t>
      </w:r>
      <w:r>
        <w:rPr>
          <w:lang w:val="ru-RU"/>
        </w:rPr>
        <w:t xml:space="preserve"> микроорганизма или </w:t>
      </w:r>
      <w:r w:rsidR="00FF5154">
        <w:rPr>
          <w:lang w:val="ru-RU"/>
        </w:rPr>
        <w:t>субъектом</w:t>
      </w:r>
      <w:r>
        <w:rPr>
          <w:lang w:val="ru-RU"/>
        </w:rPr>
        <w:t xml:space="preserve">, </w:t>
      </w:r>
      <w:r w:rsidR="00FF5154">
        <w:rPr>
          <w:lang w:val="ru-RU"/>
        </w:rPr>
        <w:t xml:space="preserve">запрашивающим </w:t>
      </w:r>
      <w:r>
        <w:rPr>
          <w:lang w:val="ru-RU"/>
        </w:rPr>
        <w:t>образ</w:t>
      </w:r>
      <w:r w:rsidR="00FF5154">
        <w:rPr>
          <w:lang w:val="ru-RU"/>
        </w:rPr>
        <w:t>е</w:t>
      </w:r>
      <w:r>
        <w:rPr>
          <w:lang w:val="ru-RU"/>
        </w:rPr>
        <w:t xml:space="preserve">ц микроорганизма, </w:t>
      </w:r>
      <w:r w:rsidR="00FF5154">
        <w:rPr>
          <w:lang w:val="ru-RU"/>
        </w:rPr>
        <w:t xml:space="preserve">во </w:t>
      </w:r>
      <w:r>
        <w:rPr>
          <w:lang w:val="ru-RU"/>
        </w:rPr>
        <w:t>все</w:t>
      </w:r>
      <w:r w:rsidR="00FF5154">
        <w:rPr>
          <w:lang w:val="ru-RU"/>
        </w:rPr>
        <w:t>х</w:t>
      </w:r>
      <w:r>
        <w:rPr>
          <w:lang w:val="ru-RU"/>
        </w:rPr>
        <w:t xml:space="preserve"> бланк</w:t>
      </w:r>
      <w:r w:rsidR="00FF5154">
        <w:rPr>
          <w:lang w:val="ru-RU"/>
        </w:rPr>
        <w:t>ах</w:t>
      </w:r>
      <w:r>
        <w:rPr>
          <w:lang w:val="ru-RU"/>
        </w:rPr>
        <w:t xml:space="preserve"> </w:t>
      </w:r>
      <w:r w:rsidR="009878CD">
        <w:t>BP</w:t>
      </w:r>
      <w:r w:rsidR="00FF5154">
        <w:rPr>
          <w:lang w:val="ru-RU"/>
        </w:rPr>
        <w:t xml:space="preserve"> предусмотрены поля для указания их названия и адреса.  </w:t>
      </w:r>
      <w:r w:rsidR="000E53C3">
        <w:rPr>
          <w:lang w:val="ru-RU"/>
        </w:rPr>
        <w:t xml:space="preserve">Однако </w:t>
      </w:r>
      <w:r w:rsidR="008B05D8">
        <w:rPr>
          <w:lang w:val="ru-RU"/>
        </w:rPr>
        <w:t>ни в одном из бланков нет графы для указания адреса электронной почты и номера телефона соответствующей стороны</w:t>
      </w:r>
      <w:r w:rsidR="009878CD">
        <w:t>.</w:t>
      </w:r>
    </w:p>
    <w:p w14:paraId="3E55F426" w14:textId="46B44DBB" w:rsidR="00E633B5" w:rsidRDefault="00975247" w:rsidP="002F75D2">
      <w:pPr>
        <w:pStyle w:val="ONUME"/>
      </w:pPr>
      <w:r>
        <w:rPr>
          <w:lang w:val="ru-RU"/>
        </w:rPr>
        <w:t>Фактически электронная почта и телефон являются сегодня испытанными</w:t>
      </w:r>
      <w:r w:rsidR="00EF4D4A">
        <w:rPr>
          <w:lang w:val="ru-RU"/>
        </w:rPr>
        <w:t>,</w:t>
      </w:r>
      <w:r>
        <w:rPr>
          <w:lang w:val="ru-RU"/>
        </w:rPr>
        <w:t xml:space="preserve"> широко распространенными средствами связи.  </w:t>
      </w:r>
      <w:r w:rsidR="00EF4D4A">
        <w:rPr>
          <w:lang w:val="ru-RU"/>
        </w:rPr>
        <w:t>Указание номеров телефонов и адресов электронной почты также служит цели идентификации той или иной стороны и связи с ней по мере необходимости</w:t>
      </w:r>
      <w:r w:rsidR="00E53E22">
        <w:t xml:space="preserve">.  </w:t>
      </w:r>
      <w:r w:rsidR="002339CD">
        <w:rPr>
          <w:lang w:val="ru-RU"/>
        </w:rPr>
        <w:t xml:space="preserve">Возможность указания таких сведений в бланках </w:t>
      </w:r>
      <w:r w:rsidR="00E53E22" w:rsidRPr="00E53E22">
        <w:t>BP</w:t>
      </w:r>
      <w:r w:rsidR="002339CD">
        <w:rPr>
          <w:lang w:val="ru-RU"/>
        </w:rPr>
        <w:t xml:space="preserve"> будет полезно для пользователей Будапештской системы, поскольку обеспечит оперативную связь на уровне МОД, ведомств интеллектуальной собственности</w:t>
      </w:r>
      <w:r w:rsidR="00E53E22" w:rsidRPr="00E53E22">
        <w:t xml:space="preserve"> (</w:t>
      </w:r>
      <w:r w:rsidR="002339CD">
        <w:rPr>
          <w:lang w:val="ru-RU"/>
        </w:rPr>
        <w:t>ВИС</w:t>
      </w:r>
      <w:r w:rsidR="00E53E22" w:rsidRPr="00E53E22">
        <w:t xml:space="preserve">) </w:t>
      </w:r>
      <w:r w:rsidR="002339CD">
        <w:rPr>
          <w:lang w:val="ru-RU"/>
        </w:rPr>
        <w:t xml:space="preserve">и депозиторов микроорганизма или субъектов, </w:t>
      </w:r>
      <w:r w:rsidR="002339CD" w:rsidRPr="00125FBA">
        <w:rPr>
          <w:lang w:val="ru-RU"/>
        </w:rPr>
        <w:t>запрашивающих образец депонированных микроорганизмов</w:t>
      </w:r>
      <w:r w:rsidR="00E53E22" w:rsidRPr="00125FBA">
        <w:rPr>
          <w:lang w:val="ru-RU"/>
        </w:rPr>
        <w:t xml:space="preserve">.  </w:t>
      </w:r>
      <w:r w:rsidR="00557CB4">
        <w:rPr>
          <w:lang w:val="ru-RU"/>
        </w:rPr>
        <w:t>В этой связи</w:t>
      </w:r>
      <w:r w:rsidR="00357878">
        <w:rPr>
          <w:lang w:val="ru-RU"/>
        </w:rPr>
        <w:t xml:space="preserve"> предлагается включить в бланки ВР поля для указания адреса электронной почты и номера телефона</w:t>
      </w:r>
      <w:r w:rsidR="009878CD">
        <w:t>.</w:t>
      </w:r>
    </w:p>
    <w:p w14:paraId="7FB71A02" w14:textId="03841F96" w:rsidR="009111F6" w:rsidRDefault="00023A58" w:rsidP="002F75D2">
      <w:pPr>
        <w:pStyle w:val="ONUME"/>
      </w:pPr>
      <w:r>
        <w:rPr>
          <w:lang w:val="ru-RU"/>
        </w:rPr>
        <w:t xml:space="preserve">Согласно правилу </w:t>
      </w:r>
      <w:r w:rsidR="009111F6">
        <w:t xml:space="preserve">11.3(a) </w:t>
      </w:r>
      <w:r>
        <w:rPr>
          <w:lang w:val="ru-RU"/>
        </w:rPr>
        <w:t xml:space="preserve">Инструкции к Будапештскому договору содержание бланка </w:t>
      </w:r>
      <w:r w:rsidR="009111F6" w:rsidRPr="009111F6">
        <w:t>BP/12</w:t>
      </w:r>
      <w:r w:rsidR="00FA496F">
        <w:rPr>
          <w:lang w:val="ru-RU"/>
        </w:rPr>
        <w:t xml:space="preserve"> о</w:t>
      </w:r>
      <w:r>
        <w:rPr>
          <w:lang w:val="ru-RU"/>
        </w:rPr>
        <w:t xml:space="preserve"> выдач</w:t>
      </w:r>
      <w:r w:rsidR="00FA496F">
        <w:rPr>
          <w:lang w:val="ru-RU"/>
        </w:rPr>
        <w:t>е</w:t>
      </w:r>
      <w:r>
        <w:rPr>
          <w:lang w:val="ru-RU"/>
        </w:rPr>
        <w:t xml:space="preserve"> образцов депонированных микроорганизмов стороне, имеющей на это право, устанавливается Ассамблеей.  </w:t>
      </w:r>
      <w:r w:rsidR="007A7C16">
        <w:rPr>
          <w:lang w:val="ru-RU"/>
        </w:rPr>
        <w:t xml:space="preserve">Таким образом, Ассамблее предлагается рассмотреть включение в бланк </w:t>
      </w:r>
      <w:r w:rsidR="007A7C16" w:rsidRPr="007A7C16">
        <w:t>BP/12</w:t>
      </w:r>
      <w:r w:rsidR="007A7C16">
        <w:rPr>
          <w:lang w:val="ru-RU"/>
        </w:rPr>
        <w:t xml:space="preserve"> </w:t>
      </w:r>
      <w:r w:rsidR="00916FE9">
        <w:rPr>
          <w:lang w:val="ru-RU"/>
        </w:rPr>
        <w:t>указание</w:t>
      </w:r>
      <w:r w:rsidR="007A7C16">
        <w:rPr>
          <w:lang w:val="ru-RU"/>
        </w:rPr>
        <w:t xml:space="preserve"> адрес</w:t>
      </w:r>
      <w:r w:rsidR="00916FE9">
        <w:rPr>
          <w:lang w:val="ru-RU"/>
        </w:rPr>
        <w:t>а</w:t>
      </w:r>
      <w:r w:rsidR="007A7C16">
        <w:rPr>
          <w:lang w:val="ru-RU"/>
        </w:rPr>
        <w:t xml:space="preserve"> электронной почты и номера телефона соответствующей стороны в рамках пред</w:t>
      </w:r>
      <w:r w:rsidR="00295FB3">
        <w:rPr>
          <w:lang w:val="ru-RU"/>
        </w:rPr>
        <w:t>о</w:t>
      </w:r>
      <w:r w:rsidR="007A7C16">
        <w:rPr>
          <w:lang w:val="ru-RU"/>
        </w:rPr>
        <w:t>ставляемых сведений</w:t>
      </w:r>
      <w:r w:rsidR="009111F6" w:rsidRPr="009111F6">
        <w:t>.</w:t>
      </w:r>
    </w:p>
    <w:p w14:paraId="75E47D55" w14:textId="290FBC89" w:rsidR="00004CBA" w:rsidRDefault="008324F3" w:rsidP="001E6377">
      <w:pPr>
        <w:pStyle w:val="ONUME"/>
        <w:spacing w:after="240"/>
      </w:pPr>
      <w:r>
        <w:rPr>
          <w:lang w:val="ru-RU"/>
        </w:rPr>
        <w:t>Что касается других бланков</w:t>
      </w:r>
      <w:r w:rsidR="00DE0797">
        <w:rPr>
          <w:lang w:val="ru-RU"/>
        </w:rPr>
        <w:t xml:space="preserve"> ВР</w:t>
      </w:r>
      <w:r>
        <w:rPr>
          <w:lang w:val="ru-RU"/>
        </w:rPr>
        <w:t>,</w:t>
      </w:r>
      <w:r w:rsidR="00DE0797">
        <w:rPr>
          <w:lang w:val="ru-RU"/>
        </w:rPr>
        <w:t xml:space="preserve"> то, например</w:t>
      </w:r>
      <w:r w:rsidR="00344661">
        <w:rPr>
          <w:lang w:val="ru-RU"/>
        </w:rPr>
        <w:t>,</w:t>
      </w:r>
      <w:r w:rsidR="00DE0797">
        <w:rPr>
          <w:lang w:val="ru-RU"/>
        </w:rPr>
        <w:t xml:space="preserve"> образцы международных бланков (</w:t>
      </w:r>
      <w:r w:rsidR="00004CBA">
        <w:t xml:space="preserve">BP/4, BP/5, BP/6 </w:t>
      </w:r>
      <w:r w:rsidR="00DE0797">
        <w:rPr>
          <w:lang w:val="ru-RU"/>
        </w:rPr>
        <w:t>и</w:t>
      </w:r>
      <w:r w:rsidR="00004CBA">
        <w:t xml:space="preserve"> BP/9</w:t>
      </w:r>
      <w:r w:rsidR="00DE0797">
        <w:rPr>
          <w:lang w:val="ru-RU"/>
        </w:rPr>
        <w:t>) устанавливает Генеральный директор</w:t>
      </w:r>
      <w:r w:rsidR="00004CBA">
        <w:t xml:space="preserve"> (</w:t>
      </w:r>
      <w:r w:rsidR="00DE0797">
        <w:rPr>
          <w:lang w:val="ru-RU"/>
        </w:rPr>
        <w:t>см. правило </w:t>
      </w:r>
      <w:r w:rsidR="00004CBA">
        <w:t xml:space="preserve">7.2(a) </w:t>
      </w:r>
      <w:r w:rsidR="00DE0797">
        <w:rPr>
          <w:lang w:val="ru-RU"/>
        </w:rPr>
        <w:t>и правило </w:t>
      </w:r>
      <w:r w:rsidR="00004CBA">
        <w:t xml:space="preserve">10.2(d) </w:t>
      </w:r>
      <w:r w:rsidR="00DE0797">
        <w:rPr>
          <w:lang w:val="ru-RU"/>
        </w:rPr>
        <w:t>Инструкции к Будапештскому договору</w:t>
      </w:r>
      <w:r w:rsidR="00004CBA">
        <w:t xml:space="preserve">).  </w:t>
      </w:r>
      <w:r w:rsidR="00344661">
        <w:rPr>
          <w:lang w:val="ru-RU"/>
        </w:rPr>
        <w:t>Остальные бланки</w:t>
      </w:r>
      <w:r w:rsidR="00004CBA">
        <w:t xml:space="preserve"> BP</w:t>
      </w:r>
      <w:r w:rsidR="00004CBA">
        <w:rPr>
          <w:rStyle w:val="FootnoteReference"/>
        </w:rPr>
        <w:footnoteReference w:id="2"/>
      </w:r>
      <w:r w:rsidR="00004CBA" w:rsidRPr="009F14E4">
        <w:t xml:space="preserve"> </w:t>
      </w:r>
      <w:r w:rsidR="00344661">
        <w:rPr>
          <w:lang w:val="ru-RU"/>
        </w:rPr>
        <w:t xml:space="preserve">разработаны Международным бюро </w:t>
      </w:r>
      <w:r w:rsidR="00DF14FE">
        <w:rPr>
          <w:lang w:val="ru-RU"/>
        </w:rPr>
        <w:t>исключительно для справки или в качестве образца для пользователей Будапештской системы</w:t>
      </w:r>
      <w:r w:rsidR="00004CBA" w:rsidRPr="009F14E4">
        <w:t>.</w:t>
      </w:r>
      <w:r w:rsidR="00004CBA">
        <w:t xml:space="preserve">  </w:t>
      </w:r>
      <w:r w:rsidR="008D77AE">
        <w:rPr>
          <w:lang w:val="ru-RU"/>
        </w:rPr>
        <w:t xml:space="preserve">В свете сказанного выше </w:t>
      </w:r>
      <w:r w:rsidR="00112F5D">
        <w:rPr>
          <w:lang w:val="ru-RU"/>
        </w:rPr>
        <w:t>Международное бюро подготовит проекты пересмотренных бланков</w:t>
      </w:r>
      <w:r w:rsidR="00A8665B" w:rsidRPr="00A8665B">
        <w:t xml:space="preserve"> BP</w:t>
      </w:r>
      <w:r w:rsidR="00112F5D">
        <w:rPr>
          <w:lang w:val="ru-RU"/>
        </w:rPr>
        <w:t>, в которых будут предусмотрены поля для указания адреса электронной почты и номера телефона депозитора</w:t>
      </w:r>
      <w:r w:rsidR="00A8665B" w:rsidRPr="00A8665B">
        <w:t>/</w:t>
      </w:r>
      <w:r w:rsidR="008D77AE">
        <w:rPr>
          <w:lang w:val="ru-RU"/>
        </w:rPr>
        <w:t>запрашивающего субъекта, и распространит их среди государств-членов для консультаций, прежде чем окончательные версии таких бланков будут подготовлены и опубликованы</w:t>
      </w:r>
      <w:r w:rsidR="00A8665B">
        <w:t>.</w:t>
      </w:r>
    </w:p>
    <w:p w14:paraId="01DC7337" w14:textId="0A4161E0" w:rsidR="00D21CD8" w:rsidRDefault="00B45E1B" w:rsidP="009E1224">
      <w:pPr>
        <w:pStyle w:val="Heading1"/>
        <w:spacing w:after="220"/>
      </w:pPr>
      <w:r>
        <w:rPr>
          <w:lang w:val="ru-RU"/>
        </w:rPr>
        <w:lastRenderedPageBreak/>
        <w:t xml:space="preserve">РАЗРАБОТКА БЛАНКОВ </w:t>
      </w:r>
      <w:r w:rsidR="00112A06" w:rsidRPr="00112A06">
        <w:t>BP</w:t>
      </w:r>
      <w:r>
        <w:rPr>
          <w:lang w:val="ru-RU"/>
        </w:rPr>
        <w:t xml:space="preserve"> НА ШЕСТИ ЯЗЫКАХ ООН</w:t>
      </w:r>
    </w:p>
    <w:p w14:paraId="077D0137" w14:textId="6968C61F" w:rsidR="002A7907" w:rsidRDefault="00521B28" w:rsidP="00221E3E">
      <w:pPr>
        <w:pStyle w:val="ONUME"/>
      </w:pPr>
      <w:r>
        <w:rPr>
          <w:lang w:val="ru-RU"/>
        </w:rPr>
        <w:t xml:space="preserve">Согласно правилам </w:t>
      </w:r>
      <w:r w:rsidR="001567A3">
        <w:t xml:space="preserve">7.2(a) </w:t>
      </w:r>
      <w:r>
        <w:rPr>
          <w:lang w:val="ru-RU"/>
        </w:rPr>
        <w:t>и</w:t>
      </w:r>
      <w:r w:rsidR="001567A3">
        <w:t xml:space="preserve"> 10.2(d) </w:t>
      </w:r>
      <w:r>
        <w:rPr>
          <w:lang w:val="ru-RU"/>
        </w:rPr>
        <w:t>Инструкции к Будапештскому договору языки</w:t>
      </w:r>
      <w:r w:rsidR="004D455A">
        <w:rPr>
          <w:lang w:val="ru-RU"/>
        </w:rPr>
        <w:t xml:space="preserve"> </w:t>
      </w:r>
      <w:r w:rsidR="00940D9B">
        <w:rPr>
          <w:lang w:val="ru-RU"/>
        </w:rPr>
        <w:t xml:space="preserve">для подготовки </w:t>
      </w:r>
      <w:r>
        <w:rPr>
          <w:lang w:val="ru-RU"/>
        </w:rPr>
        <w:t>бланк</w:t>
      </w:r>
      <w:r w:rsidR="004D455A">
        <w:rPr>
          <w:lang w:val="ru-RU"/>
        </w:rPr>
        <w:t>ов</w:t>
      </w:r>
      <w:r w:rsidR="003D48AF">
        <w:t xml:space="preserve"> </w:t>
      </w:r>
      <w:r w:rsidR="003D48AF" w:rsidRPr="001E6E2C">
        <w:t xml:space="preserve">BP/4, 5, 6 </w:t>
      </w:r>
      <w:r>
        <w:rPr>
          <w:lang w:val="ru-RU"/>
        </w:rPr>
        <w:t>и</w:t>
      </w:r>
      <w:r w:rsidR="003D48AF">
        <w:t xml:space="preserve"> 9</w:t>
      </w:r>
      <w:r>
        <w:rPr>
          <w:lang w:val="ru-RU"/>
        </w:rPr>
        <w:t xml:space="preserve"> определяются Ассамблеей</w:t>
      </w:r>
      <w:r w:rsidR="003D48AF">
        <w:t xml:space="preserve">.  </w:t>
      </w:r>
      <w:r w:rsidR="008B2BD5">
        <w:rPr>
          <w:lang w:val="ru-RU"/>
        </w:rPr>
        <w:t>На второй сессии</w:t>
      </w:r>
      <w:r w:rsidR="00653000">
        <w:t xml:space="preserve"> </w:t>
      </w:r>
      <w:r w:rsidR="00653000">
        <w:rPr>
          <w:lang w:val="ru-RU"/>
        </w:rPr>
        <w:t>Ассаблеи</w:t>
      </w:r>
      <w:r w:rsidR="008B2BD5">
        <w:rPr>
          <w:lang w:val="ru-RU"/>
        </w:rPr>
        <w:t xml:space="preserve"> в </w:t>
      </w:r>
      <w:r w:rsidR="003D48AF" w:rsidRPr="000C1E63">
        <w:t>19</w:t>
      </w:r>
      <w:r w:rsidR="00191155" w:rsidRPr="000C1E63">
        <w:t>81</w:t>
      </w:r>
      <w:r w:rsidR="008B2BD5">
        <w:rPr>
          <w:lang w:val="ru-RU"/>
        </w:rPr>
        <w:t xml:space="preserve"> г. </w:t>
      </w:r>
      <w:r w:rsidR="00653000">
        <w:rPr>
          <w:lang w:val="ru-RU"/>
        </w:rPr>
        <w:t xml:space="preserve">этот орган </w:t>
      </w:r>
      <w:r w:rsidR="008B2BD5">
        <w:rPr>
          <w:lang w:val="ru-RU"/>
        </w:rPr>
        <w:t xml:space="preserve">постановил использовать для </w:t>
      </w:r>
      <w:r w:rsidR="00653000">
        <w:rPr>
          <w:lang w:val="ru-RU"/>
        </w:rPr>
        <w:t xml:space="preserve">данных </w:t>
      </w:r>
      <w:r w:rsidR="008B2BD5">
        <w:rPr>
          <w:lang w:val="ru-RU"/>
        </w:rPr>
        <w:t>бланков английский, испанский, русский и французский языки</w:t>
      </w:r>
      <w:r w:rsidR="003D48AF" w:rsidRPr="001E6E2C">
        <w:rPr>
          <w:rStyle w:val="FootnoteReference"/>
        </w:rPr>
        <w:footnoteReference w:id="3"/>
      </w:r>
      <w:r w:rsidR="008B2BD5">
        <w:rPr>
          <w:lang w:val="ru-RU"/>
        </w:rPr>
        <w:t>.</w:t>
      </w:r>
      <w:r w:rsidR="002A7907">
        <w:t xml:space="preserve">  </w:t>
      </w:r>
      <w:r w:rsidR="00481C44">
        <w:rPr>
          <w:lang w:val="ru-RU"/>
        </w:rPr>
        <w:t>Остальные бланки, по сложившейся традиции, были разработаны Международным бюро на английском и французском языках</w:t>
      </w:r>
      <w:r w:rsidR="002A7907" w:rsidRPr="002A7907">
        <w:t>.</w:t>
      </w:r>
    </w:p>
    <w:p w14:paraId="5BC10EAF" w14:textId="4641571A" w:rsidR="00017588" w:rsidRDefault="00800EC0" w:rsidP="00221E3E">
      <w:pPr>
        <w:pStyle w:val="ONUME"/>
      </w:pPr>
      <w:r>
        <w:rPr>
          <w:lang w:val="ru-RU"/>
        </w:rPr>
        <w:t xml:space="preserve">Со времени решения, принятого Ассамблеей в </w:t>
      </w:r>
      <w:r w:rsidR="002A7907">
        <w:t>1981</w:t>
      </w:r>
      <w:r>
        <w:rPr>
          <w:lang w:val="ru-RU"/>
        </w:rPr>
        <w:t> г., к Будапештскому договору присоединились Китай и ряд стран, официальным языком (или одним из официальных языков) которых является арабский</w:t>
      </w:r>
      <w:r w:rsidR="005C088E">
        <w:rPr>
          <w:rStyle w:val="FootnoteReference"/>
        </w:rPr>
        <w:footnoteReference w:id="4"/>
      </w:r>
      <w:r w:rsidR="003D48AF">
        <w:t xml:space="preserve">.  </w:t>
      </w:r>
      <w:r w:rsidR="00B209B7">
        <w:rPr>
          <w:lang w:val="ru-RU"/>
        </w:rPr>
        <w:t xml:space="preserve">Официальными </w:t>
      </w:r>
      <w:r w:rsidR="000B5F87">
        <w:rPr>
          <w:lang w:val="ru-RU"/>
        </w:rPr>
        <w:t>языками большинства из 85 Договаривающихся сторон Будапештского договора являются арабский, китайский, испанский и русский.</w:t>
      </w:r>
      <w:r w:rsidR="002A7907">
        <w:t xml:space="preserve">  </w:t>
      </w:r>
      <w:r w:rsidR="00FF12AE">
        <w:rPr>
          <w:lang w:val="ru-RU"/>
        </w:rPr>
        <w:t xml:space="preserve">На фоне </w:t>
      </w:r>
      <w:r w:rsidR="00A6006E">
        <w:rPr>
          <w:lang w:val="ru-RU"/>
        </w:rPr>
        <w:t xml:space="preserve">развития географии Договора наличие бланков </w:t>
      </w:r>
      <w:r w:rsidR="00A6006E">
        <w:t>BP</w:t>
      </w:r>
      <w:r w:rsidR="00A6006E">
        <w:rPr>
          <w:lang w:val="ru-RU"/>
        </w:rPr>
        <w:t xml:space="preserve"> на бóльшем числе языков обеспечило бы пользователям Будапештской системы бóльшую свободу лингвистического выбора при выполнении процедур, предусмотренных Будапештским договором</w:t>
      </w:r>
      <w:r w:rsidR="003D48AF">
        <w:t xml:space="preserve">. </w:t>
      </w:r>
      <w:r w:rsidR="005C088E">
        <w:t xml:space="preserve"> </w:t>
      </w:r>
      <w:r w:rsidR="00D70080">
        <w:rPr>
          <w:lang w:val="ru-RU"/>
        </w:rPr>
        <w:t xml:space="preserve">В этой связи </w:t>
      </w:r>
      <w:r w:rsidR="00660EDA">
        <w:rPr>
          <w:lang w:val="ru-RU"/>
        </w:rPr>
        <w:t>Ассамблее предлагается определить в качестве языков, используемых для бланков</w:t>
      </w:r>
      <w:r w:rsidR="00660EDA" w:rsidRPr="00660EDA">
        <w:t xml:space="preserve"> BP/4, 5, 6 </w:t>
      </w:r>
      <w:r w:rsidR="00660EDA">
        <w:rPr>
          <w:lang w:val="ru-RU"/>
        </w:rPr>
        <w:t>и</w:t>
      </w:r>
      <w:r w:rsidR="00660EDA" w:rsidRPr="00660EDA">
        <w:t xml:space="preserve"> 9</w:t>
      </w:r>
      <w:r w:rsidR="00660EDA">
        <w:rPr>
          <w:lang w:val="ru-RU"/>
        </w:rPr>
        <w:t>, шесть языков ООН, а именно английский, арабский, испанский, китайский, русский и французский</w:t>
      </w:r>
      <w:r w:rsidR="00CA1D8B">
        <w:t>.</w:t>
      </w:r>
    </w:p>
    <w:p w14:paraId="783528DF" w14:textId="7E007773" w:rsidR="001719DE" w:rsidRDefault="002E369C" w:rsidP="00221E3E">
      <w:pPr>
        <w:pStyle w:val="ONUME"/>
      </w:pPr>
      <w:r>
        <w:rPr>
          <w:lang w:val="ru-RU"/>
        </w:rPr>
        <w:t xml:space="preserve">Бланки </w:t>
      </w:r>
      <w:r w:rsidR="00C92A85" w:rsidRPr="00C92A85">
        <w:t xml:space="preserve">BP/10, </w:t>
      </w:r>
      <w:r w:rsidR="00137F23">
        <w:t>1</w:t>
      </w:r>
      <w:r w:rsidR="00C92A85" w:rsidRPr="00C92A85">
        <w:t xml:space="preserve">1, 12 </w:t>
      </w:r>
      <w:r>
        <w:rPr>
          <w:lang w:val="ru-RU"/>
        </w:rPr>
        <w:t>и</w:t>
      </w:r>
      <w:r w:rsidR="00C92A85" w:rsidRPr="00C92A85">
        <w:t xml:space="preserve"> 13</w:t>
      </w:r>
      <w:r>
        <w:rPr>
          <w:lang w:val="ru-RU"/>
        </w:rPr>
        <w:t xml:space="preserve">, касающиеся выдачи образца микроорганизма, имеют отношение к правилам </w:t>
      </w:r>
      <w:r w:rsidR="00ED11F4">
        <w:t xml:space="preserve">11.1, 11.2 </w:t>
      </w:r>
      <w:r>
        <w:rPr>
          <w:lang w:val="ru-RU"/>
        </w:rPr>
        <w:t>и</w:t>
      </w:r>
      <w:r w:rsidR="00ED11F4">
        <w:t xml:space="preserve"> 11.3</w:t>
      </w:r>
      <w:r w:rsidR="00ED11F4" w:rsidRPr="00ED11F4">
        <w:t xml:space="preserve"> </w:t>
      </w:r>
      <w:r>
        <w:rPr>
          <w:lang w:val="ru-RU"/>
        </w:rPr>
        <w:t>Инструкции к Будапештскому договору</w:t>
      </w:r>
      <w:r w:rsidR="00ED11F4">
        <w:t xml:space="preserve">.  </w:t>
      </w:r>
      <w:r>
        <w:rPr>
          <w:lang w:val="ru-RU"/>
        </w:rPr>
        <w:t>Правило </w:t>
      </w:r>
      <w:r w:rsidR="00C92A85" w:rsidRPr="00C92A85">
        <w:t>11.4(a)</w:t>
      </w:r>
      <w:r>
        <w:rPr>
          <w:lang w:val="ru-RU"/>
        </w:rPr>
        <w:t> и </w:t>
      </w:r>
      <w:r w:rsidR="00C92A85" w:rsidRPr="00C92A85">
        <w:t>(b)</w:t>
      </w:r>
      <w:r>
        <w:rPr>
          <w:lang w:val="ru-RU"/>
        </w:rPr>
        <w:t xml:space="preserve"> посвящено используемы</w:t>
      </w:r>
      <w:r w:rsidR="00A000B9">
        <w:rPr>
          <w:lang w:val="ru-RU"/>
        </w:rPr>
        <w:t>м</w:t>
      </w:r>
      <w:r>
        <w:rPr>
          <w:lang w:val="ru-RU"/>
        </w:rPr>
        <w:t xml:space="preserve"> язык</w:t>
      </w:r>
      <w:r w:rsidR="00A000B9">
        <w:rPr>
          <w:lang w:val="ru-RU"/>
        </w:rPr>
        <w:t>ам</w:t>
      </w:r>
      <w:r>
        <w:rPr>
          <w:lang w:val="ru-RU"/>
        </w:rPr>
        <w:t xml:space="preserve"> и перевод</w:t>
      </w:r>
      <w:r w:rsidR="00A000B9">
        <w:rPr>
          <w:lang w:val="ru-RU"/>
        </w:rPr>
        <w:t>у</w:t>
      </w:r>
      <w:r>
        <w:rPr>
          <w:lang w:val="ru-RU"/>
        </w:rPr>
        <w:t xml:space="preserve"> запроса, декларации, удостоверения или пересылки, упомянутых в правилах </w:t>
      </w:r>
      <w:r w:rsidR="00ED11F4">
        <w:t>11.1, 11.2</w:t>
      </w:r>
      <w:r>
        <w:rPr>
          <w:lang w:val="ru-RU"/>
        </w:rPr>
        <w:t> и </w:t>
      </w:r>
      <w:r w:rsidR="00ED11F4">
        <w:t xml:space="preserve">11.3.  </w:t>
      </w:r>
      <w:r w:rsidR="00C011EC">
        <w:rPr>
          <w:lang w:val="ru-RU"/>
        </w:rPr>
        <w:t>В нем определены</w:t>
      </w:r>
      <w:r w:rsidR="0008041C">
        <w:t xml:space="preserve">:  (i) </w:t>
      </w:r>
      <w:r w:rsidR="00C011EC">
        <w:rPr>
          <w:lang w:val="ru-RU"/>
        </w:rPr>
        <w:t>языки, на которых направляются такие запросы, декларации, удостоверения или пересылки</w:t>
      </w:r>
      <w:r w:rsidR="0008041C">
        <w:t xml:space="preserve">;  </w:t>
      </w:r>
      <w:r w:rsidR="00C011EC">
        <w:rPr>
          <w:lang w:val="ru-RU"/>
        </w:rPr>
        <w:t>и</w:t>
      </w:r>
      <w:r w:rsidR="0008041C">
        <w:t xml:space="preserve"> (ii)</w:t>
      </w:r>
      <w:r w:rsidR="00C011EC">
        <w:t xml:space="preserve"> </w:t>
      </w:r>
      <w:r w:rsidR="00D7573A">
        <w:rPr>
          <w:lang w:val="ru-RU"/>
        </w:rPr>
        <w:t xml:space="preserve">случаи, в которых Международное бюро должно </w:t>
      </w:r>
      <w:r w:rsidR="003F0F22">
        <w:rPr>
          <w:lang w:val="ru-RU"/>
        </w:rPr>
        <w:t xml:space="preserve">выполнить </w:t>
      </w:r>
      <w:r w:rsidR="00D7573A">
        <w:rPr>
          <w:lang w:val="ru-RU"/>
        </w:rPr>
        <w:t xml:space="preserve">перевод различных </w:t>
      </w:r>
      <w:r w:rsidR="0089703F">
        <w:rPr>
          <w:lang w:val="ru-RU"/>
        </w:rPr>
        <w:t xml:space="preserve">указанных </w:t>
      </w:r>
      <w:r w:rsidR="00D7573A">
        <w:rPr>
          <w:lang w:val="ru-RU"/>
        </w:rPr>
        <w:t>сообщений</w:t>
      </w:r>
      <w:r w:rsidR="0008041C">
        <w:t xml:space="preserve">.  </w:t>
      </w:r>
      <w:r w:rsidR="00D47E3F">
        <w:rPr>
          <w:lang w:val="ru-RU"/>
        </w:rPr>
        <w:t>Так, в одних случаях эти сообщения направляются на английском, испанском, русском и французском языках, а в других на английском и французском языках</w:t>
      </w:r>
      <w:r w:rsidR="00E3550C">
        <w:rPr>
          <w:lang w:val="ru-RU"/>
        </w:rPr>
        <w:t xml:space="preserve"> в зависимости от официального языка(-ов) МОД, которому адресованы</w:t>
      </w:r>
      <w:r w:rsidR="001C0E01">
        <w:rPr>
          <w:lang w:val="ru-RU"/>
        </w:rPr>
        <w:t xml:space="preserve"> данные </w:t>
      </w:r>
      <w:r w:rsidR="00E3550C">
        <w:rPr>
          <w:lang w:val="ru-RU"/>
        </w:rPr>
        <w:t>сообщения</w:t>
      </w:r>
      <w:r w:rsidR="00240493">
        <w:t xml:space="preserve">.  </w:t>
      </w:r>
      <w:r w:rsidR="00C43617">
        <w:rPr>
          <w:lang w:val="ru-RU"/>
        </w:rPr>
        <w:t>При определенных условиях Международное бюро обязано, по запросу, подготовить заверенный перевод таких сообщений с</w:t>
      </w:r>
      <w:r w:rsidR="0093299D">
        <w:t>/</w:t>
      </w:r>
      <w:r w:rsidR="00C43617">
        <w:rPr>
          <w:lang w:val="ru-RU"/>
        </w:rPr>
        <w:t>на русский либо испанский языки.</w:t>
      </w:r>
    </w:p>
    <w:p w14:paraId="20F958E9" w14:textId="2D033576" w:rsidR="0034367F" w:rsidRDefault="00532DB8" w:rsidP="00221E3E">
      <w:pPr>
        <w:pStyle w:val="ONUME"/>
      </w:pPr>
      <w:r>
        <w:rPr>
          <w:lang w:val="ru-RU"/>
        </w:rPr>
        <w:t>В русле развития языкового режим</w:t>
      </w:r>
      <w:r w:rsidR="00902ED1">
        <w:rPr>
          <w:lang w:val="ru-RU"/>
        </w:rPr>
        <w:t>а</w:t>
      </w:r>
      <w:r w:rsidR="00FE098E">
        <w:rPr>
          <w:lang w:val="ru-RU"/>
        </w:rPr>
        <w:t xml:space="preserve"> </w:t>
      </w:r>
      <w:r>
        <w:rPr>
          <w:lang w:val="ru-RU"/>
        </w:rPr>
        <w:t xml:space="preserve">бланков </w:t>
      </w:r>
      <w:r w:rsidR="0034367F" w:rsidRPr="0034367F">
        <w:t>BP</w:t>
      </w:r>
      <w:r>
        <w:rPr>
          <w:lang w:val="ru-RU"/>
        </w:rPr>
        <w:t xml:space="preserve"> и приверженности ВОИС принципу многоязычия как одной из основных ценностей и средства ведения в глобальном масштабе информационно-просветительской деятельности</w:t>
      </w:r>
      <w:r w:rsidR="00137F23">
        <w:rPr>
          <w:rStyle w:val="FootnoteReference"/>
        </w:rPr>
        <w:footnoteReference w:id="5"/>
      </w:r>
      <w:r w:rsidR="00137F23">
        <w:t xml:space="preserve"> </w:t>
      </w:r>
      <w:r w:rsidR="00902ED1">
        <w:rPr>
          <w:lang w:val="ru-RU"/>
        </w:rPr>
        <w:t xml:space="preserve">Ассамблее предлагается внести поправки в правило </w:t>
      </w:r>
      <w:r w:rsidR="0034367F">
        <w:t>11.4(a)</w:t>
      </w:r>
      <w:r w:rsidR="00902ED1">
        <w:rPr>
          <w:lang w:val="ru-RU"/>
        </w:rPr>
        <w:t> и </w:t>
      </w:r>
      <w:r w:rsidR="0034367F">
        <w:t>(b)</w:t>
      </w:r>
      <w:r w:rsidR="00902ED1">
        <w:rPr>
          <w:lang w:val="ru-RU"/>
        </w:rPr>
        <w:t xml:space="preserve"> с целью включения в соответствующие положения упоминания сообщений на арабском и китайском языках и наличия возможности запросить у Международного бюро заверенный перевод сообщений с</w:t>
      </w:r>
      <w:r w:rsidR="000C3DDD">
        <w:t>/</w:t>
      </w:r>
      <w:r w:rsidR="00902ED1">
        <w:rPr>
          <w:lang w:val="ru-RU"/>
        </w:rPr>
        <w:t>на арабский и китайский языки</w:t>
      </w:r>
      <w:r w:rsidR="006B5C91">
        <w:t xml:space="preserve">.  </w:t>
      </w:r>
      <w:r w:rsidR="003562D7">
        <w:rPr>
          <w:lang w:val="ru-RU"/>
        </w:rPr>
        <w:t>В приложении </w:t>
      </w:r>
      <w:r w:rsidR="00137F23">
        <w:t>II</w:t>
      </w:r>
      <w:r w:rsidR="001719DE" w:rsidRPr="001719DE">
        <w:t xml:space="preserve"> </w:t>
      </w:r>
      <w:r w:rsidR="003562D7">
        <w:rPr>
          <w:lang w:val="ru-RU"/>
        </w:rPr>
        <w:t xml:space="preserve">к настоящему документу </w:t>
      </w:r>
      <w:r w:rsidR="00D17624">
        <w:rPr>
          <w:lang w:val="ru-RU"/>
        </w:rPr>
        <w:t xml:space="preserve">изложены предлагаемые поправки к правилу </w:t>
      </w:r>
      <w:r w:rsidR="001719DE" w:rsidRPr="001719DE">
        <w:t>11.4(a)</w:t>
      </w:r>
      <w:r w:rsidR="00D17624">
        <w:rPr>
          <w:lang w:val="ru-RU"/>
        </w:rPr>
        <w:t> и </w:t>
      </w:r>
      <w:r w:rsidR="001719DE" w:rsidRPr="001719DE">
        <w:t>(b)</w:t>
      </w:r>
      <w:r w:rsidR="001719DE">
        <w:t>.</w:t>
      </w:r>
      <w:r w:rsidR="00F13207">
        <w:t xml:space="preserve">  </w:t>
      </w:r>
      <w:r w:rsidR="00363DA2">
        <w:rPr>
          <w:lang w:val="ru-RU"/>
        </w:rPr>
        <w:t>Ассамблее предлагается принять поправки, сформулированные в приложении </w:t>
      </w:r>
      <w:r w:rsidR="00137F23">
        <w:t>II</w:t>
      </w:r>
      <w:r w:rsidR="000A338D">
        <w:t>,</w:t>
      </w:r>
      <w:r w:rsidR="00363DA2">
        <w:rPr>
          <w:lang w:val="ru-RU"/>
        </w:rPr>
        <w:t xml:space="preserve"> которые – в случае положительного решения – вступят в силу </w:t>
      </w:r>
      <w:r w:rsidR="00F13207" w:rsidRPr="00F13207">
        <w:t>1</w:t>
      </w:r>
      <w:r w:rsidR="00363DA2">
        <w:rPr>
          <w:lang w:val="ru-RU"/>
        </w:rPr>
        <w:t xml:space="preserve"> января </w:t>
      </w:r>
      <w:r w:rsidR="00F13207" w:rsidRPr="00F13207">
        <w:t>202</w:t>
      </w:r>
      <w:r w:rsidR="006A2C87">
        <w:t>3</w:t>
      </w:r>
      <w:r w:rsidR="00363DA2">
        <w:rPr>
          <w:lang w:val="ru-RU"/>
        </w:rPr>
        <w:t> г. и будут применяться к запросу, декларации, удостоверению или пересылке, упомянутых в правилах </w:t>
      </w:r>
      <w:r w:rsidR="00F13207">
        <w:t>11.1, 11.2</w:t>
      </w:r>
      <w:r w:rsidR="00363DA2">
        <w:rPr>
          <w:lang w:val="ru-RU"/>
        </w:rPr>
        <w:t> и </w:t>
      </w:r>
      <w:r w:rsidR="00F13207">
        <w:t>11.3</w:t>
      </w:r>
      <w:r w:rsidR="00574828">
        <w:rPr>
          <w:lang w:val="ru-RU"/>
        </w:rPr>
        <w:t xml:space="preserve"> и поданных или направленных на указанную дату или после нее.</w:t>
      </w:r>
    </w:p>
    <w:p w14:paraId="548A2EB7" w14:textId="5A9D8E81" w:rsidR="001F4FB7" w:rsidRDefault="006E16DB" w:rsidP="00221E3E">
      <w:pPr>
        <w:pStyle w:val="ONUME"/>
      </w:pPr>
      <w:r>
        <w:rPr>
          <w:lang w:val="ru-RU"/>
        </w:rPr>
        <w:t>Следует отметить, что фактически</w:t>
      </w:r>
      <w:r w:rsidR="00DD0940">
        <w:rPr>
          <w:lang w:val="ru-RU"/>
        </w:rPr>
        <w:t>,</w:t>
      </w:r>
      <w:r>
        <w:rPr>
          <w:lang w:val="ru-RU"/>
        </w:rPr>
        <w:t xml:space="preserve"> даже если английский язык не является официальным языком (или одним из официальных языков) МОД</w:t>
      </w:r>
      <w:r w:rsidR="00ED2F9B">
        <w:t>,</w:t>
      </w:r>
      <w:r w:rsidR="008E6C0B">
        <w:rPr>
          <w:lang w:val="ru-RU"/>
        </w:rPr>
        <w:t xml:space="preserve"> все такие органы допускают</w:t>
      </w:r>
      <w:r w:rsidR="00CB7B20">
        <w:rPr>
          <w:lang w:val="ru-RU"/>
        </w:rPr>
        <w:t xml:space="preserve"> его</w:t>
      </w:r>
      <w:r w:rsidR="008E6C0B">
        <w:rPr>
          <w:lang w:val="ru-RU"/>
        </w:rPr>
        <w:t xml:space="preserve"> использование в качестве рабочего языка или языка общения</w:t>
      </w:r>
      <w:r w:rsidR="00BE7385">
        <w:t xml:space="preserve">. </w:t>
      </w:r>
      <w:r w:rsidR="00ED2F9B">
        <w:t xml:space="preserve"> </w:t>
      </w:r>
      <w:r w:rsidR="00976B84">
        <w:rPr>
          <w:lang w:val="ru-RU"/>
        </w:rPr>
        <w:t xml:space="preserve">Международное бюро не обнаружило каких-либо сведений о запросах выполнить перевод в соответствии с правилом </w:t>
      </w:r>
      <w:r w:rsidR="00ED2F9B" w:rsidRPr="001423B7">
        <w:t>11.4</w:t>
      </w:r>
      <w:r w:rsidR="00ED2F9B">
        <w:t xml:space="preserve">(a) </w:t>
      </w:r>
      <w:r w:rsidR="00976B84">
        <w:rPr>
          <w:lang w:val="ru-RU"/>
        </w:rPr>
        <w:t>или</w:t>
      </w:r>
      <w:r w:rsidR="00ED2F9B">
        <w:t xml:space="preserve"> (b)</w:t>
      </w:r>
      <w:r w:rsidR="00ED2F9B" w:rsidRPr="001F4FB7">
        <w:t>.</w:t>
      </w:r>
      <w:r w:rsidR="00ED2F9B">
        <w:t xml:space="preserve">  </w:t>
      </w:r>
      <w:r w:rsidR="00F10A42">
        <w:rPr>
          <w:lang w:val="ru-RU"/>
        </w:rPr>
        <w:t xml:space="preserve">Таким образом, маловероятно, что изменение правила </w:t>
      </w:r>
      <w:r w:rsidR="001F4FB7" w:rsidRPr="001F4FB7">
        <w:t>11.4</w:t>
      </w:r>
      <w:r w:rsidR="00BE7385">
        <w:t>(a)</w:t>
      </w:r>
      <w:r w:rsidR="00F10A42">
        <w:rPr>
          <w:lang w:val="ru-RU"/>
        </w:rPr>
        <w:t> и </w:t>
      </w:r>
      <w:r w:rsidR="00BE7385">
        <w:t>(b)</w:t>
      </w:r>
      <w:r w:rsidR="00F10A42">
        <w:rPr>
          <w:lang w:val="ru-RU"/>
        </w:rPr>
        <w:t xml:space="preserve"> заметно отразится на объеме переводов Международного бюро</w:t>
      </w:r>
      <w:r w:rsidR="001F4FB7" w:rsidRPr="001F4FB7">
        <w:t>.</w:t>
      </w:r>
    </w:p>
    <w:p w14:paraId="542F1066" w14:textId="6EF1C691" w:rsidR="001F4FB7" w:rsidRDefault="005C7729" w:rsidP="00221E3E">
      <w:pPr>
        <w:pStyle w:val="ONUME"/>
      </w:pPr>
      <w:r>
        <w:rPr>
          <w:lang w:val="ru-RU"/>
        </w:rPr>
        <w:lastRenderedPageBreak/>
        <w:t xml:space="preserve">Что касается других бланков </w:t>
      </w:r>
      <w:r w:rsidR="00C92A85" w:rsidRPr="00C92A85">
        <w:t>BP</w:t>
      </w:r>
      <w:r>
        <w:rPr>
          <w:lang w:val="ru-RU"/>
        </w:rPr>
        <w:t>, если Ассамблея не примет иное решение, Международное бюро также подготовит их на шести языках ООН</w:t>
      </w:r>
      <w:r w:rsidR="00B26EF2">
        <w:rPr>
          <w:lang w:val="ru-RU"/>
        </w:rPr>
        <w:t xml:space="preserve"> </w:t>
      </w:r>
      <w:r w:rsidR="00E50E99">
        <w:rPr>
          <w:lang w:val="ru-RU"/>
        </w:rPr>
        <w:t>с тем, чтобы обслуживание депозиторов</w:t>
      </w:r>
      <w:r w:rsidR="00E50E99">
        <w:t>/</w:t>
      </w:r>
      <w:r w:rsidR="00E50E99">
        <w:rPr>
          <w:lang w:val="ru-RU"/>
        </w:rPr>
        <w:t xml:space="preserve">запрашивающих субъектов, МОД и ВИС осуществлялось в </w:t>
      </w:r>
      <w:r w:rsidR="00DF33F6">
        <w:rPr>
          <w:lang w:val="ru-RU"/>
        </w:rPr>
        <w:t xml:space="preserve">одинаковом </w:t>
      </w:r>
      <w:r w:rsidR="00E50E99">
        <w:rPr>
          <w:lang w:val="ru-RU"/>
        </w:rPr>
        <w:t>объеме</w:t>
      </w:r>
      <w:r w:rsidR="00C92A85" w:rsidRPr="00C92A85">
        <w:t>.</w:t>
      </w:r>
    </w:p>
    <w:p w14:paraId="023898D5" w14:textId="5E8286D2" w:rsidR="00F93509" w:rsidRPr="00221E3E" w:rsidRDefault="00E50E99" w:rsidP="00221E3E">
      <w:pPr>
        <w:pStyle w:val="ONUME"/>
        <w:ind w:left="5533"/>
        <w:rPr>
          <w:i/>
        </w:rPr>
      </w:pPr>
      <w:r>
        <w:rPr>
          <w:i/>
          <w:lang w:val="ru-RU"/>
        </w:rPr>
        <w:t>Ассамблее Будапештского союза предлагается</w:t>
      </w:r>
      <w:r w:rsidR="00A421DA" w:rsidRPr="00221E3E">
        <w:rPr>
          <w:i/>
        </w:rPr>
        <w:t>:</w:t>
      </w:r>
    </w:p>
    <w:p w14:paraId="617C0413" w14:textId="521EB915" w:rsidR="00104AEF" w:rsidRPr="001F32B8" w:rsidDel="00E71949" w:rsidRDefault="007D203C" w:rsidP="0064296F">
      <w:pPr>
        <w:pStyle w:val="ONUME"/>
        <w:numPr>
          <w:ilvl w:val="0"/>
          <w:numId w:val="9"/>
        </w:numPr>
        <w:ind w:left="6300" w:firstLine="0"/>
        <w:rPr>
          <w:i/>
        </w:rPr>
      </w:pPr>
      <w:r>
        <w:rPr>
          <w:i/>
          <w:lang w:val="ru-RU"/>
        </w:rPr>
        <w:t xml:space="preserve">принять решение в отношении </w:t>
      </w:r>
      <w:r w:rsidR="00766ECA">
        <w:rPr>
          <w:i/>
          <w:lang w:val="ru-RU"/>
        </w:rPr>
        <w:t>содержани</w:t>
      </w:r>
      <w:r>
        <w:rPr>
          <w:i/>
          <w:lang w:val="ru-RU"/>
        </w:rPr>
        <w:t>я</w:t>
      </w:r>
      <w:r w:rsidR="00766ECA">
        <w:rPr>
          <w:i/>
          <w:lang w:val="ru-RU"/>
        </w:rPr>
        <w:t xml:space="preserve"> бланка</w:t>
      </w:r>
      <w:r w:rsidR="00104AEF" w:rsidRPr="001F32B8">
        <w:rPr>
          <w:i/>
        </w:rPr>
        <w:t xml:space="preserve"> BP/12</w:t>
      </w:r>
      <w:r w:rsidR="00766ECA">
        <w:rPr>
          <w:i/>
          <w:lang w:val="ru-RU"/>
        </w:rPr>
        <w:t xml:space="preserve"> согласно положению пункта</w:t>
      </w:r>
      <w:r w:rsidR="00104AEF" w:rsidRPr="001F32B8">
        <w:rPr>
          <w:i/>
        </w:rPr>
        <w:t> </w:t>
      </w:r>
      <w:r w:rsidR="00104AEF" w:rsidRPr="001F32B8" w:rsidDel="00E71949">
        <w:rPr>
          <w:i/>
        </w:rPr>
        <w:t>8</w:t>
      </w:r>
      <w:r w:rsidR="00104AEF" w:rsidRPr="001F32B8">
        <w:rPr>
          <w:i/>
        </w:rPr>
        <w:t xml:space="preserve"> </w:t>
      </w:r>
      <w:r w:rsidR="00766ECA">
        <w:rPr>
          <w:i/>
          <w:lang w:val="ru-RU"/>
        </w:rPr>
        <w:t>документа</w:t>
      </w:r>
      <w:r w:rsidR="00104AEF" w:rsidRPr="001F32B8">
        <w:rPr>
          <w:i/>
        </w:rPr>
        <w:t> </w:t>
      </w:r>
      <w:r w:rsidR="00104AEF" w:rsidRPr="001F32B8" w:rsidDel="00E71949">
        <w:rPr>
          <w:i/>
        </w:rPr>
        <w:t>BP/A/39/1;</w:t>
      </w:r>
    </w:p>
    <w:p w14:paraId="5DE90729" w14:textId="2B8BF1CE" w:rsidR="00104AEF" w:rsidRPr="001F32B8" w:rsidDel="00E71949" w:rsidRDefault="00766ECA" w:rsidP="0064296F">
      <w:pPr>
        <w:pStyle w:val="ONUME"/>
        <w:numPr>
          <w:ilvl w:val="0"/>
          <w:numId w:val="9"/>
        </w:numPr>
        <w:ind w:left="6300" w:firstLine="0"/>
        <w:rPr>
          <w:i/>
        </w:rPr>
      </w:pPr>
      <w:r>
        <w:rPr>
          <w:i/>
          <w:lang w:val="ru-RU"/>
        </w:rPr>
        <w:t>принять к сведению положение пункта </w:t>
      </w:r>
      <w:r w:rsidR="00104AEF" w:rsidRPr="001F32B8" w:rsidDel="00E71949">
        <w:rPr>
          <w:i/>
        </w:rPr>
        <w:t xml:space="preserve">9 </w:t>
      </w:r>
      <w:r>
        <w:rPr>
          <w:i/>
          <w:lang w:val="ru-RU"/>
        </w:rPr>
        <w:t>документа </w:t>
      </w:r>
      <w:r w:rsidR="00104AEF" w:rsidRPr="001F32B8" w:rsidDel="00E71949">
        <w:rPr>
          <w:i/>
        </w:rPr>
        <w:t>BP/A/39/1</w:t>
      </w:r>
      <w:r w:rsidR="00CC3516">
        <w:rPr>
          <w:i/>
        </w:rPr>
        <w:t>;</w:t>
      </w:r>
    </w:p>
    <w:p w14:paraId="59C56D20" w14:textId="374C6E29" w:rsidR="00F93509" w:rsidRDefault="001F32B8" w:rsidP="00221E3E">
      <w:pPr>
        <w:spacing w:after="220"/>
        <w:ind w:left="6300"/>
        <w:rPr>
          <w:i/>
          <w:iCs/>
        </w:rPr>
      </w:pPr>
      <w:r>
        <w:rPr>
          <w:i/>
          <w:iCs/>
        </w:rPr>
        <w:t>(iii)</w:t>
      </w:r>
      <w:r>
        <w:rPr>
          <w:i/>
          <w:iCs/>
        </w:rPr>
        <w:tab/>
      </w:r>
      <w:r w:rsidR="00766ECA">
        <w:rPr>
          <w:i/>
          <w:iCs/>
          <w:lang w:val="ru-RU"/>
        </w:rPr>
        <w:t xml:space="preserve">определить языки бланков </w:t>
      </w:r>
      <w:r w:rsidR="007E3F04">
        <w:rPr>
          <w:i/>
          <w:iCs/>
        </w:rPr>
        <w:t xml:space="preserve">BP/4, </w:t>
      </w:r>
      <w:r w:rsidR="0046458B">
        <w:rPr>
          <w:i/>
          <w:iCs/>
        </w:rPr>
        <w:t>BP/</w:t>
      </w:r>
      <w:r w:rsidR="007E3F04">
        <w:rPr>
          <w:i/>
          <w:iCs/>
        </w:rPr>
        <w:t xml:space="preserve">5, </w:t>
      </w:r>
      <w:r w:rsidR="0046458B">
        <w:rPr>
          <w:i/>
          <w:iCs/>
        </w:rPr>
        <w:t>BP/</w:t>
      </w:r>
      <w:r w:rsidR="007E3F04">
        <w:rPr>
          <w:i/>
          <w:iCs/>
        </w:rPr>
        <w:t xml:space="preserve">6 </w:t>
      </w:r>
      <w:r w:rsidR="00766ECA">
        <w:rPr>
          <w:i/>
          <w:iCs/>
          <w:lang w:val="ru-RU"/>
        </w:rPr>
        <w:t>и</w:t>
      </w:r>
      <w:r w:rsidR="007E3F04">
        <w:rPr>
          <w:i/>
          <w:iCs/>
        </w:rPr>
        <w:t xml:space="preserve"> </w:t>
      </w:r>
      <w:r w:rsidR="0046458B">
        <w:rPr>
          <w:i/>
          <w:iCs/>
        </w:rPr>
        <w:t>BP/</w:t>
      </w:r>
      <w:r w:rsidR="007E3F04">
        <w:rPr>
          <w:i/>
          <w:iCs/>
        </w:rPr>
        <w:t>9</w:t>
      </w:r>
      <w:r w:rsidR="00766ECA">
        <w:rPr>
          <w:i/>
          <w:iCs/>
          <w:lang w:val="ru-RU"/>
        </w:rPr>
        <w:t xml:space="preserve"> согласно положению пункта</w:t>
      </w:r>
      <w:r w:rsidR="00275801">
        <w:rPr>
          <w:i/>
          <w:iCs/>
        </w:rPr>
        <w:t> </w:t>
      </w:r>
      <w:r w:rsidR="00DC0A5B">
        <w:rPr>
          <w:i/>
          <w:iCs/>
        </w:rPr>
        <w:t>1</w:t>
      </w:r>
      <w:r w:rsidR="00104AEF">
        <w:rPr>
          <w:i/>
          <w:iCs/>
        </w:rPr>
        <w:t>1</w:t>
      </w:r>
      <w:r w:rsidR="00F93509">
        <w:rPr>
          <w:i/>
          <w:iCs/>
        </w:rPr>
        <w:t xml:space="preserve"> </w:t>
      </w:r>
      <w:r w:rsidR="00766ECA">
        <w:rPr>
          <w:i/>
          <w:iCs/>
          <w:lang w:val="ru-RU"/>
        </w:rPr>
        <w:t>документа </w:t>
      </w:r>
      <w:r w:rsidR="00F93509">
        <w:rPr>
          <w:i/>
          <w:iCs/>
        </w:rPr>
        <w:t>BP/A/39/1</w:t>
      </w:r>
      <w:r w:rsidR="007E3F04">
        <w:rPr>
          <w:i/>
          <w:iCs/>
        </w:rPr>
        <w:t>;</w:t>
      </w:r>
      <w:r w:rsidR="00F93509">
        <w:rPr>
          <w:i/>
          <w:iCs/>
        </w:rPr>
        <w:t xml:space="preserve">  </w:t>
      </w:r>
      <w:r w:rsidR="00766ECA">
        <w:rPr>
          <w:i/>
          <w:iCs/>
          <w:lang w:val="ru-RU"/>
        </w:rPr>
        <w:t>и</w:t>
      </w:r>
    </w:p>
    <w:p w14:paraId="2C9504CE" w14:textId="5F3C9009" w:rsidR="001F4FB7" w:rsidRDefault="001F32B8" w:rsidP="00221E3E">
      <w:pPr>
        <w:spacing w:after="220"/>
        <w:ind w:left="6300"/>
        <w:rPr>
          <w:i/>
          <w:iCs/>
        </w:rPr>
      </w:pPr>
      <w:r>
        <w:rPr>
          <w:i/>
          <w:iCs/>
        </w:rPr>
        <w:t>(iv)</w:t>
      </w:r>
      <w:r>
        <w:rPr>
          <w:i/>
          <w:iCs/>
        </w:rPr>
        <w:tab/>
      </w:r>
      <w:r w:rsidR="008235CE">
        <w:rPr>
          <w:i/>
          <w:iCs/>
          <w:lang w:val="ru-RU"/>
        </w:rPr>
        <w:t>принять предлагаемые поправки к Инструкции к Будапештскому договору, сформулированные в приложении </w:t>
      </w:r>
      <w:r w:rsidR="0006647A">
        <w:rPr>
          <w:i/>
          <w:iCs/>
        </w:rPr>
        <w:t>II</w:t>
      </w:r>
      <w:r w:rsidR="008235CE">
        <w:rPr>
          <w:i/>
          <w:iCs/>
          <w:lang w:val="ru-RU"/>
        </w:rPr>
        <w:t xml:space="preserve">, с датой вступления в силу с </w:t>
      </w:r>
      <w:r w:rsidR="001F416C">
        <w:rPr>
          <w:i/>
          <w:iCs/>
        </w:rPr>
        <w:t>1</w:t>
      </w:r>
      <w:r w:rsidR="008235CE">
        <w:rPr>
          <w:i/>
          <w:iCs/>
          <w:lang w:val="ru-RU"/>
        </w:rPr>
        <w:t> января</w:t>
      </w:r>
      <w:r w:rsidR="001F416C">
        <w:rPr>
          <w:i/>
          <w:iCs/>
        </w:rPr>
        <w:t xml:space="preserve"> 2023</w:t>
      </w:r>
      <w:r w:rsidR="008235CE">
        <w:rPr>
          <w:i/>
          <w:iCs/>
          <w:lang w:val="ru-RU"/>
        </w:rPr>
        <w:t> г</w:t>
      </w:r>
      <w:r w:rsidR="001F416C">
        <w:rPr>
          <w:i/>
          <w:iCs/>
        </w:rPr>
        <w:t>.</w:t>
      </w:r>
    </w:p>
    <w:p w14:paraId="4953B1C8" w14:textId="77777777" w:rsidR="001F416C" w:rsidRPr="001F4FB7" w:rsidRDefault="001F416C" w:rsidP="001F416C">
      <w:pPr>
        <w:ind w:left="5040"/>
      </w:pPr>
    </w:p>
    <w:p w14:paraId="5C2636E9" w14:textId="1EAD8257" w:rsidR="008D1B7A" w:rsidRDefault="00E91591" w:rsidP="00221E3E">
      <w:pPr>
        <w:spacing w:after="220"/>
        <w:ind w:left="5533"/>
      </w:pPr>
      <w:r>
        <w:t>[</w:t>
      </w:r>
      <w:r w:rsidR="00D907DE">
        <w:rPr>
          <w:lang w:val="ru-RU"/>
        </w:rPr>
        <w:t>Приложения следуют</w:t>
      </w:r>
      <w:r>
        <w:t>]</w:t>
      </w:r>
    </w:p>
    <w:p w14:paraId="4342F3F4" w14:textId="5DE18A40" w:rsidR="009C044B" w:rsidRDefault="009C044B" w:rsidP="005F089D">
      <w:pPr>
        <w:spacing w:after="220"/>
      </w:pPr>
    </w:p>
    <w:p w14:paraId="1F2EB4F9" w14:textId="77777777" w:rsidR="00E91591" w:rsidRDefault="00E91591" w:rsidP="005F089D">
      <w:pPr>
        <w:spacing w:after="220"/>
        <w:sectPr w:rsidR="00E91591" w:rsidSect="00D616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72D6EC3A" w14:textId="5B77D4E1" w:rsidR="008D1B7A" w:rsidRDefault="008D1B7A" w:rsidP="005F089D">
      <w:pPr>
        <w:spacing w:after="220"/>
      </w:pPr>
    </w:p>
    <w:p w14:paraId="09722964" w14:textId="52E90468" w:rsidR="00771FAB" w:rsidRPr="00771FAB" w:rsidRDefault="006C4196" w:rsidP="00771FAB">
      <w:pPr>
        <w:spacing w:after="220"/>
        <w:jc w:val="center"/>
        <w:rPr>
          <w:bCs/>
          <w:caps/>
        </w:rPr>
      </w:pPr>
      <w:r>
        <w:rPr>
          <w:bCs/>
          <w:caps/>
          <w:lang w:val="ru-RU"/>
        </w:rPr>
        <w:t>БЛАНКИ К БУДАПЕШТСКОМУ ДОГОВОРУ И ИНСТРУКЦИИ К НЕМУ</w:t>
      </w:r>
    </w:p>
    <w:p w14:paraId="5C116AF6" w14:textId="77777777" w:rsidR="00771FAB" w:rsidRDefault="00771FAB" w:rsidP="00771FAB">
      <w:pPr>
        <w:spacing w:after="220"/>
      </w:pPr>
    </w:p>
    <w:p w14:paraId="5D0C929F" w14:textId="25C65A4C" w:rsidR="00771FAB" w:rsidRDefault="00771FAB" w:rsidP="00771FAB">
      <w:pPr>
        <w:spacing w:after="220"/>
      </w:pPr>
      <w:r>
        <w:t>1.</w:t>
      </w:r>
      <w:r>
        <w:tab/>
        <w:t>BP/1</w:t>
      </w:r>
      <w:r w:rsidR="00AA33C3">
        <w:t>:</w:t>
      </w:r>
      <w:r>
        <w:t xml:space="preserve"> </w:t>
      </w:r>
      <w:r w:rsidR="00AA33C3">
        <w:t xml:space="preserve"> </w:t>
      </w:r>
      <w:r w:rsidR="00847E26" w:rsidRPr="00847E26">
        <w:rPr>
          <w:lang w:val="ru-RU"/>
        </w:rPr>
        <w:t>Заявление в случае первоначального депонирования</w:t>
      </w:r>
      <w:r w:rsidR="00847E26" w:rsidRPr="00847E26">
        <w:t xml:space="preserve"> (</w:t>
      </w:r>
      <w:r w:rsidR="00847E26" w:rsidRPr="00847E26">
        <w:rPr>
          <w:lang w:val="ru-RU"/>
        </w:rPr>
        <w:t>правило </w:t>
      </w:r>
      <w:r w:rsidR="00847E26" w:rsidRPr="00847E26">
        <w:t>6.1)</w:t>
      </w:r>
    </w:p>
    <w:p w14:paraId="4661D7F8" w14:textId="0FA1C230" w:rsidR="00771FAB" w:rsidRDefault="00771FAB" w:rsidP="00771FAB">
      <w:pPr>
        <w:spacing w:after="220"/>
        <w:ind w:left="540" w:hanging="540"/>
      </w:pPr>
      <w:r>
        <w:t>2.</w:t>
      </w:r>
      <w:r>
        <w:tab/>
        <w:t>BP/2</w:t>
      </w:r>
      <w:r w:rsidR="00AA33C3">
        <w:t>:</w:t>
      </w:r>
      <w:r>
        <w:t xml:space="preserve"> </w:t>
      </w:r>
      <w:r w:rsidR="00AA33C3">
        <w:t xml:space="preserve"> </w:t>
      </w:r>
      <w:r w:rsidR="004A09A2" w:rsidRPr="004A09A2">
        <w:rPr>
          <w:lang w:val="ru-RU"/>
        </w:rPr>
        <w:t xml:space="preserve">Заявление в случае повторного депонирования в одном и том же международном органе по депонированию </w:t>
      </w:r>
      <w:r w:rsidR="004A09A2" w:rsidRPr="004A09A2">
        <w:t>(</w:t>
      </w:r>
      <w:r w:rsidR="004A09A2" w:rsidRPr="004A09A2">
        <w:rPr>
          <w:lang w:val="ru-RU"/>
        </w:rPr>
        <w:t>правило </w:t>
      </w:r>
      <w:r w:rsidR="004A09A2" w:rsidRPr="004A09A2">
        <w:t>6.2)</w:t>
      </w:r>
    </w:p>
    <w:p w14:paraId="32A728C0" w14:textId="34319629" w:rsidR="00771FAB" w:rsidRDefault="00771FAB" w:rsidP="00771FAB">
      <w:pPr>
        <w:spacing w:after="220"/>
        <w:ind w:left="540" w:hanging="540"/>
      </w:pPr>
      <w:r>
        <w:t>3.</w:t>
      </w:r>
      <w:r>
        <w:tab/>
        <w:t>BP/3</w:t>
      </w:r>
      <w:r w:rsidR="00AA33C3">
        <w:t xml:space="preserve">: </w:t>
      </w:r>
      <w:r>
        <w:t xml:space="preserve"> </w:t>
      </w:r>
      <w:r w:rsidR="005F2BE9" w:rsidRPr="005F2BE9">
        <w:rPr>
          <w:lang w:val="ru-RU"/>
        </w:rPr>
        <w:t>Заявление в случае повторного депонирования в другом международном органе по депонированию</w:t>
      </w:r>
      <w:r w:rsidR="005F2BE9" w:rsidRPr="005F2BE9">
        <w:t xml:space="preserve"> (</w:t>
      </w:r>
      <w:r w:rsidR="005F2BE9" w:rsidRPr="005F2BE9">
        <w:rPr>
          <w:lang w:val="ru-RU"/>
        </w:rPr>
        <w:t>правило </w:t>
      </w:r>
      <w:r w:rsidR="005F2BE9" w:rsidRPr="005F2BE9">
        <w:t>6.2)</w:t>
      </w:r>
    </w:p>
    <w:p w14:paraId="51D3178E" w14:textId="3F587384" w:rsidR="00771FAB" w:rsidRDefault="00771FAB" w:rsidP="00771FAB">
      <w:pPr>
        <w:spacing w:after="220"/>
      </w:pPr>
      <w:r>
        <w:t>4.</w:t>
      </w:r>
      <w:r>
        <w:tab/>
        <w:t>BP/4</w:t>
      </w:r>
      <w:r w:rsidR="00AA33C3">
        <w:t xml:space="preserve">: </w:t>
      </w:r>
      <w:r>
        <w:t xml:space="preserve"> </w:t>
      </w:r>
      <w:r w:rsidR="00466964" w:rsidRPr="00466964">
        <w:rPr>
          <w:lang w:val="ru-RU"/>
        </w:rPr>
        <w:t>Расписка в случае первоначального депонирования</w:t>
      </w:r>
      <w:r w:rsidR="00466964" w:rsidRPr="00466964">
        <w:t xml:space="preserve"> (</w:t>
      </w:r>
      <w:r w:rsidR="00466964" w:rsidRPr="00466964">
        <w:rPr>
          <w:lang w:val="ru-RU"/>
        </w:rPr>
        <w:t>правило </w:t>
      </w:r>
      <w:r w:rsidR="00466964" w:rsidRPr="00466964">
        <w:t>7.1)</w:t>
      </w:r>
    </w:p>
    <w:p w14:paraId="2A3B7934" w14:textId="4DFEDA1D" w:rsidR="00771FAB" w:rsidRDefault="00771FAB" w:rsidP="00771FAB">
      <w:pPr>
        <w:spacing w:after="220"/>
      </w:pPr>
      <w:r>
        <w:t>5.</w:t>
      </w:r>
      <w:r>
        <w:tab/>
        <w:t>BP/5</w:t>
      </w:r>
      <w:r w:rsidR="00AA33C3">
        <w:t xml:space="preserve">: </w:t>
      </w:r>
      <w:r>
        <w:t xml:space="preserve"> </w:t>
      </w:r>
      <w:r w:rsidR="00756940" w:rsidRPr="00756940">
        <w:rPr>
          <w:lang w:val="ru-RU"/>
        </w:rPr>
        <w:t>Расписка в случае повторного депонирования</w:t>
      </w:r>
      <w:r w:rsidR="00756940" w:rsidRPr="00756940">
        <w:t xml:space="preserve"> (</w:t>
      </w:r>
      <w:r w:rsidR="00756940" w:rsidRPr="00756940">
        <w:rPr>
          <w:lang w:val="ru-RU"/>
        </w:rPr>
        <w:t>правило </w:t>
      </w:r>
      <w:r w:rsidR="00756940" w:rsidRPr="00756940">
        <w:t>7.1)</w:t>
      </w:r>
    </w:p>
    <w:p w14:paraId="46A598D5" w14:textId="73F6F187" w:rsidR="00771FAB" w:rsidRDefault="00771FAB" w:rsidP="00771FAB">
      <w:pPr>
        <w:spacing w:after="220"/>
      </w:pPr>
      <w:r>
        <w:t>6.</w:t>
      </w:r>
      <w:r>
        <w:tab/>
        <w:t>BP/6</w:t>
      </w:r>
      <w:r w:rsidR="00AA33C3">
        <w:t xml:space="preserve">: </w:t>
      </w:r>
      <w:r>
        <w:t xml:space="preserve"> </w:t>
      </w:r>
      <w:r w:rsidR="00756940" w:rsidRPr="00756940">
        <w:rPr>
          <w:lang w:val="ru-RU"/>
        </w:rPr>
        <w:t>Расписка в случае передачи</w:t>
      </w:r>
      <w:r w:rsidR="00756940" w:rsidRPr="00756940">
        <w:t xml:space="preserve"> (</w:t>
      </w:r>
      <w:r w:rsidR="00756940" w:rsidRPr="00756940">
        <w:rPr>
          <w:lang w:val="ru-RU"/>
        </w:rPr>
        <w:t>правило </w:t>
      </w:r>
      <w:r w:rsidR="00756940" w:rsidRPr="00756940">
        <w:t>7.1)</w:t>
      </w:r>
    </w:p>
    <w:p w14:paraId="59E4EE28" w14:textId="2E1B6FFB" w:rsidR="00771FAB" w:rsidRDefault="00771FAB" w:rsidP="00771FAB">
      <w:pPr>
        <w:spacing w:after="220"/>
        <w:ind w:left="540" w:hanging="540"/>
      </w:pPr>
      <w:r>
        <w:t>7.</w:t>
      </w:r>
      <w:r>
        <w:tab/>
        <w:t>BP/7</w:t>
      </w:r>
      <w:r w:rsidR="00AA33C3">
        <w:t xml:space="preserve">: </w:t>
      </w:r>
      <w:r>
        <w:t xml:space="preserve"> </w:t>
      </w:r>
      <w:r w:rsidR="003020FA" w:rsidRPr="003020FA">
        <w:rPr>
          <w:lang w:val="ru-RU"/>
        </w:rPr>
        <w:t>Сообщение о последующем указании или об изменении научного описания и</w:t>
      </w:r>
      <w:r w:rsidR="003020FA" w:rsidRPr="003020FA">
        <w:t>/</w:t>
      </w:r>
      <w:r w:rsidR="003020FA" w:rsidRPr="003020FA">
        <w:rPr>
          <w:lang w:val="ru-RU"/>
        </w:rPr>
        <w:t>или</w:t>
      </w:r>
      <w:r w:rsidR="003020FA" w:rsidRPr="003020FA">
        <w:t xml:space="preserve"> </w:t>
      </w:r>
      <w:r w:rsidR="003020FA" w:rsidRPr="003020FA">
        <w:rPr>
          <w:lang w:val="ru-RU"/>
        </w:rPr>
        <w:t>предлагаемого таксономического определения (правило </w:t>
      </w:r>
      <w:r w:rsidR="003020FA" w:rsidRPr="003020FA">
        <w:t>8.1)</w:t>
      </w:r>
    </w:p>
    <w:p w14:paraId="3E915903" w14:textId="2264FDCA" w:rsidR="00771FAB" w:rsidRDefault="00771FAB" w:rsidP="00771FAB">
      <w:pPr>
        <w:spacing w:after="220"/>
        <w:ind w:left="540" w:hanging="540"/>
      </w:pPr>
      <w:r>
        <w:t>8.</w:t>
      </w:r>
      <w:r>
        <w:tab/>
        <w:t>BP/8</w:t>
      </w:r>
      <w:r w:rsidR="00AA33C3">
        <w:t xml:space="preserve">: </w:t>
      </w:r>
      <w:r>
        <w:t xml:space="preserve"> </w:t>
      </w:r>
      <w:r w:rsidR="00DE631C" w:rsidRPr="00DE631C">
        <w:rPr>
          <w:lang w:val="ru-RU"/>
        </w:rPr>
        <w:t>Свидетельство о последующем указании или об изменении научного описания и</w:t>
      </w:r>
      <w:r w:rsidR="00DE631C" w:rsidRPr="00DE631C">
        <w:t>/</w:t>
      </w:r>
      <w:r w:rsidR="00DE631C" w:rsidRPr="00DE631C">
        <w:rPr>
          <w:lang w:val="ru-RU"/>
        </w:rPr>
        <w:t>или предлагаемого таксономического определения</w:t>
      </w:r>
      <w:r w:rsidR="00DE631C" w:rsidRPr="00DE631C">
        <w:t xml:space="preserve"> (</w:t>
      </w:r>
      <w:r w:rsidR="00DE631C" w:rsidRPr="00DE631C">
        <w:rPr>
          <w:lang w:val="ru-RU"/>
        </w:rPr>
        <w:t>правило </w:t>
      </w:r>
      <w:r w:rsidR="00DE631C" w:rsidRPr="00DE631C">
        <w:t>8.2)</w:t>
      </w:r>
    </w:p>
    <w:p w14:paraId="691091D1" w14:textId="1E3CD9ED" w:rsidR="00771FAB" w:rsidRDefault="00771FAB" w:rsidP="00771FAB">
      <w:pPr>
        <w:spacing w:after="220"/>
      </w:pPr>
      <w:r>
        <w:t>9.</w:t>
      </w:r>
      <w:r>
        <w:tab/>
        <w:t>BP/9</w:t>
      </w:r>
      <w:r w:rsidR="00AA33C3">
        <w:t xml:space="preserve">: </w:t>
      </w:r>
      <w:r>
        <w:t xml:space="preserve"> </w:t>
      </w:r>
      <w:r w:rsidR="00790004" w:rsidRPr="00790004">
        <w:rPr>
          <w:lang w:val="ru-RU"/>
        </w:rPr>
        <w:t>Свидетельство о жизнеспособности</w:t>
      </w:r>
      <w:r w:rsidR="00790004" w:rsidRPr="00790004">
        <w:t xml:space="preserve"> (</w:t>
      </w:r>
      <w:r w:rsidR="00790004" w:rsidRPr="00790004">
        <w:rPr>
          <w:lang w:val="ru-RU"/>
        </w:rPr>
        <w:t>правило </w:t>
      </w:r>
      <w:r w:rsidR="00790004" w:rsidRPr="00790004">
        <w:t>10.2)</w:t>
      </w:r>
    </w:p>
    <w:p w14:paraId="3BB6F4F0" w14:textId="2F2F0299" w:rsidR="00771FAB" w:rsidRDefault="00771FAB" w:rsidP="0046540B">
      <w:pPr>
        <w:spacing w:after="220"/>
        <w:ind w:left="540" w:hanging="540"/>
      </w:pPr>
      <w:r>
        <w:t>10.</w:t>
      </w:r>
      <w:r>
        <w:tab/>
        <w:t>BP/10</w:t>
      </w:r>
      <w:r w:rsidR="00AA33C3">
        <w:t xml:space="preserve">: </w:t>
      </w:r>
      <w:r>
        <w:t xml:space="preserve"> </w:t>
      </w:r>
      <w:r w:rsidR="0046540B" w:rsidRPr="0046540B">
        <w:rPr>
          <w:lang w:val="ru-RU"/>
        </w:rPr>
        <w:t>Запрос на выдачу образцов депонированных микроорганизмов (правило 11.1)</w:t>
      </w:r>
    </w:p>
    <w:p w14:paraId="74DF783F" w14:textId="72A2BD6D" w:rsidR="00771FAB" w:rsidRDefault="00771FAB" w:rsidP="00AA33C3">
      <w:pPr>
        <w:spacing w:after="220"/>
        <w:ind w:left="540" w:hanging="540"/>
      </w:pPr>
      <w:r>
        <w:t>11.</w:t>
      </w:r>
      <w:r>
        <w:tab/>
        <w:t>BP/11</w:t>
      </w:r>
      <w:r w:rsidR="00AA33C3">
        <w:t xml:space="preserve">: </w:t>
      </w:r>
      <w:r w:rsidR="002A2537">
        <w:rPr>
          <w:lang w:val="ru-RU"/>
        </w:rPr>
        <w:t xml:space="preserve"> </w:t>
      </w:r>
      <w:r w:rsidR="002A2537" w:rsidRPr="002A2537">
        <w:rPr>
          <w:lang w:val="ru-RU"/>
        </w:rPr>
        <w:t>Запрос на выдачу образцов депонированных микроорганизмов</w:t>
      </w:r>
      <w:r w:rsidR="002A2537" w:rsidRPr="002A2537">
        <w:t xml:space="preserve"> (</w:t>
      </w:r>
      <w:r w:rsidR="002A2537" w:rsidRPr="002A2537">
        <w:rPr>
          <w:lang w:val="ru-RU"/>
        </w:rPr>
        <w:t>правило </w:t>
      </w:r>
      <w:r w:rsidR="002A2537" w:rsidRPr="002A2537">
        <w:t>11.2(ii))</w:t>
      </w:r>
    </w:p>
    <w:p w14:paraId="3C14F9A8" w14:textId="049AB8EB" w:rsidR="00771FAB" w:rsidRDefault="00771FAB" w:rsidP="00771FAB">
      <w:pPr>
        <w:spacing w:after="220"/>
        <w:ind w:left="540" w:hanging="540"/>
      </w:pPr>
      <w:r>
        <w:t>12.</w:t>
      </w:r>
      <w:r>
        <w:tab/>
        <w:t>BP/12</w:t>
      </w:r>
      <w:r w:rsidR="00AA33C3">
        <w:t xml:space="preserve">: </w:t>
      </w:r>
      <w:r>
        <w:t xml:space="preserve"> </w:t>
      </w:r>
      <w:r w:rsidR="007667CC" w:rsidRPr="007667CC">
        <w:rPr>
          <w:lang w:val="ru-RU"/>
        </w:rPr>
        <w:t>Запрос на выдачу образцов депонированных микроорганизмов</w:t>
      </w:r>
      <w:r w:rsidR="007667CC" w:rsidRPr="007667CC">
        <w:t xml:space="preserve"> (</w:t>
      </w:r>
      <w:r w:rsidR="007667CC" w:rsidRPr="007667CC">
        <w:rPr>
          <w:lang w:val="ru-RU"/>
        </w:rPr>
        <w:t>правило </w:t>
      </w:r>
      <w:r w:rsidR="007667CC" w:rsidRPr="007667CC">
        <w:t>11.3(a))</w:t>
      </w:r>
    </w:p>
    <w:p w14:paraId="0BBA63BF" w14:textId="16E56C0D" w:rsidR="00771FAB" w:rsidRDefault="00771FAB" w:rsidP="00AA33C3">
      <w:pPr>
        <w:spacing w:after="220"/>
        <w:ind w:left="540" w:hanging="540"/>
      </w:pPr>
      <w:r>
        <w:t>13.</w:t>
      </w:r>
      <w:r>
        <w:tab/>
        <w:t>BP/13</w:t>
      </w:r>
      <w:r w:rsidR="00AA33C3">
        <w:t xml:space="preserve">: </w:t>
      </w:r>
      <w:r>
        <w:t xml:space="preserve"> </w:t>
      </w:r>
      <w:r w:rsidR="006D2B2C" w:rsidRPr="006D2B2C">
        <w:rPr>
          <w:lang w:val="ru-RU"/>
        </w:rPr>
        <w:t>Запрос на выдачу образцов депонированных микроорганизмов</w:t>
      </w:r>
      <w:r w:rsidR="006D2B2C" w:rsidRPr="006D2B2C">
        <w:t xml:space="preserve"> (</w:t>
      </w:r>
      <w:r w:rsidR="006D2B2C" w:rsidRPr="006D2B2C">
        <w:rPr>
          <w:lang w:val="ru-RU"/>
        </w:rPr>
        <w:t>правило </w:t>
      </w:r>
      <w:r w:rsidR="006D2B2C" w:rsidRPr="006D2B2C">
        <w:t>11.3(b))</w:t>
      </w:r>
    </w:p>
    <w:p w14:paraId="08915555" w14:textId="48F64E43" w:rsidR="00771FAB" w:rsidRDefault="00771FAB" w:rsidP="00771FAB">
      <w:pPr>
        <w:spacing w:after="220"/>
        <w:ind w:left="540" w:hanging="540"/>
      </w:pPr>
      <w:r>
        <w:t>14.</w:t>
      </w:r>
      <w:r>
        <w:tab/>
        <w:t>BP/14</w:t>
      </w:r>
      <w:r w:rsidR="00AA33C3">
        <w:t xml:space="preserve">: </w:t>
      </w:r>
      <w:r>
        <w:t xml:space="preserve"> </w:t>
      </w:r>
      <w:r w:rsidR="00BE7992" w:rsidRPr="00BE7992">
        <w:rPr>
          <w:lang w:val="ru-RU"/>
        </w:rPr>
        <w:t>Уведомление о выдаче образцов депонированных микроорганизмов</w:t>
      </w:r>
      <w:r w:rsidR="00BE7992" w:rsidRPr="00BE7992">
        <w:t xml:space="preserve"> (</w:t>
      </w:r>
      <w:r w:rsidR="00BE7992" w:rsidRPr="00BE7992">
        <w:rPr>
          <w:lang w:val="ru-RU"/>
        </w:rPr>
        <w:t>правило </w:t>
      </w:r>
      <w:r w:rsidR="00BE7992" w:rsidRPr="00BE7992">
        <w:t>11.4(g))</w:t>
      </w:r>
    </w:p>
    <w:p w14:paraId="0222B3CD" w14:textId="248D14A2" w:rsidR="00AA33C3" w:rsidRDefault="00AA33C3" w:rsidP="00771FAB">
      <w:pPr>
        <w:spacing w:after="220"/>
        <w:ind w:left="540" w:hanging="540"/>
      </w:pPr>
    </w:p>
    <w:p w14:paraId="1AE38409" w14:textId="098183E2" w:rsidR="00AA33C3" w:rsidRDefault="00AA33C3" w:rsidP="00CE6A96">
      <w:pPr>
        <w:spacing w:after="220"/>
        <w:ind w:left="5533"/>
      </w:pPr>
      <w:r>
        <w:t>[</w:t>
      </w:r>
      <w:r w:rsidR="00E41D95">
        <w:rPr>
          <w:lang w:val="ru-RU"/>
        </w:rPr>
        <w:t>Приложение</w:t>
      </w:r>
      <w:r>
        <w:t xml:space="preserve"> II </w:t>
      </w:r>
      <w:r w:rsidR="00E41D95">
        <w:rPr>
          <w:lang w:val="ru-RU"/>
        </w:rPr>
        <w:t>следует</w:t>
      </w:r>
      <w:r>
        <w:t>]</w:t>
      </w:r>
    </w:p>
    <w:p w14:paraId="53A85240" w14:textId="4069E171" w:rsidR="004E0330" w:rsidRDefault="004E0330">
      <w:pPr>
        <w:rPr>
          <w:i/>
        </w:rPr>
      </w:pPr>
      <w:r>
        <w:rPr>
          <w:i/>
        </w:rPr>
        <w:br w:type="page"/>
      </w:r>
    </w:p>
    <w:p w14:paraId="228AC8D5" w14:textId="77777777" w:rsidR="004E0330" w:rsidRDefault="004E0330" w:rsidP="004E0330">
      <w:pPr>
        <w:spacing w:after="220"/>
      </w:pPr>
    </w:p>
    <w:p w14:paraId="54AD2355" w14:textId="3AE7368B" w:rsidR="00771FAB" w:rsidRDefault="006A4438" w:rsidP="00771FAB">
      <w:pPr>
        <w:spacing w:after="220"/>
        <w:jc w:val="center"/>
        <w:rPr>
          <w:szCs w:val="22"/>
        </w:rPr>
      </w:pPr>
      <w:r>
        <w:rPr>
          <w:szCs w:val="22"/>
          <w:lang w:val="ru-RU"/>
        </w:rPr>
        <w:t>ПРЕДЛАГАЕМЫЕ ПОПРАВКИ К ИНСТРУКЦИИ К БУДАПЕШТСКОМУ ДОГОВОРУ</w:t>
      </w:r>
      <w:r w:rsidR="00771FAB">
        <w:rPr>
          <w:rStyle w:val="FootnoteReference"/>
          <w:szCs w:val="22"/>
        </w:rPr>
        <w:footnoteReference w:id="6"/>
      </w:r>
    </w:p>
    <w:p w14:paraId="11314674" w14:textId="77777777" w:rsidR="00771FAB" w:rsidRDefault="00771FAB" w:rsidP="00771FAB">
      <w:pPr>
        <w:spacing w:after="220"/>
        <w:jc w:val="center"/>
        <w:rPr>
          <w:szCs w:val="22"/>
        </w:rPr>
      </w:pPr>
    </w:p>
    <w:p w14:paraId="2A688A10" w14:textId="410229EF" w:rsidR="00771FAB" w:rsidRDefault="00E94B7B" w:rsidP="00771FAB">
      <w:pPr>
        <w:spacing w:after="220"/>
        <w:jc w:val="center"/>
        <w:rPr>
          <w:b/>
        </w:rPr>
      </w:pPr>
      <w:r>
        <w:rPr>
          <w:b/>
          <w:lang w:val="ru-RU"/>
        </w:rPr>
        <w:t>Правило</w:t>
      </w:r>
      <w:r w:rsidR="00771FAB" w:rsidRPr="008D1B7A">
        <w:rPr>
          <w:b/>
        </w:rPr>
        <w:t xml:space="preserve"> 11</w:t>
      </w:r>
    </w:p>
    <w:p w14:paraId="07854AF4" w14:textId="531FC905" w:rsidR="00771FAB" w:rsidRDefault="00FE7ADF" w:rsidP="00771FAB">
      <w:pPr>
        <w:spacing w:after="220"/>
        <w:jc w:val="center"/>
        <w:rPr>
          <w:b/>
        </w:rPr>
      </w:pPr>
      <w:r>
        <w:rPr>
          <w:b/>
          <w:lang w:val="ru-RU"/>
        </w:rPr>
        <w:t>Выдача образцов</w:t>
      </w:r>
    </w:p>
    <w:p w14:paraId="1F991C87" w14:textId="321ABC62" w:rsidR="00771FAB" w:rsidRPr="001F416C" w:rsidRDefault="00771FAB" w:rsidP="00771FAB">
      <w:pPr>
        <w:spacing w:after="220"/>
      </w:pPr>
      <w:r>
        <w:t>11</w:t>
      </w:r>
      <w:r w:rsidRPr="001F416C">
        <w:t>.4</w:t>
      </w:r>
      <w:r>
        <w:tab/>
      </w:r>
      <w:r w:rsidR="00FE7ADF">
        <w:rPr>
          <w:i/>
          <w:lang w:val="ru-RU"/>
        </w:rPr>
        <w:t>Общие правила</w:t>
      </w:r>
    </w:p>
    <w:p w14:paraId="4FE82F20" w14:textId="0E9FA964" w:rsidR="00771FAB" w:rsidRDefault="00771FAB" w:rsidP="00771FAB">
      <w:pPr>
        <w:spacing w:after="220"/>
      </w:pPr>
      <w:r>
        <w:tab/>
      </w:r>
      <w:r w:rsidRPr="008D1B7A">
        <w:t>(a)</w:t>
      </w:r>
      <w:r w:rsidR="002E3471">
        <w:rPr>
          <w:lang w:val="ru-RU"/>
        </w:rPr>
        <w:t xml:space="preserve"> </w:t>
      </w:r>
      <w:r w:rsidR="005D1931" w:rsidRPr="005D1931">
        <w:rPr>
          <w:lang w:val="ru-RU"/>
        </w:rPr>
        <w:t>Любой запрос, декларация, удостоверение или пересылка, упомянутые в правилах 11.1, 11.2 и 11.3, должны быть составлены:</w:t>
      </w:r>
    </w:p>
    <w:p w14:paraId="1964AE6D" w14:textId="6E8A8D73" w:rsidR="00771FAB" w:rsidRPr="0005129D" w:rsidRDefault="00771FAB" w:rsidP="00771FAB">
      <w:pPr>
        <w:spacing w:after="220"/>
        <w:ind w:firstLine="900"/>
        <w:rPr>
          <w:lang w:val="ru-RU"/>
        </w:rPr>
      </w:pPr>
      <w:r w:rsidRPr="008D1B7A">
        <w:t>(</w:t>
      </w:r>
      <w:r w:rsidRPr="00E169FA">
        <w:rPr>
          <w:lang w:val="ru-RU"/>
        </w:rPr>
        <w:t xml:space="preserve">i) </w:t>
      </w:r>
      <w:r w:rsidR="0005129D" w:rsidRPr="00E169FA">
        <w:rPr>
          <w:lang w:val="ru-RU"/>
        </w:rPr>
        <w:t xml:space="preserve">на английском, </w:t>
      </w:r>
      <w:r w:rsidR="0005129D" w:rsidRPr="00E169FA">
        <w:rPr>
          <w:color w:val="0070C0"/>
          <w:u w:val="single"/>
          <w:lang w:val="ru-RU"/>
        </w:rPr>
        <w:t>арабском,</w:t>
      </w:r>
      <w:r w:rsidR="0005129D" w:rsidRPr="00E169FA">
        <w:rPr>
          <w:lang w:val="ru-RU"/>
        </w:rPr>
        <w:t xml:space="preserve"> испанском, </w:t>
      </w:r>
      <w:r w:rsidR="0005129D" w:rsidRPr="00E169FA">
        <w:rPr>
          <w:color w:val="0070C0"/>
          <w:u w:val="single"/>
          <w:lang w:val="ru-RU"/>
        </w:rPr>
        <w:t>китайском,</w:t>
      </w:r>
      <w:r w:rsidR="0005129D" w:rsidRPr="00E169FA">
        <w:rPr>
          <w:lang w:val="ru-RU"/>
        </w:rPr>
        <w:t xml:space="preserve"> русском или французском языках, если они направляются в адрес международного органа по депонированию, официальный язык или официальные языки которого включают соответственно английский, </w:t>
      </w:r>
      <w:r w:rsidR="0005129D" w:rsidRPr="00E169FA">
        <w:rPr>
          <w:color w:val="0070C0"/>
          <w:u w:val="single"/>
          <w:lang w:val="ru-RU"/>
        </w:rPr>
        <w:t>арабский,</w:t>
      </w:r>
      <w:r w:rsidR="0005129D" w:rsidRPr="00E169FA">
        <w:rPr>
          <w:lang w:val="ru-RU"/>
        </w:rPr>
        <w:t xml:space="preserve"> испанский, </w:t>
      </w:r>
      <w:r w:rsidR="0005129D" w:rsidRPr="00E169FA">
        <w:rPr>
          <w:color w:val="0070C0"/>
          <w:u w:val="single"/>
          <w:lang w:val="ru-RU"/>
        </w:rPr>
        <w:t>китайский,</w:t>
      </w:r>
      <w:r w:rsidR="0005129D" w:rsidRPr="00E169FA">
        <w:rPr>
          <w:lang w:val="ru-RU"/>
        </w:rPr>
        <w:t xml:space="preserve"> русский или французский язык при условии, что если этими языками должны быть </w:t>
      </w:r>
      <w:r w:rsidR="0005129D" w:rsidRPr="00E169FA">
        <w:rPr>
          <w:color w:val="0070C0"/>
          <w:u w:val="single"/>
          <w:lang w:val="ru-RU"/>
        </w:rPr>
        <w:t>арабский,</w:t>
      </w:r>
      <w:r w:rsidR="0005129D" w:rsidRPr="00E169FA">
        <w:rPr>
          <w:color w:val="00B0F0"/>
          <w:lang w:val="ru-RU"/>
        </w:rPr>
        <w:t xml:space="preserve"> </w:t>
      </w:r>
      <w:r w:rsidR="0005129D" w:rsidRPr="00E169FA">
        <w:rPr>
          <w:lang w:val="ru-RU"/>
        </w:rPr>
        <w:t xml:space="preserve">испанский, </w:t>
      </w:r>
      <w:r w:rsidR="0005129D" w:rsidRPr="00E169FA">
        <w:rPr>
          <w:color w:val="0070C0"/>
          <w:u w:val="single"/>
          <w:lang w:val="ru-RU"/>
        </w:rPr>
        <w:t>китайский</w:t>
      </w:r>
      <w:r w:rsidR="0005129D" w:rsidRPr="00E169FA">
        <w:rPr>
          <w:lang w:val="ru-RU"/>
        </w:rPr>
        <w:t xml:space="preserve"> или русский, они могут вместо этого подаваться на английском или французском языке и, если они так поданы, Международное бюро, по запросу заинтересованной стороны, упомянутой в указанных правилах, или международного органа по депонированию, осуществляет немедленно и бесплатно заверенный перевод на </w:t>
      </w:r>
      <w:r w:rsidR="0005129D" w:rsidRPr="00E169FA">
        <w:rPr>
          <w:color w:val="0070C0"/>
          <w:u w:val="single"/>
          <w:lang w:val="ru-RU"/>
        </w:rPr>
        <w:t>арабский,</w:t>
      </w:r>
      <w:r w:rsidR="0005129D" w:rsidRPr="00E169FA">
        <w:rPr>
          <w:lang w:val="ru-RU"/>
        </w:rPr>
        <w:t xml:space="preserve"> испанский, </w:t>
      </w:r>
      <w:r w:rsidR="0005129D" w:rsidRPr="00E169FA">
        <w:rPr>
          <w:color w:val="0070C0"/>
          <w:u w:val="single"/>
          <w:lang w:val="ru-RU"/>
        </w:rPr>
        <w:t xml:space="preserve">китайский </w:t>
      </w:r>
      <w:r w:rsidR="0005129D" w:rsidRPr="00E169FA">
        <w:rPr>
          <w:lang w:val="ru-RU"/>
        </w:rPr>
        <w:t>или русский язык;</w:t>
      </w:r>
    </w:p>
    <w:p w14:paraId="4684503B" w14:textId="1D826C01" w:rsidR="00771FAB" w:rsidRPr="00FB54FB" w:rsidRDefault="00771FAB" w:rsidP="00771FAB">
      <w:pPr>
        <w:spacing w:after="220"/>
        <w:ind w:firstLine="900"/>
        <w:rPr>
          <w:lang w:val="ru-RU"/>
        </w:rPr>
      </w:pPr>
      <w:r>
        <w:t xml:space="preserve">(ii) </w:t>
      </w:r>
      <w:r w:rsidR="006A3601" w:rsidRPr="006A3601">
        <w:rPr>
          <w:lang w:val="ru-RU"/>
        </w:rPr>
        <w:t xml:space="preserve">во всех прочих случаях они составляются на английском или французском языке, при условии, что они могут вместо этого составляться на официальном языке или одном из официальных </w:t>
      </w:r>
      <w:r w:rsidR="006A3601" w:rsidRPr="00FB54FB">
        <w:rPr>
          <w:lang w:val="ru-RU"/>
        </w:rPr>
        <w:t>языков международного органа по депонированию.</w:t>
      </w:r>
    </w:p>
    <w:p w14:paraId="5D06CFF5" w14:textId="6AEA72EB" w:rsidR="00771FAB" w:rsidRPr="00FB54FB" w:rsidRDefault="00771FAB" w:rsidP="00771FAB">
      <w:pPr>
        <w:spacing w:after="220"/>
        <w:ind w:firstLine="567"/>
        <w:rPr>
          <w:lang w:val="ru-RU"/>
        </w:rPr>
      </w:pPr>
      <w:r w:rsidRPr="00FB54FB">
        <w:rPr>
          <w:lang w:val="ru-RU"/>
        </w:rPr>
        <w:t xml:space="preserve">(b) </w:t>
      </w:r>
      <w:r w:rsidR="00FB54FB" w:rsidRPr="00FB54FB">
        <w:rPr>
          <w:lang w:val="ru-RU"/>
        </w:rPr>
        <w:t>Несмотря на положение пункта (а), если запрос, упомянутый в правиле</w:t>
      </w:r>
      <w:r w:rsidR="00FB54FB">
        <w:rPr>
          <w:lang w:val="ru-RU"/>
        </w:rPr>
        <w:t> </w:t>
      </w:r>
      <w:r w:rsidR="00FB54FB" w:rsidRPr="00FB54FB">
        <w:rPr>
          <w:lang w:val="ru-RU"/>
        </w:rPr>
        <w:t xml:space="preserve">11.1, делается ведомством промышленной собственности, официальным языком которого является </w:t>
      </w:r>
      <w:r w:rsidR="00FB54FB" w:rsidRPr="00BE6E5B">
        <w:rPr>
          <w:color w:val="0070C0"/>
          <w:u w:val="single"/>
          <w:lang w:val="ru-RU"/>
        </w:rPr>
        <w:t>арабский,</w:t>
      </w:r>
      <w:r w:rsidR="00FB54FB" w:rsidRPr="00FB54FB">
        <w:rPr>
          <w:lang w:val="ru-RU"/>
        </w:rPr>
        <w:t xml:space="preserve"> испанский</w:t>
      </w:r>
      <w:r w:rsidR="00FB54FB" w:rsidRPr="00CE3E4B">
        <w:rPr>
          <w:color w:val="0070C0"/>
          <w:u w:val="single"/>
          <w:lang w:val="ru-RU"/>
        </w:rPr>
        <w:t xml:space="preserve">, </w:t>
      </w:r>
      <w:r w:rsidR="00FB54FB" w:rsidRPr="00BE6E5B">
        <w:rPr>
          <w:color w:val="0070C0"/>
          <w:u w:val="single"/>
          <w:lang w:val="ru-RU"/>
        </w:rPr>
        <w:t>китайский</w:t>
      </w:r>
      <w:r w:rsidR="00FB54FB" w:rsidRPr="00FB54FB">
        <w:rPr>
          <w:lang w:val="ru-RU"/>
        </w:rPr>
        <w:t xml:space="preserve"> или русский, упомянутый запрос может составляться соответственно на </w:t>
      </w:r>
      <w:r w:rsidR="00FB54FB" w:rsidRPr="00BE6E5B">
        <w:rPr>
          <w:color w:val="0070C0"/>
          <w:u w:val="single"/>
          <w:lang w:val="ru-RU"/>
        </w:rPr>
        <w:t>арабском,</w:t>
      </w:r>
      <w:r w:rsidR="00FB54FB" w:rsidRPr="00FB54FB">
        <w:rPr>
          <w:lang w:val="ru-RU"/>
        </w:rPr>
        <w:t xml:space="preserve"> испанском</w:t>
      </w:r>
      <w:r w:rsidR="00FB54FB" w:rsidRPr="00BE6E5B">
        <w:rPr>
          <w:color w:val="0070C0"/>
          <w:u w:val="single"/>
          <w:lang w:val="ru-RU"/>
        </w:rPr>
        <w:t>, китайском</w:t>
      </w:r>
      <w:r w:rsidR="00FB54FB" w:rsidRPr="00FB54FB">
        <w:rPr>
          <w:lang w:val="ru-RU"/>
        </w:rPr>
        <w:t xml:space="preserve"> или русском языке, и Международное бюро, по запросу этого ведомства или международного органа по депонированию, получившего указанный запрос, осуществляет немедленно и бесплатно заверенный перевод на английский или французский язык.</w:t>
      </w:r>
    </w:p>
    <w:p w14:paraId="6964D2C0" w14:textId="36885DA7" w:rsidR="00771FAB" w:rsidRDefault="00771FAB" w:rsidP="00771FAB">
      <w:pPr>
        <w:spacing w:after="220"/>
        <w:rPr>
          <w:i/>
        </w:rPr>
      </w:pPr>
      <w:r>
        <w:tab/>
        <w:t xml:space="preserve">(c) </w:t>
      </w:r>
      <w:r w:rsidR="00872016" w:rsidRPr="00872016">
        <w:rPr>
          <w:bCs/>
          <w:lang w:val="ru-RU"/>
        </w:rPr>
        <w:t>–</w:t>
      </w:r>
      <w:r w:rsidR="00872016" w:rsidRPr="00872016">
        <w:t xml:space="preserve"> </w:t>
      </w:r>
      <w:r>
        <w:t xml:space="preserve">(h)  </w:t>
      </w:r>
      <w:r w:rsidRPr="009C044B">
        <w:rPr>
          <w:i/>
        </w:rPr>
        <w:t>[</w:t>
      </w:r>
      <w:r w:rsidR="00872016">
        <w:rPr>
          <w:i/>
          <w:lang w:val="ru-RU"/>
        </w:rPr>
        <w:t>Без изменений</w:t>
      </w:r>
      <w:r w:rsidRPr="009C044B">
        <w:rPr>
          <w:i/>
        </w:rPr>
        <w:t>]</w:t>
      </w:r>
    </w:p>
    <w:p w14:paraId="4E31F237" w14:textId="77777777" w:rsidR="00771FAB" w:rsidRDefault="00771FAB" w:rsidP="00771FAB">
      <w:pPr>
        <w:spacing w:after="220"/>
        <w:jc w:val="center"/>
        <w:rPr>
          <w:bCs/>
          <w:caps/>
        </w:rPr>
      </w:pPr>
    </w:p>
    <w:p w14:paraId="711AAC79" w14:textId="55917FF2" w:rsidR="00292EDB" w:rsidRDefault="00292EDB" w:rsidP="00CE6A96">
      <w:pPr>
        <w:spacing w:after="220"/>
        <w:ind w:left="5533"/>
      </w:pPr>
      <w:r>
        <w:t>[</w:t>
      </w:r>
      <w:r w:rsidR="00B2663C">
        <w:rPr>
          <w:lang w:val="ru-RU"/>
        </w:rPr>
        <w:t>Конец приложения </w:t>
      </w:r>
      <w:r w:rsidR="001E6377">
        <w:t>II</w:t>
      </w:r>
      <w:r>
        <w:t xml:space="preserve"> </w:t>
      </w:r>
      <w:r w:rsidR="00B2663C">
        <w:rPr>
          <w:lang w:val="ru-RU"/>
        </w:rPr>
        <w:t>и документа</w:t>
      </w:r>
      <w:r>
        <w:t>]</w:t>
      </w:r>
    </w:p>
    <w:sectPr w:rsidR="00292EDB" w:rsidSect="00ED5075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8B29C" w14:textId="77777777" w:rsidR="009A6CF2" w:rsidRDefault="009A6CF2">
      <w:r>
        <w:separator/>
      </w:r>
    </w:p>
  </w:endnote>
  <w:endnote w:type="continuationSeparator" w:id="0">
    <w:p w14:paraId="59C42510" w14:textId="77777777" w:rsidR="009A6CF2" w:rsidRDefault="009A6CF2" w:rsidP="003B38C1">
      <w:r>
        <w:separator/>
      </w:r>
    </w:p>
    <w:p w14:paraId="54CEB6DF" w14:textId="77777777" w:rsidR="009A6CF2" w:rsidRPr="003B38C1" w:rsidRDefault="009A6CF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4F5DFEB" w14:textId="77777777" w:rsidR="009A6CF2" w:rsidRPr="003B38C1" w:rsidRDefault="009A6CF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03E53" w14:textId="77777777" w:rsidR="008203DC" w:rsidRDefault="008203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39136" w14:textId="77777777" w:rsidR="008203DC" w:rsidRDefault="008203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6007E" w14:textId="77777777" w:rsidR="008203DC" w:rsidRDefault="00820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259D0" w14:textId="77777777" w:rsidR="009A6CF2" w:rsidRDefault="009A6CF2">
      <w:r>
        <w:separator/>
      </w:r>
    </w:p>
  </w:footnote>
  <w:footnote w:type="continuationSeparator" w:id="0">
    <w:p w14:paraId="4B1DD304" w14:textId="77777777" w:rsidR="009A6CF2" w:rsidRDefault="009A6CF2" w:rsidP="008B60B2">
      <w:r>
        <w:separator/>
      </w:r>
    </w:p>
    <w:p w14:paraId="523527A1" w14:textId="77777777" w:rsidR="009A6CF2" w:rsidRPr="00ED77FB" w:rsidRDefault="009A6CF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7DA314C" w14:textId="77777777" w:rsidR="009A6CF2" w:rsidRPr="00ED77FB" w:rsidRDefault="009A6CF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9A91599" w14:textId="491CD577" w:rsidR="00004CBA" w:rsidRDefault="00004CBA" w:rsidP="00004CBA">
      <w:pPr>
        <w:pStyle w:val="FootnoteText"/>
      </w:pPr>
      <w:r>
        <w:rPr>
          <w:rStyle w:val="FootnoteReference"/>
        </w:rPr>
        <w:footnoteRef/>
      </w:r>
      <w:r w:rsidR="003D48AF">
        <w:tab/>
      </w:r>
      <w:r>
        <w:t>BP/1, BP/2, BP/3, BP/7, BP/8, BP/10, BP/11, BP/13</w:t>
      </w:r>
      <w:r w:rsidR="003D48AF">
        <w:t xml:space="preserve"> </w:t>
      </w:r>
      <w:r w:rsidR="00CC4EC0">
        <w:rPr>
          <w:lang w:val="ru-RU"/>
        </w:rPr>
        <w:t>и</w:t>
      </w:r>
      <w:r w:rsidR="003D48AF">
        <w:t xml:space="preserve"> </w:t>
      </w:r>
      <w:r>
        <w:t>BP/14</w:t>
      </w:r>
      <w:r w:rsidR="003D48AF">
        <w:t>.</w:t>
      </w:r>
    </w:p>
  </w:footnote>
  <w:footnote w:id="3">
    <w:p w14:paraId="5682C2B4" w14:textId="11704804" w:rsidR="003D48AF" w:rsidRPr="003918E6" w:rsidRDefault="003D48AF" w:rsidP="003D48AF">
      <w:pPr>
        <w:pStyle w:val="FootnoteText"/>
      </w:pPr>
      <w:r>
        <w:rPr>
          <w:rStyle w:val="FootnoteReference"/>
        </w:rPr>
        <w:footnoteRef/>
      </w:r>
      <w:r>
        <w:tab/>
      </w:r>
      <w:r w:rsidR="00D7705A">
        <w:rPr>
          <w:lang w:val="ru-RU"/>
        </w:rPr>
        <w:t>Документ</w:t>
      </w:r>
      <w:r w:rsidRPr="003918E6">
        <w:t xml:space="preserve"> BP/A/II/11</w:t>
      </w:r>
      <w:r>
        <w:t>.</w:t>
      </w:r>
    </w:p>
  </w:footnote>
  <w:footnote w:id="4">
    <w:p w14:paraId="4A4727DB" w14:textId="532A0EF3" w:rsidR="005C088E" w:rsidRDefault="005C088E">
      <w:pPr>
        <w:pStyle w:val="FootnoteText"/>
      </w:pPr>
      <w:r>
        <w:rPr>
          <w:rStyle w:val="FootnoteReference"/>
        </w:rPr>
        <w:footnoteRef/>
      </w:r>
      <w:r>
        <w:tab/>
      </w:r>
      <w:r w:rsidR="00D7705A">
        <w:rPr>
          <w:lang w:val="ru-RU"/>
        </w:rPr>
        <w:t>Бахрейн, Иордания</w:t>
      </w:r>
      <w:r w:rsidR="00300C83">
        <w:t xml:space="preserve">, </w:t>
      </w:r>
      <w:r w:rsidR="00D7705A">
        <w:rPr>
          <w:lang w:val="ru-RU"/>
        </w:rPr>
        <w:t>Марокко</w:t>
      </w:r>
      <w:r w:rsidR="00300C83">
        <w:t xml:space="preserve">, </w:t>
      </w:r>
      <w:r w:rsidR="00D7705A">
        <w:rPr>
          <w:lang w:val="ru-RU"/>
        </w:rPr>
        <w:t>Оман</w:t>
      </w:r>
      <w:r w:rsidR="00300C83">
        <w:t xml:space="preserve">, </w:t>
      </w:r>
      <w:r w:rsidR="00D7705A">
        <w:rPr>
          <w:lang w:val="ru-RU"/>
        </w:rPr>
        <w:t>Катар</w:t>
      </w:r>
      <w:r w:rsidR="00300C83" w:rsidRPr="000C1E63">
        <w:t>,</w:t>
      </w:r>
      <w:r w:rsidRPr="000C1E63">
        <w:t xml:space="preserve"> </w:t>
      </w:r>
      <w:r w:rsidR="00D7705A">
        <w:rPr>
          <w:lang w:val="ru-RU"/>
        </w:rPr>
        <w:t>Саудовская Аравия</w:t>
      </w:r>
      <w:r w:rsidR="002B7003">
        <w:t>,</w:t>
      </w:r>
      <w:r w:rsidRPr="000C1E63">
        <w:t xml:space="preserve"> </w:t>
      </w:r>
      <w:r w:rsidR="00D7705A">
        <w:rPr>
          <w:lang w:val="ru-RU"/>
        </w:rPr>
        <w:t>Тунис и Объединенные Арабские Эмираты</w:t>
      </w:r>
      <w:r w:rsidRPr="000C1E63">
        <w:t>.</w:t>
      </w:r>
    </w:p>
  </w:footnote>
  <w:footnote w:id="5">
    <w:p w14:paraId="29011F62" w14:textId="6D46F716" w:rsidR="00137F23" w:rsidRDefault="00137F23">
      <w:pPr>
        <w:pStyle w:val="FootnoteText"/>
      </w:pPr>
      <w:r>
        <w:rPr>
          <w:rStyle w:val="FootnoteReference"/>
        </w:rPr>
        <w:footnoteRef/>
      </w:r>
      <w:r>
        <w:tab/>
      </w:r>
      <w:r w:rsidR="00D7705A">
        <w:rPr>
          <w:lang w:val="ru-RU"/>
        </w:rPr>
        <w:t xml:space="preserve">Документ </w:t>
      </w:r>
      <w:r>
        <w:t>WO/PBC/</w:t>
      </w:r>
      <w:r w:rsidR="00D02FB9">
        <w:rPr>
          <w:lang w:val="ru-RU"/>
        </w:rPr>
        <w:t>32</w:t>
      </w:r>
      <w:r w:rsidR="00D02FB9">
        <w:t>/</w:t>
      </w:r>
      <w:r>
        <w:t xml:space="preserve">6, </w:t>
      </w:r>
      <w:r w:rsidR="00D7705A">
        <w:rPr>
          <w:lang w:val="ru-RU"/>
        </w:rPr>
        <w:t>пункт </w:t>
      </w:r>
      <w:r>
        <w:t>5.</w:t>
      </w:r>
    </w:p>
  </w:footnote>
  <w:footnote w:id="6">
    <w:p w14:paraId="5BF60D67" w14:textId="008FFA3A" w:rsidR="00771FAB" w:rsidRPr="002D4615" w:rsidRDefault="00771FAB" w:rsidP="00771FA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="002D4615">
        <w:rPr>
          <w:lang w:val="ru-RU"/>
        </w:rPr>
        <w:t>Предлагаемые новые формулировки выделены синим цветом и подчеркнуты по</w:t>
      </w:r>
      <w:r w:rsidR="003A7340">
        <w:rPr>
          <w:lang w:val="ru-RU"/>
        </w:rPr>
        <w:t xml:space="preserve"> всему</w:t>
      </w:r>
      <w:r w:rsidR="002D4615">
        <w:rPr>
          <w:lang w:val="ru-RU"/>
        </w:rPr>
        <w:t xml:space="preserve"> тексту положений.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A08B7" w14:textId="77777777" w:rsidR="008203DC" w:rsidRDefault="008203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A8AA5" w14:textId="77777777" w:rsidR="0052668B" w:rsidRDefault="0052668B" w:rsidP="0052668B">
    <w:pPr>
      <w:pStyle w:val="Header"/>
      <w:jc w:val="right"/>
    </w:pPr>
    <w:r>
      <w:t>BP/A/39/1</w:t>
    </w:r>
  </w:p>
  <w:p w14:paraId="7945BB79" w14:textId="5D0B9FAD" w:rsidR="0052668B" w:rsidRDefault="009101AF" w:rsidP="0052668B">
    <w:pPr>
      <w:pStyle w:val="Header"/>
      <w:jc w:val="right"/>
    </w:pPr>
    <w:r>
      <w:rPr>
        <w:lang w:val="ru-RU"/>
      </w:rPr>
      <w:t>стр.</w:t>
    </w:r>
    <w:r w:rsidR="00D616BA">
      <w:t xml:space="preserve"> </w:t>
    </w:r>
    <w:r w:rsidR="00D616BA">
      <w:fldChar w:fldCharType="begin"/>
    </w:r>
    <w:r w:rsidR="00D616BA">
      <w:instrText xml:space="preserve"> PAGE   \* MERGEFORMAT </w:instrText>
    </w:r>
    <w:r w:rsidR="00D616BA">
      <w:fldChar w:fldCharType="separate"/>
    </w:r>
    <w:r w:rsidR="00305C2A">
      <w:rPr>
        <w:noProof/>
      </w:rPr>
      <w:t>4</w:t>
    </w:r>
    <w:r w:rsidR="00D616BA">
      <w:rPr>
        <w:noProof/>
      </w:rPr>
      <w:fldChar w:fldCharType="end"/>
    </w:r>
  </w:p>
  <w:p w14:paraId="168C9B08" w14:textId="77777777" w:rsidR="0032658D" w:rsidRDefault="0032658D" w:rsidP="0052668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EBD12" w14:textId="77777777" w:rsidR="008203DC" w:rsidRDefault="008203D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728F7" w14:textId="77777777" w:rsidR="007F546A" w:rsidRDefault="007F546A" w:rsidP="0052668B">
    <w:pPr>
      <w:pStyle w:val="Header"/>
      <w:jc w:val="right"/>
    </w:pPr>
    <w:r>
      <w:t>BP/A/39/1</w:t>
    </w:r>
  </w:p>
  <w:p w14:paraId="78FB735A" w14:textId="571A30F2" w:rsidR="007F546A" w:rsidRDefault="009101AF" w:rsidP="0052668B">
    <w:pPr>
      <w:pStyle w:val="Header"/>
      <w:jc w:val="right"/>
    </w:pPr>
    <w:r>
      <w:rPr>
        <w:lang w:val="ru-RU"/>
      </w:rPr>
      <w:t xml:space="preserve">ПРИЛОЖЕНИЕ </w:t>
    </w:r>
    <w:r w:rsidR="007F546A">
      <w:t>II</w:t>
    </w:r>
  </w:p>
  <w:p w14:paraId="61854BEA" w14:textId="77777777" w:rsidR="007F546A" w:rsidRDefault="007F546A" w:rsidP="0052668B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6D60D" w14:textId="3776780E" w:rsidR="00E91591" w:rsidRDefault="0052668B" w:rsidP="00FF1319">
    <w:pPr>
      <w:pStyle w:val="Header"/>
      <w:jc w:val="right"/>
    </w:pPr>
    <w:r>
      <w:t>BP/</w:t>
    </w:r>
    <w:r w:rsidR="001F416C">
      <w:t>A/</w:t>
    </w:r>
    <w:r>
      <w:t>39/1</w:t>
    </w:r>
  </w:p>
  <w:p w14:paraId="7FAE7162" w14:textId="782C5081" w:rsidR="00E91591" w:rsidRDefault="009101AF" w:rsidP="00FF1319">
    <w:pPr>
      <w:pStyle w:val="Header"/>
      <w:jc w:val="right"/>
    </w:pPr>
    <w:r>
      <w:rPr>
        <w:lang w:val="ru-RU"/>
      </w:rPr>
      <w:t xml:space="preserve">ПРИЛОЖЕНИЕ </w:t>
    </w:r>
    <w:r w:rsidR="00C20CC7">
      <w:t>I</w:t>
    </w:r>
  </w:p>
  <w:p w14:paraId="6240B370" w14:textId="77777777" w:rsidR="00E91591" w:rsidRDefault="00E91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2735B"/>
    <w:multiLevelType w:val="hybridMultilevel"/>
    <w:tmpl w:val="4000B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506C3E"/>
    <w:multiLevelType w:val="hybridMultilevel"/>
    <w:tmpl w:val="BBB45E4E"/>
    <w:lvl w:ilvl="0" w:tplc="2D00B7E4">
      <w:start w:val="1"/>
      <w:numFmt w:val="lowerRoman"/>
      <w:lvlText w:val="(%1)"/>
      <w:lvlJc w:val="left"/>
      <w:pPr>
        <w:ind w:left="7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221022"/>
    <w:multiLevelType w:val="hybridMultilevel"/>
    <w:tmpl w:val="4CF24AE8"/>
    <w:lvl w:ilvl="0" w:tplc="2D00B7E4">
      <w:start w:val="1"/>
      <w:numFmt w:val="lowerRoman"/>
      <w:lvlText w:val="(%1)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75"/>
    <w:rsid w:val="00004CBA"/>
    <w:rsid w:val="0001647B"/>
    <w:rsid w:val="00017588"/>
    <w:rsid w:val="00023A58"/>
    <w:rsid w:val="000319F0"/>
    <w:rsid w:val="00043CAA"/>
    <w:rsid w:val="00045CC9"/>
    <w:rsid w:val="00047B20"/>
    <w:rsid w:val="0005129D"/>
    <w:rsid w:val="0006647A"/>
    <w:rsid w:val="00066887"/>
    <w:rsid w:val="00075432"/>
    <w:rsid w:val="00075FBB"/>
    <w:rsid w:val="0008041C"/>
    <w:rsid w:val="000968ED"/>
    <w:rsid w:val="000A21B8"/>
    <w:rsid w:val="000A338D"/>
    <w:rsid w:val="000B1A8F"/>
    <w:rsid w:val="000B4583"/>
    <w:rsid w:val="000B5CBA"/>
    <w:rsid w:val="000B5F87"/>
    <w:rsid w:val="000C1E63"/>
    <w:rsid w:val="000C3DDD"/>
    <w:rsid w:val="000E53C3"/>
    <w:rsid w:val="000F34EF"/>
    <w:rsid w:val="000F5E56"/>
    <w:rsid w:val="001024FE"/>
    <w:rsid w:val="00104AEF"/>
    <w:rsid w:val="00112A06"/>
    <w:rsid w:val="00112F5D"/>
    <w:rsid w:val="00125D87"/>
    <w:rsid w:val="00125FBA"/>
    <w:rsid w:val="0012662C"/>
    <w:rsid w:val="00134DA6"/>
    <w:rsid w:val="001362EE"/>
    <w:rsid w:val="00137F23"/>
    <w:rsid w:val="00140178"/>
    <w:rsid w:val="001423B7"/>
    <w:rsid w:val="00142868"/>
    <w:rsid w:val="001440AB"/>
    <w:rsid w:val="001567A3"/>
    <w:rsid w:val="00157D15"/>
    <w:rsid w:val="00161749"/>
    <w:rsid w:val="001648FB"/>
    <w:rsid w:val="001719DE"/>
    <w:rsid w:val="001814E9"/>
    <w:rsid w:val="001832A6"/>
    <w:rsid w:val="0018470F"/>
    <w:rsid w:val="001862CF"/>
    <w:rsid w:val="0018646B"/>
    <w:rsid w:val="0019102E"/>
    <w:rsid w:val="00191155"/>
    <w:rsid w:val="001930A9"/>
    <w:rsid w:val="0019505E"/>
    <w:rsid w:val="001A07E4"/>
    <w:rsid w:val="001B7C61"/>
    <w:rsid w:val="001C0E01"/>
    <w:rsid w:val="001C3DC0"/>
    <w:rsid w:val="001C6808"/>
    <w:rsid w:val="001D0CE4"/>
    <w:rsid w:val="001D6437"/>
    <w:rsid w:val="001E6377"/>
    <w:rsid w:val="001E6AD5"/>
    <w:rsid w:val="001E6E2C"/>
    <w:rsid w:val="001F29A4"/>
    <w:rsid w:val="001F32B8"/>
    <w:rsid w:val="001F416C"/>
    <w:rsid w:val="001F4FB7"/>
    <w:rsid w:val="001F7AB2"/>
    <w:rsid w:val="00202C62"/>
    <w:rsid w:val="0020758E"/>
    <w:rsid w:val="002121FA"/>
    <w:rsid w:val="00221E3E"/>
    <w:rsid w:val="00223B9C"/>
    <w:rsid w:val="00231B03"/>
    <w:rsid w:val="002339CD"/>
    <w:rsid w:val="00240493"/>
    <w:rsid w:val="0024376F"/>
    <w:rsid w:val="00244336"/>
    <w:rsid w:val="00250ED1"/>
    <w:rsid w:val="002611D2"/>
    <w:rsid w:val="002634C4"/>
    <w:rsid w:val="00265CE8"/>
    <w:rsid w:val="00275801"/>
    <w:rsid w:val="00287470"/>
    <w:rsid w:val="002928D3"/>
    <w:rsid w:val="00292EDB"/>
    <w:rsid w:val="00295FB3"/>
    <w:rsid w:val="002A2537"/>
    <w:rsid w:val="002A5CEE"/>
    <w:rsid w:val="002A7907"/>
    <w:rsid w:val="002B1078"/>
    <w:rsid w:val="002B7003"/>
    <w:rsid w:val="002C32D1"/>
    <w:rsid w:val="002D4615"/>
    <w:rsid w:val="002D616D"/>
    <w:rsid w:val="002E3471"/>
    <w:rsid w:val="002E369C"/>
    <w:rsid w:val="002E3BCA"/>
    <w:rsid w:val="002F1FE6"/>
    <w:rsid w:val="002F40F1"/>
    <w:rsid w:val="002F4E68"/>
    <w:rsid w:val="002F63D5"/>
    <w:rsid w:val="002F70A9"/>
    <w:rsid w:val="002F75D2"/>
    <w:rsid w:val="002F79B6"/>
    <w:rsid w:val="00300C83"/>
    <w:rsid w:val="003020FA"/>
    <w:rsid w:val="003058C7"/>
    <w:rsid w:val="00305C2A"/>
    <w:rsid w:val="00312F7F"/>
    <w:rsid w:val="003151BA"/>
    <w:rsid w:val="003228B7"/>
    <w:rsid w:val="0032658D"/>
    <w:rsid w:val="0033347D"/>
    <w:rsid w:val="0034367F"/>
    <w:rsid w:val="00344661"/>
    <w:rsid w:val="00347EA7"/>
    <w:rsid w:val="003508A3"/>
    <w:rsid w:val="00351621"/>
    <w:rsid w:val="003562D7"/>
    <w:rsid w:val="00357878"/>
    <w:rsid w:val="00363DA2"/>
    <w:rsid w:val="003673CF"/>
    <w:rsid w:val="00370155"/>
    <w:rsid w:val="003845C1"/>
    <w:rsid w:val="003918E6"/>
    <w:rsid w:val="0039470D"/>
    <w:rsid w:val="003A0AA3"/>
    <w:rsid w:val="003A6F89"/>
    <w:rsid w:val="003A7340"/>
    <w:rsid w:val="003B38C1"/>
    <w:rsid w:val="003B7250"/>
    <w:rsid w:val="003D060F"/>
    <w:rsid w:val="003D0C8C"/>
    <w:rsid w:val="003D48AF"/>
    <w:rsid w:val="003E0C74"/>
    <w:rsid w:val="003F0F22"/>
    <w:rsid w:val="00416A26"/>
    <w:rsid w:val="00421676"/>
    <w:rsid w:val="00423E3E"/>
    <w:rsid w:val="004253B1"/>
    <w:rsid w:val="00427AF4"/>
    <w:rsid w:val="00432E5F"/>
    <w:rsid w:val="004400E2"/>
    <w:rsid w:val="00445520"/>
    <w:rsid w:val="004472CC"/>
    <w:rsid w:val="00451063"/>
    <w:rsid w:val="004515B2"/>
    <w:rsid w:val="00455793"/>
    <w:rsid w:val="00461632"/>
    <w:rsid w:val="0046458B"/>
    <w:rsid w:val="004647DA"/>
    <w:rsid w:val="0046540B"/>
    <w:rsid w:val="00466964"/>
    <w:rsid w:val="00466DC6"/>
    <w:rsid w:val="00474062"/>
    <w:rsid w:val="00477D6B"/>
    <w:rsid w:val="00481C44"/>
    <w:rsid w:val="00483D00"/>
    <w:rsid w:val="004948DD"/>
    <w:rsid w:val="004A09A2"/>
    <w:rsid w:val="004C756A"/>
    <w:rsid w:val="004D3204"/>
    <w:rsid w:val="004D39C4"/>
    <w:rsid w:val="004D455A"/>
    <w:rsid w:val="004D46B6"/>
    <w:rsid w:val="004E0330"/>
    <w:rsid w:val="004F0CBC"/>
    <w:rsid w:val="004F52EE"/>
    <w:rsid w:val="004F632C"/>
    <w:rsid w:val="00512E1F"/>
    <w:rsid w:val="0051516E"/>
    <w:rsid w:val="00521B28"/>
    <w:rsid w:val="0052668B"/>
    <w:rsid w:val="0053057A"/>
    <w:rsid w:val="00532DB8"/>
    <w:rsid w:val="005354A4"/>
    <w:rsid w:val="00536B0C"/>
    <w:rsid w:val="00537495"/>
    <w:rsid w:val="00552178"/>
    <w:rsid w:val="005559DE"/>
    <w:rsid w:val="00557CB4"/>
    <w:rsid w:val="00560A29"/>
    <w:rsid w:val="00574828"/>
    <w:rsid w:val="00594D27"/>
    <w:rsid w:val="00595AA1"/>
    <w:rsid w:val="005B2C11"/>
    <w:rsid w:val="005C088E"/>
    <w:rsid w:val="005C2F3D"/>
    <w:rsid w:val="005C45B0"/>
    <w:rsid w:val="005C7729"/>
    <w:rsid w:val="005D1931"/>
    <w:rsid w:val="005E29BE"/>
    <w:rsid w:val="005E3F3D"/>
    <w:rsid w:val="005F089D"/>
    <w:rsid w:val="005F2BE9"/>
    <w:rsid w:val="00601760"/>
    <w:rsid w:val="00605827"/>
    <w:rsid w:val="006139B4"/>
    <w:rsid w:val="006222DF"/>
    <w:rsid w:val="00630CFF"/>
    <w:rsid w:val="00633AFE"/>
    <w:rsid w:val="00636CE5"/>
    <w:rsid w:val="00637D79"/>
    <w:rsid w:val="0064296F"/>
    <w:rsid w:val="00645795"/>
    <w:rsid w:val="00646050"/>
    <w:rsid w:val="00653000"/>
    <w:rsid w:val="00655DAD"/>
    <w:rsid w:val="00660EDA"/>
    <w:rsid w:val="0066639C"/>
    <w:rsid w:val="00666A2F"/>
    <w:rsid w:val="006713CA"/>
    <w:rsid w:val="006740FE"/>
    <w:rsid w:val="00676C5C"/>
    <w:rsid w:val="00676E93"/>
    <w:rsid w:val="006800A3"/>
    <w:rsid w:val="0068368D"/>
    <w:rsid w:val="00686461"/>
    <w:rsid w:val="00695558"/>
    <w:rsid w:val="006A2C87"/>
    <w:rsid w:val="006A3601"/>
    <w:rsid w:val="006A4438"/>
    <w:rsid w:val="006A60CF"/>
    <w:rsid w:val="006B0A0E"/>
    <w:rsid w:val="006B0E98"/>
    <w:rsid w:val="006B28FA"/>
    <w:rsid w:val="006B5C91"/>
    <w:rsid w:val="006C4196"/>
    <w:rsid w:val="006D2B2C"/>
    <w:rsid w:val="006D5E0F"/>
    <w:rsid w:val="006E16DB"/>
    <w:rsid w:val="006E5344"/>
    <w:rsid w:val="006F680F"/>
    <w:rsid w:val="007058FB"/>
    <w:rsid w:val="00717611"/>
    <w:rsid w:val="007239E6"/>
    <w:rsid w:val="00730893"/>
    <w:rsid w:val="00742264"/>
    <w:rsid w:val="0074670C"/>
    <w:rsid w:val="007476D3"/>
    <w:rsid w:val="00756940"/>
    <w:rsid w:val="007667CC"/>
    <w:rsid w:val="00766ECA"/>
    <w:rsid w:val="00771FAB"/>
    <w:rsid w:val="007846DC"/>
    <w:rsid w:val="0078642D"/>
    <w:rsid w:val="00790004"/>
    <w:rsid w:val="00791A3D"/>
    <w:rsid w:val="00796A3D"/>
    <w:rsid w:val="007A3A29"/>
    <w:rsid w:val="007A473D"/>
    <w:rsid w:val="007A7C16"/>
    <w:rsid w:val="007B6A58"/>
    <w:rsid w:val="007C586A"/>
    <w:rsid w:val="007D11DE"/>
    <w:rsid w:val="007D1613"/>
    <w:rsid w:val="007D203C"/>
    <w:rsid w:val="007E141C"/>
    <w:rsid w:val="007E3604"/>
    <w:rsid w:val="007E3F04"/>
    <w:rsid w:val="007F2221"/>
    <w:rsid w:val="007F4757"/>
    <w:rsid w:val="007F48D0"/>
    <w:rsid w:val="007F510B"/>
    <w:rsid w:val="007F546A"/>
    <w:rsid w:val="00800EC0"/>
    <w:rsid w:val="00804E60"/>
    <w:rsid w:val="008203DC"/>
    <w:rsid w:val="008235CE"/>
    <w:rsid w:val="00823D4A"/>
    <w:rsid w:val="00831986"/>
    <w:rsid w:val="008324F3"/>
    <w:rsid w:val="00834F76"/>
    <w:rsid w:val="008471C8"/>
    <w:rsid w:val="00847E26"/>
    <w:rsid w:val="00850CAA"/>
    <w:rsid w:val="0085192C"/>
    <w:rsid w:val="00856915"/>
    <w:rsid w:val="0085696E"/>
    <w:rsid w:val="00872016"/>
    <w:rsid w:val="00873EE5"/>
    <w:rsid w:val="0089703F"/>
    <w:rsid w:val="00897582"/>
    <w:rsid w:val="008B05D8"/>
    <w:rsid w:val="008B1ACD"/>
    <w:rsid w:val="008B2BD5"/>
    <w:rsid w:val="008B2CC1"/>
    <w:rsid w:val="008B4B5E"/>
    <w:rsid w:val="008B53BC"/>
    <w:rsid w:val="008B60B2"/>
    <w:rsid w:val="008C08E8"/>
    <w:rsid w:val="008D1B7A"/>
    <w:rsid w:val="008D4FDC"/>
    <w:rsid w:val="008D77AE"/>
    <w:rsid w:val="008E4049"/>
    <w:rsid w:val="008E6C0B"/>
    <w:rsid w:val="008F7817"/>
    <w:rsid w:val="00902ED1"/>
    <w:rsid w:val="0090731E"/>
    <w:rsid w:val="009101AF"/>
    <w:rsid w:val="009111F6"/>
    <w:rsid w:val="009112AC"/>
    <w:rsid w:val="00914E34"/>
    <w:rsid w:val="00916EE2"/>
    <w:rsid w:val="00916FE9"/>
    <w:rsid w:val="0093299D"/>
    <w:rsid w:val="00933158"/>
    <w:rsid w:val="00940D9B"/>
    <w:rsid w:val="00966A22"/>
    <w:rsid w:val="0096722F"/>
    <w:rsid w:val="00972584"/>
    <w:rsid w:val="00975247"/>
    <w:rsid w:val="00976B84"/>
    <w:rsid w:val="00980843"/>
    <w:rsid w:val="00980EB0"/>
    <w:rsid w:val="009812D6"/>
    <w:rsid w:val="00982BF0"/>
    <w:rsid w:val="009878CD"/>
    <w:rsid w:val="009A4CFC"/>
    <w:rsid w:val="009A6CF2"/>
    <w:rsid w:val="009B108F"/>
    <w:rsid w:val="009B162C"/>
    <w:rsid w:val="009C044B"/>
    <w:rsid w:val="009E1224"/>
    <w:rsid w:val="009E2791"/>
    <w:rsid w:val="009E3F6F"/>
    <w:rsid w:val="009F14E4"/>
    <w:rsid w:val="009F3BF9"/>
    <w:rsid w:val="009F499F"/>
    <w:rsid w:val="00A000B9"/>
    <w:rsid w:val="00A03A24"/>
    <w:rsid w:val="00A04CE3"/>
    <w:rsid w:val="00A05726"/>
    <w:rsid w:val="00A20407"/>
    <w:rsid w:val="00A2062A"/>
    <w:rsid w:val="00A22A8B"/>
    <w:rsid w:val="00A421A7"/>
    <w:rsid w:val="00A421DA"/>
    <w:rsid w:val="00A42DAF"/>
    <w:rsid w:val="00A45BD8"/>
    <w:rsid w:val="00A6006E"/>
    <w:rsid w:val="00A712A2"/>
    <w:rsid w:val="00A778BF"/>
    <w:rsid w:val="00A85B8E"/>
    <w:rsid w:val="00A8665B"/>
    <w:rsid w:val="00AA33C3"/>
    <w:rsid w:val="00AA7B0A"/>
    <w:rsid w:val="00AC205C"/>
    <w:rsid w:val="00AD12A2"/>
    <w:rsid w:val="00AD42DD"/>
    <w:rsid w:val="00AE2DDA"/>
    <w:rsid w:val="00AF45DB"/>
    <w:rsid w:val="00AF5C73"/>
    <w:rsid w:val="00B05A69"/>
    <w:rsid w:val="00B11969"/>
    <w:rsid w:val="00B209B7"/>
    <w:rsid w:val="00B21608"/>
    <w:rsid w:val="00B2663C"/>
    <w:rsid w:val="00B26EF2"/>
    <w:rsid w:val="00B40598"/>
    <w:rsid w:val="00B41A93"/>
    <w:rsid w:val="00B45E1B"/>
    <w:rsid w:val="00B50B99"/>
    <w:rsid w:val="00B6016A"/>
    <w:rsid w:val="00B6038B"/>
    <w:rsid w:val="00B62CD9"/>
    <w:rsid w:val="00B83BD3"/>
    <w:rsid w:val="00B90F6D"/>
    <w:rsid w:val="00B932E6"/>
    <w:rsid w:val="00B9734B"/>
    <w:rsid w:val="00BA0A08"/>
    <w:rsid w:val="00BA5D6B"/>
    <w:rsid w:val="00BB1794"/>
    <w:rsid w:val="00BB7382"/>
    <w:rsid w:val="00BE037F"/>
    <w:rsid w:val="00BE4016"/>
    <w:rsid w:val="00BE6E5B"/>
    <w:rsid w:val="00BE7385"/>
    <w:rsid w:val="00BE7992"/>
    <w:rsid w:val="00C011EC"/>
    <w:rsid w:val="00C107B3"/>
    <w:rsid w:val="00C1189C"/>
    <w:rsid w:val="00C11BFE"/>
    <w:rsid w:val="00C13423"/>
    <w:rsid w:val="00C1576D"/>
    <w:rsid w:val="00C20CC7"/>
    <w:rsid w:val="00C27DA7"/>
    <w:rsid w:val="00C36796"/>
    <w:rsid w:val="00C43617"/>
    <w:rsid w:val="00C44642"/>
    <w:rsid w:val="00C46A10"/>
    <w:rsid w:val="00C46A58"/>
    <w:rsid w:val="00C47881"/>
    <w:rsid w:val="00C665A5"/>
    <w:rsid w:val="00C91E8C"/>
    <w:rsid w:val="00C92A85"/>
    <w:rsid w:val="00C94629"/>
    <w:rsid w:val="00CA1D8B"/>
    <w:rsid w:val="00CB211E"/>
    <w:rsid w:val="00CB383A"/>
    <w:rsid w:val="00CB7B20"/>
    <w:rsid w:val="00CC1CEE"/>
    <w:rsid w:val="00CC3516"/>
    <w:rsid w:val="00CC4EC0"/>
    <w:rsid w:val="00CC5258"/>
    <w:rsid w:val="00CE3CB4"/>
    <w:rsid w:val="00CE3E4B"/>
    <w:rsid w:val="00CE45CE"/>
    <w:rsid w:val="00CE65D4"/>
    <w:rsid w:val="00CE6A96"/>
    <w:rsid w:val="00D024FB"/>
    <w:rsid w:val="00D02FB9"/>
    <w:rsid w:val="00D17624"/>
    <w:rsid w:val="00D21CD8"/>
    <w:rsid w:val="00D33265"/>
    <w:rsid w:val="00D408E0"/>
    <w:rsid w:val="00D43A8F"/>
    <w:rsid w:val="00D45252"/>
    <w:rsid w:val="00D47E3F"/>
    <w:rsid w:val="00D518C8"/>
    <w:rsid w:val="00D616BA"/>
    <w:rsid w:val="00D62CB9"/>
    <w:rsid w:val="00D70080"/>
    <w:rsid w:val="00D71B4D"/>
    <w:rsid w:val="00D7573A"/>
    <w:rsid w:val="00D7705A"/>
    <w:rsid w:val="00D907DE"/>
    <w:rsid w:val="00D93D55"/>
    <w:rsid w:val="00D96747"/>
    <w:rsid w:val="00DC0A5B"/>
    <w:rsid w:val="00DC1528"/>
    <w:rsid w:val="00DC6B4D"/>
    <w:rsid w:val="00DD0940"/>
    <w:rsid w:val="00DE0797"/>
    <w:rsid w:val="00DE631C"/>
    <w:rsid w:val="00DE6B22"/>
    <w:rsid w:val="00DF14FE"/>
    <w:rsid w:val="00DF1D4E"/>
    <w:rsid w:val="00DF33F6"/>
    <w:rsid w:val="00DF46F7"/>
    <w:rsid w:val="00DF7FE8"/>
    <w:rsid w:val="00E04954"/>
    <w:rsid w:val="00E161A2"/>
    <w:rsid w:val="00E169FA"/>
    <w:rsid w:val="00E335FE"/>
    <w:rsid w:val="00E33BE7"/>
    <w:rsid w:val="00E3550C"/>
    <w:rsid w:val="00E41D95"/>
    <w:rsid w:val="00E42DC0"/>
    <w:rsid w:val="00E5021F"/>
    <w:rsid w:val="00E50E99"/>
    <w:rsid w:val="00E53E22"/>
    <w:rsid w:val="00E5442D"/>
    <w:rsid w:val="00E54966"/>
    <w:rsid w:val="00E62068"/>
    <w:rsid w:val="00E633B5"/>
    <w:rsid w:val="00E671A6"/>
    <w:rsid w:val="00E71949"/>
    <w:rsid w:val="00E91591"/>
    <w:rsid w:val="00E91701"/>
    <w:rsid w:val="00E94B7B"/>
    <w:rsid w:val="00EA0BEA"/>
    <w:rsid w:val="00EB1135"/>
    <w:rsid w:val="00EB5EE2"/>
    <w:rsid w:val="00EC4E49"/>
    <w:rsid w:val="00ED11F4"/>
    <w:rsid w:val="00ED2F9B"/>
    <w:rsid w:val="00ED5075"/>
    <w:rsid w:val="00ED77FB"/>
    <w:rsid w:val="00ED7B76"/>
    <w:rsid w:val="00EE372B"/>
    <w:rsid w:val="00EE45AA"/>
    <w:rsid w:val="00EF331A"/>
    <w:rsid w:val="00EF4D4A"/>
    <w:rsid w:val="00F01807"/>
    <w:rsid w:val="00F021A6"/>
    <w:rsid w:val="00F02249"/>
    <w:rsid w:val="00F10A42"/>
    <w:rsid w:val="00F11D94"/>
    <w:rsid w:val="00F13207"/>
    <w:rsid w:val="00F32CA0"/>
    <w:rsid w:val="00F34873"/>
    <w:rsid w:val="00F43688"/>
    <w:rsid w:val="00F5012F"/>
    <w:rsid w:val="00F53CFB"/>
    <w:rsid w:val="00F62C6D"/>
    <w:rsid w:val="00F66152"/>
    <w:rsid w:val="00F738F8"/>
    <w:rsid w:val="00F774B1"/>
    <w:rsid w:val="00F84F87"/>
    <w:rsid w:val="00F93509"/>
    <w:rsid w:val="00F9633E"/>
    <w:rsid w:val="00FA496F"/>
    <w:rsid w:val="00FB2FA2"/>
    <w:rsid w:val="00FB4684"/>
    <w:rsid w:val="00FB54FB"/>
    <w:rsid w:val="00FB6E51"/>
    <w:rsid w:val="00FC6262"/>
    <w:rsid w:val="00FE098E"/>
    <w:rsid w:val="00FE1CE0"/>
    <w:rsid w:val="00FE7ADF"/>
    <w:rsid w:val="00FF12AE"/>
    <w:rsid w:val="00FF1319"/>
    <w:rsid w:val="00FF5154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0076F64"/>
  <w15:docId w15:val="{B1B49B6F-D663-4B8B-9558-84DF7AD6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PageNumber">
    <w:name w:val="page number"/>
    <w:basedOn w:val="DefaultParagraphFont"/>
    <w:semiHidden/>
    <w:unhideWhenUsed/>
    <w:rsid w:val="00FB2FA2"/>
  </w:style>
  <w:style w:type="paragraph" w:styleId="ListParagraph">
    <w:name w:val="List Paragraph"/>
    <w:basedOn w:val="Normal"/>
    <w:uiPriority w:val="34"/>
    <w:qFormat/>
    <w:rsid w:val="00FB2FA2"/>
    <w:pPr>
      <w:ind w:left="720"/>
      <w:contextualSpacing/>
    </w:pPr>
  </w:style>
  <w:style w:type="character" w:styleId="FootnoteReference">
    <w:name w:val="footnote reference"/>
    <w:basedOn w:val="DefaultParagraphFont"/>
    <w:semiHidden/>
    <w:rsid w:val="009F14E4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D9674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70155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7846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6D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46DC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846DC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7846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846DC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E2DDA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004CBA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D024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F908B-294E-4882-8770-CE6826AE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A_63 (E)</Template>
  <TotalTime>2</TotalTime>
  <Pages>6</Pages>
  <Words>1519</Words>
  <Characters>10071</Characters>
  <Application>Microsoft Office Word</Application>
  <DocSecurity>0</DocSecurity>
  <Lines>206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BP/A/39/1</vt:lpstr>
    </vt:vector>
  </TitlesOfParts>
  <Company>WIPO</Company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BP/A/39/1</dc:title>
  <dc:creator>WIPO</dc:creator>
  <cp:keywords>PUBLIC</cp:keywords>
  <cp:lastModifiedBy>HÄFLIGER Patience</cp:lastModifiedBy>
  <cp:revision>5</cp:revision>
  <cp:lastPrinted>2022-04-28T07:31:00Z</cp:lastPrinted>
  <dcterms:created xsi:type="dcterms:W3CDTF">2022-05-03T12:43:00Z</dcterms:created>
  <dcterms:modified xsi:type="dcterms:W3CDTF">2022-05-03T12:47:00Z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f12f296f-a71b-49b7-a52d-11ec05a79387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